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t>2025崇仁镇“古越山水 崇启芳华”文化旅游活动暨音乐嘉年华采购项目(表演活动、组织、宣传及辅助服务）</w:t>
      </w:r>
      <w: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br w:type="textWrapping"/>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竞</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争</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性</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磋</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商</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文</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件</w:t>
      </w: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pPr>
        <w:pStyle w:val="5"/>
        <w:rPr>
          <w:color w:val="000000" w:themeColor="text1"/>
          <w:highlight w:val="none"/>
          <w14:textFill>
            <w14:solidFill>
              <w14:schemeClr w14:val="tx1"/>
            </w14:solidFill>
          </w14:textFill>
        </w:rPr>
      </w:pPr>
    </w:p>
    <w:p>
      <w:pPr>
        <w:pStyle w:val="5"/>
        <w:jc w:val="center"/>
        <w:rPr>
          <w:rFonts w:ascii="宋体" w:hAnsi="宋体" w:eastAsia="宋体" w:cs="仿宋_GB2312"/>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磋商编号</w:t>
      </w:r>
      <w:r>
        <w:rPr>
          <w:rFonts w:hint="eastAsia" w:ascii="仿宋" w:hAnsi="仿宋" w:eastAsia="仿宋" w:cs="仿宋"/>
          <w:b/>
          <w:bCs/>
          <w:color w:val="000000" w:themeColor="text1"/>
          <w:sz w:val="32"/>
          <w:szCs w:val="32"/>
          <w:highlight w:val="none"/>
          <w14:textFill>
            <w14:solidFill>
              <w14:schemeClr w14:val="tx1"/>
            </w14:solidFill>
          </w14:textFill>
        </w:rPr>
        <w:t>：</w:t>
      </w:r>
      <w:bookmarkStart w:id="0" w:name="OLE_LINK3"/>
      <w:r>
        <w:rPr>
          <w:rFonts w:hint="eastAsia" w:ascii="仿宋" w:hAnsi="仿宋" w:eastAsia="仿宋" w:cs="仿宋"/>
          <w:b/>
          <w:bCs/>
          <w:color w:val="000000" w:themeColor="text1"/>
          <w:sz w:val="32"/>
          <w:szCs w:val="32"/>
          <w:highlight w:val="none"/>
          <w:lang w:eastAsia="zh-CN"/>
          <w14:textFill>
            <w14:solidFill>
              <w14:schemeClr w14:val="tx1"/>
            </w14:solidFill>
          </w14:textFill>
        </w:rPr>
        <w:t>JQ-SZ20250402</w:t>
      </w:r>
      <w:bookmarkEnd w:id="0"/>
    </w:p>
    <w:p>
      <w:pPr>
        <w:pStyle w:val="75"/>
        <w:rPr>
          <w:rFonts w:ascii="宋体" w:hAnsi="宋体" w:eastAsia="宋体" w:cs="仿宋_GB2312"/>
          <w:color w:val="000000" w:themeColor="text1"/>
          <w:sz w:val="24"/>
          <w:highlight w:val="none"/>
          <w14:textFill>
            <w14:solidFill>
              <w14:schemeClr w14:val="tx1"/>
            </w14:solidFill>
          </w14:textFill>
        </w:rPr>
      </w:pPr>
    </w:p>
    <w:tbl>
      <w:tblPr>
        <w:tblStyle w:val="63"/>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567" w:hRule="exact"/>
          <w:jc w:val="center"/>
        </w:trPr>
        <w:tc>
          <w:tcPr>
            <w:tcW w:w="2356" w:type="dxa"/>
            <w:vAlign w:val="center"/>
          </w:tcPr>
          <w:p>
            <w:pPr>
              <w:spacing w:after="100" w:afterAutospacing="1" w:line="440" w:lineRule="exact"/>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105"/>
                <w:kern w:val="0"/>
                <w:sz w:val="28"/>
                <w:szCs w:val="28"/>
                <w:highlight w:val="none"/>
                <w:fitText w:val="2240" w:id="0"/>
                <w14:textFill>
                  <w14:solidFill>
                    <w14:schemeClr w14:val="tx1"/>
                  </w14:solidFill>
                </w14:textFill>
              </w:rPr>
              <w:t>采购单位</w:t>
            </w:r>
            <w:r>
              <w:rPr>
                <w:rFonts w:hint="eastAsia" w:ascii="仿宋" w:hAnsi="仿宋" w:eastAsia="仿宋" w:cs="仿宋"/>
                <w:color w:val="000000" w:themeColor="text1"/>
                <w:spacing w:val="0"/>
                <w:kern w:val="0"/>
                <w:sz w:val="28"/>
                <w:szCs w:val="28"/>
                <w:highlight w:val="none"/>
                <w:fitText w:val="2240" w:id="0"/>
                <w14:textFill>
                  <w14:solidFill>
                    <w14:schemeClr w14:val="tx1"/>
                  </w14:solidFill>
                </w14:textFill>
              </w:rPr>
              <w:t>：</w:t>
            </w:r>
          </w:p>
        </w:tc>
        <w:tc>
          <w:tcPr>
            <w:tcW w:w="5445" w:type="dxa"/>
            <w:vAlign w:val="center"/>
          </w:tcPr>
          <w:p>
            <w:pPr>
              <w:spacing w:line="320" w:lineRule="exact"/>
              <w:outlineLvl w:val="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嵊州市崇仁镇人民政府</w:t>
            </w:r>
          </w:p>
        </w:tc>
      </w:tr>
      <w:tr>
        <w:tblPrEx>
          <w:tblLayout w:type="fixed"/>
          <w:tblCellMar>
            <w:top w:w="0" w:type="dxa"/>
            <w:left w:w="108" w:type="dxa"/>
            <w:bottom w:w="0" w:type="dxa"/>
            <w:right w:w="108" w:type="dxa"/>
          </w:tblCellMar>
        </w:tblPrEx>
        <w:trPr>
          <w:trHeight w:val="567" w:hRule="exact"/>
          <w:jc w:val="center"/>
        </w:trPr>
        <w:tc>
          <w:tcPr>
            <w:tcW w:w="2356" w:type="dxa"/>
            <w:vAlign w:val="center"/>
          </w:tcPr>
          <w:p>
            <w:pPr>
              <w:spacing w:after="100" w:afterAutospacing="1" w:line="440" w:lineRule="exact"/>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采购代理机构</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vAlign w:val="center"/>
          </w:tcPr>
          <w:p>
            <w:pPr>
              <w:spacing w:after="100" w:afterAutospacing="1" w:line="44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泾清项目管理有限公司</w:t>
            </w:r>
          </w:p>
        </w:tc>
      </w:tr>
      <w:tr>
        <w:tblPrEx>
          <w:tblLayout w:type="fixed"/>
          <w:tblCellMar>
            <w:top w:w="0" w:type="dxa"/>
            <w:left w:w="108" w:type="dxa"/>
            <w:bottom w:w="0" w:type="dxa"/>
            <w:right w:w="108" w:type="dxa"/>
          </w:tblCellMar>
        </w:tblPrEx>
        <w:trPr>
          <w:trHeight w:val="567" w:hRule="exact"/>
          <w:jc w:val="center"/>
        </w:trPr>
        <w:tc>
          <w:tcPr>
            <w:tcW w:w="235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pacing w:val="11"/>
                <w:kern w:val="0"/>
                <w:sz w:val="28"/>
                <w:szCs w:val="28"/>
                <w:highlight w:val="none"/>
                <w:fitText w:val="1680" w:id="1"/>
                <w14:textFill>
                  <w14:solidFill>
                    <w14:schemeClr w14:val="tx1"/>
                  </w14:solidFill>
                </w14:textFill>
              </w:rPr>
              <w:t>监</w:t>
            </w:r>
            <w:r>
              <w:rPr>
                <w:rFonts w:hint="eastAsia" w:ascii="仿宋" w:hAnsi="仿宋" w:eastAsia="仿宋" w:cs="仿宋"/>
                <w:color w:val="000000" w:themeColor="text1"/>
                <w:spacing w:val="11"/>
                <w:kern w:val="0"/>
                <w:sz w:val="28"/>
                <w:szCs w:val="28"/>
                <w:highlight w:val="none"/>
                <w:fitText w:val="1680" w:id="1"/>
                <w:lang w:val="en-US" w:eastAsia="zh-CN"/>
                <w14:textFill>
                  <w14:solidFill>
                    <w14:schemeClr w14:val="tx1"/>
                  </w14:solidFill>
                </w14:textFill>
              </w:rPr>
              <w:t xml:space="preserve"> </w:t>
            </w:r>
            <w:r>
              <w:rPr>
                <w:rFonts w:hint="eastAsia" w:ascii="仿宋" w:hAnsi="仿宋" w:eastAsia="仿宋" w:cs="仿宋"/>
                <w:color w:val="000000" w:themeColor="text1"/>
                <w:spacing w:val="11"/>
                <w:kern w:val="0"/>
                <w:sz w:val="28"/>
                <w:szCs w:val="28"/>
                <w:highlight w:val="none"/>
                <w:fitText w:val="1680" w:id="1"/>
                <w14:textFill>
                  <w14:solidFill>
                    <w14:schemeClr w14:val="tx1"/>
                  </w14:solidFill>
                </w14:textFill>
              </w:rPr>
              <w:t>督</w:t>
            </w:r>
            <w:r>
              <w:rPr>
                <w:rFonts w:hint="eastAsia" w:ascii="仿宋" w:hAnsi="仿宋" w:eastAsia="仿宋" w:cs="仿宋"/>
                <w:color w:val="000000" w:themeColor="text1"/>
                <w:spacing w:val="11"/>
                <w:kern w:val="0"/>
                <w:sz w:val="28"/>
                <w:szCs w:val="28"/>
                <w:highlight w:val="none"/>
                <w:fitText w:val="1680" w:id="1"/>
                <w:lang w:val="en-US" w:eastAsia="zh-CN"/>
                <w14:textFill>
                  <w14:solidFill>
                    <w14:schemeClr w14:val="tx1"/>
                  </w14:solidFill>
                </w14:textFill>
              </w:rPr>
              <w:t xml:space="preserve"> </w:t>
            </w:r>
            <w:r>
              <w:rPr>
                <w:rFonts w:hint="eastAsia" w:ascii="仿宋" w:hAnsi="仿宋" w:eastAsia="仿宋" w:cs="仿宋"/>
                <w:color w:val="000000" w:themeColor="text1"/>
                <w:spacing w:val="11"/>
                <w:kern w:val="0"/>
                <w:sz w:val="28"/>
                <w:szCs w:val="28"/>
                <w:highlight w:val="none"/>
                <w:fitText w:val="1680" w:id="1"/>
                <w14:textFill>
                  <w14:solidFill>
                    <w14:schemeClr w14:val="tx1"/>
                  </w14:solidFill>
                </w14:textFill>
              </w:rPr>
              <w:t>单</w:t>
            </w:r>
            <w:r>
              <w:rPr>
                <w:rFonts w:hint="eastAsia" w:ascii="仿宋" w:hAnsi="仿宋" w:eastAsia="仿宋" w:cs="仿宋"/>
                <w:color w:val="000000" w:themeColor="text1"/>
                <w:spacing w:val="11"/>
                <w:kern w:val="0"/>
                <w:sz w:val="28"/>
                <w:szCs w:val="28"/>
                <w:highlight w:val="none"/>
                <w:fitText w:val="1680" w:id="1"/>
                <w:lang w:val="en-US" w:eastAsia="zh-CN"/>
                <w14:textFill>
                  <w14:solidFill>
                    <w14:schemeClr w14:val="tx1"/>
                  </w14:solidFill>
                </w14:textFill>
              </w:rPr>
              <w:t xml:space="preserve"> </w:t>
            </w:r>
            <w:r>
              <w:rPr>
                <w:rFonts w:hint="eastAsia" w:ascii="仿宋" w:hAnsi="仿宋" w:eastAsia="仿宋" w:cs="仿宋"/>
                <w:color w:val="000000" w:themeColor="text1"/>
                <w:spacing w:val="4"/>
                <w:kern w:val="0"/>
                <w:sz w:val="28"/>
                <w:szCs w:val="28"/>
                <w:highlight w:val="none"/>
                <w:fitText w:val="1680" w:id="1"/>
                <w14:textFill>
                  <w14:solidFill>
                    <w14:schemeClr w14:val="tx1"/>
                  </w14:solidFill>
                </w14:textFill>
              </w:rPr>
              <w:t>位</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afterAutospacing="0" w:line="560" w:lineRule="exact"/>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嵊州市采购监管</w:t>
            </w:r>
          </w:p>
        </w:tc>
      </w:tr>
      <w:tr>
        <w:tblPrEx>
          <w:tblLayout w:type="fixed"/>
          <w:tblCellMar>
            <w:top w:w="0" w:type="dxa"/>
            <w:left w:w="108" w:type="dxa"/>
            <w:bottom w:w="0" w:type="dxa"/>
            <w:right w:w="108" w:type="dxa"/>
          </w:tblCellMar>
        </w:tblPrEx>
        <w:trPr>
          <w:trHeight w:val="567" w:hRule="exact"/>
          <w:jc w:val="center"/>
        </w:trPr>
        <w:tc>
          <w:tcPr>
            <w:tcW w:w="7801" w:type="dxa"/>
            <w:gridSpan w:val="2"/>
            <w:vAlign w:val="center"/>
          </w:tcPr>
          <w:p>
            <w:pPr>
              <w:spacing w:after="100" w:afterAutospacing="1" w:line="440" w:lineRule="exact"/>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二〇二</w:t>
            </w:r>
            <w:r>
              <w:rPr>
                <w:rFonts w:hint="eastAsia" w:ascii="仿宋" w:hAnsi="仿宋" w:eastAsia="仿宋" w:cs="仿宋"/>
                <w:color w:val="000000" w:themeColor="text1"/>
                <w:sz w:val="28"/>
                <w:szCs w:val="28"/>
                <w:highlight w:val="none"/>
                <w:lang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月</w:t>
            </w:r>
          </w:p>
        </w:tc>
      </w:tr>
    </w:tbl>
    <w:p>
      <w:pPr>
        <w:rPr>
          <w:color w:val="000000" w:themeColor="text1"/>
          <w:highlight w:val="none"/>
          <w14:textFill>
            <w14:solidFill>
              <w14:schemeClr w14:val="tx1"/>
            </w14:solidFill>
          </w14:textFill>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pPr>
        <w:spacing w:line="360" w:lineRule="auto"/>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第一部分      磋商公告</w:t>
      </w:r>
    </w:p>
    <w:p>
      <w:pPr>
        <w:spacing w:line="360" w:lineRule="auto"/>
        <w:ind w:firstLine="1807" w:firstLineChars="500"/>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第二部分      供应商须知</w:t>
      </w:r>
    </w:p>
    <w:p>
      <w:pPr>
        <w:spacing w:line="360" w:lineRule="auto"/>
        <w:ind w:firstLine="1807" w:firstLineChars="500"/>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第三部分      采购需求</w:t>
      </w:r>
    </w:p>
    <w:p>
      <w:pPr>
        <w:spacing w:line="360" w:lineRule="auto"/>
        <w:ind w:firstLine="1807" w:firstLineChars="500"/>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第四部分      评审方法及标准</w:t>
      </w:r>
    </w:p>
    <w:p>
      <w:pPr>
        <w:spacing w:line="360" w:lineRule="auto"/>
        <w:ind w:firstLine="1807" w:firstLineChars="500"/>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第五部分      拟签订的合同文本</w:t>
      </w:r>
    </w:p>
    <w:p>
      <w:pPr>
        <w:spacing w:line="360" w:lineRule="auto"/>
        <w:ind w:firstLine="1807" w:firstLineChars="500"/>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第六部分      磋商响应文件及其附件格式</w:t>
      </w: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p>
      <w:pPr>
        <w:spacing w:line="360" w:lineRule="auto"/>
        <w:ind w:firstLine="549" w:firstLineChars="229"/>
        <w:rPr>
          <w:rFonts w:ascii="宋体" w:hAnsi="宋体" w:eastAsia="宋体" w:cs="仿宋_GB2312"/>
          <w:color w:val="000000" w:themeColor="text1"/>
          <w:sz w:val="24"/>
          <w:highlight w:val="none"/>
          <w14:textFill>
            <w14:solidFill>
              <w14:schemeClr w14:val="tx1"/>
            </w14:solidFill>
          </w14:textFill>
        </w:rPr>
      </w:pPr>
    </w:p>
    <w:bookmarkEnd w:id="2"/>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sectPr>
          <w:footerReference r:id="rId7" w:type="default"/>
          <w:pgSz w:w="11906" w:h="16838"/>
          <w:pgMar w:top="1814" w:right="1474" w:bottom="1814" w:left="1474" w:header="851" w:footer="992" w:gutter="0"/>
          <w:pgNumType w:start="1"/>
          <w:cols w:space="720" w:num="1"/>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_Toc91899870"/>
      <w:bookmarkStart w:id="8" w:name="第二部分"/>
      <w:bookmarkStart w:id="9" w:name="_Toc91899871"/>
    </w:p>
    <w:p>
      <w:pPr>
        <w:adjustRightInd/>
        <w:spacing w:line="336" w:lineRule="auto"/>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磋商公告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2025崇仁镇“古越山水 崇启芳华”文化旅游活动暨音乐嘉年华采购项目(表演活动、组织、宣传及辅助服务）</w:t>
      </w:r>
      <w:r>
        <w:rPr>
          <w:rFonts w:hint="eastAsia" w:ascii="仿宋" w:hAnsi="仿宋" w:eastAsia="仿宋" w:cs="仿宋"/>
          <w:color w:val="000000" w:themeColor="text1"/>
          <w:sz w:val="24"/>
          <w:highlight w:val="none"/>
          <w14:textFill>
            <w14:solidFill>
              <w14:schemeClr w14:val="tx1"/>
            </w14:solidFill>
          </w14:textFill>
        </w:rPr>
        <w:t>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1"/>
          <w:rFonts w:hint="eastAsia" w:ascii="仿宋" w:hAnsi="仿宋" w:eastAsia="仿宋" w:cs="仿宋"/>
          <w:color w:val="000000" w:themeColor="text1"/>
          <w:sz w:val="24"/>
          <w:highlight w:val="none"/>
          <w:u w:val="single"/>
          <w14:textFill>
            <w14:solidFill>
              <w14:schemeClr w14:val="tx1"/>
            </w14:solidFill>
          </w14:textFill>
        </w:rPr>
        <w:t>https://www.zcygov.cn/</w:t>
      </w:r>
      <w:r>
        <w:rPr>
          <w:rStyle w:val="71"/>
          <w:rFonts w:hint="eastAsia" w:ascii="仿宋" w:hAnsi="仿宋" w:eastAsia="仿宋" w:cs="仿宋"/>
          <w:color w:val="000000" w:themeColor="text1"/>
          <w:sz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lang w:eastAsia="zh-CN"/>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lang w:eastAsia="zh-CN"/>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lang w:eastAsia="zh-CN"/>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27</w:t>
      </w:r>
      <w:r>
        <w:rPr>
          <w:rFonts w:hint="eastAsia" w:ascii="仿宋" w:hAnsi="仿宋" w:eastAsia="仿宋" w:cs="仿宋"/>
          <w:color w:val="000000" w:themeColor="text1"/>
          <w:sz w:val="24"/>
          <w:highlight w:val="none"/>
          <w:u w:val="single"/>
          <w:lang w:eastAsia="zh-CN"/>
          <w14:textFill>
            <w14:solidFill>
              <w14:schemeClr w14:val="tx1"/>
            </w14:solidFill>
          </w14:textFill>
        </w:rPr>
        <w:t>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bCs/>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pPr>
        <w:pStyle w:val="8"/>
        <w:numPr>
          <w:ilvl w:val="0"/>
          <w:numId w:val="0"/>
        </w:numPr>
        <w:spacing w:line="336" w:lineRule="auto"/>
        <w:rPr>
          <w:rFonts w:ascii="仿宋" w:eastAsia="仿宋" w:cs="仿宋"/>
          <w:color w:val="000000" w:themeColor="text1"/>
          <w:sz w:val="24"/>
          <w:szCs w:val="24"/>
          <w:highlight w:val="none"/>
          <w14:textFill>
            <w14:solidFill>
              <w14:schemeClr w14:val="tx1"/>
            </w14:solidFill>
          </w14:textFill>
        </w:rPr>
      </w:pPr>
      <w:bookmarkStart w:id="10" w:name="_Toc28359012"/>
      <w:bookmarkStart w:id="11" w:name="_Toc28359089"/>
      <w:bookmarkStart w:id="12" w:name="_Toc35393798"/>
      <w:bookmarkStart w:id="13" w:name="_Toc35393629"/>
      <w:r>
        <w:rPr>
          <w:rFonts w:hint="eastAsia" w:ascii="仿宋" w:eastAsia="仿宋" w:cs="仿宋"/>
          <w:color w:val="000000" w:themeColor="text1"/>
          <w:sz w:val="24"/>
          <w:szCs w:val="24"/>
          <w:highlight w:val="none"/>
          <w14:textFill>
            <w14:solidFill>
              <w14:schemeClr w14:val="tx1"/>
            </w14:solidFill>
          </w14:textFill>
        </w:rPr>
        <w:t>一、项目基本情况</w:t>
      </w:r>
      <w:bookmarkEnd w:id="10"/>
      <w:bookmarkEnd w:id="11"/>
      <w:bookmarkEnd w:id="12"/>
      <w:bookmarkEnd w:id="13"/>
    </w:p>
    <w:p>
      <w:pPr>
        <w:spacing w:line="336" w:lineRule="auto"/>
        <w:ind w:firstLine="480" w:firstLineChars="200"/>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项目编号：</w:t>
      </w:r>
      <w:r>
        <w:rPr>
          <w:rFonts w:hint="eastAsia" w:ascii="仿宋" w:hAnsi="仿宋" w:eastAsia="仿宋" w:cs="仿宋"/>
          <w:b w:val="0"/>
          <w:bCs/>
          <w:color w:val="000000" w:themeColor="text1"/>
          <w:sz w:val="24"/>
          <w:highlight w:val="none"/>
          <w:lang w:eastAsia="zh-CN"/>
          <w14:textFill>
            <w14:solidFill>
              <w14:schemeClr w14:val="tx1"/>
            </w14:solidFill>
          </w14:textFill>
        </w:rPr>
        <w:t>JQ-SZ20250402</w:t>
      </w:r>
    </w:p>
    <w:p>
      <w:pPr>
        <w:spacing w:line="336" w:lineRule="auto"/>
        <w:ind w:firstLine="480" w:firstLineChars="200"/>
        <w:rPr>
          <w:rFonts w:hint="eastAsia"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none"/>
          <w:lang w:val="en-US" w:eastAsia="zh-CN"/>
          <w14:textFill>
            <w14:solidFill>
              <w14:schemeClr w14:val="tx1"/>
            </w14:solidFill>
          </w14:textFill>
        </w:rPr>
        <w:t>2025崇仁镇“古越山水 崇启芳华”文化旅游活动暨音乐嘉年华采购项目(表演活动、组织、宣传及辅助服务）</w:t>
      </w:r>
    </w:p>
    <w:p>
      <w:pPr>
        <w:spacing w:line="336"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采购方式：竞争性磋商</w:t>
      </w:r>
    </w:p>
    <w:p>
      <w:pPr>
        <w:spacing w:line="336" w:lineRule="auto"/>
        <w:ind w:firstLine="480" w:firstLineChars="200"/>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预算金额（元）：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800000元</w:t>
      </w:r>
    </w:p>
    <w:p>
      <w:pPr>
        <w:spacing w:line="336"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最高限价（元）：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800000元</w:t>
      </w:r>
    </w:p>
    <w:p>
      <w:pPr>
        <w:spacing w:line="336"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p>
    <w:p>
      <w:pPr>
        <w:spacing w:line="336" w:lineRule="auto"/>
        <w:ind w:firstLine="720" w:firstLineChars="3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标项名称：</w:t>
      </w:r>
      <w:r>
        <w:rPr>
          <w:rFonts w:hint="eastAsia" w:ascii="仿宋" w:hAnsi="仿宋" w:eastAsia="仿宋" w:cs="仿宋"/>
          <w:color w:val="000000" w:themeColor="text1"/>
          <w:sz w:val="24"/>
          <w:highlight w:val="none"/>
          <w:u w:val="none"/>
          <w:lang w:val="en-US" w:eastAsia="zh-CN"/>
          <w14:textFill>
            <w14:solidFill>
              <w14:schemeClr w14:val="tx1"/>
            </w14:solidFill>
          </w14:textFill>
        </w:rPr>
        <w:t>2025崇仁镇“古越山水 崇启芳华”文化旅游活动暨音乐嘉年华采购项目(表演活动、组织、宣传及辅助服务）</w:t>
      </w:r>
    </w:p>
    <w:p>
      <w:pPr>
        <w:spacing w:line="336" w:lineRule="auto"/>
        <w:ind w:firstLine="720" w:firstLineChars="300"/>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r>
        <w:rPr>
          <w:rFonts w:hint="eastAsia" w:ascii="仿宋" w:hAnsi="仿宋" w:eastAsia="仿宋" w:cs="仿宋"/>
          <w:bCs/>
          <w:color w:val="000000" w:themeColor="text1"/>
          <w:sz w:val="24"/>
          <w:highlight w:val="none"/>
          <w:lang w:val="en-US" w:eastAsia="zh-CN"/>
          <w14:textFill>
            <w14:solidFill>
              <w14:schemeClr w14:val="tx1"/>
            </w14:solidFill>
          </w14:textFill>
        </w:rPr>
        <w:t>1</w:t>
      </w:r>
    </w:p>
    <w:p>
      <w:pPr>
        <w:spacing w:line="336" w:lineRule="auto"/>
        <w:ind w:firstLine="720" w:firstLineChars="3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预算金额：</w:t>
      </w:r>
      <w:r>
        <w:rPr>
          <w:rFonts w:hint="eastAsia" w:ascii="仿宋" w:hAnsi="仿宋" w:eastAsia="仿宋" w:cs="仿宋"/>
          <w:b w:val="0"/>
          <w:bCs/>
          <w:color w:val="000000" w:themeColor="text1"/>
          <w:sz w:val="24"/>
          <w:highlight w:val="none"/>
          <w:lang w:val="en-US" w:eastAsia="zh-CN"/>
          <w14:textFill>
            <w14:solidFill>
              <w14:schemeClr w14:val="tx1"/>
            </w14:solidFill>
          </w14:textFill>
        </w:rPr>
        <w:t>800000元</w:t>
      </w:r>
    </w:p>
    <w:p>
      <w:pPr>
        <w:spacing w:line="336" w:lineRule="auto"/>
        <w:ind w:firstLine="720" w:firstLineChars="3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主要内容： </w:t>
      </w:r>
      <w:r>
        <w:rPr>
          <w:rFonts w:hint="eastAsia" w:ascii="仿宋" w:hAnsi="仿宋" w:eastAsia="仿宋" w:cs="仿宋"/>
          <w:b/>
          <w:color w:val="000000" w:themeColor="text1"/>
          <w:sz w:val="24"/>
          <w:highlight w:val="none"/>
          <w14:textFill>
            <w14:solidFill>
              <w14:schemeClr w14:val="tx1"/>
            </w14:solidFill>
          </w14:textFill>
        </w:rPr>
        <w:t>详见磋商文件。</w:t>
      </w:r>
    </w:p>
    <w:p>
      <w:pPr>
        <w:spacing w:line="336" w:lineRule="auto"/>
        <w:ind w:firstLine="482" w:firstLineChars="200"/>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合同签订之日起至活动结束。</w:t>
      </w:r>
    </w:p>
    <w:p>
      <w:pPr>
        <w:spacing w:line="336"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本项目接受联合体磋商：</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否。</w:t>
      </w:r>
    </w:p>
    <w:p>
      <w:pPr>
        <w:spacing w:line="336" w:lineRule="auto"/>
        <w:ind w:firstLine="480" w:firstLineChars="200"/>
        <w:rPr>
          <w:rFonts w:hint="eastAsia" w:ascii="黑体" w:hAnsi="黑体" w:eastAsia="黑体" w:cs="黑体"/>
          <w:b w:val="0"/>
          <w:bCs w:val="0"/>
          <w:color w:val="000000" w:themeColor="text1"/>
          <w:sz w:val="24"/>
          <w:highlight w:val="none"/>
          <w14:textFill>
            <w14:solidFill>
              <w14:schemeClr w14:val="tx1"/>
            </w14:solidFill>
          </w14:textFill>
        </w:rPr>
      </w:pPr>
      <w:r>
        <w:rPr>
          <w:rFonts w:hint="eastAsia" w:ascii="黑体" w:hAnsi="黑体" w:eastAsia="黑体" w:cs="黑体"/>
          <w:b w:val="0"/>
          <w:bCs w:val="0"/>
          <w:color w:val="000000" w:themeColor="text1"/>
          <w:sz w:val="24"/>
          <w:highlight w:val="none"/>
          <w14:textFill>
            <w14:solidFill>
              <w14:schemeClr w14:val="tx1"/>
            </w14:solidFill>
          </w14:textFill>
        </w:rPr>
        <w:t>二、申请人的资格要求</w:t>
      </w:r>
    </w:p>
    <w:p>
      <w:pPr>
        <w:spacing w:line="336"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2.以联合体形式响应的，提供联合协议(本项目不接受联合体响应或者供应商不以联合体形式响应的，则不需要提供) ；</w:t>
      </w:r>
    </w:p>
    <w:p>
      <w:pPr>
        <w:spacing w:line="336" w:lineRule="auto"/>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bookmarkStart w:id="14" w:name="OLE_LINK4"/>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bookmarkEnd w:id="14"/>
    </w:p>
    <w:p>
      <w:pPr>
        <w:spacing w:line="336" w:lineRule="auto"/>
        <w:ind w:firstLine="897" w:firstLineChars="374"/>
        <w:rPr>
          <w:rFonts w:ascii="仿宋" w:hAnsi="仿宋" w:eastAsia="仿宋" w:cs="仿宋"/>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pacing w:line="336" w:lineRule="auto"/>
        <w:ind w:firstLine="897" w:firstLineChars="374"/>
        <w:rPr>
          <w:rFonts w:ascii="仿宋" w:hAnsi="仿宋" w:eastAsia="仿宋" w:cs="仿宋"/>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spacing w:line="336"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无；</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w:t>
      </w:r>
    </w:p>
    <w:p>
      <w:pPr>
        <w:spacing w:line="336" w:lineRule="auto"/>
        <w:ind w:firstLine="480" w:firstLineChars="200"/>
        <w:rPr>
          <w:rFonts w:hint="eastAsia" w:ascii="黑体" w:hAnsi="黑体" w:eastAsia="黑体" w:cs="黑体"/>
          <w:b w:val="0"/>
          <w:bCs w:val="0"/>
          <w:color w:val="000000" w:themeColor="text1"/>
          <w:sz w:val="24"/>
          <w:highlight w:val="none"/>
          <w14:textFill>
            <w14:solidFill>
              <w14:schemeClr w14:val="tx1"/>
            </w14:solidFill>
          </w14:textFill>
        </w:rPr>
      </w:pPr>
      <w:bookmarkStart w:id="15" w:name="_Toc35393631"/>
      <w:bookmarkStart w:id="16" w:name="_Toc28359091"/>
      <w:bookmarkStart w:id="17" w:name="_Toc35393800"/>
      <w:bookmarkStart w:id="18" w:name="_Toc28359014"/>
      <w:r>
        <w:rPr>
          <w:rFonts w:hint="eastAsia" w:ascii="黑体" w:hAnsi="黑体" w:eastAsia="黑体" w:cs="黑体"/>
          <w:b w:val="0"/>
          <w:bCs w:val="0"/>
          <w:color w:val="000000" w:themeColor="text1"/>
          <w:sz w:val="24"/>
          <w:highlight w:val="none"/>
          <w14:textFill>
            <w14:solidFill>
              <w14:schemeClr w14:val="tx1"/>
            </w14:solidFill>
          </w14:textFill>
        </w:rPr>
        <w:t>三、获取（下载）采购文件</w:t>
      </w:r>
      <w:bookmarkEnd w:id="15"/>
      <w:bookmarkEnd w:id="16"/>
      <w:bookmarkEnd w:id="17"/>
      <w:bookmarkEnd w:id="18"/>
    </w:p>
    <w:p>
      <w:pPr>
        <w:spacing w:line="336" w:lineRule="auto"/>
        <w:ind w:firstLine="54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27</w:t>
      </w:r>
      <w:r>
        <w:rPr>
          <w:rFonts w:hint="eastAsia" w:ascii="仿宋" w:hAnsi="仿宋" w:eastAsia="仿宋" w:cs="仿宋"/>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pPr>
        <w:spacing w:line="336" w:lineRule="auto"/>
        <w:ind w:firstLine="54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1"/>
          <w:rFonts w:hint="eastAsia" w:ascii="仿宋" w:hAnsi="仿宋" w:eastAsia="仿宋" w:cs="仿宋"/>
          <w:b/>
          <w:color w:val="000000" w:themeColor="text1"/>
          <w:sz w:val="24"/>
          <w:highlight w:val="none"/>
          <w14:textFill>
            <w14:solidFill>
              <w14:schemeClr w14:val="tx1"/>
            </w14:solidFill>
          </w14:textFill>
        </w:rPr>
        <w:t>https://www.zcygov.cn/</w:t>
      </w:r>
      <w:r>
        <w:rPr>
          <w:rStyle w:val="71"/>
          <w:rFonts w:hint="eastAsia" w:ascii="仿宋" w:hAnsi="仿宋" w:eastAsia="仿宋" w:cs="仿宋"/>
          <w:b/>
          <w:color w:val="000000" w:themeColor="text1"/>
          <w:sz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pPr>
        <w:spacing w:line="336" w:lineRule="auto"/>
        <w:ind w:firstLine="54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pPr>
        <w:spacing w:line="336" w:lineRule="auto"/>
        <w:ind w:firstLine="54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14:textFill>
            <w14:solidFill>
              <w14:schemeClr w14:val="tx1"/>
            </w14:solidFill>
          </w14:textFill>
        </w:rPr>
        <w:t>免费。</w:t>
      </w:r>
    </w:p>
    <w:p>
      <w:pPr>
        <w:pStyle w:val="8"/>
        <w:numPr>
          <w:ilvl w:val="0"/>
          <w:numId w:val="0"/>
        </w:numPr>
        <w:spacing w:line="336" w:lineRule="auto"/>
        <w:ind w:firstLine="480" w:firstLineChars="200"/>
        <w:rPr>
          <w:rFonts w:hint="eastAsia" w:ascii="黑体" w:hAnsi="黑体" w:eastAsia="黑体" w:cs="黑体"/>
          <w:b w:val="0"/>
          <w:bCs w:val="0"/>
          <w:color w:val="000000" w:themeColor="text1"/>
          <w:sz w:val="24"/>
          <w:szCs w:val="24"/>
          <w:highlight w:val="none"/>
          <w14:textFill>
            <w14:solidFill>
              <w14:schemeClr w14:val="tx1"/>
            </w14:solidFill>
          </w14:textFill>
        </w:rPr>
      </w:pPr>
      <w:bookmarkStart w:id="19" w:name="_Toc28359015"/>
      <w:bookmarkStart w:id="20" w:name="_Toc28359092"/>
      <w:bookmarkStart w:id="21" w:name="_Toc35393801"/>
      <w:bookmarkStart w:id="22" w:name="_Toc35393632"/>
      <w:r>
        <w:rPr>
          <w:rFonts w:hint="eastAsia" w:ascii="黑体" w:hAnsi="黑体" w:eastAsia="黑体" w:cs="黑体"/>
          <w:b w:val="0"/>
          <w:bCs w:val="0"/>
          <w:color w:val="000000" w:themeColor="text1"/>
          <w:sz w:val="24"/>
          <w:szCs w:val="24"/>
          <w:highlight w:val="none"/>
          <w14:textFill>
            <w14:solidFill>
              <w14:schemeClr w14:val="tx1"/>
            </w14:solidFill>
          </w14:textFill>
        </w:rPr>
        <w:t>四、响应文件提交</w:t>
      </w:r>
      <w:bookmarkEnd w:id="19"/>
      <w:bookmarkEnd w:id="20"/>
      <w:bookmarkEnd w:id="21"/>
      <w:bookmarkEnd w:id="22"/>
      <w:r>
        <w:rPr>
          <w:rFonts w:hint="eastAsia" w:ascii="黑体" w:hAnsi="黑体" w:eastAsia="黑体" w:cs="黑体"/>
          <w:b w:val="0"/>
          <w:bCs w:val="0"/>
          <w:color w:val="000000" w:themeColor="text1"/>
          <w:sz w:val="24"/>
          <w:szCs w:val="24"/>
          <w:highlight w:val="none"/>
          <w14:textFill>
            <w14:solidFill>
              <w14:schemeClr w14:val="tx1"/>
            </w14:solidFill>
          </w14:textFill>
        </w:rPr>
        <w:t>（上传）</w:t>
      </w:r>
    </w:p>
    <w:p>
      <w:pPr>
        <w:spacing w:line="336"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27</w:t>
      </w:r>
      <w:r>
        <w:rPr>
          <w:rFonts w:hint="eastAsia" w:ascii="仿宋" w:hAnsi="仿宋" w:eastAsia="仿宋" w:cs="仿宋"/>
          <w:bCs/>
          <w:color w:val="000000" w:themeColor="text1"/>
          <w:sz w:val="24"/>
          <w:highlight w:val="none"/>
          <w:u w:val="single"/>
          <w14:textFill>
            <w14:solidFill>
              <w14:schemeClr w14:val="tx1"/>
            </w14:solidFill>
          </w14:textFill>
        </w:rPr>
        <w:t>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bCs/>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14:textFill>
            <w14:solidFill>
              <w14:schemeClr w14:val="tx1"/>
            </w14:solidFill>
          </w14:textFill>
        </w:rPr>
        <w:t>（北京时间）</w:t>
      </w:r>
    </w:p>
    <w:p>
      <w:pPr>
        <w:spacing w:line="336"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1"/>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71"/>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pPr>
        <w:pStyle w:val="8"/>
        <w:numPr>
          <w:ilvl w:val="0"/>
          <w:numId w:val="0"/>
        </w:numPr>
        <w:spacing w:line="336" w:lineRule="auto"/>
        <w:ind w:firstLine="480" w:firstLineChars="200"/>
        <w:rPr>
          <w:rFonts w:hint="eastAsia" w:ascii="黑体" w:hAnsi="黑体" w:eastAsia="黑体" w:cs="黑体"/>
          <w:b w:val="0"/>
          <w:bCs w:val="0"/>
          <w:color w:val="000000" w:themeColor="text1"/>
          <w:sz w:val="24"/>
          <w:szCs w:val="24"/>
          <w:highlight w:val="none"/>
          <w14:textFill>
            <w14:solidFill>
              <w14:schemeClr w14:val="tx1"/>
            </w14:solidFill>
          </w14:textFill>
        </w:rPr>
      </w:pPr>
      <w:bookmarkStart w:id="23" w:name="_Toc28359093"/>
      <w:bookmarkStart w:id="24" w:name="_Toc28359016"/>
      <w:bookmarkStart w:id="25" w:name="_Toc35393633"/>
      <w:bookmarkStart w:id="26" w:name="_Toc35393802"/>
      <w:r>
        <w:rPr>
          <w:rFonts w:hint="eastAsia" w:ascii="黑体" w:hAnsi="黑体" w:eastAsia="黑体" w:cs="黑体"/>
          <w:b w:val="0"/>
          <w:bCs w:val="0"/>
          <w:color w:val="000000" w:themeColor="text1"/>
          <w:sz w:val="24"/>
          <w:szCs w:val="24"/>
          <w:highlight w:val="none"/>
          <w14:textFill>
            <w14:solidFill>
              <w14:schemeClr w14:val="tx1"/>
            </w14:solidFill>
          </w14:textFill>
        </w:rPr>
        <w:t>五、响应文件开启</w:t>
      </w:r>
      <w:bookmarkEnd w:id="23"/>
      <w:bookmarkEnd w:id="24"/>
      <w:bookmarkEnd w:id="25"/>
      <w:bookmarkEnd w:id="26"/>
    </w:p>
    <w:p>
      <w:pPr>
        <w:spacing w:line="336"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27</w:t>
      </w:r>
      <w:r>
        <w:rPr>
          <w:rFonts w:hint="eastAsia" w:ascii="仿宋" w:hAnsi="仿宋" w:eastAsia="仿宋" w:cs="仿宋"/>
          <w:bCs/>
          <w:color w:val="000000" w:themeColor="text1"/>
          <w:sz w:val="24"/>
          <w:highlight w:val="none"/>
          <w:u w:val="single"/>
          <w14:textFill>
            <w14:solidFill>
              <w14:schemeClr w14:val="tx1"/>
            </w14:solidFill>
          </w14:textFill>
        </w:rPr>
        <w:t>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bCs/>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14:textFill>
            <w14:solidFill>
              <w14:schemeClr w14:val="tx1"/>
            </w14:solidFill>
          </w14:textFill>
        </w:rPr>
        <w:t>（北京时间）</w:t>
      </w:r>
    </w:p>
    <w:p>
      <w:pPr>
        <w:spacing w:line="336"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地点（网址）：政采云平台（https://www.zcygov.cn/）。</w:t>
      </w:r>
    </w:p>
    <w:p>
      <w:pPr>
        <w:pStyle w:val="8"/>
        <w:numPr>
          <w:ilvl w:val="0"/>
          <w:numId w:val="0"/>
        </w:numPr>
        <w:spacing w:line="336" w:lineRule="auto"/>
        <w:ind w:firstLine="480" w:firstLineChars="200"/>
        <w:rPr>
          <w:rFonts w:hint="eastAsia" w:ascii="黑体" w:hAnsi="黑体" w:eastAsia="黑体" w:cs="黑体"/>
          <w:b w:val="0"/>
          <w:bCs w:val="0"/>
          <w:color w:val="000000" w:themeColor="text1"/>
          <w:sz w:val="24"/>
          <w:szCs w:val="24"/>
          <w:highlight w:val="none"/>
          <w14:textFill>
            <w14:solidFill>
              <w14:schemeClr w14:val="tx1"/>
            </w14:solidFill>
          </w14:textFill>
        </w:rPr>
      </w:pPr>
      <w:bookmarkStart w:id="27" w:name="_Toc28359094"/>
      <w:bookmarkStart w:id="28" w:name="_Toc35393803"/>
      <w:bookmarkStart w:id="29" w:name="_Toc28359017"/>
      <w:bookmarkStart w:id="30" w:name="_Toc35393634"/>
      <w:r>
        <w:rPr>
          <w:rFonts w:hint="eastAsia" w:ascii="黑体" w:hAnsi="黑体" w:eastAsia="黑体" w:cs="黑体"/>
          <w:b w:val="0"/>
          <w:bCs w:val="0"/>
          <w:color w:val="000000" w:themeColor="text1"/>
          <w:sz w:val="24"/>
          <w:szCs w:val="24"/>
          <w:highlight w:val="none"/>
          <w14:textFill>
            <w14:solidFill>
              <w14:schemeClr w14:val="tx1"/>
            </w14:solidFill>
          </w14:textFill>
        </w:rPr>
        <w:t>六、公告期限</w:t>
      </w:r>
      <w:bookmarkEnd w:id="27"/>
      <w:bookmarkEnd w:id="28"/>
      <w:bookmarkEnd w:id="29"/>
      <w:bookmarkEnd w:id="30"/>
    </w:p>
    <w:p>
      <w:pPr>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自本公告发布之日起3个工作日。</w:t>
      </w:r>
    </w:p>
    <w:p>
      <w:pPr>
        <w:pStyle w:val="8"/>
        <w:numPr>
          <w:ilvl w:val="0"/>
          <w:numId w:val="0"/>
        </w:numPr>
        <w:spacing w:line="336" w:lineRule="auto"/>
        <w:ind w:firstLine="480" w:firstLineChars="200"/>
        <w:rPr>
          <w:rFonts w:hint="eastAsia" w:ascii="黑体" w:hAnsi="黑体" w:eastAsia="黑体" w:cs="黑体"/>
          <w:b w:val="0"/>
          <w:bCs w:val="0"/>
          <w:color w:val="000000" w:themeColor="text1"/>
          <w:sz w:val="24"/>
          <w:szCs w:val="24"/>
          <w:highlight w:val="none"/>
          <w14:textFill>
            <w14:solidFill>
              <w14:schemeClr w14:val="tx1"/>
            </w14:solidFill>
          </w14:textFill>
        </w:rPr>
      </w:pPr>
      <w:bookmarkStart w:id="31" w:name="_Toc35393804"/>
      <w:bookmarkStart w:id="32" w:name="_Toc35393635"/>
      <w:r>
        <w:rPr>
          <w:rFonts w:hint="eastAsia" w:ascii="黑体" w:hAnsi="黑体" w:eastAsia="黑体" w:cs="黑体"/>
          <w:b w:val="0"/>
          <w:bCs w:val="0"/>
          <w:color w:val="000000" w:themeColor="text1"/>
          <w:sz w:val="24"/>
          <w:szCs w:val="24"/>
          <w:highlight w:val="none"/>
          <w14:textFill>
            <w14:solidFill>
              <w14:schemeClr w14:val="tx1"/>
            </w14:solidFill>
          </w14:textFill>
        </w:rPr>
        <w:t>七、其他补充事宜</w:t>
      </w:r>
      <w:bookmarkEnd w:id="31"/>
      <w:bookmarkEnd w:id="32"/>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33" w:name="OLE_LINK5"/>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3号）、《浙江省财政厅关于进一步促进政府采购公平竞争打造最优营商环境的通知》（浙财采监〔2021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22号））、《浙江省财政厅关于进一步加大政府采购支持中小企业力度助力扎实稳住经济的通知》 （浙财采监〔2022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8号）已分别于2022年1月29日、2022年2月1日和2022年7月1日开始实施，此前有关规定与上述文件内容不一致的，按上述文件要求执行</w:t>
      </w:r>
      <w:r>
        <w:rPr>
          <w:rFonts w:hint="default" w:ascii="仿宋" w:hAnsi="仿宋" w:eastAsia="仿宋" w:cs="仿宋"/>
          <w:color w:val="000000" w:themeColor="text1"/>
          <w:sz w:val="24"/>
          <w:highlight w:val="none"/>
          <w:lang w:val="en"/>
          <w14:textFill>
            <w14:solidFill>
              <w14:schemeClr w14:val="tx1"/>
            </w14:solidFill>
          </w14:textFill>
        </w:rPr>
        <w:t>(</w:t>
      </w:r>
      <w:r>
        <w:rPr>
          <w:rFonts w:hint="eastAsia" w:ascii="仿宋" w:hAnsi="仿宋" w:eastAsia="仿宋" w:cs="仿宋"/>
          <w:color w:val="000000" w:themeColor="text1"/>
          <w:sz w:val="24"/>
          <w:highlight w:val="none"/>
          <w:lang w:val="en" w:eastAsia="zh-CN"/>
          <w14:textFill>
            <w14:solidFill>
              <w14:schemeClr w14:val="tx1"/>
            </w14:solidFill>
          </w14:textFill>
        </w:rPr>
        <w:t>政策落实根据财政部门要求更新）</w:t>
      </w: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000000" w:themeColor="text1"/>
          <w:sz w:val="24"/>
          <w:highlight w:val="none"/>
          <w:lang w:eastAsia="zh-CN"/>
          <w14:textFill>
            <w14:solidFill>
              <w14:schemeClr w14:val="tx1"/>
            </w14:solidFill>
          </w14:textFill>
        </w:rPr>
        <w:t>政务</w:t>
      </w:r>
      <w:r>
        <w:rPr>
          <w:rFonts w:hint="eastAsia" w:ascii="仿宋" w:hAnsi="仿宋" w:eastAsia="仿宋" w:cs="仿宋"/>
          <w:color w:val="000000" w:themeColor="text1"/>
          <w:sz w:val="24"/>
          <w:highlight w:val="none"/>
          <w14:textFill>
            <w14:solidFill>
              <w14:schemeClr w14:val="tx1"/>
            </w14:solidFill>
          </w14:textFill>
        </w:rPr>
        <w:t>服务网-政府采购投诉处理-在线办理。</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4.其他事项：（1）需要落实的政府采购政策：</w:t>
      </w:r>
      <w:r>
        <w:rPr>
          <w:rFonts w:hint="eastAsia" w:ascii="仿宋" w:hAnsi="仿宋" w:eastAsia="仿宋" w:cs="仿宋"/>
          <w:color w:val="000000" w:themeColor="text1"/>
          <w:kern w:val="0"/>
          <w:sz w:val="24"/>
          <w:highlight w:val="none"/>
          <w14:textFill>
            <w14:solidFill>
              <w14:schemeClr w14:val="tx1"/>
            </w14:solidFill>
          </w14:textFill>
        </w:rPr>
        <w:t>包括节约资源、保护环境、</w:t>
      </w:r>
      <w:r>
        <w:rPr>
          <w:rFonts w:hint="eastAsia" w:ascii="仿宋" w:hAnsi="仿宋" w:eastAsia="仿宋" w:cs="仿宋"/>
          <w:color w:val="000000" w:themeColor="text1"/>
          <w:sz w:val="24"/>
          <w:highlight w:val="none"/>
          <w14:textFill>
            <w14:solidFill>
              <w14:schemeClr w14:val="tx1"/>
            </w14:solidFill>
          </w14:textFill>
        </w:rPr>
        <w:t>支持创新、</w:t>
      </w:r>
      <w:r>
        <w:rPr>
          <w:rFonts w:hint="eastAsia" w:ascii="仿宋" w:hAnsi="仿宋" w:eastAsia="仿宋" w:cs="仿宋"/>
          <w:color w:val="000000" w:themeColor="text1"/>
          <w:kern w:val="0"/>
          <w:sz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电子交易的说明: 1）电子交易：</w:t>
      </w:r>
      <w:r>
        <w:rPr>
          <w:rFonts w:hint="eastAsia" w:ascii="仿宋" w:hAnsi="仿宋" w:eastAsia="仿宋" w:cs="仿宋"/>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highlight w:val="none"/>
          <w14:textFill>
            <w14:solidFill>
              <w14:schemeClr w14:val="tx1"/>
            </w14:solidFill>
          </w14:textFill>
        </w:rPr>
        <w:t>2）响应准备：</w:t>
      </w:r>
      <w:r>
        <w:rPr>
          <w:rFonts w:hint="eastAsia" w:ascii="仿宋" w:hAnsi="仿宋" w:eastAsia="仿宋" w:cs="仿宋"/>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highlight w:val="none"/>
          <w14:textFill>
            <w14:solidFill>
              <w14:schemeClr w14:val="tx1"/>
            </w14:solidFill>
          </w14:textFill>
        </w:rPr>
        <w:t>3）磋商文件的获取：</w:t>
      </w:r>
      <w:r>
        <w:rPr>
          <w:rFonts w:hint="eastAsia" w:ascii="仿宋" w:hAnsi="仿宋" w:eastAsia="仿宋" w:cs="仿宋"/>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highlight w:val="none"/>
          <w14:textFill>
            <w14:solidFill>
              <w14:schemeClr w14:val="tx1"/>
            </w14:solidFill>
          </w14:textFill>
        </w:rPr>
        <w:t>4）响应文件的制作：</w:t>
      </w:r>
      <w:r>
        <w:rPr>
          <w:rFonts w:hint="eastAsia" w:ascii="仿宋" w:hAnsi="仿宋" w:eastAsia="仿宋" w:cs="仿宋"/>
          <w:color w:val="000000" w:themeColor="text1"/>
          <w:sz w:val="24"/>
          <w:highlight w:val="none"/>
          <w14:textFill>
            <w14:solidFill>
              <w14:schemeClr w14:val="tx1"/>
            </w14:solidFill>
          </w14:textFill>
        </w:rPr>
        <w:t>在“政采云电子交易客户端”中完成“填写基本信息”、“导入响应文件”、“标书关联”、“标书检查”、“电子签名”、“生成电子标书”等操作。</w:t>
      </w: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不提供磋商文件纸质版；</w:t>
      </w:r>
      <w:r>
        <w:rPr>
          <w:rFonts w:hint="eastAsia" w:ascii="仿宋" w:hAnsi="仿宋" w:eastAsia="仿宋" w:cs="仿宋"/>
          <w:b/>
          <w:color w:val="000000" w:themeColor="text1"/>
          <w:sz w:val="24"/>
          <w:highlight w:val="none"/>
          <w14:textFill>
            <w14:solidFill>
              <w14:schemeClr w14:val="tx1"/>
            </w14:solidFill>
          </w14:textFill>
        </w:rPr>
        <w:t>8）响应文件的传输提交：</w:t>
      </w:r>
      <w:r>
        <w:rPr>
          <w:rFonts w:hint="eastAsia" w:ascii="仿宋" w:hAnsi="仿宋" w:eastAsia="仿宋" w:cs="仿宋"/>
          <w:color w:val="000000" w:themeColor="text1"/>
          <w:sz w:val="24"/>
          <w:highlight w:val="none"/>
          <w14:textFill>
            <w14:solidFill>
              <w14:schemeClr w14:val="tx1"/>
            </w14:solidFill>
          </w14:textFill>
        </w:rPr>
        <w:t>供应商在提交响应文件的截止时间前将加密的响应文件上传至政府采购云平台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9）响应文件的解密：</w:t>
      </w:r>
      <w:r>
        <w:rPr>
          <w:rFonts w:hint="eastAsia" w:ascii="仿宋" w:hAnsi="仿宋" w:eastAsia="仿宋" w:cs="仿宋"/>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供应商按照平台提示和磋商文件的规定在半小时内完成在线解密。通过“政府采购云平台”上传递交的响应文件无法按时解密，视为投标文件撤回；10</w:t>
      </w:r>
      <w:r>
        <w:rPr>
          <w:rFonts w:hint="eastAsia" w:ascii="仿宋" w:hAnsi="仿宋" w:eastAsia="仿宋" w:cs="仿宋"/>
          <w:b/>
          <w:color w:val="000000" w:themeColor="text1"/>
          <w:sz w:val="24"/>
          <w:highlight w:val="none"/>
          <w14:textFill>
            <w14:solidFill>
              <w14:schemeClr w14:val="tx1"/>
            </w14:solidFill>
          </w14:textFill>
        </w:rPr>
        <w:t>）具体操作指南</w:t>
      </w:r>
      <w:r>
        <w:rPr>
          <w:rFonts w:hint="eastAsia" w:ascii="仿宋" w:hAnsi="仿宋" w:eastAsia="仿宋" w:cs="仿宋"/>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ascii="仿宋" w:hAnsi="仿宋" w:eastAsia="仿宋" w:cs="仿宋"/>
          <w:color w:val="000000" w:themeColor="text1"/>
          <w:sz w:val="24"/>
          <w:highlight w:val="none"/>
          <w:u w:val="none"/>
          <w14:textFill>
            <w14:solidFill>
              <w14:schemeClr w14:val="tx1"/>
            </w14:solidFill>
          </w14:textFill>
        </w:rPr>
        <w:t>（3</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磋商文件公告期限与磋商公告的公告期限一致。</w:t>
      </w:r>
      <w:bookmarkEnd w:id="33"/>
    </w:p>
    <w:p>
      <w:pPr>
        <w:pStyle w:val="8"/>
        <w:numPr>
          <w:ilvl w:val="0"/>
          <w:numId w:val="0"/>
        </w:numPr>
        <w:spacing w:line="336" w:lineRule="auto"/>
        <w:ind w:firstLine="480" w:firstLineChars="200"/>
        <w:rPr>
          <w:rFonts w:hint="eastAsia" w:ascii="黑体" w:hAnsi="黑体" w:eastAsia="黑体" w:cs="黑体"/>
          <w:b w:val="0"/>
          <w:bCs w:val="0"/>
          <w:color w:val="000000" w:themeColor="text1"/>
          <w:sz w:val="24"/>
          <w:szCs w:val="24"/>
          <w:highlight w:val="none"/>
          <w14:textFill>
            <w14:solidFill>
              <w14:schemeClr w14:val="tx1"/>
            </w14:solidFill>
          </w14:textFill>
        </w:rPr>
      </w:pPr>
      <w:bookmarkStart w:id="34" w:name="_Toc35393636"/>
      <w:bookmarkStart w:id="35" w:name="_Toc35393805"/>
      <w:bookmarkStart w:id="36" w:name="_Toc28359095"/>
      <w:bookmarkStart w:id="37" w:name="_Toc28359018"/>
      <w:r>
        <w:rPr>
          <w:rFonts w:hint="eastAsia" w:ascii="黑体" w:hAnsi="黑体" w:eastAsia="黑体" w:cs="黑体"/>
          <w:b w:val="0"/>
          <w:bCs w:val="0"/>
          <w:color w:val="000000" w:themeColor="text1"/>
          <w:sz w:val="24"/>
          <w:szCs w:val="24"/>
          <w:highlight w:val="none"/>
          <w14:textFill>
            <w14:solidFill>
              <w14:schemeClr w14:val="tx1"/>
            </w14:solidFill>
          </w14:textFill>
        </w:rPr>
        <w:t>八、凡对本次采购提出询问、质疑、投诉，请按以下方式联系</w:t>
      </w:r>
      <w:bookmarkEnd w:id="34"/>
      <w:bookmarkEnd w:id="35"/>
      <w:bookmarkEnd w:id="36"/>
      <w:bookmarkEnd w:id="37"/>
    </w:p>
    <w:p>
      <w:pPr>
        <w:pStyle w:val="8"/>
        <w:numPr>
          <w:ilvl w:val="0"/>
          <w:numId w:val="0"/>
        </w:numPr>
        <w:spacing w:line="336" w:lineRule="auto"/>
        <w:ind w:firstLine="482" w:firstLineChars="200"/>
        <w:rPr>
          <w:rFonts w:ascii="仿宋" w:eastAsia="仿宋" w:cs="仿宋"/>
          <w:color w:val="000000" w:themeColor="text1"/>
          <w:sz w:val="24"/>
          <w:szCs w:val="24"/>
          <w:highlight w:val="none"/>
          <w14:textFill>
            <w14:solidFill>
              <w14:schemeClr w14:val="tx1"/>
            </w14:solidFill>
          </w14:textFill>
        </w:rPr>
      </w:pPr>
      <w:bookmarkStart w:id="38" w:name="_Toc35393806"/>
      <w:bookmarkStart w:id="39" w:name="_Toc28359096"/>
      <w:bookmarkStart w:id="40" w:name="_Toc35393637"/>
      <w:bookmarkStart w:id="41" w:name="_Toc28359019"/>
      <w:r>
        <w:rPr>
          <w:rFonts w:hint="eastAsia" w:ascii="仿宋" w:eastAsia="仿宋" w:cs="仿宋"/>
          <w:color w:val="000000" w:themeColor="text1"/>
          <w:sz w:val="24"/>
          <w:szCs w:val="24"/>
          <w:highlight w:val="none"/>
          <w14:textFill>
            <w14:solidFill>
              <w14:schemeClr w14:val="tx1"/>
            </w14:solidFill>
          </w14:textFill>
        </w:rPr>
        <w:t>1.采购人信息</w:t>
      </w:r>
      <w:bookmarkEnd w:id="38"/>
      <w:bookmarkEnd w:id="39"/>
      <w:bookmarkEnd w:id="40"/>
      <w:bookmarkEnd w:id="41"/>
      <w:r>
        <w:rPr>
          <w:rFonts w:hint="eastAsia" w:ascii="仿宋" w:eastAsia="仿宋" w:cs="仿宋"/>
          <w:color w:val="000000" w:themeColor="text1"/>
          <w:sz w:val="24"/>
          <w:szCs w:val="24"/>
          <w:highlight w:val="none"/>
          <w14:textFill>
            <w14:solidFill>
              <w14:schemeClr w14:val="tx1"/>
            </w14:solidFill>
          </w14:textFill>
        </w:rPr>
        <w:t>：</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称：嵊州市</w:t>
      </w:r>
      <w:r>
        <w:rPr>
          <w:rFonts w:hint="eastAsia" w:ascii="仿宋" w:hAnsi="仿宋" w:eastAsia="仿宋" w:cs="仿宋"/>
          <w:color w:val="000000" w:themeColor="text1"/>
          <w:sz w:val="24"/>
          <w:highlight w:val="none"/>
          <w:lang w:eastAsia="zh-CN"/>
          <w14:textFill>
            <w14:solidFill>
              <w14:schemeClr w14:val="tx1"/>
            </w14:solidFill>
          </w14:textFill>
        </w:rPr>
        <w:t>崇仁镇</w:t>
      </w:r>
      <w:r>
        <w:rPr>
          <w:rFonts w:hint="eastAsia" w:ascii="仿宋" w:hAnsi="仿宋" w:eastAsia="仿宋" w:cs="仿宋"/>
          <w:color w:val="000000" w:themeColor="text1"/>
          <w:sz w:val="24"/>
          <w:highlight w:val="none"/>
          <w14:textFill>
            <w14:solidFill>
              <w14:schemeClr w14:val="tx1"/>
            </w14:solidFill>
          </w14:textFill>
        </w:rPr>
        <w:t>人民政府</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址：嵊州市</w:t>
      </w:r>
      <w:r>
        <w:rPr>
          <w:rFonts w:hint="eastAsia" w:ascii="仿宋" w:hAnsi="仿宋" w:eastAsia="仿宋" w:cs="仿宋"/>
          <w:color w:val="000000" w:themeColor="text1"/>
          <w:sz w:val="24"/>
          <w:highlight w:val="none"/>
          <w:lang w:eastAsia="zh-CN"/>
          <w14:textFill>
            <w14:solidFill>
              <w14:schemeClr w14:val="tx1"/>
            </w14:solidFill>
          </w14:textFill>
        </w:rPr>
        <w:t>崇仁镇</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rPr>
          <w:rFonts w:hint="eastAsia" w:ascii="仿宋" w:hAnsi="仿宋" w:eastAsia="仿宋" w:cs="仿宋"/>
          <w:color w:val="FF0000"/>
          <w:sz w:val="24"/>
          <w:highlight w:val="none"/>
          <w:lang w:eastAsia="zh-CN"/>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highlight w:val="none"/>
          <w:lang w:eastAsia="zh-CN"/>
          <w14:textFill>
            <w14:solidFill>
              <w14:schemeClr w14:val="tx1"/>
            </w14:solidFill>
          </w14:textFill>
        </w:rPr>
        <w:t>施女士</w:t>
      </w:r>
    </w:p>
    <w:p>
      <w:pPr>
        <w:spacing w:line="336" w:lineRule="auto"/>
        <w:rPr>
          <w:rFonts w:hint="default" w:ascii="仿宋" w:hAnsi="仿宋" w:eastAsia="仿宋" w:cs="仿宋"/>
          <w:color w:val="FF0000"/>
          <w:sz w:val="24"/>
          <w:highlight w:val="none"/>
          <w:lang w:val="en-US" w:eastAsia="zh-CN"/>
        </w:rPr>
      </w:pPr>
      <w:r>
        <w:rPr>
          <w:rFonts w:hint="eastAsia" w:ascii="仿宋" w:hAnsi="仿宋" w:eastAsia="仿宋" w:cs="仿宋"/>
          <w:color w:val="FF0000"/>
          <w:sz w:val="24"/>
          <w:highlight w:val="none"/>
        </w:rPr>
        <w:t xml:space="preserve">    </w:t>
      </w: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0575-83793093</w:t>
      </w:r>
    </w:p>
    <w:p>
      <w:pPr>
        <w:pStyle w:val="8"/>
        <w:numPr>
          <w:ilvl w:val="0"/>
          <w:numId w:val="0"/>
        </w:numPr>
        <w:spacing w:line="336" w:lineRule="auto"/>
        <w:ind w:firstLine="482" w:firstLineChars="200"/>
        <w:rPr>
          <w:rFonts w:ascii="仿宋" w:eastAsia="仿宋" w:cs="仿宋"/>
          <w:color w:val="000000" w:themeColor="text1"/>
          <w:sz w:val="24"/>
          <w:highlight w:val="none"/>
          <w14:textFill>
            <w14:solidFill>
              <w14:schemeClr w14:val="tx1"/>
            </w14:solidFill>
          </w14:textFill>
        </w:rPr>
      </w:pPr>
      <w:bookmarkStart w:id="42" w:name="_Toc35393807"/>
      <w:bookmarkStart w:id="43" w:name="_Toc28359097"/>
      <w:bookmarkStart w:id="44" w:name="_Toc28359020"/>
      <w:bookmarkStart w:id="45" w:name="_Toc35393638"/>
      <w:r>
        <w:rPr>
          <w:rFonts w:hint="eastAsia" w:ascii="仿宋" w:eastAsia="仿宋" w:cs="仿宋"/>
          <w:color w:val="000000" w:themeColor="text1"/>
          <w:sz w:val="24"/>
          <w:szCs w:val="24"/>
          <w:highlight w:val="none"/>
          <w14:textFill>
            <w14:solidFill>
              <w14:schemeClr w14:val="tx1"/>
            </w14:solidFill>
          </w14:textFill>
        </w:rPr>
        <w:t>2.采购代理机构信息</w:t>
      </w:r>
      <w:bookmarkEnd w:id="42"/>
      <w:bookmarkEnd w:id="43"/>
      <w:bookmarkEnd w:id="44"/>
      <w:bookmarkEnd w:id="45"/>
      <w:r>
        <w:rPr>
          <w:rFonts w:hint="eastAsia" w:ascii="仿宋" w:eastAsia="仿宋" w:cs="仿宋"/>
          <w:color w:val="000000" w:themeColor="text1"/>
          <w:sz w:val="24"/>
          <w:szCs w:val="24"/>
          <w:highlight w:val="none"/>
          <w14:textFill>
            <w14:solidFill>
              <w14:schemeClr w14:val="tx1"/>
            </w14:solidFill>
          </w14:textFill>
        </w:rPr>
        <w:t>：</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泾清项目管理有限公司</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址：嵊州市三江街道领带园二路和创园2号楼4楼2415          </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项目联系人（询问）：张女士</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项目联系方式（询问）：0575-89300689 </w:t>
      </w:r>
      <w:bookmarkStart w:id="46" w:name="_Toc35393808"/>
      <w:bookmarkStart w:id="47" w:name="_Toc35393639"/>
      <w:bookmarkStart w:id="48" w:name="_Toc28359021"/>
      <w:bookmarkStart w:id="49" w:name="_Toc28359098"/>
    </w:p>
    <w:p>
      <w:pPr>
        <w:spacing w:line="336" w:lineRule="auto"/>
        <w:ind w:firstLine="48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同级政府采购监督管理部门：            </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bookmarkEnd w:id="46"/>
      <w:bookmarkEnd w:id="47"/>
      <w:bookmarkEnd w:id="48"/>
      <w:bookmarkEnd w:id="49"/>
      <w:r>
        <w:rPr>
          <w:rFonts w:hint="eastAsia" w:ascii="仿宋" w:hAnsi="仿宋" w:eastAsia="仿宋" w:cs="仿宋"/>
          <w:color w:val="000000" w:themeColor="text1"/>
          <w:sz w:val="24"/>
          <w:highlight w:val="none"/>
          <w14:textFill>
            <w14:solidFill>
              <w14:schemeClr w14:val="tx1"/>
            </w14:solidFill>
          </w14:textFill>
        </w:rPr>
        <w:t>名    称：嵊州市政府采购管理办公室</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auto"/>
          <w:sz w:val="24"/>
        </w:rPr>
        <w:t>浙江省绍兴市嵊州市三江街道国资综合大楼1004室</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：陈老师</w:t>
      </w:r>
    </w:p>
    <w:p>
      <w:pPr>
        <w:spacing w:line="336"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w:t>
      </w:r>
      <w:r>
        <w:rPr>
          <w:rFonts w:hint="eastAsia" w:ascii="仿宋" w:hAnsi="仿宋" w:eastAsia="仿宋" w:cs="仿宋"/>
          <w:sz w:val="24"/>
        </w:rPr>
        <w:t>0575-83032507</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pPr>
        <w:spacing w:line="336"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pStyle w:val="5"/>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5"/>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5"/>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5"/>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5"/>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rPr>
      </w:pPr>
    </w:p>
    <w:p>
      <w:pPr>
        <w:adjustRightInd/>
        <w:spacing w:line="336"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textWrapping"/>
      </w:r>
      <w:r>
        <w:rPr>
          <w:rFonts w:hint="eastAsia" w:ascii="仿宋" w:hAnsi="仿宋" w:eastAsia="仿宋" w:cs="仿宋"/>
          <w:b/>
          <w:color w:val="000000" w:themeColor="text1"/>
          <w:sz w:val="36"/>
          <w:szCs w:val="20"/>
          <w:highlight w:val="none"/>
          <w14:textFill>
            <w14:solidFill>
              <w14:schemeClr w14:val="tx1"/>
            </w14:solidFill>
          </w14:textFill>
        </w:rPr>
        <w:br w:type="textWrapping"/>
      </w:r>
      <w:r>
        <w:rPr>
          <w:rFonts w:hint="eastAsia" w:ascii="仿宋" w:hAnsi="仿宋" w:eastAsia="仿宋" w:cs="仿宋"/>
          <w:b/>
          <w:color w:val="000000" w:themeColor="text1"/>
          <w:sz w:val="36"/>
          <w:szCs w:val="20"/>
          <w:highlight w:val="none"/>
          <w14:textFill>
            <w14:solidFill>
              <w14:schemeClr w14:val="tx1"/>
            </w14:solidFill>
          </w14:textFill>
        </w:rPr>
        <w:br w:type="textWrapping"/>
      </w:r>
    </w:p>
    <w:bookmarkEnd w:id="7"/>
    <w:bookmarkEnd w:id="8"/>
    <w:bookmarkEnd w:id="9"/>
    <w:p>
      <w:pPr>
        <w:adjustRightInd/>
        <w:spacing w:line="336"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供应商须知</w:t>
      </w:r>
    </w:p>
    <w:p>
      <w:pPr>
        <w:adjustRightInd/>
        <w:spacing w:line="336"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前附表</w:t>
      </w:r>
    </w:p>
    <w:tbl>
      <w:tblPr>
        <w:tblStyle w:val="63"/>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03"/>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8371" w:type="dxa"/>
            <w:gridSpan w:val="2"/>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371" w:type="dxa"/>
            <w:gridSpan w:val="2"/>
            <w:vAlign w:val="center"/>
          </w:tcPr>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磋商响应人应当提交的资格、资信证明文件</w:t>
            </w: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371" w:type="dxa"/>
            <w:gridSpan w:val="2"/>
            <w:vAlign w:val="center"/>
          </w:tcPr>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资格审查方式：</w:t>
            </w:r>
          </w:p>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1.资格后审。</w:t>
            </w:r>
          </w:p>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2.法定代表人的被授权委托人必须是供应商单位职工。需在</w:t>
            </w:r>
            <w:r>
              <w:rPr>
                <w:rFonts w:hint="eastAsia" w:ascii="仿宋" w:hAnsi="仿宋" w:eastAsia="仿宋" w:cs="仿宋"/>
                <w:b/>
                <w:color w:val="000000" w:themeColor="text1"/>
                <w:sz w:val="24"/>
                <w:highlight w:val="none"/>
                <w:lang w:eastAsia="zh-CN"/>
                <w14:textFill>
                  <w14:solidFill>
                    <w14:schemeClr w14:val="tx1"/>
                  </w14:solidFill>
                </w14:textFill>
              </w:rPr>
              <w:t>磋商</w:t>
            </w:r>
            <w:r>
              <w:rPr>
                <w:rFonts w:hint="eastAsia" w:ascii="仿宋" w:hAnsi="仿宋" w:eastAsia="仿宋" w:cs="仿宋"/>
                <w:b/>
                <w:color w:val="000000" w:themeColor="text1"/>
                <w:sz w:val="24"/>
                <w:highlight w:val="none"/>
                <w14:textFill>
                  <w14:solidFill>
                    <w14:schemeClr w14:val="tx1"/>
                  </w14:solidFill>
                </w14:textFill>
              </w:rPr>
              <w:t>响应文件技术部分内提供由社保机构出具的该授权代表的社保证明（1.如该授权代表为离退休返聘人员的，</w:t>
            </w:r>
            <w:r>
              <w:rPr>
                <w:rFonts w:hint="eastAsia" w:ascii="仿宋" w:hAnsi="仿宋" w:eastAsia="仿宋" w:cs="仿宋"/>
                <w:b/>
                <w:color w:val="000000" w:themeColor="text1"/>
                <w:sz w:val="24"/>
                <w:highlight w:val="none"/>
                <w:lang w:eastAsia="zh-CN"/>
                <w14:textFill>
                  <w14:solidFill>
                    <w14:schemeClr w14:val="tx1"/>
                  </w14:solidFill>
                </w14:textFill>
              </w:rPr>
              <w:t>磋商</w:t>
            </w:r>
            <w:r>
              <w:rPr>
                <w:rFonts w:hint="eastAsia" w:ascii="仿宋" w:hAnsi="仿宋" w:eastAsia="仿宋" w:cs="仿宋"/>
                <w:b/>
                <w:color w:val="000000" w:themeColor="text1"/>
                <w:sz w:val="24"/>
                <w:highlight w:val="none"/>
                <w14:textFill>
                  <w14:solidFill>
                    <w14:schemeClr w14:val="tx1"/>
                  </w14:solidFill>
                </w14:textFill>
              </w:rPr>
              <w:t>响应文件技术部分内需提供退休证明及单位聘用证明;2.如由第三方代理社保事项的，则需提供加盖</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371" w:type="dxa"/>
            <w:gridSpan w:val="2"/>
            <w:vAlign w:val="center"/>
          </w:tcPr>
          <w:p>
            <w:pPr>
              <w:autoSpaceDE w:val="0"/>
              <w:autoSpaceDN w:val="0"/>
              <w:spacing w:line="336" w:lineRule="auto"/>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磋商有效期：</w:t>
            </w:r>
            <w:r>
              <w:rPr>
                <w:rFonts w:hint="eastAsia" w:ascii="仿宋" w:hAnsi="仿宋" w:eastAsia="仿宋" w:cs="仿宋"/>
                <w:color w:val="000000" w:themeColor="text1"/>
                <w:sz w:val="24"/>
                <w:highlight w:val="none"/>
                <w14:textFill>
                  <w14:solidFill>
                    <w14:schemeClr w14:val="tx1"/>
                  </w14:solidFill>
                </w14:textFill>
              </w:rPr>
              <w:t>有效期为从提交磋商响应文件的截止之日起90天。</w:t>
            </w:r>
            <w:r>
              <w:rPr>
                <w:rFonts w:hint="eastAsia" w:ascii="仿宋" w:hAnsi="仿宋" w:eastAsia="仿宋" w:cs="仿宋"/>
                <w:b/>
                <w:color w:val="000000" w:themeColor="text1"/>
                <w:sz w:val="24"/>
                <w:highlight w:val="none"/>
                <w14:textFill>
                  <w14:solidFill>
                    <w14:schemeClr w14:val="tx1"/>
                  </w14:solidFill>
                </w14:textFill>
              </w:rPr>
              <w:t>磋商响应人的磋商文件中承</w:t>
            </w:r>
            <w:r>
              <w:rPr>
                <w:rFonts w:hint="eastAsia" w:ascii="仿宋" w:hAnsi="仿宋" w:eastAsia="仿宋" w:cs="仿宋"/>
                <w:b/>
                <w:color w:val="000000" w:themeColor="text1"/>
                <w:sz w:val="24"/>
                <w:szCs w:val="21"/>
                <w:highlight w:val="none"/>
                <w14:textFill>
                  <w14:solidFill>
                    <w14:schemeClr w14:val="tx1"/>
                  </w14:solidFill>
                </w14:textFill>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371" w:type="dxa"/>
            <w:gridSpan w:val="2"/>
            <w:vAlign w:val="center"/>
          </w:tcPr>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转包：</w:t>
            </w:r>
            <w:r>
              <w:rPr>
                <w:rFonts w:hint="eastAsia" w:ascii="仿宋" w:hAnsi="仿宋" w:eastAsia="仿宋" w:cs="仿宋"/>
                <w:color w:val="000000" w:themeColor="text1"/>
                <w:sz w:val="24"/>
                <w:highlight w:val="none"/>
                <w14:textFill>
                  <w14:solidFill>
                    <w14:schemeClr w14:val="tx1"/>
                  </w14:solidFill>
                </w14:textFill>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371" w:type="dxa"/>
            <w:gridSpan w:val="2"/>
            <w:vAlign w:val="center"/>
          </w:tcPr>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pPr>
              <w:spacing w:line="336" w:lineRule="auto"/>
              <w:ind w:firstLine="720" w:firstLineChars="3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371" w:type="dxa"/>
            <w:gridSpan w:val="2"/>
            <w:vAlign w:val="center"/>
          </w:tcPr>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磋商响应文件份数：</w:t>
            </w:r>
            <w:r>
              <w:rPr>
                <w:rFonts w:hint="eastAsia" w:ascii="仿宋" w:hAnsi="仿宋" w:eastAsia="仿宋" w:cs="仿宋"/>
                <w:color w:val="000000" w:themeColor="text1"/>
                <w:sz w:val="24"/>
                <w:highlight w:val="none"/>
                <w14:textFill>
                  <w14:solidFill>
                    <w14:schemeClr w14:val="tx1"/>
                  </w14:solidFill>
                </w14:textFill>
              </w:rPr>
              <w:t>本项目实行网上磋商，供应商于“政采云”上提供电子磋商响应文件。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371" w:type="dxa"/>
            <w:gridSpan w:val="2"/>
            <w:vAlign w:val="center"/>
          </w:tcPr>
          <w:p>
            <w:pPr>
              <w:autoSpaceDE w:val="0"/>
              <w:autoSpaceDN w:val="0"/>
              <w:spacing w:line="336" w:lineRule="auto"/>
              <w:textAlignment w:val="bottom"/>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磋商次序：</w:t>
            </w:r>
            <w:r>
              <w:rPr>
                <w:rFonts w:hint="eastAsia" w:ascii="仿宋" w:hAnsi="仿宋" w:eastAsia="仿宋" w:cs="仿宋"/>
                <w:color w:val="000000" w:themeColor="text1"/>
                <w:kern w:val="0"/>
                <w:sz w:val="24"/>
                <w:highlight w:val="none"/>
                <w:lang w:val="zh-CN"/>
                <w14:textFill>
                  <w14:solidFill>
                    <w14:schemeClr w14:val="tx1"/>
                  </w14:solidFill>
                </w14:textFill>
              </w:rPr>
              <w:t>以政采云平台中</w:t>
            </w:r>
            <w:r>
              <w:rPr>
                <w:rFonts w:hint="eastAsia" w:ascii="仿宋" w:hAnsi="仿宋" w:eastAsia="仿宋" w:cs="仿宋"/>
                <w:bCs/>
                <w:color w:val="000000" w:themeColor="text1"/>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val="zh-CN"/>
                <w14:textFill>
                  <w14:solidFill>
                    <w14:schemeClr w14:val="tx1"/>
                  </w14:solidFill>
                </w14:textFill>
              </w:rPr>
              <w:t>文件解密时间的先后顺序为准。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371" w:type="dxa"/>
            <w:gridSpan w:val="2"/>
            <w:vAlign w:val="center"/>
          </w:tcPr>
          <w:p>
            <w:pPr>
              <w:autoSpaceDE w:val="0"/>
              <w:autoSpaceDN w:val="0"/>
              <w:spacing w:line="336" w:lineRule="auto"/>
              <w:textAlignment w:val="bottom"/>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不组织。</w:t>
            </w:r>
          </w:p>
          <w:p>
            <w:pPr>
              <w:autoSpaceDE w:val="0"/>
              <w:autoSpaceDN w:val="0"/>
              <w:spacing w:line="336" w:lineRule="auto"/>
              <w:textAlignment w:val="bottom"/>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1303" w:type="dxa"/>
            <w:vAlign w:val="center"/>
          </w:tcPr>
          <w:p>
            <w:pPr>
              <w:snapToGrid w:val="0"/>
              <w:spacing w:line="336" w:lineRule="auto"/>
              <w:ind w:left="14" w:hanging="14" w:hangingChars="7"/>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项目属性与核心产品</w:t>
            </w:r>
          </w:p>
        </w:tc>
        <w:tc>
          <w:tcPr>
            <w:tcW w:w="7068" w:type="dxa"/>
            <w:vAlign w:val="center"/>
          </w:tcPr>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p>
        </w:tc>
        <w:tc>
          <w:tcPr>
            <w:tcW w:w="1303" w:type="dxa"/>
            <w:vAlign w:val="center"/>
          </w:tcPr>
          <w:p>
            <w:pPr>
              <w:snapToGrid w:val="0"/>
              <w:spacing w:line="336" w:lineRule="auto"/>
              <w:ind w:hanging="1"/>
              <w:jc w:val="center"/>
              <w:rPr>
                <w:rFonts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采购标的对应的中小企业划分标准所属行业</w:t>
            </w:r>
          </w:p>
        </w:tc>
        <w:tc>
          <w:tcPr>
            <w:tcW w:w="7068" w:type="dxa"/>
            <w:vAlign w:val="center"/>
          </w:tcPr>
          <w:p>
            <w:pPr>
              <w:snapToGrid w:val="0"/>
              <w:spacing w:line="336"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2025崇仁镇“古越山水 崇启芳华”文化旅游活动暨音乐嘉年华采购项目(表演活动、组织、宣传及辅助服务）</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其他未列明行业</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9" w:type="dxa"/>
            <w:vMerge w:val="restart"/>
            <w:vAlign w:val="center"/>
          </w:tcPr>
          <w:p>
            <w:pPr>
              <w:spacing w:line="336"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303" w:type="dxa"/>
            <w:vMerge w:val="restart"/>
            <w:vAlign w:val="center"/>
          </w:tcPr>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供应商信用信息事项</w:t>
            </w:r>
          </w:p>
        </w:tc>
        <w:tc>
          <w:tcPr>
            <w:tcW w:w="7068" w:type="dxa"/>
            <w:vAlign w:val="center"/>
          </w:tcPr>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信用信息查询渠道及截止时间：</w:t>
            </w:r>
            <w:r>
              <w:rPr>
                <w:rFonts w:hint="eastAsia" w:ascii="仿宋" w:hAnsi="仿宋" w:eastAsia="仿宋" w:cs="仿宋"/>
                <w:color w:val="000000" w:themeColor="text1"/>
                <w:sz w:val="24"/>
                <w:highlight w:val="none"/>
                <w14:textFill>
                  <w14:solidFill>
                    <w14:schemeClr w14:val="tx1"/>
                  </w14:solidFill>
                </w14:textFill>
              </w:rPr>
              <w:t>采购人或采购人委托的磋商小组或采购代理机构将通过“信用中国”网站(www.creditchina.gov.cn)、中国政府采购网(www.ccgp.gov.cn)渠道查询</w:t>
            </w:r>
            <w:r>
              <w:rPr>
                <w:rFonts w:hint="eastAsia" w:ascii="仿宋" w:hAnsi="仿宋" w:eastAsia="仿宋" w:cs="仿宋"/>
                <w:b/>
                <w:color w:val="000000" w:themeColor="text1"/>
                <w:sz w:val="24"/>
                <w:highlight w:val="none"/>
                <w14:textFill>
                  <w14:solidFill>
                    <w14:schemeClr w14:val="tx1"/>
                  </w14:solidFill>
                </w14:textFill>
              </w:rPr>
              <w:t>磋商当天</w:t>
            </w:r>
            <w:r>
              <w:rPr>
                <w:rFonts w:hint="eastAsia" w:ascii="仿宋" w:hAnsi="仿宋" w:eastAsia="仿宋" w:cs="仿宋"/>
                <w:color w:val="000000" w:themeColor="text1"/>
                <w:sz w:val="24"/>
                <w:highlight w:val="none"/>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69" w:type="dxa"/>
            <w:vMerge w:val="continue"/>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p>
        </w:tc>
        <w:tc>
          <w:tcPr>
            <w:tcW w:w="1303" w:type="dxa"/>
            <w:vMerge w:val="continue"/>
            <w:vAlign w:val="center"/>
          </w:tcPr>
          <w:p>
            <w:pPr>
              <w:snapToGrid w:val="0"/>
              <w:spacing w:line="336" w:lineRule="auto"/>
              <w:rPr>
                <w:rFonts w:ascii="仿宋" w:hAnsi="仿宋" w:eastAsia="仿宋" w:cs="仿宋"/>
                <w:b/>
                <w:color w:val="000000" w:themeColor="text1"/>
                <w:sz w:val="24"/>
                <w:highlight w:val="none"/>
                <w14:textFill>
                  <w14:solidFill>
                    <w14:schemeClr w14:val="tx1"/>
                  </w14:solidFill>
                </w14:textFill>
              </w:rPr>
            </w:pPr>
          </w:p>
        </w:tc>
        <w:tc>
          <w:tcPr>
            <w:tcW w:w="7068" w:type="dxa"/>
            <w:vAlign w:val="center"/>
          </w:tcPr>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信用信息查询记录和证据留存的具体方式：</w:t>
            </w:r>
            <w:r>
              <w:rPr>
                <w:rFonts w:hint="eastAsia" w:ascii="仿宋" w:hAnsi="仿宋" w:eastAsia="仿宋" w:cs="仿宋"/>
                <w:color w:val="000000" w:themeColor="text1"/>
                <w:sz w:val="24"/>
                <w:highlight w:val="none"/>
                <w14:textFill>
                  <w14:solidFill>
                    <w14:schemeClr w14:val="tx1"/>
                  </w14:solidFill>
                </w14:textFill>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9" w:type="dxa"/>
            <w:vMerge w:val="continue"/>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p>
        </w:tc>
        <w:tc>
          <w:tcPr>
            <w:tcW w:w="1303" w:type="dxa"/>
            <w:vMerge w:val="continue"/>
            <w:vAlign w:val="center"/>
          </w:tcPr>
          <w:p>
            <w:pPr>
              <w:snapToGrid w:val="0"/>
              <w:spacing w:line="336" w:lineRule="auto"/>
              <w:rPr>
                <w:rFonts w:ascii="仿宋" w:hAnsi="仿宋" w:eastAsia="仿宋" w:cs="仿宋"/>
                <w:b/>
                <w:color w:val="000000" w:themeColor="text1"/>
                <w:sz w:val="24"/>
                <w:highlight w:val="none"/>
                <w14:textFill>
                  <w14:solidFill>
                    <w14:schemeClr w14:val="tx1"/>
                  </w14:solidFill>
                </w14:textFill>
              </w:rPr>
            </w:pPr>
          </w:p>
        </w:tc>
        <w:tc>
          <w:tcPr>
            <w:tcW w:w="7068" w:type="dxa"/>
            <w:vAlign w:val="center"/>
          </w:tcPr>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信用信息的使用规则：</w:t>
            </w:r>
            <w:r>
              <w:rPr>
                <w:rFonts w:hint="eastAsia" w:ascii="仿宋" w:hAnsi="仿宋" w:eastAsia="仿宋" w:cs="仿宋"/>
                <w:color w:val="000000" w:themeColor="text1"/>
                <w:sz w:val="24"/>
                <w:highlight w:val="none"/>
                <w14:textFill>
                  <w14:solidFill>
                    <w14:schemeClr w14:val="tx1"/>
                  </w14:solidFill>
                </w14:textFill>
              </w:rPr>
              <w:t>经查询列入失信被执行人名单、重大税收违法案件当事人名单、政府采购严重违法失信行为记录名单的供应商将被拒绝参与政府采购活动。</w:t>
            </w:r>
          </w:p>
          <w:p>
            <w:pPr>
              <w:snapToGrid w:val="0"/>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8371" w:type="dxa"/>
            <w:gridSpan w:val="2"/>
            <w:vAlign w:val="center"/>
          </w:tcPr>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8371" w:type="dxa"/>
            <w:gridSpan w:val="2"/>
            <w:vAlign w:val="center"/>
          </w:tcPr>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8371" w:type="dxa"/>
            <w:gridSpan w:val="2"/>
            <w:vAlign w:val="center"/>
          </w:tcPr>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磋商注意事项：</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1.本项目实行网上磋商，采用电子磋商响应文件。若供应商参与磋商，自行承担磋商一切费用。</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注：供应商CA相关操作可参考政采云平台</w:t>
            </w:r>
            <w:r>
              <w:rPr>
                <w:rFonts w:hint="eastAsia" w:ascii="仿宋" w:hAnsi="仿宋" w:eastAsia="仿宋" w:cs="仿宋"/>
                <w:color w:val="000000" w:themeColor="text1"/>
                <w:highlight w:val="none"/>
                <w14:textFill>
                  <w14:solidFill>
                    <w14:schemeClr w14:val="tx1"/>
                  </w14:solidFill>
                </w14:textFill>
              </w:rPr>
              <w:t>https://www.zcygov.cn/</w:t>
            </w:r>
            <w:r>
              <w:rPr>
                <w:rFonts w:hint="eastAsia" w:ascii="仿宋" w:hAnsi="仿宋" w:eastAsia="仿宋" w:cs="仿宋"/>
                <w:color w:val="000000" w:themeColor="text1"/>
                <w:sz w:val="24"/>
                <w:highlight w:val="none"/>
                <w14:textFill>
                  <w14:solidFill>
                    <w14:schemeClr w14:val="tx1"/>
                  </w14:solidFill>
                </w14:textFill>
              </w:rPr>
              <w:t>《CA申领操作指南》和《CA管理操作指南》。完成CA数字证书办理在资料齐全的情况下预计7个工作日左右，建议供应商获取磋商文件后立即办理。</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3.磋商响应文件制作、递交、解密：</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000000" w:themeColor="text1"/>
                <w:sz w:val="24"/>
                <w:highlight w:val="none"/>
                <w:lang w:eastAsia="zh-CN"/>
                <w14:textFill>
                  <w14:solidFill>
                    <w14:schemeClr w14:val="tx1"/>
                  </w14:solidFill>
                </w14:textFill>
              </w:rPr>
              <w:t>95763</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36"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3.2供应商通过“政采云”平台制作电子磋商响应文件，磋商响应文件制作详见“供应商-政府采购项目电子交易操作指南”。</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3.3响应文件开启后30分钟内供应商可以登录“政采云”平台，用“项目采购-开标评标”功能进行解密磋商响应文件。若供应商</w:t>
            </w:r>
            <w:r>
              <w:rPr>
                <w:rFonts w:hint="eastAsia" w:ascii="仿宋" w:hAnsi="仿宋" w:eastAsia="仿宋" w:cs="仿宋"/>
                <w:b/>
                <w:color w:val="000000" w:themeColor="text1"/>
                <w:sz w:val="24"/>
                <w:highlight w:val="none"/>
                <w:u w:val="single"/>
                <w14:textFill>
                  <w14:solidFill>
                    <w14:schemeClr w14:val="tx1"/>
                  </w14:solidFill>
                </w14:textFill>
              </w:rPr>
              <w:t>未按时解密的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u w:val="single"/>
                <w14:textFill>
                  <w14:solidFill>
                    <w14:schemeClr w14:val="tx1"/>
                  </w14:solidFill>
                </w14:textFill>
              </w:rPr>
              <w:t>视为磋商响应文件撤回</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Merge w:val="restart"/>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8371" w:type="dxa"/>
            <w:gridSpan w:val="2"/>
            <w:vAlign w:val="center"/>
          </w:tcPr>
          <w:p>
            <w:pPr>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Merge w:val="continue"/>
            <w:vAlign w:val="center"/>
          </w:tcPr>
          <w:p>
            <w:pPr>
              <w:spacing w:line="336" w:lineRule="auto"/>
              <w:jc w:val="center"/>
              <w:rPr>
                <w:rFonts w:ascii="仿宋" w:hAnsi="仿宋" w:eastAsia="仿宋" w:cs="仿宋"/>
                <w:color w:val="000000" w:themeColor="text1"/>
                <w:sz w:val="24"/>
                <w:highlight w:val="none"/>
                <w14:textFill>
                  <w14:solidFill>
                    <w14:schemeClr w14:val="tx1"/>
                  </w14:solidFill>
                </w14:textFill>
              </w:rPr>
            </w:pPr>
          </w:p>
        </w:tc>
        <w:tc>
          <w:tcPr>
            <w:tcW w:w="8371" w:type="dxa"/>
            <w:gridSpan w:val="2"/>
            <w:vAlign w:val="center"/>
          </w:tcPr>
          <w:p>
            <w:pPr>
              <w:spacing w:line="336" w:lineRule="auto"/>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t>联合体磋商的，联合体各方均需按磋商文件第五部分评审标准要求提供资信证明文件，否则视为不符合相关要求。</w:t>
            </w:r>
          </w:p>
          <w:p>
            <w:pPr>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t>联合体磋商的，联合体中有一方或者联合体成员根据分工按磋商文件第五部分评审标准要求提供资信证明文件的，视为符合了相关要求。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napToGrid w:val="0"/>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p>
        </w:tc>
        <w:tc>
          <w:tcPr>
            <w:tcW w:w="8371" w:type="dxa"/>
            <w:gridSpan w:val="2"/>
            <w:vAlign w:val="center"/>
          </w:tcPr>
          <w:p>
            <w:pPr>
              <w:spacing w:line="336"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采购代理服务费：</w:t>
            </w:r>
          </w:p>
          <w:p>
            <w:pPr>
              <w:pStyle w:val="6"/>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采购人须向</w:t>
            </w:r>
            <w:r>
              <w:rPr>
                <w:rFonts w:hint="eastAsia" w:ascii="仿宋" w:hAnsi="仿宋" w:eastAsia="仿宋" w:cs="仿宋"/>
                <w:snapToGrid w:val="0"/>
                <w:kern w:val="28"/>
                <w:sz w:val="24"/>
                <w:szCs w:val="24"/>
                <w:lang w:val="en-US" w:eastAsia="zh-CN" w:bidi="ar-SA"/>
              </w:rPr>
              <w:t>采购代理机构按如下标准和规定交纳成交服务费：</w:t>
            </w:r>
          </w:p>
          <w:p>
            <w:pPr>
              <w:keepNext w:val="0"/>
              <w:keepLines w:val="0"/>
              <w:numPr>
                <w:ilvl w:val="0"/>
                <w:numId w:val="0"/>
              </w:numPr>
              <w:suppressLineNumbers w:val="0"/>
              <w:spacing w:before="0" w:beforeAutospacing="0" w:after="0" w:afterAutospacing="0" w:line="440" w:lineRule="exact"/>
              <w:ind w:left="0" w:right="0"/>
              <w:rPr>
                <w:rFonts w:hint="eastAsia" w:ascii="仿宋" w:hAnsi="仿宋" w:eastAsia="仿宋" w:cs="仿宋"/>
                <w:color w:val="auto"/>
                <w:sz w:val="24"/>
                <w:szCs w:val="24"/>
              </w:rPr>
            </w:pPr>
            <w:r>
              <w:rPr>
                <w:rFonts w:hint="eastAsia" w:ascii="仿宋" w:hAnsi="仿宋" w:eastAsia="仿宋" w:cs="仿宋"/>
                <w:snapToGrid w:val="0"/>
                <w:kern w:val="28"/>
                <w:sz w:val="24"/>
                <w:szCs w:val="24"/>
                <w:lang w:val="en-US" w:eastAsia="zh-CN" w:bidi="ar-SA"/>
              </w:rPr>
              <w:t>①</w:t>
            </w:r>
            <w:r>
              <w:rPr>
                <w:rFonts w:hint="eastAsia" w:ascii="仿宋" w:hAnsi="仿宋" w:eastAsia="仿宋" w:cs="仿宋"/>
                <w:color w:val="auto"/>
                <w:sz w:val="24"/>
                <w:szCs w:val="24"/>
              </w:rPr>
              <w:t>采购代理服务费：以标项中标金额为计算基数，采用差额定率累进计费方式，按以下标准费率计算值的 100%收取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费率标准如下：</w:t>
            </w:r>
          </w:p>
          <w:tbl>
            <w:tblPr>
              <w:tblStyle w:val="64"/>
              <w:tblW w:w="5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金额（万元）</w:t>
                  </w:r>
                </w:p>
              </w:tc>
              <w:tc>
                <w:tcPr>
                  <w:tcW w:w="2838" w:type="dxa"/>
                  <w:noWrap w:val="0"/>
                  <w:vAlign w:val="top"/>
                </w:tcPr>
                <w:p>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100（含）及以下部分</w:t>
                  </w:r>
                </w:p>
              </w:tc>
              <w:tc>
                <w:tcPr>
                  <w:tcW w:w="2838" w:type="dxa"/>
                  <w:noWrap w:val="0"/>
                  <w:vAlign w:val="top"/>
                </w:tcPr>
                <w:p>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4" w:type="dxa"/>
                  <w:noWrap w:val="0"/>
                  <w:vAlign w:val="top"/>
                </w:tcPr>
                <w:p>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100～500 之间部分</w:t>
                  </w:r>
                </w:p>
              </w:tc>
              <w:tc>
                <w:tcPr>
                  <w:tcW w:w="2838" w:type="dxa"/>
                  <w:noWrap w:val="0"/>
                  <w:vAlign w:val="top"/>
                </w:tcPr>
                <w:p>
                  <w:pPr>
                    <w:widowControl w:val="0"/>
                    <w:autoSpaceDE w:val="0"/>
                    <w:autoSpaceDN w:val="0"/>
                    <w:snapToGrid w:val="0"/>
                    <w:spacing w:line="400" w:lineRule="exact"/>
                    <w:textAlignment w:val="bottom"/>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0.8%</w:t>
                  </w:r>
                </w:p>
              </w:tc>
            </w:tr>
          </w:tbl>
          <w:p>
            <w:pPr>
              <w:pStyle w:val="6"/>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②用银行支票、电汇、现金等付款方式直接交纳代理服务费。</w:t>
            </w:r>
          </w:p>
          <w:p>
            <w:pPr>
              <w:spacing w:line="33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公司名称：泾清项目管理有限公司嵊州分公司</w:t>
            </w:r>
          </w:p>
          <w:p>
            <w:pPr>
              <w:spacing w:line="33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开户行：中国工商银行嵊州市支行</w:t>
            </w:r>
          </w:p>
          <w:p>
            <w:pPr>
              <w:spacing w:line="336"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kern w:val="28"/>
                <w:sz w:val="24"/>
                <w:szCs w:val="24"/>
                <w:lang w:val="en-US" w:eastAsia="zh-CN" w:bidi="ar-SA"/>
              </w:rPr>
              <w:t>账  号：1211026009200295337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注：成交候选供应商放弃成交资格或因质疑、投诉被取消成交资格或不能履行合同的，本项目应重新开展采购活动。</w:t>
            </w:r>
          </w:p>
        </w:tc>
      </w:tr>
    </w:tbl>
    <w:p>
      <w:pPr>
        <w:snapToGrid w:val="0"/>
        <w:spacing w:line="336" w:lineRule="auto"/>
        <w:jc w:val="center"/>
        <w:rPr>
          <w:rFonts w:ascii="仿宋" w:hAnsi="仿宋" w:eastAsia="仿宋" w:cs="仿宋"/>
          <w:b/>
          <w:color w:val="000000" w:themeColor="text1"/>
          <w:sz w:val="32"/>
          <w:szCs w:val="20"/>
          <w:highlight w:val="none"/>
          <w14:textFill>
            <w14:solidFill>
              <w14:schemeClr w14:val="tx1"/>
            </w14:solidFill>
          </w14:textFill>
        </w:rPr>
      </w:pPr>
    </w:p>
    <w:p>
      <w:pPr>
        <w:adjustRightInd/>
        <w:spacing w:line="336"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36" w:lineRule="auto"/>
        <w:ind w:firstLine="482" w:firstLineChars="200"/>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36" w:lineRule="auto"/>
        <w:ind w:firstLine="480" w:firstLineChars="200"/>
        <w:jc w:val="left"/>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pPr>
        <w:adjustRightInd/>
        <w:spacing w:line="336" w:lineRule="auto"/>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“采购代理机构”系指磋商邀请公告中载明的本项目的采购代理机构。</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“投标人”“供应商”系指响应磋商、参加本次竞争的法人、其他组织或自然人。</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2.4“监督单位”系指磋商邀请公告中载明的本项目的法定义监督管理部门</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2.5“负责人”系指法人企业的法定负责人，或其他组织为法律、行政法规规定代表单位行使职权的主要负责人，或自然人本人。</w:t>
      </w:r>
    </w:p>
    <w:p>
      <w:pPr>
        <w:spacing w:line="336"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“电子交易平台”系指本项目政府采购活动所依托的政府采购云平台（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71"/>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71"/>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”系指适用本项目的要求，“☐”系指不适用本项目的要求。</w:t>
      </w:r>
    </w:p>
    <w:p>
      <w:pPr>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spacing w:line="44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采购人拟采购的产品属于政府强制采购的节能产品品目清单范围的，磋商响应人未按磋商文件要求提供国家确定的认证机构出具的、处于有效期之内的节能产品认证证书，磋商无效。</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w:t>
      </w:r>
      <w:r>
        <w:rPr>
          <w:rFonts w:hint="eastAsia" w:ascii="仿宋" w:hAnsi="仿宋" w:eastAsia="仿宋" w:cs="仿宋"/>
          <w:bCs/>
          <w:color w:val="000000" w:themeColor="text1"/>
          <w:sz w:val="24"/>
          <w:highlight w:val="none"/>
          <w14:textFill>
            <w14:solidFill>
              <w14:schemeClr w14:val="tx1"/>
            </w14:solidFill>
          </w14:textFill>
        </w:rPr>
        <w:t>小微</w:t>
      </w:r>
      <w:r>
        <w:rPr>
          <w:rFonts w:hint="eastAsia" w:ascii="仿宋" w:hAnsi="仿宋" w:eastAsia="仿宋" w:cs="仿宋"/>
          <w:color w:val="000000" w:themeColor="text1"/>
          <w:sz w:val="24"/>
          <w:highlight w:val="none"/>
          <w14:textFill>
            <w14:solidFill>
              <w14:schemeClr w14:val="tx1"/>
            </w14:solidFill>
          </w14:textFill>
        </w:rPr>
        <w:t>企业价格扣除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按财库〔2022〕19号文件规定执行</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44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3.3.1小微企业是指</w:t>
      </w:r>
      <w:r>
        <w:rPr>
          <w:rFonts w:hint="eastAsia" w:ascii="仿宋" w:hAnsi="仿宋" w:eastAsia="仿宋" w:cs="仿宋"/>
          <w:bCs/>
          <w:color w:val="000000" w:themeColor="text1"/>
          <w:sz w:val="24"/>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符合中小企业划分标准的个体工商户，在政府采购活动中视同中小企业。</w:t>
      </w:r>
    </w:p>
    <w:p>
      <w:pPr>
        <w:spacing w:line="44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3.3.2在货物采购项目中，货物由小微企业制造，即货物由小微企业生产且使用该小微企业商号或者注册商标。</w:t>
      </w:r>
      <w:r>
        <w:rPr>
          <w:rFonts w:hint="eastAsia" w:ascii="仿宋" w:hAnsi="仿宋" w:eastAsia="仿宋" w:cs="仿宋"/>
          <w:b/>
          <w:bCs/>
          <w:color w:val="000000" w:themeColor="text1"/>
          <w:sz w:val="24"/>
          <w:highlight w:val="none"/>
          <w14:textFill>
            <w14:solidFill>
              <w14:schemeClr w14:val="tx1"/>
            </w14:solidFill>
          </w14:textFill>
        </w:rPr>
        <w:t>供应商提供的货物既有中小企业制造货物，也有大型企业制造货物的，不享受中小企业扶持政策。</w:t>
      </w:r>
    </w:p>
    <w:p>
      <w:pPr>
        <w:spacing w:line="44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3.3.3在服务采购项目中，服务由小微企业承接，即提供服务的人员为小微企业依照《中华人民共和国劳动合同法》订立劳动合同的从业人员。</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3.3.4小微企业应按照磋商文件格式要求提供《中小企业声明函》。</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以联合体形式参加政府采购活动， 联合体各方均为中小企业的，联合体视同中小企业。其中，联合体各方均为小微企业的，联合体视同小微企业。</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3.3.7符合《关于促进残疾人就业政府采购政策的通知》（财库〔2017〕141号）规定的条件并提供《残疾人福利性单位声明函》的残疾人福利性单位视同小微企业；</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★4.特别说明：</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4.1供应商磋商所使用的资格、信誉、荣誉与企业认证必须为本单位所拥有。供应商磋商所使用的项目实施人员必须为本单位正式员工。</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4.2供应商应仔细阅读磋商文件的所有内容，按照磋商文件的要求提交磋商响应文件，并对所提供的全部资料的真实性承担法律责任。</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pPr>
        <w:snapToGrid w:val="0"/>
        <w:spacing w:line="336" w:lineRule="auto"/>
        <w:ind w:firstLine="643" w:firstLineChars="200"/>
        <w:jc w:val="left"/>
        <w:rPr>
          <w:rFonts w:ascii="仿宋" w:hAnsi="仿宋" w:eastAsia="仿宋" w:cs="仿宋"/>
          <w:b/>
          <w:color w:val="000000" w:themeColor="text1"/>
          <w:sz w:val="32"/>
          <w:szCs w:val="32"/>
          <w:highlight w:val="none"/>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二、磋商文件</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政府采购方式</w:t>
      </w:r>
    </w:p>
    <w:p>
      <w:pPr>
        <w:snapToGrid w:val="0"/>
        <w:spacing w:line="336"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1.1 本项目采用</w:t>
      </w:r>
      <w:r>
        <w:rPr>
          <w:rFonts w:hint="eastAsia" w:ascii="仿宋" w:hAnsi="仿宋" w:eastAsia="仿宋" w:cs="仿宋"/>
          <w:b/>
          <w:color w:val="000000" w:themeColor="text1"/>
          <w:kern w:val="0"/>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方式进行。</w:t>
      </w:r>
    </w:p>
    <w:p>
      <w:pPr>
        <w:snapToGrid w:val="0"/>
        <w:spacing w:line="336"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1.2 如某一标项实质性响应磋商文件的供应商不足三家时，由采购人重新组织开展采购活动或按有关规定实施。</w:t>
      </w:r>
    </w:p>
    <w:p>
      <w:pPr>
        <w:snapToGrid w:val="0"/>
        <w:spacing w:line="336" w:lineRule="auto"/>
        <w:ind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本次竞争性磋商设定上限价，上限价即谈判公告中公布的各分标项预算金额。（各分标项之间的预算金额不能互相调整）</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2.磋商委托</w:t>
      </w:r>
    </w:p>
    <w:p>
      <w:pPr>
        <w:pStyle w:val="19"/>
        <w:tabs>
          <w:tab w:val="clear" w:pos="390"/>
        </w:tabs>
        <w:spacing w:line="336" w:lineRule="auto"/>
        <w:ind w:left="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本项目为电子磋商项目，供应商的法定代表人或其授权代表或个体工商户不需要参加现场磋商和开标。</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3.磋商费用</w:t>
      </w:r>
    </w:p>
    <w:p>
      <w:pPr>
        <w:pStyle w:val="19"/>
        <w:tabs>
          <w:tab w:val="clear" w:pos="390"/>
        </w:tabs>
        <w:spacing w:line="336" w:lineRule="auto"/>
        <w:ind w:left="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供应商应自行承担编制磋商响应文件及参加本次磋商所涉及的一切费用。不管磋商结果如何，采购人对上述费用不负任何责任。</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4.磋商文件</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 </w:t>
      </w:r>
      <w:r>
        <w:rPr>
          <w:rFonts w:hint="eastAsia" w:ascii="仿宋" w:hAnsi="仿宋" w:eastAsia="仿宋" w:cs="仿宋"/>
          <w:bCs/>
          <w:color w:val="000000" w:themeColor="text1"/>
          <w:sz w:val="24"/>
          <w:highlight w:val="none"/>
          <w14:textFill>
            <w14:solidFill>
              <w14:schemeClr w14:val="tx1"/>
            </w14:solidFill>
          </w14:textFill>
        </w:rPr>
        <w:t>磋商文件包括本磋商文件及所有的磋商答疑记录（澄清、修改）和发出的补充通知</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4.2磋商文件的澄清 </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供应商对磋商文件如有疑点要求澄清，可用书面形式（包括并不仅限于纸质、信件和数据电文（包括电报、电传、传真、电子数据交换和电子邮件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等通知采购人，但通知不得迟于磋商截止前7日使采购人收到，采购人将用书面形式予以答复。如有必要，可将不说明来源的答复发给所有供应商。</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4.3磋商文件的修改</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4.4本项目各标段内，如出现打有“★”的指标为实质性指标，任意一条出现负偏离的均视同为实质性不响应磋商文件要求，作无效磋商处理。</w:t>
      </w:r>
    </w:p>
    <w:p>
      <w:pPr>
        <w:pStyle w:val="5"/>
        <w:spacing w:line="336" w:lineRule="auto"/>
        <w:rPr>
          <w:rFonts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36"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三、响应文件</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1.响应文件的语言及计量单位</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1.1供应商应仔细阅读磋商文件中的所有内容，按照磋商文件要求，详细编制响应文件，并保证响应文件的正确性和真实性。</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响应文件以及供应商与采购人、采购代理机构就有关磋商事宜的所有来往函电，均应以中文书写（技术术语除外）。</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磋商计量单位，除磋商文件中有特殊要求外，应采用中华人民共和国法定计量单位，货币单位：人民币元。</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1.4不按磋商文件的要求提供的响应文件可能导致被拒绝。</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1.5响应文件的形式和效力</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1.5.1磋商响应文件为电子响应文件，电子响应文件按“政采云供应商项目采购-电子招投标操作指南”及本磋商文件要求制作、加密传输。</w:t>
      </w:r>
    </w:p>
    <w:p>
      <w:pPr>
        <w:snapToGrid w:val="0"/>
        <w:spacing w:line="336" w:lineRule="auto"/>
        <w:ind w:firstLine="482" w:firstLineChars="200"/>
        <w:jc w:val="left"/>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1.5.2响应文件的效力：</w:t>
      </w:r>
    </w:p>
    <w:p>
      <w:pPr>
        <w:snapToGrid w:val="0"/>
        <w:spacing w:line="336" w:lineRule="auto"/>
        <w:ind w:firstLine="482" w:firstLineChars="200"/>
        <w:jc w:val="left"/>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磋商响应文件未在磋商截止时间前完成传输的，视为磋商响应文件撤回；磋商响应文件未按时解密，亦视为响应文件撤回。</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磋商文件由“</w:t>
      </w:r>
      <w:r>
        <w:rPr>
          <w:rFonts w:hint="eastAsia" w:ascii="仿宋" w:hAnsi="仿宋" w:eastAsia="仿宋" w:cs="仿宋"/>
          <w:color w:val="000000" w:themeColor="text1"/>
          <w:sz w:val="24"/>
          <w:highlight w:val="none"/>
          <w:lang w:val="zh-CN"/>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商务技术文件</w:t>
      </w:r>
      <w:r>
        <w:rPr>
          <w:rFonts w:hint="eastAsia" w:ascii="仿宋" w:hAnsi="仿宋" w:eastAsia="仿宋" w:cs="仿宋"/>
          <w:color w:val="000000" w:themeColor="text1"/>
          <w:sz w:val="24"/>
          <w:highlight w:val="none"/>
          <w14:textFill>
            <w14:solidFill>
              <w14:schemeClr w14:val="tx1"/>
            </w14:solidFill>
          </w14:textFill>
        </w:rPr>
        <w:t>资料”、“报价文件资料”三部分组成，其中</w:t>
      </w:r>
      <w:r>
        <w:rPr>
          <w:rFonts w:hint="eastAsia" w:ascii="仿宋" w:hAnsi="仿宋" w:eastAsia="仿宋" w:cs="仿宋"/>
          <w:b/>
          <w:color w:val="000000" w:themeColor="text1"/>
          <w:sz w:val="24"/>
          <w:highlight w:val="none"/>
          <w14:textFill>
            <w14:solidFill>
              <w14:schemeClr w14:val="tx1"/>
            </w14:solidFill>
          </w14:textFill>
        </w:rPr>
        <w:t>电子磋商响应文件中所须加盖公章部分均应采用电子签章。</w:t>
      </w:r>
    </w:p>
    <w:p>
      <w:pPr>
        <w:snapToGrid w:val="0"/>
        <w:spacing w:line="336" w:lineRule="auto"/>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
          <w:color w:val="000000" w:themeColor="text1"/>
          <w:sz w:val="24"/>
          <w:highlight w:val="none"/>
          <w:lang w:val="zh-CN"/>
          <w14:textFill>
            <w14:solidFill>
              <w14:schemeClr w14:val="tx1"/>
            </w14:solidFill>
          </w14:textFill>
        </w:rPr>
        <w:t>.1资格文件：</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2.1.1符合参加政府采购活动应当具备的一般条件的承诺函；</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2.1.2联合协议（如果有)；</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落实政府采购政策需满足的资格要求（如果有)；</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本项目的特定资格要求（如果有)。</w:t>
      </w:r>
    </w:p>
    <w:p>
      <w:pPr>
        <w:snapToGrid w:val="0"/>
        <w:spacing w:line="336" w:lineRule="auto"/>
        <w:ind w:firstLine="482" w:firstLineChars="200"/>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2商务技术</w:t>
      </w:r>
      <w:r>
        <w:rPr>
          <w:rFonts w:hint="eastAsia" w:ascii="仿宋" w:hAnsi="仿宋" w:eastAsia="仿宋" w:cs="仿宋"/>
          <w:b/>
          <w:color w:val="000000" w:themeColor="text1"/>
          <w:sz w:val="24"/>
          <w:highlight w:val="none"/>
          <w:lang w:val="zh-CN"/>
          <w14:textFill>
            <w14:solidFill>
              <w14:schemeClr w14:val="tx1"/>
            </w14:solidFill>
          </w14:textFill>
        </w:rPr>
        <w:t>文件：</w:t>
      </w:r>
    </w:p>
    <w:p>
      <w:pPr>
        <w:snapToGrid w:val="0"/>
        <w:spacing w:line="336"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2.2.1响应函；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36"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2.2.2法定代表人授权委托书；</w:t>
      </w:r>
    </w:p>
    <w:p>
      <w:pPr>
        <w:snapToGrid w:val="0"/>
        <w:spacing w:line="336"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2.2.3法定代表人及其授权代表身份证复印件</w:t>
      </w:r>
      <w:r>
        <w:rPr>
          <w:rFonts w:hint="eastAsia" w:ascii="仿宋" w:hAnsi="仿宋" w:eastAsia="仿宋" w:cs="仿宋"/>
          <w:color w:val="000000" w:themeColor="text1"/>
          <w:sz w:val="24"/>
          <w:highlight w:val="none"/>
          <w:lang w:eastAsia="zh-CN"/>
          <w14:textFill>
            <w14:solidFill>
              <w14:schemeClr w14:val="tx1"/>
            </w14:solidFill>
          </w14:textFill>
        </w:rPr>
        <w:t>；</w:t>
      </w:r>
    </w:p>
    <w:p>
      <w:pPr>
        <w:snapToGrid w:val="0"/>
        <w:spacing w:line="336"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授权代表社保证明；</w:t>
      </w:r>
    </w:p>
    <w:p>
      <w:pPr>
        <w:snapToGrid w:val="0"/>
        <w:spacing w:line="336"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法定代表人身份证明书；</w:t>
      </w:r>
    </w:p>
    <w:p>
      <w:pPr>
        <w:snapToGrid w:val="0"/>
        <w:spacing w:line="336"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2.2.6商务技术偏离表;</w:t>
      </w:r>
    </w:p>
    <w:p>
      <w:pPr>
        <w:snapToGrid w:val="0"/>
        <w:spacing w:line="336"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2.2.7廉政承诺书；</w:t>
      </w:r>
    </w:p>
    <w:p>
      <w:pPr>
        <w:snapToGrid w:val="0"/>
        <w:spacing w:line="336"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2.2.8</w:t>
      </w:r>
      <w:r>
        <w:rPr>
          <w:rFonts w:hint="eastAsia" w:ascii="仿宋" w:hAnsi="仿宋" w:eastAsia="仿宋" w:cs="仿宋"/>
          <w:color w:val="auto"/>
          <w:sz w:val="24"/>
          <w:highlight w:val="none"/>
          <w:lang w:val="en-US" w:eastAsia="zh-CN"/>
        </w:rPr>
        <w:t>主要业绩；</w:t>
      </w:r>
    </w:p>
    <w:p>
      <w:pPr>
        <w:snapToGrid w:val="0"/>
        <w:spacing w:line="336"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2.2.9</w:t>
      </w:r>
      <w:r>
        <w:rPr>
          <w:rFonts w:hint="eastAsia" w:ascii="仿宋" w:hAnsi="仿宋" w:eastAsia="仿宋" w:cs="仿宋"/>
          <w:color w:val="auto"/>
          <w:kern w:val="0"/>
          <w:sz w:val="24"/>
        </w:rPr>
        <w:t>项目小组人员名单</w:t>
      </w:r>
      <w:r>
        <w:rPr>
          <w:rFonts w:hint="eastAsia" w:ascii="仿宋" w:hAnsi="仿宋" w:eastAsia="仿宋" w:cs="仿宋"/>
          <w:color w:val="auto"/>
          <w:kern w:val="0"/>
          <w:sz w:val="24"/>
          <w:lang w:eastAsia="zh-CN"/>
        </w:rPr>
        <w:t>；</w:t>
      </w:r>
    </w:p>
    <w:p>
      <w:pPr>
        <w:snapToGrid w:val="0"/>
        <w:spacing w:line="336" w:lineRule="auto"/>
        <w:ind w:firstLine="480" w:firstLineChars="200"/>
        <w:rPr>
          <w:rFonts w:hint="eastAsia" w:ascii="仿宋" w:hAnsi="仿宋" w:eastAsia="仿宋" w:cs="仿宋"/>
          <w:color w:val="000000" w:themeColor="text1"/>
          <w:sz w:val="24"/>
          <w:highlight w:val="none"/>
          <w:u w:val="wav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u w:val="wave"/>
          <w14:textFill>
            <w14:solidFill>
              <w14:schemeClr w14:val="tx1"/>
            </w14:solidFill>
          </w14:textFill>
        </w:rPr>
        <w:t>未尽事宜请各</w:t>
      </w:r>
      <w:r>
        <w:rPr>
          <w:rFonts w:hint="eastAsia" w:ascii="仿宋" w:hAnsi="仿宋" w:eastAsia="仿宋" w:cs="仿宋"/>
          <w:color w:val="000000" w:themeColor="text1"/>
          <w:sz w:val="24"/>
          <w:highlight w:val="none"/>
          <w:u w:val="wave"/>
          <w:lang w:eastAsia="zh-CN"/>
          <w14:textFill>
            <w14:solidFill>
              <w14:schemeClr w14:val="tx1"/>
            </w14:solidFill>
          </w14:textFill>
        </w:rPr>
        <w:t>磋商响应</w:t>
      </w:r>
      <w:r>
        <w:rPr>
          <w:rFonts w:hint="eastAsia" w:ascii="仿宋" w:hAnsi="仿宋" w:eastAsia="仿宋" w:cs="仿宋"/>
          <w:color w:val="000000" w:themeColor="text1"/>
          <w:sz w:val="24"/>
          <w:highlight w:val="none"/>
          <w:u w:val="wave"/>
          <w14:textFill>
            <w14:solidFill>
              <w14:schemeClr w14:val="tx1"/>
            </w14:solidFill>
          </w14:textFill>
        </w:rPr>
        <w:t>单位按评分标准和相对应标项相关要求制作；</w:t>
      </w:r>
    </w:p>
    <w:p>
      <w:pPr>
        <w:snapToGrid w:val="0"/>
        <w:spacing w:line="336" w:lineRule="auto"/>
        <w:ind w:firstLine="480" w:firstLineChars="200"/>
        <w:rPr>
          <w:rFonts w:hint="default"/>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需要说明的其他文件和说明（格式自拟）。</w:t>
      </w:r>
    </w:p>
    <w:p>
      <w:pPr>
        <w:adjustRightInd/>
        <w:snapToGrid w:val="0"/>
        <w:spacing w:line="336" w:lineRule="auto"/>
        <w:ind w:firstLine="482" w:firstLineChars="200"/>
        <w:jc w:val="left"/>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仿宋" w:hAnsi="仿宋" w:eastAsia="仿宋" w:cs="仿宋"/>
          <w:b/>
          <w:bCs/>
          <w:i w:val="0"/>
          <w:iCs w:val="0"/>
          <w:color w:val="000000" w:themeColor="text1"/>
          <w:kern w:val="2"/>
          <w:sz w:val="24"/>
          <w:szCs w:val="24"/>
          <w:highlight w:val="none"/>
          <w:vertAlign w:val="baseline"/>
          <w:lang w:val="zh-CN" w:eastAsia="zh-CN" w:bidi="ar-SA"/>
          <w14:textFill>
            <w14:solidFill>
              <w14:schemeClr w14:val="tx1"/>
            </w14:solidFill>
          </w14:textFill>
        </w:rPr>
        <w:t xml:space="preserve">2.3报价文件： </w:t>
      </w:r>
    </w:p>
    <w:p>
      <w:pPr>
        <w:adjustRightInd/>
        <w:snapToGrid w:val="0"/>
        <w:spacing w:line="336" w:lineRule="auto"/>
        <w:ind w:firstLine="480" w:firstLineChars="200"/>
        <w:jc w:val="left"/>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2.3.1磋商一览表（报价表）；</w:t>
      </w:r>
    </w:p>
    <w:p>
      <w:pPr>
        <w:adjustRightInd w:val="0"/>
        <w:snapToGrid w:val="0"/>
        <w:spacing w:line="336" w:lineRule="auto"/>
        <w:ind w:firstLine="480" w:firstLineChars="200"/>
        <w:jc w:val="both"/>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2.3.2中小企业声明函</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（如有）；</w:t>
      </w:r>
    </w:p>
    <w:p>
      <w:pPr>
        <w:autoSpaceDE w:val="0"/>
        <w:autoSpaceDN w:val="0"/>
        <w:adjustRightInd w:val="0"/>
        <w:spacing w:line="240" w:lineRule="auto"/>
        <w:ind w:firstLine="480" w:firstLineChars="200"/>
        <w:jc w:val="left"/>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sz w:val="24"/>
          <w:szCs w:val="24"/>
          <w:highlight w:val="none"/>
          <w:vertAlign w:val="baseline"/>
          <w:lang w:val="en-US" w:eastAsia="zh-CN" w:bidi="ar-SA"/>
          <w14:textFill>
            <w14:solidFill>
              <w14:schemeClr w14:val="tx1"/>
            </w14:solidFill>
          </w14:textFill>
        </w:rPr>
        <w:t xml:space="preserve">2.3.3 </w:t>
      </w:r>
      <w:r>
        <w:rPr>
          <w:rFonts w:hint="default" w:ascii="仿宋_GB2312" w:hAnsi="宋体" w:eastAsia="仿宋_GB2312" w:cs="仿宋_GB2312"/>
          <w:b w:val="0"/>
          <w:bCs w:val="0"/>
          <w:i w:val="0"/>
          <w:iCs w:val="0"/>
          <w:color w:val="000000" w:themeColor="text1"/>
          <w:sz w:val="24"/>
          <w:szCs w:val="24"/>
          <w:highlight w:val="none"/>
          <w:vertAlign w:val="baseline"/>
          <w:lang w:val="en-US" w:eastAsia="zh-CN" w:bidi="ar-SA"/>
          <w14:textFill>
            <w14:solidFill>
              <w14:schemeClr w14:val="tx1"/>
            </w14:solidFill>
          </w14:textFill>
        </w:rPr>
        <w:t>残疾人福利性单位声明函</w:t>
      </w:r>
      <w:r>
        <w:rPr>
          <w:rFonts w:hint="eastAsia" w:ascii="仿宋_GB2312" w:hAnsi="宋体" w:eastAsia="仿宋_GB2312" w:cs="仿宋_GB2312"/>
          <w:b w:val="0"/>
          <w:bCs w:val="0"/>
          <w:i w:val="0"/>
          <w:iCs w:val="0"/>
          <w:color w:val="000000" w:themeColor="text1"/>
          <w:sz w:val="24"/>
          <w:szCs w:val="24"/>
          <w:highlight w:val="none"/>
          <w:vertAlign w:val="baseline"/>
          <w:lang w:val="en-US" w:eastAsia="zh-CN" w:bidi="ar-SA"/>
          <w14:textFill>
            <w14:solidFill>
              <w14:schemeClr w14:val="tx1"/>
            </w14:solidFill>
          </w14:textFill>
        </w:rPr>
        <w:t>（如有）。</w:t>
      </w:r>
    </w:p>
    <w:p>
      <w:pPr>
        <w:adjustRightInd w:val="0"/>
        <w:snapToGrid w:val="0"/>
        <w:spacing w:line="336" w:lineRule="auto"/>
        <w:ind w:firstLine="482" w:firstLineChars="200"/>
        <w:jc w:val="both"/>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3.</w:t>
      </w:r>
      <w:r>
        <w:rPr>
          <w:rFonts w:hint="eastAsia" w:ascii="仿宋" w:hAnsi="仿宋" w:eastAsia="仿宋" w:cs="仿宋"/>
          <w:b/>
          <w:bCs/>
          <w:i w:val="0"/>
          <w:iCs w:val="0"/>
          <w:color w:val="000000" w:themeColor="text1"/>
          <w:kern w:val="2"/>
          <w:sz w:val="24"/>
          <w:szCs w:val="24"/>
          <w:highlight w:val="none"/>
          <w:vertAlign w:val="baseline"/>
          <w:lang w:val="zh-CN" w:eastAsia="zh-CN" w:bidi="ar-SA"/>
          <w14:textFill>
            <w14:solidFill>
              <w14:schemeClr w14:val="tx1"/>
            </w14:solidFill>
          </w14:textFill>
        </w:rPr>
        <w:t>磋商</w:t>
      </w:r>
      <w:r>
        <w:rPr>
          <w:rFonts w:hint="default" w:ascii="仿宋" w:hAnsi="仿宋" w:eastAsia="仿宋" w:cs="仿宋"/>
          <w:b/>
          <w:bCs/>
          <w:i w:val="0"/>
          <w:iCs w:val="0"/>
          <w:color w:val="000000" w:themeColor="text1"/>
          <w:kern w:val="2"/>
          <w:sz w:val="24"/>
          <w:szCs w:val="24"/>
          <w:highlight w:val="none"/>
          <w:vertAlign w:val="baseline"/>
          <w:lang w:val="zh-CN" w:eastAsia="zh-CN" w:bidi="ar-SA"/>
          <w14:textFill>
            <w14:solidFill>
              <w14:schemeClr w14:val="tx1"/>
            </w14:solidFill>
          </w14:textFill>
        </w:rPr>
        <w:t>报价</w:t>
      </w:r>
    </w:p>
    <w:p>
      <w:pPr>
        <w:adjustRightInd w:val="0"/>
        <w:snapToGrid w:val="0"/>
        <w:spacing w:line="336" w:lineRule="auto"/>
        <w:ind w:firstLine="480" w:firstLineChars="200"/>
        <w:jc w:val="both"/>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3.1报价为采购人可以合格使用产品的价格，包括货款、包装、运输、保险、货到就位以及安装、调试、培训、保修及产品知识产权等一切费用。</w:t>
      </w:r>
    </w:p>
    <w:p>
      <w:pPr>
        <w:adjustRightInd w:val="0"/>
        <w:snapToGrid w:val="0"/>
        <w:spacing w:line="336" w:lineRule="auto"/>
        <w:ind w:firstLine="480" w:firstLineChars="200"/>
        <w:jc w:val="both"/>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3.2磋商文件未列明，而供应商认为必需的费用也需列入报价。</w:t>
      </w:r>
    </w:p>
    <w:p>
      <w:pPr>
        <w:adjustRightInd w:val="0"/>
        <w:snapToGrid w:val="0"/>
        <w:spacing w:line="336" w:lineRule="auto"/>
        <w:ind w:firstLine="480" w:firstLineChars="200"/>
        <w:jc w:val="both"/>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3.2磋商报价只允许有一个报价，有选择的报价将不予接受（除指定外）。</w:t>
      </w:r>
    </w:p>
    <w:p>
      <w:pPr>
        <w:adjustRightInd w:val="0"/>
        <w:snapToGrid w:val="0"/>
        <w:spacing w:line="336" w:lineRule="auto"/>
        <w:ind w:firstLine="480" w:firstLineChars="200"/>
        <w:jc w:val="both"/>
        <w:rPr>
          <w:rFonts w:hint="eastAsia" w:ascii="仿宋" w:hAnsi="仿宋" w:eastAsia="仿宋" w:cs="仿宋"/>
          <w:b/>
          <w:color w:val="000000" w:themeColor="text1"/>
          <w:sz w:val="24"/>
          <w:highlight w:val="none"/>
          <w:lang w:val="zh-CN"/>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3.3供应商提供虚假材料磋商的，磋商无效。</w:t>
      </w:r>
    </w:p>
    <w:p>
      <w:pPr>
        <w:pStyle w:val="3"/>
        <w:spacing w:line="336" w:lineRule="auto"/>
        <w:ind w:firstLine="482" w:firstLineChars="200"/>
        <w:rPr>
          <w:rFonts w:ascii="仿宋" w:hAnsi="仿宋" w:eastAsia="仿宋" w:cs="仿宋"/>
          <w:b/>
          <w:color w:val="000000" w:themeColor="text1"/>
          <w:sz w:val="24"/>
          <w:szCs w:val="24"/>
          <w:highlight w:val="none"/>
          <w14:textFill>
            <w14:solidFill>
              <w14:schemeClr w14:val="tx1"/>
            </w14:solidFill>
          </w14:textFill>
        </w:rPr>
      </w:pPr>
      <w:r>
        <w:rPr>
          <w:rFonts w:hint="default" w:ascii="仿宋" w:hAnsi="仿宋" w:eastAsia="仿宋" w:cs="仿宋"/>
          <w:b/>
          <w:color w:val="000000" w:themeColor="text1"/>
          <w:sz w:val="24"/>
          <w:szCs w:val="24"/>
          <w:highlight w:val="none"/>
          <w:lang w:val="en-US"/>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 xml:space="preserve"> 响应文件的编制和签署</w:t>
      </w:r>
    </w:p>
    <w:p>
      <w:pPr>
        <w:spacing w:line="336"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default" w:ascii="仿宋" w:hAnsi="仿宋" w:eastAsia="仿宋" w:cs="仿宋"/>
          <w:color w:val="000000" w:themeColor="text1"/>
          <w:kern w:val="0"/>
          <w:sz w:val="24"/>
          <w:highlight w:val="none"/>
          <w:lang w:val="en-US"/>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336"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default" w:ascii="仿宋" w:hAnsi="仿宋" w:eastAsia="仿宋" w:cs="仿宋"/>
          <w:color w:val="000000" w:themeColor="text1"/>
          <w:kern w:val="0"/>
          <w:sz w:val="24"/>
          <w:highlight w:val="none"/>
          <w:lang w:val="en-US"/>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.2供应商进行电子交易应安装客户端软件—“政采云电子交易客户端”，并按照磋商文件和电子交易平台的要求编制并加密响应文件。供应商未按规定加密的响应文件，电子交易平台将拒收并提示。</w:t>
      </w:r>
    </w:p>
    <w:p>
      <w:pPr>
        <w:spacing w:line="336"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default" w:ascii="仿宋" w:hAnsi="仿宋" w:eastAsia="仿宋" w:cs="仿宋"/>
          <w:color w:val="000000" w:themeColor="text1"/>
          <w:kern w:val="0"/>
          <w:sz w:val="24"/>
          <w:highlight w:val="none"/>
          <w:lang w:val="en-US"/>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pStyle w:val="397"/>
        <w:snapToGrid w:val="0"/>
        <w:spacing w:before="0" w:line="336" w:lineRule="auto"/>
        <w:ind w:firstLine="480"/>
        <w:rPr>
          <w:rFonts w:ascii="仿宋" w:hAnsi="仿宋" w:eastAsia="仿宋" w:cs="仿宋"/>
          <w:b/>
          <w:color w:val="000000" w:themeColor="text1"/>
          <w:highlight w:val="none"/>
          <w14:textFill>
            <w14:solidFill>
              <w14:schemeClr w14:val="tx1"/>
            </w14:solidFill>
          </w14:textFill>
        </w:rPr>
      </w:pPr>
      <w:r>
        <w:rPr>
          <w:rFonts w:hint="default" w:ascii="仿宋" w:hAnsi="仿宋" w:eastAsia="仿宋" w:cs="仿宋"/>
          <w:color w:val="000000" w:themeColor="text1"/>
          <w:szCs w:val="24"/>
          <w:highlight w:val="none"/>
          <w:lang w:val="en-US"/>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.4响应文件按照磋商文件第六部分格式要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pPr>
        <w:pStyle w:val="397"/>
        <w:snapToGrid w:val="0"/>
        <w:spacing w:before="0" w:line="336" w:lineRule="auto"/>
        <w:ind w:firstLine="480"/>
        <w:rPr>
          <w:rFonts w:ascii="仿宋" w:hAnsi="仿宋" w:eastAsia="仿宋" w:cs="仿宋"/>
          <w:color w:val="000000" w:themeColor="text1"/>
          <w:highlight w:val="none"/>
          <w14:textFill>
            <w14:solidFill>
              <w14:schemeClr w14:val="tx1"/>
            </w14:solidFill>
          </w14:textFill>
        </w:rPr>
      </w:pPr>
      <w:r>
        <w:rPr>
          <w:rFonts w:hint="default" w:ascii="仿宋" w:hAnsi="仿宋" w:eastAsia="仿宋" w:cs="仿宋"/>
          <w:color w:val="000000" w:themeColor="text1"/>
          <w:szCs w:val="24"/>
          <w:highlight w:val="none"/>
          <w:lang w:val="en-US"/>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.5为确保网上操作合法、有效和安全，供应商应当在响应截止时间前完成在“政府采购云平台”的身份认证，确保在电子交易过程中能够对相关数据电文进行加密和使用电子签名。</w:t>
      </w:r>
    </w:p>
    <w:p>
      <w:pPr>
        <w:pStyle w:val="397"/>
        <w:snapToGrid w:val="0"/>
        <w:spacing w:before="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default" w:ascii="仿宋" w:hAnsi="仿宋" w:eastAsia="仿宋" w:cs="仿宋"/>
          <w:color w:val="000000" w:themeColor="text1"/>
          <w:highlight w:val="none"/>
          <w:lang w:val="en-US"/>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6磋商文件对响应文件签署、盖章的要求适用于电子签名。</w:t>
      </w:r>
    </w:p>
    <w:p>
      <w:pPr>
        <w:pStyle w:val="397"/>
        <w:spacing w:before="0" w:line="336" w:lineRule="auto"/>
        <w:ind w:firstLine="482" w:firstLineChars="200"/>
        <w:rPr>
          <w:rFonts w:ascii="仿宋" w:hAnsi="仿宋" w:eastAsia="仿宋" w:cs="仿宋"/>
          <w:b/>
          <w:color w:val="000000" w:themeColor="text1"/>
          <w:szCs w:val="24"/>
          <w:highlight w:val="none"/>
          <w14:textFill>
            <w14:solidFill>
              <w14:schemeClr w14:val="tx1"/>
            </w14:solidFill>
          </w14:textFill>
        </w:rPr>
      </w:pPr>
      <w:r>
        <w:rPr>
          <w:rFonts w:hint="default" w:ascii="仿宋" w:hAnsi="仿宋" w:eastAsia="仿宋" w:cs="仿宋"/>
          <w:b/>
          <w:color w:val="000000" w:themeColor="text1"/>
          <w:szCs w:val="24"/>
          <w:highlight w:val="none"/>
          <w:lang w:val="en-US"/>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磋商响应文件的提交、补充、修改、撤回</w:t>
      </w:r>
    </w:p>
    <w:p>
      <w:pPr>
        <w:pStyle w:val="397"/>
        <w:spacing w:before="0" w:line="336" w:lineRule="auto"/>
        <w:ind w:firstLine="480"/>
        <w:rPr>
          <w:rFonts w:ascii="仿宋" w:hAnsi="仿宋" w:eastAsia="仿宋" w:cs="仿宋"/>
          <w:color w:val="000000" w:themeColor="text1"/>
          <w:szCs w:val="24"/>
          <w:highlight w:val="none"/>
          <w14:textFill>
            <w14:solidFill>
              <w14:schemeClr w14:val="tx1"/>
            </w14:solidFill>
          </w14:textFill>
        </w:rPr>
      </w:pPr>
      <w:r>
        <w:rPr>
          <w:rFonts w:hint="default" w:ascii="仿宋" w:hAnsi="仿宋" w:eastAsia="仿宋" w:cs="仿宋"/>
          <w:color w:val="000000" w:themeColor="text1"/>
          <w:szCs w:val="24"/>
          <w:highlight w:val="none"/>
          <w:lang w:val="en-US"/>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 在响应截止时间以后，不能补充、修改响应文件。</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3 在提交“最后报价”后，供应商不能退出磋商。</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.4 电子交易平台收到响应文件，将妥善保存并即时向供应商发出确认回执通知。在响应截止时间前，除供应商补充、修改或者撤回响应文件外，任何单位和个人不得解密或提取响应文件。</w:t>
      </w:r>
    </w:p>
    <w:p>
      <w:pPr>
        <w:spacing w:line="336"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.5 采购代理机构可以视情况延长提交响应文件的截止时间。在上述情况下，采购代理机构与供应商以前在响应截止期方面的全部权利、责任和义务，将适用于延长至新的响应截止期。</w:t>
      </w:r>
    </w:p>
    <w:p>
      <w:pPr>
        <w:pStyle w:val="397"/>
        <w:spacing w:before="0" w:line="336" w:lineRule="auto"/>
        <w:ind w:firstLine="420" w:firstLineChars="200"/>
        <w:rPr>
          <w:rFonts w:ascii="仿宋" w:hAnsi="仿宋" w:eastAsia="仿宋" w:cs="仿宋"/>
          <w:b/>
          <w:color w:val="000000" w:themeColor="text1"/>
          <w:szCs w:val="24"/>
          <w:highlight w:val="none"/>
          <w14:textFill>
            <w14:solidFill>
              <w14:schemeClr w14:val="tx1"/>
            </w14:solidFill>
          </w14:textFill>
        </w:rPr>
      </w:pPr>
      <w:r>
        <w:rPr>
          <w:rStyle w:val="73"/>
          <w:color w:val="000000" w:themeColor="text1"/>
          <w:highlight w:val="none"/>
          <w:lang w:val="en-US"/>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磋商响应有效期</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1磋商响应有效期为从提交磋商响应文件的截止之日起90天。供应商的磋商响应文件中承诺的磋商响应有效期少于磋商文件中载明的磋商有效期的，磋商无效。</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2磋商响应文件合格投递后，自磋商截止日期起，在磋商有效期内有效。</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outlineLvl w:val="0"/>
        <w:rPr>
          <w:rFonts w:ascii="仿宋" w:hAnsi="仿宋" w:eastAsia="仿宋" w:cs="仿宋"/>
          <w:b/>
          <w:color w:val="000000" w:themeColor="text1"/>
          <w:sz w:val="32"/>
          <w:szCs w:val="20"/>
          <w:highlight w:val="none"/>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磋商和评审</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1．磋商程序</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1.1响应截止时间后，主持人宣布磋商开始。</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1.2供应商登录政采云平台，用“项目采购-开标评标”功能对电子磋商响应文件进行在线解密。在线解密电子磋商响应文件时间为磋商截止时间起30分钟内。</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1.3确定各供应商磋商、演示顺序（如有要求）。</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1.4磋商小组对磋商响应文件进行评估和比较。</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1.5磋商小组与单一供应商分别进行磋商。</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1.6</w:t>
      </w:r>
      <w:r>
        <w:rPr>
          <w:rFonts w:hint="eastAsia" w:ascii="仿宋" w:hAnsi="仿宋" w:eastAsia="仿宋" w:cs="仿宋"/>
          <w:b/>
          <w:bCs/>
          <w:color w:val="000000" w:themeColor="text1"/>
          <w:sz w:val="24"/>
          <w:highlight w:val="none"/>
          <w14:textFill>
            <w14:solidFill>
              <w14:schemeClr w14:val="tx1"/>
            </w14:solidFill>
          </w14:textFill>
        </w:rPr>
        <w:t>磋商小组要求所有实质性响应的供应商在规定时间内提交最后报价（只公开最后报价，最后报价不得高于初次报价）。</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1.8主持人公布磋商结果。</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特别说明：政采云公司如对电子化磋商程序有调整的，按调整后的程序操作。</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2.采购过程中出现以下情形，导致电子交易平台无法正常运行，或者无法保证电子交易的公平、公正和安全时，采购组织机构可中止电子交易活动：</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2.1电子交易平台发生故障而无法登录访问的； </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2.2电子交易平台应用或数据库出现错误，不能进行正常操作的；</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2.3电子交易平台发现严重安全漏洞，有潜在泄密危险的；</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2.4病毒发作导致不能进行正常操作的； </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2.5其他无法保证电子交易的公平、公正和安全的情况。</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能影响采购公平、公正性的，应当重新采购。</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磋商内容</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3.1本次磋商内容为在磋商文件范围内就供应商的磋商响应文件，磋商小组与供应商在技术、价格、服务、合同等问题进行磋商，最终确定成交与否。</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3.2磋商应作书面记录，供应商并就磋商内容作出书面承诺，并由供应商法定代表人或其授权委托人签字后生效，作为磋商响应文件的一部分。</w:t>
      </w:r>
    </w:p>
    <w:p>
      <w:pPr>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3.3磋商文件有实质性变动的，磋商小组以书面形式通知所有参加磋商的供应商。</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磋商</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4.1磋商小组由采购人依法组建，负责评审活动。磋商小组遵循公开、公平、公正、科学合理、竞争择优的原则。</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4.2磋商小组由采购人代表和有关方面的专家组成，成员人数为3人以上单数。</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4.3磋商小组负责对供应商资格的最终审定。</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4.4磋商小组可以要求供应商对其磋商响应文件中含义不明确的内容作必要的澄清或者说明，但澄清或者说明不得超过磋商响应文件的范围或者改变磋商响应文件的实质性内容。</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供应商通过政采云平台交换的数据电文必须进行电子签章。</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磋商小组</w:t>
      </w:r>
      <w:r>
        <w:rPr>
          <w:rFonts w:hint="eastAsia" w:ascii="仿宋" w:hAnsi="仿宋" w:eastAsia="仿宋" w:cs="仿宋"/>
          <w:color w:val="000000" w:themeColor="text1"/>
          <w:kern w:val="0"/>
          <w:sz w:val="24"/>
          <w:highlight w:val="none"/>
          <w14:textFill>
            <w14:solidFill>
              <w14:schemeClr w14:val="tx1"/>
            </w14:solidFill>
          </w14:textFill>
        </w:rPr>
        <w:t>对磋商响应文件的判定，只依据磋商响应文件和磋商文件内容本身，不依据任何外来证明。</w:t>
      </w:r>
    </w:p>
    <w:p>
      <w:pPr>
        <w:widowControl/>
        <w:snapToGrid w:val="0"/>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4.7磋商小组不向落标方解释落标的原因，不退还磋商响应文件。</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磋商响应文件的初审鉴定</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5.1资格性审查</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5.1.1依据法律、法规和磋商文件规定，对磋商响应文件中对资格证明、磋商保证金等进行审查，以确定供应商是否具备磋商资格。</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5.2符合性审查</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5.3如果磋商响应文件实质不响应磋商文件的各项要求，磋商小组将予以拒绝，并且不允许供应商通过修改或撤销其不符合要求的差异或保留，使之成为具有响应性的磋商。</w:t>
      </w:r>
    </w:p>
    <w:p>
      <w:pPr>
        <w:widowControl/>
        <w:snapToGrid w:val="0"/>
        <w:spacing w:line="336"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6.</w:t>
      </w:r>
      <w:r>
        <w:rPr>
          <w:rFonts w:hint="eastAsia" w:ascii="仿宋" w:hAnsi="仿宋" w:eastAsia="仿宋" w:cs="仿宋"/>
          <w:b/>
          <w:color w:val="000000" w:themeColor="text1"/>
          <w:kern w:val="0"/>
          <w:sz w:val="24"/>
          <w:highlight w:val="none"/>
          <w:lang w:val="en-US" w:eastAsia="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对明显的文字和计算错误的修正原则</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6.1磋商响应文件中报价一览表（报价表）内容与磋商响应文件中相应内容不一致的，以报价一览表（报价表）为准；</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6.2大写金额和小写金额不一致的，以大写金额为准；</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6.3单价金额小数点或者百分比有明显错位的，以报价一览表的总价为准，并修改单价；</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6.4总价金额与按单价汇总金额不一致的，以单价金额计算结果为准。</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同时出现两种以上不一致的，按照前款规定的顺序修正。</w:t>
      </w:r>
      <w:r>
        <w:rPr>
          <w:rFonts w:hint="eastAsia" w:ascii="仿宋" w:hAnsi="仿宋" w:eastAsia="仿宋" w:cs="仿宋"/>
          <w:bCs/>
          <w:color w:val="000000" w:themeColor="text1"/>
          <w:sz w:val="24"/>
          <w:highlight w:val="none"/>
          <w14:textFill>
            <w14:solidFill>
              <w14:schemeClr w14:val="tx1"/>
            </w14:solidFill>
          </w14:textFill>
        </w:rPr>
        <w:t>修正后的报价按照财政部公布第87号令《政府采购货物和服务招标投标管理办法》</w:t>
      </w:r>
      <w:r>
        <w:rPr>
          <w:rFonts w:hint="eastAsia" w:ascii="仿宋" w:hAnsi="仿宋" w:eastAsia="仿宋" w:cs="仿宋"/>
          <w:color w:val="000000" w:themeColor="text1"/>
          <w:sz w:val="24"/>
          <w:highlight w:val="none"/>
          <w14:textFill>
            <w14:solidFill>
              <w14:schemeClr w14:val="tx1"/>
            </w14:solidFill>
          </w14:textFill>
        </w:rPr>
        <w:t>第五十一条第二款的规定经磋商响应人确认后产生约束力，磋商响应人不确认的，其磋商无效。</w:t>
      </w:r>
    </w:p>
    <w:p>
      <w:pPr>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7.磋商响应文件的评审、比较和否决</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7.1磋商小组将对在实质上响应磋商文件要求的磋商响应文件进行评估和比较。</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7.2磋商小组可以书面形式要求供应商就磋商响应文件含义不明确的内容进行书面说明并提供相关材料。</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7.3如发现与磋商文件要求相偏离的，磋商小组应对其偏离情形进行必要的书面核实。</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7.4如属于实质性偏离或符合无效响应条件的，磋商小组应当询问相关供应商，并允许其进行陈述申辩，但不允许对偏离条款撤回。</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7.5比较与评价。磋商小组依据磋商文件规定的评审标准和方法，对磋商响应文件进行商务和技术评估，综合比较与评价。。</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7.6汇总（商务技术得分情况）。磋商小组各成员应当独立对每个供应商的磋商响应文件进行评价，并汇总商务技术得分情况。</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7.7 报价审核。对符合采购需求且通过商务技术（资信）评审的供应商的报价的合理性、准确性等进行审查核实。</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7.7.2根据财政部发布的《政府采购促进中小企业发展暂行办法》规定，对于非专门面向中小企业的项目，对小型和微型企业产品的价格给予一定的扣除，用扣除后的价格参与评审。</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7.7.3如需磋商价格修正，按财政部第87号令第五十九条的规定对磋商价格进行修正。</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7.8磋商小组依据磋商文件规定的评标标准和方法，对磋商响应文件进行评审和比较后，向</w:t>
      </w:r>
      <w:r>
        <w:rPr>
          <w:rFonts w:hint="eastAsia" w:ascii="仿宋" w:hAnsi="仿宋" w:eastAsia="仿宋" w:cs="仿宋"/>
          <w:color w:val="000000" w:themeColor="text1"/>
          <w:sz w:val="24"/>
          <w:highlight w:val="none"/>
          <w:lang w:eastAsia="zh-CN"/>
          <w14:textFill>
            <w14:solidFill>
              <w14:schemeClr w14:val="tx1"/>
            </w14:solidFill>
          </w14:textFill>
        </w:rPr>
        <w:t>采购人或其委托的采购代理机构</w:t>
      </w:r>
      <w:r>
        <w:rPr>
          <w:rFonts w:hint="eastAsia" w:ascii="仿宋" w:hAnsi="仿宋" w:eastAsia="仿宋" w:cs="仿宋"/>
          <w:color w:val="000000" w:themeColor="text1"/>
          <w:sz w:val="24"/>
          <w:highlight w:val="none"/>
          <w14:textFill>
            <w14:solidFill>
              <w14:schemeClr w14:val="tx1"/>
            </w14:solidFill>
          </w14:textFill>
        </w:rPr>
        <w:t>提供书面磋商报告，并按得分高低排序推荐中标候选供应商。</w:t>
      </w:r>
    </w:p>
    <w:p>
      <w:pPr>
        <w:pStyle w:val="19"/>
        <w:tabs>
          <w:tab w:val="clear" w:pos="390"/>
        </w:tabs>
        <w:spacing w:line="336" w:lineRule="auto"/>
        <w:ind w:left="0" w:firstLine="482" w:firstLineChars="20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8.磋商响应文件的澄清</w:t>
      </w:r>
    </w:p>
    <w:p>
      <w:pPr>
        <w:pStyle w:val="19"/>
        <w:tabs>
          <w:tab w:val="clear" w:pos="390"/>
        </w:tabs>
        <w:spacing w:line="336" w:lineRule="auto"/>
        <w:ind w:left="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
        <w:snapToGrid w:val="0"/>
        <w:spacing w:line="336" w:lineRule="auto"/>
        <w:ind w:firstLine="482"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9</w:t>
      </w:r>
      <w:r>
        <w:rPr>
          <w:rFonts w:hint="eastAsia" w:ascii="仿宋" w:hAnsi="仿宋" w:eastAsia="仿宋" w:cs="仿宋"/>
          <w:b/>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无效磋商的情形</w:t>
      </w:r>
    </w:p>
    <w:p>
      <w:pPr>
        <w:tabs>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磋商响应文件有下列情形之一的作无效磋商响应处理：</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9.1磋商响应文件未按照磋商文件规定要求电子签章、签字或盖章的；</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9.2单位负责人为同一人或者存在直接控股、管理关系的不同供应商参加同一合同项下的政府采购活动的（均无效）；</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供应商不具备磋商文件中规定的资格要求的（供应商未提供有效的资格证明文件的，视为其不具备磋商文件中规定的资格要求）；</w:t>
      </w:r>
    </w:p>
    <w:p>
      <w:pPr>
        <w:snapToGrid w:val="0"/>
        <w:spacing w:line="336" w:lineRule="auto"/>
        <w:ind w:firstLine="482" w:firstLineChars="200"/>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kern w:val="0"/>
          <w:sz w:val="24"/>
          <w:highlight w:val="none"/>
          <w14:textFill>
            <w14:solidFill>
              <w14:schemeClr w14:val="tx1"/>
            </w14:solidFill>
          </w14:textFill>
        </w:rPr>
        <w:t>《法定代表人身份证明书》与提供的身份证复印件信息不符的；《法定代表人授权委托书》与提供的身份证复印件信息不符的；</w:t>
      </w:r>
    </w:p>
    <w:p>
      <w:pPr>
        <w:snapToGrid w:val="0"/>
        <w:spacing w:line="336" w:lineRule="auto"/>
        <w:ind w:firstLine="482" w:firstLineChars="200"/>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w:t>
      </w:r>
      <w:r>
        <w:rPr>
          <w:rFonts w:hint="eastAsia" w:ascii="仿宋" w:hAnsi="仿宋" w:eastAsia="仿宋" w:cs="仿宋"/>
          <w:b/>
          <w:color w:val="000000" w:themeColor="text1"/>
          <w:kern w:val="0"/>
          <w:sz w:val="24"/>
          <w:highlight w:val="none"/>
          <w:lang w:val="en-US" w:eastAsia="zh-CN"/>
          <w14:textFill>
            <w14:solidFill>
              <w14:schemeClr w14:val="tx1"/>
            </w14:solidFill>
          </w14:textFill>
        </w:rPr>
        <w:t>5</w:t>
      </w:r>
      <w:r>
        <w:rPr>
          <w:rFonts w:hint="eastAsia" w:ascii="仿宋" w:hAnsi="仿宋" w:eastAsia="仿宋" w:cs="仿宋"/>
          <w:b/>
          <w:color w:val="000000" w:themeColor="text1"/>
          <w:kern w:val="0"/>
          <w:sz w:val="24"/>
          <w:highlight w:val="none"/>
          <w14:textFill>
            <w14:solidFill>
              <w14:schemeClr w14:val="tx1"/>
            </w14:solidFill>
          </w14:textFill>
        </w:rPr>
        <w:t>《法定代表人授权委托书》或《法定代表人身份证明书》填写不全、错误、未加盖公章(《法定代表人授权委托书》要求“电子签章”和“签字或盖章”缺一不可）的；</w:t>
      </w:r>
    </w:p>
    <w:p>
      <w:pPr>
        <w:snapToGrid w:val="0"/>
        <w:spacing w:line="336" w:lineRule="auto"/>
        <w:ind w:firstLine="482" w:firstLineChars="200"/>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w:t>
      </w:r>
      <w:r>
        <w:rPr>
          <w:rFonts w:hint="eastAsia" w:ascii="仿宋" w:hAnsi="仿宋" w:eastAsia="仿宋" w:cs="仿宋"/>
          <w:b/>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color w:val="000000" w:themeColor="text1"/>
          <w:kern w:val="0"/>
          <w:sz w:val="24"/>
          <w:highlight w:val="none"/>
          <w14:textFill>
            <w14:solidFill>
              <w14:schemeClr w14:val="tx1"/>
            </w14:solidFill>
          </w14:textFill>
        </w:rPr>
        <w:t>授权代表非磋商响应单位正式职工（以社保证明为准，如授权代表为离退休返聘人员的，需提供退休证明及单位聘用证明</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法定代表人及个体工商户除外；</w:t>
      </w:r>
    </w:p>
    <w:p>
      <w:pPr>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磋商响应文件中的磋商响应函无供应商电子签章或填写不全的；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w:t>
      </w:r>
      <w:r>
        <w:rPr>
          <w:rFonts w:hint="eastAsia" w:ascii="仿宋" w:hAnsi="仿宋" w:eastAsia="仿宋" w:cs="仿宋"/>
          <w:b/>
          <w:color w:val="000000" w:themeColor="text1"/>
          <w:kern w:val="0"/>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14:textFill>
            <w14:solidFill>
              <w14:schemeClr w14:val="tx1"/>
            </w14:solidFill>
          </w14:textFill>
        </w:rPr>
        <w:t>供应商递交两份或两份以上内容不同的磋商响应文件，且未声明哪一份有效的；</w:t>
      </w:r>
    </w:p>
    <w:p>
      <w:pPr>
        <w:pStyle w:val="3"/>
        <w:snapToGrid w:val="0"/>
        <w:spacing w:line="336" w:lineRule="auto"/>
        <w:ind w:firstLine="482"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9</w:t>
      </w:r>
      <w:r>
        <w:rPr>
          <w:rFonts w:hint="eastAsia" w:ascii="仿宋" w:hAnsi="仿宋" w:eastAsia="仿宋" w:cs="仿宋"/>
          <w:b/>
          <w:color w:val="000000" w:themeColor="text1"/>
          <w:sz w:val="24"/>
          <w:highlight w:val="none"/>
          <w14:textFill>
            <w14:solidFill>
              <w14:schemeClr w14:val="tx1"/>
            </w14:solidFill>
          </w14:textFill>
        </w:rPr>
        <w:t>报价一经涂改，涂改处无磋商响应单位电子签章或者未经法定代表人或授权代表签字或盖章的；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9.1</w:t>
      </w:r>
      <w:r>
        <w:rPr>
          <w:rFonts w:hint="eastAsia" w:ascii="仿宋" w:hAnsi="仿宋" w:eastAsia="仿宋" w:cs="仿宋"/>
          <w:b/>
          <w:color w:val="000000" w:themeColor="text1"/>
          <w:kern w:val="0"/>
          <w:sz w:val="24"/>
          <w:highlight w:val="none"/>
          <w:lang w:val="en-US" w:eastAsia="zh-CN"/>
          <w14:textFill>
            <w14:solidFill>
              <w14:schemeClr w14:val="tx1"/>
            </w14:solidFill>
          </w14:textFill>
        </w:rPr>
        <w:t>0</w:t>
      </w:r>
      <w:r>
        <w:rPr>
          <w:rFonts w:hint="eastAsia" w:ascii="仿宋" w:hAnsi="仿宋" w:eastAsia="仿宋" w:cs="仿宋"/>
          <w:b/>
          <w:color w:val="000000" w:themeColor="text1"/>
          <w:sz w:val="24"/>
          <w:highlight w:val="none"/>
          <w14:textFill>
            <w14:solidFill>
              <w14:schemeClr w14:val="tx1"/>
            </w14:solidFill>
          </w14:textFill>
        </w:rPr>
        <w:t>磋商响应文件中未按磋商响应文件规定的格式填写，或未详细应答磋商服务（或技术或产品等要求），经磋商后仍无法详细应答或应答不完整有缺失，致使磋商小组无法评审的；</w:t>
      </w:r>
    </w:p>
    <w:p>
      <w:pPr>
        <w:pStyle w:val="3"/>
        <w:snapToGrid w:val="0"/>
        <w:spacing w:line="336" w:lineRule="auto"/>
        <w:ind w:firstLine="482"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9.1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出现同一标的物或本次磋商产品(服务)内的主要产品(重要组成部分)出现</w:t>
      </w:r>
      <w:r>
        <w:rPr>
          <w:rFonts w:hint="eastAsia" w:ascii="仿宋" w:hAnsi="仿宋" w:eastAsia="仿宋" w:cs="仿宋"/>
          <w:b/>
          <w:color w:val="000000" w:themeColor="text1"/>
          <w:sz w:val="24"/>
          <w:highlight w:val="none"/>
          <w:lang w:eastAsia="zh-CN"/>
          <w14:textFill>
            <w14:solidFill>
              <w14:schemeClr w14:val="tx1"/>
            </w14:solidFill>
          </w14:textFill>
        </w:rPr>
        <w:t>商务技术文件</w:t>
      </w:r>
      <w:r>
        <w:rPr>
          <w:rFonts w:hint="eastAsia" w:ascii="仿宋" w:hAnsi="仿宋" w:eastAsia="仿宋" w:cs="仿宋"/>
          <w:b/>
          <w:color w:val="000000" w:themeColor="text1"/>
          <w:sz w:val="24"/>
          <w:highlight w:val="none"/>
          <w14:textFill>
            <w14:solidFill>
              <w14:schemeClr w14:val="tx1"/>
            </w14:solidFill>
          </w14:textFill>
        </w:rPr>
        <w:t>资料</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报价文件资料</w:t>
      </w:r>
      <w:r>
        <w:rPr>
          <w:rFonts w:hint="eastAsia" w:ascii="仿宋" w:hAnsi="仿宋" w:eastAsia="仿宋" w:cs="仿宋"/>
          <w:b/>
          <w:color w:val="000000" w:themeColor="text1"/>
          <w:sz w:val="24"/>
          <w:szCs w:val="24"/>
          <w:highlight w:val="none"/>
          <w14:textFill>
            <w14:solidFill>
              <w14:schemeClr w14:val="tx1"/>
            </w14:solidFill>
          </w14:textFill>
        </w:rPr>
        <w:t>描述不一致或前后描述不一致，经磋商小组认定后为无法评审的；</w:t>
      </w:r>
    </w:p>
    <w:p>
      <w:pPr>
        <w:pStyle w:val="3"/>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9.1</w:t>
      </w:r>
      <w:r>
        <w:rPr>
          <w:rFonts w:hint="eastAsia" w:ascii="仿宋" w:hAnsi="仿宋" w:eastAsia="仿宋" w:cs="仿宋"/>
          <w:b/>
          <w:color w:val="000000" w:themeColor="text1"/>
          <w:kern w:val="0"/>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技术偏离说明表</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不真实填写或弄虚作假的；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9.1</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kern w:val="0"/>
          <w:sz w:val="24"/>
          <w:highlight w:val="none"/>
          <w14:textFill>
            <w14:solidFill>
              <w14:schemeClr w14:val="tx1"/>
            </w14:solidFill>
          </w14:textFill>
        </w:rPr>
        <w:t>磋商响应文件有采购人不能接受的条件；</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9.1</w:t>
      </w:r>
      <w:r>
        <w:rPr>
          <w:rFonts w:hint="eastAsia" w:ascii="仿宋" w:hAnsi="仿宋" w:eastAsia="仿宋" w:cs="仿宋"/>
          <w:b/>
          <w:color w:val="000000" w:themeColor="text1"/>
          <w:kern w:val="0"/>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9.1</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最后报价超过预算金额或上限价的；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9.1</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磋商小组认定有重大偏差或实质性不响应磋商文件要求的；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szCs w:val="21"/>
          <w:highlight w:val="none"/>
          <w14:textFill>
            <w14:solidFill>
              <w14:schemeClr w14:val="tx1"/>
            </w14:solidFill>
          </w14:textFill>
        </w:rPr>
        <w:t>9.1</w:t>
      </w:r>
      <w:r>
        <w:rPr>
          <w:rFonts w:hint="eastAsia" w:ascii="仿宋" w:hAnsi="仿宋" w:eastAsia="仿宋" w:cs="仿宋"/>
          <w:b/>
          <w:color w:val="000000" w:themeColor="text1"/>
          <w:sz w:val="24"/>
          <w:szCs w:val="21"/>
          <w:highlight w:val="none"/>
          <w:lang w:val="en-US" w:eastAsia="zh-CN"/>
          <w14:textFill>
            <w14:solidFill>
              <w14:schemeClr w14:val="tx1"/>
            </w14:solidFill>
          </w14:textFill>
        </w:rPr>
        <w:t>7</w:t>
      </w:r>
      <w:r>
        <w:rPr>
          <w:rFonts w:hint="eastAsia" w:ascii="仿宋" w:hAnsi="仿宋" w:eastAsia="仿宋" w:cs="仿宋"/>
          <w:b/>
          <w:color w:val="000000" w:themeColor="text1"/>
          <w:sz w:val="24"/>
          <w:szCs w:val="21"/>
          <w:highlight w:val="none"/>
          <w14:textFill>
            <w14:solidFill>
              <w14:schemeClr w14:val="tx1"/>
            </w14:solidFill>
          </w14:textFill>
        </w:rPr>
        <w:t>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9.1</w:t>
      </w: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14:textFill>
            <w14:solidFill>
              <w14:schemeClr w14:val="tx1"/>
            </w14:solidFill>
          </w14:textFill>
        </w:rPr>
        <w:t>《报价一览表》填写不完整或字迹不能辨认或有漏项的；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供应商对根据修正原则修正后的报价不确认的；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20</w:t>
      </w:r>
      <w:r>
        <w:rPr>
          <w:rFonts w:hint="eastAsia" w:ascii="仿宋" w:hAnsi="仿宋" w:eastAsia="仿宋" w:cs="仿宋"/>
          <w:b/>
          <w:color w:val="000000" w:themeColor="text1"/>
          <w:sz w:val="24"/>
          <w:highlight w:val="none"/>
          <w14:textFill>
            <w14:solidFill>
              <w14:schemeClr w14:val="tx1"/>
            </w14:solidFill>
          </w14:textFill>
        </w:rPr>
        <w:t>供应商提供虚假材料磋商的（包括但不限于以下情节）；</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1使用伪造、变造的许可证件；</w:t>
      </w:r>
    </w:p>
    <w:p>
      <w:pPr>
        <w:tabs>
          <w:tab w:val="left" w:pos="3870"/>
          <w:tab w:val="left" w:pos="4085"/>
        </w:tabs>
        <w:snapToGrid w:val="0"/>
        <w:spacing w:line="336"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.2提供虚假的财务状况或者业绩；</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3提供虚假的项目负责人或者主要技术人员简历、劳动关系证明；</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.4提供虚假的信用状况；</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.5其他弄虚作假的行为。</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9.2</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有下列情形之一的，视为供应商串通磋商，其磋商无效：</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.1不同供应商的磋商响应文件由同一单位或者个人编制；</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.2不同供应商委托同一单位或者个人办理磋商事宜；</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.3不同供应商的磋商响应文件载明的项目管理成员或者联系人员为同一人；</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.4不同供应商的磋商响应文件异常一致或者磋商报价呈规律性差异；</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.5不同供应商的磋商响应文件相互混装；</w:t>
      </w:r>
    </w:p>
    <w:p>
      <w:pPr>
        <w:tabs>
          <w:tab w:val="left" w:pos="3870"/>
          <w:tab w:val="left" w:pos="4085"/>
        </w:tabs>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9.2</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有下列情形之一的，属于恶意串通，其磋商无效：</w:t>
      </w:r>
    </w:p>
    <w:p>
      <w:pPr>
        <w:spacing w:line="336" w:lineRule="auto"/>
        <w:ind w:firstLine="480" w:firstLineChars="20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.1供应商直接或者间接从采购人或者采购机构处获得其他供应商的相关情况并修改其磋商响应文件；</w:t>
      </w:r>
    </w:p>
    <w:p>
      <w:pPr>
        <w:spacing w:line="336" w:lineRule="auto"/>
        <w:ind w:firstLine="480" w:firstLineChars="20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.2供应商按照采购人或者采购机构的授意撤换、修改磋商响应文件；</w:t>
      </w:r>
    </w:p>
    <w:p>
      <w:pPr>
        <w:spacing w:line="336" w:lineRule="auto"/>
        <w:ind w:firstLine="480" w:firstLineChars="20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.3供应商之间协商报价、技术方案等磋商响应文件的实质性内容；</w:t>
      </w:r>
    </w:p>
    <w:p>
      <w:pPr>
        <w:spacing w:line="336" w:lineRule="auto"/>
        <w:ind w:firstLine="480" w:firstLineChars="20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.4属于同一集团、协会、商会等组织成员的供应商按照该组织要求协同参加政府采购活动；</w:t>
      </w:r>
    </w:p>
    <w:p>
      <w:pPr>
        <w:spacing w:line="336" w:lineRule="auto"/>
        <w:ind w:firstLine="480" w:firstLineChars="20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.5供应商之间事先约定由某一特定供应商中标、成交；</w:t>
      </w:r>
    </w:p>
    <w:p>
      <w:pPr>
        <w:spacing w:line="336" w:lineRule="auto"/>
        <w:ind w:firstLine="480" w:firstLineChars="20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.6供应商之间商定部分供应商放弃参加政府采购活动或者放弃中标、成交；</w:t>
      </w:r>
    </w:p>
    <w:p>
      <w:pPr>
        <w:tabs>
          <w:tab w:val="left" w:pos="3870"/>
          <w:tab w:val="left" w:pos="4085"/>
        </w:tabs>
        <w:snapToGrid w:val="0"/>
        <w:spacing w:line="336" w:lineRule="auto"/>
        <w:ind w:firstLine="480"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9.2</w:t>
      </w:r>
      <w:r>
        <w:rPr>
          <w:rFonts w:hint="eastAsia" w:ascii="仿宋" w:hAnsi="仿宋" w:eastAsia="仿宋" w:cs="仿宋"/>
          <w:color w:val="000000" w:themeColor="text1"/>
          <w:sz w:val="24"/>
          <w:szCs w:val="21"/>
          <w:highlight w:val="none"/>
          <w:lang w:val="en-US" w:eastAsia="zh-CN"/>
          <w14:textFill>
            <w14:solidFill>
              <w14:schemeClr w14:val="tx1"/>
            </w14:solidFill>
          </w14:textFill>
        </w:rPr>
        <w:t>2</w:t>
      </w:r>
      <w:r>
        <w:rPr>
          <w:rFonts w:hint="eastAsia" w:ascii="仿宋" w:hAnsi="仿宋" w:eastAsia="仿宋" w:cs="仿宋"/>
          <w:color w:val="000000" w:themeColor="text1"/>
          <w:sz w:val="24"/>
          <w:szCs w:val="21"/>
          <w:highlight w:val="none"/>
          <w14:textFill>
            <w14:solidFill>
              <w14:schemeClr w14:val="tx1"/>
            </w14:solidFill>
          </w14:textFill>
        </w:rPr>
        <w:t>.7供应商与采购人或者采购机构之间、供应商相互之间，为谋求特定供应商中标、成交或者排斥其他供应商的其他串通行为。</w:t>
      </w:r>
    </w:p>
    <w:p>
      <w:pPr>
        <w:tabs>
          <w:tab w:val="left" w:pos="3870"/>
          <w:tab w:val="left" w:pos="4085"/>
        </w:tabs>
        <w:snapToGrid w:val="0"/>
        <w:spacing w:line="336"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9.2</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磋商响应文件出现不是唯一的、有选择性报价的；</w:t>
      </w:r>
    </w:p>
    <w:p>
      <w:pPr>
        <w:tabs>
          <w:tab w:val="left" w:pos="3870"/>
          <w:tab w:val="left" w:pos="4085"/>
        </w:tabs>
        <w:snapToGrid w:val="0"/>
        <w:spacing w:line="336"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9.2</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未按招标文件要求提供样品或提供样品不满足采购需求实质性条件的；</w:t>
      </w:r>
    </w:p>
    <w:p>
      <w:pPr>
        <w:tabs>
          <w:tab w:val="left" w:pos="3870"/>
          <w:tab w:val="left" w:pos="4085"/>
        </w:tabs>
        <w:snapToGrid w:val="0"/>
        <w:spacing w:line="336" w:lineRule="auto"/>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9.25</w:t>
      </w:r>
      <w:r>
        <w:rPr>
          <w:rFonts w:hint="eastAsia" w:ascii="仿宋" w:hAnsi="仿宋" w:eastAsia="仿宋" w:cs="仿宋"/>
          <w:b/>
          <w:color w:val="000000" w:themeColor="text1"/>
          <w:sz w:val="24"/>
          <w:highlight w:val="none"/>
          <w14:textFill>
            <w14:solidFill>
              <w14:schemeClr w14:val="tx1"/>
            </w14:solidFill>
          </w14:textFill>
        </w:rPr>
        <w:t>参与同一个采购包(标段)的供应商存在下列情形之一的</w:t>
      </w:r>
      <w:r>
        <w:rPr>
          <w:rFonts w:hint="eastAsia" w:ascii="仿宋" w:hAnsi="仿宋" w:eastAsia="仿宋" w:cs="仿宋"/>
          <w:b/>
          <w:color w:val="000000" w:themeColor="text1"/>
          <w:sz w:val="24"/>
          <w:highlight w:val="none"/>
          <w:lang w:eastAsia="zh-CN"/>
          <w14:textFill>
            <w14:solidFill>
              <w14:schemeClr w14:val="tx1"/>
            </w14:solidFill>
          </w14:textFill>
        </w:rPr>
        <w:t>，其磋商无效：</w:t>
      </w:r>
    </w:p>
    <w:p>
      <w:pPr>
        <w:tabs>
          <w:tab w:val="left" w:pos="3870"/>
          <w:tab w:val="left" w:pos="4085"/>
        </w:tabs>
        <w:snapToGrid w:val="0"/>
        <w:spacing w:line="336"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9.25.1</w:t>
      </w:r>
      <w:r>
        <w:rPr>
          <w:rFonts w:hint="eastAsia" w:ascii="仿宋" w:hAnsi="仿宋" w:eastAsia="仿宋" w:cs="仿宋"/>
          <w:b/>
          <w:color w:val="000000" w:themeColor="text1"/>
          <w:sz w:val="24"/>
          <w:highlight w:val="none"/>
          <w14:textFill>
            <w14:solidFill>
              <w14:schemeClr w14:val="tx1"/>
            </w14:solidFill>
          </w14:textFill>
        </w:rPr>
        <w:t>不同供应商的磋商响应文件上传计算机的网卡MAC地址、CPU序列号和硬盘序列号等硬件信息相同的;</w:t>
      </w:r>
    </w:p>
    <w:p>
      <w:pPr>
        <w:tabs>
          <w:tab w:val="left" w:pos="3870"/>
          <w:tab w:val="left" w:pos="4085"/>
        </w:tabs>
        <w:snapToGrid w:val="0"/>
        <w:spacing w:line="336"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9.25.2</w:t>
      </w:r>
      <w:r>
        <w:rPr>
          <w:rFonts w:hint="eastAsia" w:ascii="仿宋" w:hAnsi="仿宋" w:eastAsia="仿宋" w:cs="仿宋"/>
          <w:b/>
          <w:color w:val="000000" w:themeColor="text1"/>
          <w:sz w:val="24"/>
          <w:highlight w:val="none"/>
          <w14:textFill>
            <w14:solidFill>
              <w14:schemeClr w14:val="tx1"/>
            </w14:solidFill>
          </w14:textFill>
        </w:rPr>
        <w:t>上传的磋商响应文件若出现使用本项目其他磋商响应供应商的数字证书加密的，或者加盖本项目其他磋商响应供应商的电子印章的;</w:t>
      </w:r>
    </w:p>
    <w:p>
      <w:pPr>
        <w:numPr>
          <w:ilvl w:val="-1"/>
          <w:numId w:val="0"/>
        </w:numPr>
        <w:tabs>
          <w:tab w:val="left" w:pos="3870"/>
          <w:tab w:val="left" w:pos="4085"/>
        </w:tabs>
        <w:snapToGrid w:val="0"/>
        <w:spacing w:line="336"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9.25.3</w:t>
      </w:r>
      <w:r>
        <w:rPr>
          <w:rFonts w:hint="eastAsia" w:ascii="仿宋" w:hAnsi="仿宋" w:eastAsia="仿宋" w:cs="仿宋"/>
          <w:b/>
          <w:color w:val="000000" w:themeColor="text1"/>
          <w:sz w:val="24"/>
          <w:highlight w:val="none"/>
          <w14:textFill>
            <w14:solidFill>
              <w14:schemeClr w14:val="tx1"/>
            </w14:solidFill>
          </w14:textFill>
        </w:rPr>
        <w:t>不同供应商的磋商响应文件的内容存在三处(含)以上错误一致，且无法合理解释的;</w:t>
      </w:r>
    </w:p>
    <w:p>
      <w:pPr>
        <w:numPr>
          <w:ilvl w:val="-1"/>
          <w:numId w:val="0"/>
        </w:numPr>
        <w:tabs>
          <w:tab w:val="left" w:pos="3870"/>
          <w:tab w:val="left" w:pos="4085"/>
        </w:tabs>
        <w:snapToGrid w:val="0"/>
        <w:spacing w:line="336" w:lineRule="auto"/>
        <w:ind w:firstLine="482" w:firstLineChars="200"/>
        <w:rPr>
          <w:rFonts w:hint="default"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9.25.4</w:t>
      </w:r>
      <w:r>
        <w:rPr>
          <w:rFonts w:hint="eastAsia" w:ascii="仿宋" w:hAnsi="仿宋" w:eastAsia="仿宋" w:cs="仿宋"/>
          <w:b/>
          <w:color w:val="000000" w:themeColor="text1"/>
          <w:sz w:val="24"/>
          <w:highlight w:val="none"/>
          <w14:textFill>
            <w14:solidFill>
              <w14:schemeClr w14:val="tx1"/>
            </w14:solidFill>
          </w14:textFill>
        </w:rPr>
        <w:t>不同供应商联系人为同一人或不同联系人的联系电话一致，且无法合理解释的。</w:t>
      </w:r>
    </w:p>
    <w:p>
      <w:pPr>
        <w:tabs>
          <w:tab w:val="left" w:pos="3870"/>
          <w:tab w:val="left" w:pos="4085"/>
        </w:tabs>
        <w:snapToGrid w:val="0"/>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w:t>
      </w:r>
      <w:r>
        <w:rPr>
          <w:rFonts w:hint="eastAsia" w:ascii="仿宋" w:hAnsi="仿宋" w:eastAsia="仿宋" w:cs="仿宋"/>
          <w:b/>
          <w:color w:val="000000" w:themeColor="text1"/>
          <w:sz w:val="24"/>
          <w:highlight w:val="none"/>
          <w:lang w:val="en-US" w:eastAsia="zh-CN"/>
          <w14:textFill>
            <w14:solidFill>
              <w14:schemeClr w14:val="tx1"/>
            </w14:solidFill>
          </w14:textFill>
        </w:rPr>
        <w:t>26</w:t>
      </w:r>
      <w:r>
        <w:rPr>
          <w:rFonts w:hint="eastAsia" w:ascii="仿宋" w:hAnsi="仿宋" w:eastAsia="仿宋" w:cs="仿宋"/>
          <w:b/>
          <w:color w:val="000000" w:themeColor="text1"/>
          <w:sz w:val="24"/>
          <w:highlight w:val="none"/>
          <w14:textFill>
            <w14:solidFill>
              <w14:schemeClr w14:val="tx1"/>
            </w14:solidFill>
          </w14:textFill>
        </w:rPr>
        <w:t>其他违反法律、法规的情形。</w:t>
      </w:r>
    </w:p>
    <w:p>
      <w:pPr>
        <w:snapToGrid w:val="0"/>
        <w:spacing w:line="336"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10.磋商过程保密</w:t>
      </w:r>
    </w:p>
    <w:p>
      <w:pPr>
        <w:snapToGrid w:val="0"/>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10.1</w:t>
      </w:r>
      <w:r>
        <w:rPr>
          <w:rFonts w:hint="eastAsia" w:ascii="仿宋" w:hAnsi="仿宋" w:eastAsia="仿宋" w:cs="仿宋"/>
          <w:color w:val="000000" w:themeColor="text1"/>
          <w:sz w:val="24"/>
          <w:highlight w:val="none"/>
          <w14:textFill>
            <w14:solidFill>
              <w14:schemeClr w14:val="tx1"/>
            </w14:solidFill>
          </w14:textFill>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10.2 在磋商期间，供应商企图影响采购人、采购代理机构或</w:t>
      </w:r>
      <w:r>
        <w:rPr>
          <w:rFonts w:hint="eastAsia" w:ascii="仿宋" w:hAnsi="仿宋" w:eastAsia="仿宋" w:cs="仿宋"/>
          <w:color w:val="000000" w:themeColor="text1"/>
          <w:sz w:val="24"/>
          <w:highlight w:val="none"/>
          <w14:textFill>
            <w14:solidFill>
              <w14:schemeClr w14:val="tx1"/>
            </w14:solidFill>
          </w14:textFill>
        </w:rPr>
        <w:t>磋商小组</w:t>
      </w:r>
      <w:r>
        <w:rPr>
          <w:rFonts w:hint="eastAsia" w:ascii="仿宋" w:hAnsi="仿宋" w:eastAsia="仿宋" w:cs="仿宋"/>
          <w:color w:val="000000" w:themeColor="text1"/>
          <w:kern w:val="0"/>
          <w:sz w:val="24"/>
          <w:highlight w:val="none"/>
          <w14:textFill>
            <w14:solidFill>
              <w14:schemeClr w14:val="tx1"/>
            </w14:solidFill>
          </w14:textFill>
        </w:rPr>
        <w:t>的任何活动，都将导致磋商被拒绝，并由其承担相应的法律责任。</w:t>
      </w:r>
    </w:p>
    <w:p>
      <w:pPr>
        <w:adjustRightInd/>
        <w:spacing w:line="336" w:lineRule="auto"/>
        <w:jc w:val="center"/>
        <w:outlineLvl w:val="0"/>
        <w:rPr>
          <w:rFonts w:ascii="仿宋" w:hAnsi="仿宋" w:eastAsia="仿宋" w:cs="仿宋"/>
          <w:color w:val="000000" w:themeColor="text1"/>
          <w:sz w:val="32"/>
          <w:szCs w:val="32"/>
          <w:highlight w:val="none"/>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五</w:t>
      </w:r>
      <w:r>
        <w:rPr>
          <w:rFonts w:hint="eastAsia" w:ascii="仿宋" w:hAnsi="仿宋" w:eastAsia="仿宋" w:cs="仿宋"/>
          <w:b/>
          <w:color w:val="000000" w:themeColor="text1"/>
          <w:sz w:val="32"/>
          <w:szCs w:val="20"/>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成交</w:t>
      </w:r>
    </w:p>
    <w:p>
      <w:pPr>
        <w:spacing w:line="336"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w:t>
      </w:r>
      <w:bookmarkStart w:id="50" w:name="_Toc81372776"/>
      <w:bookmarkStart w:id="51" w:name="_Toc81372953"/>
      <w:bookmarkStart w:id="52" w:name="_Toc84325929"/>
      <w:r>
        <w:rPr>
          <w:rFonts w:hint="eastAsia" w:ascii="仿宋" w:hAnsi="仿宋" w:eastAsia="仿宋" w:cs="仿宋"/>
          <w:b/>
          <w:color w:val="000000" w:themeColor="text1"/>
          <w:sz w:val="24"/>
          <w:highlight w:val="none"/>
          <w14:textFill>
            <w14:solidFill>
              <w14:schemeClr w14:val="tx1"/>
            </w14:solidFill>
          </w14:textFill>
        </w:rPr>
        <w:t>成交条件</w:t>
      </w:r>
    </w:p>
    <w:p>
      <w:pPr>
        <w:pStyle w:val="19"/>
        <w:tabs>
          <w:tab w:val="clear" w:pos="390"/>
        </w:tabs>
        <w:spacing w:line="336" w:lineRule="auto"/>
        <w:ind w:left="0"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1.1磋商响应文件基本符合磋商文件要求；</w:t>
      </w:r>
    </w:p>
    <w:p>
      <w:pPr>
        <w:pStyle w:val="19"/>
        <w:tabs>
          <w:tab w:val="clear" w:pos="390"/>
        </w:tabs>
        <w:spacing w:line="336" w:lineRule="auto"/>
        <w:ind w:left="0"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1.2供应商有很好的执行合同的能力；</w:t>
      </w:r>
    </w:p>
    <w:p>
      <w:pPr>
        <w:pStyle w:val="19"/>
        <w:tabs>
          <w:tab w:val="clear" w:pos="390"/>
        </w:tabs>
        <w:spacing w:line="336" w:lineRule="auto"/>
        <w:ind w:left="0"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1.3实施方案最合理并对采购人最为有利，最大限度满足磋商文件的要求；</w:t>
      </w:r>
    </w:p>
    <w:p>
      <w:pPr>
        <w:pStyle w:val="19"/>
        <w:tabs>
          <w:tab w:val="clear" w:pos="390"/>
        </w:tabs>
        <w:spacing w:line="336" w:lineRule="auto"/>
        <w:ind w:left="0"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1.4供应商能够提供质量技术、商务经济占综合优势的系统及服务。</w:t>
      </w:r>
    </w:p>
    <w:p>
      <w:pPr>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2.成交确认</w:t>
      </w:r>
    </w:p>
    <w:p>
      <w:pPr>
        <w:spacing w:line="336" w:lineRule="auto"/>
        <w:ind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2.1采购人应当在收到评审报告之日起５个工作日内，在评审报告提出的成交候选供应商单中确定成交供应商。</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2.2采购人逾期未确定成交供应商的，视为确定评审报告提出的成交候选供应商为成交供应商。</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2.3采购人应在确认成交供应商前再次对资格条件和相关证件材料进一步查验核实。</w:t>
      </w:r>
    </w:p>
    <w:p>
      <w:pPr>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成交通知</w:t>
      </w:r>
    </w:p>
    <w:bookmarkEnd w:id="50"/>
    <w:bookmarkEnd w:id="51"/>
    <w:bookmarkEnd w:id="52"/>
    <w:p>
      <w:pPr>
        <w:pStyle w:val="397"/>
        <w:tabs>
          <w:tab w:val="left" w:pos="0"/>
        </w:tabs>
        <w:spacing w:before="0" w:line="336" w:lineRule="auto"/>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w:t>
      </w:r>
      <w:r>
        <w:rPr>
          <w:rFonts w:hint="eastAsia" w:ascii="仿宋" w:hAnsi="仿宋" w:eastAsia="仿宋" w:cs="仿宋"/>
          <w:color w:val="000000" w:themeColor="text1"/>
          <w:kern w:val="0"/>
          <w:highlight w:val="none"/>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对成交结果在指定媒体</w:t>
      </w:r>
      <w:r>
        <w:rPr>
          <w:rFonts w:hint="eastAsia" w:ascii="仿宋" w:hAnsi="仿宋" w:eastAsia="仿宋" w:cs="仿宋"/>
          <w:color w:val="000000" w:themeColor="text1"/>
          <w:kern w:val="0"/>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Style w:val="71"/>
          <w:rFonts w:hint="eastAsia" w:ascii="仿宋" w:hAnsi="仿宋" w:eastAsia="仿宋" w:cs="仿宋"/>
          <w:color w:val="000000" w:themeColor="text1"/>
          <w:highlight w:val="none"/>
          <w14:textFill>
            <w14:solidFill>
              <w14:schemeClr w14:val="tx1"/>
            </w14:solidFill>
          </w14:textFill>
        </w:rPr>
        <w:t>http://zfcg.czt.zj.gov.cn/</w:t>
      </w:r>
      <w:r>
        <w:rPr>
          <w:rStyle w:val="71"/>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kern w:val="0"/>
          <w:highlight w:val="none"/>
          <w14:textFill>
            <w14:solidFill>
              <w14:schemeClr w14:val="tx1"/>
            </w14:solidFill>
          </w14:textFill>
        </w:rPr>
        <w:t>、绍兴公共资源交易网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"http://ggb.sx.gov.cn" </w:instrText>
      </w:r>
      <w:r>
        <w:rPr>
          <w:color w:val="000000" w:themeColor="text1"/>
          <w:highlight w:val="none"/>
          <w14:textFill>
            <w14:solidFill>
              <w14:schemeClr w14:val="tx1"/>
            </w14:solidFill>
          </w14:textFill>
        </w:rPr>
        <w:fldChar w:fldCharType="separate"/>
      </w:r>
      <w:r>
        <w:rPr>
          <w:rStyle w:val="71"/>
          <w:rFonts w:hint="eastAsia" w:ascii="仿宋" w:hAnsi="仿宋" w:eastAsia="仿宋" w:cs="仿宋"/>
          <w:color w:val="000000" w:themeColor="text1"/>
          <w:highlight w:val="none"/>
          <w14:textFill>
            <w14:solidFill>
              <w14:schemeClr w14:val="tx1"/>
            </w14:solidFill>
          </w14:textFill>
        </w:rPr>
        <w:t>http://ggb.sx.gov.cn</w:t>
      </w:r>
      <w:r>
        <w:rPr>
          <w:rStyle w:val="71"/>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kern w:val="0"/>
          <w:highlight w:val="none"/>
          <w14:textFill>
            <w14:solidFill>
              <w14:schemeClr w14:val="tx1"/>
            </w14:solidFill>
          </w14:textFill>
        </w:rPr>
        <w:t>）发布成交公告，成交公告期限为1个工作日。</w:t>
      </w:r>
    </w:p>
    <w:p>
      <w:pPr>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3.3采购人、</w:t>
      </w:r>
      <w:r>
        <w:rPr>
          <w:rFonts w:hint="eastAsia" w:ascii="仿宋" w:hAnsi="仿宋" w:eastAsia="仿宋" w:cs="仿宋"/>
          <w:color w:val="000000" w:themeColor="text1"/>
          <w:kern w:val="0"/>
          <w:sz w:val="24"/>
          <w:highlight w:val="none"/>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对成交结果不作任何说明和解释，也不回答任何提问。</w:t>
      </w:r>
    </w:p>
    <w:p>
      <w:pPr>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履约保证金</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4.2项目验收结束后，采购人应及时退还履约保证金。</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4.3供应商以银行、保险公司出具保函形式提交履约保证金的，采购人不得拒收。</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4.4政府采购货物和服务项目不得收取质量保证金。</w:t>
      </w:r>
    </w:p>
    <w:p>
      <w:pPr>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合同签订及备案</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5.1成交人应当在成交通知书发出之日起30天内与采购人签订合同，自采购合同签订之日起</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个工作日内，通过电子交易平台进行备案。</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5.2如成交人为联合体的，由联合体成员各方法定代表人或其授权代表与采购人代表签订合同。</w:t>
      </w:r>
    </w:p>
    <w:p>
      <w:pPr>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6.验收</w:t>
      </w:r>
    </w:p>
    <w:p>
      <w:pPr>
        <w:tabs>
          <w:tab w:val="left" w:pos="6780"/>
        </w:tabs>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6780"/>
        </w:tabs>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2采购人可以邀请参加本项目的其他供应商或者第三方机构参与验收。参与验收的供应商或者第三方机构的意见作为验收书的参考资料一并存档。</w:t>
      </w:r>
    </w:p>
    <w:p>
      <w:pPr>
        <w:tabs>
          <w:tab w:val="left" w:pos="6780"/>
        </w:tabs>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default" w:ascii="仿宋" w:hAnsi="仿宋" w:eastAsia="仿宋" w:cs="仿宋"/>
          <w:color w:val="000000" w:themeColor="text1"/>
          <w:sz w:val="24"/>
          <w:highlight w:val="none"/>
          <w:lang w:val="en-US"/>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7.售后服务考核</w:t>
      </w:r>
      <w:r>
        <w:rPr>
          <w:rFonts w:hint="eastAsia" w:ascii="仿宋" w:hAnsi="仿宋" w:eastAsia="仿宋" w:cs="仿宋"/>
          <w:b/>
          <w:color w:val="000000" w:themeColor="text1"/>
          <w:sz w:val="24"/>
          <w:highlight w:val="none"/>
          <w14:textFill>
            <w14:solidFill>
              <w14:schemeClr w14:val="tx1"/>
            </w14:solidFill>
          </w14:textFill>
        </w:rPr>
        <w:tab/>
      </w:r>
    </w:p>
    <w:p>
      <w:pPr>
        <w:spacing w:line="336" w:lineRule="auto"/>
        <w:ind w:firstLine="48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000000" w:themeColor="text1"/>
          <w:sz w:val="24"/>
          <w:highlight w:val="none"/>
          <w:lang w:eastAsia="zh-CN"/>
          <w14:textFill>
            <w14:solidFill>
              <w14:schemeClr w14:val="tx1"/>
            </w14:solidFill>
          </w14:textFill>
        </w:rPr>
        <w:t>商务技术文件</w:t>
      </w:r>
      <w:r>
        <w:rPr>
          <w:rFonts w:hint="eastAsia" w:ascii="仿宋" w:hAnsi="仿宋" w:eastAsia="仿宋" w:cs="仿宋"/>
          <w:color w:val="000000" w:themeColor="text1"/>
          <w:sz w:val="24"/>
          <w:highlight w:val="none"/>
          <w14:textFill>
            <w14:solidFill>
              <w14:schemeClr w14:val="tx1"/>
            </w14:solidFill>
          </w14:textFill>
        </w:rPr>
        <w:t>规定的，一经查实，由政府采购监督管理部门给予相应处罚。</w:t>
      </w:r>
    </w:p>
    <w:p>
      <w:pPr>
        <w:adjustRightInd/>
        <w:spacing w:line="336"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六</w:t>
      </w:r>
      <w:r>
        <w:rPr>
          <w:rFonts w:hint="eastAsia" w:ascii="仿宋" w:hAnsi="仿宋" w:eastAsia="仿宋" w:cs="仿宋"/>
          <w:b/>
          <w:color w:val="000000" w:themeColor="text1"/>
          <w:sz w:val="32"/>
          <w:szCs w:val="20"/>
          <w:highlight w:val="none"/>
          <w14:textFill>
            <w14:solidFill>
              <w14:schemeClr w14:val="tx1"/>
            </w14:solidFill>
          </w14:textFill>
        </w:rPr>
        <w:t>、询问、质疑与投诉</w:t>
      </w:r>
    </w:p>
    <w:p>
      <w:pPr>
        <w:pStyle w:val="3"/>
        <w:spacing w:line="336"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000000" w:themeColor="text1"/>
          <w:sz w:val="24"/>
          <w:highlight w:val="none"/>
          <w:lang w:eastAsia="zh-CN"/>
          <w14:textFill>
            <w14:solidFill>
              <w14:schemeClr w14:val="tx1"/>
            </w14:solidFill>
          </w14:textFill>
        </w:rPr>
        <w:t>政务</w:t>
      </w:r>
      <w:r>
        <w:rPr>
          <w:rFonts w:hint="eastAsia" w:ascii="仿宋" w:hAnsi="仿宋" w:eastAsia="仿宋" w:cs="仿宋"/>
          <w:color w:val="000000" w:themeColor="text1"/>
          <w:sz w:val="24"/>
          <w:highlight w:val="none"/>
          <w14:textFill>
            <w14:solidFill>
              <w14:schemeClr w14:val="tx1"/>
            </w14:solidFill>
          </w14:textFill>
        </w:rPr>
        <w:t>服务网-政府采购投诉处理-在线办理。</w:t>
      </w:r>
    </w:p>
    <w:p>
      <w:pPr>
        <w:spacing w:line="336"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2.供应商询问</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3.供应商质疑</w:t>
      </w:r>
    </w:p>
    <w:p>
      <w:pPr>
        <w:pStyle w:val="3"/>
        <w:spacing w:line="336"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0"/>
        <w:spacing w:line="336" w:lineRule="auto"/>
        <w:ind w:firstLine="434" w:firstLineChars="181"/>
        <w:rPr>
          <w:rFonts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pPr>
        <w:pStyle w:val="3"/>
        <w:spacing w:line="336"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default" w:ascii="仿宋" w:hAnsi="仿宋" w:eastAsia="仿宋" w:cs="仿宋"/>
          <w:b/>
          <w:color w:val="000000" w:themeColor="text1"/>
          <w:kern w:val="0"/>
          <w:sz w:val="24"/>
          <w:highlight w:val="none"/>
          <w:lang w:val="en-US"/>
          <w14:textFill>
            <w14:solidFill>
              <w14:schemeClr w14:val="tx1"/>
            </w14:solidFill>
          </w14:textFill>
        </w:rPr>
        <w:t>2</w:t>
      </w:r>
      <w:r>
        <w:rPr>
          <w:rFonts w:hint="eastAsia" w:ascii="仿宋" w:hAnsi="仿宋" w:eastAsia="仿宋" w:cs="仿宋"/>
          <w:b/>
          <w:color w:val="000000" w:themeColor="text1"/>
          <w:kern w:val="0"/>
          <w:sz w:val="24"/>
          <w:highlight w:val="none"/>
          <w:lang w:val="zh-CN"/>
          <w14:textFill>
            <w14:solidFill>
              <w14:schemeClr w14:val="tx1"/>
            </w14:solidFill>
          </w14:textFill>
        </w:rPr>
        <w:t>质疑函</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default" w:ascii="仿宋" w:hAnsi="仿宋" w:eastAsia="仿宋" w:cs="仿宋"/>
          <w:color w:val="000000" w:themeColor="text1"/>
          <w:sz w:val="24"/>
          <w:highlight w:val="none"/>
          <w:lang w:val="en-US"/>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.1供应商提出质疑应当提交质疑函和必要的证明材料。质疑函应当包括下列内容：</w:t>
      </w:r>
    </w:p>
    <w:p>
      <w:pPr>
        <w:pStyle w:val="3"/>
        <w:numPr>
          <w:ilvl w:val="0"/>
          <w:numId w:val="4"/>
        </w:numPr>
        <w:tabs>
          <w:tab w:val="clear" w:pos="840"/>
        </w:tabs>
        <w:spacing w:line="336" w:lineRule="auto"/>
        <w:ind w:left="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pPr>
        <w:pStyle w:val="3"/>
        <w:numPr>
          <w:ilvl w:val="0"/>
          <w:numId w:val="4"/>
        </w:numPr>
        <w:tabs>
          <w:tab w:val="clear" w:pos="840"/>
        </w:tabs>
        <w:spacing w:line="336" w:lineRule="auto"/>
        <w:ind w:left="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pPr>
        <w:pStyle w:val="3"/>
        <w:numPr>
          <w:ilvl w:val="0"/>
          <w:numId w:val="4"/>
        </w:numPr>
        <w:tabs>
          <w:tab w:val="clear" w:pos="840"/>
        </w:tabs>
        <w:spacing w:line="336" w:lineRule="auto"/>
        <w:ind w:left="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pPr>
        <w:pStyle w:val="3"/>
        <w:numPr>
          <w:ilvl w:val="0"/>
          <w:numId w:val="4"/>
        </w:numPr>
        <w:tabs>
          <w:tab w:val="clear" w:pos="840"/>
        </w:tabs>
        <w:spacing w:line="336" w:lineRule="auto"/>
        <w:ind w:left="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pPr>
        <w:pStyle w:val="3"/>
        <w:numPr>
          <w:ilvl w:val="0"/>
          <w:numId w:val="4"/>
        </w:numPr>
        <w:tabs>
          <w:tab w:val="clear" w:pos="840"/>
        </w:tabs>
        <w:spacing w:line="336" w:lineRule="auto"/>
        <w:ind w:left="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pPr>
        <w:pStyle w:val="3"/>
        <w:numPr>
          <w:ilvl w:val="0"/>
          <w:numId w:val="4"/>
        </w:numPr>
        <w:tabs>
          <w:tab w:val="clear" w:pos="840"/>
        </w:tabs>
        <w:spacing w:line="336" w:lineRule="auto"/>
        <w:ind w:left="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pPr>
        <w:pStyle w:val="3"/>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pacing w:line="336"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质疑函范本请到浙江政府采购网下载专区下载。</w:t>
      </w:r>
    </w:p>
    <w:p>
      <w:pPr>
        <w:tabs>
          <w:tab w:val="left" w:pos="0"/>
        </w:tabs>
        <w:spacing w:line="336" w:lineRule="auto"/>
        <w:rPr>
          <w:rFonts w:ascii="仿宋" w:hAnsi="仿宋" w:eastAsia="仿宋" w:cs="仿宋"/>
          <w:b/>
          <w:color w:val="000000" w:themeColor="text1"/>
          <w:sz w:val="32"/>
          <w:szCs w:val="20"/>
          <w:highlight w:val="none"/>
          <w14:textFill>
            <w14:solidFill>
              <w14:schemeClr w14:val="tx1"/>
            </w14:solidFill>
          </w14:textFill>
        </w:rPr>
      </w:pPr>
      <w:bookmarkStart w:id="53" w:name="_Hlt74730295"/>
      <w:bookmarkEnd w:id="53"/>
      <w:bookmarkStart w:id="54" w:name="_Hlt68057669"/>
      <w:bookmarkEnd w:id="54"/>
      <w:bookmarkStart w:id="55" w:name="_Hlt75236011"/>
      <w:bookmarkEnd w:id="55"/>
      <w:bookmarkStart w:id="56" w:name="_Hlt74707468"/>
      <w:bookmarkEnd w:id="56"/>
      <w:bookmarkStart w:id="57" w:name="_Hlt68072990"/>
      <w:bookmarkEnd w:id="57"/>
      <w:bookmarkStart w:id="58" w:name="_Hlt74729768"/>
      <w:bookmarkEnd w:id="58"/>
      <w:bookmarkStart w:id="59" w:name="_Hlt75236290"/>
      <w:bookmarkEnd w:id="59"/>
      <w:bookmarkStart w:id="60" w:name="_Hlt74714665"/>
      <w:bookmarkEnd w:id="60"/>
      <w:bookmarkStart w:id="61" w:name="_Hlt75236101"/>
      <w:bookmarkEnd w:id="61"/>
    </w:p>
    <w:p>
      <w:pPr>
        <w:pStyle w:val="5"/>
        <w:rPr>
          <w:rFonts w:ascii="仿宋" w:hAnsi="仿宋" w:eastAsia="仿宋" w:cs="仿宋"/>
          <w:b/>
          <w:color w:val="000000" w:themeColor="text1"/>
          <w:sz w:val="32"/>
          <w:szCs w:val="20"/>
          <w:highlight w:val="none"/>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6"/>
          <w:szCs w:val="36"/>
          <w:highlight w:val="none"/>
          <w14:textFill>
            <w14:solidFill>
              <w14:schemeClr w14:val="tx1"/>
            </w14:solidFill>
          </w14:textFill>
        </w:rPr>
      </w:pPr>
      <w:bookmarkStart w:id="62" w:name="第三部分"/>
      <w:bookmarkStart w:id="63" w:name="_Toc164416483"/>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pStyle w:val="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一、项目背景</w:t>
      </w:r>
    </w:p>
    <w:p>
      <w:pPr>
        <w:pStyle w:val="2"/>
        <w:spacing w:line="360" w:lineRule="auto"/>
        <w:ind w:firstLine="46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2025 年是国家“十四五 ”文旅融合战略深化之年，也是乡村振兴全面推进的关键节点。嵊州崇仁镇立足千年古镇的文化基因与温泉生态资源，以“文化活化+产业赋能 ”为核心，打造“农文旅体商 ”“五位一体”的特色发展模式。</w:t>
      </w:r>
    </w:p>
    <w:p>
      <w:pPr>
        <w:pStyle w:val="2"/>
        <w:spacing w:line="360" w:lineRule="auto"/>
        <w:ind w:firstLine="46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崇仁镇作为越剧发源地之一，拥有全国重点文物保护单位“崇仁 古建筑群 ”及十余项省市级非遗技艺，其深厚的历史底蕴与独特的民俗风情亟待通过创新形式焕发新生。同时，崇仁镇坐拥得天独厚的自然生态禀赋：春日的美人梅园繁花似锦，樱花园落英缤纷如诗如画，千亩油菜花田金浪翻滚，与古镇的青砖黛瓦、温泉城的氤氲水雾交相 辉映，形成“人文古韵+生态野趣 ”的独特文旅景观。</w:t>
      </w:r>
    </w:p>
    <w:p>
      <w:pPr>
        <w:pStyle w:val="2"/>
        <w:spacing w:line="360" w:lineRule="auto"/>
        <w:ind w:firstLine="46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在嵊州崇仁镇举办“古越山水·崇启芳华”文旅推介暨音乐会活动，涵盖花海主题游、温泉音乐会、古镇沉浸体验、文创市集等内容，完成活动策划、执行及推广全流程服务。  </w:t>
      </w:r>
    </w:p>
    <w:p>
      <w:pPr>
        <w:pStyle w:val="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二、服务内容及要求</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1、活动策划与执行：</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制定活动整体方案，包含开幕式、星空音乐会、花海主题游、古镇情景秀等环节的流程设计与落地执行。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统筹场地布置（温泉城、古镇核心区、花海区域），确保场景与“古韵新生”主题契合。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协调演出团队，并负责演职人员管理及现场调度。  </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2、宣传推广：</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制定全媒体宣发方案，覆盖预热期、活动期、延续期，包括短视频制作、话题运营、媒体矩阵投放（国家级至市级媒体）。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提供活动摄影摄像服务，产出高质量图文及视频素材用于宣传留存。  </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3、文旅消费场景搭建：</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策划并落地“星光文创市集”，整合非遗手作、崇仁特产、美食等，确保市集品质与游客体验。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设计“乡村漫游计划”打卡机制，包括地图制作、印章点位设置及奖品发放。  </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4、安全保障与后勤保障：</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制定应急预案，配备专业安保团队及医疗人员，确保活动期间人流管控、设备安全及突发事件处理。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负责活动所需设备租赁（灯光、音响、舞台装置等）及物流协调。</w:t>
      </w:r>
    </w:p>
    <w:p>
      <w:pPr>
        <w:spacing w:line="500" w:lineRule="exact"/>
        <w:jc w:val="left"/>
        <w:rPr>
          <w:rFonts w:hint="eastAsia" w:ascii="仿宋" w:hAnsi="仿宋" w:eastAsia="仿宋" w:cs="仿宋"/>
          <w:b/>
          <w:bCs/>
          <w:color w:val="auto"/>
          <w:kern w:val="0"/>
          <w:sz w:val="24"/>
          <w:szCs w:val="24"/>
          <w:lang w:val="zh-TW" w:eastAsia="zh-CN"/>
        </w:rPr>
      </w:pPr>
      <w:r>
        <w:rPr>
          <w:rFonts w:hint="eastAsia" w:ascii="仿宋" w:hAnsi="仿宋" w:eastAsia="仿宋" w:cs="仿宋"/>
          <w:b/>
          <w:bCs/>
          <w:color w:val="auto"/>
          <w:kern w:val="0"/>
          <w:sz w:val="24"/>
          <w:szCs w:val="24"/>
          <w:lang w:val="zh-TW" w:eastAsia="zh-CN"/>
        </w:rPr>
        <w:t>三、服务期限</w:t>
      </w:r>
    </w:p>
    <w:p>
      <w:pPr>
        <w:widowControl w:val="0"/>
        <w:tabs>
          <w:tab w:val="left" w:pos="420"/>
        </w:tabs>
        <w:adjustRightInd/>
        <w:snapToGrid/>
        <w:spacing w:after="0" w:line="360" w:lineRule="auto"/>
        <w:ind w:firstLine="240" w:firstLineChars="100"/>
        <w:jc w:val="both"/>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auto"/>
          <w:kern w:val="2"/>
          <w:sz w:val="24"/>
          <w:szCs w:val="24"/>
          <w:lang w:eastAsia="zh-CN"/>
        </w:rPr>
        <w:t>合同签订之日起至活动结束。</w:t>
      </w:r>
    </w:p>
    <w:p>
      <w:pPr>
        <w:pStyle w:val="6"/>
        <w:ind w:left="0" w:leftChars="0" w:firstLine="0" w:firstLineChars="0"/>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四、履约保证金</w:t>
      </w:r>
    </w:p>
    <w:p>
      <w:pPr>
        <w:widowControl w:val="0"/>
        <w:tabs>
          <w:tab w:val="left" w:pos="420"/>
        </w:tabs>
        <w:adjustRightInd/>
        <w:snapToGrid/>
        <w:spacing w:after="0" w:line="360" w:lineRule="auto"/>
        <w:ind w:firstLine="240" w:firstLineChars="100"/>
        <w:jc w:val="both"/>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履约保证金的金额为中标价的1%，履约保证金在待乙方履约完成后7个工作日内一次性无息退还。</w:t>
      </w:r>
    </w:p>
    <w:p>
      <w:pPr>
        <w:pStyle w:val="6"/>
        <w:ind w:left="0" w:leftChars="0" w:firstLine="0" w:firstLineChars="0"/>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五、付款方式</w:t>
      </w:r>
    </w:p>
    <w:p>
      <w:pPr>
        <w:widowControl w:val="0"/>
        <w:tabs>
          <w:tab w:val="left" w:pos="420"/>
        </w:tabs>
        <w:adjustRightInd/>
        <w:snapToGrid/>
        <w:spacing w:after="0" w:line="360" w:lineRule="auto"/>
        <w:ind w:firstLine="240" w:firstLineChars="100"/>
        <w:jc w:val="both"/>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活动结束后2个月内付清。</w:t>
      </w:r>
    </w:p>
    <w:p>
      <w:pPr>
        <w:pStyle w:val="6"/>
        <w:ind w:left="0" w:leftChars="0" w:firstLine="0" w:firstLineChars="0"/>
        <w:rPr>
          <w:rFonts w:ascii="仿宋" w:hAnsi="仿宋" w:eastAsia="仿宋" w:cs="仿宋"/>
          <w:b/>
          <w:color w:val="000000" w:themeColor="text1"/>
          <w:sz w:val="36"/>
          <w:szCs w:val="36"/>
          <w:highlight w:val="none"/>
          <w14:textFill>
            <w14:solidFill>
              <w14:schemeClr w14:val="tx1"/>
            </w14:solidFill>
          </w14:textFill>
        </w:rPr>
      </w:pPr>
    </w:p>
    <w:p>
      <w:pPr>
        <w:rPr>
          <w:rFonts w:ascii="仿宋" w:hAnsi="仿宋" w:eastAsia="仿宋" w:cs="仿宋"/>
          <w:b/>
          <w:color w:val="000000" w:themeColor="text1"/>
          <w:sz w:val="36"/>
          <w:szCs w:val="36"/>
          <w:highlight w:val="none"/>
          <w14:textFill>
            <w14:solidFill>
              <w14:schemeClr w14:val="tx1"/>
            </w14:solidFill>
          </w14:textFill>
        </w:rPr>
      </w:pPr>
    </w:p>
    <w:p>
      <w:pPr>
        <w:pStyle w:val="2"/>
        <w:rPr>
          <w:rFonts w:ascii="仿宋" w:hAnsi="仿宋" w:eastAsia="仿宋" w:cs="仿宋"/>
          <w:b/>
          <w:color w:val="000000" w:themeColor="text1"/>
          <w:sz w:val="36"/>
          <w:szCs w:val="36"/>
          <w:highlight w:val="none"/>
          <w14:textFill>
            <w14:solidFill>
              <w14:schemeClr w14:val="tx1"/>
            </w14:solidFill>
          </w14:textFill>
        </w:rPr>
      </w:pPr>
    </w:p>
    <w:p>
      <w:pPr>
        <w:pStyle w:val="5"/>
        <w:rPr>
          <w:rFonts w:ascii="仿宋" w:hAnsi="仿宋" w:eastAsia="仿宋" w:cs="仿宋"/>
          <w:b/>
          <w:color w:val="000000" w:themeColor="text1"/>
          <w:sz w:val="36"/>
          <w:szCs w:val="36"/>
          <w:highlight w:val="none"/>
          <w14:textFill>
            <w14:solidFill>
              <w14:schemeClr w14:val="tx1"/>
            </w14:solidFill>
          </w14:textFill>
        </w:rPr>
      </w:pPr>
    </w:p>
    <w:p>
      <w:pPr>
        <w:pStyle w:val="6"/>
        <w:rPr>
          <w:rFonts w:ascii="仿宋" w:hAnsi="仿宋" w:eastAsia="仿宋" w:cs="仿宋"/>
          <w:b/>
          <w:color w:val="000000" w:themeColor="text1"/>
          <w:sz w:val="36"/>
          <w:szCs w:val="36"/>
          <w:highlight w:val="none"/>
          <w14:textFill>
            <w14:solidFill>
              <w14:schemeClr w14:val="tx1"/>
            </w14:solidFill>
          </w14:textFill>
        </w:rPr>
      </w:pPr>
    </w:p>
    <w:p>
      <w:pPr>
        <w:rPr>
          <w:rFonts w:ascii="仿宋" w:hAnsi="仿宋" w:eastAsia="仿宋" w:cs="仿宋"/>
          <w:b/>
          <w:color w:val="000000" w:themeColor="text1"/>
          <w:sz w:val="36"/>
          <w:szCs w:val="36"/>
          <w:highlight w:val="none"/>
          <w14:textFill>
            <w14:solidFill>
              <w14:schemeClr w14:val="tx1"/>
            </w14:solidFill>
          </w14:textFill>
        </w:rPr>
      </w:pPr>
    </w:p>
    <w:p>
      <w:pPr>
        <w:pStyle w:val="2"/>
        <w:rPr>
          <w:rFonts w:ascii="仿宋" w:hAnsi="仿宋" w:eastAsia="仿宋" w:cs="仿宋"/>
          <w:b/>
          <w:color w:val="000000" w:themeColor="text1"/>
          <w:sz w:val="36"/>
          <w:szCs w:val="36"/>
          <w:highlight w:val="none"/>
          <w14:textFill>
            <w14:solidFill>
              <w14:schemeClr w14:val="tx1"/>
            </w14:solidFill>
          </w14:textFill>
        </w:rPr>
      </w:pPr>
    </w:p>
    <w:p>
      <w:pPr>
        <w:pStyle w:val="5"/>
        <w:rPr>
          <w:rFonts w:ascii="仿宋" w:hAnsi="仿宋" w:eastAsia="仿宋" w:cs="仿宋"/>
          <w:b/>
          <w:color w:val="000000" w:themeColor="text1"/>
          <w:sz w:val="36"/>
          <w:szCs w:val="36"/>
          <w:highlight w:val="none"/>
          <w14:textFill>
            <w14:solidFill>
              <w14:schemeClr w14:val="tx1"/>
            </w14:solidFill>
          </w14:textFill>
        </w:rPr>
      </w:pPr>
    </w:p>
    <w:p>
      <w:pPr>
        <w:pStyle w:val="6"/>
        <w:rPr>
          <w:rFonts w:ascii="仿宋" w:hAnsi="仿宋" w:eastAsia="仿宋" w:cs="仿宋"/>
          <w:b/>
          <w:color w:val="000000" w:themeColor="text1"/>
          <w:sz w:val="36"/>
          <w:szCs w:val="36"/>
          <w:highlight w:val="none"/>
          <w14:textFill>
            <w14:solidFill>
              <w14:schemeClr w14:val="tx1"/>
            </w14:solidFill>
          </w14:textFill>
        </w:rPr>
      </w:pPr>
    </w:p>
    <w:p>
      <w:pPr>
        <w:rPr>
          <w:rFonts w:ascii="仿宋" w:hAnsi="仿宋" w:eastAsia="仿宋" w:cs="仿宋"/>
          <w:b/>
          <w:color w:val="000000" w:themeColor="text1"/>
          <w:sz w:val="36"/>
          <w:szCs w:val="36"/>
          <w:highlight w:val="none"/>
          <w14:textFill>
            <w14:solidFill>
              <w14:schemeClr w14:val="tx1"/>
            </w14:solidFill>
          </w14:textFill>
        </w:rPr>
      </w:pPr>
    </w:p>
    <w:p>
      <w:pPr>
        <w:pStyle w:val="2"/>
        <w:rPr>
          <w:rFonts w:ascii="仿宋" w:hAnsi="仿宋" w:eastAsia="仿宋" w:cs="仿宋"/>
          <w:b/>
          <w:color w:val="000000" w:themeColor="text1"/>
          <w:sz w:val="36"/>
          <w:szCs w:val="36"/>
          <w:highlight w:val="none"/>
          <w14:textFill>
            <w14:solidFill>
              <w14:schemeClr w14:val="tx1"/>
            </w14:solidFill>
          </w14:textFill>
        </w:rPr>
      </w:pPr>
    </w:p>
    <w:p>
      <w:pPr>
        <w:pStyle w:val="5"/>
        <w:rPr>
          <w:rFonts w:ascii="仿宋" w:hAnsi="仿宋" w:eastAsia="仿宋" w:cs="仿宋"/>
          <w:b/>
          <w:color w:val="000000" w:themeColor="text1"/>
          <w:sz w:val="36"/>
          <w:szCs w:val="36"/>
          <w:highlight w:val="none"/>
          <w14:textFill>
            <w14:solidFill>
              <w14:schemeClr w14:val="tx1"/>
            </w14:solidFill>
          </w14:textFill>
        </w:rPr>
      </w:pPr>
    </w:p>
    <w:p>
      <w:pPr>
        <w:pStyle w:val="6"/>
        <w:rPr>
          <w:rFonts w:ascii="仿宋" w:hAnsi="仿宋" w:eastAsia="仿宋" w:cs="仿宋"/>
          <w:b/>
          <w:color w:val="000000" w:themeColor="text1"/>
          <w:sz w:val="36"/>
          <w:szCs w:val="36"/>
          <w:highlight w:val="none"/>
          <w14:textFill>
            <w14:solidFill>
              <w14:schemeClr w14:val="tx1"/>
            </w14:solidFill>
          </w14:textFill>
        </w:rPr>
      </w:pPr>
    </w:p>
    <w:p>
      <w:pPr>
        <w:rPr>
          <w:rFonts w:ascii="仿宋" w:hAnsi="仿宋" w:eastAsia="仿宋" w:cs="仿宋"/>
          <w:b/>
          <w:color w:val="000000" w:themeColor="text1"/>
          <w:sz w:val="36"/>
          <w:szCs w:val="36"/>
          <w:highlight w:val="none"/>
          <w14:textFill>
            <w14:solidFill>
              <w14:schemeClr w14:val="tx1"/>
            </w14:solidFill>
          </w14:textFill>
        </w:rPr>
      </w:pPr>
    </w:p>
    <w:p>
      <w:pPr>
        <w:spacing w:line="336"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ascii="仿宋" w:hAnsi="仿宋" w:eastAsia="仿宋" w:cs="仿宋"/>
          <w:b/>
          <w:color w:val="000000" w:themeColor="text1"/>
          <w:sz w:val="36"/>
          <w:szCs w:val="36"/>
          <w:highlight w:val="none"/>
          <w14:textFill>
            <w14:solidFill>
              <w14:schemeClr w14:val="tx1"/>
            </w14:solidFill>
          </w14:textFill>
        </w:rPr>
        <w:br w:type="textWrapping"/>
      </w:r>
      <w:r>
        <w:rPr>
          <w:rFonts w:ascii="仿宋" w:hAnsi="仿宋" w:eastAsia="仿宋" w:cs="仿宋"/>
          <w:b/>
          <w:color w:val="000000" w:themeColor="text1"/>
          <w:sz w:val="36"/>
          <w:szCs w:val="36"/>
          <w:highlight w:val="none"/>
          <w14:textFill>
            <w14:solidFill>
              <w14:schemeClr w14:val="tx1"/>
            </w14:solidFill>
          </w14:textFill>
        </w:rPr>
        <w:br w:type="textWrapping"/>
      </w:r>
      <w:r>
        <w:rPr>
          <w:rFonts w:ascii="仿宋" w:hAnsi="仿宋" w:eastAsia="仿宋" w:cs="仿宋"/>
          <w:b/>
          <w:color w:val="000000" w:themeColor="text1"/>
          <w:sz w:val="36"/>
          <w:szCs w:val="36"/>
          <w:highlight w:val="none"/>
          <w14:textFill>
            <w14:solidFill>
              <w14:schemeClr w14:val="tx1"/>
            </w14:solidFill>
          </w14:textFill>
        </w:rPr>
        <w:br w:type="textWrapping"/>
      </w:r>
      <w:r>
        <w:rPr>
          <w:rFonts w:hint="eastAsia" w:ascii="仿宋" w:hAnsi="仿宋" w:eastAsia="仿宋" w:cs="仿宋"/>
          <w:b/>
          <w:color w:val="000000" w:themeColor="text1"/>
          <w:sz w:val="36"/>
          <w:szCs w:val="36"/>
          <w:highlight w:val="none"/>
          <w14:textFill>
            <w14:solidFill>
              <w14:schemeClr w14:val="tx1"/>
            </w14:solidFill>
          </w14:textFill>
        </w:rPr>
        <w:t>第四部分  拟签订的合同文本</w:t>
      </w:r>
    </w:p>
    <w:p>
      <w:pPr>
        <w:spacing w:line="336" w:lineRule="auto"/>
        <w:rPr>
          <w:rFonts w:ascii="仿宋" w:hAnsi="仿宋" w:eastAsia="仿宋" w:cs="仿宋"/>
          <w:color w:val="000000" w:themeColor="text1"/>
          <w:sz w:val="24"/>
          <w:highlight w:val="none"/>
          <w14:textFill>
            <w14:solidFill>
              <w14:schemeClr w14:val="tx1"/>
            </w14:solidFill>
          </w14:textFill>
        </w:rPr>
      </w:pPr>
      <w:bookmarkStart w:id="64" w:name="_Toc86217003"/>
      <w:bookmarkStart w:id="65" w:name="第五部分"/>
    </w:p>
    <w:p>
      <w:pPr>
        <w:spacing w:line="336"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74"/>
        <w:rPr>
          <w:rFonts w:hint="eastAsia" w:ascii="仿宋" w:hAnsi="仿宋" w:eastAsia="仿宋" w:cs="仿宋"/>
          <w:color w:val="000000" w:themeColor="text1"/>
          <w:sz w:val="24"/>
          <w:highlight w:val="none"/>
          <w:u w:val="single"/>
          <w14:textFill>
            <w14:solidFill>
              <w14:schemeClr w14:val="tx1"/>
            </w14:solidFill>
          </w14:textFill>
        </w:rPr>
      </w:pPr>
    </w:p>
    <w:p>
      <w:pPr>
        <w:pStyle w:val="75"/>
        <w:rPr>
          <w:color w:val="000000" w:themeColor="text1"/>
          <w:highlight w:val="none"/>
          <w14:textFill>
            <w14:solidFill>
              <w14:schemeClr w14:val="tx1"/>
            </w14:solidFill>
          </w14:textFill>
        </w:rPr>
      </w:pPr>
    </w:p>
    <w:p>
      <w:pPr>
        <w:spacing w:line="336" w:lineRule="auto"/>
        <w:rPr>
          <w:rFonts w:ascii="仿宋" w:hAnsi="仿宋" w:eastAsia="仿宋" w:cs="仿宋"/>
          <w:color w:val="000000" w:themeColor="text1"/>
          <w:sz w:val="24"/>
          <w:highlight w:val="none"/>
          <w:u w:val="single"/>
          <w14:textFill>
            <w14:solidFill>
              <w14:schemeClr w14:val="tx1"/>
            </w14:solidFill>
          </w14:textFill>
        </w:rPr>
      </w:pPr>
    </w:p>
    <w:p>
      <w:pPr>
        <w:pStyle w:val="286"/>
        <w:spacing w:after="0" w:line="336" w:lineRule="auto"/>
        <w:ind w:left="0" w:leftChars="0" w:firstLine="0" w:firstLineChars="0"/>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政府采购合同书</w:t>
      </w: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w:t>
      </w:r>
      <w:r>
        <w:rPr>
          <w:rFonts w:hint="eastAsia" w:ascii="仿宋_GB2312" w:hAnsi="仿宋" w:eastAsia="仿宋_GB2312" w:cs="仿宋_GB2312"/>
          <w:b/>
          <w:color w:val="000000" w:themeColor="text1"/>
          <w:sz w:val="36"/>
          <w:szCs w:val="36"/>
          <w:highlight w:val="none"/>
          <w:lang w:eastAsia="zh-CN"/>
          <w14:textFill>
            <w14:solidFill>
              <w14:schemeClr w14:val="tx1"/>
            </w14:solidFill>
          </w14:textFill>
        </w:rPr>
        <w:t>服务</w:t>
      </w:r>
      <w:r>
        <w:rPr>
          <w:rFonts w:hint="eastAsia" w:ascii="仿宋_GB2312" w:hAnsi="仿宋" w:eastAsia="仿宋_GB2312" w:cs="仿宋_GB2312"/>
          <w:b/>
          <w:color w:val="000000" w:themeColor="text1"/>
          <w:sz w:val="36"/>
          <w:szCs w:val="36"/>
          <w:highlight w:val="none"/>
          <w14:textFill>
            <w14:solidFill>
              <w14:schemeClr w14:val="tx1"/>
            </w14:solidFill>
          </w14:textFill>
        </w:rPr>
        <w:t>类）</w:t>
      </w:r>
    </w:p>
    <w:p>
      <w:pPr>
        <w:pStyle w:val="286"/>
        <w:spacing w:after="0" w:line="336" w:lineRule="auto"/>
        <w:ind w:left="0" w:leftChars="0"/>
        <w:rPr>
          <w:rFonts w:ascii="仿宋" w:hAnsi="仿宋" w:eastAsia="仿宋" w:cs="仿宋"/>
          <w:color w:val="000000" w:themeColor="text1"/>
          <w:szCs w:val="24"/>
          <w:highlight w:val="none"/>
          <w14:textFill>
            <w14:solidFill>
              <w14:schemeClr w14:val="tx1"/>
            </w14:solidFill>
          </w14:textFill>
        </w:rPr>
      </w:pPr>
    </w:p>
    <w:p>
      <w:pPr>
        <w:pStyle w:val="286"/>
        <w:ind w:firstLine="2843" w:firstLineChars="118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第一部分   合同书</w:t>
      </w:r>
    </w:p>
    <w:p>
      <w:pPr>
        <w:pStyle w:val="21"/>
        <w:rPr>
          <w:rFonts w:ascii="仿宋" w:hAnsi="仿宋" w:eastAsia="仿宋" w:cs="仿宋"/>
          <w:color w:val="000000" w:themeColor="text1"/>
          <w:szCs w:val="24"/>
          <w:highlight w:val="none"/>
          <w14:textFill>
            <w14:solidFill>
              <w14:schemeClr w14:val="tx1"/>
            </w14:solidFill>
          </w14:textFill>
        </w:rPr>
      </w:pPr>
    </w:p>
    <w:p>
      <w:pPr>
        <w:pStyle w:val="21"/>
        <w:rPr>
          <w:rFonts w:ascii="仿宋" w:hAnsi="仿宋" w:eastAsia="仿宋" w:cs="仿宋"/>
          <w:color w:val="000000" w:themeColor="text1"/>
          <w:szCs w:val="24"/>
          <w:highlight w:val="none"/>
          <w14:textFill>
            <w14:solidFill>
              <w14:schemeClr w14:val="tx1"/>
            </w14:solidFill>
          </w14:textFill>
        </w:rPr>
      </w:pPr>
    </w:p>
    <w:p>
      <w:pPr>
        <w:pStyle w:val="21"/>
        <w:ind w:left="0" w:leftChars="0" w:firstLine="0" w:firstLineChars="0"/>
        <w:rPr>
          <w:rFonts w:ascii="仿宋" w:hAnsi="仿宋" w:eastAsia="仿宋" w:cs="仿宋"/>
          <w:color w:val="000000" w:themeColor="text1"/>
          <w:szCs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ind w:firstLine="1200" w:firstLineChars="5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620"/>
        <w:spacing w:line="336" w:lineRule="auto"/>
        <w:rPr>
          <w:rFonts w:ascii="仿宋" w:hAnsi="仿宋" w:eastAsia="仿宋" w:cs="仿宋"/>
          <w:color w:val="000000" w:themeColor="text1"/>
          <w:szCs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ind w:firstLine="1200" w:firstLineChars="5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ind w:firstLine="1200" w:firstLineChars="5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ind w:firstLine="1200" w:firstLineChars="5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pacing w:line="336" w:lineRule="auto"/>
        <w:ind w:firstLine="1200" w:firstLineChars="5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adjustRightInd/>
        <w:spacing w:line="336"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pPr>
        <w:spacing w:line="336" w:lineRule="auto"/>
        <w:rPr>
          <w:rFonts w:ascii="仿宋" w:hAnsi="仿宋" w:eastAsia="仿宋" w:cs="仿宋"/>
          <w:b/>
          <w:color w:val="000000" w:themeColor="text1"/>
          <w:sz w:val="24"/>
          <w:highlight w:val="none"/>
          <w14:textFill>
            <w14:solidFill>
              <w14:schemeClr w14:val="tx1"/>
            </w14:solidFill>
          </w14:textFill>
        </w:rPr>
      </w:pP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日内，按照采购文件确定的事项签订本合同。</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（中或者成交标供应商名称）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336" w:lineRule="auto"/>
        <w:ind w:firstLine="482" w:firstLineChars="200"/>
        <w:outlineLvl w:val="0"/>
        <w:rPr>
          <w:rFonts w:ascii="仿宋" w:hAnsi="仿宋" w:eastAsia="仿宋" w:cs="仿宋"/>
          <w:color w:val="000000" w:themeColor="text1"/>
          <w:sz w:val="24"/>
          <w:highlight w:val="none"/>
          <w14:textFill>
            <w14:solidFill>
              <w14:schemeClr w14:val="tx1"/>
            </w14:solidFill>
          </w14:textFill>
        </w:rPr>
      </w:pPr>
      <w:bookmarkStart w:id="66" w:name="_Toc28855"/>
      <w:bookmarkStart w:id="67" w:name="_Toc22967"/>
      <w:bookmarkStart w:id="68" w:name="_Toc15367"/>
      <w:bookmarkStart w:id="69" w:name="_Toc19273"/>
      <w:bookmarkStart w:id="70" w:name="_Toc20421"/>
      <w:r>
        <w:rPr>
          <w:rFonts w:hint="eastAsia" w:ascii="仿宋" w:hAnsi="仿宋" w:eastAsia="仿宋" w:cs="仿宋"/>
          <w:b/>
          <w:color w:val="000000" w:themeColor="text1"/>
          <w:sz w:val="24"/>
          <w:highlight w:val="none"/>
          <w:lang w:eastAsia="zh-CN"/>
          <w14:textFill>
            <w14:solidFill>
              <w14:schemeClr w14:val="tx1"/>
            </w14:solidFill>
          </w14:textFill>
        </w:rPr>
        <w:t>一、</w:t>
      </w:r>
      <w:r>
        <w:rPr>
          <w:rFonts w:hint="eastAsia" w:ascii="仿宋" w:hAnsi="仿宋" w:eastAsia="仿宋" w:cs="仿宋"/>
          <w:b/>
          <w:color w:val="000000" w:themeColor="text1"/>
          <w:sz w:val="24"/>
          <w:highlight w:val="none"/>
          <w14:textFill>
            <w14:solidFill>
              <w14:schemeClr w14:val="tx1"/>
            </w14:solidFill>
          </w14:textFill>
        </w:rPr>
        <w:t>合同组成部分</w:t>
      </w:r>
      <w:bookmarkEnd w:id="66"/>
      <w:bookmarkEnd w:id="67"/>
      <w:bookmarkEnd w:id="68"/>
      <w:bookmarkEnd w:id="69"/>
      <w:bookmarkEnd w:id="70"/>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本合同及其补充合同、变更协议；</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中标或者成交通知书；</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磋商响应文件（含澄清或者说明文件）；</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采购文件（含澄清或者修改文件）；</w:t>
      </w:r>
    </w:p>
    <w:p>
      <w:pPr>
        <w:spacing w:line="336"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其他相关采购文件。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82" w:firstLineChars="2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二、</w:t>
      </w:r>
      <w:r>
        <w:rPr>
          <w:rFonts w:hint="eastAsia" w:ascii="仿宋" w:hAnsi="仿宋" w:eastAsia="仿宋" w:cs="仿宋"/>
          <w:b/>
          <w:color w:val="auto"/>
          <w:sz w:val="24"/>
          <w:szCs w:val="24"/>
          <w:highlight w:val="none"/>
          <w:lang w:eastAsia="zh-CN"/>
        </w:rPr>
        <w:t>项目名称</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项目名称：2025崇仁镇“古越山水 崇启芳华”文化旅游活动暨音乐嘉年华采购项目(表演活动、组织、宣传及辅助服务）</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三、合同金额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本项目合同金额为人民币（大写）：</w:t>
      </w:r>
      <w:r>
        <w:rPr>
          <w:rFonts w:hint="eastAsia" w:ascii="仿宋" w:hAnsi="仿宋" w:eastAsia="仿宋" w:cs="仿宋"/>
          <w:b w:val="0"/>
          <w:bCs w:val="0"/>
          <w:color w:val="auto"/>
          <w:sz w:val="24"/>
          <w:szCs w:val="24"/>
          <w:highlight w:val="none"/>
          <w:u w:val="none"/>
          <w:shd w:val="clear" w:color="auto" w:fill="auto"/>
          <w:lang w:val="en-US" w:eastAsia="zh-CN"/>
        </w:rPr>
        <w:t>__________</w:t>
      </w:r>
      <w:r>
        <w:rPr>
          <w:rFonts w:hint="eastAsia" w:ascii="仿宋" w:hAnsi="仿宋" w:eastAsia="仿宋" w:cs="仿宋"/>
          <w:b w:val="0"/>
          <w:bCs w:val="0"/>
          <w:color w:val="auto"/>
          <w:sz w:val="24"/>
          <w:szCs w:val="24"/>
          <w:highlight w:val="none"/>
          <w:shd w:val="clear" w:color="auto" w:fill="auto"/>
          <w:lang w:val="en-US" w:eastAsia="zh-CN"/>
        </w:rPr>
        <w:t>元（小写：￥</w:t>
      </w:r>
      <w:r>
        <w:rPr>
          <w:rFonts w:hint="eastAsia" w:ascii="仿宋" w:hAnsi="仿宋" w:eastAsia="仿宋" w:cs="仿宋"/>
          <w:b w:val="0"/>
          <w:bCs w:val="0"/>
          <w:color w:val="auto"/>
          <w:sz w:val="24"/>
          <w:szCs w:val="24"/>
          <w:highlight w:val="none"/>
          <w:u w:val="none"/>
          <w:shd w:val="clear" w:color="auto" w:fill="auto"/>
          <w:lang w:val="en-US" w:eastAsia="zh-CN"/>
        </w:rPr>
        <w:t>__________</w:t>
      </w:r>
      <w:r>
        <w:rPr>
          <w:rFonts w:hint="eastAsia" w:ascii="仿宋" w:hAnsi="仿宋" w:eastAsia="仿宋" w:cs="仿宋"/>
          <w:b w:val="0"/>
          <w:bCs w:val="0"/>
          <w:color w:val="auto"/>
          <w:sz w:val="24"/>
          <w:szCs w:val="24"/>
          <w:highlight w:val="none"/>
          <w:shd w:val="clear" w:color="auto" w:fill="auto"/>
          <w:lang w:val="en-US" w:eastAsia="zh-CN"/>
        </w:rPr>
        <w:t>元）。</w:t>
      </w:r>
    </w:p>
    <w:p>
      <w:pPr>
        <w:spacing w:line="336" w:lineRule="auto"/>
        <w:ind w:firstLine="482" w:firstLineChars="200"/>
        <w:outlineLvl w:val="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四、服务期限</w:t>
      </w:r>
    </w:p>
    <w:p>
      <w:pPr>
        <w:widowControl w:val="0"/>
        <w:tabs>
          <w:tab w:val="left" w:pos="420"/>
        </w:tabs>
        <w:adjustRightInd/>
        <w:snapToGrid/>
        <w:spacing w:after="0" w:line="360" w:lineRule="auto"/>
        <w:ind w:firstLine="480" w:firstLineChars="200"/>
        <w:jc w:val="both"/>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auto"/>
          <w:kern w:val="2"/>
          <w:sz w:val="24"/>
          <w:szCs w:val="24"/>
          <w:lang w:eastAsia="zh-CN"/>
        </w:rPr>
        <w:t>合同签订之日起至活动结束。</w:t>
      </w:r>
    </w:p>
    <w:p>
      <w:pPr>
        <w:pStyle w:val="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auto"/>
          <w:sz w:val="24"/>
          <w:szCs w:val="24"/>
          <w:highlight w:val="none"/>
          <w:lang w:val="en-US" w:eastAsia="zh-CN"/>
        </w:rPr>
        <w:t>服务内容及要求</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1、活动策划与执行：</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制定活动整体方案，包含开幕式、星空音乐会、花海主题游、古镇情景秀等环节的流程设计与落地执行。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统筹场地布置（温泉城、古镇核心区、花海区域），确保场景与“古韵新生”主题契合。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协调演出团队，并负责演职人员管理及现场调度。  </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2、宣传推广：</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制定全媒体宣发方案，覆盖预热期、活动期、延续期，包括短视频制作、话题运营、媒体矩阵投放（国家级至市级媒体）。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提供活动摄影摄像服务，产出高质量图文及视频素材用于宣传留存。  </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3、文旅消费场景搭建：</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策划并落地“星光文创市集”，整合非遗手作、崇仁特产、美食等，确保市集品质与游客体验。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设计“乡村漫游计划”打卡机制，包括地图制作、印章点位设置及奖品发放。  </w:t>
      </w:r>
    </w:p>
    <w:p>
      <w:pPr>
        <w:pStyle w:val="2"/>
        <w:spacing w:line="360" w:lineRule="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4、安全保障与后勤保障：</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制定应急预案，配备专业安保团队及医疗人员，确保活动期间人流管控、设备安全及突发事件处理。  </w:t>
      </w:r>
    </w:p>
    <w:p>
      <w:pPr>
        <w:pStyle w:val="2"/>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负责活动所需设备租赁（灯光、音响、舞台装置等）及物流协调。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六、付款方式</w:t>
      </w:r>
    </w:p>
    <w:p>
      <w:pPr>
        <w:spacing w:line="336"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活动结束后2个月内付清。</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验收</w:t>
      </w:r>
    </w:p>
    <w:p>
      <w:pPr>
        <w:pStyle w:val="8"/>
        <w:numPr>
          <w:ilvl w:val="0"/>
          <w:numId w:val="0"/>
        </w:numPr>
        <w:ind w:leftChars="0" w:firstLine="480" w:firstLineChars="200"/>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甲方进行不定期的</w:t>
      </w:r>
      <w:r>
        <w:rPr>
          <w:rFonts w:hint="eastAsia" w:ascii="仿宋" w:eastAsia="仿宋" w:cs="仿宋"/>
          <w:b w:val="0"/>
          <w:bCs w:val="0"/>
          <w:color w:val="000000" w:themeColor="text1"/>
          <w:kern w:val="2"/>
          <w:sz w:val="24"/>
          <w:szCs w:val="24"/>
          <w:highlight w:val="none"/>
          <w:lang w:val="en-US" w:eastAsia="zh-CN" w:bidi="ar-SA"/>
          <w14:textFill>
            <w14:solidFill>
              <w14:schemeClr w14:val="tx1"/>
            </w14:solidFill>
          </w14:textFill>
        </w:rPr>
        <w:t>进行</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检查，对存在问题及时要求乙方督促改进。对照合同，由甲乙双方组织相关人员验收。作为支付合同款项的依据。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82" w:firstLineChars="2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八、履约保证金</w:t>
      </w:r>
    </w:p>
    <w:p>
      <w:pPr>
        <w:widowControl w:val="0"/>
        <w:tabs>
          <w:tab w:val="left" w:pos="420"/>
        </w:tabs>
        <w:adjustRightInd/>
        <w:snapToGrid/>
        <w:spacing w:after="0" w:line="360" w:lineRule="auto"/>
        <w:ind w:firstLine="240" w:firstLineChars="1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履约保证金的金额为中标价的1%，履约保证金在待乙方履约完成后7个工作日内一次性无息退还。</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82" w:firstLineChars="2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九、其他要求</w:t>
      </w:r>
    </w:p>
    <w:p>
      <w:pPr>
        <w:keepNext w:val="0"/>
        <w:keepLines w:val="0"/>
        <w:pageBreakBefore w:val="0"/>
        <w:widowControl w:val="0"/>
        <w:tabs>
          <w:tab w:val="left" w:pos="5650"/>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1.合同履行期间因上级部门或新下发文件要求导致服务工作内容或工作量增加或调整的，</w:t>
      </w:r>
      <w:r>
        <w:rPr>
          <w:rFonts w:hint="eastAsia" w:ascii="仿宋" w:hAnsi="仿宋" w:eastAsia="仿宋" w:cs="仿宋"/>
          <w:b w:val="0"/>
          <w:bCs w:val="0"/>
          <w:color w:val="auto"/>
          <w:sz w:val="24"/>
          <w:szCs w:val="24"/>
          <w:highlight w:val="none"/>
          <w:u w:val="none"/>
          <w:lang w:val="en-US" w:eastAsia="zh-CN"/>
        </w:rPr>
        <w:t>乙方</w:t>
      </w:r>
      <w:r>
        <w:rPr>
          <w:rFonts w:hint="eastAsia" w:ascii="仿宋" w:hAnsi="仿宋" w:eastAsia="仿宋" w:cs="仿宋"/>
          <w:b w:val="0"/>
          <w:bCs w:val="0"/>
          <w:color w:val="auto"/>
          <w:sz w:val="24"/>
          <w:szCs w:val="24"/>
          <w:highlight w:val="none"/>
          <w:lang w:val="en-US" w:eastAsia="zh-CN" w:bidi="ar-SA"/>
        </w:rPr>
        <w:t>应积极响应并实施到位，不得以任何形式或理由要求增加相关费用，投标人投标时须考虑相关风险。</w:t>
      </w:r>
    </w:p>
    <w:p>
      <w:pPr>
        <w:keepNext w:val="0"/>
        <w:keepLines w:val="0"/>
        <w:pageBreakBefore w:val="0"/>
        <w:widowControl w:val="0"/>
        <w:tabs>
          <w:tab w:val="left" w:pos="5650"/>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2.安全文明作业要求：</w:t>
      </w:r>
      <w:r>
        <w:rPr>
          <w:rFonts w:hint="eastAsia" w:ascii="仿宋" w:hAnsi="仿宋" w:eastAsia="仿宋" w:cs="仿宋"/>
          <w:b w:val="0"/>
          <w:bCs w:val="0"/>
          <w:color w:val="auto"/>
          <w:sz w:val="24"/>
          <w:szCs w:val="24"/>
          <w:highlight w:val="none"/>
          <w:u w:val="none"/>
          <w:lang w:val="en-US" w:eastAsia="zh-CN"/>
        </w:rPr>
        <w:t>乙方</w:t>
      </w:r>
      <w:r>
        <w:rPr>
          <w:rFonts w:hint="eastAsia" w:ascii="仿宋" w:hAnsi="仿宋" w:eastAsia="仿宋" w:cs="仿宋"/>
          <w:b w:val="0"/>
          <w:bCs w:val="0"/>
          <w:color w:val="auto"/>
          <w:sz w:val="24"/>
          <w:szCs w:val="24"/>
          <w:highlight w:val="none"/>
          <w:lang w:val="en-US" w:eastAsia="zh-CN" w:bidi="ar-SA"/>
        </w:rPr>
        <w:t>必须重视安全文明工作，并按相关技术规程、规范和规定进行作业，确保不出安全责任事故。如发生安全生产责任事故或交通事故，由乙方承担一切责任及损失。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十、其他</w:t>
      </w:r>
      <w:r>
        <w:rPr>
          <w:rFonts w:hint="eastAsia" w:ascii="仿宋" w:hAnsi="仿宋" w:eastAsia="仿宋" w:cs="仿宋"/>
          <w:b/>
          <w:color w:val="auto"/>
          <w:sz w:val="24"/>
          <w:szCs w:val="24"/>
          <w:highlight w:val="none"/>
          <w:shd w:val="clear" w:color="auto" w:fill="auto"/>
        </w:rPr>
        <w:t>责任</w:t>
      </w:r>
    </w:p>
    <w:p>
      <w:pPr>
        <w:keepNext w:val="0"/>
        <w:keepLines w:val="0"/>
        <w:pageBreakBefore w:val="0"/>
        <w:widowControl/>
        <w:kinsoku/>
        <w:wordWrap/>
        <w:overflowPunct/>
        <w:topLinePunct w:val="0"/>
        <w:autoSpaceDE/>
        <w:autoSpaceDN/>
        <w:bidi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1.甲方无正当理由拒绝验收项目的，甲方向乙方偿付拒收合同总价的百分之五违约金。</w:t>
      </w:r>
    </w:p>
    <w:p>
      <w:pPr>
        <w:keepNext w:val="0"/>
        <w:keepLines w:val="0"/>
        <w:pageBreakBefore w:val="0"/>
        <w:widowControl/>
        <w:kinsoku/>
        <w:wordWrap/>
        <w:overflowPunct/>
        <w:topLinePunct w:val="0"/>
        <w:autoSpaceDE/>
        <w:autoSpaceDN/>
        <w:bidi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2.甲方无故逾期验收和办理合同款项支付手续的,甲方应按逾期付款总额每日万分之五向乙方支付违约金。</w:t>
      </w:r>
    </w:p>
    <w:p>
      <w:pPr>
        <w:keepNext w:val="0"/>
        <w:keepLines w:val="0"/>
        <w:pageBreakBefore w:val="0"/>
        <w:widowControl/>
        <w:kinsoku/>
        <w:wordWrap/>
        <w:overflowPunct/>
        <w:topLinePunct w:val="0"/>
        <w:autoSpaceDE/>
        <w:autoSpaceDN/>
        <w:bidi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keepNext w:val="0"/>
        <w:keepLines w:val="0"/>
        <w:pageBreakBefore w:val="0"/>
        <w:widowControl/>
        <w:kinsoku/>
        <w:wordWrap/>
        <w:overflowPunct/>
        <w:topLinePunct w:val="0"/>
        <w:autoSpaceDE/>
        <w:autoSpaceDN/>
        <w:bidi w:val="0"/>
        <w:snapToGrid w:val="0"/>
        <w:spacing w:line="360" w:lineRule="auto"/>
        <w:ind w:firstLine="480" w:firstLineChars="200"/>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color w:val="auto"/>
          <w:kern w:val="0"/>
          <w:sz w:val="24"/>
          <w:highlight w:val="none"/>
        </w:rPr>
        <w:t>4.乙方所履行的服务质量或服务数量不符合合同规定及采购文件规定的，甲方有权中止接受服务，单方面解除合同，且相关损失由乙方承担。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十一、转包或分包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1.本合同范围的服务，应由乙方直接提供，不得转让他人。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2.乙方不得部分分包给他人，甲方有绝对权力阻止分包。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b w:val="0"/>
          <w:bCs w:val="0"/>
          <w:color w:val="auto"/>
          <w:sz w:val="24"/>
          <w:szCs w:val="24"/>
          <w:highlight w:val="none"/>
          <w:shd w:val="clear" w:color="auto" w:fill="auto"/>
          <w:lang w:val="en-US" w:eastAsia="zh-CN"/>
        </w:rPr>
        <w:t>3.乙方必须在甲方要求的时间内，保质保量独立完成服务任务，未经甲方书面同意，乙方将本项目业务分包、转包，视为供应商违约，该分包、转包行为无效，每发现一次违约金标准为人民币10000元，甲方保留追索的权利，以弥补自身损失，并有权视情况立即终止本协议的履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十二、</w:t>
      </w:r>
      <w:r>
        <w:rPr>
          <w:rFonts w:hint="eastAsia" w:ascii="仿宋" w:hAnsi="仿宋" w:eastAsia="仿宋" w:cs="仿宋"/>
          <w:b/>
          <w:bCs/>
          <w:color w:val="auto"/>
          <w:sz w:val="24"/>
          <w:szCs w:val="24"/>
          <w:highlight w:val="none"/>
          <w:shd w:val="clear" w:color="auto" w:fill="auto"/>
        </w:rPr>
        <w:t>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甲乙双方的任何一方由于不可抗力的原因不能履行合同时，应及时向对方通报不能履行或不能完全履行的理由，经</w:t>
      </w:r>
      <w:r>
        <w:rPr>
          <w:rFonts w:hint="eastAsia" w:ascii="仿宋" w:hAnsi="仿宋" w:eastAsia="仿宋" w:cs="仿宋"/>
          <w:color w:val="auto"/>
          <w:sz w:val="24"/>
          <w:szCs w:val="24"/>
          <w:highlight w:val="none"/>
          <w:shd w:val="clear" w:color="auto" w:fill="auto"/>
          <w:lang w:eastAsia="zh-CN"/>
        </w:rPr>
        <w:t>甲方</w:t>
      </w:r>
      <w:r>
        <w:rPr>
          <w:rFonts w:hint="eastAsia" w:ascii="仿宋" w:hAnsi="仿宋" w:eastAsia="仿宋" w:cs="仿宋"/>
          <w:color w:val="auto"/>
          <w:sz w:val="24"/>
          <w:szCs w:val="24"/>
          <w:highlight w:val="none"/>
          <w:shd w:val="clear" w:color="auto" w:fill="auto"/>
        </w:rPr>
        <w:t>确认后，允许延期履行、部分履行或者不履行合同，并免予承担违约责任。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十</w:t>
      </w:r>
      <w:r>
        <w:rPr>
          <w:rFonts w:hint="eastAsia" w:ascii="仿宋" w:hAnsi="仿宋" w:eastAsia="仿宋" w:cs="仿宋"/>
          <w:b/>
          <w:bCs/>
          <w:color w:val="auto"/>
          <w:sz w:val="24"/>
          <w:szCs w:val="24"/>
          <w:highlight w:val="none"/>
          <w:shd w:val="clear" w:color="auto" w:fill="auto"/>
          <w:lang w:val="en-US" w:eastAsia="zh-CN"/>
        </w:rPr>
        <w:t>三、合同争议的解决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本合同履行过程中发生的任何争议，双方当事人均可通过和解或者调解解决；不愿和解、调解或者和解、调解不成的，将争议提交绍兴仲裁委员会仲裁。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rPr>
        <w:t>十</w:t>
      </w:r>
      <w:r>
        <w:rPr>
          <w:rFonts w:hint="eastAsia" w:ascii="仿宋" w:hAnsi="仿宋" w:eastAsia="仿宋" w:cs="仿宋"/>
          <w:b/>
          <w:bCs/>
          <w:color w:val="auto"/>
          <w:sz w:val="24"/>
          <w:szCs w:val="24"/>
          <w:highlight w:val="none"/>
          <w:shd w:val="clear" w:color="auto" w:fill="auto"/>
          <w:lang w:val="en-US" w:eastAsia="zh-CN"/>
        </w:rPr>
        <w:t>四、</w:t>
      </w:r>
      <w:r>
        <w:rPr>
          <w:rFonts w:hint="eastAsia" w:ascii="仿宋" w:hAnsi="仿宋" w:eastAsia="仿宋" w:cs="仿宋"/>
          <w:b/>
          <w:snapToGrid w:val="0"/>
          <w:color w:val="auto"/>
          <w:kern w:val="0"/>
          <w:sz w:val="24"/>
          <w:szCs w:val="24"/>
          <w:lang w:val="en-US" w:eastAsia="zh-CN" w:bidi="ar-SA"/>
        </w:rPr>
        <w:t>合同生效及其它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合同执行期内，甲乙双方均不得随意变更或解除合同。合同如有未尽事宜，须经双方共同协商，作出补充规定，补充规定与本合同具有同等效力。本合同一式伍份，甲、乙双方各执贰份，代理机构执壹份。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 xml:space="preserve">本合同经甲乙双方签字、加盖公章后生效。 </w:t>
      </w:r>
    </w:p>
    <w:p>
      <w:pPr>
        <w:spacing w:line="520" w:lineRule="exact"/>
        <w:ind w:left="0" w:leftChars="0" w:firstLine="0" w:firstLineChars="0"/>
        <w:rPr>
          <w:rFonts w:hint="eastAsia" w:ascii="宋体" w:hAnsi="宋体" w:cs="宋体"/>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甲方（盖章）</w:t>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　　       乙方（盖章）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代表：</w:t>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　　　　　     代表：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电话：</w:t>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　　　　　     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地址：</w:t>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ab/>
      </w:r>
      <w:r>
        <w:rPr>
          <w:rFonts w:hint="eastAsia" w:ascii="仿宋" w:hAnsi="仿宋" w:eastAsia="仿宋" w:cs="仿宋"/>
          <w:b w:val="0"/>
          <w:bCs w:val="0"/>
          <w:color w:val="auto"/>
          <w:sz w:val="24"/>
          <w:szCs w:val="24"/>
          <w:highlight w:val="none"/>
          <w:shd w:val="clear" w:color="auto" w:fill="auto"/>
          <w:lang w:val="en-US" w:eastAsia="zh-CN"/>
        </w:rPr>
        <w:t>　　　　　     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开户银行：                          开户银行：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银行账号：                          银行账号：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年   月   日                        年   月   日</w:t>
      </w:r>
    </w:p>
    <w:p>
      <w:pPr>
        <w:spacing w:line="500" w:lineRule="exact"/>
        <w:ind w:firstLine="482" w:firstLineChars="200"/>
        <w:rPr>
          <w:rFonts w:hint="eastAsia" w:ascii="仿宋" w:hAnsi="仿宋" w:eastAsia="仿宋" w:cs="仿宋"/>
          <w:b/>
          <w:bCs/>
          <w:color w:val="auto"/>
          <w:sz w:val="24"/>
          <w:szCs w:val="24"/>
        </w:rPr>
        <w:sectPr>
          <w:headerReference r:id="rId8" w:type="default"/>
          <w:footerReference r:id="rId9" w:type="default"/>
          <w:pgSz w:w="11906" w:h="16838"/>
          <w:pgMar w:top="1797" w:right="1440" w:bottom="986" w:left="1440" w:header="851" w:footer="851" w:gutter="0"/>
          <w:pgNumType w:fmt="decimal"/>
          <w:cols w:space="720" w:num="1"/>
          <w:docGrid w:type="lines" w:linePitch="312" w:charSpace="0"/>
        </w:sectPr>
      </w:pPr>
      <w:r>
        <w:rPr>
          <w:rFonts w:hint="eastAsia" w:ascii="仿宋" w:hAnsi="仿宋" w:eastAsia="仿宋" w:cs="仿宋"/>
          <w:b/>
          <w:bCs/>
          <w:color w:val="auto"/>
          <w:sz w:val="24"/>
          <w:szCs w:val="24"/>
        </w:rPr>
        <w:t>注：本合同仅作示范文本，具体以双方签定的正式合同为准，合同内容不得违背本招标文件实质性要求</w:t>
      </w:r>
    </w:p>
    <w:p>
      <w:pPr>
        <w:widowControl/>
        <w:adjustRightInd/>
        <w:spacing w:line="336" w:lineRule="auto"/>
        <w:jc w:val="left"/>
        <w:rPr>
          <w:rFonts w:ascii="仿宋" w:hAnsi="仿宋" w:eastAsia="仿宋" w:cs="仿宋"/>
          <w:b/>
          <w:color w:val="000000" w:themeColor="text1"/>
          <w:sz w:val="24"/>
          <w:highlight w:val="none"/>
          <w14:textFill>
            <w14:solidFill>
              <w14:schemeClr w14:val="tx1"/>
            </w14:solidFill>
          </w14:textFill>
        </w:rPr>
      </w:pPr>
    </w:p>
    <w:bookmarkEnd w:id="64"/>
    <w:bookmarkEnd w:id="65"/>
    <w:p>
      <w:pPr>
        <w:adjustRightInd/>
        <w:spacing w:line="336"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第五部分  </w:t>
      </w:r>
      <w:bookmarkEnd w:id="62"/>
      <w:bookmarkEnd w:id="63"/>
      <w:bookmarkStart w:id="71" w:name="第四部分"/>
      <w:r>
        <w:rPr>
          <w:rFonts w:hint="eastAsia" w:ascii="仿宋" w:hAnsi="仿宋" w:eastAsia="仿宋" w:cs="仿宋"/>
          <w:b/>
          <w:color w:val="000000" w:themeColor="text1"/>
          <w:sz w:val="36"/>
          <w:szCs w:val="36"/>
          <w:highlight w:val="none"/>
          <w14:textFill>
            <w14:solidFill>
              <w14:schemeClr w14:val="tx1"/>
            </w14:solidFill>
          </w14:textFill>
        </w:rPr>
        <w:t>评审方法及评审标准</w:t>
      </w:r>
    </w:p>
    <w:p>
      <w:pPr>
        <w:spacing w:line="336"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1、磋商方法：</w:t>
      </w:r>
    </w:p>
    <w:p>
      <w:pPr>
        <w:spacing w:line="336" w:lineRule="auto"/>
        <w:ind w:firstLine="480"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336"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2.评审标准：</w:t>
      </w:r>
      <w:r>
        <w:rPr>
          <w:rFonts w:hint="eastAsia" w:ascii="仿宋" w:hAnsi="仿宋" w:eastAsia="仿宋" w:cs="仿宋"/>
          <w:color w:val="000000" w:themeColor="text1"/>
          <w:sz w:val="24"/>
          <w:highlight w:val="none"/>
          <w14:textFill>
            <w14:solidFill>
              <w14:schemeClr w14:val="tx1"/>
            </w14:solidFill>
          </w14:textFill>
        </w:rPr>
        <w:t>共100分，</w:t>
      </w:r>
      <w:bookmarkStart w:id="72" w:name="OLE_LINK1"/>
      <w:r>
        <w:rPr>
          <w:rFonts w:hint="eastAsia" w:ascii="仿宋" w:hAnsi="仿宋" w:eastAsia="仿宋" w:cs="仿宋"/>
          <w:color w:val="000000" w:themeColor="text1"/>
          <w:sz w:val="24"/>
          <w:highlight w:val="none"/>
          <w14:textFill>
            <w14:solidFill>
              <w14:schemeClr w14:val="tx1"/>
            </w14:solidFill>
          </w14:textFill>
        </w:rPr>
        <w:t>其中商务技术分</w:t>
      </w:r>
      <w:r>
        <w:rPr>
          <w:rFonts w:hint="eastAsia" w:ascii="仿宋" w:hAnsi="仿宋" w:eastAsia="仿宋" w:cs="仿宋"/>
          <w:color w:val="000000" w:themeColor="text1"/>
          <w:sz w:val="24"/>
          <w:highlight w:val="none"/>
          <w:u w:val="single"/>
          <w:lang w:val="en-US" w:eastAsia="zh-CN"/>
          <w14:textFill>
            <w14:solidFill>
              <w14:schemeClr w14:val="tx1"/>
            </w14:solidFill>
          </w14:textFill>
        </w:rPr>
        <w:t>80</w:t>
      </w:r>
      <w:r>
        <w:rPr>
          <w:rFonts w:hint="eastAsia" w:ascii="仿宋" w:hAnsi="仿宋" w:eastAsia="仿宋" w:cs="仿宋"/>
          <w:color w:val="000000" w:themeColor="text1"/>
          <w:sz w:val="24"/>
          <w:highlight w:val="none"/>
          <w14:textFill>
            <w14:solidFill>
              <w14:schemeClr w14:val="tx1"/>
            </w14:solidFill>
          </w14:textFill>
        </w:rPr>
        <w:t>分，价格分</w:t>
      </w:r>
      <w:r>
        <w:rPr>
          <w:rFonts w:hint="eastAsia" w:ascii="仿宋" w:hAnsi="仿宋" w:eastAsia="仿宋" w:cs="仿宋"/>
          <w:color w:val="000000" w:themeColor="text1"/>
          <w:sz w:val="24"/>
          <w:highlight w:val="none"/>
          <w:u w:val="singl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分</w:t>
      </w:r>
      <w:bookmarkEnd w:id="72"/>
      <w:r>
        <w:rPr>
          <w:rFonts w:hint="eastAsia" w:ascii="仿宋" w:hAnsi="仿宋" w:eastAsia="仿宋" w:cs="仿宋"/>
          <w:color w:val="000000" w:themeColor="text1"/>
          <w:sz w:val="24"/>
          <w:highlight w:val="none"/>
          <w14:textFill>
            <w14:solidFill>
              <w14:schemeClr w14:val="tx1"/>
            </w14:solidFill>
          </w14:textFill>
        </w:rPr>
        <w:t>。评分依下述所列为评审打分依据，分值如下（计算分值时，按其算术平均值保留小数2位）。</w:t>
      </w:r>
    </w:p>
    <w:p>
      <w:pPr>
        <w:spacing w:line="336"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2.1商务技术分（</w:t>
      </w:r>
      <w:r>
        <w:rPr>
          <w:rFonts w:hint="eastAsia" w:ascii="仿宋" w:hAnsi="仿宋" w:eastAsia="仿宋" w:cs="仿宋"/>
          <w:b/>
          <w:bCs/>
          <w:iCs/>
          <w:color w:val="000000" w:themeColor="text1"/>
          <w:sz w:val="24"/>
          <w:highlight w:val="none"/>
          <w:u w:val="single"/>
          <w:lang w:val="en-US" w:eastAsia="zh-CN"/>
          <w14:textFill>
            <w14:solidFill>
              <w14:schemeClr w14:val="tx1"/>
            </w14:solidFill>
          </w14:textFill>
        </w:rPr>
        <w:t>80</w:t>
      </w:r>
      <w:r>
        <w:rPr>
          <w:rFonts w:hint="eastAsia" w:ascii="仿宋" w:hAnsi="仿宋" w:eastAsia="仿宋" w:cs="仿宋"/>
          <w:b/>
          <w:bCs/>
          <w:iCs/>
          <w:color w:val="000000" w:themeColor="text1"/>
          <w:sz w:val="24"/>
          <w:highlight w:val="none"/>
          <w14:textFill>
            <w14:solidFill>
              <w14:schemeClr w14:val="tx1"/>
            </w14:solidFill>
          </w14:textFill>
        </w:rPr>
        <w:t>分）</w:t>
      </w:r>
    </w:p>
    <w:tbl>
      <w:tblPr>
        <w:tblStyle w:val="63"/>
        <w:tblW w:w="9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1849"/>
        <w:gridCol w:w="5655"/>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kern w:val="0"/>
                <w:sz w:val="24"/>
                <w:szCs w:val="24"/>
                <w:lang w:val="en-US"/>
              </w:rPr>
            </w:pPr>
            <w:r>
              <w:rPr>
                <w:rFonts w:hint="eastAsia" w:ascii="仿宋" w:hAnsi="仿宋" w:eastAsia="仿宋" w:cs="仿宋"/>
                <w:snapToGrid w:val="0"/>
                <w:color w:val="000000"/>
                <w:kern w:val="0"/>
                <w:sz w:val="24"/>
                <w:szCs w:val="24"/>
                <w:lang w:val="en-US" w:eastAsia="zh-CN" w:bidi="ar"/>
              </w:rPr>
              <w:t>序号</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kern w:val="0"/>
                <w:sz w:val="24"/>
                <w:szCs w:val="24"/>
                <w:lang w:val="en-US"/>
              </w:rPr>
            </w:pPr>
            <w:r>
              <w:rPr>
                <w:rFonts w:hint="eastAsia" w:ascii="仿宋" w:hAnsi="仿宋" w:eastAsia="仿宋" w:cs="仿宋"/>
                <w:snapToGrid w:val="0"/>
                <w:color w:val="000000"/>
                <w:kern w:val="0"/>
                <w:sz w:val="24"/>
                <w:szCs w:val="24"/>
                <w:lang w:val="en-US" w:eastAsia="zh-CN" w:bidi="ar"/>
              </w:rPr>
              <w:t>评分</w:t>
            </w:r>
          </w:p>
          <w:p>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kern w:val="0"/>
                <w:sz w:val="24"/>
                <w:szCs w:val="24"/>
                <w:lang w:val="en-US"/>
              </w:rPr>
            </w:pPr>
            <w:r>
              <w:rPr>
                <w:rFonts w:hint="eastAsia" w:ascii="仿宋" w:hAnsi="仿宋" w:eastAsia="仿宋" w:cs="仿宋"/>
                <w:snapToGrid w:val="0"/>
                <w:color w:val="000000"/>
                <w:kern w:val="0"/>
                <w:sz w:val="24"/>
                <w:szCs w:val="24"/>
                <w:lang w:val="en-US" w:eastAsia="zh-CN" w:bidi="ar"/>
              </w:rPr>
              <w:t>内容</w:t>
            </w:r>
          </w:p>
        </w:tc>
        <w:tc>
          <w:tcPr>
            <w:tcW w:w="56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kern w:val="0"/>
                <w:sz w:val="24"/>
                <w:szCs w:val="24"/>
                <w:lang w:val="en-US"/>
              </w:rPr>
            </w:pPr>
            <w:r>
              <w:rPr>
                <w:rFonts w:hint="eastAsia" w:ascii="仿宋" w:hAnsi="仿宋" w:eastAsia="仿宋" w:cs="仿宋"/>
                <w:snapToGrid w:val="0"/>
                <w:color w:val="000000"/>
                <w:kern w:val="0"/>
                <w:sz w:val="24"/>
                <w:szCs w:val="24"/>
                <w:lang w:val="en-US" w:eastAsia="zh-CN" w:bidi="ar"/>
              </w:rPr>
              <w:t>评标细则</w:t>
            </w:r>
          </w:p>
        </w:tc>
        <w:tc>
          <w:tcPr>
            <w:tcW w:w="96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kern w:val="0"/>
                <w:sz w:val="24"/>
                <w:szCs w:val="24"/>
                <w:lang w:val="en-US"/>
              </w:rPr>
            </w:pPr>
            <w:r>
              <w:rPr>
                <w:rFonts w:hint="eastAsia" w:ascii="仿宋" w:hAnsi="仿宋" w:eastAsia="仿宋" w:cs="仿宋"/>
                <w:snapToGrid w:val="0"/>
                <w:color w:val="000000"/>
                <w:kern w:val="0"/>
                <w:sz w:val="24"/>
                <w:szCs w:val="24"/>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1</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同类业绩</w:t>
            </w:r>
          </w:p>
        </w:tc>
        <w:tc>
          <w:tcPr>
            <w:tcW w:w="56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供应商自2022年1月1日以来（以合同签订时间为准）承接过类似活动的，每提供一个业绩得1分，最高得2分。</w:t>
            </w:r>
            <w:r>
              <w:rPr>
                <w:rFonts w:hint="eastAsia" w:ascii="仿宋" w:hAnsi="仿宋" w:eastAsia="仿宋" w:cs="仿宋"/>
                <w:bCs/>
                <w:snapToGrid w:val="0"/>
                <w:color w:val="000000"/>
                <w:kern w:val="2"/>
                <w:sz w:val="24"/>
                <w:szCs w:val="24"/>
                <w:lang w:val="zh-TW" w:eastAsia="zh-CN" w:bidi="ar"/>
              </w:rPr>
              <w:t>（须提供合同扫描件</w:t>
            </w:r>
            <w:r>
              <w:rPr>
                <w:rFonts w:hint="eastAsia" w:ascii="仿宋" w:hAnsi="仿宋" w:eastAsia="仿宋" w:cs="仿宋"/>
                <w:bCs/>
                <w:snapToGrid w:val="0"/>
                <w:color w:val="000000"/>
                <w:kern w:val="2"/>
                <w:sz w:val="24"/>
                <w:szCs w:val="24"/>
                <w:lang w:val="en-US" w:eastAsia="zh-CN" w:bidi="ar"/>
              </w:rPr>
              <w:t>并加盖CA签章</w:t>
            </w:r>
            <w:r>
              <w:rPr>
                <w:rFonts w:hint="eastAsia" w:ascii="仿宋" w:hAnsi="仿宋" w:eastAsia="仿宋" w:cs="仿宋"/>
                <w:bCs/>
                <w:snapToGrid w:val="0"/>
                <w:color w:val="000000"/>
                <w:kern w:val="2"/>
                <w:sz w:val="24"/>
                <w:szCs w:val="24"/>
                <w:lang w:val="zh-TW" w:eastAsia="zh-CN" w:bidi="ar"/>
              </w:rPr>
              <w:t>）</w:t>
            </w:r>
          </w:p>
        </w:tc>
        <w:tc>
          <w:tcPr>
            <w:tcW w:w="9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2</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zh-TW" w:eastAsia="zh-CN" w:bidi="ar"/>
              </w:rPr>
              <w:t>项目组团队</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8"/>
              </w:numPr>
              <w:suppressLineNumbers w:val="0"/>
              <w:adjustRightInd w:val="0"/>
              <w:spacing w:before="0" w:beforeAutospacing="0" w:after="0" w:afterAutospacing="0" w:line="400" w:lineRule="exact"/>
              <w:ind w:left="0" w:right="0" w:firstLine="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根据供应商拟派项目组团队的人员数量、参与活动承办专业经验、资质等进行打分，0-4分。</w:t>
            </w:r>
          </w:p>
          <w:p>
            <w:pPr>
              <w:keepNext w:val="0"/>
              <w:keepLines w:val="0"/>
              <w:widowControl w:val="0"/>
              <w:numPr>
                <w:ilvl w:val="0"/>
                <w:numId w:val="8"/>
              </w:numPr>
              <w:suppressLineNumbers w:val="0"/>
              <w:adjustRightInd w:val="0"/>
              <w:spacing w:before="0" w:beforeAutospacing="0" w:after="0" w:afterAutospacing="0" w:line="400" w:lineRule="exact"/>
              <w:ind w:left="0" w:right="0" w:firstLine="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项目组团队有播音与主持艺术专业本科及以上的成员，得2分，0-2分。</w:t>
            </w:r>
          </w:p>
          <w:p>
            <w:pPr>
              <w:pStyle w:val="8"/>
              <w:widowControl/>
              <w:numPr>
                <w:ilvl w:val="0"/>
                <w:numId w:val="0"/>
              </w:numPr>
              <w:tabs>
                <w:tab w:val="left" w:pos="1145"/>
              </w:tabs>
              <w:spacing w:before="0" w:beforeAutospacing="0" w:after="0" w:afterAutospacing="0" w:line="400" w:lineRule="exact"/>
              <w:ind w:right="0" w:rightChars="0"/>
              <w:rPr>
                <w:rFonts w:hint="eastAsia" w:ascii="仿宋" w:hAnsi="仿宋" w:eastAsia="仿宋" w:cs="仿宋"/>
                <w:sz w:val="24"/>
                <w:szCs w:val="24"/>
                <w:lang w:val="en-US"/>
              </w:rPr>
            </w:pPr>
            <w:r>
              <w:rPr>
                <w:rFonts w:hint="eastAsia" w:ascii="仿宋" w:hAnsi="仿宋" w:eastAsia="仿宋" w:cs="仿宋"/>
                <w:b w:val="0"/>
                <w:bCs/>
                <w:sz w:val="24"/>
                <w:szCs w:val="24"/>
              </w:rPr>
              <w:t>（须提供人员清单、相关证明材料及近</w:t>
            </w:r>
            <w:r>
              <w:rPr>
                <w:rFonts w:hint="eastAsia" w:ascii="仿宋" w:hAnsi="仿宋" w:eastAsia="仿宋" w:cs="仿宋"/>
                <w:b w:val="0"/>
                <w:bCs/>
                <w:sz w:val="24"/>
                <w:szCs w:val="24"/>
                <w:lang w:val="en-US" w:eastAsia="zh-CN"/>
              </w:rPr>
              <w:t>六</w:t>
            </w:r>
            <w:r>
              <w:rPr>
                <w:rFonts w:hint="eastAsia" w:ascii="仿宋" w:hAnsi="仿宋" w:eastAsia="仿宋" w:cs="仿宋"/>
                <w:b w:val="0"/>
                <w:bCs/>
                <w:sz w:val="24"/>
                <w:szCs w:val="24"/>
              </w:rPr>
              <w:t>个月本单位在职社保缴纳证明并加盖</w:t>
            </w:r>
            <w:r>
              <w:rPr>
                <w:rFonts w:hint="eastAsia" w:ascii="仿宋" w:hAnsi="仿宋" w:eastAsia="仿宋" w:cs="仿宋"/>
                <w:b w:val="0"/>
                <w:bCs/>
                <w:sz w:val="24"/>
                <w:szCs w:val="24"/>
                <w:lang w:val="en-US"/>
              </w:rPr>
              <w:t>CA</w:t>
            </w:r>
            <w:r>
              <w:rPr>
                <w:rFonts w:hint="eastAsia" w:ascii="仿宋" w:hAnsi="仿宋" w:eastAsia="仿宋" w:cs="仿宋"/>
                <w:b w:val="0"/>
                <w:bCs/>
                <w:sz w:val="24"/>
                <w:szCs w:val="24"/>
              </w:rPr>
              <w:t>签章）</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5"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3</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对本项目的了解及重难点分析和应对措施</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根据供应商对本项目采购需求的了解后提出的重、难点的分析及解决问题的应对措施进行打分。（8,6,4,2,0分）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sz w:val="24"/>
                <w:szCs w:val="24"/>
                <w:lang w:val="en-US"/>
              </w:rPr>
            </w:pPr>
            <w:r>
              <w:rPr>
                <w:rFonts w:hint="eastAsia" w:ascii="仿宋" w:hAnsi="仿宋" w:eastAsia="仿宋" w:cs="仿宋"/>
                <w:snapToGrid w:val="0"/>
                <w:color w:val="000000"/>
                <w:kern w:val="2"/>
                <w:sz w:val="24"/>
                <w:szCs w:val="24"/>
                <w:lang w:val="en-US" w:eastAsia="zh-CN" w:bidi="ar"/>
              </w:rPr>
              <w:t>4</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对崇仁镇整体了解</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根据供应商提供的对崇仁镇人文风貌、自然资源等的整体了解的全面性、准确性等进行打分。</w:t>
            </w:r>
            <w:bookmarkStart w:id="73" w:name="OLE_LINK2"/>
            <w:r>
              <w:rPr>
                <w:rFonts w:hint="eastAsia" w:ascii="仿宋" w:hAnsi="仿宋" w:eastAsia="仿宋" w:cs="仿宋"/>
                <w:bCs/>
                <w:snapToGrid w:val="0"/>
                <w:color w:val="000000"/>
                <w:kern w:val="2"/>
                <w:sz w:val="24"/>
                <w:szCs w:val="24"/>
                <w:lang w:val="en-US" w:eastAsia="zh-CN" w:bidi="ar"/>
              </w:rPr>
              <w:t>（8,6,4,2,0分）</w:t>
            </w:r>
            <w:bookmarkEnd w:id="73"/>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5</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整体活动策划方案</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根据供应商提供的整体活动策划内容的创意性、新颖性等进行打分。（8,6,4,2,0分）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6</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宣传推广</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根据供应商提供的针对本项目的宣传推广方案进行打分。（8,6,4,2,0分）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仿宋" w:hAnsi="仿宋" w:eastAsia="仿宋" w:cs="仿宋"/>
                <w:bCs/>
                <w:snapToGrid w:val="0"/>
                <w:color w:val="000000"/>
                <w:kern w:val="0"/>
                <w:sz w:val="24"/>
                <w:szCs w:val="24"/>
                <w:lang w:val="en-US" w:eastAsia="en-US" w:bidi="ar-SA"/>
              </w:rPr>
            </w:pPr>
            <w:r>
              <w:rPr>
                <w:rFonts w:hint="eastAsia" w:ascii="仿宋" w:hAnsi="仿宋" w:eastAsia="仿宋" w:cs="仿宋"/>
                <w:bCs/>
                <w:snapToGrid w:val="0"/>
                <w:color w:val="000000"/>
                <w:kern w:val="2"/>
                <w:sz w:val="24"/>
                <w:szCs w:val="24"/>
                <w:lang w:val="en-US" w:eastAsia="zh-CN" w:bidi="ar"/>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4"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7</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布置规划方案</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根据供应商提供的针对本项目的布置规划方案进行打分。（8,6,4,2,0分）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仿宋" w:hAnsi="仿宋" w:eastAsia="仿宋" w:cs="仿宋"/>
                <w:bCs/>
                <w:snapToGrid w:val="0"/>
                <w:color w:val="000000"/>
                <w:kern w:val="0"/>
                <w:sz w:val="24"/>
                <w:szCs w:val="24"/>
                <w:lang w:val="en-US" w:eastAsia="zh-CN" w:bidi="ar-SA"/>
              </w:rPr>
            </w:pPr>
            <w:r>
              <w:rPr>
                <w:rFonts w:hint="eastAsia" w:ascii="仿宋" w:hAnsi="仿宋" w:eastAsia="仿宋" w:cs="仿宋"/>
                <w:bCs/>
                <w:snapToGrid w:val="0"/>
                <w:color w:val="000000"/>
                <w:kern w:val="2"/>
                <w:sz w:val="24"/>
                <w:szCs w:val="24"/>
                <w:lang w:val="en-US" w:eastAsia="zh-CN" w:bidi="ar"/>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8</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氛围打造方案</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根据供应商提供的针对本项目的氛围方案进行打分。（8,6,4,2,0分）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仿宋" w:hAnsi="仿宋" w:eastAsia="仿宋" w:cs="仿宋"/>
                <w:bCs/>
                <w:snapToGrid w:val="0"/>
                <w:color w:val="000000"/>
                <w:kern w:val="0"/>
                <w:sz w:val="24"/>
                <w:szCs w:val="24"/>
                <w:lang w:val="en-US" w:eastAsia="zh-CN" w:bidi="ar-SA"/>
              </w:rPr>
            </w:pPr>
            <w:r>
              <w:rPr>
                <w:rFonts w:hint="eastAsia" w:ascii="仿宋" w:hAnsi="仿宋" w:eastAsia="仿宋" w:cs="仿宋"/>
                <w:bCs/>
                <w:snapToGrid w:val="0"/>
                <w:color w:val="000000"/>
                <w:kern w:val="2"/>
                <w:sz w:val="24"/>
                <w:szCs w:val="24"/>
                <w:lang w:val="en-US" w:eastAsia="zh-CN" w:bidi="ar"/>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756"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9</w:t>
            </w:r>
          </w:p>
        </w:tc>
        <w:tc>
          <w:tcPr>
            <w:tcW w:w="1849"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sz w:val="24"/>
                <w:szCs w:val="24"/>
                <w:lang w:eastAsia="zh-CN"/>
              </w:rPr>
              <w:t>项目实施方案</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napToGrid w:val="0"/>
                <w:color w:val="000000"/>
                <w:kern w:val="2"/>
                <w:sz w:val="24"/>
                <w:szCs w:val="24"/>
                <w:lang w:val="en-US" w:eastAsia="zh-CN" w:bidi="ar"/>
              </w:rPr>
            </w:pPr>
            <w:r>
              <w:rPr>
                <w:rFonts w:hint="eastAsia" w:ascii="仿宋" w:hAnsi="仿宋" w:eastAsia="仿宋" w:cs="仿宋"/>
                <w:snapToGrid w:val="0"/>
                <w:kern w:val="2"/>
                <w:sz w:val="24"/>
                <w:szCs w:val="24"/>
                <w:lang w:val="en-US" w:eastAsia="zh-CN" w:bidi="ar-SA"/>
              </w:rPr>
              <w:t>根据项目实施提供相应的保障措施及方案进行</w:t>
            </w:r>
            <w:r>
              <w:rPr>
                <w:rFonts w:hint="eastAsia" w:ascii="仿宋" w:hAnsi="仿宋" w:eastAsia="仿宋" w:cs="仿宋"/>
                <w:b w:val="0"/>
                <w:bCs w:val="0"/>
                <w:snapToGrid/>
                <w:color w:val="auto"/>
                <w:kern w:val="2"/>
                <w:sz w:val="24"/>
                <w:szCs w:val="24"/>
                <w:lang w:val="en-US" w:eastAsia="zh-CN" w:bidi="ar-SA"/>
              </w:rPr>
              <w:t>综合评分</w:t>
            </w:r>
            <w:r>
              <w:rPr>
                <w:rFonts w:hint="eastAsia" w:ascii="仿宋" w:hAnsi="仿宋" w:eastAsia="仿宋" w:cs="仿宋"/>
                <w:snapToGrid w:val="0"/>
                <w:kern w:val="2"/>
                <w:sz w:val="24"/>
                <w:szCs w:val="24"/>
                <w:lang w:val="en-US" w:eastAsia="zh-CN" w:bidi="ar-SA"/>
              </w:rPr>
              <w:t>。（5,4,3,2,1,0分）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default"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756" w:type="dxa"/>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pPr>
          </w:p>
        </w:tc>
        <w:tc>
          <w:tcPr>
            <w:tcW w:w="1849" w:type="dxa"/>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pP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napToGrid w:val="0"/>
                <w:color w:val="000000"/>
                <w:kern w:val="2"/>
                <w:sz w:val="24"/>
                <w:szCs w:val="24"/>
                <w:lang w:val="en-US" w:eastAsia="zh-CN" w:bidi="ar"/>
              </w:rPr>
            </w:pPr>
            <w:bookmarkStart w:id="74" w:name="OLE_LINK6"/>
            <w:r>
              <w:rPr>
                <w:rFonts w:hint="eastAsia" w:ascii="仿宋" w:hAnsi="仿宋" w:eastAsia="仿宋" w:cs="仿宋"/>
                <w:sz w:val="24"/>
                <w:szCs w:val="24"/>
                <w:lang w:val="en-US" w:eastAsia="zh-CN"/>
              </w:rPr>
              <w:t>根据本项目</w:t>
            </w:r>
            <w:r>
              <w:rPr>
                <w:rFonts w:hint="eastAsia" w:ascii="仿宋" w:hAnsi="仿宋" w:eastAsia="仿宋" w:cs="仿宋"/>
                <w:sz w:val="24"/>
                <w:szCs w:val="24"/>
              </w:rPr>
              <w:t>制定详细的实施计划</w:t>
            </w:r>
            <w:r>
              <w:rPr>
                <w:rFonts w:hint="eastAsia" w:ascii="仿宋" w:hAnsi="仿宋" w:eastAsia="仿宋" w:cs="仿宋"/>
                <w:sz w:val="24"/>
                <w:szCs w:val="24"/>
                <w:lang w:eastAsia="zh-CN"/>
              </w:rPr>
              <w:t>，</w:t>
            </w:r>
            <w:r>
              <w:rPr>
                <w:rFonts w:hint="eastAsia" w:ascii="仿宋" w:hAnsi="仿宋" w:eastAsia="仿宋" w:cs="仿宋"/>
                <w:sz w:val="24"/>
                <w:szCs w:val="24"/>
              </w:rPr>
              <w:t>实施进度计划的合理性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可操作性</w:t>
            </w:r>
            <w:r>
              <w:rPr>
                <w:rFonts w:hint="eastAsia" w:ascii="仿宋" w:hAnsi="仿宋" w:eastAsia="仿宋" w:cs="仿宋"/>
                <w:snapToGrid w:val="0"/>
                <w:kern w:val="2"/>
                <w:sz w:val="24"/>
                <w:szCs w:val="24"/>
                <w:lang w:val="en-US" w:eastAsia="zh-CN" w:bidi="ar-SA"/>
              </w:rPr>
              <w:t>进行综合评分。</w:t>
            </w:r>
            <w:r>
              <w:rPr>
                <w:rFonts w:hint="eastAsia" w:ascii="仿宋" w:hAnsi="仿宋" w:eastAsia="仿宋" w:cs="仿宋"/>
                <w:sz w:val="24"/>
                <w:szCs w:val="24"/>
                <w:lang w:val="en-US" w:eastAsia="zh-CN"/>
              </w:rPr>
              <w:t xml:space="preserve"> </w:t>
            </w:r>
            <w:r>
              <w:rPr>
                <w:rFonts w:hint="eastAsia" w:ascii="仿宋" w:hAnsi="仿宋" w:eastAsia="仿宋" w:cs="仿宋"/>
                <w:snapToGrid w:val="0"/>
                <w:kern w:val="2"/>
                <w:sz w:val="24"/>
                <w:szCs w:val="24"/>
                <w:lang w:val="en-US" w:eastAsia="zh-CN" w:bidi="ar-SA"/>
              </w:rPr>
              <w:t>（5,4,3,2,1,0分）</w:t>
            </w:r>
            <w:bookmarkEnd w:id="74"/>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Cs/>
                <w:snapToGrid w:val="0"/>
                <w:color w:val="000000"/>
                <w:kern w:val="2"/>
                <w:sz w:val="24"/>
                <w:szCs w:val="24"/>
                <w:lang w:val="en-US" w:eastAsia="zh-CN" w:bidi="ar"/>
              </w:rPr>
            </w:pPr>
            <w:r>
              <w:rPr>
                <w:rFonts w:hint="eastAsia" w:ascii="仿宋" w:hAnsi="仿宋" w:eastAsia="仿宋" w:cs="仿宋"/>
                <w:bCs/>
                <w:snapToGrid w:val="0"/>
                <w:color w:val="000000"/>
                <w:kern w:val="2"/>
                <w:sz w:val="24"/>
                <w:szCs w:val="24"/>
                <w:lang w:val="en-US" w:eastAsia="zh-CN" w:bidi="ar"/>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default" w:ascii="仿宋" w:hAnsi="仿宋" w:eastAsia="仿宋" w:cs="仿宋"/>
                <w:bCs/>
                <w:snapToGrid w:val="0"/>
                <w:color w:val="000000"/>
                <w:kern w:val="0"/>
                <w:sz w:val="24"/>
                <w:szCs w:val="24"/>
                <w:lang w:val="en-US" w:eastAsia="en-US" w:bidi="ar-SA"/>
              </w:rPr>
            </w:pPr>
            <w:r>
              <w:rPr>
                <w:rFonts w:hint="eastAsia" w:ascii="仿宋" w:hAnsi="仿宋" w:eastAsia="仿宋" w:cs="仿宋"/>
                <w:bCs/>
                <w:snapToGrid w:val="0"/>
                <w:color w:val="000000"/>
                <w:kern w:val="2"/>
                <w:sz w:val="24"/>
                <w:szCs w:val="24"/>
                <w:lang w:val="en-US" w:eastAsia="zh-CN" w:bidi="ar"/>
              </w:rPr>
              <w:t>10</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后续服务</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根据供应商提供的活动后续配合及延续等方案的合理性等进行打分。（6,4.5,3,1.5,0分）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仿宋" w:hAnsi="仿宋" w:eastAsia="仿宋" w:cs="仿宋"/>
                <w:bCs/>
                <w:snapToGrid w:val="0"/>
                <w:color w:val="000000"/>
                <w:kern w:val="0"/>
                <w:sz w:val="24"/>
                <w:szCs w:val="24"/>
                <w:lang w:val="en-US" w:eastAsia="en-US" w:bidi="ar-SA"/>
              </w:rPr>
            </w:pPr>
            <w:r>
              <w:rPr>
                <w:rFonts w:hint="eastAsia" w:ascii="仿宋" w:hAnsi="仿宋" w:eastAsia="仿宋" w:cs="仿宋"/>
                <w:bCs/>
                <w:snapToGrid w:val="0"/>
                <w:color w:val="000000"/>
                <w:kern w:val="2"/>
                <w:sz w:val="24"/>
                <w:szCs w:val="24"/>
                <w:lang w:val="en-US" w:eastAsia="zh-CN" w:bidi="ar"/>
              </w:rPr>
              <w:t>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仿宋" w:hAnsi="仿宋" w:eastAsia="仿宋" w:cs="仿宋"/>
                <w:bCs/>
                <w:snapToGrid w:val="0"/>
                <w:color w:val="000000"/>
                <w:kern w:val="0"/>
                <w:sz w:val="24"/>
                <w:szCs w:val="24"/>
                <w:lang w:val="en-US" w:eastAsia="en-US" w:bidi="ar-SA"/>
              </w:rPr>
            </w:pPr>
            <w:r>
              <w:rPr>
                <w:rFonts w:hint="eastAsia" w:ascii="仿宋" w:hAnsi="仿宋" w:eastAsia="仿宋" w:cs="仿宋"/>
                <w:bCs/>
                <w:snapToGrid w:val="0"/>
                <w:color w:val="000000"/>
                <w:kern w:val="2"/>
                <w:sz w:val="24"/>
                <w:szCs w:val="24"/>
                <w:lang w:val="en-US" w:eastAsia="zh-CN" w:bidi="ar"/>
              </w:rPr>
              <w:t>11</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突发情况应急预案</w:t>
            </w:r>
          </w:p>
        </w:tc>
        <w:tc>
          <w:tcPr>
            <w:tcW w:w="5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根据供应商针对本项目突发情况应急保障方案（包括应急响应时间、应急队伍组建、应急处理流程等）的科学性、全面性、合理性等进行打分。（4,3,2,1,0分）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仿宋" w:hAnsi="仿宋" w:eastAsia="仿宋" w:cs="仿宋"/>
                <w:bCs/>
                <w:snapToGrid w:val="0"/>
                <w:color w:val="000000"/>
                <w:kern w:val="0"/>
                <w:sz w:val="24"/>
                <w:szCs w:val="24"/>
                <w:lang w:val="en-US" w:eastAsia="en-US" w:bidi="ar-SA"/>
              </w:rPr>
            </w:pPr>
            <w:r>
              <w:rPr>
                <w:rFonts w:hint="eastAsia" w:ascii="仿宋" w:hAnsi="仿宋" w:eastAsia="仿宋" w:cs="仿宋"/>
                <w:bCs/>
                <w:snapToGrid w:val="0"/>
                <w:color w:val="000000"/>
                <w:kern w:val="2"/>
                <w:sz w:val="24"/>
                <w:szCs w:val="24"/>
                <w:lang w:val="en-US" w:eastAsia="zh-CN" w:bidi="ar"/>
              </w:rPr>
              <w:t>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12</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合理化建议</w:t>
            </w:r>
          </w:p>
        </w:tc>
        <w:tc>
          <w:tcPr>
            <w:tcW w:w="565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根据供应商提供的针对本项目有实际作用的合理化建议进行打分。（4,3,2,1,0分）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仿宋"/>
                <w:bCs/>
                <w:sz w:val="24"/>
                <w:szCs w:val="24"/>
                <w:lang w:val="en-US"/>
              </w:rPr>
            </w:pPr>
            <w:r>
              <w:rPr>
                <w:rFonts w:hint="eastAsia" w:ascii="仿宋" w:hAnsi="仿宋" w:eastAsia="仿宋" w:cs="仿宋"/>
                <w:bCs/>
                <w:snapToGrid w:val="0"/>
                <w:color w:val="000000"/>
                <w:kern w:val="2"/>
                <w:sz w:val="24"/>
                <w:szCs w:val="24"/>
                <w:lang w:val="en-US" w:eastAsia="zh-CN" w:bidi="ar"/>
              </w:rPr>
              <w:t>0-4分</w:t>
            </w:r>
          </w:p>
        </w:tc>
      </w:tr>
    </w:tbl>
    <w:p>
      <w:pPr>
        <w:spacing w:line="336" w:lineRule="auto"/>
        <w:ind w:firstLine="482" w:firstLineChars="200"/>
        <w:rPr>
          <w:rFonts w:hint="eastAsia" w:ascii="仿宋" w:hAnsi="仿宋" w:eastAsia="仿宋" w:cs="仿宋"/>
          <w:b/>
          <w:bCs/>
          <w:iCs/>
          <w:color w:val="000000" w:themeColor="text1"/>
          <w:sz w:val="24"/>
          <w:highlight w:val="none"/>
          <w14:textFill>
            <w14:solidFill>
              <w14:schemeClr w14:val="tx1"/>
            </w14:solidFill>
          </w14:textFill>
        </w:rPr>
      </w:pPr>
    </w:p>
    <w:p>
      <w:pPr>
        <w:spacing w:line="336" w:lineRule="auto"/>
        <w:ind w:firstLine="482" w:firstLineChars="200"/>
        <w:rPr>
          <w:rFonts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2.2价格分（</w:t>
      </w:r>
      <w:r>
        <w:rPr>
          <w:rFonts w:hint="eastAsia" w:ascii="仿宋" w:hAnsi="仿宋" w:eastAsia="仿宋" w:cs="仿宋"/>
          <w:b/>
          <w:bCs/>
          <w:iCs/>
          <w:color w:val="000000" w:themeColor="text1"/>
          <w:sz w:val="24"/>
          <w:highlight w:val="none"/>
          <w:u w:val="single"/>
          <w:lang w:val="en-US" w:eastAsia="zh-CN"/>
          <w14:textFill>
            <w14:solidFill>
              <w14:schemeClr w14:val="tx1"/>
            </w14:solidFill>
          </w14:textFill>
        </w:rPr>
        <w:t>20</w:t>
      </w:r>
      <w:r>
        <w:rPr>
          <w:rFonts w:hint="eastAsia" w:ascii="仿宋" w:hAnsi="仿宋" w:eastAsia="仿宋" w:cs="仿宋"/>
          <w:b/>
          <w:bCs/>
          <w:iCs/>
          <w:color w:val="000000" w:themeColor="text1"/>
          <w:sz w:val="24"/>
          <w:highlight w:val="none"/>
          <w14:textFill>
            <w14:solidFill>
              <w14:schemeClr w14:val="tx1"/>
            </w14:solidFill>
          </w14:textFill>
        </w:rPr>
        <w:t>分）</w:t>
      </w:r>
    </w:p>
    <w:p>
      <w:pPr>
        <w:spacing w:line="336" w:lineRule="auto"/>
        <w:ind w:firstLine="480" w:firstLineChars="200"/>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2.2.1评标基准价：即满足磋商文件要求且磋商价格最低的磋商报价为评标基准价，其价格分为满分。</w:t>
      </w:r>
    </w:p>
    <w:p>
      <w:pPr>
        <w:spacing w:line="336" w:lineRule="auto"/>
        <w:ind w:firstLine="480" w:firstLineChars="200"/>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磋商报价得分=(评标基准价／磋商报价)×价格权值×100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default" w:ascii="仿宋" w:hAnsi="仿宋" w:eastAsia="仿宋" w:cs="仿宋"/>
          <w:bCs/>
          <w:iCs/>
          <w:color w:val="000000" w:themeColor="text1"/>
          <w:sz w:val="24"/>
          <w:highlight w:val="none"/>
          <w:u w:val="none"/>
          <w:lang w:val="en-US" w:eastAsia="zh-CN"/>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即：磋商报价得分=(评标基准价／磋商报价)×</w:t>
      </w:r>
      <w:r>
        <w:rPr>
          <w:rFonts w:hint="eastAsia" w:ascii="仿宋" w:hAnsi="仿宋" w:eastAsia="仿宋" w:cs="仿宋"/>
          <w:bCs/>
          <w:iCs/>
          <w:color w:val="000000" w:themeColor="text1"/>
          <w:sz w:val="24"/>
          <w:highlight w:val="none"/>
          <w:u w:val="none"/>
          <w:lang w:val="en-US" w:eastAsia="zh-CN"/>
          <w14:textFill>
            <w14:solidFill>
              <w14:schemeClr w14:val="tx1"/>
            </w14:solidFill>
          </w14:textFill>
        </w:rPr>
        <w:t>20%×100</w:t>
      </w:r>
    </w:p>
    <w:p>
      <w:pPr>
        <w:pStyle w:val="74"/>
        <w:spacing w:line="336" w:lineRule="auto"/>
        <w:ind w:firstLine="482"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iCs/>
          <w:sz w:val="24"/>
        </w:rPr>
        <w:t>评标委员会认为供应商的报价明显低于其他通过符合性审查供应商的报价，有可能影响产品质量或者不能诚信履约的，应当要求其在评标现场合理的时间内通过乐采云平台提供线上说明，必要时提交相关证明材料。供应商不能在规定时间内合理说明原因并提供证明材料的，评标委员会应当将该供应商的响应文件作无效处理，并在评审报告中说明。</w:t>
      </w:r>
    </w:p>
    <w:p>
      <w:pPr>
        <w:adjustRightInd/>
        <w:spacing w:line="336"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p>
    <w:p>
      <w:pPr>
        <w:pStyle w:val="74"/>
        <w:spacing w:line="336" w:lineRule="auto"/>
        <w:rPr>
          <w:rFonts w:ascii="仿宋" w:hAnsi="仿宋" w:eastAsia="仿宋" w:cs="仿宋"/>
          <w:b/>
          <w:color w:val="000000" w:themeColor="text1"/>
          <w:highlight w:val="none"/>
          <w14:textFill>
            <w14:solidFill>
              <w14:schemeClr w14:val="tx1"/>
            </w14:solidFill>
          </w14:textFill>
        </w:rPr>
      </w:pP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spacing w:line="336" w:lineRule="auto"/>
        <w:rPr>
          <w:rFonts w:ascii="仿宋" w:hAnsi="仿宋" w:eastAsia="仿宋" w:cs="仿宋"/>
          <w:b/>
          <w:color w:val="000000" w:themeColor="text1"/>
          <w:kern w:val="0"/>
          <w:sz w:val="24"/>
          <w:highlight w:val="none"/>
          <w14:textFill>
            <w14:solidFill>
              <w14:schemeClr w14:val="tx1"/>
            </w14:solidFill>
          </w14:textFill>
        </w:rPr>
      </w:pPr>
    </w:p>
    <w:p>
      <w:pPr>
        <w:pStyle w:val="74"/>
        <w:spacing w:line="336" w:lineRule="auto"/>
        <w:rPr>
          <w:rFonts w:ascii="仿宋" w:hAnsi="仿宋" w:eastAsia="仿宋" w:cs="仿宋"/>
          <w:b/>
          <w:color w:val="000000" w:themeColor="text1"/>
          <w:highlight w:val="none"/>
          <w14:textFill>
            <w14:solidFill>
              <w14:schemeClr w14:val="tx1"/>
            </w14:solidFill>
          </w14:textFill>
        </w:rPr>
      </w:pP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spacing w:line="336" w:lineRule="auto"/>
        <w:rPr>
          <w:rFonts w:ascii="仿宋" w:hAnsi="仿宋" w:eastAsia="仿宋" w:cs="仿宋"/>
          <w:b/>
          <w:color w:val="000000" w:themeColor="text1"/>
          <w:kern w:val="0"/>
          <w:sz w:val="24"/>
          <w:highlight w:val="none"/>
          <w14:textFill>
            <w14:solidFill>
              <w14:schemeClr w14:val="tx1"/>
            </w14:solidFill>
          </w14:textFill>
        </w:rPr>
      </w:pPr>
    </w:p>
    <w:p>
      <w:pPr>
        <w:pStyle w:val="74"/>
        <w:spacing w:line="336" w:lineRule="auto"/>
        <w:rPr>
          <w:rFonts w:ascii="仿宋" w:hAnsi="仿宋" w:eastAsia="仿宋" w:cs="仿宋"/>
          <w:b/>
          <w:color w:val="000000" w:themeColor="text1"/>
          <w:highlight w:val="none"/>
          <w14:textFill>
            <w14:solidFill>
              <w14:schemeClr w14:val="tx1"/>
            </w14:solidFill>
          </w14:textFill>
        </w:rPr>
      </w:pP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spacing w:line="336" w:lineRule="auto"/>
        <w:rPr>
          <w:rFonts w:ascii="仿宋" w:hAnsi="仿宋" w:eastAsia="仿宋" w:cs="仿宋"/>
          <w:b/>
          <w:color w:val="000000" w:themeColor="text1"/>
          <w:kern w:val="0"/>
          <w:sz w:val="24"/>
          <w:highlight w:val="none"/>
          <w14:textFill>
            <w14:solidFill>
              <w14:schemeClr w14:val="tx1"/>
            </w14:solidFill>
          </w14:textFill>
        </w:rPr>
      </w:pPr>
    </w:p>
    <w:p>
      <w:pPr>
        <w:pStyle w:val="74"/>
        <w:spacing w:line="336" w:lineRule="auto"/>
        <w:rPr>
          <w:rFonts w:ascii="仿宋" w:hAnsi="仿宋" w:eastAsia="仿宋" w:cs="仿宋"/>
          <w:b/>
          <w:color w:val="000000" w:themeColor="text1"/>
          <w:highlight w:val="none"/>
          <w14:textFill>
            <w14:solidFill>
              <w14:schemeClr w14:val="tx1"/>
            </w14:solidFill>
          </w14:textFill>
        </w:rPr>
      </w:pP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spacing w:line="336" w:lineRule="auto"/>
        <w:rPr>
          <w:rFonts w:ascii="仿宋" w:hAnsi="仿宋" w:eastAsia="仿宋" w:cs="仿宋"/>
          <w:b/>
          <w:color w:val="000000" w:themeColor="text1"/>
          <w:kern w:val="0"/>
          <w:sz w:val="24"/>
          <w:highlight w:val="none"/>
          <w14:textFill>
            <w14:solidFill>
              <w14:schemeClr w14:val="tx1"/>
            </w14:solidFill>
          </w14:textFill>
        </w:rPr>
      </w:pPr>
    </w:p>
    <w:p>
      <w:pPr>
        <w:pStyle w:val="74"/>
        <w:spacing w:line="336" w:lineRule="auto"/>
        <w:rPr>
          <w:rFonts w:ascii="仿宋" w:hAnsi="仿宋" w:eastAsia="仿宋" w:cs="仿宋"/>
          <w:b/>
          <w:color w:val="000000" w:themeColor="text1"/>
          <w:highlight w:val="none"/>
          <w14:textFill>
            <w14:solidFill>
              <w14:schemeClr w14:val="tx1"/>
            </w14:solidFill>
          </w14:textFill>
        </w:rPr>
      </w:pPr>
      <w:r>
        <w:rPr>
          <w:rFonts w:ascii="仿宋" w:hAnsi="仿宋" w:eastAsia="仿宋" w:cs="仿宋"/>
          <w:b/>
          <w:color w:val="000000" w:themeColor="text1"/>
          <w:highlight w:val="none"/>
          <w14:textFill>
            <w14:solidFill>
              <w14:schemeClr w14:val="tx1"/>
            </w14:solidFill>
          </w14:textFill>
        </w:rPr>
        <w:br w:type="textWrapping"/>
      </w:r>
      <w:r>
        <w:rPr>
          <w:rFonts w:ascii="仿宋" w:hAnsi="仿宋" w:eastAsia="仿宋" w:cs="仿宋"/>
          <w:b/>
          <w:color w:val="000000" w:themeColor="text1"/>
          <w:highlight w:val="none"/>
          <w14:textFill>
            <w14:solidFill>
              <w14:schemeClr w14:val="tx1"/>
            </w14:solidFill>
          </w14:textFill>
        </w:rPr>
        <w:br w:type="textWrapping"/>
      </w:r>
      <w:r>
        <w:rPr>
          <w:rFonts w:ascii="仿宋" w:hAnsi="仿宋" w:eastAsia="仿宋" w:cs="仿宋"/>
          <w:b/>
          <w:color w:val="000000" w:themeColor="text1"/>
          <w:highlight w:val="none"/>
          <w14:textFill>
            <w14:solidFill>
              <w14:schemeClr w14:val="tx1"/>
            </w14:solidFill>
          </w14:textFill>
        </w:rPr>
        <w:br w:type="textWrapping"/>
      </w:r>
      <w:r>
        <w:rPr>
          <w:rFonts w:ascii="仿宋" w:hAnsi="仿宋" w:eastAsia="仿宋" w:cs="仿宋"/>
          <w:b/>
          <w:color w:val="000000" w:themeColor="text1"/>
          <w:highlight w:val="none"/>
          <w14:textFill>
            <w14:solidFill>
              <w14:schemeClr w14:val="tx1"/>
            </w14:solidFill>
          </w14:textFill>
        </w:rPr>
        <w:br w:type="textWrapping"/>
      </w:r>
      <w:r>
        <w:rPr>
          <w:rFonts w:ascii="仿宋" w:hAnsi="仿宋" w:eastAsia="仿宋" w:cs="仿宋"/>
          <w:b/>
          <w:color w:val="000000" w:themeColor="text1"/>
          <w:highlight w:val="none"/>
          <w14:textFill>
            <w14:solidFill>
              <w14:schemeClr w14:val="tx1"/>
            </w14:solidFill>
          </w14:textFill>
        </w:rPr>
        <w:br w:type="textWrapping"/>
      </w:r>
      <w:r>
        <w:rPr>
          <w:rFonts w:ascii="仿宋" w:hAnsi="仿宋" w:eastAsia="仿宋" w:cs="仿宋"/>
          <w:b/>
          <w:color w:val="000000" w:themeColor="text1"/>
          <w:highlight w:val="none"/>
          <w14:textFill>
            <w14:solidFill>
              <w14:schemeClr w14:val="tx1"/>
            </w14:solidFill>
          </w14:textFill>
        </w:rPr>
        <w:br w:type="textWrapping"/>
      </w:r>
      <w:r>
        <w:rPr>
          <w:rFonts w:ascii="仿宋" w:hAnsi="仿宋" w:eastAsia="仿宋" w:cs="仿宋"/>
          <w:b/>
          <w:color w:val="000000" w:themeColor="text1"/>
          <w:highlight w:val="none"/>
          <w14:textFill>
            <w14:solidFill>
              <w14:schemeClr w14:val="tx1"/>
            </w14:solidFill>
          </w14:textFill>
        </w:rPr>
        <w:br w:type="textWrapping"/>
      </w: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rPr>
          <w:rFonts w:ascii="仿宋" w:hAnsi="仿宋" w:eastAsia="仿宋" w:cs="仿宋"/>
          <w:b/>
          <w:color w:val="000000" w:themeColor="text1"/>
          <w:sz w:val="24"/>
          <w:highlight w:val="none"/>
          <w14:textFill>
            <w14:solidFill>
              <w14:schemeClr w14:val="tx1"/>
            </w14:solidFill>
          </w14:textFill>
        </w:rPr>
      </w:pP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36" w:lineRule="auto"/>
        <w:jc w:val="center"/>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 xml:space="preserve">第六部分 </w:t>
      </w:r>
      <w:r>
        <w:rPr>
          <w:rFonts w:hint="default" w:ascii="仿宋" w:hAnsi="仿宋" w:eastAsia="仿宋" w:cs="仿宋"/>
          <w:b/>
          <w:color w:val="000000" w:themeColor="text1"/>
          <w:sz w:val="36"/>
          <w:szCs w:val="20"/>
          <w:highlight w:val="none"/>
          <w:lang w:val="en-US"/>
          <w14:textFill>
            <w14:solidFill>
              <w14:schemeClr w14:val="tx1"/>
            </w14:solidFill>
          </w14:textFill>
        </w:rPr>
        <w:t>磋商响应文件及其附件格式</w:t>
      </w:r>
    </w:p>
    <w:p>
      <w:pPr>
        <w:pStyle w:val="75"/>
        <w:spacing w:line="336" w:lineRule="auto"/>
        <w:ind w:left="0"/>
        <w:rPr>
          <w:rFonts w:ascii="仿宋" w:hAnsi="仿宋" w:eastAsia="仿宋" w:cs="仿宋"/>
          <w:b/>
          <w:color w:val="000000" w:themeColor="text1"/>
          <w:sz w:val="24"/>
          <w:highlight w:val="none"/>
          <w14:textFill>
            <w14:solidFill>
              <w14:schemeClr w14:val="tx1"/>
            </w14:solidFill>
          </w14:textFill>
        </w:rPr>
      </w:pPr>
    </w:p>
    <w:p>
      <w:pPr>
        <w:spacing w:line="336" w:lineRule="auto"/>
        <w:rPr>
          <w:rFonts w:ascii="仿宋" w:hAnsi="仿宋" w:eastAsia="仿宋" w:cs="仿宋"/>
          <w:b/>
          <w:color w:val="000000" w:themeColor="text1"/>
          <w:kern w:val="0"/>
          <w:sz w:val="24"/>
          <w:highlight w:val="none"/>
          <w14:textFill>
            <w14:solidFill>
              <w14:schemeClr w14:val="tx1"/>
            </w14:solidFill>
          </w14:textFill>
        </w:rPr>
      </w:pPr>
    </w:p>
    <w:p>
      <w:pPr>
        <w:pStyle w:val="74"/>
        <w:spacing w:line="336" w:lineRule="auto"/>
        <w:rPr>
          <w:rFonts w:ascii="仿宋" w:hAnsi="仿宋" w:eastAsia="仿宋" w:cs="仿宋"/>
          <w:color w:val="000000" w:themeColor="text1"/>
          <w:highlight w:val="none"/>
          <w14:textFill>
            <w14:solidFill>
              <w14:schemeClr w14:val="tx1"/>
            </w14:solidFill>
          </w14:textFill>
        </w:rPr>
      </w:pPr>
    </w:p>
    <w:bookmarkEnd w:id="71"/>
    <w:p>
      <w:pPr>
        <w:spacing w:line="336"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36"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36"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numPr>
          <w:ilvl w:val="0"/>
          <w:numId w:val="0"/>
        </w:num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）符合参加政府采购活动应当具备的一般条件的承诺函……………（页码）</w:t>
      </w:r>
    </w:p>
    <w:p>
      <w:pPr>
        <w:numPr>
          <w:ilvl w:val="0"/>
          <w:numId w:val="0"/>
        </w:num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）联</w:t>
      </w:r>
      <w:r>
        <w:rPr>
          <w:rFonts w:hint="eastAsia" w:ascii="仿宋" w:hAnsi="仿宋" w:eastAsia="仿宋" w:cs="仿宋"/>
          <w:snapToGrid w:val="0"/>
          <w:color w:val="000000" w:themeColor="text1"/>
          <w:kern w:val="28"/>
          <w:sz w:val="24"/>
          <w:szCs w:val="20"/>
          <w:highlight w:val="none"/>
          <w14:textFill>
            <w14:solidFill>
              <w14:schemeClr w14:val="tx1"/>
            </w14:solidFill>
          </w14:textFill>
        </w:rPr>
        <w:t>合协议</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）本项目的特定资格要求………………………………………………（页码）</w:t>
      </w:r>
    </w:p>
    <w:p>
      <w:pPr>
        <w:pStyle w:val="119"/>
        <w:keepNext w:val="0"/>
        <w:pageBreakBefore w:val="0"/>
        <w:tabs>
          <w:tab w:val="clear" w:pos="720"/>
        </w:tabs>
        <w:spacing w:line="336" w:lineRule="auto"/>
        <w:jc w:val="center"/>
        <w:outlineLvl w:val="9"/>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Cs w:val="36"/>
          <w:highlight w:val="none"/>
          <w14:textFill>
            <w14:solidFill>
              <w14:schemeClr w14:val="tx1"/>
            </w14:solidFill>
          </w14:textFill>
        </w:rPr>
        <w:br w:type="page"/>
      </w:r>
      <w:r>
        <w:rPr>
          <w:rFonts w:hint="eastAsia" w:ascii="仿宋" w:hAnsi="仿宋" w:eastAsia="仿宋" w:cs="仿宋"/>
          <w:color w:val="000000" w:themeColor="text1"/>
          <w:szCs w:val="36"/>
          <w:highlight w:val="none"/>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、符合参加政府采购活动应当具备的一般条件的承诺函</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napToGrid w:val="0"/>
        <w:spacing w:line="336"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1、具有独立承担民事责任的能力（如</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pPr>
        <w:spacing w:line="336" w:lineRule="auto"/>
        <w:ind w:firstLine="6960" w:firstLineChars="29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napToGrid w:val="0"/>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p>
      <w:pPr>
        <w:widowControl/>
        <w:adjustRightInd/>
        <w:spacing w:line="336" w:lineRule="auto"/>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pPr>
        <w:widowControl/>
        <w:spacing w:line="336" w:lineRule="auto"/>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二、联合协议（如有）</w:t>
      </w:r>
    </w:p>
    <w:p>
      <w:pPr>
        <w:widowControl/>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[以联合体形式磋商的，提供联合协议（附件4）；本项目不接受联合体磋商或者供应商不以联合体形式磋商的，则不需要提供）]</w:t>
      </w:r>
    </w:p>
    <w:p>
      <w:pPr>
        <w:snapToGrid w:val="0"/>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p>
      <w:pPr>
        <w:rPr>
          <w:rFonts w:ascii="仿宋" w:hAnsi="仿宋" w:eastAsia="仿宋" w:cs="仿宋"/>
          <w:b/>
          <w:color w:val="000000" w:themeColor="text1"/>
          <w:sz w:val="32"/>
          <w:szCs w:val="32"/>
          <w:highlight w:val="none"/>
          <w14:textFill>
            <w14:solidFill>
              <w14:schemeClr w14:val="tx1"/>
            </w14:solidFill>
          </w14:textFill>
        </w:rPr>
      </w:pPr>
    </w:p>
    <w:p>
      <w:pPr>
        <w:pStyle w:val="74"/>
        <w:rPr>
          <w:rFonts w:ascii="仿宋" w:hAnsi="仿宋" w:eastAsia="仿宋" w:cs="仿宋"/>
          <w:b/>
          <w:color w:val="000000" w:themeColor="text1"/>
          <w:sz w:val="32"/>
          <w:szCs w:val="32"/>
          <w:highlight w:val="none"/>
          <w14:textFill>
            <w14:solidFill>
              <w14:schemeClr w14:val="tx1"/>
            </w14:solidFill>
          </w14:textFill>
        </w:rPr>
      </w:pPr>
    </w:p>
    <w:p>
      <w:pPr>
        <w:pStyle w:val="74"/>
        <w:rPr>
          <w:color w:val="000000" w:themeColor="text1"/>
          <w:highlight w:val="none"/>
          <w14:textFill>
            <w14:solidFill>
              <w14:schemeClr w14:val="tx1"/>
            </w14:solidFill>
          </w14:textFill>
        </w:rPr>
      </w:pPr>
    </w:p>
    <w:p>
      <w:pPr>
        <w:widowControl/>
        <w:adjustRightInd/>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b/>
          <w:bCs/>
          <w:color w:val="000000" w:themeColor="text1"/>
          <w:sz w:val="24"/>
          <w:highlight w:val="none"/>
          <w14:textFill>
            <w14:solidFill>
              <w14:schemeClr w14:val="tx1"/>
            </w14:solidFill>
          </w14:textFill>
        </w:rPr>
        <w:t>磋商文件第一部分竞争性磋商公告中</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p>
    <w:p>
      <w:pPr>
        <w:snapToGrid w:val="0"/>
        <w:spacing w:line="336" w:lineRule="auto"/>
        <w:ind w:firstLine="472"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pPr>
        <w:widowControl/>
        <w:spacing w:line="336" w:lineRule="auto"/>
        <w:ind w:firstLine="480"/>
        <w:jc w:val="left"/>
        <w:rPr>
          <w:rFonts w:ascii="仿宋" w:hAnsi="仿宋" w:eastAsia="仿宋" w:cs="仿宋"/>
          <w:color w:val="000000" w:themeColor="text1"/>
          <w:sz w:val="24"/>
          <w:highlight w:val="none"/>
          <w14:textFill>
            <w14:solidFill>
              <w14:schemeClr w14:val="tx1"/>
            </w14:solidFill>
          </w14:textFill>
        </w:rPr>
      </w:pPr>
    </w:p>
    <w:p>
      <w:pPr>
        <w:widowControl/>
        <w:spacing w:line="336" w:lineRule="auto"/>
        <w:ind w:firstLine="472"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要求以联合体形式参加的，提供联合协议和中小企业声明函（附件7），联合协议中中小企业合同金额应当达到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pPr>
        <w:spacing w:line="336" w:lineRule="auto"/>
        <w:jc w:val="both"/>
        <w:rPr>
          <w:rFonts w:ascii="仿宋" w:hAnsi="仿宋" w:eastAsia="仿宋" w:cs="仿宋"/>
          <w:b/>
          <w:color w:val="000000" w:themeColor="text1"/>
          <w:sz w:val="32"/>
          <w:szCs w:val="32"/>
          <w:highlight w:val="none"/>
          <w14:textFill>
            <w14:solidFill>
              <w14:schemeClr w14:val="tx1"/>
            </w14:solidFill>
          </w14:textFill>
        </w:rPr>
      </w:pPr>
    </w:p>
    <w:p>
      <w:pPr>
        <w:spacing w:line="336"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36"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36"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符合特定资格条件要求的资质文件（复印件）</w:t>
      </w:r>
    </w:p>
    <w:p>
      <w:pPr>
        <w:widowControl/>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pPr>
        <w:widowControl/>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pPr>
        <w:spacing w:line="336" w:lineRule="auto"/>
        <w:ind w:firstLine="6120" w:firstLineChars="25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napToGrid w:val="0"/>
        <w:spacing w:line="336" w:lineRule="auto"/>
        <w:rPr>
          <w:rFonts w:ascii="仿宋" w:hAnsi="仿宋" w:eastAsia="仿宋" w:cs="仿宋"/>
          <w:color w:val="000000" w:themeColor="text1"/>
          <w:kern w:val="0"/>
          <w:sz w:val="24"/>
          <w:highlight w:val="none"/>
          <w:lang w:val="zh-CN"/>
          <w14:textFill>
            <w14:solidFill>
              <w14:schemeClr w14:val="tx1"/>
            </w14:solidFill>
          </w14:textFill>
        </w:rPr>
      </w:pPr>
    </w:p>
    <w:p>
      <w:pPr>
        <w:spacing w:line="336" w:lineRule="auto"/>
        <w:jc w:val="both"/>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36"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36"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响应函…………………………………………………………………………（页码）</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法定代表人授权委托书………………………………………………………（页码）</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法定代表人及其授权代表身份证复印件……………………………………（页码）</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授权代表社保证明……………………………………………………………（页码）</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法定代表人身份证明书………………………………………………………（页码）</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商务技术</w:t>
      </w:r>
      <w:r>
        <w:rPr>
          <w:rFonts w:hint="eastAsia" w:ascii="仿宋" w:eastAsia="仿宋" w:cs="仿宋"/>
          <w:color w:val="000000" w:themeColor="text1"/>
          <w:highlight w:val="none"/>
          <w:lang w:eastAsia="zh-CN"/>
          <w14:textFill>
            <w14:solidFill>
              <w14:schemeClr w14:val="tx1"/>
            </w14:solidFill>
          </w14:textFill>
        </w:rPr>
        <w:t>偏离表</w:t>
      </w:r>
      <w:r>
        <w:rPr>
          <w:rFonts w:hint="eastAsia" w:ascii="仿宋" w:eastAsia="仿宋" w:cs="仿宋"/>
          <w:color w:val="000000" w:themeColor="text1"/>
          <w:highlight w:val="none"/>
          <w14:textFill>
            <w14:solidFill>
              <w14:schemeClr w14:val="tx1"/>
            </w14:solidFill>
          </w14:textFill>
        </w:rPr>
        <w:t>………………………………………………………………（页码）</w:t>
      </w:r>
    </w:p>
    <w:p>
      <w:pPr>
        <w:pStyle w:val="188"/>
        <w:numPr>
          <w:ilvl w:val="0"/>
          <w:numId w:val="9"/>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政府采购供应商廉洁自律承诺书</w:t>
      </w:r>
      <w:r>
        <w:rPr>
          <w:rFonts w:hint="eastAsia" w:ascii="仿宋" w:eastAsia="仿宋" w:cs="仿宋"/>
          <w:color w:val="000000" w:themeColor="text1"/>
          <w:highlight w:val="none"/>
          <w14:textFill>
            <w14:solidFill>
              <w14:schemeClr w14:val="tx1"/>
            </w14:solidFill>
          </w14:textFill>
        </w:rPr>
        <w:t>……………………………………………（页码）</w:t>
      </w:r>
    </w:p>
    <w:p>
      <w:pPr>
        <w:adjustRightInd w:val="0"/>
        <w:spacing w:line="360" w:lineRule="auto"/>
        <w:ind w:right="-510" w:rightChars="-24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）主要业绩证明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pPr>
        <w:spacing w:line="360" w:lineRule="auto"/>
        <w:ind w:right="-510" w:rightChars="-243"/>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2"/>
          <w:sz w:val="24"/>
          <w:highlight w:val="none"/>
          <w:lang w:val="zh-CN"/>
          <w14:textFill>
            <w14:solidFill>
              <w14:schemeClr w14:val="tx1"/>
            </w14:solidFill>
          </w14:textFill>
        </w:rPr>
        <w:t>（</w:t>
      </w:r>
      <w:r>
        <w:rPr>
          <w:rFonts w:hint="eastAsia" w:ascii="仿宋" w:hAnsi="仿宋" w:eastAsia="仿宋" w:cs="仿宋"/>
          <w:color w:val="000000" w:themeColor="text1"/>
          <w:kern w:val="2"/>
          <w:sz w:val="24"/>
          <w:highlight w:val="none"/>
          <w:lang w:val="en-US" w:eastAsia="zh-CN"/>
          <w14:textFill>
            <w14:solidFill>
              <w14:schemeClr w14:val="tx1"/>
            </w14:solidFill>
          </w14:textFill>
        </w:rPr>
        <w:t>9</w:t>
      </w:r>
      <w:r>
        <w:rPr>
          <w:rFonts w:hint="eastAsia" w:ascii="仿宋" w:hAnsi="仿宋" w:eastAsia="仿宋" w:cs="仿宋"/>
          <w:color w:val="000000" w:themeColor="text1"/>
          <w:kern w:val="2"/>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项目小组人员名单</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pPr>
        <w:spacing w:line="360" w:lineRule="auto"/>
        <w:ind w:right="-368" w:rightChars="-175"/>
        <w:jc w:val="both"/>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highlight w:val="none"/>
          <w:lang w:val="zh-CN"/>
          <w14:textFill>
            <w14:solidFill>
              <w14:schemeClr w14:val="tx1"/>
            </w14:solidFill>
          </w14:textFill>
        </w:rPr>
        <w:t>（</w:t>
      </w:r>
      <w:r>
        <w:rPr>
          <w:rFonts w:hint="eastAsia" w:ascii="仿宋" w:hAnsi="仿宋" w:eastAsia="仿宋" w:cs="仿宋"/>
          <w:color w:val="000000" w:themeColor="text1"/>
          <w:kern w:val="2"/>
          <w:sz w:val="24"/>
          <w:highlight w:val="none"/>
          <w:lang w:val="zh-CN" w:eastAsia="zh-CN"/>
          <w14:textFill>
            <w14:solidFill>
              <w14:schemeClr w14:val="tx1"/>
            </w14:solidFill>
          </w14:textFill>
        </w:rPr>
        <w:t>1</w:t>
      </w:r>
      <w:r>
        <w:rPr>
          <w:rFonts w:hint="eastAsia" w:ascii="仿宋" w:hAnsi="仿宋" w:eastAsia="仿宋" w:cs="仿宋"/>
          <w:color w:val="000000" w:themeColor="text1"/>
          <w:kern w:val="2"/>
          <w:sz w:val="24"/>
          <w:highlight w:val="none"/>
          <w:lang w:val="en-US" w:eastAsia="zh-CN"/>
          <w14:textFill>
            <w14:solidFill>
              <w14:schemeClr w14:val="tx1"/>
            </w14:solidFill>
          </w14:textFill>
        </w:rPr>
        <w:t>0</w:t>
      </w:r>
      <w:r>
        <w:rPr>
          <w:rFonts w:hint="eastAsia" w:ascii="仿宋" w:hAnsi="仿宋" w:eastAsia="仿宋" w:cs="仿宋"/>
          <w:color w:val="000000" w:themeColor="text1"/>
          <w:kern w:val="2"/>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认为需要的其他商务技术文件或说明</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pPr>
        <w:pStyle w:val="75"/>
        <w:rPr>
          <w:rFonts w:hint="eastAsia" w:ascii="仿宋" w:hAnsi="仿宋" w:eastAsia="仿宋" w:cs="仿宋"/>
          <w:color w:val="000000" w:themeColor="text1"/>
          <w:highlight w:val="none"/>
          <w:lang w:val="zh-CN"/>
          <w14:textFill>
            <w14:solidFill>
              <w14:schemeClr w14:val="tx1"/>
            </w14:solidFill>
          </w14:textFill>
        </w:rPr>
        <w:sectPr>
          <w:footerReference r:id="rId10" w:type="default"/>
          <w:pgSz w:w="11906" w:h="16838"/>
          <w:pgMar w:top="1814" w:right="1474" w:bottom="1814" w:left="1474" w:header="851" w:footer="992" w:gutter="0"/>
          <w:pgNumType w:start="1"/>
          <w:cols w:space="720" w:num="1"/>
          <w:docGrid w:linePitch="312" w:charSpace="0"/>
        </w:sect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pPr>
        <w:pStyle w:val="335"/>
        <w:keepNext w:val="0"/>
        <w:keepLines w:val="0"/>
        <w:pageBreakBefore w:val="0"/>
        <w:kinsoku/>
        <w:wordWrap/>
        <w:overflowPunct/>
        <w:topLinePunct w:val="0"/>
        <w:autoSpaceDE/>
        <w:autoSpaceDN/>
        <w:bidi w:val="0"/>
        <w:spacing w:afterLines="0" w:line="440" w:lineRule="exact"/>
        <w:ind w:firstLine="0" w:firstLineChars="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致：</w:t>
      </w:r>
      <w:r>
        <w:rPr>
          <w:rFonts w:hint="eastAsia" w:ascii="仿宋" w:hAnsi="仿宋" w:eastAsia="仿宋" w:cs="仿宋"/>
          <w:color w:val="000000" w:themeColor="text1"/>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szCs w:val="24"/>
          <w:highlight w:val="none"/>
          <w:u w:val="single"/>
          <w14:textFill>
            <w14:solidFill>
              <w14:schemeClr w14:val="tx1"/>
            </w14:solidFill>
          </w14:textFill>
        </w:rPr>
        <w:t xml:space="preserve"> </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根据贵方磋商文件（</w:t>
      </w:r>
      <w:r>
        <w:rPr>
          <w:rFonts w:hint="eastAsia" w:ascii="仿宋" w:hAnsi="仿宋" w:eastAsia="仿宋" w:cs="仿宋"/>
          <w:b/>
          <w:color w:val="000000" w:themeColor="text1"/>
          <w:szCs w:val="24"/>
          <w:highlight w:val="none"/>
          <w:u w:val="single"/>
          <w14:textFill>
            <w14:solidFill>
              <w14:schemeClr w14:val="tx1"/>
            </w14:solidFill>
          </w14:textFill>
        </w:rPr>
        <w:t>填写磋商编号：</w:t>
      </w:r>
      <w:r>
        <w:rPr>
          <w:rFonts w:hint="eastAsia" w:ascii="仿宋" w:hAnsi="仿宋" w:eastAsia="仿宋" w:cs="仿宋"/>
          <w:color w:val="000000" w:themeColor="text1"/>
          <w:szCs w:val="24"/>
          <w:highlight w:val="none"/>
          <w:u w:val="single"/>
          <w14:textFill>
            <w14:solidFill>
              <w14:schemeClr w14:val="tx1"/>
            </w14:solidFill>
          </w14:textFill>
        </w:rPr>
        <w:t xml:space="preserve">     </w:t>
      </w:r>
      <w:r>
        <w:rPr>
          <w:rFonts w:hint="eastAsia" w:ascii="仿宋" w:hAnsi="仿宋" w:eastAsia="仿宋" w:cs="仿宋"/>
          <w:color w:val="000000" w:themeColor="text1"/>
          <w:szCs w:val="24"/>
          <w:highlight w:val="none"/>
          <w14:textFill>
            <w14:solidFill>
              <w14:schemeClr w14:val="tx1"/>
            </w14:solidFill>
          </w14:textFill>
        </w:rPr>
        <w:t>）的要求，正式授权</w:t>
      </w:r>
      <w:r>
        <w:rPr>
          <w:rFonts w:hint="eastAsia" w:ascii="仿宋" w:hAnsi="仿宋" w:eastAsia="仿宋" w:cs="仿宋"/>
          <w:b/>
          <w:color w:val="000000" w:themeColor="text1"/>
          <w:szCs w:val="24"/>
          <w:highlight w:val="none"/>
          <w:u w:val="single"/>
          <w14:textFill>
            <w14:solidFill>
              <w14:schemeClr w14:val="tx1"/>
            </w14:solidFill>
          </w14:textFill>
        </w:rPr>
        <w:t>（全权代表姓名    、单位    、职务   ）</w:t>
      </w:r>
      <w:r>
        <w:rPr>
          <w:rFonts w:hint="eastAsia" w:ascii="仿宋" w:hAnsi="仿宋" w:eastAsia="仿宋" w:cs="仿宋"/>
          <w:color w:val="000000" w:themeColor="text1"/>
          <w:szCs w:val="24"/>
          <w:highlight w:val="none"/>
          <w14:textFill>
            <w14:solidFill>
              <w14:schemeClr w14:val="tx1"/>
            </w14:solidFill>
          </w14:textFill>
        </w:rPr>
        <w:t>代表供应商</w:t>
      </w:r>
      <w:r>
        <w:rPr>
          <w:rFonts w:hint="eastAsia" w:ascii="仿宋" w:hAnsi="仿宋" w:eastAsia="仿宋" w:cs="仿宋"/>
          <w:color w:val="000000" w:themeColor="text1"/>
          <w:szCs w:val="24"/>
          <w:highlight w:val="none"/>
          <w:u w:val="single"/>
          <w14:textFill>
            <w14:solidFill>
              <w14:schemeClr w14:val="tx1"/>
            </w14:solidFill>
          </w14:textFill>
        </w:rPr>
        <w:t>（</w:t>
      </w:r>
      <w:r>
        <w:rPr>
          <w:rFonts w:hint="eastAsia" w:ascii="仿宋" w:hAnsi="仿宋" w:eastAsia="仿宋" w:cs="仿宋"/>
          <w:b/>
          <w:color w:val="000000" w:themeColor="text1"/>
          <w:szCs w:val="24"/>
          <w:highlight w:val="none"/>
          <w:u w:val="single"/>
          <w14:textFill>
            <w14:solidFill>
              <w14:schemeClr w14:val="tx1"/>
            </w14:solidFill>
          </w14:textFill>
        </w:rPr>
        <w:t xml:space="preserve">填写单位    、地址   </w:t>
      </w:r>
      <w:r>
        <w:rPr>
          <w:rFonts w:hint="eastAsia" w:ascii="仿宋" w:hAnsi="仿宋" w:eastAsia="仿宋" w:cs="仿宋"/>
          <w:color w:val="000000" w:themeColor="text1"/>
          <w:szCs w:val="24"/>
          <w:highlight w:val="none"/>
          <w:u w:val="singl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提交磋商响应文件。</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我方已完全明白磋商文件的所有条款要求，兹声明同意如下：</w:t>
      </w:r>
    </w:p>
    <w:p>
      <w:pPr>
        <w:pStyle w:val="17"/>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我方同意在供应商</w:t>
      </w:r>
      <w:r>
        <w:rPr>
          <w:rFonts w:hint="eastAsia" w:ascii="仿宋" w:hAnsi="仿宋" w:eastAsia="仿宋" w:cs="仿宋"/>
          <w:color w:val="000000" w:themeColor="text1"/>
          <w:kern w:val="44"/>
          <w:highlight w:val="none"/>
          <w14:textFill>
            <w14:solidFill>
              <w14:schemeClr w14:val="tx1"/>
            </w14:solidFill>
          </w14:textFill>
        </w:rPr>
        <w:t>须知</w:t>
      </w:r>
      <w:r>
        <w:rPr>
          <w:rFonts w:hint="eastAsia" w:ascii="仿宋" w:hAnsi="仿宋" w:eastAsia="仿宋" w:cs="仿宋"/>
          <w:color w:val="000000" w:themeColor="text1"/>
          <w:highlight w:val="none"/>
          <w14:textFill>
            <w14:solidFill>
              <w14:schemeClr w14:val="tx1"/>
            </w14:solidFill>
          </w14:textFill>
        </w:rPr>
        <w:t>规定的响应日期起遵守本磋商响应文件中的承诺且在响应有效期满之前均具有约束力</w:t>
      </w:r>
      <w:r>
        <w:rPr>
          <w:rFonts w:hint="eastAsia" w:ascii="仿宋" w:hAnsi="仿宋" w:eastAsia="仿宋" w:cs="仿宋"/>
          <w:color w:val="000000" w:themeColor="text1"/>
          <w:szCs w:val="24"/>
          <w:highlight w:val="none"/>
          <w14:textFill>
            <w14:solidFill>
              <w14:schemeClr w14:val="tx1"/>
            </w14:solidFill>
          </w14:textFill>
        </w:rPr>
        <w:t>。</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2.我方承诺已经具备《中华人民共和国政府采购法》中规定的参加政府采购活动的供应商应当具备的条件。</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本公司磋商响应文件中填列的技术参数、配置、服务、数量等相关内容都是真实、准确的。保证在本次项目中所提供的资料全部真实和合法。</w:t>
      </w:r>
      <w:r>
        <w:rPr>
          <w:rFonts w:hint="eastAsia" w:ascii="仿宋" w:hAnsi="仿宋" w:eastAsia="仿宋" w:cs="仿宋"/>
          <w:color w:val="000000" w:themeColor="text1"/>
          <w:szCs w:val="24"/>
          <w:highlight w:val="none"/>
          <w14:textFill>
            <w14:solidFill>
              <w14:schemeClr w14:val="tx1"/>
            </w14:solidFill>
          </w14:textFill>
        </w:rPr>
        <w:t>同意向绍兴虬实企业管理咨询有限公司提供可能另外要求的与磋商有关的任何数据或资料；</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4.我方理解贵方将不受你们所收到的最低报价的约束。</w:t>
      </w:r>
    </w:p>
    <w:p>
      <w:pPr>
        <w:pStyle w:val="17"/>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5.磋商有效期为从提交磋商响应文件的截止之日起90天。</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a)提供虚假材料谋取中标、成交的；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b)采取不正当手段诋毁、排挤其他供应商的；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c)与采购人、其它供应商或者采购代理机构恶意串通的；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d)向采购人、采购代理机构行贿或者提供其他不正当利益的；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e)在采购过程中与采购人进行协商谈判的；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f)拒绝有关部门监督检查或提供虚假情况的。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供应商有前款第a)至e)项情形之一的，中标、成交无效。</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地址：　　　　　　　　　　　　　　　邮政编码：</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电话：                              传真：</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开户银行：                          账号：</w:t>
      </w:r>
    </w:p>
    <w:p>
      <w:pPr>
        <w:pStyle w:val="335"/>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法定代表人或其授权代表(签字或签章)：</w:t>
      </w:r>
    </w:p>
    <w:p>
      <w:pPr>
        <w:keepNext w:val="0"/>
        <w:keepLines w:val="0"/>
        <w:pageBreakBefore w:val="0"/>
        <w:kinsoku/>
        <w:wordWrap/>
        <w:overflowPunct/>
        <w:topLinePunct w:val="0"/>
        <w:autoSpaceDE/>
        <w:autoSpaceDN/>
        <w:bidi w:val="0"/>
        <w:spacing w:line="440" w:lineRule="exact"/>
        <w:ind w:firstLine="480" w:firstLineChars="200"/>
        <w:jc w:val="both"/>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4"/>
          <w:highlight w:val="none"/>
          <w14:textFill>
            <w14:solidFill>
              <w14:schemeClr w14:val="tx1"/>
            </w14:solidFill>
          </w14:textFill>
        </w:rPr>
        <w:t xml:space="preserve">日期：     </w:t>
      </w:r>
    </w:p>
    <w:p>
      <w:pPr>
        <w:pageBreakBefore/>
        <w:spacing w:line="336"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 xml:space="preserve">二、法定代表人授权委托书（格式） </w:t>
      </w:r>
      <w:r>
        <w:rPr>
          <w:rFonts w:hint="eastAsia" w:ascii="仿宋" w:hAnsi="仿宋" w:eastAsia="仿宋" w:cs="仿宋"/>
          <w:b/>
          <w:color w:val="000000" w:themeColor="text1"/>
          <w:kern w:val="0"/>
          <w:sz w:val="32"/>
          <w:szCs w:val="32"/>
          <w:highlight w:val="none"/>
          <w:lang w:val="zh-CN"/>
          <w14:textFill>
            <w14:solidFill>
              <w14:schemeClr w14:val="tx1"/>
            </w14:solidFill>
          </w14:textFill>
        </w:rPr>
        <w:t>（适用于非联合体磋商）</w:t>
      </w:r>
    </w:p>
    <w:p>
      <w:pPr>
        <w:spacing w:line="336" w:lineRule="auto"/>
        <w:jc w:val="center"/>
        <w:rPr>
          <w:rFonts w:ascii="仿宋" w:hAnsi="仿宋" w:eastAsia="仿宋" w:cs="仿宋"/>
          <w:b/>
          <w:color w:val="000000" w:themeColor="text1"/>
          <w:sz w:val="24"/>
          <w:highlight w:val="none"/>
          <w14:textFill>
            <w14:solidFill>
              <w14:schemeClr w14:val="tx1"/>
            </w14:solidFill>
          </w14:textFill>
        </w:rPr>
      </w:pP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本授权委托书声明：我</w:t>
      </w:r>
      <w:r>
        <w:rPr>
          <w:rFonts w:hint="eastAsia" w:ascii="仿宋" w:hAnsi="仿宋" w:eastAsia="仿宋" w:cs="仿宋"/>
          <w:color w:val="000000" w:themeColor="text1"/>
          <w:sz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（填写供应商单位全称）</w:t>
      </w:r>
      <w:r>
        <w:rPr>
          <w:rFonts w:hint="eastAsia" w:ascii="仿宋" w:hAnsi="仿宋" w:eastAsia="仿宋" w:cs="仿宋"/>
          <w:color w:val="000000" w:themeColor="text1"/>
          <w:sz w:val="24"/>
          <w:highlight w:val="none"/>
          <w14:textFill>
            <w14:solidFill>
              <w14:schemeClr w14:val="tx1"/>
            </w14:solidFill>
          </w14:textFill>
        </w:rPr>
        <w:t>的法定代表人，现授权委托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（填写姓名）为我公司授权代表，</w:t>
      </w:r>
      <w:r>
        <w:rPr>
          <w:rFonts w:hint="eastAsia" w:ascii="仿宋" w:hAnsi="仿宋" w:eastAsia="仿宋" w:cs="仿宋"/>
          <w:color w:val="000000" w:themeColor="text1"/>
          <w:sz w:val="24"/>
          <w:highlight w:val="none"/>
          <w:u w:val="single"/>
          <w14:textFill>
            <w14:solidFill>
              <w14:schemeClr w14:val="tx1"/>
            </w14:solidFill>
          </w14:textFill>
        </w:rPr>
        <w:t>（填写身份证号码：                       ）</w:t>
      </w:r>
      <w:r>
        <w:rPr>
          <w:rFonts w:hint="eastAsia" w:ascii="仿宋" w:hAnsi="仿宋" w:eastAsia="仿宋" w:cs="仿宋"/>
          <w:color w:val="000000" w:themeColor="text1"/>
          <w:sz w:val="24"/>
          <w:highlight w:val="none"/>
          <w14:textFill>
            <w14:solidFill>
              <w14:schemeClr w14:val="tx1"/>
            </w14:solidFill>
          </w14:textFill>
        </w:rPr>
        <w:t>。以本公司的名义参加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组织的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磋商活动。授权代表在磋商、合同签订过程中所签署的一切文件和处理与之有关的一切事务，我均予以承认。</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pPr>
        <w:snapToGrid w:val="0"/>
        <w:spacing w:line="336" w:lineRule="auto"/>
        <w:jc w:val="left"/>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授权代表姓名：              性别：               年龄：</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                      部门：               职务：</w:t>
      </w:r>
    </w:p>
    <w:p>
      <w:pPr>
        <w:spacing w:line="336" w:lineRule="auto"/>
        <w:rPr>
          <w:rFonts w:ascii="仿宋" w:hAnsi="仿宋" w:eastAsia="仿宋" w:cs="仿宋"/>
          <w:color w:val="000000" w:themeColor="text1"/>
          <w:sz w:val="24"/>
          <w:highlight w:val="none"/>
          <w14:textFill>
            <w14:solidFill>
              <w14:schemeClr w14:val="tx1"/>
            </w14:solidFill>
          </w14:textFill>
        </w:rPr>
      </w:pPr>
    </w:p>
    <w:p>
      <w:pPr>
        <w:widowControl/>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办公地址：                  联系电话：           传真：</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供应商名称（电子签章）：</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法定代表人（签字或盖章）：</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ind w:firstLine="5280" w:firstLineChars="2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pPr>
        <w:spacing w:line="336" w:lineRule="auto"/>
        <w:ind w:firstLine="4920" w:firstLineChars="2050"/>
        <w:jc w:val="left"/>
        <w:rPr>
          <w:rFonts w:ascii="仿宋" w:hAnsi="仿宋" w:eastAsia="仿宋" w:cs="仿宋"/>
          <w:color w:val="000000" w:themeColor="text1"/>
          <w:sz w:val="24"/>
          <w:highlight w:val="none"/>
          <w14:textFill>
            <w14:solidFill>
              <w14:schemeClr w14:val="tx1"/>
            </w14:solidFill>
          </w14:textFill>
        </w:rPr>
      </w:pPr>
    </w:p>
    <w:p>
      <w:pPr>
        <w:pageBreakBefore/>
        <w:spacing w:line="336"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 xml:space="preserve">法定代表人授权委托书（格式） </w:t>
      </w:r>
      <w:r>
        <w:rPr>
          <w:rFonts w:hint="eastAsia" w:ascii="仿宋" w:hAnsi="仿宋" w:eastAsia="仿宋" w:cs="仿宋"/>
          <w:b/>
          <w:color w:val="000000" w:themeColor="text1"/>
          <w:kern w:val="0"/>
          <w:sz w:val="32"/>
          <w:szCs w:val="32"/>
          <w:highlight w:val="none"/>
          <w:lang w:val="zh-CN"/>
          <w14:textFill>
            <w14:solidFill>
              <w14:schemeClr w14:val="tx1"/>
            </w14:solidFill>
          </w14:textFill>
        </w:rPr>
        <w:t>（适用于联合体磋商）</w:t>
      </w:r>
    </w:p>
    <w:p>
      <w:pPr>
        <w:spacing w:line="336" w:lineRule="auto"/>
        <w:jc w:val="center"/>
        <w:rPr>
          <w:rFonts w:ascii="仿宋" w:hAnsi="仿宋" w:eastAsia="仿宋" w:cs="仿宋"/>
          <w:b/>
          <w:color w:val="000000" w:themeColor="text1"/>
          <w:sz w:val="24"/>
          <w:highlight w:val="none"/>
          <w14:textFill>
            <w14:solidFill>
              <w14:schemeClr w14:val="tx1"/>
            </w14:solidFill>
          </w14:textFill>
        </w:rPr>
      </w:pP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w:t>
      </w:r>
    </w:p>
    <w:p>
      <w:pPr>
        <w:snapToGrid w:val="0"/>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highlight w:val="none"/>
          <w14:textFill>
            <w14:solidFill>
              <w14:schemeClr w14:val="tx1"/>
            </w14:solidFill>
          </w14:textFill>
        </w:rPr>
        <w:t>为我方授权代表，</w:t>
      </w:r>
      <w:r>
        <w:rPr>
          <w:rFonts w:hint="eastAsia" w:ascii="仿宋" w:hAnsi="仿宋" w:eastAsia="仿宋" w:cs="仿宋"/>
          <w:color w:val="000000" w:themeColor="text1"/>
          <w:sz w:val="24"/>
          <w:highlight w:val="none"/>
          <w:u w:val="single"/>
          <w14:textFill>
            <w14:solidFill>
              <w14:schemeClr w14:val="tx1"/>
            </w14:solidFill>
          </w14:textFill>
        </w:rPr>
        <w:t>（填写身份证号码：                       ）</w:t>
      </w:r>
      <w:r>
        <w:rPr>
          <w:rFonts w:hint="eastAsia" w:ascii="仿宋" w:hAnsi="仿宋" w:eastAsia="仿宋" w:cs="仿宋"/>
          <w:color w:val="000000" w:themeColor="text1"/>
          <w:sz w:val="24"/>
          <w:highlight w:val="none"/>
          <w14:textFill>
            <w14:solidFill>
              <w14:schemeClr w14:val="tx1"/>
            </w14:solidFill>
          </w14:textFill>
        </w:rPr>
        <w:t>。以我方的名义参加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组织的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磋商活动。授权代表在磋商、合同签订过程中所签署的一切文件和处理与之有关的一切事务，我方均予以承认。</w:t>
      </w:r>
    </w:p>
    <w:p>
      <w:pPr>
        <w:snapToGrid w:val="0"/>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pPr>
        <w:snapToGrid w:val="0"/>
        <w:spacing w:line="336" w:lineRule="auto"/>
        <w:jc w:val="left"/>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授权代表姓名：              性别：               年龄：</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                      部门：               职务：</w:t>
      </w:r>
    </w:p>
    <w:p>
      <w:pPr>
        <w:spacing w:line="336" w:lineRule="auto"/>
        <w:rPr>
          <w:rFonts w:ascii="仿宋" w:hAnsi="仿宋" w:eastAsia="仿宋" w:cs="仿宋"/>
          <w:color w:val="000000" w:themeColor="text1"/>
          <w:sz w:val="24"/>
          <w:highlight w:val="none"/>
          <w14:textFill>
            <w14:solidFill>
              <w14:schemeClr w14:val="tx1"/>
            </w14:solidFill>
          </w14:textFill>
        </w:rPr>
      </w:pPr>
    </w:p>
    <w:p>
      <w:pPr>
        <w:widowControl/>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办公地址：                  联系电话：           传真：</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jc w:val="right"/>
        <w:rPr>
          <w:rFonts w:ascii="仿宋" w:hAnsi="仿宋" w:eastAsia="仿宋" w:cs="仿宋"/>
          <w:color w:val="000000" w:themeColor="text1"/>
          <w:highlight w:val="none"/>
          <w14:textFill>
            <w14:solidFill>
              <w14:schemeClr w14:val="tx1"/>
            </w14:solidFill>
          </w14:textFill>
        </w:rPr>
      </w:pPr>
    </w:p>
    <w:p>
      <w:pPr>
        <w:snapToGrid w:val="0"/>
        <w:spacing w:line="336"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36"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36"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pacing w:line="336" w:lineRule="auto"/>
        <w:ind w:firstLine="4320" w:firstLineChars="1800"/>
        <w:rPr>
          <w:rFonts w:ascii="仿宋" w:hAnsi="仿宋" w:eastAsia="仿宋" w:cs="仿宋"/>
          <w:color w:val="000000" w:themeColor="text1"/>
          <w:sz w:val="24"/>
          <w:highlight w:val="none"/>
          <w14:textFill>
            <w14:solidFill>
              <w14:schemeClr w14:val="tx1"/>
            </w14:solidFill>
          </w14:textFill>
        </w:rPr>
      </w:pPr>
    </w:p>
    <w:p>
      <w:pPr>
        <w:spacing w:line="336" w:lineRule="auto"/>
        <w:ind w:firstLine="4337" w:firstLineChars="1800"/>
        <w:rPr>
          <w:rFonts w:ascii="仿宋" w:hAnsi="仿宋" w:eastAsia="仿宋" w:cs="仿宋"/>
          <w:b/>
          <w:color w:val="000000" w:themeColor="text1"/>
          <w:sz w:val="24"/>
          <w:highlight w:val="none"/>
          <w14:textFill>
            <w14:solidFill>
              <w14:schemeClr w14:val="tx1"/>
            </w14:solidFill>
          </w14:textFill>
        </w:rPr>
      </w:pPr>
    </w:p>
    <w:p>
      <w:pPr>
        <w:spacing w:line="336" w:lineRule="auto"/>
        <w:rPr>
          <w:rFonts w:ascii="仿宋" w:hAnsi="仿宋" w:eastAsia="仿宋" w:cs="仿宋"/>
          <w:b/>
          <w:color w:val="000000" w:themeColor="text1"/>
          <w:sz w:val="30"/>
          <w:szCs w:val="30"/>
          <w:highlight w:val="none"/>
          <w14:textFill>
            <w14:solidFill>
              <w14:schemeClr w14:val="tx1"/>
            </w14:solidFill>
          </w14:textFill>
        </w:rPr>
      </w:pPr>
    </w:p>
    <w:p>
      <w:pPr>
        <w:spacing w:line="336" w:lineRule="auto"/>
        <w:rPr>
          <w:rFonts w:ascii="仿宋" w:hAnsi="仿宋" w:eastAsia="仿宋" w:cs="仿宋"/>
          <w:b/>
          <w:color w:val="000000" w:themeColor="text1"/>
          <w:sz w:val="30"/>
          <w:szCs w:val="30"/>
          <w:highlight w:val="none"/>
          <w14:textFill>
            <w14:solidFill>
              <w14:schemeClr w14:val="tx1"/>
            </w14:solidFill>
          </w14:textFill>
        </w:rPr>
      </w:pPr>
    </w:p>
    <w:p>
      <w:pPr>
        <w:spacing w:line="336"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pPr>
        <w:spacing w:line="336"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pPr>
        <w:pageBreakBefore w:val="0"/>
        <w:spacing w:line="800" w:lineRule="exact"/>
        <w:jc w:val="center"/>
        <w:rPr>
          <w:rFonts w:ascii="仿宋_GB2312" w:hAnsi="宋体" w:eastAsia="仿宋_GB2312"/>
          <w:b/>
          <w:color w:val="000000" w:themeColor="text1"/>
          <w:sz w:val="30"/>
          <w:szCs w:val="30"/>
          <w:highlight w:val="none"/>
          <w14:textFill>
            <w14:solidFill>
              <w14:schemeClr w14:val="tx1"/>
            </w14:solidFill>
          </w14:textFill>
        </w:rPr>
      </w:pPr>
      <w:r>
        <w:rPr>
          <w:rFonts w:hint="eastAsia" w:ascii="仿宋_GB2312" w:hAnsi="宋体" w:eastAsia="仿宋_GB2312"/>
          <w:b/>
          <w:color w:val="000000" w:themeColor="text1"/>
          <w:sz w:val="30"/>
          <w:szCs w:val="30"/>
          <w:highlight w:val="none"/>
          <w14:textFill>
            <w14:solidFill>
              <w14:schemeClr w14:val="tx1"/>
            </w14:solidFill>
          </w14:textFill>
        </w:rPr>
        <w:t>三、授权代表社保证明（复印件）</w:t>
      </w:r>
    </w:p>
    <w:p>
      <w:pPr>
        <w:spacing w:line="800" w:lineRule="exact"/>
        <w:ind w:firstLine="480" w:firstLineChars="200"/>
        <w:rPr>
          <w:rFonts w:ascii="仿宋_GB2312" w:hAnsi="仿宋_GB2312" w:eastAsia="仿宋_GB2312" w:cs="仿宋_GB2312"/>
          <w:b/>
          <w:color w:val="000000" w:themeColor="text1"/>
          <w:sz w:val="24"/>
          <w:highlight w:val="none"/>
          <w:u w:val="wave"/>
          <w14:textFill>
            <w14:solidFill>
              <w14:schemeClr w14:val="tx1"/>
            </w14:solidFill>
          </w14:textFill>
        </w:rPr>
      </w:pPr>
      <w:r>
        <w:rPr>
          <w:rFonts w:hint="eastAsia" w:ascii="仿宋_GB2312" w:hAnsi="仿宋_GB2312" w:eastAsia="仿宋_GB2312" w:cs="仿宋_GB2312"/>
          <w:color w:val="000000" w:themeColor="text1"/>
          <w:sz w:val="24"/>
          <w:highlight w:val="none"/>
          <w:u w:val="wave"/>
          <w:shd w:val="clear" w:color="auto" w:fill="FFFFFF"/>
          <w14:textFill>
            <w14:solidFill>
              <w14:schemeClr w14:val="tx1"/>
            </w14:solidFill>
          </w14:textFill>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pPr>
        <w:spacing w:line="800" w:lineRule="exact"/>
        <w:ind w:firstLine="480" w:firstLineChars="200"/>
        <w:rPr>
          <w:rFonts w:ascii="仿宋_GB2312" w:hAnsi="宋体" w:eastAsia="仿宋_GB2312"/>
          <w:color w:val="000000" w:themeColor="text1"/>
          <w:sz w:val="24"/>
          <w:highlight w:val="none"/>
          <w:u w:val="wave"/>
          <w14:textFill>
            <w14:solidFill>
              <w14:schemeClr w14:val="tx1"/>
            </w14:solidFill>
          </w14:textFill>
        </w:rPr>
      </w:pPr>
    </w:p>
    <w:p>
      <w:pPr>
        <w:spacing w:line="336"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pPr>
        <w:spacing w:line="336"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四</w:t>
      </w:r>
      <w:r>
        <w:rPr>
          <w:rFonts w:hint="eastAsia" w:ascii="仿宋" w:hAnsi="仿宋" w:eastAsia="仿宋" w:cs="仿宋"/>
          <w:b/>
          <w:color w:val="000000" w:themeColor="text1"/>
          <w:sz w:val="30"/>
          <w:szCs w:val="30"/>
          <w:highlight w:val="none"/>
          <w14:textFill>
            <w14:solidFill>
              <w14:schemeClr w14:val="tx1"/>
            </w14:solidFill>
          </w14:textFill>
        </w:rPr>
        <w:t>、法定代表人及其授权代表身份证复印件（正反面）</w:t>
      </w:r>
    </w:p>
    <w:p>
      <w:pPr>
        <w:spacing w:line="336" w:lineRule="auto"/>
        <w:rPr>
          <w:rFonts w:ascii="仿宋" w:hAnsi="仿宋" w:eastAsia="仿宋" w:cs="仿宋"/>
          <w:b/>
          <w:color w:val="000000" w:themeColor="text1"/>
          <w:sz w:val="24"/>
          <w:highlight w:val="none"/>
          <w14:textFill>
            <w14:solidFill>
              <w14:schemeClr w14:val="tx1"/>
            </w14:solidFill>
          </w14:textFill>
        </w:rPr>
      </w:pPr>
    </w:p>
    <w:p>
      <w:pPr>
        <w:pStyle w:val="75"/>
        <w:ind w:left="0" w:leftChars="0" w:firstLine="0" w:firstLineChars="0"/>
        <w:rPr>
          <w:rFonts w:ascii="仿宋" w:hAnsi="仿宋" w:eastAsia="仿宋" w:cs="仿宋"/>
          <w:b/>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4"/>
        <w:rPr>
          <w:color w:val="000000" w:themeColor="text1"/>
          <w:highlight w:val="none"/>
          <w14:textFill>
            <w14:solidFill>
              <w14:schemeClr w14:val="tx1"/>
            </w14:solidFill>
          </w14:textFill>
        </w:rPr>
      </w:pPr>
    </w:p>
    <w:p>
      <w:pPr>
        <w:pStyle w:val="7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36"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val="en-US" w:eastAsia="zh-CN"/>
          <w14:textFill>
            <w14:solidFill>
              <w14:schemeClr w14:val="tx1"/>
            </w14:solidFill>
          </w14:textFill>
        </w:rPr>
        <w:t>五</w:t>
      </w:r>
      <w:r>
        <w:rPr>
          <w:rFonts w:hint="eastAsia" w:ascii="仿宋" w:hAnsi="仿宋" w:eastAsia="仿宋" w:cs="仿宋"/>
          <w:b/>
          <w:color w:val="000000" w:themeColor="text1"/>
          <w:sz w:val="30"/>
          <w:szCs w:val="30"/>
          <w:highlight w:val="none"/>
          <w14:textFill>
            <w14:solidFill>
              <w14:schemeClr w14:val="tx1"/>
            </w14:solidFill>
          </w14:textFill>
        </w:rPr>
        <w:t>、法定代表人身份证明书(格式)</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 标 人：</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    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   务：</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（填写供应商名称）</w:t>
      </w:r>
      <w:r>
        <w:rPr>
          <w:rFonts w:hint="eastAsia" w:ascii="仿宋" w:hAnsi="仿宋" w:eastAsia="仿宋" w:cs="仿宋"/>
          <w:color w:val="000000" w:themeColor="text1"/>
          <w:sz w:val="24"/>
          <w:highlight w:val="none"/>
          <w14:textFill>
            <w14:solidFill>
              <w14:schemeClr w14:val="tx1"/>
            </w14:solidFill>
          </w14:textFill>
        </w:rPr>
        <w:t>的法定代表人。</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pPr>
        <w:spacing w:line="336" w:lineRule="auto"/>
        <w:ind w:firstLine="6120" w:firstLineChars="25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p>
      <w:pPr>
        <w:pageBreakBefore/>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36"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spacing w:line="336"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磋商文件章节及具体内容</w:t>
            </w:r>
          </w:p>
        </w:tc>
        <w:tc>
          <w:tcPr>
            <w:tcW w:w="3546" w:type="dxa"/>
          </w:tcPr>
          <w:p>
            <w:pPr>
              <w:spacing w:line="336"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磋商文件章节及具体内容</w:t>
            </w:r>
          </w:p>
        </w:tc>
        <w:tc>
          <w:tcPr>
            <w:tcW w:w="1276" w:type="dxa"/>
          </w:tcPr>
          <w:p>
            <w:pPr>
              <w:spacing w:line="336"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36"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36"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36"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tc>
      </w:tr>
    </w:tbl>
    <w:p>
      <w:pPr>
        <w:spacing w:line="336" w:lineRule="auto"/>
        <w:jc w:val="left"/>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供应商保证：除商务技术偏离表列出的偏离外，供应商响应磋商文件的全部要求</w:t>
      </w:r>
    </w:p>
    <w:p>
      <w:pPr>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pStyle w:val="74"/>
        <w:rPr>
          <w:rFonts w:hint="eastAsia"/>
          <w:color w:val="000000" w:themeColor="text1"/>
          <w:highlight w:val="none"/>
          <w14:textFill>
            <w14:solidFill>
              <w14:schemeClr w14:val="tx1"/>
            </w14:solidFill>
          </w14:textFill>
        </w:rPr>
      </w:pP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pPr>
        <w:spacing w:line="336" w:lineRule="auto"/>
        <w:ind w:firstLine="6120" w:firstLineChars="25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pStyle w:val="74"/>
        <w:rPr>
          <w:color w:val="000000" w:themeColor="text1"/>
          <w:highlight w:val="none"/>
          <w14:textFill>
            <w14:solidFill>
              <w14:schemeClr w14:val="tx1"/>
            </w14:solidFill>
          </w14:textFill>
        </w:rPr>
      </w:pPr>
    </w:p>
    <w:p>
      <w:pPr>
        <w:pageBreakBefore/>
        <w:widowControl/>
        <w:adjustRightInd/>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36" w:lineRule="auto"/>
        <w:rPr>
          <w:rFonts w:ascii="仿宋" w:hAnsi="仿宋" w:eastAsia="仿宋" w:cs="仿宋"/>
          <w:color w:val="000000" w:themeColor="text1"/>
          <w:sz w:val="24"/>
          <w:highlight w:val="none"/>
          <w14:textFill>
            <w14:solidFill>
              <w14:schemeClr w14:val="tx1"/>
            </w14:solidFill>
          </w14:textFill>
        </w:rPr>
      </w:pPr>
    </w:p>
    <w:p>
      <w:pPr>
        <w:snapToGrid w:val="0"/>
        <w:spacing w:line="336"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项目磋商要求参加磋商。在这次磋商过程中和中标后，我们将严格遵守国家法律法规要求，并郑重承诺：</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36"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有权立即取消我单位磋商、中标或在建项目的建设资格，有权拒绝我单位在一定时期内进入你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pP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pPr>
        <w:spacing w:line="336" w:lineRule="auto"/>
        <w:ind w:firstLine="6120" w:firstLineChars="25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36" w:lineRule="auto"/>
        <w:jc w:val="center"/>
        <w:rPr>
          <w:rFonts w:ascii="仿宋" w:hAnsi="仿宋" w:eastAsia="仿宋" w:cs="仿宋"/>
          <w:b/>
          <w:bCs/>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36" w:lineRule="auto"/>
        <w:jc w:val="center"/>
        <w:rPr>
          <w:rFonts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pPr>
    </w:p>
    <w:p>
      <w:pPr>
        <w:pageBreakBefore/>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主要业绩证明</w:t>
      </w:r>
    </w:p>
    <w:p>
      <w:pPr>
        <w:autoSpaceDE w:val="0"/>
        <w:autoSpaceDN w:val="0"/>
        <w:spacing w:line="360" w:lineRule="auto"/>
        <w:ind w:firstLine="12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金额</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所在页码</w:t>
            </w:r>
          </w:p>
        </w:tc>
      </w:tr>
      <w:tr>
        <w:tblPrEx>
          <w:tblLayout w:type="fixed"/>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bl>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注：供应商可按上述的格式自行编制，须随表提交相应的合同复印件和用户单位验收证明并注明页码。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p>
    <w:p>
      <w:pPr>
        <w:autoSpaceDE w:val="0"/>
        <w:autoSpaceDN w:val="0"/>
        <w:spacing w:line="360" w:lineRule="auto"/>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p>
    <w:p>
      <w:pPr>
        <w:spacing w:line="336" w:lineRule="auto"/>
        <w:ind w:firstLine="5760" w:firstLineChars="2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  年   月   日</w:t>
      </w:r>
    </w:p>
    <w:p>
      <w:pPr>
        <w:pStyle w:val="88"/>
        <w:ind w:firstLine="0"/>
        <w:jc w:val="both"/>
        <w:rPr>
          <w:rFonts w:hAnsi="仿宋_GB2312" w:cs="仿宋_GB2312"/>
          <w:color w:val="000000" w:themeColor="text1"/>
          <w:highlight w:val="none"/>
          <w14:textFill>
            <w14:solidFill>
              <w14:schemeClr w14:val="tx1"/>
            </w14:solidFill>
          </w14:textFill>
        </w:rPr>
      </w:pPr>
    </w:p>
    <w:p>
      <w:pPr>
        <w:pageBreakBefore/>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、项目小组人员名单</w:t>
      </w:r>
    </w:p>
    <w:p>
      <w:pPr>
        <w:spacing w:line="360" w:lineRule="auto"/>
        <w:jc w:val="center"/>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（由供应商根据采购需求及磋商文件要求编制）</w:t>
      </w:r>
    </w:p>
    <w:p>
      <w:pPr>
        <w:keepNext/>
        <w:autoSpaceDE w:val="0"/>
        <w:autoSpaceDN w:val="0"/>
        <w:spacing w:line="360" w:lineRule="auto"/>
        <w:ind w:firstLine="477"/>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附表A:本项目的项目经理情况表</w:t>
      </w:r>
    </w:p>
    <w:tbl>
      <w:tblPr>
        <w:tblStyle w:val="63"/>
        <w:tblW w:w="9058" w:type="dxa"/>
        <w:tblInd w:w="0" w:type="dxa"/>
        <w:tblLayout w:type="fixed"/>
        <w:tblCellMar>
          <w:top w:w="0" w:type="dxa"/>
          <w:left w:w="108" w:type="dxa"/>
          <w:bottom w:w="0" w:type="dxa"/>
          <w:right w:w="108" w:type="dxa"/>
        </w:tblCellMar>
      </w:tblPr>
      <w:tblGrid>
        <w:gridCol w:w="2132"/>
        <w:gridCol w:w="1331"/>
        <w:gridCol w:w="1303"/>
        <w:gridCol w:w="4292"/>
      </w:tblGrid>
      <w:tr>
        <w:tblPrEx>
          <w:tblLayout w:type="fixed"/>
          <w:tblCellMar>
            <w:top w:w="0" w:type="dxa"/>
            <w:left w:w="108" w:type="dxa"/>
            <w:bottom w:w="0" w:type="dxa"/>
            <w:right w:w="108" w:type="dxa"/>
          </w:tblCellMar>
        </w:tblPrEx>
        <w:trPr>
          <w:trHeight w:val="1346"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p>
        </w:tc>
        <w:tc>
          <w:tcPr>
            <w:tcW w:w="1331"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42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截止磋商时间近3年业绩及承担的主要工作情况，曾担任项目经理的项目应列明细</w:t>
            </w: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性别</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年龄</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职称</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毕业时间</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所学专业</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学历</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资质证书编号</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其他资质情况</w:t>
            </w:r>
          </w:p>
        </w:tc>
        <w:tc>
          <w:tcPr>
            <w:tcW w:w="133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cantSplit/>
          <w:trHeight w:val="472"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bl>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注：须随表提交相应的证书复印件并注明所在磋商</w:t>
      </w: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商务技术文件</w:t>
      </w:r>
      <w:r>
        <w:rPr>
          <w:rFonts w:hint="eastAsia" w:ascii="仿宋_GB2312" w:hAnsi="仿宋_GB2312" w:eastAsia="仿宋_GB2312" w:cs="仿宋_GB2312"/>
          <w:b/>
          <w:color w:val="000000" w:themeColor="text1"/>
          <w:sz w:val="24"/>
          <w:highlight w:val="none"/>
          <w14:textFill>
            <w14:solidFill>
              <w14:schemeClr w14:val="tx1"/>
            </w14:solidFill>
          </w14:textFill>
        </w:rPr>
        <w:t>页码。</w:t>
      </w:r>
    </w:p>
    <w:p>
      <w:pPr>
        <w:autoSpaceDE w:val="0"/>
        <w:autoSpaceDN w:val="0"/>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附表B:本项目的项目小组人员情况表</w:t>
      </w:r>
      <w:r>
        <w:rPr>
          <w:rFonts w:hint="eastAsia" w:ascii="仿宋_GB2312" w:hAnsi="仿宋_GB2312" w:eastAsia="仿宋_GB2312" w:cs="仿宋_GB2312"/>
          <w:color w:val="000000" w:themeColor="text1"/>
          <w:sz w:val="24"/>
          <w:highlight w:val="none"/>
          <w14:textFill>
            <w14:solidFill>
              <w14:schemeClr w14:val="tx1"/>
            </w14:solidFill>
          </w14:textFill>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学历</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专业</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职称</w:t>
            </w:r>
          </w:p>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参与本项目的到位情况</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p>
        </w:tc>
      </w:tr>
    </w:tbl>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注：供应商可按上述的格式自行编制，须随表提交相应的证书复印件并注明所在磋商响应</w:t>
      </w: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商务技术文件</w:t>
      </w:r>
      <w:r>
        <w:rPr>
          <w:rFonts w:hint="eastAsia" w:ascii="仿宋_GB2312" w:hAnsi="仿宋_GB2312" w:eastAsia="仿宋_GB2312" w:cs="仿宋_GB2312"/>
          <w:b/>
          <w:color w:val="000000" w:themeColor="text1"/>
          <w:sz w:val="24"/>
          <w:highlight w:val="none"/>
          <w14:textFill>
            <w14:solidFill>
              <w14:schemeClr w14:val="tx1"/>
            </w14:solidFill>
          </w14:textFill>
        </w:rPr>
        <w:t>页码。</w:t>
      </w: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附表C:本项目的项目经理和小组人员提供交纳社保记录情况表</w:t>
      </w:r>
      <w:r>
        <w:rPr>
          <w:rFonts w:hint="eastAsia" w:ascii="仿宋_GB2312" w:hAnsi="仿宋_GB2312" w:eastAsia="仿宋_GB2312" w:cs="仿宋_GB2312"/>
          <w:color w:val="000000" w:themeColor="text1"/>
          <w:sz w:val="24"/>
          <w:highlight w:val="none"/>
          <w14:textFill>
            <w14:solidFill>
              <w14:schemeClr w14:val="tx1"/>
            </w14:solidFill>
          </w14:textFill>
        </w:rPr>
        <w:t>（以社保局缴纳凭证作附件）</w:t>
      </w:r>
    </w:p>
    <w:p>
      <w:pPr>
        <w:spacing w:line="336" w:lineRule="auto"/>
        <w:ind w:firstLine="6000" w:firstLineChars="2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pPr>
        <w:spacing w:line="336" w:lineRule="auto"/>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  年   月   日</w:t>
      </w:r>
    </w:p>
    <w:p>
      <w:pPr>
        <w:spacing w:line="360" w:lineRule="auto"/>
        <w:jc w:val="both"/>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jc w:val="center"/>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、认为需要的</w:t>
      </w:r>
      <w:r>
        <w:rPr>
          <w:rFonts w:hint="eastAsia" w:ascii="仿宋_GB2312" w:hAnsi="仿宋_GB2312" w:eastAsia="仿宋_GB2312" w:cs="仿宋_GB2312"/>
          <w:b/>
          <w:color w:val="000000" w:themeColor="text1"/>
          <w:kern w:val="0"/>
          <w:sz w:val="32"/>
          <w:szCs w:val="32"/>
          <w:highlight w:val="none"/>
          <w:lang w:val="zh-CN"/>
          <w14:textFill>
            <w14:solidFill>
              <w14:schemeClr w14:val="tx1"/>
            </w14:solidFill>
          </w14:textFill>
        </w:rPr>
        <w:t>其他商务技术文件或说明</w:t>
      </w:r>
    </w:p>
    <w:p>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（由供应商根据采购需求自行编制）</w:t>
      </w:r>
    </w:p>
    <w:p>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p>
      <w:pPr>
        <w:spacing w:line="336" w:lineRule="auto"/>
        <w:ind w:firstLine="5760" w:firstLineChars="2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pPr>
        <w:spacing w:line="336"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日期：  年   月   日</w:t>
      </w:r>
    </w:p>
    <w:p>
      <w:pPr>
        <w:pStyle w:val="74"/>
        <w:rPr>
          <w:color w:val="000000" w:themeColor="text1"/>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814" w:right="1474" w:bottom="1814" w:left="1474" w:header="851" w:footer="992" w:gutter="0"/>
          <w:cols w:space="720" w:num="1"/>
          <w:titlePg/>
          <w:docGrid w:linePitch="312" w:charSpace="0"/>
        </w:sectPr>
      </w:pPr>
    </w:p>
    <w:p>
      <w:pPr>
        <w:spacing w:line="336" w:lineRule="auto"/>
        <w:jc w:val="center"/>
        <w:rPr>
          <w:rFonts w:ascii="仿宋" w:hAnsi="仿宋" w:eastAsia="仿宋" w:cs="仿宋"/>
          <w:b/>
          <w:color w:val="000000" w:themeColor="text1"/>
          <w:sz w:val="36"/>
          <w:szCs w:val="36"/>
          <w:highlight w:val="none"/>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36"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36"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napToGrid w:val="0"/>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（1）磋商一览表（报价表）………………………………………………………（页码）</w:t>
      </w:r>
    </w:p>
    <w:p>
      <w:pPr>
        <w:snapToGri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pPr>
        <w:numPr>
          <w:ilvl w:val="0"/>
          <w:numId w:val="0"/>
        </w:numPr>
        <w:snapToGrid w:val="0"/>
        <w:spacing w:line="336"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残疾人福利性单位声明函……………………………………………………（页码）</w:t>
      </w:r>
    </w:p>
    <w:p>
      <w:pPr>
        <w:pStyle w:val="74"/>
        <w:rPr>
          <w:rFonts w:hint="eastAsia" w:eastAsia="仿宋_GB2312"/>
          <w:color w:val="000000" w:themeColor="text1"/>
          <w:highlight w:val="none"/>
          <w:lang w:eastAsia="zh-CN"/>
          <w14:textFill>
            <w14:solidFill>
              <w14:schemeClr w14:val="tx1"/>
            </w14:solidFill>
          </w14:textFill>
        </w:rPr>
      </w:pPr>
    </w:p>
    <w:p>
      <w:pPr>
        <w:snapToGrid w:val="0"/>
        <w:spacing w:line="336" w:lineRule="auto"/>
        <w:jc w:val="center"/>
        <w:rPr>
          <w:rFonts w:ascii="仿宋" w:hAnsi="仿宋" w:eastAsia="仿宋" w:cs="仿宋"/>
          <w:b/>
          <w:color w:val="000000" w:themeColor="text1"/>
          <w:kern w:val="0"/>
          <w:sz w:val="32"/>
          <w:szCs w:val="32"/>
          <w:highlight w:val="none"/>
          <w14:textFill>
            <w14:solidFill>
              <w14:schemeClr w14:val="tx1"/>
            </w14:solidFill>
          </w14:textFill>
        </w:rPr>
      </w:pPr>
    </w:p>
    <w:p>
      <w:pPr>
        <w:spacing w:line="336" w:lineRule="auto"/>
        <w:jc w:val="center"/>
        <w:rPr>
          <w:rFonts w:ascii="仿宋" w:hAnsi="仿宋" w:eastAsia="仿宋" w:cs="仿宋"/>
          <w:b/>
          <w:bCs/>
          <w:color w:val="000000" w:themeColor="text1"/>
          <w:sz w:val="32"/>
          <w:szCs w:val="32"/>
          <w:highlight w:val="none"/>
          <w14:textFill>
            <w14:solidFill>
              <w14:schemeClr w14:val="tx1"/>
            </w14:solidFill>
          </w14:textFill>
        </w:rPr>
      </w:pPr>
    </w:p>
    <w:p>
      <w:pPr>
        <w:widowControl/>
        <w:adjustRightInd/>
        <w:spacing w:line="336" w:lineRule="auto"/>
        <w:jc w:val="left"/>
        <w:rPr>
          <w:rFonts w:ascii="仿宋" w:hAnsi="仿宋" w:eastAsia="仿宋" w:cs="仿宋"/>
          <w:b/>
          <w:bCs/>
          <w:color w:val="000000" w:themeColor="text1"/>
          <w:sz w:val="30"/>
          <w:szCs w:val="30"/>
          <w:highlight w:val="none"/>
          <w14:textFill>
            <w14:solidFill>
              <w14:schemeClr w14:val="tx1"/>
            </w14:solidFill>
          </w14:textFill>
        </w:rPr>
      </w:pPr>
    </w:p>
    <w:p>
      <w:pPr>
        <w:widowControl/>
        <w:adjustRightInd/>
        <w:spacing w:line="336" w:lineRule="auto"/>
        <w:jc w:val="left"/>
        <w:rPr>
          <w:rFonts w:ascii="仿宋" w:hAnsi="仿宋" w:eastAsia="仿宋" w:cs="仿宋"/>
          <w:color w:val="000000" w:themeColor="text1"/>
          <w:kern w:val="2"/>
          <w:sz w:val="32"/>
          <w:szCs w:val="32"/>
          <w:highlight w:val="none"/>
          <w14:textFill>
            <w14:solidFill>
              <w14:schemeClr w14:val="tx1"/>
            </w14:solidFill>
          </w14:textFill>
        </w:rPr>
        <w:sectPr>
          <w:headerReference r:id="rId16" w:type="first"/>
          <w:footerReference r:id="rId19" w:type="first"/>
          <w:headerReference r:id="rId15" w:type="default"/>
          <w:footerReference r:id="rId17" w:type="default"/>
          <w:footerReference r:id="rId18" w:type="even"/>
          <w:pgSz w:w="11906" w:h="16838"/>
          <w:pgMar w:top="1814" w:right="1474" w:bottom="1814" w:left="1474" w:header="851" w:footer="992" w:gutter="0"/>
          <w:cols w:space="720" w:num="1"/>
          <w:titlePg/>
          <w:docGrid w:linePitch="312" w:charSpace="0"/>
        </w:sectPr>
      </w:pPr>
      <w:r>
        <w:rPr>
          <w:rFonts w:hint="eastAsia" w:ascii="仿宋" w:hAnsi="仿宋" w:eastAsia="仿宋" w:cs="仿宋"/>
          <w:b/>
          <w:color w:val="000000" w:themeColor="text1"/>
          <w:sz w:val="36"/>
          <w:szCs w:val="36"/>
          <w:highlight w:val="none"/>
          <w14:textFill>
            <w14:solidFill>
              <w14:schemeClr w14:val="tx1"/>
            </w14:solidFill>
          </w14:textFill>
        </w:rPr>
        <w:br w:type="page"/>
      </w:r>
    </w:p>
    <w:p>
      <w:pPr>
        <w:pStyle w:val="119"/>
        <w:keepNext w:val="0"/>
        <w:pageBreakBefore w:val="0"/>
        <w:numPr>
          <w:ilvl w:val="0"/>
          <w:numId w:val="0"/>
        </w:numPr>
        <w:tabs>
          <w:tab w:val="clear" w:pos="720"/>
        </w:tabs>
        <w:spacing w:line="336" w:lineRule="auto"/>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2"/>
          <w:sz w:val="32"/>
          <w:szCs w:val="32"/>
          <w:highlight w:val="none"/>
          <w14:textFill>
            <w14:solidFill>
              <w14:schemeClr w14:val="tx1"/>
            </w14:solidFill>
          </w14:textFill>
        </w:rPr>
        <w:t>磋商一览表（报价表）</w:t>
      </w:r>
    </w:p>
    <w:p>
      <w:pPr>
        <w:pStyle w:val="119"/>
        <w:keepNext w:val="0"/>
        <w:pageBreakBefore w:val="0"/>
        <w:numPr>
          <w:ilvl w:val="0"/>
          <w:numId w:val="0"/>
        </w:numPr>
        <w:tabs>
          <w:tab w:val="clear" w:pos="720"/>
        </w:tabs>
        <w:spacing w:line="336" w:lineRule="auto"/>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pPr>
    </w:p>
    <w:p>
      <w:pPr>
        <w:snapToGrid w:val="0"/>
        <w:spacing w:line="336"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【磋商编号：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pStyle w:val="5"/>
        <w:rPr>
          <w:lang w:val="zh-CN"/>
        </w:rPr>
      </w:pPr>
    </w:p>
    <w:p>
      <w:pPr>
        <w:spacing w:line="336"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磋商一览表（报价表）(单位均为人民币元)</w:t>
      </w:r>
    </w:p>
    <w:tbl>
      <w:tblPr>
        <w:tblStyle w:val="63"/>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2621"/>
        <w:gridCol w:w="1220"/>
        <w:gridCol w:w="1268"/>
        <w:gridCol w:w="1816"/>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黑体" w:hAnsi="黑体" w:eastAsia="黑体" w:cs="黑体"/>
                <w:bCs/>
                <w:color w:val="auto"/>
                <w:szCs w:val="21"/>
              </w:rPr>
            </w:pPr>
            <w:r>
              <w:rPr>
                <w:rFonts w:hint="eastAsia" w:ascii="黑体" w:hAnsi="黑体" w:eastAsia="黑体" w:cs="黑体"/>
                <w:bCs/>
                <w:color w:val="auto"/>
                <w:szCs w:val="21"/>
              </w:rPr>
              <w:t>序号</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黑体" w:hAnsi="黑体" w:eastAsia="黑体" w:cs="黑体"/>
                <w:bCs/>
                <w:color w:val="auto"/>
                <w:szCs w:val="21"/>
              </w:rPr>
            </w:pPr>
            <w:r>
              <w:rPr>
                <w:rFonts w:hint="eastAsia" w:ascii="黑体" w:hAnsi="黑体" w:eastAsia="黑体" w:cs="黑体"/>
                <w:bCs/>
                <w:color w:val="auto"/>
                <w:szCs w:val="21"/>
              </w:rPr>
              <w:t>项目名称</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黑体" w:hAnsi="黑体" w:eastAsia="黑体" w:cs="黑体"/>
                <w:bCs/>
                <w:color w:val="auto"/>
                <w:szCs w:val="21"/>
              </w:rPr>
            </w:pPr>
            <w:r>
              <w:rPr>
                <w:rFonts w:hint="eastAsia" w:ascii="黑体" w:hAnsi="黑体" w:eastAsia="黑体" w:cs="黑体"/>
                <w:bCs/>
                <w:color w:val="auto"/>
                <w:szCs w:val="21"/>
              </w:rPr>
              <w:t>数量</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黑体" w:hAnsi="黑体" w:eastAsia="黑体" w:cs="黑体"/>
                <w:bCs/>
                <w:color w:val="auto"/>
                <w:szCs w:val="21"/>
                <w:lang w:eastAsia="zh-CN"/>
              </w:rPr>
            </w:pPr>
            <w:r>
              <w:rPr>
                <w:rFonts w:hint="eastAsia" w:ascii="黑体" w:hAnsi="黑体" w:eastAsia="黑体" w:cs="黑体"/>
                <w:bCs/>
                <w:color w:val="auto"/>
                <w:szCs w:val="21"/>
                <w:lang w:eastAsia="zh-CN"/>
              </w:rPr>
              <w:t>单价</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黑体" w:hAnsi="黑体" w:eastAsia="黑体" w:cs="黑体"/>
                <w:bCs/>
                <w:color w:val="auto"/>
                <w:szCs w:val="21"/>
              </w:rPr>
            </w:pPr>
            <w:r>
              <w:rPr>
                <w:rFonts w:hint="eastAsia" w:ascii="黑体" w:hAnsi="黑体" w:eastAsia="黑体" w:cs="黑体"/>
                <w:bCs/>
                <w:color w:val="auto"/>
                <w:szCs w:val="21"/>
              </w:rPr>
              <w:t>投标总报价</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黑体" w:hAnsi="黑体" w:eastAsia="黑体" w:cs="黑体"/>
                <w:bCs/>
                <w:color w:val="auto"/>
                <w:szCs w:val="21"/>
              </w:rPr>
            </w:pPr>
            <w:r>
              <w:rPr>
                <w:rFonts w:hint="eastAsia" w:ascii="黑体" w:hAnsi="黑体" w:eastAsia="黑体" w:cs="黑体"/>
                <w:bCs/>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bCs/>
                <w:color w:val="auto"/>
                <w:szCs w:val="21"/>
              </w:rPr>
            </w:pPr>
            <w:r>
              <w:rPr>
                <w:rFonts w:hint="eastAsia" w:ascii="宋体" w:hAnsi="宋体"/>
                <w:bCs/>
                <w:color w:val="auto"/>
                <w:szCs w:val="21"/>
              </w:rPr>
              <w:t>1</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s="宋体"/>
                <w:bCs/>
                <w:color w:val="auto"/>
                <w:szCs w:val="21"/>
                <w:lang w:eastAsia="zh-CN"/>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olor w:val="auto"/>
                <w:szCs w:val="21"/>
                <w:lang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2</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s="宋体"/>
                <w:bCs/>
                <w:color w:val="auto"/>
                <w:szCs w:val="21"/>
                <w:lang w:eastAsia="zh-CN"/>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olor w:val="auto"/>
                <w:szCs w:val="21"/>
                <w:lang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3</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s="宋体"/>
                <w:bCs/>
                <w:color w:val="auto"/>
                <w:szCs w:val="21"/>
                <w:lang w:eastAsia="zh-CN"/>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olor w:val="auto"/>
                <w:szCs w:val="21"/>
                <w:lang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4</w:t>
            </w:r>
          </w:p>
        </w:tc>
        <w:tc>
          <w:tcPr>
            <w:tcW w:w="26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s="宋体"/>
                <w:bCs/>
                <w:color w:val="auto"/>
                <w:szCs w:val="21"/>
                <w:lang w:eastAsia="zh-CN"/>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bCs/>
                <w:color w:val="auto"/>
                <w:szCs w:val="21"/>
                <w:lang w:eastAsia="zh-CN"/>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eastAsia="宋体"/>
                <w:color w:val="auto"/>
                <w:szCs w:val="21"/>
                <w:lang w:eastAsia="zh-CN"/>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34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cs="宋体"/>
                <w:bCs/>
                <w:color w:val="auto"/>
                <w:szCs w:val="21"/>
                <w:lang w:eastAsia="zh-CN"/>
              </w:rPr>
            </w:pPr>
            <w:r>
              <w:rPr>
                <w:rFonts w:hint="eastAsia" w:ascii="仿宋" w:hAnsi="仿宋" w:eastAsia="仿宋" w:cs="仿宋"/>
                <w:b/>
                <w:color w:val="000000" w:themeColor="text1"/>
                <w:sz w:val="24"/>
                <w:highlight w:val="none"/>
                <w14:textFill>
                  <w14:solidFill>
                    <w14:schemeClr w14:val="tx1"/>
                  </w14:solidFill>
                </w14:textFill>
              </w:rPr>
              <w:t>磋商报价（小写）</w:t>
            </w:r>
          </w:p>
        </w:tc>
        <w:tc>
          <w:tcPr>
            <w:tcW w:w="551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7" w:hRule="atLeast"/>
          <w:jc w:val="center"/>
        </w:trPr>
        <w:tc>
          <w:tcPr>
            <w:tcW w:w="34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400" w:lineRule="exact"/>
              <w:jc w:val="center"/>
              <w:rPr>
                <w:rFonts w:hint="eastAsia" w:ascii="宋体" w:hAnsi="宋体" w:cs="宋体"/>
                <w:bCs/>
                <w:color w:val="auto"/>
                <w:szCs w:val="21"/>
                <w:lang w:eastAsia="zh-CN"/>
              </w:rPr>
            </w:pPr>
            <w:r>
              <w:rPr>
                <w:rFonts w:hint="eastAsia" w:ascii="仿宋" w:hAnsi="仿宋" w:eastAsia="仿宋" w:cs="仿宋"/>
                <w:b/>
                <w:color w:val="000000" w:themeColor="text1"/>
                <w:sz w:val="24"/>
                <w:highlight w:val="none"/>
                <w14:textFill>
                  <w14:solidFill>
                    <w14:schemeClr w14:val="tx1"/>
                  </w14:solidFill>
                </w14:textFill>
              </w:rPr>
              <w:t>磋商报价（大写）</w:t>
            </w:r>
          </w:p>
        </w:tc>
        <w:tc>
          <w:tcPr>
            <w:tcW w:w="5515" w:type="dxa"/>
            <w:gridSpan w:val="4"/>
            <w:tcBorders>
              <w:top w:val="single" w:color="auto" w:sz="4" w:space="0"/>
              <w:left w:val="single" w:color="auto" w:sz="4" w:space="0"/>
              <w:right w:val="single" w:color="auto" w:sz="4" w:space="0"/>
            </w:tcBorders>
            <w:noWrap w:val="0"/>
            <w:vAlign w:val="center"/>
          </w:tcPr>
          <w:p>
            <w:pPr>
              <w:snapToGrid w:val="0"/>
              <w:spacing w:before="100" w:beforeAutospacing="1" w:after="100" w:afterAutospacing="1" w:line="400" w:lineRule="exact"/>
              <w:jc w:val="center"/>
              <w:rPr>
                <w:rFonts w:ascii="宋体" w:hAnsi="宋体"/>
                <w:color w:val="auto"/>
                <w:szCs w:val="21"/>
              </w:rPr>
            </w:pPr>
          </w:p>
        </w:tc>
      </w:tr>
    </w:tbl>
    <w:p>
      <w:pPr>
        <w:spacing w:line="336" w:lineRule="auto"/>
        <w:jc w:val="center"/>
        <w:rPr>
          <w:rFonts w:ascii="仿宋" w:hAnsi="仿宋" w:eastAsia="仿宋" w:cs="仿宋"/>
          <w:b/>
          <w:color w:val="000000" w:themeColor="text1"/>
          <w:kern w:val="0"/>
          <w:sz w:val="24"/>
          <w:highlight w:val="none"/>
          <w:lang w:val="zh-CN"/>
          <w14:textFill>
            <w14:solidFill>
              <w14:schemeClr w14:val="tx1"/>
            </w14:solidFill>
          </w14:textFill>
        </w:rPr>
      </w:pPr>
    </w:p>
    <w:p>
      <w:pPr>
        <w:spacing w:line="336" w:lineRule="auto"/>
        <w:ind w:firstLine="5520" w:firstLineChars="2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pPr>
        <w:snapToGrid/>
        <w:spacing w:line="336" w:lineRule="auto"/>
        <w:ind w:firstLine="5520" w:firstLineChars="23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pPr>
        <w:snapToGrid w:val="0"/>
        <w:spacing w:line="336"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36"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磋商文件含有采购人不能接受的附加条件，磋商无效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36"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磋商文件含有采购人不能接受的附加条件，磋商无效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磋商文件含有采购人不能接受的附加条件的，磋商无效。</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p>
    <w:p>
      <w:pPr>
        <w:widowControl/>
        <w:adjustRightInd/>
        <w:spacing w:line="336" w:lineRule="auto"/>
        <w:jc w:val="left"/>
        <w:rPr>
          <w:rFonts w:ascii="仿宋" w:hAnsi="仿宋" w:eastAsia="仿宋" w:cs="仿宋"/>
          <w:color w:val="000000" w:themeColor="text1"/>
          <w:kern w:val="0"/>
          <w:sz w:val="24"/>
          <w:highlight w:val="none"/>
          <w:lang w:val="zh-CN"/>
          <w14:textFill>
            <w14:solidFill>
              <w14:schemeClr w14:val="tx1"/>
            </w14:solidFill>
          </w14:textFill>
        </w:rPr>
        <w:sectPr>
          <w:pgSz w:w="11906" w:h="16838"/>
          <w:pgMar w:top="1474" w:right="1814" w:bottom="1474" w:left="1814" w:header="851" w:footer="992" w:gutter="0"/>
          <w:cols w:space="720" w:num="1"/>
          <w:titlePg/>
          <w:docGrid w:linePitch="312" w:charSpace="0"/>
        </w:sectPr>
      </w:pPr>
    </w:p>
    <w:p>
      <w:pPr>
        <w:widowControl/>
        <w:adjustRightInd/>
        <w:spacing w:line="336"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（二）中小企业声明函</w:t>
      </w:r>
      <w:bookmarkStart w:id="75" w:name="_Toc465665161"/>
      <w:r>
        <w:rPr>
          <w:rFonts w:hint="eastAsia" w:ascii="仿宋" w:hAnsi="仿宋" w:eastAsia="仿宋" w:cs="仿宋"/>
          <w:b/>
          <w:color w:val="000000" w:themeColor="text1"/>
          <w:sz w:val="32"/>
          <w:szCs w:val="32"/>
          <w:highlight w:val="none"/>
          <w14:textFill>
            <w14:solidFill>
              <w14:schemeClr w14:val="tx1"/>
            </w14:solidFill>
          </w14:textFill>
        </w:rPr>
        <w:t>（如有）</w:t>
      </w:r>
    </w:p>
    <w:p>
      <w:pPr>
        <w:widowControl/>
        <w:spacing w:line="336" w:lineRule="auto"/>
        <w:ind w:firstLine="120" w:firstLineChars="50"/>
        <w:jc w:val="left"/>
        <w:rPr>
          <w:rFonts w:ascii="仿宋" w:hAnsi="仿宋" w:eastAsia="仿宋" w:cs="仿宋"/>
          <w:b/>
          <w:color w:val="000000" w:themeColor="text1"/>
          <w:sz w:val="24"/>
          <w:highlight w:val="none"/>
          <w14:textFill>
            <w14:solidFill>
              <w14:schemeClr w14:val="tx1"/>
            </w14:solidFill>
          </w14:textFill>
        </w:rPr>
      </w:pPr>
    </w:p>
    <w:p>
      <w:pPr>
        <w:widowControl/>
        <w:spacing w:line="336"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b/>
          <w:color w:val="000000" w:themeColor="text1"/>
          <w:sz w:val="24"/>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pPr>
        <w:widowControl/>
        <w:spacing w:line="336"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p>
    <w:p>
      <w:pPr>
        <w:pStyle w:val="74"/>
        <w:rPr>
          <w:rFonts w:hint="eastAsia" w:ascii="仿宋" w:hAnsi="仿宋" w:eastAsia="仿宋" w:cs="仿宋"/>
          <w:b/>
          <w:color w:val="000000" w:themeColor="text1"/>
          <w:sz w:val="24"/>
          <w:highlight w:val="none"/>
          <w14:textFill>
            <w14:solidFill>
              <w14:schemeClr w14:val="tx1"/>
            </w14:solidFill>
          </w14:textFill>
        </w:rPr>
      </w:pPr>
    </w:p>
    <w:p>
      <w:pPr>
        <w:pStyle w:val="75"/>
        <w:rPr>
          <w:rFonts w:hint="eastAsia" w:ascii="仿宋" w:hAnsi="仿宋" w:eastAsia="仿宋" w:cs="仿宋"/>
          <w:b/>
          <w:color w:val="000000" w:themeColor="text1"/>
          <w:sz w:val="24"/>
          <w:highlight w:val="none"/>
          <w14:textFill>
            <w14:solidFill>
              <w14:schemeClr w14:val="tx1"/>
            </w14:solidFill>
          </w14:textFill>
        </w:rPr>
      </w:pPr>
    </w:p>
    <w:p>
      <w:pPr>
        <w:rPr>
          <w:rFonts w:hint="eastAsia" w:ascii="仿宋" w:hAnsi="仿宋" w:eastAsia="仿宋" w:cs="仿宋"/>
          <w:b/>
          <w:color w:val="000000" w:themeColor="text1"/>
          <w:sz w:val="24"/>
          <w:highlight w:val="none"/>
          <w14:textFill>
            <w14:solidFill>
              <w14:schemeClr w14:val="tx1"/>
            </w14:solidFill>
          </w14:textFill>
        </w:rPr>
      </w:pPr>
    </w:p>
    <w:p>
      <w:pPr>
        <w:pStyle w:val="74"/>
        <w:rPr>
          <w:rFonts w:hint="eastAsia"/>
          <w:color w:val="000000" w:themeColor="text1"/>
          <w:highlight w:val="none"/>
          <w14:textFill>
            <w14:solidFill>
              <w14:schemeClr w14:val="tx1"/>
            </w14:solidFill>
          </w14:textFill>
        </w:rPr>
      </w:pPr>
    </w:p>
    <w:p>
      <w:pPr>
        <w:widowControl/>
        <w:spacing w:line="336" w:lineRule="auto"/>
        <w:ind w:firstLine="161" w:firstLineChars="50"/>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（三）</w:t>
      </w:r>
      <w:r>
        <w:rPr>
          <w:rFonts w:hint="eastAsia" w:ascii="仿宋" w:hAnsi="仿宋" w:eastAsia="仿宋" w:cs="仿宋"/>
          <w:b/>
          <w:color w:val="000000" w:themeColor="text1"/>
          <w:sz w:val="32"/>
          <w:szCs w:val="32"/>
          <w:highlight w:val="none"/>
          <w14:textFill>
            <w14:solidFill>
              <w14:schemeClr w14:val="tx1"/>
            </w14:solidFill>
          </w14:textFill>
        </w:rPr>
        <w:t>残疾人福利性单位声明函（如有）</w:t>
      </w:r>
    </w:p>
    <w:p>
      <w:pPr>
        <w:widowControl/>
        <w:spacing w:line="336" w:lineRule="auto"/>
        <w:ind w:firstLine="361" w:firstLineChars="15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[符合条件的残疾人福利性单位，提供残疾人福利性单位声明函(附件</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否</w:t>
      </w:r>
      <w:r>
        <w:rPr>
          <w:rFonts w:hint="eastAsia" w:ascii="仿宋" w:hAnsi="仿宋" w:eastAsia="仿宋" w:cs="仿宋"/>
          <w:b/>
          <w:color w:val="000000" w:themeColor="text1"/>
          <w:sz w:val="24"/>
          <w:highlight w:val="none"/>
          <w14:textFill>
            <w14:solidFill>
              <w14:schemeClr w14:val="tx1"/>
            </w14:solidFill>
          </w14:textFill>
        </w:rPr>
        <w:t>则不需要提供。]</w:t>
      </w:r>
    </w:p>
    <w:p>
      <w:pPr>
        <w:widowControl/>
        <w:adjustRightInd/>
        <w:spacing w:line="336" w:lineRule="auto"/>
        <w:jc w:val="center"/>
        <w:rPr>
          <w:rFonts w:ascii="仿宋" w:hAnsi="仿宋" w:eastAsia="仿宋" w:cs="仿宋"/>
          <w:color w:val="000000" w:themeColor="text1"/>
          <w:sz w:val="24"/>
          <w:highlight w:val="none"/>
          <w14:textFill>
            <w14:solidFill>
              <w14:schemeClr w14:val="tx1"/>
            </w14:solidFill>
          </w14:textFill>
        </w:rPr>
      </w:pPr>
    </w:p>
    <w:bookmarkEnd w:id="75"/>
    <w:p>
      <w:pPr>
        <w:widowControl/>
        <w:adjustRightInd/>
        <w:spacing w:line="336"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p>
    <w:p>
      <w:pPr>
        <w:autoSpaceDE w:val="0"/>
        <w:autoSpaceDN w:val="0"/>
        <w:spacing w:line="336" w:lineRule="auto"/>
        <w:jc w:val="both"/>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widowControl/>
        <w:spacing w:line="336"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（以联合体形式磋商的，提供联合协议；本项目不接受联合体磋商或者供应商不以联合体形式磋商的，则不需要提供）</w:t>
      </w:r>
    </w:p>
    <w:p>
      <w:pPr>
        <w:snapToGrid w:val="0"/>
        <w:spacing w:line="336"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【项目编号：（采购编号）】响应。 </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四、联合体成员中小企业合同份额（如有）。</w:t>
      </w:r>
    </w:p>
    <w:p>
      <w:pPr>
        <w:snapToGrid w:val="0"/>
        <w:spacing w:line="336"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76"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76"/>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77"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77"/>
      <w:r>
        <w:rPr>
          <w:rFonts w:hint="eastAsia" w:ascii="仿宋" w:hAnsi="仿宋" w:eastAsia="仿宋" w:cs="仿宋"/>
          <w:b/>
          <w:color w:val="000000" w:themeColor="text1"/>
          <w:kern w:val="0"/>
          <w:sz w:val="24"/>
          <w:highlight w:val="none"/>
          <w:lang w:val="zh-CN"/>
          <w14:textFill>
            <w14:solidFill>
              <w14:schemeClr w14:val="tx1"/>
            </w14:solidFill>
          </w14:textFill>
        </w:rPr>
        <w:t>）</w:t>
      </w:r>
    </w:p>
    <w:p>
      <w:pPr>
        <w:spacing w:line="336"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78"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78"/>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36"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36"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36" w:lineRule="auto"/>
        <w:ind w:firstLine="5040" w:firstLineChars="2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36"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36"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widowControl/>
        <w:adjustRightInd/>
        <w:spacing w:line="336" w:lineRule="auto"/>
        <w:jc w:val="left"/>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pPr>
        <w:spacing w:line="336" w:lineRule="auto"/>
        <w:jc w:val="both"/>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3</w:t>
      </w: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pPr>
        <w:spacing w:line="336" w:lineRule="auto"/>
        <w:rPr>
          <w:rFonts w:ascii="仿宋" w:hAnsi="仿宋" w:eastAsia="仿宋" w:cs="仿宋"/>
          <w:b/>
          <w:color w:val="000000" w:themeColor="text1"/>
          <w:spacing w:val="6"/>
          <w:sz w:val="30"/>
          <w:szCs w:val="30"/>
          <w:highlight w:val="none"/>
          <w14:textFill>
            <w14:solidFill>
              <w14:schemeClr w14:val="tx1"/>
            </w14:solidFill>
          </w14:textFill>
        </w:rPr>
      </w:pP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供应商名称（电子签名）：</w:t>
      </w:r>
    </w:p>
    <w:p>
      <w:pPr>
        <w:spacing w:line="336" w:lineRule="auto"/>
        <w:ind w:firstLine="6240" w:firstLineChars="26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tabs>
          <w:tab w:val="left" w:pos="4860"/>
        </w:tabs>
        <w:spacing w:line="336" w:lineRule="auto"/>
        <w:ind w:firstLine="480" w:firstLineChars="200"/>
        <w:jc w:val="center"/>
        <w:rPr>
          <w:rFonts w:ascii="仿宋" w:hAnsi="仿宋" w:eastAsia="仿宋" w:cs="仿宋"/>
          <w:color w:val="000000" w:themeColor="text1"/>
          <w:sz w:val="24"/>
          <w:highlight w:val="none"/>
          <w14:textFill>
            <w14:solidFill>
              <w14:schemeClr w14:val="tx1"/>
            </w14:solidFill>
          </w14:textFill>
        </w:rPr>
      </w:pPr>
    </w:p>
    <w:p>
      <w:pPr>
        <w:pStyle w:val="74"/>
        <w:rPr>
          <w:rFonts w:ascii="仿宋" w:hAnsi="仿宋" w:eastAsia="仿宋" w:cs="仿宋"/>
          <w:color w:val="000000" w:themeColor="text1"/>
          <w:sz w:val="24"/>
          <w:highlight w:val="none"/>
          <w14:textFill>
            <w14:solidFill>
              <w14:schemeClr w14:val="tx1"/>
            </w14:solidFill>
          </w14:textFill>
        </w:rPr>
      </w:pPr>
    </w:p>
    <w:p>
      <w:pPr>
        <w:pStyle w:val="75"/>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pStyle w:val="74"/>
        <w:rPr>
          <w:rFonts w:ascii="仿宋" w:hAnsi="仿宋" w:eastAsia="仿宋" w:cs="仿宋"/>
          <w:color w:val="000000" w:themeColor="text1"/>
          <w:sz w:val="24"/>
          <w:highlight w:val="none"/>
          <w14:textFill>
            <w14:solidFill>
              <w14:schemeClr w14:val="tx1"/>
            </w14:solidFill>
          </w14:textFill>
        </w:rPr>
      </w:pPr>
    </w:p>
    <w:p>
      <w:pPr>
        <w:pStyle w:val="75"/>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pStyle w:val="74"/>
        <w:rPr>
          <w:rFonts w:ascii="仿宋" w:hAnsi="仿宋" w:eastAsia="仿宋" w:cs="仿宋"/>
          <w:color w:val="000000" w:themeColor="text1"/>
          <w:sz w:val="24"/>
          <w:highlight w:val="none"/>
          <w14:textFill>
            <w14:solidFill>
              <w14:schemeClr w14:val="tx1"/>
            </w14:solidFill>
          </w14:textFill>
        </w:rPr>
      </w:pPr>
    </w:p>
    <w:p>
      <w:pPr>
        <w:pStyle w:val="75"/>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pStyle w:val="74"/>
        <w:rPr>
          <w:rFonts w:ascii="仿宋" w:hAnsi="仿宋" w:eastAsia="仿宋" w:cs="仿宋"/>
          <w:color w:val="000000" w:themeColor="text1"/>
          <w:sz w:val="24"/>
          <w:highlight w:val="none"/>
          <w14:textFill>
            <w14:solidFill>
              <w14:schemeClr w14:val="tx1"/>
            </w14:solidFill>
          </w14:textFill>
        </w:rPr>
      </w:pPr>
    </w:p>
    <w:p>
      <w:pPr>
        <w:pStyle w:val="75"/>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pStyle w:val="74"/>
        <w:rPr>
          <w:rFonts w:ascii="仿宋" w:hAnsi="仿宋" w:eastAsia="仿宋" w:cs="仿宋"/>
          <w:color w:val="000000" w:themeColor="text1"/>
          <w:sz w:val="24"/>
          <w:highlight w:val="none"/>
          <w14:textFill>
            <w14:solidFill>
              <w14:schemeClr w14:val="tx1"/>
            </w14:solidFill>
          </w14:textFill>
        </w:rPr>
      </w:pPr>
    </w:p>
    <w:p>
      <w:pPr>
        <w:pStyle w:val="75"/>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pStyle w:val="74"/>
        <w:rPr>
          <w:rFonts w:ascii="仿宋" w:hAnsi="仿宋" w:eastAsia="仿宋" w:cs="仿宋"/>
          <w:color w:val="000000" w:themeColor="text1"/>
          <w:sz w:val="24"/>
          <w:highlight w:val="none"/>
          <w14:textFill>
            <w14:solidFill>
              <w14:schemeClr w14:val="tx1"/>
            </w14:solidFill>
          </w14:textFill>
        </w:rPr>
      </w:pPr>
    </w:p>
    <w:p>
      <w:pPr>
        <w:pStyle w:val="75"/>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pStyle w:val="5"/>
        <w:rPr>
          <w:rFonts w:ascii="仿宋" w:hAnsi="仿宋" w:eastAsia="仿宋" w:cs="仿宋"/>
          <w:color w:val="000000" w:themeColor="text1"/>
          <w:sz w:val="24"/>
          <w:highlight w:val="none"/>
          <w14:textFill>
            <w14:solidFill>
              <w14:schemeClr w14:val="tx1"/>
            </w14:solidFill>
          </w14:textFill>
        </w:rPr>
      </w:pPr>
    </w:p>
    <w:p>
      <w:pPr>
        <w:pStyle w:val="6"/>
      </w:pPr>
    </w:p>
    <w:p>
      <w:pPr>
        <w:rPr>
          <w:rFonts w:ascii="仿宋" w:hAnsi="仿宋" w:eastAsia="仿宋" w:cs="仿宋"/>
          <w:color w:val="000000" w:themeColor="text1"/>
          <w:sz w:val="24"/>
          <w:highlight w:val="none"/>
          <w14:textFill>
            <w14:solidFill>
              <w14:schemeClr w14:val="tx1"/>
            </w14:solidFill>
          </w14:textFill>
        </w:rPr>
      </w:pPr>
    </w:p>
    <w:p>
      <w:pPr>
        <w:pStyle w:val="74"/>
        <w:rPr>
          <w:color w:val="000000" w:themeColor="text1"/>
          <w:highlight w:val="none"/>
          <w14:textFill>
            <w14:solidFill>
              <w14:schemeClr w14:val="tx1"/>
            </w14:solidFill>
          </w14:textFill>
        </w:rPr>
      </w:pPr>
    </w:p>
    <w:p>
      <w:pPr>
        <w:snapToGrid w:val="0"/>
        <w:spacing w:line="336" w:lineRule="auto"/>
        <w:jc w:val="both"/>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w:t>
      </w:r>
    </w:p>
    <w:p>
      <w:pPr>
        <w:spacing w:line="336" w:lineRule="auto"/>
        <w:jc w:val="center"/>
        <w:rPr>
          <w:rFonts w:ascii="仿宋" w:hAnsi="仿宋" w:eastAsia="仿宋" w:cs="仿宋"/>
          <w:b/>
          <w:color w:val="000000" w:themeColor="text1"/>
          <w:sz w:val="32"/>
          <w:szCs w:val="32"/>
          <w:highlight w:val="none"/>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中小企业声明函（服务）</w:t>
      </w:r>
    </w:p>
    <w:p>
      <w:pPr>
        <w:spacing w:line="336" w:lineRule="auto"/>
        <w:jc w:val="center"/>
        <w:rPr>
          <w:rFonts w:ascii="仿宋" w:hAnsi="仿宋" w:eastAsia="仿宋" w:cs="仿宋"/>
          <w:b/>
          <w:color w:val="000000" w:themeColor="text1"/>
          <w:sz w:val="32"/>
          <w:szCs w:val="32"/>
          <w:highlight w:val="none"/>
          <w14:textFill>
            <w14:solidFill>
              <w14:schemeClr w14:val="tx1"/>
            </w14:solidFill>
          </w14:textFill>
        </w:rPr>
      </w:pP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36"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36" w:lineRule="auto"/>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pPr>
        <w:spacing w:line="336" w:lineRule="auto"/>
        <w:ind w:firstLine="6120" w:firstLineChars="25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36" w:lineRule="auto"/>
        <w:ind w:firstLine="310" w:firstLineChars="147"/>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ascii="仿宋" w:hAnsi="仿宋" w:eastAsia="仿宋" w:cs="仿宋"/>
          <w:b/>
          <w:color w:val="000000" w:themeColor="text1"/>
          <w:sz w:val="24"/>
          <w:highlight w:val="none"/>
          <w14:textFill>
            <w14:solidFill>
              <w14:schemeClr w14:val="tx1"/>
            </w14:solidFill>
          </w14:textFill>
        </w:rPr>
      </w:pPr>
    </w:p>
    <w:p>
      <w:pPr>
        <w:pageBreakBefore/>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国家统计局关于印发《统计上大中小微型企业划分办法（2017）》的通知</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附件：《统计上大中小微型企业划分办法（2017）》修订说明</w:t>
      </w:r>
    </w:p>
    <w:p>
      <w:pPr>
        <w:widowControl/>
        <w:shd w:val="clear" w:color="auto" w:fill="FFFFFF"/>
        <w:spacing w:line="336" w:lineRule="auto"/>
        <w:jc w:val="righ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国家统计局  </w:t>
      </w:r>
    </w:p>
    <w:p>
      <w:pPr>
        <w:widowControl/>
        <w:shd w:val="clear" w:color="auto" w:fill="FFFFFF"/>
        <w:spacing w:line="336" w:lineRule="auto"/>
        <w:jc w:val="righ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2017年12月28日</w:t>
      </w:r>
    </w:p>
    <w:p>
      <w:pPr>
        <w:pStyle w:val="5"/>
        <w:spacing w:line="336" w:lineRule="auto"/>
        <w:rPr>
          <w:rFonts w:ascii="仿宋" w:hAnsi="仿宋" w:eastAsia="仿宋" w:cs="仿宋"/>
          <w:color w:val="000000" w:themeColor="text1"/>
          <w:highlight w:val="none"/>
          <w:lang w:val="en-US"/>
          <w14:textFill>
            <w14:solidFill>
              <w14:schemeClr w14:val="tx1"/>
            </w14:solidFill>
          </w14:textFill>
        </w:rPr>
      </w:pP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统计上大中小微型企业划分办法（2017）</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五、企业划分由政府综合统计部门根据统计年报每年确定一次，定报统计原则上不进行调整。</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附表：统计上大中小微型企业划分标准</w:t>
      </w:r>
    </w:p>
    <w:p>
      <w:pPr>
        <w:pStyle w:val="5"/>
        <w:rPr>
          <w:rFonts w:hint="eastAsia" w:ascii="仿宋" w:hAnsi="仿宋" w:eastAsia="仿宋" w:cs="仿宋"/>
          <w:color w:val="000000" w:themeColor="text1"/>
          <w:kern w:val="0"/>
          <w:szCs w:val="21"/>
          <w:highlight w:val="none"/>
          <w14:textFill>
            <w14:solidFill>
              <w14:schemeClr w14:val="tx1"/>
            </w14:solidFill>
          </w14:textFill>
        </w:rPr>
      </w:pPr>
    </w:p>
    <w:p>
      <w:pPr>
        <w:pStyle w:val="6"/>
      </w:pPr>
    </w:p>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统计上大中小微型企业划分标准</w:t>
      </w:r>
    </w:p>
    <w:tbl>
      <w:tblPr>
        <w:tblStyle w:val="63"/>
        <w:tblW w:w="97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行业名称</w:t>
            </w:r>
          </w:p>
        </w:tc>
        <w:tc>
          <w:tcPr>
            <w:tcW w:w="1560"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指标名称</w:t>
            </w:r>
          </w:p>
        </w:tc>
        <w:tc>
          <w:tcPr>
            <w:tcW w:w="671"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计量单位</w:t>
            </w:r>
          </w:p>
        </w:tc>
        <w:tc>
          <w:tcPr>
            <w:tcW w:w="1231"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大型</w:t>
            </w:r>
          </w:p>
        </w:tc>
        <w:tc>
          <w:tcPr>
            <w:tcW w:w="1891"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中型</w:t>
            </w:r>
          </w:p>
        </w:tc>
        <w:tc>
          <w:tcPr>
            <w:tcW w:w="1730"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小型</w:t>
            </w:r>
          </w:p>
        </w:tc>
        <w:tc>
          <w:tcPr>
            <w:tcW w:w="1203"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农、林、牧、渔业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500≤Y＜20000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50≤Y＜500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工业 *</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20≤X＜300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Y≥40000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2000≤Y＜40000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300≤Y＜2000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建筑业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Y≥80000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6000≤Y＜80000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300≤Y＜6000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资产总额(Z)</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Z≥80000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5000≤Z＜80000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300≤Z＜5000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批发业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20≤X＜200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5≤X＜20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Y≥40000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5000≤Y＜40000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1000≤Y＜5000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零售业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50≤X＜300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10≤X＜50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500≤Y＜20000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100≤Y＜500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交通运输业 *</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20≤X＜300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3000≤Y＜30000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200≤Y＜3000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仓储业*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100≤X＜200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1000≤Y＜30000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100≤Y＜1000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邮政业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20≤X＜300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2000≤Y＜30000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100≤Y＜2000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住宿业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2000≤Y＜10000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100≤Y＜2000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餐饮业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2000≤Y＜10000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100≤Y＜2000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信息传输业 *</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100≤X＜2000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1000≤Y＜100000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100≤Y＜1000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软件和信息技术服务业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1000≤Y＜10000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50≤Y＜1000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房地产开发经营</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1000≤Y＜200000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100≤Y＜1000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资产总额(Z)</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Z≥10000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5000≤Z＜10000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2000≤Z＜5000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物业管理</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1000≤Y＜5000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500≤Y＜1000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租赁和商务服务业</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资产总额(Z)</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Z≥120000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8000≤Z＜120000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100≤Z＜8000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其他未列明行业 *</w:t>
            </w:r>
          </w:p>
        </w:tc>
        <w:tc>
          <w:tcPr>
            <w:tcW w:w="156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bl>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 　　</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1.大型、中型和小型企业须同时满足所列指标的下限，否则下划一档；微型企业只须满足所列指标中的一项即可。 　　</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3.企业划分指标以现行统计制度为准。</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（1）从业人员，是指期末从业人员数，没有期末从业人员数的，采用全年平均人员数代替。</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（3）资产总额，采用资产总计代替。</w:t>
      </w:r>
    </w:p>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《统计上大中小微型企业划分办法（2017）》修订说明</w:t>
      </w:r>
    </w:p>
    <w:p>
      <w:pPr>
        <w:widowControl/>
        <w:shd w:val="clear" w:color="auto" w:fill="FFFFFF"/>
        <w:spacing w:line="336" w:lineRule="auto"/>
        <w:jc w:val="left"/>
        <w:textAlignment w:val="baseline"/>
        <w:rPr>
          <w:rFonts w:ascii="仿宋" w:hAnsi="仿宋" w:eastAsia="仿宋" w:cs="仿宋"/>
          <w:b/>
          <w:bCs/>
          <w:color w:val="000000" w:themeColor="text1"/>
          <w:kern w:val="0"/>
          <w:sz w:val="27"/>
          <w:szCs w:val="27"/>
          <w:highlight w:val="none"/>
          <w14:textFill>
            <w14:solidFill>
              <w14:schemeClr w14:val="tx1"/>
            </w14:solidFill>
          </w14:textFill>
        </w:rPr>
      </w:pPr>
      <w:r>
        <w:rPr>
          <w:rFonts w:hint="eastAsia" w:ascii="仿宋" w:hAnsi="仿宋" w:eastAsia="仿宋" w:cs="仿宋"/>
          <w:b/>
          <w:bCs/>
          <w:color w:val="000000" w:themeColor="text1"/>
          <w:kern w:val="0"/>
          <w:sz w:val="27"/>
          <w:szCs w:val="27"/>
          <w:highlight w:val="none"/>
          <w14:textFill>
            <w14:solidFill>
              <w14:schemeClr w14:val="tx1"/>
            </w14:solidFill>
          </w14:textFill>
        </w:rPr>
        <w:t>一、修订背景</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ascii="仿宋" w:hAnsi="仿宋" w:eastAsia="仿宋" w:cs="仿宋"/>
          <w:b/>
          <w:bCs/>
          <w:color w:val="000000" w:themeColor="text1"/>
          <w:kern w:val="0"/>
          <w:sz w:val="27"/>
          <w:szCs w:val="27"/>
          <w:highlight w:val="none"/>
          <w14:textFill>
            <w14:solidFill>
              <w14:schemeClr w14:val="tx1"/>
            </w14:solidFill>
          </w14:textFill>
        </w:rPr>
      </w:pPr>
      <w:r>
        <w:rPr>
          <w:rFonts w:hint="eastAsia" w:ascii="仿宋" w:hAnsi="仿宋" w:eastAsia="仿宋" w:cs="仿宋"/>
          <w:b/>
          <w:bCs/>
          <w:color w:val="000000" w:themeColor="text1"/>
          <w:kern w:val="0"/>
          <w:sz w:val="27"/>
          <w:szCs w:val="27"/>
          <w:highlight w:val="none"/>
          <w14:textFill>
            <w14:solidFill>
              <w14:schemeClr w14:val="tx1"/>
            </w14:solidFill>
          </w14:textFill>
        </w:rPr>
        <w:t>二、修订主要内容</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将交通运输业中包括的“装卸搬运和运输代理业”修改为“多式联运和运输代理业、装卸搬运”。</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仓储业所包括的行业中类，根据《国民经济行业分类》（GB/T4754—2017）调整为“通用仓储，低温仓储，危险品仓储，谷物、棉花等农产品仓储，中药材仓储和其他仓储业”。</w:t>
      </w:r>
    </w:p>
    <w:p>
      <w:pPr>
        <w:widowControl/>
        <w:spacing w:line="336" w:lineRule="auto"/>
        <w:jc w:val="left"/>
        <w:rPr>
          <w:rFonts w:ascii="仿宋" w:hAnsi="仿宋" w:eastAsia="仿宋" w:cs="仿宋"/>
          <w:color w:val="000000" w:themeColor="text1"/>
          <w:kern w:val="0"/>
          <w:sz w:val="18"/>
          <w:szCs w:val="18"/>
          <w:highlight w:val="none"/>
          <w14:textFill>
            <w14:solidFill>
              <w14:schemeClr w14:val="tx1"/>
            </w14:solidFill>
          </w14:textFill>
        </w:rPr>
      </w:pPr>
    </w:p>
    <w:p>
      <w:pPr>
        <w:widowControl/>
        <w:spacing w:line="336" w:lineRule="auto"/>
        <w:jc w:val="left"/>
        <w:rPr>
          <w:rFonts w:ascii="仿宋" w:hAnsi="仿宋" w:eastAsia="仿宋" w:cs="仿宋"/>
          <w:color w:val="000000" w:themeColor="text1"/>
          <w:kern w:val="0"/>
          <w:sz w:val="18"/>
          <w:szCs w:val="18"/>
          <w:highlight w:val="none"/>
          <w14:textFill>
            <w14:solidFill>
              <w14:schemeClr w14:val="tx1"/>
            </w14:solidFill>
          </w14:textFill>
        </w:rPr>
      </w:pPr>
    </w:p>
    <w:p>
      <w:pPr>
        <w:widowControl/>
        <w:spacing w:line="336" w:lineRule="auto"/>
        <w:jc w:val="left"/>
        <w:rPr>
          <w:rFonts w:ascii="仿宋" w:hAnsi="仿宋" w:eastAsia="仿宋" w:cs="仿宋"/>
          <w:color w:val="000000" w:themeColor="text1"/>
          <w:kern w:val="0"/>
          <w:sz w:val="18"/>
          <w:szCs w:val="18"/>
          <w:highlight w:val="none"/>
          <w14:textFill>
            <w14:solidFill>
              <w14:schemeClr w14:val="tx1"/>
            </w14:solidFill>
          </w14:textFill>
        </w:rPr>
      </w:pP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中国人民银行中国银行业监督管理委员会</w:t>
      </w: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中国证券监督管理委员会中国保险监督管理委员会</w:t>
      </w: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国家统计局关于印发《金融业企业划型标准规定》的通知</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附件：金融业企业划型标准规定</w:t>
      </w: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金融业企业划型标准规定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一、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二、适用范围。本规定适用于从事《国民经济行业分类》(GB/T4754-2011)中J门类（金融业）活动的企业。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四、划型标准指标。采用一个完整会计年度中四个季度末法人并表口径的资产总额（信托公司为信托资产）平均值作为划型指标，该指标以监管部门数据为准。</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五、指标标准值。依据指标标准值，将各类金融业企业划分为大、中、小、微四个规模类型，中型企业标准上限及以上的为大型企业。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七、标准值的评估和调整。金融业企业划型标准工作组毎五年对划型标准值受经济发展与通货膨胀等因素的响程度进行评估和调整。</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八、本规定的中型金融业企业标准上限即为大型金融业企业下限。国务院有关部门据此进行相关数据的统计分析，不得制定与本规定不一致的金融业企业划型标准。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九、融资担保公司参照本规定中“除贷款公司、小额贷款公司、典当行以外的其他金融机构”标准划型。</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十、本规定由人民银行会同银监会，证监会、保监会和统计局负责解释。</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w:t>
      </w: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十一、本规定自发布之日起实施。</w:t>
      </w:r>
    </w:p>
    <w:p>
      <w:pPr>
        <w:widowControl/>
        <w:shd w:val="clear" w:color="auto" w:fill="FFFFFF"/>
        <w:spacing w:line="336" w:lineRule="auto"/>
        <w:jc w:val="left"/>
        <w:textAlignment w:val="baselin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附：金融业企业划型标准</w:t>
      </w:r>
    </w:p>
    <w:p>
      <w:pPr>
        <w:widowControl/>
        <w:shd w:val="clear" w:color="auto" w:fill="FFFFFF"/>
        <w:spacing w:line="336" w:lineRule="auto"/>
        <w:jc w:val="center"/>
        <w:textAlignment w:val="baseline"/>
        <w:rPr>
          <w:rFonts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金融业企业划型标准</w:t>
      </w:r>
    </w:p>
    <w:tbl>
      <w:tblPr>
        <w:tblStyle w:val="63"/>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行业</w:t>
            </w:r>
          </w:p>
        </w:tc>
        <w:tc>
          <w:tcPr>
            <w:tcW w:w="2836"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类别</w:t>
            </w:r>
          </w:p>
        </w:tc>
        <w:tc>
          <w:tcPr>
            <w:tcW w:w="606"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类型</w:t>
            </w:r>
          </w:p>
        </w:tc>
        <w:tc>
          <w:tcPr>
            <w:tcW w:w="3326"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货币金融服务</w:t>
            </w:r>
          </w:p>
        </w:tc>
        <w:tc>
          <w:tcPr>
            <w:tcW w:w="102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货币银行服务</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银行业存款类金融机构</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非货币银行服务</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银行业非存款类金融机构</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贷款公司、小额贷款公司及典当行</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资本市场服务</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证券业金融机构</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保险业</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保险业金融机构</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其他金融业</w:t>
            </w:r>
          </w:p>
        </w:tc>
        <w:tc>
          <w:tcPr>
            <w:tcW w:w="102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金融信托与管理服务</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信托公司</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控股公司服务</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金融控股公司</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其他未包括的金融业</w:t>
            </w:r>
          </w:p>
        </w:tc>
        <w:tc>
          <w:tcPr>
            <w:tcW w:w="2836" w:type="dxa"/>
            <w:vMerge w:val="restart"/>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除贷款公司、小额贷款公司及典当行以外的其他金融机构</w:t>
            </w: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pPr>
              <w:widowControl/>
              <w:spacing w:line="336"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bl>
    <w:p>
      <w:pPr>
        <w:spacing w:line="336" w:lineRule="auto"/>
        <w:rPr>
          <w:rFonts w:ascii="仿宋" w:hAnsi="仿宋" w:eastAsia="仿宋" w:cs="仿宋"/>
          <w:color w:val="000000" w:themeColor="text1"/>
          <w:sz w:val="24"/>
          <w:highlight w:val="none"/>
          <w14:textFill>
            <w14:solidFill>
              <w14:schemeClr w14:val="tx1"/>
            </w14:solidFill>
          </w14:textFill>
        </w:rPr>
      </w:pPr>
    </w:p>
    <w:p>
      <w:pPr>
        <w:spacing w:line="336"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36" w:lineRule="auto"/>
        <w:rPr>
          <w:rFonts w:ascii="仿宋" w:hAnsi="仿宋" w:eastAsia="仿宋" w:cs="仿宋"/>
          <w:color w:val="000000" w:themeColor="text1"/>
          <w:highlight w:val="none"/>
          <w14:textFill>
            <w14:solidFill>
              <w14:schemeClr w14:val="tx1"/>
            </w14:solidFill>
          </w14:textFill>
        </w:rPr>
      </w:pPr>
    </w:p>
    <w:p>
      <w:pPr>
        <w:pStyle w:val="638"/>
        <w:keepNext w:val="0"/>
        <w:keepLines w:val="0"/>
        <w:pageBreakBefore w:val="0"/>
        <w:widowControl w:val="0"/>
        <w:kinsoku/>
        <w:overflowPunct/>
        <w:topLinePunct w:val="0"/>
        <w:autoSpaceDE/>
        <w:autoSpaceDN/>
        <w:bidi w:val="0"/>
        <w:adjustRightInd w:val="0"/>
        <w:snapToGrid w:val="0"/>
        <w:spacing w:line="500" w:lineRule="exact"/>
        <w:jc w:val="both"/>
        <w:textAlignment w:val="auto"/>
        <w:rPr>
          <w:color w:val="000000" w:themeColor="text1"/>
          <w:highlight w:val="none"/>
          <w14:textFill>
            <w14:solidFill>
              <w14:schemeClr w14:val="tx1"/>
            </w14:solidFill>
          </w14:textFill>
        </w:rPr>
      </w:pPr>
    </w:p>
    <w:sectPr>
      <w:headerReference r:id="rId21" w:type="first"/>
      <w:footerReference r:id="rId23" w:type="first"/>
      <w:headerReference r:id="rId20" w:type="default"/>
      <w:footerReference r:id="rId22" w:type="default"/>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LSYK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2LSYK8BAABL&#10;AwAADgAAAAAAAAABACAAAAAeAQAAZHJzL2Uyb0RvYy54bWxQSwUGAAAAAAYABgBZAQAAPwUAAAAA&#10;">
              <v:fill on="f" focussize="0,0"/>
              <v:stroke on="f"/>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 w:hAnsi="仿宋" w:eastAsia="仿宋" w:cs="仿宋"/>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79" w:name="_Toc36110187"/>
    <w:bookmarkStart w:id="80" w:name="_Toc131845147"/>
    <w:bookmarkStart w:id="81" w:name="_Toc164085800"/>
    <w:bookmarkStart w:id="82" w:name="_Toc91899912"/>
    <w:r>
      <w:rPr>
        <w:rFonts w:hint="eastAsia" w:ascii="仿宋_GB2312" w:eastAsia="仿宋_GB2312"/>
        <w:kern w:val="0"/>
        <w:szCs w:val="21"/>
      </w:rPr>
      <w:t xml:space="preserve"> 页</w:t>
    </w:r>
    <w:bookmarkEnd w:id="79"/>
    <w:bookmarkEnd w:id="80"/>
    <w:bookmarkEnd w:id="81"/>
    <w:bookmarkEnd w:id="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文件编号:JQ-SZ20250402</w:t>
    </w:r>
    <w:r>
      <w:rPr>
        <w:rFonts w:hint="eastAsia" w:ascii="仿宋" w:hAnsi="仿宋" w:eastAsia="仿宋" w:cs="仿宋"/>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0"/>
      </w:tabs>
      <w:jc w:val="left"/>
      <w:rPr>
        <w:rFonts w:eastAsia="仿宋_GB2312"/>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eastAsia="zh-CN"/>
      </w:rPr>
      <w:t>磋商文件编号:JQ-SZ20250402</w:t>
    </w:r>
    <w:r>
      <w:rPr>
        <w:rFonts w:hint="eastAsia" w:ascii="仿宋" w:hAnsi="仿宋" w:eastAsia="仿宋" w:cs="仿宋"/>
      </w:rPr>
      <w:t xml:space="preserve">  </w:t>
    </w:r>
  </w:p>
  <w:p>
    <w:pPr>
      <w:pStyle w:val="42"/>
      <w:pBdr>
        <w:bottom w:val="none" w:color="auto" w:sz="0" w:space="1"/>
      </w:pBdr>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0"/>
      </w:tabs>
      <w:jc w:val="left"/>
      <w:rPr>
        <w:rFonts w:eastAsia="仿宋_GB2312"/>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eastAsia="zh-CN"/>
      </w:rPr>
      <w:t>磋商文件编号:JQ-SZ20250402</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文件编号:JQ-SZ20250402</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文件编号:JQ-SZ20250402</w:t>
    </w:r>
    <w:r>
      <w:rPr>
        <w:rFonts w:hint="eastAsia" w:ascii="仿宋" w:hAnsi="仿宋" w:eastAsia="仿宋" w:cs="仿宋"/>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文件编号:JQ-SZ20250402</w:t>
    </w:r>
    <w:r>
      <w:rPr>
        <w:rFonts w:hint="eastAsia" w:ascii="仿宋" w:hAnsi="仿宋" w:eastAsia="仿宋" w:cs="仿宋"/>
      </w:rPr>
      <w:t xml:space="preserve"> </w:t>
    </w:r>
  </w:p>
  <w:p>
    <w:pPr>
      <w:pStyle w:val="42"/>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0"/>
      </w:tabs>
      <w:jc w:val="left"/>
    </w:pPr>
    <w:r>
      <w:rPr>
        <w:rFonts w:hint="eastAsia" w:ascii="仿宋" w:hAnsi="仿宋" w:eastAsia="仿宋" w:cs="仿宋"/>
      </w:rPr>
      <w:t xml:space="preserve">（代理机构）                                                           磋商文件编号: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rPr>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文件编号:JQ-SZ20250402</w:t>
    </w:r>
    <w:r>
      <w:rPr>
        <w:rFonts w:hint="eastAsia" w:ascii="仿宋" w:hAnsi="仿宋" w:eastAsia="仿宋" w:cs="仿宋"/>
      </w:rPr>
      <w:t xml:space="preserve"> </w:t>
    </w:r>
  </w:p>
  <w:p>
    <w:pPr>
      <w:pStyle w:val="42"/>
      <w:pBdr>
        <w:bottom w:val="none" w:color="auto" w:sz="0" w:space="1"/>
      </w:pBdr>
      <w:jc w:val="both"/>
      <w:rPr>
        <w:rFonts w:eastAsia="仿宋_GB23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0"/>
      </w:tabs>
      <w:jc w:val="left"/>
    </w:pPr>
    <w:r>
      <w:rPr>
        <w:rFonts w:hint="eastAsia" w:ascii="仿宋" w:hAnsi="仿宋" w:eastAsia="仿宋" w:cs="仿宋"/>
        <w:lang w:eastAsia="zh-CN"/>
      </w:rPr>
      <w:t>泾清项目管理有限公司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磋商文件编号:JQ-SZ20250402</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44CF3F"/>
    <w:multiLevelType w:val="singleLevel"/>
    <w:tmpl w:val="C544CF3F"/>
    <w:lvl w:ilvl="0" w:tentative="0">
      <w:start w:val="7"/>
      <w:numFmt w:val="chineseCounting"/>
      <w:suff w:val="nothing"/>
      <w:lvlText w:val="%1、"/>
      <w:lvlJc w:val="left"/>
      <w:rPr>
        <w:rFonts w:hint="eastAsia"/>
      </w:rPr>
    </w:lvl>
  </w:abstractNum>
  <w:abstractNum w:abstractNumId="1">
    <w:nsid w:val="D230D7FF"/>
    <w:multiLevelType w:val="multilevel"/>
    <w:tmpl w:val="D230D7F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2"/>
    <w:multiLevelType w:val="singleLevel"/>
    <w:tmpl w:val="00000002"/>
    <w:lvl w:ilvl="0" w:tentative="0">
      <w:start w:val="1"/>
      <w:numFmt w:val="bullet"/>
      <w:pStyle w:val="18"/>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12"/>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900"/>
        </w:tabs>
        <w:ind w:left="900"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A5YjEzNGQ0MDQzOGM0MWQ3MjE1YjZjOTZjNDMifQ=="/>
    <w:docVar w:name="KSO_WPS_MARK_KEY" w:val="7cef1281-40f3-42bd-ba83-58094d3d28bb"/>
  </w:docVars>
  <w:rsids>
    <w:rsidRoot w:val="00172A27"/>
    <w:rsid w:val="00176E94"/>
    <w:rsid w:val="002C61F7"/>
    <w:rsid w:val="002E2712"/>
    <w:rsid w:val="00335425"/>
    <w:rsid w:val="0066678C"/>
    <w:rsid w:val="00761FC8"/>
    <w:rsid w:val="008855BA"/>
    <w:rsid w:val="009F4C1B"/>
    <w:rsid w:val="00A81D22"/>
    <w:rsid w:val="00BC57CD"/>
    <w:rsid w:val="00C6664C"/>
    <w:rsid w:val="00D91EDB"/>
    <w:rsid w:val="00ED6E0D"/>
    <w:rsid w:val="01176EA7"/>
    <w:rsid w:val="012E31AD"/>
    <w:rsid w:val="0147153B"/>
    <w:rsid w:val="0152227D"/>
    <w:rsid w:val="016320EC"/>
    <w:rsid w:val="01C0309B"/>
    <w:rsid w:val="01C322B6"/>
    <w:rsid w:val="01E86FEB"/>
    <w:rsid w:val="0224187C"/>
    <w:rsid w:val="022655F4"/>
    <w:rsid w:val="02315CA0"/>
    <w:rsid w:val="028816DF"/>
    <w:rsid w:val="02B20C36"/>
    <w:rsid w:val="02F23728"/>
    <w:rsid w:val="02FF5E45"/>
    <w:rsid w:val="033E696D"/>
    <w:rsid w:val="034649C6"/>
    <w:rsid w:val="03497D83"/>
    <w:rsid w:val="035933FA"/>
    <w:rsid w:val="04091561"/>
    <w:rsid w:val="04294B38"/>
    <w:rsid w:val="04301EB8"/>
    <w:rsid w:val="04372FD3"/>
    <w:rsid w:val="04561CA4"/>
    <w:rsid w:val="049727D9"/>
    <w:rsid w:val="049B5F57"/>
    <w:rsid w:val="04BD6459"/>
    <w:rsid w:val="04CC21BB"/>
    <w:rsid w:val="04E5637F"/>
    <w:rsid w:val="04E83035"/>
    <w:rsid w:val="052772B8"/>
    <w:rsid w:val="054963BB"/>
    <w:rsid w:val="055A508B"/>
    <w:rsid w:val="05793C8D"/>
    <w:rsid w:val="057D4DFE"/>
    <w:rsid w:val="05CC64B2"/>
    <w:rsid w:val="05FD31E4"/>
    <w:rsid w:val="060379FA"/>
    <w:rsid w:val="061615CD"/>
    <w:rsid w:val="065E2E82"/>
    <w:rsid w:val="065F10D4"/>
    <w:rsid w:val="068A65E3"/>
    <w:rsid w:val="068B1EC9"/>
    <w:rsid w:val="06D0599C"/>
    <w:rsid w:val="06E45A7E"/>
    <w:rsid w:val="075F4A30"/>
    <w:rsid w:val="079E4577"/>
    <w:rsid w:val="07A90360"/>
    <w:rsid w:val="07C02047"/>
    <w:rsid w:val="07D159C5"/>
    <w:rsid w:val="07D826C8"/>
    <w:rsid w:val="08193505"/>
    <w:rsid w:val="08320BD9"/>
    <w:rsid w:val="0869448C"/>
    <w:rsid w:val="08C00ADD"/>
    <w:rsid w:val="092149A6"/>
    <w:rsid w:val="092E2FE0"/>
    <w:rsid w:val="093F2ABC"/>
    <w:rsid w:val="098F7951"/>
    <w:rsid w:val="09A60DC8"/>
    <w:rsid w:val="09D82B26"/>
    <w:rsid w:val="0A2C751F"/>
    <w:rsid w:val="0A346258"/>
    <w:rsid w:val="0A545FC1"/>
    <w:rsid w:val="0A86042B"/>
    <w:rsid w:val="0A943317"/>
    <w:rsid w:val="0A951A03"/>
    <w:rsid w:val="0B534F80"/>
    <w:rsid w:val="0B574A70"/>
    <w:rsid w:val="0B745622"/>
    <w:rsid w:val="0B7C0033"/>
    <w:rsid w:val="0B931032"/>
    <w:rsid w:val="0BDE2820"/>
    <w:rsid w:val="0BDE2A9B"/>
    <w:rsid w:val="0BF70001"/>
    <w:rsid w:val="0C000C64"/>
    <w:rsid w:val="0C0149DC"/>
    <w:rsid w:val="0C414F19"/>
    <w:rsid w:val="0C7204C1"/>
    <w:rsid w:val="0CA2703D"/>
    <w:rsid w:val="0CC223BD"/>
    <w:rsid w:val="0CC2522B"/>
    <w:rsid w:val="0CCE1629"/>
    <w:rsid w:val="0CDD530C"/>
    <w:rsid w:val="0CDD7393"/>
    <w:rsid w:val="0D2C3CDA"/>
    <w:rsid w:val="0D397A5A"/>
    <w:rsid w:val="0D832644"/>
    <w:rsid w:val="0D9024E9"/>
    <w:rsid w:val="0D972629"/>
    <w:rsid w:val="0DA11FD2"/>
    <w:rsid w:val="0DB12038"/>
    <w:rsid w:val="0DB3597E"/>
    <w:rsid w:val="0DF66459"/>
    <w:rsid w:val="0DF90060"/>
    <w:rsid w:val="0E672950"/>
    <w:rsid w:val="0E7B261C"/>
    <w:rsid w:val="0E7D2A40"/>
    <w:rsid w:val="0E967F01"/>
    <w:rsid w:val="0E9C4E0F"/>
    <w:rsid w:val="0EBC1F98"/>
    <w:rsid w:val="0EC55518"/>
    <w:rsid w:val="0ED662BA"/>
    <w:rsid w:val="0F485C18"/>
    <w:rsid w:val="0F5C264B"/>
    <w:rsid w:val="0F706100"/>
    <w:rsid w:val="0F8344B6"/>
    <w:rsid w:val="0FAF13A0"/>
    <w:rsid w:val="0FB26719"/>
    <w:rsid w:val="0FDC5544"/>
    <w:rsid w:val="0FDD12BC"/>
    <w:rsid w:val="0FDF5034"/>
    <w:rsid w:val="10277FF9"/>
    <w:rsid w:val="105777C5"/>
    <w:rsid w:val="108C51BC"/>
    <w:rsid w:val="10AF4A06"/>
    <w:rsid w:val="10F33F89"/>
    <w:rsid w:val="111266FA"/>
    <w:rsid w:val="111D4066"/>
    <w:rsid w:val="11205E50"/>
    <w:rsid w:val="11524F91"/>
    <w:rsid w:val="11735CCD"/>
    <w:rsid w:val="11866337"/>
    <w:rsid w:val="11B93528"/>
    <w:rsid w:val="12506B92"/>
    <w:rsid w:val="126637EB"/>
    <w:rsid w:val="126C4E73"/>
    <w:rsid w:val="127E5878"/>
    <w:rsid w:val="12CF75E2"/>
    <w:rsid w:val="13385187"/>
    <w:rsid w:val="134578A4"/>
    <w:rsid w:val="136A013D"/>
    <w:rsid w:val="136E4430"/>
    <w:rsid w:val="136F66CF"/>
    <w:rsid w:val="13765CAF"/>
    <w:rsid w:val="137D5290"/>
    <w:rsid w:val="13BB14CF"/>
    <w:rsid w:val="13EF52EB"/>
    <w:rsid w:val="13F866C4"/>
    <w:rsid w:val="13FA068E"/>
    <w:rsid w:val="140211C2"/>
    <w:rsid w:val="14172444"/>
    <w:rsid w:val="141B040C"/>
    <w:rsid w:val="14A16D5C"/>
    <w:rsid w:val="14D64C58"/>
    <w:rsid w:val="152E5EA7"/>
    <w:rsid w:val="156A35F2"/>
    <w:rsid w:val="158E5532"/>
    <w:rsid w:val="15935A08"/>
    <w:rsid w:val="15A07014"/>
    <w:rsid w:val="15AA5875"/>
    <w:rsid w:val="15CF16A7"/>
    <w:rsid w:val="15E862C7"/>
    <w:rsid w:val="15F335E7"/>
    <w:rsid w:val="165C1CE6"/>
    <w:rsid w:val="16786F80"/>
    <w:rsid w:val="16A91E09"/>
    <w:rsid w:val="16AC06BC"/>
    <w:rsid w:val="16AD19E8"/>
    <w:rsid w:val="16CA58C7"/>
    <w:rsid w:val="17852965"/>
    <w:rsid w:val="17C0574B"/>
    <w:rsid w:val="180A6D34"/>
    <w:rsid w:val="18137F71"/>
    <w:rsid w:val="181D494B"/>
    <w:rsid w:val="18673E19"/>
    <w:rsid w:val="192341E3"/>
    <w:rsid w:val="192B3098"/>
    <w:rsid w:val="19521D97"/>
    <w:rsid w:val="198C1D89"/>
    <w:rsid w:val="19E35BE4"/>
    <w:rsid w:val="19EC6CCB"/>
    <w:rsid w:val="1A0538E9"/>
    <w:rsid w:val="1A302810"/>
    <w:rsid w:val="1A3A7A37"/>
    <w:rsid w:val="1A894935"/>
    <w:rsid w:val="1AAD645B"/>
    <w:rsid w:val="1ABA2925"/>
    <w:rsid w:val="1AD734D7"/>
    <w:rsid w:val="1AF66F37"/>
    <w:rsid w:val="1B09565B"/>
    <w:rsid w:val="1B722ECF"/>
    <w:rsid w:val="1B7449F1"/>
    <w:rsid w:val="1B8C2514"/>
    <w:rsid w:val="1B910F69"/>
    <w:rsid w:val="1BF304AD"/>
    <w:rsid w:val="1C3404B6"/>
    <w:rsid w:val="1C3B714C"/>
    <w:rsid w:val="1C5C75D3"/>
    <w:rsid w:val="1C625023"/>
    <w:rsid w:val="1C8F0E89"/>
    <w:rsid w:val="1CD97F5F"/>
    <w:rsid w:val="1CFE7F3B"/>
    <w:rsid w:val="1D2759D6"/>
    <w:rsid w:val="1D282F2D"/>
    <w:rsid w:val="1D440BA4"/>
    <w:rsid w:val="1D497F91"/>
    <w:rsid w:val="1D551B4C"/>
    <w:rsid w:val="1D5E42F1"/>
    <w:rsid w:val="1DAB29F9"/>
    <w:rsid w:val="1DF63C75"/>
    <w:rsid w:val="1E2B689A"/>
    <w:rsid w:val="1E3E5BD7"/>
    <w:rsid w:val="1E700165"/>
    <w:rsid w:val="1E845724"/>
    <w:rsid w:val="1E912BAE"/>
    <w:rsid w:val="1EB12291"/>
    <w:rsid w:val="1ECE4BF1"/>
    <w:rsid w:val="1ED1023E"/>
    <w:rsid w:val="1ED33159"/>
    <w:rsid w:val="1EF258FA"/>
    <w:rsid w:val="1F1C10F7"/>
    <w:rsid w:val="1F372530"/>
    <w:rsid w:val="1F4B7FF0"/>
    <w:rsid w:val="1F5F7696"/>
    <w:rsid w:val="1FE81CE3"/>
    <w:rsid w:val="1FFF6B11"/>
    <w:rsid w:val="200F0F3C"/>
    <w:rsid w:val="20484366"/>
    <w:rsid w:val="205564EA"/>
    <w:rsid w:val="20800028"/>
    <w:rsid w:val="20D66B76"/>
    <w:rsid w:val="21052421"/>
    <w:rsid w:val="210F0EE3"/>
    <w:rsid w:val="21A659B2"/>
    <w:rsid w:val="21E62252"/>
    <w:rsid w:val="21E64000"/>
    <w:rsid w:val="21FA5CFD"/>
    <w:rsid w:val="21FD345C"/>
    <w:rsid w:val="22444A58"/>
    <w:rsid w:val="225673D8"/>
    <w:rsid w:val="22625D7D"/>
    <w:rsid w:val="2274785E"/>
    <w:rsid w:val="229816E8"/>
    <w:rsid w:val="22D36E1E"/>
    <w:rsid w:val="22EE67BE"/>
    <w:rsid w:val="23376A8B"/>
    <w:rsid w:val="23671171"/>
    <w:rsid w:val="237158B1"/>
    <w:rsid w:val="23925E75"/>
    <w:rsid w:val="239C7888"/>
    <w:rsid w:val="24052C42"/>
    <w:rsid w:val="24431BDE"/>
    <w:rsid w:val="24A26904"/>
    <w:rsid w:val="24A61BB0"/>
    <w:rsid w:val="24A65CC9"/>
    <w:rsid w:val="24E94533"/>
    <w:rsid w:val="25024DD2"/>
    <w:rsid w:val="250C4542"/>
    <w:rsid w:val="251D756A"/>
    <w:rsid w:val="25205A7B"/>
    <w:rsid w:val="2522733F"/>
    <w:rsid w:val="25296CD0"/>
    <w:rsid w:val="26062EC3"/>
    <w:rsid w:val="26373D44"/>
    <w:rsid w:val="27075144"/>
    <w:rsid w:val="270858F0"/>
    <w:rsid w:val="270E4E27"/>
    <w:rsid w:val="276C3EAC"/>
    <w:rsid w:val="27B84116"/>
    <w:rsid w:val="27CB7F20"/>
    <w:rsid w:val="27F356C9"/>
    <w:rsid w:val="28043472"/>
    <w:rsid w:val="284D7976"/>
    <w:rsid w:val="28724840"/>
    <w:rsid w:val="287A36F4"/>
    <w:rsid w:val="28A15125"/>
    <w:rsid w:val="28D80D91"/>
    <w:rsid w:val="28EA6ACC"/>
    <w:rsid w:val="29114058"/>
    <w:rsid w:val="292900F3"/>
    <w:rsid w:val="29542197"/>
    <w:rsid w:val="296E14AB"/>
    <w:rsid w:val="297A1827"/>
    <w:rsid w:val="298567F4"/>
    <w:rsid w:val="29986528"/>
    <w:rsid w:val="299B5324"/>
    <w:rsid w:val="299D75CC"/>
    <w:rsid w:val="29A22F02"/>
    <w:rsid w:val="29AC1FD3"/>
    <w:rsid w:val="29F00112"/>
    <w:rsid w:val="29F55728"/>
    <w:rsid w:val="2A015241"/>
    <w:rsid w:val="2A1D4C7F"/>
    <w:rsid w:val="2A391AB9"/>
    <w:rsid w:val="2A4915D0"/>
    <w:rsid w:val="2A517BC2"/>
    <w:rsid w:val="2A66642C"/>
    <w:rsid w:val="2AB55555"/>
    <w:rsid w:val="2ACE2FF1"/>
    <w:rsid w:val="2AF91248"/>
    <w:rsid w:val="2B1716CE"/>
    <w:rsid w:val="2B195446"/>
    <w:rsid w:val="2BA25240"/>
    <w:rsid w:val="2BBB2606"/>
    <w:rsid w:val="2BC929C8"/>
    <w:rsid w:val="2BCE7BAF"/>
    <w:rsid w:val="2C536736"/>
    <w:rsid w:val="2C7A7304"/>
    <w:rsid w:val="2CE74D6E"/>
    <w:rsid w:val="2CF55A3F"/>
    <w:rsid w:val="2D197980"/>
    <w:rsid w:val="2D66371B"/>
    <w:rsid w:val="2D9B0395"/>
    <w:rsid w:val="2DB87198"/>
    <w:rsid w:val="2DB94533"/>
    <w:rsid w:val="2E177A29"/>
    <w:rsid w:val="2E3B3926"/>
    <w:rsid w:val="2E4B1814"/>
    <w:rsid w:val="2EA414CB"/>
    <w:rsid w:val="2EAB3FA9"/>
    <w:rsid w:val="2EC333C5"/>
    <w:rsid w:val="2EDA4EED"/>
    <w:rsid w:val="2F2B5748"/>
    <w:rsid w:val="2F37233F"/>
    <w:rsid w:val="2F511653"/>
    <w:rsid w:val="2F6A5E2E"/>
    <w:rsid w:val="2F8135BA"/>
    <w:rsid w:val="2FAB0996"/>
    <w:rsid w:val="2FC31E25"/>
    <w:rsid w:val="2FC7123A"/>
    <w:rsid w:val="2FCF07C9"/>
    <w:rsid w:val="30073135"/>
    <w:rsid w:val="306B25EB"/>
    <w:rsid w:val="306C6018"/>
    <w:rsid w:val="308B46F0"/>
    <w:rsid w:val="30AC28B9"/>
    <w:rsid w:val="30B73737"/>
    <w:rsid w:val="30B9255C"/>
    <w:rsid w:val="30CA72A9"/>
    <w:rsid w:val="3112096E"/>
    <w:rsid w:val="312326DE"/>
    <w:rsid w:val="312406A1"/>
    <w:rsid w:val="319E0453"/>
    <w:rsid w:val="31B23A98"/>
    <w:rsid w:val="31B23EFF"/>
    <w:rsid w:val="31CF03E9"/>
    <w:rsid w:val="31FFAE5E"/>
    <w:rsid w:val="32127889"/>
    <w:rsid w:val="32430FFB"/>
    <w:rsid w:val="324E3C27"/>
    <w:rsid w:val="331704BD"/>
    <w:rsid w:val="336B6F92"/>
    <w:rsid w:val="33751688"/>
    <w:rsid w:val="33762312"/>
    <w:rsid w:val="340956AF"/>
    <w:rsid w:val="3427412A"/>
    <w:rsid w:val="34390907"/>
    <w:rsid w:val="343C0D0E"/>
    <w:rsid w:val="34433534"/>
    <w:rsid w:val="3481782D"/>
    <w:rsid w:val="3482765D"/>
    <w:rsid w:val="35042CC3"/>
    <w:rsid w:val="351B6F9E"/>
    <w:rsid w:val="351D3D85"/>
    <w:rsid w:val="35344D64"/>
    <w:rsid w:val="35366BF5"/>
    <w:rsid w:val="35633E8E"/>
    <w:rsid w:val="35CA758B"/>
    <w:rsid w:val="3632560E"/>
    <w:rsid w:val="36637EBD"/>
    <w:rsid w:val="36B67FED"/>
    <w:rsid w:val="36B77CDE"/>
    <w:rsid w:val="36BB3856"/>
    <w:rsid w:val="3719197E"/>
    <w:rsid w:val="37376230"/>
    <w:rsid w:val="373F4487"/>
    <w:rsid w:val="374970B3"/>
    <w:rsid w:val="376E6DAF"/>
    <w:rsid w:val="37B908A3"/>
    <w:rsid w:val="37E1109A"/>
    <w:rsid w:val="37EDB609"/>
    <w:rsid w:val="38172D0E"/>
    <w:rsid w:val="383C1C4A"/>
    <w:rsid w:val="38433B03"/>
    <w:rsid w:val="38482EC7"/>
    <w:rsid w:val="388012B2"/>
    <w:rsid w:val="38C033A5"/>
    <w:rsid w:val="38F66DC7"/>
    <w:rsid w:val="391B4A7F"/>
    <w:rsid w:val="39231D92"/>
    <w:rsid w:val="392B413E"/>
    <w:rsid w:val="39317DFF"/>
    <w:rsid w:val="395C1320"/>
    <w:rsid w:val="39841613"/>
    <w:rsid w:val="39A57F58"/>
    <w:rsid w:val="39A62333"/>
    <w:rsid w:val="39BE3DBC"/>
    <w:rsid w:val="3A092B2A"/>
    <w:rsid w:val="3A4D20AB"/>
    <w:rsid w:val="3A4F49E1"/>
    <w:rsid w:val="3AA810DF"/>
    <w:rsid w:val="3B16673B"/>
    <w:rsid w:val="3B1A3241"/>
    <w:rsid w:val="3B1D063B"/>
    <w:rsid w:val="3B64626A"/>
    <w:rsid w:val="3B950658"/>
    <w:rsid w:val="3BC85AB4"/>
    <w:rsid w:val="3BD12312"/>
    <w:rsid w:val="3C261771"/>
    <w:rsid w:val="3C26621D"/>
    <w:rsid w:val="3C5067EE"/>
    <w:rsid w:val="3C597D99"/>
    <w:rsid w:val="3C7050E2"/>
    <w:rsid w:val="3C8F2BF2"/>
    <w:rsid w:val="3CDC2F7E"/>
    <w:rsid w:val="3CF63839"/>
    <w:rsid w:val="3D0A53B7"/>
    <w:rsid w:val="3D1574E2"/>
    <w:rsid w:val="3D3E0D3C"/>
    <w:rsid w:val="3D977D6F"/>
    <w:rsid w:val="3D9D3CB5"/>
    <w:rsid w:val="3DA22AF2"/>
    <w:rsid w:val="3DB01705"/>
    <w:rsid w:val="3DBB472E"/>
    <w:rsid w:val="3DFA4C63"/>
    <w:rsid w:val="3E1D1ACD"/>
    <w:rsid w:val="3E8310FD"/>
    <w:rsid w:val="3E9E7CE5"/>
    <w:rsid w:val="3EA94414"/>
    <w:rsid w:val="3EBC27C4"/>
    <w:rsid w:val="3ED92B93"/>
    <w:rsid w:val="3F007C46"/>
    <w:rsid w:val="3F892743"/>
    <w:rsid w:val="3F933288"/>
    <w:rsid w:val="3FBB5523"/>
    <w:rsid w:val="3FDF4064"/>
    <w:rsid w:val="3FFB3897"/>
    <w:rsid w:val="40055B41"/>
    <w:rsid w:val="40086230"/>
    <w:rsid w:val="40316936"/>
    <w:rsid w:val="40574C5C"/>
    <w:rsid w:val="40596A0B"/>
    <w:rsid w:val="408D1DBF"/>
    <w:rsid w:val="4095129A"/>
    <w:rsid w:val="40CC7309"/>
    <w:rsid w:val="40F77B80"/>
    <w:rsid w:val="41207887"/>
    <w:rsid w:val="414F22B6"/>
    <w:rsid w:val="41B4781F"/>
    <w:rsid w:val="41C07CCA"/>
    <w:rsid w:val="41E00614"/>
    <w:rsid w:val="41EF2605"/>
    <w:rsid w:val="424D2844"/>
    <w:rsid w:val="425C3B7A"/>
    <w:rsid w:val="425F4A8D"/>
    <w:rsid w:val="4269685C"/>
    <w:rsid w:val="42802EBB"/>
    <w:rsid w:val="42862F6A"/>
    <w:rsid w:val="42A34147"/>
    <w:rsid w:val="42AD499A"/>
    <w:rsid w:val="42C121F4"/>
    <w:rsid w:val="43151407"/>
    <w:rsid w:val="43364FBD"/>
    <w:rsid w:val="434C128E"/>
    <w:rsid w:val="435A582F"/>
    <w:rsid w:val="43686B13"/>
    <w:rsid w:val="436D4129"/>
    <w:rsid w:val="43770B04"/>
    <w:rsid w:val="439369B8"/>
    <w:rsid w:val="43B27D8E"/>
    <w:rsid w:val="43B35FE0"/>
    <w:rsid w:val="43D42766"/>
    <w:rsid w:val="43D57920"/>
    <w:rsid w:val="44150A49"/>
    <w:rsid w:val="44240C8C"/>
    <w:rsid w:val="445309EE"/>
    <w:rsid w:val="4464552C"/>
    <w:rsid w:val="4475773A"/>
    <w:rsid w:val="44C45FCB"/>
    <w:rsid w:val="44FA7C3F"/>
    <w:rsid w:val="450D7972"/>
    <w:rsid w:val="451F1690"/>
    <w:rsid w:val="4527617E"/>
    <w:rsid w:val="454809AA"/>
    <w:rsid w:val="458A0BEF"/>
    <w:rsid w:val="45B147A1"/>
    <w:rsid w:val="45D24718"/>
    <w:rsid w:val="45D3104E"/>
    <w:rsid w:val="462705C0"/>
    <w:rsid w:val="462A6302"/>
    <w:rsid w:val="46842723"/>
    <w:rsid w:val="46871D95"/>
    <w:rsid w:val="4690085B"/>
    <w:rsid w:val="47236529"/>
    <w:rsid w:val="47666BD1"/>
    <w:rsid w:val="47743CD8"/>
    <w:rsid w:val="47ED3A8B"/>
    <w:rsid w:val="47F46BC7"/>
    <w:rsid w:val="48050DD4"/>
    <w:rsid w:val="48A44149"/>
    <w:rsid w:val="49746212"/>
    <w:rsid w:val="497A75A0"/>
    <w:rsid w:val="499917D4"/>
    <w:rsid w:val="49B340B6"/>
    <w:rsid w:val="49BD3217"/>
    <w:rsid w:val="49CF62B8"/>
    <w:rsid w:val="49ED5D17"/>
    <w:rsid w:val="4A1B668D"/>
    <w:rsid w:val="4A1E1CDA"/>
    <w:rsid w:val="4A3634C7"/>
    <w:rsid w:val="4A5E64AB"/>
    <w:rsid w:val="4A6E2C61"/>
    <w:rsid w:val="4A6F0B06"/>
    <w:rsid w:val="4AA70EB5"/>
    <w:rsid w:val="4B125CE2"/>
    <w:rsid w:val="4B647BC0"/>
    <w:rsid w:val="4B773D97"/>
    <w:rsid w:val="4BAF1783"/>
    <w:rsid w:val="4BB9615E"/>
    <w:rsid w:val="4BE204FB"/>
    <w:rsid w:val="4BE40D01"/>
    <w:rsid w:val="4C0D20F5"/>
    <w:rsid w:val="4C76404F"/>
    <w:rsid w:val="4CE820DB"/>
    <w:rsid w:val="4CEA4A18"/>
    <w:rsid w:val="4D895D2D"/>
    <w:rsid w:val="4DFA828C"/>
    <w:rsid w:val="4E2F0959"/>
    <w:rsid w:val="4E4875AB"/>
    <w:rsid w:val="4EAC2B6A"/>
    <w:rsid w:val="4EAF2C80"/>
    <w:rsid w:val="4EC5517C"/>
    <w:rsid w:val="4EE07EA5"/>
    <w:rsid w:val="4F026637"/>
    <w:rsid w:val="4F0A0A7E"/>
    <w:rsid w:val="4F4425D1"/>
    <w:rsid w:val="4FDC2DDB"/>
    <w:rsid w:val="4FDF86E0"/>
    <w:rsid w:val="5051217C"/>
    <w:rsid w:val="50840DB2"/>
    <w:rsid w:val="50D2381E"/>
    <w:rsid w:val="50E2057A"/>
    <w:rsid w:val="50E7551B"/>
    <w:rsid w:val="50E877D5"/>
    <w:rsid w:val="50F73284"/>
    <w:rsid w:val="51043EAF"/>
    <w:rsid w:val="51112598"/>
    <w:rsid w:val="511B51C5"/>
    <w:rsid w:val="51657DB2"/>
    <w:rsid w:val="517A638F"/>
    <w:rsid w:val="519A0805"/>
    <w:rsid w:val="51C969CF"/>
    <w:rsid w:val="51D3784E"/>
    <w:rsid w:val="523601F3"/>
    <w:rsid w:val="52410C5B"/>
    <w:rsid w:val="52497B10"/>
    <w:rsid w:val="525A7F6F"/>
    <w:rsid w:val="52773A4D"/>
    <w:rsid w:val="528D42BC"/>
    <w:rsid w:val="52990A97"/>
    <w:rsid w:val="529E7E5B"/>
    <w:rsid w:val="529F2FAA"/>
    <w:rsid w:val="52CC09AB"/>
    <w:rsid w:val="530908D7"/>
    <w:rsid w:val="53446C55"/>
    <w:rsid w:val="53590226"/>
    <w:rsid w:val="537A3091"/>
    <w:rsid w:val="538F59F6"/>
    <w:rsid w:val="53A808BE"/>
    <w:rsid w:val="5449029B"/>
    <w:rsid w:val="54523CE0"/>
    <w:rsid w:val="5468559C"/>
    <w:rsid w:val="54B0031A"/>
    <w:rsid w:val="54B03E76"/>
    <w:rsid w:val="54B90F7D"/>
    <w:rsid w:val="54F5115A"/>
    <w:rsid w:val="54F75F49"/>
    <w:rsid w:val="555A4967"/>
    <w:rsid w:val="55937A20"/>
    <w:rsid w:val="55C951EF"/>
    <w:rsid w:val="55F61D5C"/>
    <w:rsid w:val="560C1580"/>
    <w:rsid w:val="57064221"/>
    <w:rsid w:val="573F2A49"/>
    <w:rsid w:val="5752361C"/>
    <w:rsid w:val="57A11AFD"/>
    <w:rsid w:val="57B26260"/>
    <w:rsid w:val="57F64296"/>
    <w:rsid w:val="580057A0"/>
    <w:rsid w:val="58331A2B"/>
    <w:rsid w:val="584C6310"/>
    <w:rsid w:val="58511D61"/>
    <w:rsid w:val="58773629"/>
    <w:rsid w:val="588840E5"/>
    <w:rsid w:val="588B2C30"/>
    <w:rsid w:val="58A43CF2"/>
    <w:rsid w:val="58BE189A"/>
    <w:rsid w:val="58C64E94"/>
    <w:rsid w:val="58CD0666"/>
    <w:rsid w:val="58CF2542"/>
    <w:rsid w:val="58F149E7"/>
    <w:rsid w:val="59103135"/>
    <w:rsid w:val="591470C9"/>
    <w:rsid w:val="598A113A"/>
    <w:rsid w:val="59CDA4DC"/>
    <w:rsid w:val="5A01080D"/>
    <w:rsid w:val="5A364E1D"/>
    <w:rsid w:val="5A7A11AE"/>
    <w:rsid w:val="5A820063"/>
    <w:rsid w:val="5AA23A59"/>
    <w:rsid w:val="5AD61CEF"/>
    <w:rsid w:val="5AD85ED5"/>
    <w:rsid w:val="5AD90B13"/>
    <w:rsid w:val="5B7359C9"/>
    <w:rsid w:val="5BD26DC8"/>
    <w:rsid w:val="5BEC651D"/>
    <w:rsid w:val="5BEF797A"/>
    <w:rsid w:val="5BF907F8"/>
    <w:rsid w:val="5C135D05"/>
    <w:rsid w:val="5C384E7D"/>
    <w:rsid w:val="5C45759A"/>
    <w:rsid w:val="5C4E46A0"/>
    <w:rsid w:val="5C630938"/>
    <w:rsid w:val="5C7B745F"/>
    <w:rsid w:val="5C8616C7"/>
    <w:rsid w:val="5CAB1AF3"/>
    <w:rsid w:val="5CB35CC1"/>
    <w:rsid w:val="5CDC1CAC"/>
    <w:rsid w:val="5CF35248"/>
    <w:rsid w:val="5D7F6C67"/>
    <w:rsid w:val="5DBB608D"/>
    <w:rsid w:val="5DC70516"/>
    <w:rsid w:val="5DD21B0F"/>
    <w:rsid w:val="5DD543AA"/>
    <w:rsid w:val="5DF162A8"/>
    <w:rsid w:val="5E021BE6"/>
    <w:rsid w:val="5E1D2D7B"/>
    <w:rsid w:val="5E736640"/>
    <w:rsid w:val="5EB72A3D"/>
    <w:rsid w:val="5EE96902"/>
    <w:rsid w:val="5F245B8C"/>
    <w:rsid w:val="5F378D9C"/>
    <w:rsid w:val="5F545483"/>
    <w:rsid w:val="5F5F0972"/>
    <w:rsid w:val="5F624DFA"/>
    <w:rsid w:val="5F7C7657"/>
    <w:rsid w:val="5F84662B"/>
    <w:rsid w:val="5F8E65DC"/>
    <w:rsid w:val="5FD989FB"/>
    <w:rsid w:val="5FDA449D"/>
    <w:rsid w:val="5FF27A39"/>
    <w:rsid w:val="5FF7E781"/>
    <w:rsid w:val="5FFA0E12"/>
    <w:rsid w:val="5FFA48E5"/>
    <w:rsid w:val="602120CC"/>
    <w:rsid w:val="602776E2"/>
    <w:rsid w:val="604C0D0F"/>
    <w:rsid w:val="605E50CE"/>
    <w:rsid w:val="6064547E"/>
    <w:rsid w:val="60883EF9"/>
    <w:rsid w:val="608E7761"/>
    <w:rsid w:val="60C75979"/>
    <w:rsid w:val="60D2371A"/>
    <w:rsid w:val="60E42BC1"/>
    <w:rsid w:val="610663F4"/>
    <w:rsid w:val="61286A51"/>
    <w:rsid w:val="61811074"/>
    <w:rsid w:val="62491FE5"/>
    <w:rsid w:val="62570027"/>
    <w:rsid w:val="6260512D"/>
    <w:rsid w:val="62676488"/>
    <w:rsid w:val="62761D88"/>
    <w:rsid w:val="6282499E"/>
    <w:rsid w:val="633B16F7"/>
    <w:rsid w:val="638906B4"/>
    <w:rsid w:val="63C85E96"/>
    <w:rsid w:val="63F87D92"/>
    <w:rsid w:val="6420183A"/>
    <w:rsid w:val="64395C36"/>
    <w:rsid w:val="64A82F69"/>
    <w:rsid w:val="64EA6F30"/>
    <w:rsid w:val="64EB6838"/>
    <w:rsid w:val="651421FF"/>
    <w:rsid w:val="652361D8"/>
    <w:rsid w:val="654E5711"/>
    <w:rsid w:val="657244F7"/>
    <w:rsid w:val="65864EAB"/>
    <w:rsid w:val="65921AA2"/>
    <w:rsid w:val="65D04378"/>
    <w:rsid w:val="65D8322D"/>
    <w:rsid w:val="65F904D8"/>
    <w:rsid w:val="66100C18"/>
    <w:rsid w:val="66140709"/>
    <w:rsid w:val="66C07AEC"/>
    <w:rsid w:val="66DD4F9F"/>
    <w:rsid w:val="66EA7B14"/>
    <w:rsid w:val="66FB5425"/>
    <w:rsid w:val="670029FC"/>
    <w:rsid w:val="67177D85"/>
    <w:rsid w:val="672506F4"/>
    <w:rsid w:val="67281E5E"/>
    <w:rsid w:val="675114E9"/>
    <w:rsid w:val="67530DBD"/>
    <w:rsid w:val="67566AFF"/>
    <w:rsid w:val="67674B6A"/>
    <w:rsid w:val="676FCA63"/>
    <w:rsid w:val="678216A2"/>
    <w:rsid w:val="67A9434F"/>
    <w:rsid w:val="67BB4BB4"/>
    <w:rsid w:val="67E97973"/>
    <w:rsid w:val="68135F00"/>
    <w:rsid w:val="681E0BA6"/>
    <w:rsid w:val="68411D00"/>
    <w:rsid w:val="6885769C"/>
    <w:rsid w:val="68FA3E26"/>
    <w:rsid w:val="69163EF1"/>
    <w:rsid w:val="696B139F"/>
    <w:rsid w:val="699F653B"/>
    <w:rsid w:val="69B00415"/>
    <w:rsid w:val="69DF516C"/>
    <w:rsid w:val="69F824C7"/>
    <w:rsid w:val="6A220F1A"/>
    <w:rsid w:val="6A723C50"/>
    <w:rsid w:val="6A7A6FA8"/>
    <w:rsid w:val="6AB9362D"/>
    <w:rsid w:val="6AE54422"/>
    <w:rsid w:val="6B405AFC"/>
    <w:rsid w:val="6B6F1F3D"/>
    <w:rsid w:val="6BFD4436"/>
    <w:rsid w:val="6BFF2116"/>
    <w:rsid w:val="6C00395A"/>
    <w:rsid w:val="6C0C7883"/>
    <w:rsid w:val="6C4B29AA"/>
    <w:rsid w:val="6C5B01B9"/>
    <w:rsid w:val="6C8E2897"/>
    <w:rsid w:val="6CC548B1"/>
    <w:rsid w:val="6CDC1854"/>
    <w:rsid w:val="6CED1CB3"/>
    <w:rsid w:val="6D047526"/>
    <w:rsid w:val="6D4318D3"/>
    <w:rsid w:val="6DAF6F69"/>
    <w:rsid w:val="6DC11232"/>
    <w:rsid w:val="6DE5F147"/>
    <w:rsid w:val="6DFFCE94"/>
    <w:rsid w:val="6E0E213F"/>
    <w:rsid w:val="6E185DF8"/>
    <w:rsid w:val="6E837251"/>
    <w:rsid w:val="6EA3671C"/>
    <w:rsid w:val="6EB16F39"/>
    <w:rsid w:val="6EB802EE"/>
    <w:rsid w:val="6ECD4E5E"/>
    <w:rsid w:val="6ED70525"/>
    <w:rsid w:val="6EEE1947"/>
    <w:rsid w:val="6F382521"/>
    <w:rsid w:val="6F40431D"/>
    <w:rsid w:val="6F643647"/>
    <w:rsid w:val="6FD607DD"/>
    <w:rsid w:val="6FED6577"/>
    <w:rsid w:val="6FEE3C43"/>
    <w:rsid w:val="701E1440"/>
    <w:rsid w:val="70566CF5"/>
    <w:rsid w:val="7057623E"/>
    <w:rsid w:val="70B34FC2"/>
    <w:rsid w:val="70CC4BC0"/>
    <w:rsid w:val="70D0347E"/>
    <w:rsid w:val="70D80585"/>
    <w:rsid w:val="70DC4C71"/>
    <w:rsid w:val="70E231B1"/>
    <w:rsid w:val="711D243B"/>
    <w:rsid w:val="716342F2"/>
    <w:rsid w:val="716408AF"/>
    <w:rsid w:val="71687B5B"/>
    <w:rsid w:val="71A43C4D"/>
    <w:rsid w:val="71D9189B"/>
    <w:rsid w:val="71EF202A"/>
    <w:rsid w:val="71F748A5"/>
    <w:rsid w:val="72077373"/>
    <w:rsid w:val="724575BD"/>
    <w:rsid w:val="7274672D"/>
    <w:rsid w:val="72863CB4"/>
    <w:rsid w:val="72B312A9"/>
    <w:rsid w:val="72D27981"/>
    <w:rsid w:val="72E23B62"/>
    <w:rsid w:val="731E2BC7"/>
    <w:rsid w:val="732D72A1"/>
    <w:rsid w:val="73312DE3"/>
    <w:rsid w:val="73974727"/>
    <w:rsid w:val="73B057E9"/>
    <w:rsid w:val="73BB0416"/>
    <w:rsid w:val="73C102F2"/>
    <w:rsid w:val="73D6524F"/>
    <w:rsid w:val="73DB1CB9"/>
    <w:rsid w:val="73DB2875"/>
    <w:rsid w:val="73ED4B31"/>
    <w:rsid w:val="740A6F93"/>
    <w:rsid w:val="74583EB6"/>
    <w:rsid w:val="74714F78"/>
    <w:rsid w:val="74980757"/>
    <w:rsid w:val="74B11819"/>
    <w:rsid w:val="74BD1F6B"/>
    <w:rsid w:val="74CE6EC4"/>
    <w:rsid w:val="74D55507"/>
    <w:rsid w:val="74DD6508"/>
    <w:rsid w:val="74FF3DED"/>
    <w:rsid w:val="75462BEC"/>
    <w:rsid w:val="75A53E8F"/>
    <w:rsid w:val="75B92677"/>
    <w:rsid w:val="75BD1968"/>
    <w:rsid w:val="75F220E9"/>
    <w:rsid w:val="762848E7"/>
    <w:rsid w:val="764D5571"/>
    <w:rsid w:val="767FFC86"/>
    <w:rsid w:val="768C6099"/>
    <w:rsid w:val="76A94EFA"/>
    <w:rsid w:val="7757591A"/>
    <w:rsid w:val="777D850A"/>
    <w:rsid w:val="77925931"/>
    <w:rsid w:val="77B452E7"/>
    <w:rsid w:val="77BF424C"/>
    <w:rsid w:val="77FDAF17"/>
    <w:rsid w:val="78061E7B"/>
    <w:rsid w:val="786170B2"/>
    <w:rsid w:val="786C6182"/>
    <w:rsid w:val="788F2BCD"/>
    <w:rsid w:val="789456D9"/>
    <w:rsid w:val="78BF0096"/>
    <w:rsid w:val="79006A46"/>
    <w:rsid w:val="79031B5E"/>
    <w:rsid w:val="791D747D"/>
    <w:rsid w:val="79D7762B"/>
    <w:rsid w:val="7A0A19CE"/>
    <w:rsid w:val="7A4D1FE3"/>
    <w:rsid w:val="7A517153"/>
    <w:rsid w:val="7A6A8AE2"/>
    <w:rsid w:val="7A894D21"/>
    <w:rsid w:val="7AA60A50"/>
    <w:rsid w:val="7AB756AF"/>
    <w:rsid w:val="7AD63B30"/>
    <w:rsid w:val="7AF51A17"/>
    <w:rsid w:val="7AF67F85"/>
    <w:rsid w:val="7B034450"/>
    <w:rsid w:val="7B3F8B2D"/>
    <w:rsid w:val="7B599EFA"/>
    <w:rsid w:val="7B672C31"/>
    <w:rsid w:val="7B68255B"/>
    <w:rsid w:val="7B8A691F"/>
    <w:rsid w:val="7BBE7F23"/>
    <w:rsid w:val="7BEE3875"/>
    <w:rsid w:val="7C435FEF"/>
    <w:rsid w:val="7C466CEA"/>
    <w:rsid w:val="7C594C70"/>
    <w:rsid w:val="7CB838AF"/>
    <w:rsid w:val="7CE02C9B"/>
    <w:rsid w:val="7CE7B94C"/>
    <w:rsid w:val="7D3C1CFD"/>
    <w:rsid w:val="7DC26844"/>
    <w:rsid w:val="7DD47241"/>
    <w:rsid w:val="7DE26BE4"/>
    <w:rsid w:val="7DF0589A"/>
    <w:rsid w:val="7E2C377E"/>
    <w:rsid w:val="7E2F69CB"/>
    <w:rsid w:val="7E3FB6A0"/>
    <w:rsid w:val="7ED06D3F"/>
    <w:rsid w:val="7EDB0617"/>
    <w:rsid w:val="7EDF8DB8"/>
    <w:rsid w:val="7EFB3DBC"/>
    <w:rsid w:val="7EFD20C3"/>
    <w:rsid w:val="7F572FBC"/>
    <w:rsid w:val="7F5FFBE0"/>
    <w:rsid w:val="7F6000C3"/>
    <w:rsid w:val="7F737DF6"/>
    <w:rsid w:val="7F8E2E82"/>
    <w:rsid w:val="7FA01DE9"/>
    <w:rsid w:val="7FBB6A6A"/>
    <w:rsid w:val="7FDEB18A"/>
    <w:rsid w:val="7FE9630A"/>
    <w:rsid w:val="7FFDEA52"/>
    <w:rsid w:val="7FFDFA77"/>
    <w:rsid w:val="7FFF33AB"/>
    <w:rsid w:val="93B71E4D"/>
    <w:rsid w:val="9ADAABA8"/>
    <w:rsid w:val="9D73B56C"/>
    <w:rsid w:val="9FBFDF61"/>
    <w:rsid w:val="ABEDF032"/>
    <w:rsid w:val="B1E794FC"/>
    <w:rsid w:val="B7FB99C9"/>
    <w:rsid w:val="B95FAC3F"/>
    <w:rsid w:val="BB2B0695"/>
    <w:rsid w:val="BE5D4E9C"/>
    <w:rsid w:val="BED7753D"/>
    <w:rsid w:val="BF6FDB4B"/>
    <w:rsid w:val="BF7B2058"/>
    <w:rsid w:val="BF9FC897"/>
    <w:rsid w:val="BFDE8D9C"/>
    <w:rsid w:val="BFDF323A"/>
    <w:rsid w:val="BFFFE2C1"/>
    <w:rsid w:val="C7BC0E3B"/>
    <w:rsid w:val="D6FF9A1B"/>
    <w:rsid w:val="DAFD9D84"/>
    <w:rsid w:val="DBDF3DFD"/>
    <w:rsid w:val="DBF1C086"/>
    <w:rsid w:val="DBFE74B1"/>
    <w:rsid w:val="DDE3C7AC"/>
    <w:rsid w:val="DEDEE8C1"/>
    <w:rsid w:val="DF37B5AF"/>
    <w:rsid w:val="DFEA9CB2"/>
    <w:rsid w:val="DFFB738F"/>
    <w:rsid w:val="DFFF59B2"/>
    <w:rsid w:val="E3BA51F4"/>
    <w:rsid w:val="E5EF8E83"/>
    <w:rsid w:val="E7750240"/>
    <w:rsid w:val="EB6FAB69"/>
    <w:rsid w:val="EDAEDFA1"/>
    <w:rsid w:val="EE4F4FBA"/>
    <w:rsid w:val="EF13C279"/>
    <w:rsid w:val="EFBCD58B"/>
    <w:rsid w:val="EFECFCAC"/>
    <w:rsid w:val="EFFCCE80"/>
    <w:rsid w:val="F37BECE9"/>
    <w:rsid w:val="F5D9C1F4"/>
    <w:rsid w:val="F5F7D7B9"/>
    <w:rsid w:val="F7FEFFA9"/>
    <w:rsid w:val="F8174FCA"/>
    <w:rsid w:val="FAAF7777"/>
    <w:rsid w:val="FBBB7013"/>
    <w:rsid w:val="FBBF66A0"/>
    <w:rsid w:val="FBEAB8F8"/>
    <w:rsid w:val="FBFCC817"/>
    <w:rsid w:val="FCCE0213"/>
    <w:rsid w:val="FE7E0278"/>
    <w:rsid w:val="FEF9E10A"/>
    <w:rsid w:val="FF8E7BAF"/>
    <w:rsid w:val="FFEBF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8">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1">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qFormat/>
    <w:uiPriority w:val="1"/>
  </w:style>
  <w:style w:type="table" w:default="1" w:styleId="63">
    <w:name w:val="Normal Table"/>
    <w:qFormat/>
    <w:uiPriority w:val="99"/>
    <w:tblPr>
      <w:tblLayout w:type="fixed"/>
      <w:tblCellMar>
        <w:top w:w="0" w:type="dxa"/>
        <w:left w:w="108" w:type="dxa"/>
        <w:bottom w:w="0" w:type="dxa"/>
        <w:right w:w="108" w:type="dxa"/>
      </w:tblCellMar>
    </w:tblPr>
  </w:style>
  <w:style w:type="paragraph" w:customStyle="1" w:styleId="2">
    <w:name w:val="表格文字"/>
    <w:basedOn w:val="3"/>
    <w:next w:val="5"/>
    <w:qFormat/>
    <w:uiPriority w:val="0"/>
    <w:pPr>
      <w:adjustRightInd/>
      <w:ind w:firstLine="200" w:firstLineChars="200"/>
    </w:pPr>
    <w:rPr>
      <w:rFonts w:ascii="Arial" w:hAnsi="Arial"/>
      <w:spacing w:val="-5"/>
      <w:kern w:val="0"/>
      <w:sz w:val="24"/>
      <w:szCs w:val="20"/>
    </w:rPr>
  </w:style>
  <w:style w:type="paragraph" w:styleId="3">
    <w:name w:val="Plain Text"/>
    <w:basedOn w:val="1"/>
    <w:next w:val="4"/>
    <w:link w:val="491"/>
    <w:qFormat/>
    <w:uiPriority w:val="0"/>
    <w:rPr>
      <w:rFonts w:ascii="宋体" w:hAnsi="Courier New"/>
      <w:szCs w:val="20"/>
    </w:rPr>
  </w:style>
  <w:style w:type="paragraph" w:styleId="4">
    <w:name w:val="index 7"/>
    <w:basedOn w:val="1"/>
    <w:next w:val="1"/>
    <w:unhideWhenUsed/>
    <w:qFormat/>
    <w:uiPriority w:val="99"/>
    <w:pPr>
      <w:ind w:left="1200" w:leftChars="1200"/>
    </w:pPr>
  </w:style>
  <w:style w:type="paragraph" w:styleId="5">
    <w:name w:val="Body Text"/>
    <w:basedOn w:val="1"/>
    <w:next w:val="6"/>
    <w:link w:val="514"/>
    <w:qFormat/>
    <w:uiPriority w:val="0"/>
    <w:pPr>
      <w:autoSpaceDE w:val="0"/>
      <w:autoSpaceDN w:val="0"/>
      <w:spacing w:line="360" w:lineRule="auto"/>
    </w:pPr>
    <w:rPr>
      <w:rFonts w:ascii="宋体"/>
      <w:sz w:val="24"/>
      <w:szCs w:val="21"/>
      <w:lang w:val="zh-CN"/>
    </w:rPr>
  </w:style>
  <w:style w:type="paragraph" w:styleId="6">
    <w:name w:val="Body Text First Indent"/>
    <w:basedOn w:val="5"/>
    <w:next w:val="1"/>
    <w:link w:val="547"/>
    <w:qFormat/>
    <w:uiPriority w:val="0"/>
    <w:pPr>
      <w:ind w:firstLine="420"/>
    </w:pPr>
    <w:rPr>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615"/>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477"/>
    <w:qFormat/>
    <w:uiPriority w:val="0"/>
    <w:pPr>
      <w:spacing w:line="480" w:lineRule="exact"/>
      <w:ind w:firstLine="480" w:firstLineChars="200"/>
    </w:pPr>
    <w:rPr>
      <w:rFonts w:ascii="宋体" w:hAnsi="宋体"/>
      <w:sz w:val="24"/>
    </w:r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qFormat/>
    <w:uiPriority w:val="0"/>
    <w:pPr>
      <w:shd w:val="clear" w:color="auto" w:fill="000080"/>
    </w:pPr>
  </w:style>
  <w:style w:type="paragraph" w:styleId="25">
    <w:name w:val="annotation text"/>
    <w:basedOn w:val="1"/>
    <w:link w:val="616"/>
    <w:qFormat/>
    <w:uiPriority w:val="99"/>
    <w:pPr>
      <w:jc w:val="left"/>
    </w:pPr>
  </w:style>
  <w:style w:type="paragraph" w:styleId="26">
    <w:name w:val="Salutation"/>
    <w:basedOn w:val="1"/>
    <w:next w:val="1"/>
    <w:link w:val="484"/>
    <w:qFormat/>
    <w:uiPriority w:val="0"/>
    <w:rPr>
      <w:rFonts w:ascii="仿宋_GB2312" w:eastAsia="仿宋_GB2312"/>
      <w:sz w:val="28"/>
      <w:szCs w:val="20"/>
    </w:rPr>
  </w:style>
  <w:style w:type="paragraph" w:styleId="27">
    <w:name w:val="Body Text 3"/>
    <w:basedOn w:val="1"/>
    <w:link w:val="583"/>
    <w:qFormat/>
    <w:uiPriority w:val="0"/>
    <w:pPr>
      <w:jc w:val="center"/>
    </w:pPr>
    <w:rPr>
      <w:szCs w:val="20"/>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9">
    <w:name w:val="Balloon Text"/>
    <w:basedOn w:val="1"/>
    <w:link w:val="617"/>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0"/>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5"/>
    <w:next w:val="25"/>
    <w:qFormat/>
    <w:uiPriority w:val="0"/>
    <w:rPr>
      <w:b/>
      <w:bCs/>
    </w:rPr>
  </w:style>
  <w:style w:type="paragraph" w:styleId="62">
    <w:name w:val="Body Text First Indent 2"/>
    <w:basedOn w:val="21"/>
    <w:link w:val="504"/>
    <w:qFormat/>
    <w:uiPriority w:val="0"/>
    <w:pPr>
      <w:adjustRightInd/>
      <w:spacing w:after="120" w:line="240" w:lineRule="auto"/>
      <w:ind w:left="420" w:leftChars="200" w:firstLine="210"/>
    </w:pPr>
    <w:rPr>
      <w:sz w:val="21"/>
    </w:rPr>
  </w:style>
  <w:style w:type="table" w:styleId="64">
    <w:name w:val="Table Grid"/>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Default"/>
    <w:next w:val="75"/>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8"/>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4"/>
    <w:next w:val="74"/>
    <w:qFormat/>
    <w:uiPriority w:val="0"/>
    <w:pPr>
      <w:spacing w:after="68"/>
    </w:pPr>
    <w:rPr>
      <w:rFonts w:ascii="FHLHE E+ Futura Bk" w:eastAsia="FHLHE E+ Futura Bk" w:cs="Times New Roman"/>
      <w:color w:val="auto"/>
    </w:rPr>
  </w:style>
  <w:style w:type="paragraph" w:customStyle="1" w:styleId="104">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10"/>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20"/>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10"/>
    <w:qFormat/>
    <w:uiPriority w:val="0"/>
    <w:pPr>
      <w:numPr>
        <w:ilvl w:val="0"/>
        <w:numId w:val="0"/>
      </w:numPr>
      <w:tabs>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3"/>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qFormat/>
    <w:uiPriority w:val="0"/>
    <w:pPr>
      <w:tabs>
        <w:tab w:val="left" w:pos="2356"/>
      </w:tabs>
    </w:pPr>
  </w:style>
  <w:style w:type="paragraph" w:customStyle="1" w:styleId="174">
    <w:name w:val="样式 标题 4h4H4Fab-4T5Ref Heading 1rh1Heading sqlsect 1.2.3...."/>
    <w:basedOn w:val="10"/>
    <w:link w:val="56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clear" w:pos="1260"/>
      </w:tabs>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9"/>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8"/>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10"/>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9"/>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7"/>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10"/>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2"/>
    <w:next w:val="1"/>
    <w:qFormat/>
    <w:uiPriority w:val="0"/>
    <w:pPr>
      <w:numPr>
        <w:ilvl w:val="0"/>
        <w:numId w:val="5"/>
      </w:numPr>
      <w:tabs>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7"/>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7"/>
    <w:qFormat/>
    <w:uiPriority w:val="0"/>
    <w:pPr>
      <w:snapToGrid w:val="0"/>
      <w:spacing w:line="360" w:lineRule="auto"/>
    </w:pPr>
    <w:rPr>
      <w:rFonts w:ascii="宋体"/>
      <w:b/>
      <w:sz w:val="24"/>
      <w:szCs w:val="20"/>
    </w:rPr>
  </w:style>
  <w:style w:type="paragraph" w:customStyle="1" w:styleId="23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8"/>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7"/>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7"/>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8"/>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customStyle="1"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8"/>
    <w:qFormat/>
    <w:uiPriority w:val="0"/>
    <w:pPr>
      <w:numPr>
        <w:ilvl w:val="0"/>
        <w:numId w:val="0"/>
      </w:numPr>
      <w:tabs>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9"/>
    <w:next w:val="1"/>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8"/>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10"/>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9"/>
    <w:qFormat/>
    <w:uiPriority w:val="0"/>
    <w:pPr>
      <w:numPr>
        <w:ilvl w:val="0"/>
        <w:numId w:val="4"/>
      </w:numPr>
      <w:tabs>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10"/>
    <w:link w:val="5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2"/>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4"/>
    <w:qFormat/>
    <w:uiPriority w:val="0"/>
    <w:pPr>
      <w:snapToGrid w:val="0"/>
      <w:spacing w:line="360" w:lineRule="auto"/>
    </w:pPr>
  </w:style>
  <w:style w:type="paragraph" w:customStyle="1" w:styleId="37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8"/>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7"/>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next w:val="4"/>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49"/>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Id w:val="0"/>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11"/>
    <w:next w:val="1"/>
    <w:qFormat/>
    <w:uiPriority w:val="0"/>
    <w:pPr>
      <w:numPr>
        <w:ilvl w:val="0"/>
        <w:numId w:val="5"/>
      </w:numPr>
      <w:tabs>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11"/>
    <w:qFormat/>
    <w:uiPriority w:val="0"/>
    <w:pPr>
      <w:numPr>
        <w:ilvl w:val="0"/>
        <w:numId w:val="4"/>
      </w:numPr>
      <w:tabs>
        <w:tab w:val="clear" w:pos="1008"/>
      </w:tabs>
      <w:adjustRightInd/>
    </w:pPr>
  </w:style>
  <w:style w:type="paragraph" w:customStyle="1" w:styleId="413">
    <w:name w:val="样式 标题 3标题 3 Char第二层条h33Bold Headbh章标题1小标题level_3PIM 3..."/>
    <w:basedOn w:val="9"/>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7"/>
    <w:next w:val="1"/>
    <w:qFormat/>
    <w:uiPriority w:val="0"/>
    <w:pPr>
      <w:numPr>
        <w:ilvl w:val="0"/>
        <w:numId w:val="5"/>
      </w:numPr>
      <w:tabs>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9"/>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7"/>
    <w:qFormat/>
    <w:uiPriority w:val="0"/>
    <w:pPr>
      <w:numPr>
        <w:ilvl w:val="0"/>
        <w:numId w:val="0"/>
      </w:numPr>
      <w:tabs>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3"/>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qFormat/>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8"/>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7"/>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5"/>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2"/>
    <w:qFormat/>
    <w:uiPriority w:val="0"/>
    <w:rPr>
      <w:rFonts w:ascii="仿宋_GB2312" w:eastAsia="仿宋_GB2312"/>
      <w:kern w:val="2"/>
      <w:sz w:val="24"/>
      <w:lang w:val="en-US" w:eastAsia="zh-CN" w:bidi="ar-SA"/>
    </w:rPr>
  </w:style>
  <w:style w:type="character" w:customStyle="1" w:styleId="465">
    <w:name w:val="Comment Text Char"/>
    <w:qFormat/>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4"/>
    <w:qFormat/>
    <w:uiPriority w:val="0"/>
    <w:rPr>
      <w:rFonts w:ascii="Arial" w:hAnsi="Arial" w:eastAsia="黑体"/>
      <w:kern w:val="2"/>
      <w:sz w:val="24"/>
      <w:szCs w:val="24"/>
    </w:rPr>
  </w:style>
  <w:style w:type="character" w:customStyle="1" w:styleId="474">
    <w:name w:val="冯广丽 Char"/>
    <w:link w:val="238"/>
    <w:qFormat/>
    <w:uiPriority w:val="0"/>
    <w:rPr>
      <w:rFonts w:ascii="宋体" w:hAnsi="宋体"/>
      <w:kern w:val="2"/>
      <w:sz w:val="24"/>
      <w:szCs w:val="22"/>
    </w:rPr>
  </w:style>
  <w:style w:type="character" w:customStyle="1" w:styleId="475">
    <w:name w:val="脚注文本 Char"/>
    <w:link w:val="51"/>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1"/>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5"/>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3"/>
    <w:qFormat/>
    <w:uiPriority w:val="0"/>
    <w:rPr>
      <w:b/>
      <w:bCs/>
      <w:kern w:val="2"/>
      <w:sz w:val="24"/>
      <w:szCs w:val="24"/>
    </w:rPr>
  </w:style>
  <w:style w:type="character" w:customStyle="1" w:styleId="484">
    <w:name w:val="称呼 Char"/>
    <w:link w:val="26"/>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8"/>
    <w:qFormat/>
    <w:uiPriority w:val="0"/>
    <w:rPr>
      <w:rFonts w:ascii="Arial" w:hAnsi="Arial" w:eastAsia="隶书"/>
      <w:b/>
      <w:bCs/>
      <w:kern w:val="28"/>
      <w:sz w:val="44"/>
      <w:szCs w:val="32"/>
      <w:lang w:val="en-US" w:eastAsia="zh-CN" w:bidi="ar-SA"/>
    </w:rPr>
  </w:style>
  <w:style w:type="character" w:customStyle="1" w:styleId="491">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_7802c35d-a7d5-483c-ad67-f53103fdfb58"/>
    <w:qFormat/>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2"/>
    <w:qFormat/>
    <w:uiPriority w:val="0"/>
    <w:rPr>
      <w:rFonts w:ascii="宋体" w:hAnsi="宋体"/>
      <w:kern w:val="2"/>
      <w:sz w:val="21"/>
      <w:szCs w:val="24"/>
    </w:rPr>
  </w:style>
  <w:style w:type="character" w:customStyle="1" w:styleId="505">
    <w:name w:val="正文文本缩进 2 Char"/>
    <w:link w:val="38"/>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8"/>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5"/>
    <w:qFormat/>
    <w:uiPriority w:val="0"/>
    <w:rPr>
      <w:rFonts w:ascii="Arial" w:hAnsi="Arial" w:eastAsia="黑体"/>
      <w:kern w:val="2"/>
      <w:sz w:val="21"/>
      <w:szCs w:val="21"/>
    </w:rPr>
  </w:style>
  <w:style w:type="character" w:customStyle="1" w:styleId="522">
    <w:name w:val="md"/>
    <w:basedOn w:val="65"/>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2"/>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5"/>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8"/>
    <w:qFormat/>
    <w:uiPriority w:val="0"/>
    <w:rPr>
      <w:rFonts w:ascii="黑体" w:hAnsi="Courier New" w:eastAsia="黑体"/>
    </w:rPr>
  </w:style>
  <w:style w:type="character" w:customStyle="1" w:styleId="546">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7">
    <w:name w:val="正文首行缩进 Char"/>
    <w:link w:val="6"/>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7"/>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uiPriority w:val="0"/>
    <w:rPr>
      <w:rFonts w:ascii="宋体" w:hAnsi="宋体" w:eastAsia="宋体"/>
      <w:b/>
      <w:kern w:val="2"/>
      <w:sz w:val="24"/>
      <w:szCs w:val="24"/>
      <w:lang w:val="en-US" w:eastAsia="zh-CN" w:bidi="ar-SA"/>
    </w:rPr>
  </w:style>
  <w:style w:type="character" w:customStyle="1" w:styleId="564">
    <w:name w:val="Document Map Char"/>
    <w:qFormat/>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2"/>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11"/>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qFormat/>
    <w:uiPriority w:val="0"/>
    <w:rPr>
      <w:rFonts w:eastAsia="宋体"/>
      <w:kern w:val="2"/>
      <w:sz w:val="21"/>
      <w:szCs w:val="24"/>
      <w:lang w:val="en-US" w:eastAsia="zh-CN" w:bidi="ar-SA"/>
    </w:rPr>
  </w:style>
  <w:style w:type="character" w:customStyle="1" w:styleId="579">
    <w:name w:val="hui"/>
    <w:basedOn w:val="65"/>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7"/>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4"/>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5"/>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7"/>
    <w:qFormat/>
    <w:uiPriority w:val="0"/>
    <w:rPr>
      <w:rFonts w:ascii="宋体"/>
      <w:kern w:val="2"/>
      <w:sz w:val="24"/>
      <w:szCs w:val="21"/>
      <w:lang w:val="zh-CN"/>
    </w:rPr>
  </w:style>
  <w:style w:type="character" w:customStyle="1" w:styleId="601">
    <w:name w:val="标题 4 Char"/>
    <w:link w:val="10"/>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qFormat/>
    <w:uiPriority w:val="0"/>
    <w:rPr>
      <w:rFonts w:ascii="Times New Roman" w:hAnsi="Times New Roman" w:eastAsia="宋体" w:cs="Times New Roman"/>
      <w:sz w:val="20"/>
      <w:szCs w:val="20"/>
    </w:rPr>
  </w:style>
  <w:style w:type="character" w:customStyle="1" w:styleId="606">
    <w:name w:val="Char Char31"/>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2">
    <w:name w:val="标题 4 Char1"/>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12"/>
    <w:qFormat/>
    <w:uiPriority w:val="0"/>
    <w:rPr>
      <w:rFonts w:ascii="Arial" w:hAnsi="Arial" w:eastAsia="黑体"/>
      <w:b/>
      <w:bCs/>
      <w:kern w:val="2"/>
      <w:sz w:val="24"/>
      <w:szCs w:val="24"/>
    </w:rPr>
  </w:style>
  <w:style w:type="character" w:customStyle="1" w:styleId="615">
    <w:name w:val="正文缩进 Char2"/>
    <w:link w:val="20"/>
    <w:qFormat/>
    <w:uiPriority w:val="0"/>
    <w:rPr>
      <w:rFonts w:ascii="宋体" w:eastAsia="宋体"/>
      <w:snapToGrid w:val="0"/>
      <w:color w:val="000000"/>
      <w:kern w:val="28"/>
      <w:sz w:val="28"/>
      <w:lang w:val="en-US" w:eastAsia="zh-CN" w:bidi="ar-SA"/>
    </w:rPr>
  </w:style>
  <w:style w:type="character" w:customStyle="1" w:styleId="616">
    <w:name w:val="批注文字 Char1"/>
    <w:link w:val="25"/>
    <w:qFormat/>
    <w:uiPriority w:val="99"/>
    <w:rPr>
      <w:kern w:val="2"/>
      <w:sz w:val="21"/>
      <w:szCs w:val="24"/>
    </w:rPr>
  </w:style>
  <w:style w:type="character" w:customStyle="1" w:styleId="617">
    <w:name w:val="批注框文本 Char"/>
    <w:link w:val="39"/>
    <w:qFormat/>
    <w:uiPriority w:val="0"/>
    <w:rPr>
      <w:kern w:val="2"/>
      <w:sz w:val="18"/>
      <w:szCs w:val="18"/>
    </w:rPr>
  </w:style>
  <w:style w:type="character" w:customStyle="1" w:styleId="618">
    <w:name w:val="Footer Char_297ca3bb-e6f6-4cc1-9b27-66816fa3cad9"/>
    <w:qFormat/>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4"/>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样式 列表编号 + 段后: 0.5 行"/>
    <w:basedOn w:val="19"/>
    <w:qFormat/>
    <w:uiPriority w:val="2"/>
    <w:pPr>
      <w:spacing w:after="0"/>
      <w:ind w:left="840" w:hanging="420"/>
      <w:contextualSpacing/>
    </w:pPr>
    <w:rPr>
      <w:rFonts w:cs="宋体"/>
    </w:rPr>
  </w:style>
  <w:style w:type="paragraph" w:customStyle="1" w:styleId="635">
    <w:name w:val="BodyText"/>
    <w:basedOn w:val="1"/>
    <w:next w:val="636"/>
    <w:qFormat/>
    <w:uiPriority w:val="0"/>
    <w:pPr>
      <w:jc w:val="both"/>
      <w:textAlignment w:val="baseline"/>
    </w:pPr>
    <w:rPr>
      <w:rFonts w:ascii="Arial" w:hAnsi="Arial" w:cs="Times New Roman"/>
      <w:kern w:val="2"/>
      <w:sz w:val="24"/>
      <w:szCs w:val="24"/>
      <w:lang w:val="en-US" w:eastAsia="zh-CN" w:bidi="ar-SA"/>
    </w:rPr>
  </w:style>
  <w:style w:type="paragraph" w:customStyle="1" w:styleId="636">
    <w:name w:val="BodyText1I"/>
    <w:basedOn w:val="635"/>
    <w:next w:val="637"/>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7">
    <w:name w:val="TOC6"/>
    <w:basedOn w:val="1"/>
    <w:next w:val="1"/>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38">
    <w:name w:val="Plain Text2"/>
    <w:basedOn w:val="639"/>
    <w:qFormat/>
    <w:uiPriority w:val="99"/>
    <w:pPr>
      <w:widowControl/>
      <w:jc w:val="left"/>
    </w:pPr>
    <w:rPr>
      <w:rFonts w:ascii="Times New Roman" w:hAnsi="Courier New" w:cs="Times New Roman"/>
    </w:rPr>
  </w:style>
  <w:style w:type="paragraph" w:customStyle="1" w:styleId="639">
    <w:name w:val="Normal1"/>
    <w:basedOn w:val="1"/>
    <w:qFormat/>
    <w:uiPriority w:val="99"/>
    <w:rPr>
      <w:rFonts w:ascii="宋体" w:hAnsi="宋体" w:cs="宋体"/>
      <w:szCs w:val="21"/>
    </w:rPr>
  </w:style>
  <w:style w:type="table" w:customStyle="1" w:styleId="640">
    <w:name w:val="_Style 63"/>
    <w:unhideWhenUsed/>
    <w:qFormat/>
    <w:uiPriority w:val="1"/>
    <w:tblPr>
      <w:tblLayout w:type="fixed"/>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35468</Words>
  <Characters>37997</Characters>
  <Paragraphs>1856</Paragraphs>
  <TotalTime>9</TotalTime>
  <ScaleCrop>false</ScaleCrop>
  <LinksUpToDate>false</LinksUpToDate>
  <CharactersWithSpaces>40140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2023-03-26T10:29:00Z</dcterms:created>
  <dc:creator>玥</dc:creator>
  <cp:lastModifiedBy>Libra</cp:lastModifiedBy>
  <cp:lastPrinted>2024-03-14T02:43:00Z</cp:lastPrinted>
  <dcterms:modified xsi:type="dcterms:W3CDTF">2025-04-16T03:19:45Z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3F9A4E6FE0C042E79E39D26CBE858AFF_13</vt:lpwstr>
  </property>
</Properties>
</file>