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87110A">
      <w:pPr>
        <w:jc w:val="right"/>
        <w:rPr>
          <w:rFonts w:hint="eastAsia" w:ascii="仿宋" w:hAnsi="仿宋" w:eastAsia="仿宋" w:cs="仿宋"/>
          <w:b/>
          <w:sz w:val="44"/>
          <w:szCs w:val="44"/>
          <w:lang w:val="en-US" w:eastAsia="zh-CN"/>
        </w:rPr>
      </w:pPr>
      <w:bookmarkStart w:id="0" w:name="_Toc515647757"/>
      <w:bookmarkStart w:id="1" w:name="_Toc216582805"/>
      <w:bookmarkStart w:id="2" w:name="_Toc21015"/>
      <w:bookmarkStart w:id="3" w:name="_Toc520356143"/>
      <w:bookmarkStart w:id="4" w:name="_Toc21215"/>
      <w:r>
        <w:rPr>
          <w:rFonts w:hint="eastAsia" w:ascii="仿宋" w:hAnsi="仿宋" w:eastAsia="仿宋" w:cs="仿宋"/>
          <w:b/>
          <w:bCs/>
          <w:kern w:val="0"/>
          <w:sz w:val="28"/>
          <w:szCs w:val="28"/>
          <w:lang w:eastAsia="zh-CN"/>
        </w:rPr>
        <w:t>公开</w:t>
      </w:r>
      <w:r>
        <w:rPr>
          <w:rFonts w:hint="eastAsia" w:ascii="仿宋" w:hAnsi="仿宋" w:eastAsia="仿宋" w:cs="仿宋"/>
          <w:b/>
          <w:bCs/>
          <w:kern w:val="0"/>
          <w:sz w:val="28"/>
          <w:szCs w:val="28"/>
          <w:lang w:val="en-US" w:eastAsia="zh-CN"/>
        </w:rPr>
        <w:t xml:space="preserve">                         </w:t>
      </w:r>
    </w:p>
    <w:p w14:paraId="6144A0D8">
      <w:pPr>
        <w:spacing w:line="240" w:lineRule="auto"/>
        <w:jc w:val="right"/>
        <w:rPr>
          <w:rFonts w:hint="eastAsia" w:ascii="仿宋" w:hAnsi="仿宋" w:eastAsia="仿宋" w:cs="仿宋"/>
          <w:b/>
          <w:bCs/>
          <w:color w:val="auto"/>
          <w:kern w:val="0"/>
          <w:sz w:val="44"/>
          <w:szCs w:val="44"/>
          <w:highlight w:val="none"/>
          <w:lang w:val="en-US" w:eastAsia="zh-CN"/>
        </w:rPr>
      </w:pPr>
      <w:r>
        <w:rPr>
          <w:rFonts w:hint="eastAsia" w:ascii="仿宋" w:hAnsi="仿宋" w:eastAsia="仿宋" w:cs="仿宋"/>
          <w:b/>
          <w:color w:val="auto"/>
          <w:szCs w:val="21"/>
          <w:highlight w:val="none"/>
          <w:lang w:val="en-US" w:eastAsia="zh-CN"/>
        </w:rPr>
        <w:t xml:space="preserve">                </w:t>
      </w:r>
    </w:p>
    <w:p w14:paraId="2BDC59F5">
      <w:pPr>
        <w:spacing w:line="240" w:lineRule="auto"/>
        <w:ind w:left="0" w:leftChars="0" w:firstLine="0"/>
        <w:jc w:val="left"/>
        <w:rPr>
          <w:rFonts w:hint="eastAsia" w:ascii="仿宋" w:hAnsi="仿宋" w:eastAsia="仿宋" w:cs="仿宋"/>
          <w:b/>
          <w:color w:val="auto"/>
          <w:szCs w:val="21"/>
          <w:highlight w:val="none"/>
          <w:lang w:val="en-US" w:eastAsia="zh-CN"/>
        </w:rPr>
      </w:pPr>
    </w:p>
    <w:p w14:paraId="5F4D9AAC">
      <w:pPr>
        <w:spacing w:line="240" w:lineRule="auto"/>
        <w:jc w:val="center"/>
        <w:rPr>
          <w:rFonts w:hint="eastAsia" w:ascii="仿宋" w:hAnsi="仿宋" w:eastAsia="仿宋" w:cs="仿宋"/>
          <w:b/>
          <w:bCs/>
          <w:color w:val="auto"/>
          <w:kern w:val="0"/>
          <w:sz w:val="44"/>
          <w:szCs w:val="44"/>
          <w:highlight w:val="none"/>
        </w:rPr>
      </w:pPr>
    </w:p>
    <w:p w14:paraId="655AFE16">
      <w:pPr>
        <w:spacing w:line="240" w:lineRule="atLeast"/>
        <w:ind w:left="1079" w:leftChars="257" w:hanging="540"/>
        <w:jc w:val="center"/>
        <w:rPr>
          <w:rFonts w:hint="eastAsia" w:ascii="仿宋" w:hAnsi="仿宋" w:eastAsia="仿宋" w:cs="仿宋"/>
          <w:b/>
          <w:bCs/>
          <w:color w:val="auto"/>
          <w:kern w:val="0"/>
          <w:sz w:val="52"/>
          <w:szCs w:val="52"/>
          <w:highlight w:val="none"/>
          <w:lang w:eastAsia="zh-CN"/>
        </w:rPr>
      </w:pPr>
      <w:r>
        <w:rPr>
          <w:rFonts w:hint="eastAsia" w:ascii="仿宋" w:hAnsi="仿宋" w:eastAsia="仿宋" w:cs="仿宋"/>
          <w:b/>
          <w:bCs/>
          <w:color w:val="auto"/>
          <w:kern w:val="0"/>
          <w:sz w:val="52"/>
          <w:szCs w:val="52"/>
          <w:highlight w:val="none"/>
          <w:lang w:eastAsia="zh-CN"/>
        </w:rPr>
        <w:t>莎车县促进各民族交往交流交融（浦莎乐巴扎）项目</w:t>
      </w:r>
    </w:p>
    <w:p w14:paraId="2BE79259">
      <w:pPr>
        <w:jc w:val="center"/>
        <w:rPr>
          <w:rFonts w:hint="default" w:ascii="仿宋" w:hAnsi="仿宋" w:eastAsia="仿宋" w:cs="仿宋"/>
          <w:b/>
          <w:sz w:val="44"/>
          <w:szCs w:val="44"/>
          <w:lang w:val="en-US" w:eastAsia="zh-CN"/>
        </w:rPr>
      </w:pPr>
      <w:r>
        <w:rPr>
          <w:rFonts w:hint="eastAsia" w:ascii="仿宋" w:hAnsi="仿宋" w:eastAsia="仿宋" w:cs="仿宋"/>
          <w:b/>
          <w:bCs/>
          <w:kern w:val="0"/>
          <w:sz w:val="28"/>
          <w:szCs w:val="28"/>
        </w:rPr>
        <w:t>项目编号：</w:t>
      </w:r>
      <w:r>
        <w:rPr>
          <w:rFonts w:hint="eastAsia" w:ascii="仿宋" w:hAnsi="仿宋" w:eastAsia="仿宋" w:cs="仿宋"/>
          <w:b/>
          <w:bCs/>
          <w:kern w:val="0"/>
          <w:sz w:val="28"/>
          <w:szCs w:val="28"/>
          <w:lang w:eastAsia="zh-CN"/>
        </w:rPr>
        <w:t>HRYX(SCCGGK)2025-002</w:t>
      </w:r>
    </w:p>
    <w:p w14:paraId="4D01234E">
      <w:pPr>
        <w:pStyle w:val="9"/>
        <w:rPr>
          <w:rFonts w:hint="eastAsia"/>
        </w:rPr>
      </w:pPr>
    </w:p>
    <w:p w14:paraId="7FDF2289">
      <w:pPr>
        <w:spacing w:line="240" w:lineRule="atLeast"/>
        <w:ind w:left="1079" w:leftChars="257" w:hanging="540"/>
        <w:jc w:val="center"/>
        <w:rPr>
          <w:rFonts w:hint="eastAsia" w:ascii="仿宋" w:hAnsi="仿宋" w:eastAsia="仿宋" w:cs="仿宋"/>
          <w:b/>
          <w:bCs/>
          <w:color w:val="auto"/>
          <w:kern w:val="0"/>
          <w:sz w:val="56"/>
          <w:szCs w:val="56"/>
          <w:highlight w:val="none"/>
        </w:rPr>
      </w:pPr>
      <w:r>
        <w:rPr>
          <w:rFonts w:hint="eastAsia" w:ascii="仿宋" w:hAnsi="仿宋" w:eastAsia="仿宋" w:cs="仿宋"/>
          <w:b/>
          <w:bCs/>
          <w:color w:val="auto"/>
          <w:kern w:val="0"/>
          <w:sz w:val="72"/>
          <w:szCs w:val="72"/>
          <w:highlight w:val="none"/>
        </w:rPr>
        <w:t>招</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标</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文</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件</w:t>
      </w:r>
    </w:p>
    <w:p w14:paraId="2CC322E4">
      <w:pPr>
        <w:pStyle w:val="107"/>
        <w:rPr>
          <w:rFonts w:hint="eastAsia" w:ascii="仿宋" w:hAnsi="仿宋" w:eastAsia="仿宋" w:cs="仿宋"/>
        </w:rPr>
      </w:pPr>
    </w:p>
    <w:p w14:paraId="1AC8A857">
      <w:pPr>
        <w:pStyle w:val="27"/>
        <w:rPr>
          <w:rFonts w:hint="eastAsia" w:ascii="仿宋" w:hAnsi="仿宋" w:eastAsia="仿宋" w:cs="仿宋"/>
          <w:b/>
          <w:color w:val="auto"/>
          <w:sz w:val="52"/>
          <w:highlight w:val="none"/>
        </w:rPr>
      </w:pPr>
    </w:p>
    <w:p w14:paraId="7D3227BF">
      <w:pPr>
        <w:spacing w:line="240" w:lineRule="atLeast"/>
        <w:jc w:val="both"/>
        <w:rPr>
          <w:rFonts w:hint="eastAsia" w:ascii="仿宋" w:hAnsi="仿宋" w:eastAsia="仿宋" w:cs="仿宋"/>
          <w:b/>
          <w:color w:val="auto"/>
          <w:sz w:val="32"/>
          <w:highlight w:val="none"/>
        </w:rPr>
      </w:pPr>
    </w:p>
    <w:p w14:paraId="1CDD2445">
      <w:pPr>
        <w:autoSpaceDE w:val="0"/>
        <w:autoSpaceDN w:val="0"/>
        <w:spacing w:line="600" w:lineRule="exact"/>
        <w:rPr>
          <w:rFonts w:ascii="宋体" w:hAnsi="宋体" w:cs="宋体"/>
          <w:b/>
          <w:bCs/>
          <w:kern w:val="0"/>
          <w:sz w:val="28"/>
          <w:szCs w:val="28"/>
        </w:rPr>
      </w:pPr>
      <w:r>
        <w:rPr>
          <w:rFonts w:hint="eastAsia" w:ascii="宋体" w:hAnsi="宋体" w:cs="宋体"/>
          <w:b/>
          <w:bCs/>
          <w:kern w:val="0"/>
          <w:sz w:val="28"/>
          <w:szCs w:val="28"/>
        </w:rPr>
        <w:t>采购单位：</w:t>
      </w:r>
      <w:r>
        <w:rPr>
          <w:rFonts w:hint="eastAsia" w:ascii="宋体" w:hAnsi="宋体" w:cs="宋体"/>
          <w:b/>
          <w:bCs/>
          <w:kern w:val="0"/>
          <w:sz w:val="28"/>
          <w:szCs w:val="28"/>
          <w:u w:val="single"/>
        </w:rPr>
        <w:t xml:space="preserve"> </w:t>
      </w:r>
      <w:r>
        <w:rPr>
          <w:rFonts w:hint="eastAsia" w:ascii="宋体" w:hAnsi="宋体" w:cs="宋体"/>
          <w:b/>
          <w:bCs/>
          <w:i w:val="0"/>
          <w:iCs w:val="0"/>
          <w:caps w:val="0"/>
          <w:color w:val="auto"/>
          <w:spacing w:val="0"/>
          <w:kern w:val="0"/>
          <w:sz w:val="28"/>
          <w:szCs w:val="28"/>
          <w:u w:val="single"/>
          <w:shd w:val="clear" w:fill="auto"/>
          <w:lang w:eastAsia="zh-CN"/>
        </w:rPr>
        <w:t>莎车县文化体育广播电视和旅游局</w:t>
      </w:r>
      <w:r>
        <w:rPr>
          <w:rFonts w:hint="eastAsia" w:ascii="宋体" w:hAnsi="宋体" w:cs="宋体"/>
          <w:b/>
          <w:bCs/>
          <w:kern w:val="0"/>
          <w:sz w:val="28"/>
          <w:szCs w:val="28"/>
          <w:u w:val="single"/>
        </w:rPr>
        <w:t xml:space="preserve"> </w:t>
      </w:r>
    </w:p>
    <w:p w14:paraId="37309F73">
      <w:pPr>
        <w:autoSpaceDE w:val="0"/>
        <w:autoSpaceDN w:val="0"/>
        <w:spacing w:line="600" w:lineRule="exact"/>
        <w:rPr>
          <w:rFonts w:ascii="宋体" w:hAnsi="宋体" w:cs="宋体"/>
          <w:b/>
          <w:bCs/>
          <w:kern w:val="0"/>
          <w:sz w:val="28"/>
          <w:szCs w:val="28"/>
          <w:u w:val="single"/>
        </w:rPr>
      </w:pPr>
      <w:r>
        <w:rPr>
          <w:rFonts w:hint="eastAsia" w:ascii="宋体" w:hAnsi="宋体" w:cs="宋体"/>
          <w:b/>
          <w:bCs/>
          <w:kern w:val="0"/>
          <w:sz w:val="28"/>
          <w:szCs w:val="28"/>
        </w:rPr>
        <w:t>联 系 人：</w:t>
      </w:r>
      <w:r>
        <w:rPr>
          <w:rFonts w:hint="eastAsia" w:ascii="宋体" w:hAnsi="宋体" w:cs="宋体"/>
          <w:b/>
          <w:bCs/>
          <w:kern w:val="0"/>
          <w:sz w:val="28"/>
          <w:szCs w:val="28"/>
          <w:u w:val="single"/>
        </w:rPr>
        <w:t xml:space="preserve">       </w:t>
      </w:r>
      <w:r>
        <w:rPr>
          <w:rFonts w:hint="eastAsia" w:ascii="宋体" w:hAnsi="宋体" w:cs="宋体"/>
          <w:b/>
          <w:bCs/>
          <w:i w:val="0"/>
          <w:iCs w:val="0"/>
          <w:caps w:val="0"/>
          <w:color w:val="auto"/>
          <w:spacing w:val="0"/>
          <w:kern w:val="0"/>
          <w:sz w:val="28"/>
          <w:szCs w:val="28"/>
          <w:highlight w:val="none"/>
          <w:u w:val="single"/>
          <w:shd w:val="clear" w:fill="auto"/>
          <w:lang w:eastAsia="zh-CN"/>
        </w:rPr>
        <w:t>王瑶</w:t>
      </w:r>
      <w:r>
        <w:rPr>
          <w:rFonts w:hint="eastAsia" w:ascii="宋体" w:hAnsi="宋体" w:cs="宋体"/>
          <w:b/>
          <w:bCs/>
          <w:kern w:val="0"/>
          <w:sz w:val="28"/>
          <w:szCs w:val="28"/>
          <w:u w:val="single"/>
        </w:rPr>
        <w:t xml:space="preserve">      </w:t>
      </w:r>
      <w:r>
        <w:rPr>
          <w:rFonts w:hint="eastAsia" w:ascii="宋体" w:hAnsi="宋体" w:cs="宋体"/>
          <w:b/>
          <w:bCs/>
          <w:kern w:val="0"/>
          <w:sz w:val="28"/>
          <w:szCs w:val="28"/>
          <w:u w:val="single"/>
          <w:lang w:val="en-US" w:eastAsia="zh-CN"/>
        </w:rPr>
        <w:t xml:space="preserve"> </w:t>
      </w:r>
    </w:p>
    <w:p w14:paraId="678864D0">
      <w:pPr>
        <w:autoSpaceDE w:val="0"/>
        <w:autoSpaceDN w:val="0"/>
        <w:spacing w:line="600" w:lineRule="exact"/>
        <w:rPr>
          <w:rFonts w:hint="default" w:ascii="宋体" w:hAnsi="宋体" w:eastAsia="宋体" w:cs="宋体"/>
          <w:b/>
          <w:bCs/>
          <w:kern w:val="0"/>
          <w:sz w:val="28"/>
          <w:szCs w:val="28"/>
          <w:u w:val="single"/>
          <w:lang w:val="en-US" w:eastAsia="zh-CN"/>
        </w:rPr>
      </w:pPr>
      <w:r>
        <w:rPr>
          <w:rFonts w:hint="eastAsia" w:ascii="宋体" w:hAnsi="宋体" w:cs="宋体"/>
          <w:b/>
          <w:bCs/>
          <w:kern w:val="0"/>
          <w:sz w:val="28"/>
          <w:szCs w:val="28"/>
        </w:rPr>
        <w:t>联系电话：</w:t>
      </w:r>
      <w:r>
        <w:rPr>
          <w:rFonts w:hint="eastAsia" w:ascii="宋体" w:hAnsi="宋体" w:cs="宋体"/>
          <w:b/>
          <w:bCs/>
          <w:kern w:val="0"/>
          <w:sz w:val="28"/>
          <w:szCs w:val="28"/>
          <w:u w:val="single"/>
        </w:rPr>
        <w:t xml:space="preserve">   </w:t>
      </w:r>
      <w:r>
        <w:rPr>
          <w:rFonts w:hint="eastAsia" w:ascii="宋体" w:hAnsi="宋体" w:cs="宋体"/>
          <w:b/>
          <w:bCs/>
          <w:i w:val="0"/>
          <w:iCs w:val="0"/>
          <w:caps w:val="0"/>
          <w:color w:val="auto"/>
          <w:spacing w:val="0"/>
          <w:kern w:val="0"/>
          <w:sz w:val="28"/>
          <w:szCs w:val="28"/>
          <w:highlight w:val="none"/>
          <w:u w:val="single"/>
          <w:shd w:val="clear" w:fill="auto"/>
          <w:lang w:eastAsia="zh-CN"/>
        </w:rPr>
        <w:t>15569157575</w:t>
      </w:r>
      <w:r>
        <w:rPr>
          <w:rFonts w:hint="eastAsia" w:ascii="宋体" w:hAnsi="宋体" w:cs="宋体"/>
          <w:b/>
          <w:bCs/>
          <w:kern w:val="0"/>
          <w:sz w:val="28"/>
          <w:szCs w:val="28"/>
          <w:u w:val="single"/>
        </w:rPr>
        <w:t xml:space="preserve">  </w:t>
      </w:r>
      <w:r>
        <w:rPr>
          <w:rFonts w:hint="eastAsia" w:ascii="宋体" w:hAnsi="宋体" w:cs="宋体"/>
          <w:b/>
          <w:bCs/>
          <w:kern w:val="0"/>
          <w:sz w:val="28"/>
          <w:szCs w:val="28"/>
          <w:u w:val="single"/>
          <w:lang w:val="en-US" w:eastAsia="zh-CN"/>
        </w:rPr>
        <w:t xml:space="preserve">  </w:t>
      </w:r>
    </w:p>
    <w:p w14:paraId="41881C61">
      <w:pPr>
        <w:autoSpaceDE w:val="0"/>
        <w:autoSpaceDN w:val="0"/>
        <w:spacing w:line="600" w:lineRule="exact"/>
        <w:ind w:firstLine="1120" w:firstLineChars="400"/>
        <w:rPr>
          <w:rFonts w:ascii="宋体" w:hAnsi="宋体" w:cs="宋体"/>
          <w:b/>
          <w:bCs/>
          <w:kern w:val="0"/>
          <w:sz w:val="28"/>
          <w:szCs w:val="28"/>
        </w:rPr>
      </w:pPr>
      <w:r>
        <w:rPr>
          <w:rFonts w:hint="eastAsia" w:ascii="宋体" w:hAnsi="宋体" w:cs="宋体"/>
          <w:b/>
          <w:bCs/>
          <w:sz w:val="28"/>
          <w:szCs w:val="28"/>
        </w:rPr>
        <w:t xml:space="preserve"> </w:t>
      </w:r>
      <w:r>
        <w:rPr>
          <w:rFonts w:hint="eastAsia" w:ascii="宋体" w:hAnsi="宋体" w:cs="宋体"/>
          <w:b/>
          <w:bCs/>
          <w:kern w:val="0"/>
          <w:sz w:val="28"/>
          <w:szCs w:val="28"/>
        </w:rPr>
        <w:t xml:space="preserve">       </w:t>
      </w:r>
      <w:r>
        <w:rPr>
          <w:rFonts w:hint="eastAsia" w:ascii="宋体" w:hAnsi="宋体" w:cs="宋体"/>
          <w:b/>
          <w:bCs/>
          <w:sz w:val="28"/>
          <w:szCs w:val="28"/>
        </w:rPr>
        <w:t xml:space="preserve">        </w:t>
      </w:r>
    </w:p>
    <w:p w14:paraId="58CE1312">
      <w:pPr>
        <w:spacing w:line="220" w:lineRule="atLeast"/>
        <w:rPr>
          <w:rFonts w:hint="eastAsia" w:ascii="宋体" w:hAnsi="宋体" w:eastAsia="宋体" w:cs="宋体"/>
          <w:b/>
          <w:bCs/>
          <w:kern w:val="0"/>
          <w:sz w:val="28"/>
          <w:szCs w:val="28"/>
          <w:u w:val="single"/>
        </w:rPr>
      </w:pPr>
      <w:r>
        <w:rPr>
          <w:rFonts w:hint="eastAsia" w:ascii="宋体" w:hAnsi="宋体" w:cs="宋体"/>
          <w:b/>
          <w:bCs/>
          <w:kern w:val="0"/>
          <w:sz w:val="28"/>
          <w:szCs w:val="28"/>
        </w:rPr>
        <w:t>代理机构：</w:t>
      </w:r>
      <w:r>
        <w:rPr>
          <w:rFonts w:hint="eastAsia" w:ascii="宋体" w:hAnsi="宋体" w:cs="宋体"/>
          <w:b/>
          <w:bCs/>
          <w:i w:val="0"/>
          <w:iCs w:val="0"/>
          <w:caps w:val="0"/>
          <w:color w:val="auto"/>
          <w:spacing w:val="0"/>
          <w:kern w:val="0"/>
          <w:sz w:val="28"/>
          <w:szCs w:val="28"/>
          <w:u w:val="single"/>
          <w:shd w:val="clear" w:fill="auto"/>
          <w:lang w:eastAsia="zh-CN"/>
        </w:rPr>
        <w:t>新疆华嵘印橡项目管理咨询有限公司</w:t>
      </w:r>
      <w:r>
        <w:rPr>
          <w:rFonts w:hint="eastAsia" w:ascii="宋体" w:hAnsi="宋体" w:eastAsia="宋体" w:cs="宋体"/>
          <w:b/>
          <w:bCs/>
          <w:color w:val="auto"/>
          <w:kern w:val="0"/>
          <w:sz w:val="28"/>
          <w:szCs w:val="28"/>
          <w:highlight w:val="none"/>
          <w:u w:val="single"/>
        </w:rPr>
        <w:t xml:space="preserve"> </w:t>
      </w:r>
    </w:p>
    <w:p w14:paraId="3ACB673A">
      <w:pPr>
        <w:autoSpaceDE w:val="0"/>
        <w:autoSpaceDN w:val="0"/>
        <w:spacing w:line="600" w:lineRule="exact"/>
        <w:rPr>
          <w:rFonts w:ascii="宋体" w:hAnsi="宋体" w:cs="宋体"/>
          <w:b/>
          <w:bCs/>
          <w:kern w:val="0"/>
          <w:sz w:val="28"/>
          <w:szCs w:val="28"/>
          <w:u w:val="single"/>
        </w:rPr>
      </w:pPr>
      <w:r>
        <w:rPr>
          <w:rFonts w:hint="eastAsia" w:ascii="宋体" w:hAnsi="宋体" w:cs="宋体"/>
          <w:b/>
          <w:bCs/>
          <w:kern w:val="0"/>
          <w:sz w:val="28"/>
          <w:szCs w:val="28"/>
        </w:rPr>
        <w:t>联 系 人：</w:t>
      </w:r>
      <w:r>
        <w:rPr>
          <w:rFonts w:hint="eastAsia" w:ascii="宋体" w:hAnsi="宋体" w:cs="宋体"/>
          <w:b/>
          <w:bCs/>
          <w:kern w:val="0"/>
          <w:sz w:val="28"/>
          <w:szCs w:val="28"/>
          <w:u w:val="single"/>
        </w:rPr>
        <w:t xml:space="preserve">       </w:t>
      </w:r>
      <w:r>
        <w:rPr>
          <w:rFonts w:hint="eastAsia" w:ascii="宋体" w:hAnsi="宋体" w:cs="宋体"/>
          <w:b/>
          <w:bCs/>
          <w:kern w:val="0"/>
          <w:sz w:val="28"/>
          <w:szCs w:val="28"/>
          <w:u w:val="single"/>
          <w:lang w:val="en-US" w:eastAsia="zh-CN"/>
        </w:rPr>
        <w:t>彭鹤玲</w:t>
      </w:r>
      <w:r>
        <w:rPr>
          <w:rFonts w:hint="eastAsia" w:ascii="宋体" w:hAnsi="宋体" w:cs="宋体"/>
          <w:b/>
          <w:bCs/>
          <w:kern w:val="0"/>
          <w:sz w:val="28"/>
          <w:szCs w:val="28"/>
          <w:u w:val="single"/>
        </w:rPr>
        <w:t xml:space="preserve">     </w:t>
      </w:r>
    </w:p>
    <w:p w14:paraId="478BE883">
      <w:pPr>
        <w:autoSpaceDE w:val="0"/>
        <w:autoSpaceDN w:val="0"/>
        <w:spacing w:line="600" w:lineRule="exact"/>
        <w:rPr>
          <w:rFonts w:hint="eastAsia" w:ascii="宋体" w:hAnsi="宋体" w:cs="宋体"/>
          <w:b/>
          <w:bCs/>
          <w:sz w:val="28"/>
          <w:szCs w:val="28"/>
          <w:u w:val="single"/>
        </w:rPr>
      </w:pPr>
      <w:r>
        <w:rPr>
          <w:rFonts w:hint="eastAsia" w:ascii="宋体" w:hAnsi="宋体" w:cs="宋体"/>
          <w:b/>
          <w:bCs/>
          <w:kern w:val="0"/>
          <w:sz w:val="28"/>
          <w:szCs w:val="28"/>
        </w:rPr>
        <w:t>联系电话：</w:t>
      </w:r>
      <w:r>
        <w:rPr>
          <w:rFonts w:hint="eastAsia" w:ascii="宋体" w:hAnsi="宋体" w:cs="宋体"/>
          <w:b/>
          <w:bCs/>
          <w:kern w:val="0"/>
          <w:sz w:val="28"/>
          <w:szCs w:val="28"/>
          <w:u w:val="single"/>
        </w:rPr>
        <w:t xml:space="preserve">  </w:t>
      </w:r>
      <w:r>
        <w:rPr>
          <w:rFonts w:hint="eastAsia" w:ascii="宋体" w:hAnsi="宋体" w:cs="宋体"/>
          <w:b/>
          <w:bCs/>
          <w:kern w:val="0"/>
          <w:sz w:val="28"/>
          <w:szCs w:val="28"/>
          <w:u w:val="single"/>
          <w:lang w:val="en-US" w:eastAsia="zh-CN"/>
        </w:rPr>
        <w:t xml:space="preserve"> 18399604428</w:t>
      </w:r>
      <w:r>
        <w:rPr>
          <w:rFonts w:hint="eastAsia" w:ascii="宋体" w:hAnsi="宋体" w:cs="宋体"/>
          <w:b/>
          <w:bCs/>
          <w:sz w:val="28"/>
          <w:szCs w:val="28"/>
          <w:u w:val="single"/>
        </w:rPr>
        <w:t xml:space="preserve"> </w:t>
      </w:r>
      <w:r>
        <w:rPr>
          <w:rFonts w:hint="eastAsia" w:ascii="宋体" w:hAnsi="宋体" w:cs="宋体"/>
          <w:b/>
          <w:bCs/>
          <w:sz w:val="28"/>
          <w:szCs w:val="28"/>
          <w:u w:val="single"/>
          <w:lang w:val="en-US" w:eastAsia="zh-CN"/>
        </w:rPr>
        <w:t xml:space="preserve">  </w:t>
      </w:r>
      <w:r>
        <w:rPr>
          <w:rFonts w:hint="eastAsia" w:ascii="宋体" w:hAnsi="宋体" w:cs="宋体"/>
          <w:b/>
          <w:bCs/>
          <w:sz w:val="28"/>
          <w:szCs w:val="28"/>
          <w:u w:val="single"/>
        </w:rPr>
        <w:t xml:space="preserve"> </w:t>
      </w:r>
    </w:p>
    <w:p w14:paraId="56E9E7F6">
      <w:pPr>
        <w:pStyle w:val="38"/>
        <w:rPr>
          <w:rFonts w:hint="eastAsia" w:ascii="宋体" w:hAnsi="宋体" w:cs="宋体"/>
          <w:b/>
          <w:bCs/>
          <w:sz w:val="28"/>
          <w:szCs w:val="28"/>
          <w:u w:val="single"/>
        </w:rPr>
      </w:pPr>
    </w:p>
    <w:p w14:paraId="6A45E457">
      <w:pPr>
        <w:pStyle w:val="38"/>
        <w:rPr>
          <w:rFonts w:hint="eastAsia" w:ascii="宋体" w:hAnsi="宋体" w:cs="宋体"/>
          <w:b/>
          <w:bCs/>
          <w:sz w:val="28"/>
          <w:szCs w:val="28"/>
          <w:u w:val="single"/>
        </w:rPr>
      </w:pPr>
    </w:p>
    <w:p w14:paraId="1A1C848B">
      <w:pPr>
        <w:spacing w:line="400" w:lineRule="exact"/>
        <w:ind w:left="1079" w:leftChars="257" w:hanging="540"/>
        <w:jc w:val="center"/>
        <w:rPr>
          <w:rFonts w:hint="eastAsia" w:ascii="仿宋" w:hAnsi="仿宋" w:eastAsia="仿宋" w:cs="仿宋"/>
          <w:b/>
          <w:kern w:val="0"/>
          <w:sz w:val="30"/>
          <w:szCs w:val="30"/>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仿宋" w:hAnsi="仿宋" w:eastAsia="仿宋" w:cs="仿宋"/>
          <w:b/>
          <w:kern w:val="0"/>
          <w:sz w:val="30"/>
          <w:szCs w:val="30"/>
          <w:lang w:eastAsia="zh-CN"/>
        </w:rPr>
        <w:t>二〇二五</w:t>
      </w:r>
      <w:r>
        <w:rPr>
          <w:rFonts w:hint="eastAsia" w:ascii="仿宋" w:hAnsi="仿宋" w:eastAsia="仿宋" w:cs="仿宋"/>
          <w:b/>
          <w:kern w:val="0"/>
          <w:sz w:val="30"/>
          <w:szCs w:val="30"/>
        </w:rPr>
        <w:t>年</w:t>
      </w:r>
      <w:r>
        <w:rPr>
          <w:rFonts w:hint="eastAsia" w:ascii="仿宋" w:hAnsi="仿宋" w:eastAsia="仿宋" w:cs="仿宋"/>
          <w:b/>
          <w:kern w:val="0"/>
          <w:sz w:val="30"/>
          <w:szCs w:val="30"/>
          <w:lang w:val="en-US" w:eastAsia="zh-CN"/>
        </w:rPr>
        <w:t>四</w:t>
      </w:r>
      <w:r>
        <w:rPr>
          <w:rFonts w:hint="eastAsia" w:ascii="仿宋" w:hAnsi="仿宋" w:eastAsia="仿宋" w:cs="仿宋"/>
          <w:b/>
          <w:kern w:val="0"/>
          <w:sz w:val="30"/>
          <w:szCs w:val="30"/>
        </w:rPr>
        <w:t>月</w:t>
      </w:r>
    </w:p>
    <w:p w14:paraId="5FD65484">
      <w:pPr>
        <w:spacing w:line="400" w:lineRule="exact"/>
        <w:ind w:left="1079" w:leftChars="257" w:hanging="540"/>
        <w:jc w:val="center"/>
        <w:rPr>
          <w:rFonts w:hint="eastAsia" w:ascii="仿宋" w:hAnsi="仿宋" w:eastAsia="仿宋" w:cs="仿宋"/>
          <w:b/>
          <w:kern w:val="0"/>
          <w:sz w:val="30"/>
          <w:szCs w:val="30"/>
        </w:rPr>
        <w:sectPr>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p>
    <w:p w14:paraId="7F8A98D9">
      <w:pPr>
        <w:spacing w:line="240" w:lineRule="atLeast"/>
        <w:ind w:left="1079" w:leftChars="257" w:hanging="54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目  录</w:t>
      </w:r>
    </w:p>
    <w:p w14:paraId="2CA2CDDD">
      <w:pPr>
        <w:spacing w:line="240" w:lineRule="atLeast"/>
        <w:ind w:left="1079" w:leftChars="257" w:hanging="540"/>
        <w:jc w:val="center"/>
        <w:rPr>
          <w:rFonts w:hint="eastAsia" w:ascii="仿宋" w:hAnsi="仿宋" w:eastAsia="仿宋" w:cs="仿宋"/>
          <w:b/>
          <w:color w:val="auto"/>
          <w:sz w:val="32"/>
          <w:highlight w:val="none"/>
        </w:rPr>
      </w:pPr>
    </w:p>
    <w:p w14:paraId="30384E79">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color w:val="auto"/>
          <w:kern w:val="0"/>
          <w:szCs w:val="21"/>
          <w:highlight w:val="none"/>
        </w:rPr>
        <w:instrText xml:space="preserve"> TOC \o "1-3" \h \z \u </w:instrText>
      </w:r>
      <w:r>
        <w:rPr>
          <w:rFonts w:hint="eastAsia" w:ascii="仿宋" w:hAnsi="仿宋" w:eastAsia="仿宋" w:cs="仿宋"/>
          <w:color w:val="auto"/>
          <w:kern w:val="0"/>
          <w:szCs w:val="21"/>
          <w:highlight w:val="none"/>
        </w:rPr>
        <w:fldChar w:fldCharType="separate"/>
      </w: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_Toc10614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eastAsia="zh-CN"/>
        </w:rPr>
        <w:t>第一章</w:t>
      </w:r>
      <w:r>
        <w:rPr>
          <w:rFonts w:hint="eastAsia" w:ascii="仿宋" w:hAnsi="仿宋" w:eastAsia="仿宋" w:cs="仿宋"/>
          <w:highlight w:val="none"/>
          <w:lang w:val="en-US" w:eastAsia="zh-CN"/>
        </w:rPr>
        <w:t xml:space="preserve">  </w:t>
      </w:r>
      <w:r>
        <w:rPr>
          <w:rFonts w:hint="eastAsia" w:ascii="仿宋" w:hAnsi="仿宋" w:eastAsia="仿宋" w:cs="仿宋"/>
          <w:highlight w:val="none"/>
        </w:rPr>
        <w:t>投标人须知</w:t>
      </w:r>
      <w:r>
        <w:tab/>
      </w:r>
      <w:r>
        <w:fldChar w:fldCharType="begin"/>
      </w:r>
      <w:r>
        <w:instrText xml:space="preserve"> PAGEREF _Toc10614 \h </w:instrText>
      </w:r>
      <w:r>
        <w:fldChar w:fldCharType="separate"/>
      </w:r>
      <w:r>
        <w:t>1</w:t>
      </w:r>
      <w:r>
        <w:fldChar w:fldCharType="end"/>
      </w:r>
      <w:r>
        <w:rPr>
          <w:rFonts w:hint="eastAsia" w:ascii="仿宋" w:hAnsi="仿宋" w:eastAsia="仿宋" w:cs="仿宋"/>
          <w:color w:val="auto"/>
          <w:kern w:val="0"/>
          <w:szCs w:val="21"/>
          <w:highlight w:val="none"/>
        </w:rPr>
        <w:fldChar w:fldCharType="end"/>
      </w:r>
    </w:p>
    <w:p w14:paraId="687DEA59">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_Toc31464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一   总 则</w:t>
      </w:r>
      <w:r>
        <w:tab/>
      </w:r>
      <w:r>
        <w:fldChar w:fldCharType="begin"/>
      </w:r>
      <w:r>
        <w:instrText xml:space="preserve"> PAGEREF _Toc31464 \h </w:instrText>
      </w:r>
      <w:r>
        <w:fldChar w:fldCharType="separate"/>
      </w:r>
      <w:r>
        <w:t>1</w:t>
      </w:r>
      <w:r>
        <w:fldChar w:fldCharType="end"/>
      </w:r>
      <w:r>
        <w:rPr>
          <w:rFonts w:hint="eastAsia" w:ascii="仿宋" w:hAnsi="仿宋" w:eastAsia="仿宋" w:cs="仿宋"/>
          <w:color w:val="auto"/>
          <w:kern w:val="0"/>
          <w:szCs w:val="21"/>
          <w:highlight w:val="none"/>
        </w:rPr>
        <w:fldChar w:fldCharType="end"/>
      </w:r>
    </w:p>
    <w:p w14:paraId="7CF9B0E9">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_Toc21329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1.采购人、采购代理机构及投标人</w:t>
      </w:r>
      <w:r>
        <w:tab/>
      </w:r>
      <w:r>
        <w:fldChar w:fldCharType="begin"/>
      </w:r>
      <w:r>
        <w:instrText xml:space="preserve"> PAGEREF _Toc21329 \h </w:instrText>
      </w:r>
      <w:r>
        <w:fldChar w:fldCharType="separate"/>
      </w:r>
      <w:r>
        <w:t>1</w:t>
      </w:r>
      <w:r>
        <w:fldChar w:fldCharType="end"/>
      </w:r>
      <w:r>
        <w:rPr>
          <w:rFonts w:hint="eastAsia" w:ascii="仿宋" w:hAnsi="仿宋" w:eastAsia="仿宋" w:cs="仿宋"/>
          <w:color w:val="auto"/>
          <w:kern w:val="0"/>
          <w:szCs w:val="21"/>
          <w:highlight w:val="none"/>
        </w:rPr>
        <w:fldChar w:fldCharType="end"/>
      </w:r>
    </w:p>
    <w:p w14:paraId="4AA2CBCB">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_Toc8839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2.资金来源</w:t>
      </w:r>
      <w:r>
        <w:tab/>
      </w:r>
      <w:r>
        <w:fldChar w:fldCharType="begin"/>
      </w:r>
      <w:r>
        <w:instrText xml:space="preserve"> PAGEREF _Toc8839 \h </w:instrText>
      </w:r>
      <w:r>
        <w:fldChar w:fldCharType="separate"/>
      </w:r>
      <w:r>
        <w:t>2</w:t>
      </w:r>
      <w:r>
        <w:fldChar w:fldCharType="end"/>
      </w:r>
      <w:r>
        <w:rPr>
          <w:rFonts w:hint="eastAsia" w:ascii="仿宋" w:hAnsi="仿宋" w:eastAsia="仿宋" w:cs="仿宋"/>
          <w:color w:val="auto"/>
          <w:kern w:val="0"/>
          <w:szCs w:val="21"/>
          <w:highlight w:val="none"/>
        </w:rPr>
        <w:fldChar w:fldCharType="end"/>
      </w:r>
    </w:p>
    <w:p w14:paraId="66EFA32D">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_Toc12163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3.投标费用</w:t>
      </w:r>
      <w:r>
        <w:tab/>
      </w:r>
      <w:r>
        <w:fldChar w:fldCharType="begin"/>
      </w:r>
      <w:r>
        <w:instrText xml:space="preserve"> PAGEREF _Toc12163 \h </w:instrText>
      </w:r>
      <w:r>
        <w:fldChar w:fldCharType="separate"/>
      </w:r>
      <w:r>
        <w:t>2</w:t>
      </w:r>
      <w:r>
        <w:fldChar w:fldCharType="end"/>
      </w:r>
      <w:r>
        <w:rPr>
          <w:rFonts w:hint="eastAsia" w:ascii="仿宋" w:hAnsi="仿宋" w:eastAsia="仿宋" w:cs="仿宋"/>
          <w:color w:val="auto"/>
          <w:kern w:val="0"/>
          <w:szCs w:val="21"/>
          <w:highlight w:val="none"/>
        </w:rPr>
        <w:fldChar w:fldCharType="end"/>
      </w:r>
    </w:p>
    <w:p w14:paraId="56906ADD">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_Toc19683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4.适用法律</w:t>
      </w:r>
      <w:r>
        <w:tab/>
      </w:r>
      <w:r>
        <w:fldChar w:fldCharType="begin"/>
      </w:r>
      <w:r>
        <w:instrText xml:space="preserve"> PAGEREF _Toc19683 \h </w:instrText>
      </w:r>
      <w:r>
        <w:fldChar w:fldCharType="separate"/>
      </w:r>
      <w:r>
        <w:t>2</w:t>
      </w:r>
      <w:r>
        <w:fldChar w:fldCharType="end"/>
      </w:r>
      <w:r>
        <w:rPr>
          <w:rFonts w:hint="eastAsia" w:ascii="仿宋" w:hAnsi="仿宋" w:eastAsia="仿宋" w:cs="仿宋"/>
          <w:color w:val="auto"/>
          <w:kern w:val="0"/>
          <w:szCs w:val="21"/>
          <w:highlight w:val="none"/>
        </w:rPr>
        <w:fldChar w:fldCharType="end"/>
      </w:r>
    </w:p>
    <w:p w14:paraId="096C66D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_Toc19260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二   招标文件</w:t>
      </w:r>
      <w:r>
        <w:tab/>
      </w:r>
      <w:r>
        <w:fldChar w:fldCharType="begin"/>
      </w:r>
      <w:r>
        <w:instrText xml:space="preserve"> PAGEREF _Toc19260 \h </w:instrText>
      </w:r>
      <w:r>
        <w:fldChar w:fldCharType="separate"/>
      </w:r>
      <w:r>
        <w:t>2</w:t>
      </w:r>
      <w:r>
        <w:fldChar w:fldCharType="end"/>
      </w:r>
      <w:r>
        <w:rPr>
          <w:rFonts w:hint="eastAsia" w:ascii="仿宋" w:hAnsi="仿宋" w:eastAsia="仿宋" w:cs="仿宋"/>
          <w:color w:val="auto"/>
          <w:kern w:val="0"/>
          <w:szCs w:val="21"/>
          <w:highlight w:val="none"/>
        </w:rPr>
        <w:fldChar w:fldCharType="end"/>
      </w:r>
    </w:p>
    <w:p w14:paraId="05083A1D">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_Toc8819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5.招标文件构成</w:t>
      </w:r>
      <w:r>
        <w:tab/>
      </w:r>
      <w:r>
        <w:fldChar w:fldCharType="begin"/>
      </w:r>
      <w:r>
        <w:instrText xml:space="preserve"> PAGEREF _Toc8819 \h </w:instrText>
      </w:r>
      <w:r>
        <w:fldChar w:fldCharType="separate"/>
      </w:r>
      <w:r>
        <w:t>2</w:t>
      </w:r>
      <w:r>
        <w:fldChar w:fldCharType="end"/>
      </w:r>
      <w:r>
        <w:rPr>
          <w:rFonts w:hint="eastAsia" w:ascii="仿宋" w:hAnsi="仿宋" w:eastAsia="仿宋" w:cs="仿宋"/>
          <w:color w:val="auto"/>
          <w:kern w:val="0"/>
          <w:szCs w:val="21"/>
          <w:highlight w:val="none"/>
        </w:rPr>
        <w:fldChar w:fldCharType="end"/>
      </w:r>
    </w:p>
    <w:p w14:paraId="62A76AE2">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_Toc25846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6.招标文件的澄清与修改</w:t>
      </w:r>
      <w:r>
        <w:tab/>
      </w:r>
      <w:r>
        <w:fldChar w:fldCharType="begin"/>
      </w:r>
      <w:r>
        <w:instrText xml:space="preserve"> PAGEREF _Toc25846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66F5B971">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_Toc18473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7.投标截止时间的顺延</w:t>
      </w:r>
      <w:r>
        <w:tab/>
      </w:r>
      <w:r>
        <w:fldChar w:fldCharType="begin"/>
      </w:r>
      <w:r>
        <w:instrText xml:space="preserve"> PAGEREF _Toc18473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09D9B42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_Toc21709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三   投标文件的编制</w:t>
      </w:r>
      <w:r>
        <w:tab/>
      </w:r>
      <w:r>
        <w:fldChar w:fldCharType="begin"/>
      </w:r>
      <w:r>
        <w:instrText xml:space="preserve"> PAGEREF _Toc21709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6D942D74">
      <w:pPr>
        <w:pStyle w:val="16"/>
        <w:tabs>
          <w:tab w:val="right" w:pos="3600"/>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_Toc10451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8.</w:t>
      </w:r>
      <w:r>
        <w:rPr>
          <w:rFonts w:hint="eastAsia" w:ascii="仿宋" w:hAnsi="仿宋" w:eastAsia="仿宋" w:cs="仿宋"/>
          <w:highlight w:val="none"/>
        </w:rPr>
        <w:tab/>
      </w:r>
      <w:r>
        <w:rPr>
          <w:rFonts w:hint="eastAsia" w:ascii="仿宋" w:hAnsi="仿宋" w:eastAsia="仿宋" w:cs="仿宋"/>
          <w:highlight w:val="none"/>
        </w:rPr>
        <w:t>投标范围及投标文件中标准和计量单位的使用</w:t>
      </w:r>
      <w:r>
        <w:tab/>
      </w:r>
      <w:r>
        <w:fldChar w:fldCharType="begin"/>
      </w:r>
      <w:r>
        <w:instrText xml:space="preserve"> PAGEREF _Toc10451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5486A54F">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_Toc10460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9.</w:t>
      </w:r>
      <w:r>
        <w:rPr>
          <w:rFonts w:hint="eastAsia" w:ascii="仿宋" w:hAnsi="仿宋" w:eastAsia="仿宋" w:cs="仿宋"/>
          <w:highlight w:val="none"/>
          <w:lang w:val="en-US" w:eastAsia="zh-CN"/>
        </w:rPr>
        <w:t xml:space="preserve"> </w:t>
      </w:r>
      <w:r>
        <w:rPr>
          <w:rFonts w:hint="eastAsia" w:ascii="仿宋" w:hAnsi="仿宋" w:eastAsia="仿宋" w:cs="仿宋"/>
          <w:highlight w:val="none"/>
        </w:rPr>
        <w:t>投标文件构成</w:t>
      </w:r>
      <w:r>
        <w:tab/>
      </w:r>
      <w:r>
        <w:fldChar w:fldCharType="begin"/>
      </w:r>
      <w:r>
        <w:instrText xml:space="preserve"> PAGEREF _Toc10460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55D6E975">
      <w:pPr>
        <w:pStyle w:val="16"/>
        <w:tabs>
          <w:tab w:val="right" w:pos="3600"/>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_Toc13984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10.</w:t>
      </w:r>
      <w:r>
        <w:rPr>
          <w:rFonts w:hint="eastAsia" w:ascii="仿宋" w:hAnsi="仿宋" w:eastAsia="仿宋" w:cs="仿宋"/>
          <w:highlight w:val="none"/>
        </w:rPr>
        <w:tab/>
      </w:r>
      <w:r>
        <w:rPr>
          <w:rFonts w:hint="eastAsia" w:ascii="仿宋" w:hAnsi="仿宋" w:eastAsia="仿宋" w:cs="仿宋"/>
          <w:highlight w:val="none"/>
        </w:rPr>
        <w:t>证明投标标的的合格性和符合招标文件规定的技术文件</w:t>
      </w:r>
      <w:r>
        <w:rPr>
          <w:rFonts w:hint="eastAsia" w:ascii="仿宋" w:hAnsi="仿宋" w:eastAsia="仿宋" w:cs="仿宋"/>
          <w:highlight w:val="none"/>
          <w:lang w:eastAsia="zh-CN"/>
        </w:rPr>
        <w:t>。</w:t>
      </w:r>
      <w:r>
        <w:tab/>
      </w:r>
      <w:r>
        <w:fldChar w:fldCharType="begin"/>
      </w:r>
      <w:r>
        <w:instrText xml:space="preserve"> PAGEREF _Toc13984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25B2E8CB">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_Toc7463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11.投标报价</w:t>
      </w:r>
      <w:r>
        <w:tab/>
      </w:r>
      <w:r>
        <w:fldChar w:fldCharType="begin"/>
      </w:r>
      <w:r>
        <w:instrText xml:space="preserve"> PAGEREF _Toc7463 \h </w:instrText>
      </w:r>
      <w:r>
        <w:fldChar w:fldCharType="separate"/>
      </w:r>
      <w:r>
        <w:t>4</w:t>
      </w:r>
      <w:r>
        <w:fldChar w:fldCharType="end"/>
      </w:r>
      <w:r>
        <w:rPr>
          <w:rFonts w:hint="eastAsia" w:ascii="仿宋" w:hAnsi="仿宋" w:eastAsia="仿宋" w:cs="仿宋"/>
          <w:color w:val="auto"/>
          <w:kern w:val="0"/>
          <w:szCs w:val="21"/>
          <w:highlight w:val="none"/>
        </w:rPr>
        <w:fldChar w:fldCharType="end"/>
      </w:r>
    </w:p>
    <w:p w14:paraId="686A8C87">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_Toc19919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12.投标保证金</w:t>
      </w:r>
      <w:r>
        <w:tab/>
      </w:r>
      <w:r>
        <w:fldChar w:fldCharType="begin"/>
      </w:r>
      <w:r>
        <w:instrText xml:space="preserve"> PAGEREF _Toc19919 \h </w:instrText>
      </w:r>
      <w:r>
        <w:fldChar w:fldCharType="separate"/>
      </w:r>
      <w:r>
        <w:t>4</w:t>
      </w:r>
      <w:r>
        <w:fldChar w:fldCharType="end"/>
      </w:r>
      <w:r>
        <w:rPr>
          <w:rFonts w:hint="eastAsia" w:ascii="仿宋" w:hAnsi="仿宋" w:eastAsia="仿宋" w:cs="仿宋"/>
          <w:color w:val="auto"/>
          <w:kern w:val="0"/>
          <w:szCs w:val="21"/>
          <w:highlight w:val="none"/>
        </w:rPr>
        <w:fldChar w:fldCharType="end"/>
      </w:r>
    </w:p>
    <w:p w14:paraId="1D99FC31">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_Toc5135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13.投标有效期</w:t>
      </w:r>
      <w:r>
        <w:tab/>
      </w:r>
      <w:r>
        <w:fldChar w:fldCharType="begin"/>
      </w:r>
      <w:r>
        <w:instrText xml:space="preserve"> PAGEREF _Toc5135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1F8042E1">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_Toc27088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14.投标文件的签署及规定</w:t>
      </w:r>
      <w:r>
        <w:tab/>
      </w:r>
      <w:r>
        <w:fldChar w:fldCharType="begin"/>
      </w:r>
      <w:r>
        <w:instrText xml:space="preserve"> PAGEREF _Toc27088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3924CF2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_Toc7038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四   投标文件的递交</w:t>
      </w:r>
      <w:r>
        <w:tab/>
      </w:r>
      <w:r>
        <w:fldChar w:fldCharType="begin"/>
      </w:r>
      <w:r>
        <w:instrText xml:space="preserve"> PAGEREF _Toc7038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714BC921">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_Toc11283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15.投标文件的密封和标记</w:t>
      </w:r>
      <w:r>
        <w:tab/>
      </w:r>
      <w:r>
        <w:fldChar w:fldCharType="begin"/>
      </w:r>
      <w:r>
        <w:instrText xml:space="preserve"> PAGEREF _Toc11283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4EB89793">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_Toc12857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16.投标截止</w:t>
      </w:r>
      <w:r>
        <w:tab/>
      </w:r>
      <w:r>
        <w:fldChar w:fldCharType="begin"/>
      </w:r>
      <w:r>
        <w:instrText xml:space="preserve"> PAGEREF _Toc12857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59857082">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_Toc31521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17.投标文件的接收、修改与撤回</w:t>
      </w:r>
      <w:r>
        <w:tab/>
      </w:r>
      <w:r>
        <w:fldChar w:fldCharType="begin"/>
      </w:r>
      <w:r>
        <w:instrText xml:space="preserve"> PAGEREF _Toc31521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6098560E">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_Toc8209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五   开标及评标</w:t>
      </w:r>
      <w:r>
        <w:tab/>
      </w:r>
      <w:r>
        <w:fldChar w:fldCharType="begin"/>
      </w:r>
      <w:r>
        <w:instrText xml:space="preserve"> PAGEREF _Toc8209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56D985CF">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_Toc15679 </w:instrText>
      </w:r>
      <w:r>
        <w:rPr>
          <w:rFonts w:hint="eastAsia" w:ascii="仿宋" w:hAnsi="仿宋" w:eastAsia="仿宋" w:cs="仿宋"/>
          <w:kern w:val="0"/>
          <w:szCs w:val="21"/>
          <w:highlight w:val="none"/>
        </w:rPr>
        <w:fldChar w:fldCharType="separate"/>
      </w:r>
      <w:r>
        <w:rPr>
          <w:rFonts w:hint="eastAsia" w:ascii="仿宋" w:hAnsi="仿宋" w:eastAsia="仿宋" w:cs="仿宋"/>
        </w:rPr>
        <w:t xml:space="preserve">18. </w:t>
      </w:r>
      <w:r>
        <w:rPr>
          <w:rFonts w:hint="eastAsia" w:ascii="仿宋" w:hAnsi="仿宋" w:eastAsia="仿宋" w:cs="仿宋"/>
          <w:highlight w:val="none"/>
        </w:rPr>
        <w:t>开标</w:t>
      </w:r>
      <w:r>
        <w:tab/>
      </w:r>
      <w:r>
        <w:fldChar w:fldCharType="begin"/>
      </w:r>
      <w:r>
        <w:instrText xml:space="preserve"> PAGEREF _Toc15679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1B16CD59">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_Toc24810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19.资格审查及组建评标委员会</w:t>
      </w:r>
      <w:r>
        <w:tab/>
      </w:r>
      <w:r>
        <w:fldChar w:fldCharType="begin"/>
      </w:r>
      <w:r>
        <w:instrText xml:space="preserve"> PAGEREF _Toc24810 \h </w:instrText>
      </w:r>
      <w:r>
        <w:fldChar w:fldCharType="separate"/>
      </w:r>
      <w:r>
        <w:t>7</w:t>
      </w:r>
      <w:r>
        <w:fldChar w:fldCharType="end"/>
      </w:r>
      <w:r>
        <w:rPr>
          <w:rFonts w:hint="eastAsia" w:ascii="仿宋" w:hAnsi="仿宋" w:eastAsia="仿宋" w:cs="仿宋"/>
          <w:color w:val="auto"/>
          <w:kern w:val="0"/>
          <w:szCs w:val="21"/>
          <w:highlight w:val="none"/>
        </w:rPr>
        <w:fldChar w:fldCharType="end"/>
      </w:r>
    </w:p>
    <w:p w14:paraId="7BCC2A3C">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_Toc26295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20.投标文件符合性审查与澄清</w:t>
      </w:r>
      <w:r>
        <w:tab/>
      </w:r>
      <w:r>
        <w:fldChar w:fldCharType="begin"/>
      </w:r>
      <w:r>
        <w:instrText xml:space="preserve"> PAGEREF _Toc26295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7C4F9B73">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_Toc7061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21.投标偏离</w:t>
      </w:r>
      <w:r>
        <w:tab/>
      </w:r>
      <w:r>
        <w:fldChar w:fldCharType="begin"/>
      </w:r>
      <w:r>
        <w:instrText xml:space="preserve"> PAGEREF _Toc7061 \h </w:instrText>
      </w:r>
      <w:r>
        <w:fldChar w:fldCharType="separate"/>
      </w:r>
      <w:r>
        <w:t>9</w:t>
      </w:r>
      <w:r>
        <w:fldChar w:fldCharType="end"/>
      </w:r>
      <w:r>
        <w:rPr>
          <w:rFonts w:hint="eastAsia" w:ascii="仿宋" w:hAnsi="仿宋" w:eastAsia="仿宋" w:cs="仿宋"/>
          <w:color w:val="auto"/>
          <w:kern w:val="0"/>
          <w:szCs w:val="21"/>
          <w:highlight w:val="none"/>
        </w:rPr>
        <w:fldChar w:fldCharType="end"/>
      </w:r>
    </w:p>
    <w:p w14:paraId="3369B008">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_Toc8221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22.投标无效</w:t>
      </w:r>
      <w:r>
        <w:tab/>
      </w:r>
      <w:r>
        <w:fldChar w:fldCharType="begin"/>
      </w:r>
      <w:r>
        <w:instrText xml:space="preserve"> PAGEREF _Toc8221 \h </w:instrText>
      </w:r>
      <w:r>
        <w:fldChar w:fldCharType="separate"/>
      </w:r>
      <w:r>
        <w:t>9</w:t>
      </w:r>
      <w:r>
        <w:fldChar w:fldCharType="end"/>
      </w:r>
      <w:r>
        <w:rPr>
          <w:rFonts w:hint="eastAsia" w:ascii="仿宋" w:hAnsi="仿宋" w:eastAsia="仿宋" w:cs="仿宋"/>
          <w:color w:val="auto"/>
          <w:kern w:val="0"/>
          <w:szCs w:val="21"/>
          <w:highlight w:val="none"/>
        </w:rPr>
        <w:fldChar w:fldCharType="end"/>
      </w:r>
    </w:p>
    <w:p w14:paraId="14B81A66">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_Toc1871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23.比较与评价</w:t>
      </w:r>
      <w:r>
        <w:tab/>
      </w:r>
      <w:r>
        <w:fldChar w:fldCharType="begin"/>
      </w:r>
      <w:r>
        <w:instrText xml:space="preserve"> PAGEREF _Toc1871 \h </w:instrText>
      </w:r>
      <w:r>
        <w:fldChar w:fldCharType="separate"/>
      </w:r>
      <w:r>
        <w:t>10</w:t>
      </w:r>
      <w:r>
        <w:fldChar w:fldCharType="end"/>
      </w:r>
      <w:r>
        <w:rPr>
          <w:rFonts w:hint="eastAsia" w:ascii="仿宋" w:hAnsi="仿宋" w:eastAsia="仿宋" w:cs="仿宋"/>
          <w:color w:val="auto"/>
          <w:kern w:val="0"/>
          <w:szCs w:val="21"/>
          <w:highlight w:val="none"/>
        </w:rPr>
        <w:fldChar w:fldCharType="end"/>
      </w:r>
    </w:p>
    <w:p w14:paraId="074AA448">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_Toc6344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24.废标</w:t>
      </w:r>
      <w:r>
        <w:tab/>
      </w:r>
      <w:r>
        <w:fldChar w:fldCharType="begin"/>
      </w:r>
      <w:r>
        <w:instrText xml:space="preserve"> PAGEREF _Toc6344 \h </w:instrText>
      </w:r>
      <w:r>
        <w:fldChar w:fldCharType="separate"/>
      </w:r>
      <w:r>
        <w:t>10</w:t>
      </w:r>
      <w:r>
        <w:fldChar w:fldCharType="end"/>
      </w:r>
      <w:r>
        <w:rPr>
          <w:rFonts w:hint="eastAsia" w:ascii="仿宋" w:hAnsi="仿宋" w:eastAsia="仿宋" w:cs="仿宋"/>
          <w:color w:val="auto"/>
          <w:kern w:val="0"/>
          <w:szCs w:val="21"/>
          <w:highlight w:val="none"/>
        </w:rPr>
        <w:fldChar w:fldCharType="end"/>
      </w:r>
    </w:p>
    <w:p w14:paraId="38FEF807">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_Toc24284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25.保密原则</w:t>
      </w:r>
      <w:r>
        <w:tab/>
      </w:r>
      <w:r>
        <w:fldChar w:fldCharType="begin"/>
      </w:r>
      <w:r>
        <w:instrText xml:space="preserve"> PAGEREF _Toc24284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0099F1E5">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_Toc28179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六   确定中标</w:t>
      </w:r>
      <w:r>
        <w:tab/>
      </w:r>
      <w:r>
        <w:fldChar w:fldCharType="begin"/>
      </w:r>
      <w:r>
        <w:instrText xml:space="preserve"> PAGEREF _Toc28179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767A59C7">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_Toc26955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26.中标候选人的确定原则及标准</w:t>
      </w:r>
      <w:r>
        <w:tab/>
      </w:r>
      <w:r>
        <w:fldChar w:fldCharType="begin"/>
      </w:r>
      <w:r>
        <w:instrText xml:space="preserve"> PAGEREF _Toc26955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2B4466B4">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_Toc21888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27.确定中标候选人和中标人</w:t>
      </w:r>
      <w:r>
        <w:tab/>
      </w:r>
      <w:r>
        <w:fldChar w:fldCharType="begin"/>
      </w:r>
      <w:r>
        <w:instrText xml:space="preserve"> PAGEREF _Toc21888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0E135B23">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_Toc11766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28.采购任务取消</w:t>
      </w:r>
      <w:r>
        <w:tab/>
      </w:r>
      <w:r>
        <w:fldChar w:fldCharType="begin"/>
      </w:r>
      <w:r>
        <w:instrText xml:space="preserve"> PAGEREF _Toc11766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647CDACF">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_Toc26946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29.中标通知书和招标结果通知书</w:t>
      </w:r>
      <w:r>
        <w:tab/>
      </w:r>
      <w:r>
        <w:fldChar w:fldCharType="begin"/>
      </w:r>
      <w:r>
        <w:instrText xml:space="preserve"> PAGEREF _Toc26946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35EEDF08">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_Toc21894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30.签订合同</w:t>
      </w:r>
      <w:r>
        <w:tab/>
      </w:r>
      <w:r>
        <w:fldChar w:fldCharType="begin"/>
      </w:r>
      <w:r>
        <w:instrText xml:space="preserve"> PAGEREF _Toc21894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1A305994">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_Toc12720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32.中标服务费</w:t>
      </w:r>
      <w:r>
        <w:tab/>
      </w:r>
      <w:r>
        <w:fldChar w:fldCharType="begin"/>
      </w:r>
      <w:r>
        <w:instrText xml:space="preserve"> PAGEREF _Toc12720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4298574E">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_Toc2044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33.政府采购信用担保</w:t>
      </w:r>
      <w:r>
        <w:tab/>
      </w:r>
      <w:r>
        <w:fldChar w:fldCharType="begin"/>
      </w:r>
      <w:r>
        <w:instrText xml:space="preserve"> PAGEREF _Toc2044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5B46CDEC">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_Toc7086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34.廉洁自律规定</w:t>
      </w:r>
      <w:r>
        <w:tab/>
      </w:r>
      <w:r>
        <w:fldChar w:fldCharType="begin"/>
      </w:r>
      <w:r>
        <w:instrText xml:space="preserve"> PAGEREF _Toc7086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746BD936">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_Toc22537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35.人员回避</w:t>
      </w:r>
      <w:r>
        <w:tab/>
      </w:r>
      <w:r>
        <w:fldChar w:fldCharType="begin"/>
      </w:r>
      <w:r>
        <w:instrText xml:space="preserve"> PAGEREF _Toc22537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4C61218A">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_Toc19222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36.质疑与</w:t>
      </w:r>
      <w:r>
        <w:rPr>
          <w:rFonts w:hint="eastAsia" w:ascii="仿宋" w:hAnsi="仿宋" w:eastAsia="仿宋" w:cs="仿宋"/>
          <w:highlight w:val="none"/>
          <w:lang w:eastAsia="zh-CN"/>
        </w:rPr>
        <w:t>投诉</w:t>
      </w:r>
      <w:r>
        <w:tab/>
      </w:r>
      <w:r>
        <w:fldChar w:fldCharType="begin"/>
      </w:r>
      <w:r>
        <w:instrText xml:space="preserve"> PAGEREF _Toc19222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52E80594">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_Toc29087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附件1：履约保证金保函（格式）</w:t>
      </w:r>
      <w:r>
        <w:tab/>
      </w:r>
      <w:r>
        <w:fldChar w:fldCharType="begin"/>
      </w:r>
      <w:r>
        <w:instrText xml:space="preserve"> PAGEREF _Toc29087 \h </w:instrText>
      </w:r>
      <w:r>
        <w:fldChar w:fldCharType="separate"/>
      </w:r>
      <w:r>
        <w:t>17</w:t>
      </w:r>
      <w:r>
        <w:fldChar w:fldCharType="end"/>
      </w:r>
      <w:r>
        <w:rPr>
          <w:rFonts w:hint="eastAsia" w:ascii="仿宋" w:hAnsi="仿宋" w:eastAsia="仿宋" w:cs="仿宋"/>
          <w:color w:val="auto"/>
          <w:kern w:val="0"/>
          <w:szCs w:val="21"/>
          <w:highlight w:val="none"/>
        </w:rPr>
        <w:fldChar w:fldCharType="end"/>
      </w:r>
    </w:p>
    <w:p w14:paraId="0BC57867">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_Toc31496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附件2：履约担保函格式</w:t>
      </w:r>
      <w:r>
        <w:tab/>
      </w:r>
      <w:r>
        <w:fldChar w:fldCharType="begin"/>
      </w:r>
      <w:r>
        <w:instrText xml:space="preserve"> PAGEREF _Toc31496 \h </w:instrText>
      </w:r>
      <w:r>
        <w:fldChar w:fldCharType="separate"/>
      </w:r>
      <w:r>
        <w:t>18</w:t>
      </w:r>
      <w:r>
        <w:fldChar w:fldCharType="end"/>
      </w:r>
      <w:r>
        <w:rPr>
          <w:rFonts w:hint="eastAsia" w:ascii="仿宋" w:hAnsi="仿宋" w:eastAsia="仿宋" w:cs="仿宋"/>
          <w:color w:val="auto"/>
          <w:kern w:val="0"/>
          <w:szCs w:val="21"/>
          <w:highlight w:val="none"/>
        </w:rPr>
        <w:fldChar w:fldCharType="end"/>
      </w:r>
    </w:p>
    <w:p w14:paraId="222C0FE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_Toc21982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（采用政府采购信用担保形式时使用）</w:t>
      </w:r>
      <w:r>
        <w:tab/>
      </w:r>
      <w:r>
        <w:fldChar w:fldCharType="begin"/>
      </w:r>
      <w:r>
        <w:instrText xml:space="preserve"> PAGEREF _Toc21982 \h </w:instrText>
      </w:r>
      <w:r>
        <w:fldChar w:fldCharType="separate"/>
      </w:r>
      <w:r>
        <w:t>18</w:t>
      </w:r>
      <w:r>
        <w:fldChar w:fldCharType="end"/>
      </w:r>
      <w:r>
        <w:rPr>
          <w:rFonts w:hint="eastAsia" w:ascii="仿宋" w:hAnsi="仿宋" w:eastAsia="仿宋" w:cs="仿宋"/>
          <w:color w:val="auto"/>
          <w:kern w:val="0"/>
          <w:szCs w:val="21"/>
          <w:highlight w:val="none"/>
        </w:rPr>
        <w:fldChar w:fldCharType="end"/>
      </w:r>
    </w:p>
    <w:p w14:paraId="76B38418">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_Toc27613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eastAsia="zh-CN"/>
        </w:rPr>
        <w:t>第</w:t>
      </w:r>
      <w:r>
        <w:rPr>
          <w:rFonts w:hint="eastAsia" w:ascii="仿宋" w:hAnsi="仿宋" w:eastAsia="仿宋" w:cs="仿宋"/>
          <w:highlight w:val="none"/>
          <w:lang w:val="en-US" w:eastAsia="zh-CN"/>
        </w:rPr>
        <w:t xml:space="preserve">2章    </w:t>
      </w:r>
      <w:r>
        <w:rPr>
          <w:rFonts w:hint="eastAsia" w:ascii="仿宋" w:hAnsi="仿宋" w:eastAsia="仿宋" w:cs="仿宋"/>
          <w:highlight w:val="none"/>
        </w:rPr>
        <w:t>投标文件格式</w:t>
      </w:r>
      <w:r>
        <w:tab/>
      </w:r>
      <w:r>
        <w:fldChar w:fldCharType="begin"/>
      </w:r>
      <w:r>
        <w:instrText xml:space="preserve"> PAGEREF _Toc27613 \h </w:instrText>
      </w:r>
      <w:r>
        <w:fldChar w:fldCharType="separate"/>
      </w:r>
      <w:r>
        <w:t>20</w:t>
      </w:r>
      <w:r>
        <w:fldChar w:fldCharType="end"/>
      </w:r>
      <w:r>
        <w:rPr>
          <w:rFonts w:hint="eastAsia" w:ascii="仿宋" w:hAnsi="仿宋" w:eastAsia="仿宋" w:cs="仿宋"/>
          <w:color w:val="auto"/>
          <w:kern w:val="0"/>
          <w:szCs w:val="21"/>
          <w:highlight w:val="none"/>
        </w:rPr>
        <w:fldChar w:fldCharType="end"/>
      </w:r>
    </w:p>
    <w:p w14:paraId="06BE11D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_Toc21320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第一部分 开标一览表及资格证明文件</w:t>
      </w:r>
      <w:r>
        <w:tab/>
      </w:r>
      <w:r>
        <w:fldChar w:fldCharType="begin"/>
      </w:r>
      <w:r>
        <w:instrText xml:space="preserve"> PAGEREF _Toc21320 \h </w:instrText>
      </w:r>
      <w:r>
        <w:fldChar w:fldCharType="separate"/>
      </w:r>
      <w:r>
        <w:t>20</w:t>
      </w:r>
      <w:r>
        <w:fldChar w:fldCharType="end"/>
      </w:r>
      <w:r>
        <w:rPr>
          <w:rFonts w:hint="eastAsia" w:ascii="仿宋" w:hAnsi="仿宋" w:eastAsia="仿宋" w:cs="仿宋"/>
          <w:color w:val="auto"/>
          <w:kern w:val="0"/>
          <w:szCs w:val="21"/>
          <w:highlight w:val="none"/>
        </w:rPr>
        <w:fldChar w:fldCharType="end"/>
      </w:r>
    </w:p>
    <w:p w14:paraId="6BC3A6A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_Toc2558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  开标一览表（投标文件格式一）</w:t>
      </w:r>
      <w:r>
        <w:tab/>
      </w:r>
      <w:r>
        <w:fldChar w:fldCharType="begin"/>
      </w:r>
      <w:r>
        <w:instrText xml:space="preserve"> PAGEREF _Toc2558 \h </w:instrText>
      </w:r>
      <w:r>
        <w:fldChar w:fldCharType="separate"/>
      </w:r>
      <w:r>
        <w:t>22</w:t>
      </w:r>
      <w:r>
        <w:fldChar w:fldCharType="end"/>
      </w:r>
      <w:r>
        <w:rPr>
          <w:rFonts w:hint="eastAsia" w:ascii="仿宋" w:hAnsi="仿宋" w:eastAsia="仿宋" w:cs="仿宋"/>
          <w:color w:val="auto"/>
          <w:kern w:val="0"/>
          <w:szCs w:val="21"/>
          <w:highlight w:val="none"/>
        </w:rPr>
        <w:fldChar w:fldCharType="end"/>
      </w:r>
    </w:p>
    <w:p w14:paraId="7F955C9D">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_Toc9064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 xml:space="preserve">2  </w:t>
      </w:r>
      <w:r>
        <w:rPr>
          <w:rFonts w:hint="eastAsia" w:ascii="仿宋" w:hAnsi="仿宋" w:eastAsia="仿宋" w:cs="仿宋"/>
          <w:highlight w:val="none"/>
          <w:lang w:eastAsia="zh-CN"/>
        </w:rPr>
        <w:t>法人或者非法人组织的营业执照等证明文件或自然人的身份证明</w:t>
      </w:r>
      <w:r>
        <w:tab/>
      </w:r>
      <w:r>
        <w:fldChar w:fldCharType="begin"/>
      </w:r>
      <w:r>
        <w:instrText xml:space="preserve"> PAGEREF _Toc9064 \h </w:instrText>
      </w:r>
      <w:r>
        <w:fldChar w:fldCharType="separate"/>
      </w:r>
      <w:r>
        <w:t>23</w:t>
      </w:r>
      <w:r>
        <w:fldChar w:fldCharType="end"/>
      </w:r>
      <w:r>
        <w:rPr>
          <w:rFonts w:hint="eastAsia" w:ascii="仿宋" w:hAnsi="仿宋" w:eastAsia="仿宋" w:cs="仿宋"/>
          <w:color w:val="auto"/>
          <w:kern w:val="0"/>
          <w:szCs w:val="21"/>
          <w:highlight w:val="none"/>
        </w:rPr>
        <w:fldChar w:fldCharType="end"/>
      </w:r>
    </w:p>
    <w:p w14:paraId="3FD8AC9E">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_Toc20787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 xml:space="preserve">3  </w:t>
      </w:r>
      <w:r>
        <w:rPr>
          <w:rFonts w:hint="eastAsia" w:ascii="仿宋" w:hAnsi="仿宋" w:eastAsia="仿宋" w:cs="仿宋"/>
          <w:szCs w:val="24"/>
        </w:rPr>
        <w:t>法定代表人资格证明书或法人授权委托书及被授权人身份证</w:t>
      </w:r>
      <w:r>
        <w:rPr>
          <w:rFonts w:hint="eastAsia" w:ascii="仿宋" w:hAnsi="仿宋" w:eastAsia="仿宋" w:cs="仿宋"/>
          <w:highlight w:val="none"/>
        </w:rPr>
        <w:t>(投标文件格式二，自然人投标的无需提供)</w:t>
      </w:r>
      <w:r>
        <w:tab/>
      </w:r>
      <w:r>
        <w:fldChar w:fldCharType="begin"/>
      </w:r>
      <w:r>
        <w:instrText xml:space="preserve"> PAGEREF _Toc20787 \h </w:instrText>
      </w:r>
      <w:r>
        <w:fldChar w:fldCharType="separate"/>
      </w:r>
      <w:r>
        <w:t>24</w:t>
      </w:r>
      <w:r>
        <w:fldChar w:fldCharType="end"/>
      </w:r>
      <w:r>
        <w:rPr>
          <w:rFonts w:hint="eastAsia" w:ascii="仿宋" w:hAnsi="仿宋" w:eastAsia="仿宋" w:cs="仿宋"/>
          <w:color w:val="auto"/>
          <w:kern w:val="0"/>
          <w:szCs w:val="21"/>
          <w:highlight w:val="none"/>
        </w:rPr>
        <w:fldChar w:fldCharType="end"/>
      </w:r>
    </w:p>
    <w:p w14:paraId="284686B2">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_Toc423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3.1法定代表人身份证明</w:t>
      </w:r>
      <w:r>
        <w:tab/>
      </w:r>
      <w:r>
        <w:fldChar w:fldCharType="begin"/>
      </w:r>
      <w:r>
        <w:instrText xml:space="preserve"> PAGEREF _Toc423 \h </w:instrText>
      </w:r>
      <w:r>
        <w:fldChar w:fldCharType="separate"/>
      </w:r>
      <w:r>
        <w:t>24</w:t>
      </w:r>
      <w:r>
        <w:fldChar w:fldCharType="end"/>
      </w:r>
      <w:r>
        <w:rPr>
          <w:rFonts w:hint="eastAsia" w:ascii="仿宋" w:hAnsi="仿宋" w:eastAsia="仿宋" w:cs="仿宋"/>
          <w:color w:val="auto"/>
          <w:kern w:val="0"/>
          <w:szCs w:val="21"/>
          <w:highlight w:val="none"/>
        </w:rPr>
        <w:fldChar w:fldCharType="end"/>
      </w:r>
    </w:p>
    <w:p w14:paraId="0D73709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_Toc2816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3.2法定代表人授权委托书</w:t>
      </w:r>
      <w:r>
        <w:tab/>
      </w:r>
      <w:r>
        <w:fldChar w:fldCharType="begin"/>
      </w:r>
      <w:r>
        <w:instrText xml:space="preserve"> PAGEREF _Toc2816 \h </w:instrText>
      </w:r>
      <w:r>
        <w:fldChar w:fldCharType="separate"/>
      </w:r>
      <w:r>
        <w:t>25</w:t>
      </w:r>
      <w:r>
        <w:fldChar w:fldCharType="end"/>
      </w:r>
      <w:r>
        <w:rPr>
          <w:rFonts w:hint="eastAsia" w:ascii="仿宋" w:hAnsi="仿宋" w:eastAsia="仿宋" w:cs="仿宋"/>
          <w:color w:val="auto"/>
          <w:kern w:val="0"/>
          <w:szCs w:val="21"/>
          <w:highlight w:val="none"/>
        </w:rPr>
        <w:fldChar w:fldCharType="end"/>
      </w:r>
    </w:p>
    <w:p w14:paraId="0393A6A5">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_Toc1612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4  </w:t>
      </w:r>
      <w:r>
        <w:rPr>
          <w:rFonts w:hint="eastAsia" w:ascii="仿宋" w:hAnsi="仿宋" w:eastAsia="仿宋" w:cs="仿宋"/>
          <w:highlight w:val="none"/>
          <w:lang w:eastAsia="zh-CN"/>
        </w:rPr>
        <w:t>近期（投标截止日期前六个月内任意一个月）依法缴纳社会保障金的缴费证明或银行出具的“银行电子缴纳社会保障金付款凭证”（新成立公司提供相关证明文件）</w:t>
      </w:r>
      <w:r>
        <w:tab/>
      </w:r>
      <w:r>
        <w:fldChar w:fldCharType="begin"/>
      </w:r>
      <w:r>
        <w:instrText xml:space="preserve"> PAGEREF _Toc1612 \h </w:instrText>
      </w:r>
      <w:r>
        <w:fldChar w:fldCharType="separate"/>
      </w:r>
      <w:r>
        <w:t>26</w:t>
      </w:r>
      <w:r>
        <w:fldChar w:fldCharType="end"/>
      </w:r>
      <w:r>
        <w:rPr>
          <w:rFonts w:hint="eastAsia" w:ascii="仿宋" w:hAnsi="仿宋" w:eastAsia="仿宋" w:cs="仿宋"/>
          <w:color w:val="auto"/>
          <w:kern w:val="0"/>
          <w:szCs w:val="21"/>
          <w:highlight w:val="none"/>
        </w:rPr>
        <w:fldChar w:fldCharType="end"/>
      </w:r>
    </w:p>
    <w:p w14:paraId="04B630B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_Toc22546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5  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r>
        <w:tab/>
      </w:r>
      <w:r>
        <w:fldChar w:fldCharType="begin"/>
      </w:r>
      <w:r>
        <w:instrText xml:space="preserve"> PAGEREF _Toc22546 \h </w:instrText>
      </w:r>
      <w:r>
        <w:fldChar w:fldCharType="separate"/>
      </w:r>
      <w:r>
        <w:t>27</w:t>
      </w:r>
      <w:r>
        <w:fldChar w:fldCharType="end"/>
      </w:r>
      <w:r>
        <w:rPr>
          <w:rFonts w:hint="eastAsia" w:ascii="仿宋" w:hAnsi="仿宋" w:eastAsia="仿宋" w:cs="仿宋"/>
          <w:color w:val="auto"/>
          <w:kern w:val="0"/>
          <w:szCs w:val="21"/>
          <w:highlight w:val="none"/>
        </w:rPr>
        <w:fldChar w:fldCharType="end"/>
      </w:r>
    </w:p>
    <w:p w14:paraId="2B28A0C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_Toc15020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6  良好的商业信誉和健全的财务会计制度证明材料原件（2023年或2024年的年度财务审计报告书；2025年成立公司提供银行资信证明）</w:t>
      </w:r>
      <w:r>
        <w:tab/>
      </w:r>
      <w:r>
        <w:fldChar w:fldCharType="begin"/>
      </w:r>
      <w:r>
        <w:instrText xml:space="preserve"> PAGEREF _Toc15020 \h </w:instrText>
      </w:r>
      <w:r>
        <w:fldChar w:fldCharType="separate"/>
      </w:r>
      <w:r>
        <w:t>28</w:t>
      </w:r>
      <w:r>
        <w:fldChar w:fldCharType="end"/>
      </w:r>
      <w:r>
        <w:rPr>
          <w:rFonts w:hint="eastAsia" w:ascii="仿宋" w:hAnsi="仿宋" w:eastAsia="仿宋" w:cs="仿宋"/>
          <w:color w:val="auto"/>
          <w:kern w:val="0"/>
          <w:szCs w:val="21"/>
          <w:highlight w:val="none"/>
        </w:rPr>
        <w:fldChar w:fldCharType="end"/>
      </w:r>
    </w:p>
    <w:p w14:paraId="2E26A8E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_Toc25162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7  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tab/>
      </w:r>
      <w:r>
        <w:fldChar w:fldCharType="begin"/>
      </w:r>
      <w:r>
        <w:instrText xml:space="preserve"> PAGEREF _Toc25162 \h </w:instrText>
      </w:r>
      <w:r>
        <w:fldChar w:fldCharType="separate"/>
      </w:r>
      <w:r>
        <w:t>29</w:t>
      </w:r>
      <w:r>
        <w:fldChar w:fldCharType="end"/>
      </w:r>
      <w:r>
        <w:rPr>
          <w:rFonts w:hint="eastAsia" w:ascii="仿宋" w:hAnsi="仿宋" w:eastAsia="仿宋" w:cs="仿宋"/>
          <w:color w:val="auto"/>
          <w:kern w:val="0"/>
          <w:szCs w:val="21"/>
          <w:highlight w:val="none"/>
        </w:rPr>
        <w:fldChar w:fldCharType="end"/>
      </w:r>
    </w:p>
    <w:p w14:paraId="55EBBE7A">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_Toc14236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8  供应商具备履行合同所必需的设备和专业技术能力的证明材料（投标格式三）</w:t>
      </w:r>
      <w:r>
        <w:tab/>
      </w:r>
      <w:r>
        <w:fldChar w:fldCharType="begin"/>
      </w:r>
      <w:r>
        <w:instrText xml:space="preserve"> PAGEREF _Toc14236 \h </w:instrText>
      </w:r>
      <w:r>
        <w:fldChar w:fldCharType="separate"/>
      </w:r>
      <w:r>
        <w:t>30</w:t>
      </w:r>
      <w:r>
        <w:fldChar w:fldCharType="end"/>
      </w:r>
      <w:r>
        <w:rPr>
          <w:rFonts w:hint="eastAsia" w:ascii="仿宋" w:hAnsi="仿宋" w:eastAsia="仿宋" w:cs="仿宋"/>
          <w:color w:val="auto"/>
          <w:kern w:val="0"/>
          <w:szCs w:val="21"/>
          <w:highlight w:val="none"/>
        </w:rPr>
        <w:fldChar w:fldCharType="end"/>
      </w:r>
    </w:p>
    <w:p w14:paraId="1C292D7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_Toc25555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8.1</w:t>
      </w:r>
      <w:r>
        <w:rPr>
          <w:rFonts w:hint="eastAsia" w:ascii="仿宋" w:hAnsi="仿宋" w:eastAsia="仿宋" w:cs="仿宋"/>
          <w:kern w:val="0"/>
          <w:highlight w:val="none"/>
          <w:lang w:val="en-US" w:eastAsia="zh-CN"/>
        </w:rPr>
        <w:t>具备履行合同所必需的设备和专业技术能力的承诺</w:t>
      </w:r>
      <w:r>
        <w:tab/>
      </w:r>
      <w:r>
        <w:fldChar w:fldCharType="begin"/>
      </w:r>
      <w:r>
        <w:instrText xml:space="preserve"> PAGEREF _Toc25555 \h </w:instrText>
      </w:r>
      <w:r>
        <w:fldChar w:fldCharType="separate"/>
      </w:r>
      <w:r>
        <w:t>30</w:t>
      </w:r>
      <w:r>
        <w:fldChar w:fldCharType="end"/>
      </w:r>
      <w:r>
        <w:rPr>
          <w:rFonts w:hint="eastAsia" w:ascii="仿宋" w:hAnsi="仿宋" w:eastAsia="仿宋" w:cs="仿宋"/>
          <w:color w:val="auto"/>
          <w:kern w:val="0"/>
          <w:szCs w:val="21"/>
          <w:highlight w:val="none"/>
        </w:rPr>
        <w:fldChar w:fldCharType="end"/>
      </w:r>
    </w:p>
    <w:p w14:paraId="005DDA89">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_Toc26781 </w:instrText>
      </w:r>
      <w:r>
        <w:rPr>
          <w:rFonts w:hint="eastAsia" w:ascii="仿宋" w:hAnsi="仿宋" w:eastAsia="仿宋" w:cs="仿宋"/>
          <w:kern w:val="0"/>
          <w:szCs w:val="21"/>
          <w:highlight w:val="none"/>
        </w:rPr>
        <w:fldChar w:fldCharType="separate"/>
      </w:r>
      <w:r>
        <w:rPr>
          <w:rFonts w:hint="eastAsia" w:ascii="仿宋" w:hAnsi="仿宋" w:eastAsia="仿宋" w:cs="仿宋"/>
          <w:kern w:val="0"/>
          <w:lang w:val="en-US" w:eastAsia="zh-CN"/>
        </w:rPr>
        <w:t>8.2具备履行合同所必须的设备表</w:t>
      </w:r>
      <w:r>
        <w:tab/>
      </w:r>
      <w:r>
        <w:fldChar w:fldCharType="begin"/>
      </w:r>
      <w:r>
        <w:instrText xml:space="preserve"> PAGEREF _Toc26781 \h </w:instrText>
      </w:r>
      <w:r>
        <w:fldChar w:fldCharType="separate"/>
      </w:r>
      <w:r>
        <w:t>31</w:t>
      </w:r>
      <w:r>
        <w:fldChar w:fldCharType="end"/>
      </w:r>
      <w:r>
        <w:rPr>
          <w:rFonts w:hint="eastAsia" w:ascii="仿宋" w:hAnsi="仿宋" w:eastAsia="仿宋" w:cs="仿宋"/>
          <w:color w:val="auto"/>
          <w:kern w:val="0"/>
          <w:szCs w:val="21"/>
          <w:highlight w:val="none"/>
        </w:rPr>
        <w:fldChar w:fldCharType="end"/>
      </w:r>
    </w:p>
    <w:p w14:paraId="13F74B9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_Toc21535 </w:instrText>
      </w:r>
      <w:r>
        <w:rPr>
          <w:rFonts w:hint="eastAsia" w:ascii="仿宋" w:hAnsi="仿宋" w:eastAsia="仿宋" w:cs="仿宋"/>
          <w:kern w:val="0"/>
          <w:szCs w:val="21"/>
          <w:highlight w:val="none"/>
        </w:rPr>
        <w:fldChar w:fldCharType="separate"/>
      </w:r>
      <w:r>
        <w:rPr>
          <w:rFonts w:hint="eastAsia" w:ascii="仿宋" w:hAnsi="仿宋" w:eastAsia="仿宋" w:cs="仿宋"/>
          <w:kern w:val="0"/>
          <w:lang w:val="en-US" w:eastAsia="zh-CN"/>
        </w:rPr>
        <w:t>8.3具备履行合同所必须的专业技术能力表</w:t>
      </w:r>
      <w:r>
        <w:tab/>
      </w:r>
      <w:r>
        <w:fldChar w:fldCharType="begin"/>
      </w:r>
      <w:r>
        <w:instrText xml:space="preserve"> PAGEREF _Toc21535 \h </w:instrText>
      </w:r>
      <w:r>
        <w:fldChar w:fldCharType="separate"/>
      </w:r>
      <w:r>
        <w:t>32</w:t>
      </w:r>
      <w:r>
        <w:fldChar w:fldCharType="end"/>
      </w:r>
      <w:r>
        <w:rPr>
          <w:rFonts w:hint="eastAsia" w:ascii="仿宋" w:hAnsi="仿宋" w:eastAsia="仿宋" w:cs="仿宋"/>
          <w:color w:val="auto"/>
          <w:kern w:val="0"/>
          <w:szCs w:val="21"/>
          <w:highlight w:val="none"/>
        </w:rPr>
        <w:fldChar w:fldCharType="end"/>
      </w:r>
    </w:p>
    <w:p w14:paraId="79638CA1">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_Toc8553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9  具有履行合同所必需的设备和专业技术能力的证明材料；</w:t>
      </w:r>
      <w:r>
        <w:tab/>
      </w:r>
      <w:r>
        <w:fldChar w:fldCharType="begin"/>
      </w:r>
      <w:r>
        <w:instrText xml:space="preserve"> PAGEREF _Toc8553 \h </w:instrText>
      </w:r>
      <w:r>
        <w:fldChar w:fldCharType="separate"/>
      </w:r>
      <w:r>
        <w:t>33</w:t>
      </w:r>
      <w:r>
        <w:fldChar w:fldCharType="end"/>
      </w:r>
      <w:r>
        <w:rPr>
          <w:rFonts w:hint="eastAsia" w:ascii="仿宋" w:hAnsi="仿宋" w:eastAsia="仿宋" w:cs="仿宋"/>
          <w:color w:val="auto"/>
          <w:kern w:val="0"/>
          <w:szCs w:val="21"/>
          <w:highlight w:val="none"/>
        </w:rPr>
        <w:fldChar w:fldCharType="end"/>
      </w:r>
    </w:p>
    <w:p w14:paraId="33DB3019">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_Toc20944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10  </w:t>
      </w:r>
      <w:r>
        <w:rPr>
          <w:rFonts w:hint="eastAsia" w:ascii="仿宋" w:hAnsi="仿宋" w:eastAsia="仿宋" w:cs="仿宋"/>
          <w:highlight w:val="none"/>
        </w:rPr>
        <w:t>参加政府采购活动前3年内在经营活动中没有重大违法记录的书面声明</w:t>
      </w:r>
      <w:r>
        <w:rPr>
          <w:rFonts w:hint="eastAsia" w:ascii="仿宋" w:hAnsi="仿宋" w:eastAsia="仿宋" w:cs="仿宋"/>
          <w:highlight w:val="none"/>
          <w:lang w:eastAsia="zh-CN"/>
        </w:rPr>
        <w:t>；</w:t>
      </w:r>
      <w:r>
        <w:tab/>
      </w:r>
      <w:r>
        <w:fldChar w:fldCharType="begin"/>
      </w:r>
      <w:r>
        <w:instrText xml:space="preserve"> PAGEREF _Toc20944 \h </w:instrText>
      </w:r>
      <w:r>
        <w:fldChar w:fldCharType="separate"/>
      </w:r>
      <w:r>
        <w:t>33</w:t>
      </w:r>
      <w:r>
        <w:fldChar w:fldCharType="end"/>
      </w:r>
      <w:r>
        <w:rPr>
          <w:rFonts w:hint="eastAsia" w:ascii="仿宋" w:hAnsi="仿宋" w:eastAsia="仿宋" w:cs="仿宋"/>
          <w:color w:val="auto"/>
          <w:kern w:val="0"/>
          <w:szCs w:val="21"/>
          <w:highlight w:val="none"/>
        </w:rPr>
        <w:fldChar w:fldCharType="end"/>
      </w:r>
    </w:p>
    <w:p w14:paraId="13DAC88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_Toc24761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11</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rPr>
        <w:t>投标保证金缴纳凭证或投标担保函</w:t>
      </w:r>
      <w:r>
        <w:tab/>
      </w:r>
      <w:r>
        <w:fldChar w:fldCharType="begin"/>
      </w:r>
      <w:r>
        <w:instrText xml:space="preserve"> PAGEREF _Toc24761 \h </w:instrText>
      </w:r>
      <w:r>
        <w:fldChar w:fldCharType="separate"/>
      </w:r>
      <w:r>
        <w:t>34</w:t>
      </w:r>
      <w:r>
        <w:fldChar w:fldCharType="end"/>
      </w:r>
      <w:r>
        <w:rPr>
          <w:rFonts w:hint="eastAsia" w:ascii="仿宋" w:hAnsi="仿宋" w:eastAsia="仿宋" w:cs="仿宋"/>
          <w:color w:val="auto"/>
          <w:kern w:val="0"/>
          <w:szCs w:val="21"/>
          <w:highlight w:val="none"/>
        </w:rPr>
        <w:fldChar w:fldCharType="end"/>
      </w:r>
    </w:p>
    <w:p w14:paraId="6B4E9212">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_Toc22736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12  </w:t>
      </w:r>
      <w:r>
        <w:rPr>
          <w:rFonts w:hint="eastAsia" w:ascii="仿宋" w:hAnsi="仿宋" w:eastAsia="仿宋" w:cs="仿宋"/>
          <w:highlight w:val="none"/>
        </w:rPr>
        <w:t>投标人须知资料表要求的其他资格证明文件</w:t>
      </w:r>
      <w:r>
        <w:tab/>
      </w:r>
      <w:r>
        <w:fldChar w:fldCharType="begin"/>
      </w:r>
      <w:r>
        <w:instrText xml:space="preserve"> PAGEREF _Toc22736 \h </w:instrText>
      </w:r>
      <w:r>
        <w:fldChar w:fldCharType="separate"/>
      </w:r>
      <w:r>
        <w:t>36</w:t>
      </w:r>
      <w:r>
        <w:fldChar w:fldCharType="end"/>
      </w:r>
      <w:r>
        <w:rPr>
          <w:rFonts w:hint="eastAsia" w:ascii="仿宋" w:hAnsi="仿宋" w:eastAsia="仿宋" w:cs="仿宋"/>
          <w:color w:val="auto"/>
          <w:kern w:val="0"/>
          <w:szCs w:val="21"/>
          <w:highlight w:val="none"/>
        </w:rPr>
        <w:fldChar w:fldCharType="end"/>
      </w:r>
    </w:p>
    <w:p w14:paraId="6F4112C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_Toc12936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第二部分  商务及技术文件</w:t>
      </w:r>
      <w:r>
        <w:tab/>
      </w:r>
      <w:r>
        <w:fldChar w:fldCharType="begin"/>
      </w:r>
      <w:r>
        <w:instrText xml:space="preserve"> PAGEREF _Toc12936 \h </w:instrText>
      </w:r>
      <w:r>
        <w:fldChar w:fldCharType="separate"/>
      </w:r>
      <w:r>
        <w:t>37</w:t>
      </w:r>
      <w:r>
        <w:fldChar w:fldCharType="end"/>
      </w:r>
      <w:r>
        <w:rPr>
          <w:rFonts w:hint="eastAsia" w:ascii="仿宋" w:hAnsi="仿宋" w:eastAsia="仿宋" w:cs="仿宋"/>
          <w:color w:val="auto"/>
          <w:kern w:val="0"/>
          <w:szCs w:val="21"/>
          <w:highlight w:val="none"/>
        </w:rPr>
        <w:fldChar w:fldCharType="end"/>
      </w:r>
    </w:p>
    <w:p w14:paraId="3CD956B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_Toc3612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1   投标书（投标文件格式</w:t>
      </w:r>
      <w:r>
        <w:rPr>
          <w:rFonts w:hint="eastAsia" w:ascii="仿宋" w:hAnsi="仿宋" w:eastAsia="仿宋" w:cs="仿宋"/>
          <w:szCs w:val="24"/>
          <w:lang w:eastAsia="zh-CN"/>
        </w:rPr>
        <w:t>五</w:t>
      </w:r>
      <w:r>
        <w:rPr>
          <w:rFonts w:hint="eastAsia" w:ascii="仿宋" w:hAnsi="仿宋" w:eastAsia="仿宋" w:cs="仿宋"/>
          <w:szCs w:val="24"/>
        </w:rPr>
        <w:t>）</w:t>
      </w:r>
      <w:r>
        <w:tab/>
      </w:r>
      <w:r>
        <w:fldChar w:fldCharType="begin"/>
      </w:r>
      <w:r>
        <w:instrText xml:space="preserve"> PAGEREF _Toc3612 \h </w:instrText>
      </w:r>
      <w:r>
        <w:fldChar w:fldCharType="separate"/>
      </w:r>
      <w:r>
        <w:t>38</w:t>
      </w:r>
      <w:r>
        <w:fldChar w:fldCharType="end"/>
      </w:r>
      <w:r>
        <w:rPr>
          <w:rFonts w:hint="eastAsia" w:ascii="仿宋" w:hAnsi="仿宋" w:eastAsia="仿宋" w:cs="仿宋"/>
          <w:color w:val="auto"/>
          <w:kern w:val="0"/>
          <w:szCs w:val="21"/>
          <w:highlight w:val="none"/>
        </w:rPr>
        <w:fldChar w:fldCharType="end"/>
      </w:r>
    </w:p>
    <w:p w14:paraId="1A20D1C4">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_Toc29980 </w:instrText>
      </w:r>
      <w:r>
        <w:rPr>
          <w:rFonts w:hint="eastAsia" w:ascii="仿宋" w:hAnsi="仿宋" w:eastAsia="仿宋" w:cs="仿宋"/>
          <w:kern w:val="0"/>
          <w:szCs w:val="21"/>
          <w:highlight w:val="none"/>
        </w:rPr>
        <w:fldChar w:fldCharType="separate"/>
      </w:r>
      <w:r>
        <w:rPr>
          <w:rFonts w:hint="eastAsia" w:ascii="仿宋" w:hAnsi="仿宋" w:eastAsia="仿宋" w:cs="仿宋"/>
        </w:rPr>
        <w:t>2   投标保证金缴纳凭证或投标担保函</w:t>
      </w:r>
      <w:r>
        <w:tab/>
      </w:r>
      <w:r>
        <w:fldChar w:fldCharType="begin"/>
      </w:r>
      <w:r>
        <w:instrText xml:space="preserve"> PAGEREF _Toc29980 \h </w:instrText>
      </w:r>
      <w:r>
        <w:fldChar w:fldCharType="separate"/>
      </w:r>
      <w:r>
        <w:t>39</w:t>
      </w:r>
      <w:r>
        <w:fldChar w:fldCharType="end"/>
      </w:r>
      <w:r>
        <w:rPr>
          <w:rFonts w:hint="eastAsia" w:ascii="仿宋" w:hAnsi="仿宋" w:eastAsia="仿宋" w:cs="仿宋"/>
          <w:color w:val="auto"/>
          <w:kern w:val="0"/>
          <w:szCs w:val="21"/>
          <w:highlight w:val="none"/>
        </w:rPr>
        <w:fldChar w:fldCharType="end"/>
      </w:r>
    </w:p>
    <w:p w14:paraId="7951063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_Toc30490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 xml:space="preserve">3   </w:t>
      </w:r>
      <w:r>
        <w:rPr>
          <w:rFonts w:hint="eastAsia" w:ascii="仿宋" w:hAnsi="仿宋" w:eastAsia="仿宋" w:cs="仿宋"/>
          <w:szCs w:val="24"/>
          <w:lang w:val="en-US" w:eastAsia="zh-CN"/>
        </w:rPr>
        <w:t>服务</w:t>
      </w:r>
      <w:r>
        <w:rPr>
          <w:rFonts w:hint="eastAsia" w:ascii="仿宋" w:hAnsi="仿宋" w:eastAsia="仿宋" w:cs="仿宋"/>
          <w:szCs w:val="24"/>
        </w:rPr>
        <w:t>分项报价表（</w:t>
      </w:r>
      <w:r>
        <w:rPr>
          <w:rFonts w:hint="eastAsia" w:ascii="仿宋" w:hAnsi="仿宋" w:eastAsia="仿宋" w:cs="仿宋"/>
          <w:szCs w:val="24"/>
          <w:lang w:val="en-US" w:eastAsia="zh-CN"/>
        </w:rPr>
        <w:t>招标</w:t>
      </w:r>
      <w:r>
        <w:rPr>
          <w:rFonts w:hint="eastAsia" w:ascii="仿宋" w:hAnsi="仿宋" w:eastAsia="仿宋" w:cs="仿宋"/>
          <w:szCs w:val="24"/>
        </w:rPr>
        <w:t>文件格式七）</w:t>
      </w:r>
      <w:r>
        <w:tab/>
      </w:r>
      <w:r>
        <w:fldChar w:fldCharType="begin"/>
      </w:r>
      <w:r>
        <w:instrText xml:space="preserve"> PAGEREF _Toc30490 \h </w:instrText>
      </w:r>
      <w:r>
        <w:fldChar w:fldCharType="separate"/>
      </w:r>
      <w:r>
        <w:t>41</w:t>
      </w:r>
      <w:r>
        <w:fldChar w:fldCharType="end"/>
      </w:r>
      <w:r>
        <w:rPr>
          <w:rFonts w:hint="eastAsia" w:ascii="仿宋" w:hAnsi="仿宋" w:eastAsia="仿宋" w:cs="仿宋"/>
          <w:color w:val="auto"/>
          <w:kern w:val="0"/>
          <w:szCs w:val="21"/>
          <w:highlight w:val="none"/>
        </w:rPr>
        <w:fldChar w:fldCharType="end"/>
      </w:r>
    </w:p>
    <w:p w14:paraId="55A59A04">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_Toc8085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 xml:space="preserve">4   </w:t>
      </w:r>
      <w:r>
        <w:rPr>
          <w:rFonts w:hint="eastAsia" w:ascii="仿宋" w:hAnsi="仿宋" w:eastAsia="仿宋" w:cs="仿宋"/>
          <w:szCs w:val="24"/>
          <w:lang w:eastAsia="zh-CN"/>
        </w:rPr>
        <w:t>服务</w:t>
      </w:r>
      <w:r>
        <w:rPr>
          <w:rFonts w:hint="eastAsia" w:ascii="仿宋" w:hAnsi="仿宋" w:eastAsia="仿宋" w:cs="仿宋"/>
          <w:szCs w:val="24"/>
        </w:rPr>
        <w:t>说明一览表（投标文件格式八）</w:t>
      </w:r>
      <w:r>
        <w:tab/>
      </w:r>
      <w:r>
        <w:fldChar w:fldCharType="begin"/>
      </w:r>
      <w:r>
        <w:instrText xml:space="preserve"> PAGEREF _Toc8085 \h </w:instrText>
      </w:r>
      <w:r>
        <w:fldChar w:fldCharType="separate"/>
      </w:r>
      <w:r>
        <w:t>42</w:t>
      </w:r>
      <w:r>
        <w:fldChar w:fldCharType="end"/>
      </w:r>
      <w:r>
        <w:rPr>
          <w:rFonts w:hint="eastAsia" w:ascii="仿宋" w:hAnsi="仿宋" w:eastAsia="仿宋" w:cs="仿宋"/>
          <w:color w:val="auto"/>
          <w:kern w:val="0"/>
          <w:szCs w:val="21"/>
          <w:highlight w:val="none"/>
        </w:rPr>
        <w:fldChar w:fldCharType="end"/>
      </w:r>
    </w:p>
    <w:p w14:paraId="58BBEB32">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_Toc24689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5   技术规格偏离表（投标文件格式九）</w:t>
      </w:r>
      <w:r>
        <w:tab/>
      </w:r>
      <w:r>
        <w:fldChar w:fldCharType="begin"/>
      </w:r>
      <w:r>
        <w:instrText xml:space="preserve"> PAGEREF _Toc24689 \h </w:instrText>
      </w:r>
      <w:r>
        <w:fldChar w:fldCharType="separate"/>
      </w:r>
      <w:r>
        <w:t>43</w:t>
      </w:r>
      <w:r>
        <w:fldChar w:fldCharType="end"/>
      </w:r>
      <w:r>
        <w:rPr>
          <w:rFonts w:hint="eastAsia" w:ascii="仿宋" w:hAnsi="仿宋" w:eastAsia="仿宋" w:cs="仿宋"/>
          <w:color w:val="auto"/>
          <w:kern w:val="0"/>
          <w:szCs w:val="21"/>
          <w:highlight w:val="none"/>
        </w:rPr>
        <w:fldChar w:fldCharType="end"/>
      </w:r>
    </w:p>
    <w:p w14:paraId="0C759AB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_Toc24034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6   商务条款偏离表（投标文件格式十）</w:t>
      </w:r>
      <w:r>
        <w:tab/>
      </w:r>
      <w:r>
        <w:fldChar w:fldCharType="begin"/>
      </w:r>
      <w:r>
        <w:instrText xml:space="preserve"> PAGEREF _Toc24034 \h </w:instrText>
      </w:r>
      <w:r>
        <w:fldChar w:fldCharType="separate"/>
      </w:r>
      <w:r>
        <w:t>44</w:t>
      </w:r>
      <w:r>
        <w:fldChar w:fldCharType="end"/>
      </w:r>
      <w:r>
        <w:rPr>
          <w:rFonts w:hint="eastAsia" w:ascii="仿宋" w:hAnsi="仿宋" w:eastAsia="仿宋" w:cs="仿宋"/>
          <w:color w:val="auto"/>
          <w:kern w:val="0"/>
          <w:szCs w:val="21"/>
          <w:highlight w:val="none"/>
        </w:rPr>
        <w:fldChar w:fldCharType="end"/>
      </w:r>
    </w:p>
    <w:p w14:paraId="2E981DF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_Toc6324 </w:instrText>
      </w:r>
      <w:r>
        <w:rPr>
          <w:rFonts w:hint="eastAsia" w:ascii="仿宋" w:hAnsi="仿宋" w:eastAsia="仿宋" w:cs="仿宋"/>
          <w:kern w:val="0"/>
          <w:szCs w:val="21"/>
          <w:highlight w:val="none"/>
        </w:rPr>
        <w:fldChar w:fldCharType="separate"/>
      </w:r>
      <w:r>
        <w:rPr>
          <w:rFonts w:hint="eastAsia" w:ascii="仿宋" w:hAnsi="仿宋" w:eastAsia="仿宋" w:cs="仿宋"/>
          <w:kern w:val="0"/>
          <w:szCs w:val="24"/>
          <w:lang w:val="en-US" w:eastAsia="zh-CN" w:bidi="ar-SA"/>
        </w:rPr>
        <w:t>7 中小企业声明函</w:t>
      </w:r>
      <w:r>
        <w:tab/>
      </w:r>
      <w:r>
        <w:fldChar w:fldCharType="begin"/>
      </w:r>
      <w:r>
        <w:instrText xml:space="preserve"> PAGEREF _Toc6324 \h </w:instrText>
      </w:r>
      <w:r>
        <w:fldChar w:fldCharType="separate"/>
      </w:r>
      <w:r>
        <w:t>45</w:t>
      </w:r>
      <w:r>
        <w:fldChar w:fldCharType="end"/>
      </w:r>
      <w:r>
        <w:rPr>
          <w:rFonts w:hint="eastAsia" w:ascii="仿宋" w:hAnsi="仿宋" w:eastAsia="仿宋" w:cs="仿宋"/>
          <w:color w:val="auto"/>
          <w:kern w:val="0"/>
          <w:szCs w:val="21"/>
          <w:highlight w:val="none"/>
        </w:rPr>
        <w:fldChar w:fldCharType="end"/>
      </w:r>
    </w:p>
    <w:p w14:paraId="48C9BC1E">
      <w:pPr>
        <w:pStyle w:val="16"/>
        <w:tabs>
          <w:tab w:val="right" w:leader="dot" w:pos="8312"/>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_Toc13625 </w:instrText>
      </w:r>
      <w:r>
        <w:rPr>
          <w:rFonts w:hint="eastAsia" w:ascii="仿宋" w:hAnsi="仿宋" w:eastAsia="仿宋" w:cs="仿宋"/>
          <w:kern w:val="0"/>
          <w:szCs w:val="21"/>
          <w:highlight w:val="none"/>
        </w:rPr>
        <w:fldChar w:fldCharType="separate"/>
      </w:r>
      <w:r>
        <w:rPr>
          <w:rFonts w:hint="eastAsia" w:ascii="仿宋" w:hAnsi="仿宋" w:eastAsia="仿宋" w:cs="仿宋"/>
          <w:kern w:val="0"/>
          <w:szCs w:val="24"/>
          <w:lang w:val="en-US" w:eastAsia="zh-CN" w:bidi="ar-SA"/>
        </w:rPr>
        <w:t>7-1、中小企业声明函（工程、服务）</w:t>
      </w:r>
      <w:r>
        <w:tab/>
      </w:r>
      <w:r>
        <w:fldChar w:fldCharType="begin"/>
      </w:r>
      <w:r>
        <w:instrText xml:space="preserve"> PAGEREF _Toc13625 \h </w:instrText>
      </w:r>
      <w:r>
        <w:fldChar w:fldCharType="separate"/>
      </w:r>
      <w:r>
        <w:t>45</w:t>
      </w:r>
      <w:r>
        <w:fldChar w:fldCharType="end"/>
      </w:r>
      <w:r>
        <w:rPr>
          <w:rFonts w:hint="eastAsia" w:ascii="仿宋" w:hAnsi="仿宋" w:eastAsia="仿宋" w:cs="仿宋"/>
          <w:color w:val="auto"/>
          <w:kern w:val="0"/>
          <w:szCs w:val="21"/>
          <w:highlight w:val="none"/>
        </w:rPr>
        <w:fldChar w:fldCharType="end"/>
      </w:r>
    </w:p>
    <w:p w14:paraId="701C5565">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_Toc1385 </w:instrText>
      </w:r>
      <w:r>
        <w:rPr>
          <w:rFonts w:hint="eastAsia" w:ascii="仿宋" w:hAnsi="仿宋" w:eastAsia="仿宋" w:cs="仿宋"/>
          <w:kern w:val="0"/>
          <w:szCs w:val="21"/>
          <w:highlight w:val="none"/>
        </w:rPr>
        <w:fldChar w:fldCharType="separate"/>
      </w:r>
      <w:r>
        <w:rPr>
          <w:rFonts w:hint="eastAsia" w:ascii="仿宋" w:hAnsi="仿宋" w:eastAsia="仿宋" w:cs="仿宋"/>
          <w:szCs w:val="24"/>
          <w:lang w:val="en-US" w:eastAsia="zh-CN"/>
        </w:rPr>
        <w:t>7.2  残疾人福利性单位声明函（投标文件格式十二）</w:t>
      </w:r>
      <w:r>
        <w:tab/>
      </w:r>
      <w:r>
        <w:fldChar w:fldCharType="begin"/>
      </w:r>
      <w:r>
        <w:instrText xml:space="preserve"> PAGEREF _Toc1385 \h </w:instrText>
      </w:r>
      <w:r>
        <w:fldChar w:fldCharType="separate"/>
      </w:r>
      <w:r>
        <w:t>46</w:t>
      </w:r>
      <w:r>
        <w:fldChar w:fldCharType="end"/>
      </w:r>
      <w:r>
        <w:rPr>
          <w:rFonts w:hint="eastAsia" w:ascii="仿宋" w:hAnsi="仿宋" w:eastAsia="仿宋" w:cs="仿宋"/>
          <w:color w:val="auto"/>
          <w:kern w:val="0"/>
          <w:szCs w:val="21"/>
          <w:highlight w:val="none"/>
        </w:rPr>
        <w:fldChar w:fldCharType="end"/>
      </w:r>
    </w:p>
    <w:p w14:paraId="1B1B042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_Toc15759 </w:instrText>
      </w:r>
      <w:r>
        <w:rPr>
          <w:rFonts w:hint="eastAsia" w:ascii="仿宋" w:hAnsi="仿宋" w:eastAsia="仿宋" w:cs="仿宋"/>
          <w:kern w:val="0"/>
          <w:szCs w:val="21"/>
          <w:highlight w:val="none"/>
        </w:rPr>
        <w:fldChar w:fldCharType="separate"/>
      </w:r>
      <w:r>
        <w:rPr>
          <w:rFonts w:hint="eastAsia" w:ascii="仿宋" w:hAnsi="仿宋" w:eastAsia="仿宋" w:cs="仿宋"/>
        </w:rPr>
        <w:t>8   投标人关联单位的说明</w:t>
      </w:r>
      <w:r>
        <w:rPr>
          <w:rFonts w:hint="eastAsia" w:ascii="仿宋" w:hAnsi="仿宋" w:eastAsia="仿宋" w:cs="仿宋"/>
          <w:lang w:eastAsia="zh-CN"/>
        </w:rPr>
        <w:t>（</w:t>
      </w:r>
      <w:r>
        <w:rPr>
          <w:rFonts w:hint="eastAsia" w:ascii="仿宋" w:hAnsi="仿宋" w:eastAsia="仿宋" w:cs="仿宋"/>
          <w:lang w:val="en-US" w:eastAsia="zh-CN"/>
        </w:rPr>
        <w:t>格式自拟</w:t>
      </w:r>
      <w:r>
        <w:rPr>
          <w:rFonts w:hint="eastAsia" w:ascii="仿宋" w:hAnsi="仿宋" w:eastAsia="仿宋" w:cs="仿宋"/>
          <w:lang w:eastAsia="zh-CN"/>
        </w:rPr>
        <w:t>）</w:t>
      </w:r>
      <w:r>
        <w:tab/>
      </w:r>
      <w:r>
        <w:fldChar w:fldCharType="begin"/>
      </w:r>
      <w:r>
        <w:instrText xml:space="preserve"> PAGEREF _Toc15759 \h </w:instrText>
      </w:r>
      <w:r>
        <w:fldChar w:fldCharType="separate"/>
      </w:r>
      <w:r>
        <w:t>47</w:t>
      </w:r>
      <w:r>
        <w:fldChar w:fldCharType="end"/>
      </w:r>
      <w:r>
        <w:rPr>
          <w:rFonts w:hint="eastAsia" w:ascii="仿宋" w:hAnsi="仿宋" w:eastAsia="仿宋" w:cs="仿宋"/>
          <w:color w:val="auto"/>
          <w:kern w:val="0"/>
          <w:szCs w:val="21"/>
          <w:highlight w:val="none"/>
        </w:rPr>
        <w:fldChar w:fldCharType="end"/>
      </w:r>
    </w:p>
    <w:p w14:paraId="7F1AE85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_Toc3369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9  投标文件还应包括投标人须知第10条的所有技术文件</w:t>
      </w:r>
      <w:r>
        <w:tab/>
      </w:r>
      <w:r>
        <w:fldChar w:fldCharType="begin"/>
      </w:r>
      <w:r>
        <w:instrText xml:space="preserve"> PAGEREF _Toc3369 \h </w:instrText>
      </w:r>
      <w:r>
        <w:fldChar w:fldCharType="separate"/>
      </w:r>
      <w:r>
        <w:t>48</w:t>
      </w:r>
      <w:r>
        <w:fldChar w:fldCharType="end"/>
      </w:r>
      <w:r>
        <w:rPr>
          <w:rFonts w:hint="eastAsia" w:ascii="仿宋" w:hAnsi="仿宋" w:eastAsia="仿宋" w:cs="仿宋"/>
          <w:color w:val="auto"/>
          <w:kern w:val="0"/>
          <w:szCs w:val="21"/>
          <w:highlight w:val="none"/>
        </w:rPr>
        <w:fldChar w:fldCharType="end"/>
      </w:r>
    </w:p>
    <w:p w14:paraId="135091B3">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_Toc8105 </w:instrText>
      </w:r>
      <w:r>
        <w:rPr>
          <w:rFonts w:hint="eastAsia" w:ascii="仿宋" w:hAnsi="仿宋" w:eastAsia="仿宋" w:cs="仿宋"/>
          <w:kern w:val="0"/>
          <w:szCs w:val="21"/>
          <w:highlight w:val="none"/>
        </w:rPr>
        <w:fldChar w:fldCharType="separate"/>
      </w:r>
      <w:r>
        <w:rPr>
          <w:rFonts w:hint="eastAsia" w:ascii="仿宋" w:hAnsi="仿宋" w:eastAsia="仿宋" w:cs="仿宋"/>
          <w:bCs/>
          <w:szCs w:val="32"/>
          <w:lang w:eastAsia="zh-CN"/>
        </w:rPr>
        <w:t>第</w:t>
      </w:r>
      <w:r>
        <w:rPr>
          <w:rFonts w:hint="eastAsia" w:ascii="仿宋" w:hAnsi="仿宋" w:eastAsia="仿宋" w:cs="仿宋"/>
          <w:bCs/>
          <w:szCs w:val="32"/>
          <w:lang w:val="en-US" w:eastAsia="zh-CN"/>
        </w:rPr>
        <w:t xml:space="preserve">3章  </w:t>
      </w:r>
      <w:r>
        <w:rPr>
          <w:rFonts w:hint="eastAsia" w:ascii="仿宋" w:hAnsi="仿宋" w:eastAsia="仿宋" w:cs="仿宋"/>
          <w:bCs/>
          <w:szCs w:val="32"/>
        </w:rPr>
        <w:t>投标邀请</w:t>
      </w:r>
      <w:r>
        <w:tab/>
      </w:r>
      <w:r>
        <w:fldChar w:fldCharType="begin"/>
      </w:r>
      <w:r>
        <w:instrText xml:space="preserve"> PAGEREF _Toc8105 \h </w:instrText>
      </w:r>
      <w:r>
        <w:fldChar w:fldCharType="separate"/>
      </w:r>
      <w:r>
        <w:t>50</w:t>
      </w:r>
      <w:r>
        <w:fldChar w:fldCharType="end"/>
      </w:r>
      <w:r>
        <w:rPr>
          <w:rFonts w:hint="eastAsia" w:ascii="仿宋" w:hAnsi="仿宋" w:eastAsia="仿宋" w:cs="仿宋"/>
          <w:color w:val="auto"/>
          <w:kern w:val="0"/>
          <w:szCs w:val="21"/>
          <w:highlight w:val="none"/>
        </w:rPr>
        <w:fldChar w:fldCharType="end"/>
      </w:r>
    </w:p>
    <w:p w14:paraId="4EFFC2B7">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_Toc26609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eastAsia="zh-CN"/>
        </w:rPr>
        <w:t>莎车县促进各民族交往交流交融（浦莎乐巴扎）项目</w:t>
      </w:r>
      <w:r>
        <w:rPr>
          <w:rFonts w:hint="eastAsia" w:ascii="仿宋" w:hAnsi="仿宋" w:eastAsia="仿宋" w:cs="仿宋"/>
          <w:highlight w:val="none"/>
        </w:rPr>
        <w:t>招标公告</w:t>
      </w:r>
      <w:r>
        <w:tab/>
      </w:r>
      <w:r>
        <w:fldChar w:fldCharType="begin"/>
      </w:r>
      <w:r>
        <w:instrText xml:space="preserve"> PAGEREF _Toc26609 \h </w:instrText>
      </w:r>
      <w:r>
        <w:fldChar w:fldCharType="separate"/>
      </w:r>
      <w:r>
        <w:t>50</w:t>
      </w:r>
      <w:r>
        <w:fldChar w:fldCharType="end"/>
      </w:r>
      <w:r>
        <w:rPr>
          <w:rFonts w:hint="eastAsia" w:ascii="仿宋" w:hAnsi="仿宋" w:eastAsia="仿宋" w:cs="仿宋"/>
          <w:color w:val="auto"/>
          <w:kern w:val="0"/>
          <w:szCs w:val="21"/>
          <w:highlight w:val="none"/>
        </w:rPr>
        <w:fldChar w:fldCharType="end"/>
      </w:r>
    </w:p>
    <w:p w14:paraId="2F9D3BC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_Toc17583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一、项目基本情况</w:t>
      </w:r>
      <w:r>
        <w:tab/>
      </w:r>
      <w:r>
        <w:fldChar w:fldCharType="begin"/>
      </w:r>
      <w:r>
        <w:instrText xml:space="preserve"> PAGEREF _Toc17583 \h </w:instrText>
      </w:r>
      <w:r>
        <w:fldChar w:fldCharType="separate"/>
      </w:r>
      <w:r>
        <w:t>50</w:t>
      </w:r>
      <w:r>
        <w:fldChar w:fldCharType="end"/>
      </w:r>
      <w:r>
        <w:rPr>
          <w:rFonts w:hint="eastAsia" w:ascii="仿宋" w:hAnsi="仿宋" w:eastAsia="仿宋" w:cs="仿宋"/>
          <w:color w:val="auto"/>
          <w:kern w:val="0"/>
          <w:szCs w:val="21"/>
          <w:highlight w:val="none"/>
        </w:rPr>
        <w:fldChar w:fldCharType="end"/>
      </w:r>
    </w:p>
    <w:p w14:paraId="023E118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_Toc12004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二、申请人的资格要求：</w:t>
      </w:r>
      <w:r>
        <w:tab/>
      </w:r>
      <w:r>
        <w:fldChar w:fldCharType="begin"/>
      </w:r>
      <w:r>
        <w:instrText xml:space="preserve"> PAGEREF _Toc12004 \h </w:instrText>
      </w:r>
      <w:r>
        <w:fldChar w:fldCharType="separate"/>
      </w:r>
      <w:r>
        <w:t>50</w:t>
      </w:r>
      <w:r>
        <w:fldChar w:fldCharType="end"/>
      </w:r>
      <w:r>
        <w:rPr>
          <w:rFonts w:hint="eastAsia" w:ascii="仿宋" w:hAnsi="仿宋" w:eastAsia="仿宋" w:cs="仿宋"/>
          <w:color w:val="auto"/>
          <w:kern w:val="0"/>
          <w:szCs w:val="21"/>
          <w:highlight w:val="none"/>
        </w:rPr>
        <w:fldChar w:fldCharType="end"/>
      </w:r>
    </w:p>
    <w:p w14:paraId="3A4A9EE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_Toc19311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三、获取招标文件</w:t>
      </w:r>
      <w:r>
        <w:tab/>
      </w:r>
      <w:r>
        <w:fldChar w:fldCharType="begin"/>
      </w:r>
      <w:r>
        <w:instrText xml:space="preserve"> PAGEREF _Toc19311 \h </w:instrText>
      </w:r>
      <w:r>
        <w:fldChar w:fldCharType="separate"/>
      </w:r>
      <w:r>
        <w:t>52</w:t>
      </w:r>
      <w:r>
        <w:fldChar w:fldCharType="end"/>
      </w:r>
      <w:r>
        <w:rPr>
          <w:rFonts w:hint="eastAsia" w:ascii="仿宋" w:hAnsi="仿宋" w:eastAsia="仿宋" w:cs="仿宋"/>
          <w:color w:val="auto"/>
          <w:kern w:val="0"/>
          <w:szCs w:val="21"/>
          <w:highlight w:val="none"/>
        </w:rPr>
        <w:fldChar w:fldCharType="end"/>
      </w:r>
    </w:p>
    <w:p w14:paraId="287148D9">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_Toc3835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四、提交投标文件截止时间、开标时间和地点</w:t>
      </w:r>
      <w:r>
        <w:tab/>
      </w:r>
      <w:r>
        <w:fldChar w:fldCharType="begin"/>
      </w:r>
      <w:r>
        <w:instrText xml:space="preserve"> PAGEREF _Toc3835 \h </w:instrText>
      </w:r>
      <w:r>
        <w:fldChar w:fldCharType="separate"/>
      </w:r>
      <w:r>
        <w:t>53</w:t>
      </w:r>
      <w:r>
        <w:fldChar w:fldCharType="end"/>
      </w:r>
      <w:r>
        <w:rPr>
          <w:rFonts w:hint="eastAsia" w:ascii="仿宋" w:hAnsi="仿宋" w:eastAsia="仿宋" w:cs="仿宋"/>
          <w:color w:val="auto"/>
          <w:kern w:val="0"/>
          <w:szCs w:val="21"/>
          <w:highlight w:val="none"/>
        </w:rPr>
        <w:fldChar w:fldCharType="end"/>
      </w:r>
    </w:p>
    <w:p w14:paraId="57002DC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_Toc14521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lang w:val="en-US" w:eastAsia="zh-CN"/>
        </w:rPr>
        <w:t>五、公告期限</w:t>
      </w:r>
      <w:r>
        <w:tab/>
      </w:r>
      <w:r>
        <w:fldChar w:fldCharType="begin"/>
      </w:r>
      <w:r>
        <w:instrText xml:space="preserve"> PAGEREF _Toc14521 \h </w:instrText>
      </w:r>
      <w:r>
        <w:fldChar w:fldCharType="separate"/>
      </w:r>
      <w:r>
        <w:t>53</w:t>
      </w:r>
      <w:r>
        <w:fldChar w:fldCharType="end"/>
      </w:r>
      <w:r>
        <w:rPr>
          <w:rFonts w:hint="eastAsia" w:ascii="仿宋" w:hAnsi="仿宋" w:eastAsia="仿宋" w:cs="仿宋"/>
          <w:color w:val="auto"/>
          <w:kern w:val="0"/>
          <w:szCs w:val="21"/>
          <w:highlight w:val="none"/>
        </w:rPr>
        <w:fldChar w:fldCharType="end"/>
      </w:r>
    </w:p>
    <w:p w14:paraId="05A64D81">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_Toc24201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 xml:space="preserve">六、 </w:t>
      </w:r>
      <w:r>
        <w:rPr>
          <w:rFonts w:hint="eastAsia" w:ascii="仿宋" w:hAnsi="仿宋" w:eastAsia="仿宋" w:cs="仿宋"/>
          <w:szCs w:val="24"/>
          <w:highlight w:val="none"/>
        </w:rPr>
        <w:t>其他补充事宜</w:t>
      </w:r>
      <w:r>
        <w:tab/>
      </w:r>
      <w:r>
        <w:fldChar w:fldCharType="begin"/>
      </w:r>
      <w:r>
        <w:instrText xml:space="preserve"> PAGEREF _Toc24201 \h </w:instrText>
      </w:r>
      <w:r>
        <w:fldChar w:fldCharType="separate"/>
      </w:r>
      <w:r>
        <w:t>53</w:t>
      </w:r>
      <w:r>
        <w:fldChar w:fldCharType="end"/>
      </w:r>
      <w:r>
        <w:rPr>
          <w:rFonts w:hint="eastAsia" w:ascii="仿宋" w:hAnsi="仿宋" w:eastAsia="仿宋" w:cs="仿宋"/>
          <w:color w:val="auto"/>
          <w:kern w:val="0"/>
          <w:szCs w:val="21"/>
          <w:highlight w:val="none"/>
        </w:rPr>
        <w:fldChar w:fldCharType="end"/>
      </w:r>
    </w:p>
    <w:p w14:paraId="324ACA9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_Toc17261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lang w:val="en-US" w:eastAsia="zh-CN"/>
        </w:rPr>
        <w:t>七、</w:t>
      </w:r>
      <w:r>
        <w:rPr>
          <w:rFonts w:hint="eastAsia" w:ascii="仿宋" w:hAnsi="仿宋" w:eastAsia="仿宋" w:cs="仿宋"/>
          <w:kern w:val="2"/>
          <w:szCs w:val="24"/>
          <w:lang w:val="en-US" w:eastAsia="zh-CN" w:bidi="ar-SA"/>
        </w:rPr>
        <w:t>凡对本次招标提出询问，请按以下方式联系</w:t>
      </w:r>
      <w:r>
        <w:tab/>
      </w:r>
      <w:r>
        <w:fldChar w:fldCharType="begin"/>
      </w:r>
      <w:r>
        <w:instrText xml:space="preserve"> PAGEREF _Toc17261 \h </w:instrText>
      </w:r>
      <w:r>
        <w:fldChar w:fldCharType="separate"/>
      </w:r>
      <w:r>
        <w:t>55</w:t>
      </w:r>
      <w:r>
        <w:fldChar w:fldCharType="end"/>
      </w:r>
      <w:r>
        <w:rPr>
          <w:rFonts w:hint="eastAsia" w:ascii="仿宋" w:hAnsi="仿宋" w:eastAsia="仿宋" w:cs="仿宋"/>
          <w:color w:val="auto"/>
          <w:kern w:val="0"/>
          <w:szCs w:val="21"/>
          <w:highlight w:val="none"/>
        </w:rPr>
        <w:fldChar w:fldCharType="end"/>
      </w:r>
    </w:p>
    <w:p w14:paraId="0435B063">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_Toc4980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第4章 投标人须知资料表</w:t>
      </w:r>
      <w:r>
        <w:tab/>
      </w:r>
      <w:r>
        <w:fldChar w:fldCharType="begin"/>
      </w:r>
      <w:r>
        <w:instrText xml:space="preserve"> PAGEREF _Toc4980 \h </w:instrText>
      </w:r>
      <w:r>
        <w:fldChar w:fldCharType="separate"/>
      </w:r>
      <w:r>
        <w:t>56</w:t>
      </w:r>
      <w:r>
        <w:fldChar w:fldCharType="end"/>
      </w:r>
      <w:r>
        <w:rPr>
          <w:rFonts w:hint="eastAsia" w:ascii="仿宋" w:hAnsi="仿宋" w:eastAsia="仿宋" w:cs="仿宋"/>
          <w:color w:val="auto"/>
          <w:kern w:val="0"/>
          <w:szCs w:val="21"/>
          <w:highlight w:val="none"/>
        </w:rPr>
        <w:fldChar w:fldCharType="end"/>
      </w:r>
    </w:p>
    <w:p w14:paraId="36CDB92C">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_Toc25145 </w:instrText>
      </w:r>
      <w:r>
        <w:rPr>
          <w:rFonts w:hint="eastAsia" w:ascii="仿宋" w:hAnsi="仿宋" w:eastAsia="仿宋" w:cs="仿宋"/>
          <w:kern w:val="0"/>
          <w:szCs w:val="21"/>
          <w:highlight w:val="none"/>
        </w:rPr>
        <w:fldChar w:fldCharType="separate"/>
      </w:r>
      <w:r>
        <w:rPr>
          <w:rFonts w:hint="eastAsia"/>
        </w:rPr>
        <w:t>第5章  项目服务需求</w:t>
      </w:r>
      <w:r>
        <w:tab/>
      </w:r>
      <w:r>
        <w:fldChar w:fldCharType="begin"/>
      </w:r>
      <w:r>
        <w:instrText xml:space="preserve"> PAGEREF _Toc25145 \h </w:instrText>
      </w:r>
      <w:r>
        <w:fldChar w:fldCharType="separate"/>
      </w:r>
      <w:r>
        <w:t>65</w:t>
      </w:r>
      <w:r>
        <w:fldChar w:fldCharType="end"/>
      </w:r>
      <w:r>
        <w:rPr>
          <w:rFonts w:hint="eastAsia" w:ascii="仿宋" w:hAnsi="仿宋" w:eastAsia="仿宋" w:cs="仿宋"/>
          <w:color w:val="auto"/>
          <w:kern w:val="0"/>
          <w:szCs w:val="21"/>
          <w:highlight w:val="none"/>
        </w:rPr>
        <w:fldChar w:fldCharType="end"/>
      </w:r>
    </w:p>
    <w:p w14:paraId="5C53C88B">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_Toc18572 </w:instrText>
      </w:r>
      <w:r>
        <w:rPr>
          <w:rFonts w:hint="eastAsia" w:ascii="仿宋" w:hAnsi="仿宋" w:eastAsia="仿宋" w:cs="仿宋"/>
          <w:kern w:val="0"/>
          <w:szCs w:val="21"/>
          <w:highlight w:val="none"/>
        </w:rPr>
        <w:fldChar w:fldCharType="separate"/>
      </w:r>
      <w:r>
        <w:rPr>
          <w:rFonts w:hint="eastAsia" w:ascii="仿宋" w:hAnsi="仿宋" w:eastAsia="仿宋" w:cs="仿宋"/>
          <w:szCs w:val="18"/>
          <w:lang w:val="en-US" w:eastAsia="zh-CN"/>
        </w:rPr>
        <w:t>第6章  评标方法和标准</w:t>
      </w:r>
      <w:r>
        <w:tab/>
      </w:r>
      <w:r>
        <w:fldChar w:fldCharType="begin"/>
      </w:r>
      <w:r>
        <w:instrText xml:space="preserve"> PAGEREF _Toc18572 \h </w:instrText>
      </w:r>
      <w:r>
        <w:fldChar w:fldCharType="separate"/>
      </w:r>
      <w:r>
        <w:t>68</w:t>
      </w:r>
      <w:r>
        <w:fldChar w:fldCharType="end"/>
      </w:r>
      <w:r>
        <w:rPr>
          <w:rFonts w:hint="eastAsia" w:ascii="仿宋" w:hAnsi="仿宋" w:eastAsia="仿宋" w:cs="仿宋"/>
          <w:color w:val="auto"/>
          <w:kern w:val="0"/>
          <w:szCs w:val="21"/>
          <w:highlight w:val="none"/>
        </w:rPr>
        <w:fldChar w:fldCharType="end"/>
      </w:r>
    </w:p>
    <w:p w14:paraId="6E525D4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_Toc12319 </w:instrText>
      </w:r>
      <w:r>
        <w:rPr>
          <w:rFonts w:hint="eastAsia" w:ascii="仿宋" w:hAnsi="仿宋" w:eastAsia="仿宋" w:cs="仿宋"/>
          <w:kern w:val="0"/>
          <w:szCs w:val="21"/>
          <w:highlight w:val="none"/>
        </w:rPr>
        <w:fldChar w:fldCharType="separate"/>
      </w:r>
      <w:r>
        <w:rPr>
          <w:rFonts w:hint="default" w:ascii="宋体" w:hAnsi="宋体" w:eastAsia="宋体" w:cs="宋体"/>
          <w:bCs/>
          <w:spacing w:val="0"/>
          <w:w w:val="99"/>
          <w:szCs w:val="22"/>
        </w:rPr>
        <w:t xml:space="preserve">1. </w:t>
      </w:r>
      <w:r>
        <w:rPr>
          <w:rFonts w:hint="eastAsia" w:ascii="仿宋" w:hAnsi="仿宋" w:eastAsia="仿宋" w:cs="仿宋"/>
          <w:szCs w:val="24"/>
          <w:highlight w:val="none"/>
        </w:rPr>
        <w:t>总则</w:t>
      </w:r>
      <w:r>
        <w:tab/>
      </w:r>
      <w:r>
        <w:fldChar w:fldCharType="begin"/>
      </w:r>
      <w:r>
        <w:instrText xml:space="preserve"> PAGEREF _Toc12319 \h </w:instrText>
      </w:r>
      <w:r>
        <w:fldChar w:fldCharType="separate"/>
      </w:r>
      <w:r>
        <w:t>68</w:t>
      </w:r>
      <w:r>
        <w:fldChar w:fldCharType="end"/>
      </w:r>
      <w:r>
        <w:rPr>
          <w:rFonts w:hint="eastAsia" w:ascii="仿宋" w:hAnsi="仿宋" w:eastAsia="仿宋" w:cs="仿宋"/>
          <w:color w:val="auto"/>
          <w:kern w:val="0"/>
          <w:szCs w:val="21"/>
          <w:highlight w:val="none"/>
        </w:rPr>
        <w:fldChar w:fldCharType="end"/>
      </w:r>
    </w:p>
    <w:p w14:paraId="6DBE25B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_Toc12918 </w:instrText>
      </w:r>
      <w:r>
        <w:rPr>
          <w:rFonts w:hint="eastAsia" w:ascii="仿宋" w:hAnsi="仿宋" w:eastAsia="仿宋" w:cs="仿宋"/>
          <w:kern w:val="0"/>
          <w:szCs w:val="21"/>
          <w:highlight w:val="none"/>
        </w:rPr>
        <w:fldChar w:fldCharType="separate"/>
      </w:r>
      <w:r>
        <w:rPr>
          <w:rFonts w:hint="default" w:ascii="宋体" w:hAnsi="宋体" w:eastAsia="宋体" w:cs="宋体"/>
          <w:bCs/>
          <w:spacing w:val="0"/>
          <w:w w:val="99"/>
          <w:szCs w:val="22"/>
          <w:lang w:val="en-US" w:eastAsia="zh-CN"/>
        </w:rPr>
        <w:t xml:space="preserve">2. </w:t>
      </w:r>
      <w:r>
        <w:rPr>
          <w:rFonts w:hint="eastAsia" w:ascii="仿宋" w:hAnsi="仿宋" w:eastAsia="仿宋" w:cs="仿宋"/>
          <w:szCs w:val="24"/>
          <w:highlight w:val="none"/>
          <w:lang w:val="en-US" w:eastAsia="zh-CN"/>
        </w:rPr>
        <w:t>开标程序</w:t>
      </w:r>
      <w:r>
        <w:tab/>
      </w:r>
      <w:r>
        <w:fldChar w:fldCharType="begin"/>
      </w:r>
      <w:r>
        <w:instrText xml:space="preserve"> PAGEREF _Toc12918 \h </w:instrText>
      </w:r>
      <w:r>
        <w:fldChar w:fldCharType="separate"/>
      </w:r>
      <w:r>
        <w:t>68</w:t>
      </w:r>
      <w:r>
        <w:fldChar w:fldCharType="end"/>
      </w:r>
      <w:r>
        <w:rPr>
          <w:rFonts w:hint="eastAsia" w:ascii="仿宋" w:hAnsi="仿宋" w:eastAsia="仿宋" w:cs="仿宋"/>
          <w:color w:val="auto"/>
          <w:kern w:val="0"/>
          <w:szCs w:val="21"/>
          <w:highlight w:val="none"/>
        </w:rPr>
        <w:fldChar w:fldCharType="end"/>
      </w:r>
    </w:p>
    <w:p w14:paraId="4A1C9473">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_Toc9774 </w:instrText>
      </w:r>
      <w:r>
        <w:rPr>
          <w:rFonts w:hint="eastAsia" w:ascii="仿宋" w:hAnsi="仿宋" w:eastAsia="仿宋" w:cs="仿宋"/>
          <w:kern w:val="0"/>
          <w:szCs w:val="21"/>
          <w:highlight w:val="none"/>
        </w:rPr>
        <w:fldChar w:fldCharType="separate"/>
      </w:r>
      <w:r>
        <w:rPr>
          <w:rFonts w:hint="default" w:ascii="宋体" w:hAnsi="宋体" w:eastAsia="宋体" w:cs="宋体"/>
          <w:bCs/>
          <w:spacing w:val="0"/>
          <w:w w:val="99"/>
          <w:szCs w:val="22"/>
        </w:rPr>
        <w:t xml:space="preserve">3. </w:t>
      </w:r>
      <w:r>
        <w:rPr>
          <w:rFonts w:hint="eastAsia" w:ascii="仿宋" w:hAnsi="仿宋" w:eastAsia="仿宋" w:cs="仿宋"/>
          <w:szCs w:val="24"/>
          <w:highlight w:val="none"/>
        </w:rPr>
        <w:t>评标</w:t>
      </w:r>
      <w:r>
        <w:rPr>
          <w:rFonts w:hint="eastAsia" w:ascii="仿宋" w:hAnsi="仿宋" w:eastAsia="仿宋" w:cs="仿宋"/>
          <w:szCs w:val="24"/>
          <w:highlight w:val="none"/>
          <w:lang w:eastAsia="zh-CN"/>
        </w:rPr>
        <w:t>程序</w:t>
      </w:r>
      <w:r>
        <w:tab/>
      </w:r>
      <w:r>
        <w:fldChar w:fldCharType="begin"/>
      </w:r>
      <w:r>
        <w:instrText xml:space="preserve"> PAGEREF _Toc9774 \h </w:instrText>
      </w:r>
      <w:r>
        <w:fldChar w:fldCharType="separate"/>
      </w:r>
      <w:r>
        <w:t>68</w:t>
      </w:r>
      <w:r>
        <w:fldChar w:fldCharType="end"/>
      </w:r>
      <w:r>
        <w:rPr>
          <w:rFonts w:hint="eastAsia" w:ascii="仿宋" w:hAnsi="仿宋" w:eastAsia="仿宋" w:cs="仿宋"/>
          <w:color w:val="auto"/>
          <w:kern w:val="0"/>
          <w:szCs w:val="21"/>
          <w:highlight w:val="none"/>
        </w:rPr>
        <w:fldChar w:fldCharType="end"/>
      </w:r>
    </w:p>
    <w:p w14:paraId="7287D953">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_Toc10492 </w:instrText>
      </w:r>
      <w:r>
        <w:rPr>
          <w:rFonts w:hint="eastAsia" w:ascii="仿宋" w:hAnsi="仿宋" w:eastAsia="仿宋" w:cs="仿宋"/>
          <w:kern w:val="0"/>
          <w:szCs w:val="21"/>
          <w:highlight w:val="none"/>
        </w:rPr>
        <w:fldChar w:fldCharType="separate"/>
      </w:r>
      <w:r>
        <w:rPr>
          <w:rFonts w:hint="default" w:ascii="宋体" w:hAnsi="宋体" w:eastAsia="宋体" w:cs="宋体"/>
          <w:bCs/>
          <w:spacing w:val="0"/>
          <w:w w:val="99"/>
          <w:szCs w:val="22"/>
        </w:rPr>
        <w:t xml:space="preserve">4. </w:t>
      </w:r>
      <w:r>
        <w:rPr>
          <w:rFonts w:hint="eastAsia" w:ascii="仿宋" w:hAnsi="仿宋" w:eastAsia="仿宋" w:cs="仿宋"/>
          <w:szCs w:val="24"/>
          <w:highlight w:val="none"/>
        </w:rPr>
        <w:t>定标程序</w:t>
      </w:r>
      <w:r>
        <w:tab/>
      </w:r>
      <w:r>
        <w:fldChar w:fldCharType="begin"/>
      </w:r>
      <w:r>
        <w:instrText xml:space="preserve"> PAGEREF _Toc10492 \h </w:instrText>
      </w:r>
      <w:r>
        <w:fldChar w:fldCharType="separate"/>
      </w:r>
      <w:r>
        <w:t>71</w:t>
      </w:r>
      <w:r>
        <w:fldChar w:fldCharType="end"/>
      </w:r>
      <w:r>
        <w:rPr>
          <w:rFonts w:hint="eastAsia" w:ascii="仿宋" w:hAnsi="仿宋" w:eastAsia="仿宋" w:cs="仿宋"/>
          <w:color w:val="auto"/>
          <w:kern w:val="0"/>
          <w:szCs w:val="21"/>
          <w:highlight w:val="none"/>
        </w:rPr>
        <w:fldChar w:fldCharType="end"/>
      </w:r>
    </w:p>
    <w:p w14:paraId="5B46011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_Toc23584 </w:instrText>
      </w:r>
      <w:r>
        <w:rPr>
          <w:rFonts w:hint="eastAsia" w:ascii="仿宋" w:hAnsi="仿宋" w:eastAsia="仿宋" w:cs="仿宋"/>
          <w:kern w:val="0"/>
          <w:szCs w:val="21"/>
          <w:highlight w:val="none"/>
        </w:rPr>
        <w:fldChar w:fldCharType="separate"/>
      </w:r>
      <w:r>
        <w:rPr>
          <w:rFonts w:hint="default" w:ascii="宋体" w:hAnsi="宋体" w:eastAsia="宋体" w:cs="宋体"/>
          <w:bCs/>
          <w:spacing w:val="0"/>
          <w:w w:val="99"/>
          <w:szCs w:val="22"/>
        </w:rPr>
        <w:t xml:space="preserve">5. </w:t>
      </w:r>
      <w:r>
        <w:rPr>
          <w:rFonts w:hint="eastAsia" w:ascii="仿宋" w:hAnsi="仿宋" w:eastAsia="仿宋" w:cs="仿宋"/>
          <w:szCs w:val="24"/>
          <w:highlight w:val="none"/>
        </w:rPr>
        <w:t>评标细则及标准（综合评分法）</w:t>
      </w:r>
      <w:r>
        <w:tab/>
      </w:r>
      <w:r>
        <w:fldChar w:fldCharType="begin"/>
      </w:r>
      <w:r>
        <w:instrText xml:space="preserve"> PAGEREF _Toc23584 \h </w:instrText>
      </w:r>
      <w:r>
        <w:fldChar w:fldCharType="separate"/>
      </w:r>
      <w:r>
        <w:t>71</w:t>
      </w:r>
      <w:r>
        <w:fldChar w:fldCharType="end"/>
      </w:r>
      <w:r>
        <w:rPr>
          <w:rFonts w:hint="eastAsia" w:ascii="仿宋" w:hAnsi="仿宋" w:eastAsia="仿宋" w:cs="仿宋"/>
          <w:color w:val="auto"/>
          <w:kern w:val="0"/>
          <w:szCs w:val="21"/>
          <w:highlight w:val="none"/>
        </w:rPr>
        <w:fldChar w:fldCharType="end"/>
      </w:r>
    </w:p>
    <w:p w14:paraId="144E53A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_Toc20414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lang w:val="en-US" w:eastAsia="zh-CN"/>
        </w:rPr>
        <w:t>6.投标无效的情形：</w:t>
      </w:r>
      <w:r>
        <w:tab/>
      </w:r>
      <w:r>
        <w:fldChar w:fldCharType="begin"/>
      </w:r>
      <w:r>
        <w:instrText xml:space="preserve"> PAGEREF _Toc20414 \h </w:instrText>
      </w:r>
      <w:r>
        <w:fldChar w:fldCharType="separate"/>
      </w:r>
      <w:r>
        <w:t>72</w:t>
      </w:r>
      <w:r>
        <w:fldChar w:fldCharType="end"/>
      </w:r>
      <w:r>
        <w:rPr>
          <w:rFonts w:hint="eastAsia" w:ascii="仿宋" w:hAnsi="仿宋" w:eastAsia="仿宋" w:cs="仿宋"/>
          <w:color w:val="auto"/>
          <w:kern w:val="0"/>
          <w:szCs w:val="21"/>
          <w:highlight w:val="none"/>
        </w:rPr>
        <w:fldChar w:fldCharType="end"/>
      </w:r>
    </w:p>
    <w:p w14:paraId="79D55C6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_Toc20145 </w:instrText>
      </w:r>
      <w:r>
        <w:rPr>
          <w:rFonts w:hint="eastAsia" w:ascii="仿宋" w:hAnsi="仿宋" w:eastAsia="仿宋" w:cs="仿宋"/>
          <w:kern w:val="0"/>
          <w:szCs w:val="21"/>
          <w:highlight w:val="none"/>
        </w:rPr>
        <w:fldChar w:fldCharType="separate"/>
      </w:r>
      <w:r>
        <w:rPr>
          <w:rFonts w:hint="eastAsia" w:ascii="仿宋" w:hAnsi="仿宋" w:eastAsia="仿宋" w:cs="仿宋"/>
          <w:szCs w:val="28"/>
        </w:rPr>
        <w:t>综合评分表</w:t>
      </w:r>
      <w:r>
        <w:tab/>
      </w:r>
      <w:r>
        <w:fldChar w:fldCharType="begin"/>
      </w:r>
      <w:r>
        <w:instrText xml:space="preserve"> PAGEREF _Toc20145 \h </w:instrText>
      </w:r>
      <w:r>
        <w:fldChar w:fldCharType="separate"/>
      </w:r>
      <w:r>
        <w:t>78</w:t>
      </w:r>
      <w:r>
        <w:fldChar w:fldCharType="end"/>
      </w:r>
      <w:r>
        <w:rPr>
          <w:rFonts w:hint="eastAsia" w:ascii="仿宋" w:hAnsi="仿宋" w:eastAsia="仿宋" w:cs="仿宋"/>
          <w:color w:val="auto"/>
          <w:kern w:val="0"/>
          <w:szCs w:val="21"/>
          <w:highlight w:val="none"/>
        </w:rPr>
        <w:fldChar w:fldCharType="end"/>
      </w:r>
    </w:p>
    <w:p w14:paraId="1EFBDC6A">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_Toc415 </w:instrText>
      </w:r>
      <w:r>
        <w:rPr>
          <w:rFonts w:hint="eastAsia" w:ascii="仿宋" w:hAnsi="仿宋" w:eastAsia="仿宋" w:cs="仿宋"/>
          <w:kern w:val="0"/>
          <w:szCs w:val="21"/>
          <w:highlight w:val="none"/>
        </w:rPr>
        <w:fldChar w:fldCharType="separate"/>
      </w:r>
      <w:r>
        <w:rPr>
          <w:rFonts w:hint="eastAsia" w:ascii="仿宋" w:hAnsi="仿宋" w:eastAsia="仿宋" w:cs="仿宋"/>
        </w:rPr>
        <w:t>第7章 政府采购合同（本合同仅供参考）</w:t>
      </w:r>
      <w:r>
        <w:tab/>
      </w:r>
      <w:r>
        <w:fldChar w:fldCharType="begin"/>
      </w:r>
      <w:r>
        <w:instrText xml:space="preserve"> PAGEREF _Toc415 \h </w:instrText>
      </w:r>
      <w:r>
        <w:fldChar w:fldCharType="separate"/>
      </w:r>
      <w:r>
        <w:t>81</w:t>
      </w:r>
      <w:r>
        <w:fldChar w:fldCharType="end"/>
      </w:r>
      <w:r>
        <w:rPr>
          <w:rFonts w:hint="eastAsia" w:ascii="仿宋" w:hAnsi="仿宋" w:eastAsia="仿宋" w:cs="仿宋"/>
          <w:color w:val="auto"/>
          <w:kern w:val="0"/>
          <w:szCs w:val="21"/>
          <w:highlight w:val="none"/>
        </w:rPr>
        <w:fldChar w:fldCharType="end"/>
      </w:r>
    </w:p>
    <w:p w14:paraId="1C99E324">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_Toc25072 </w:instrText>
      </w:r>
      <w:r>
        <w:rPr>
          <w:rFonts w:hint="eastAsia" w:ascii="仿宋" w:hAnsi="仿宋" w:eastAsia="仿宋" w:cs="仿宋"/>
          <w:kern w:val="0"/>
          <w:szCs w:val="21"/>
          <w:highlight w:val="none"/>
        </w:rPr>
        <w:fldChar w:fldCharType="separate"/>
      </w:r>
      <w:r>
        <w:rPr>
          <w:rFonts w:hint="eastAsia" w:ascii="仿宋" w:hAnsi="仿宋" w:eastAsia="仿宋" w:cs="仿宋"/>
          <w:szCs w:val="44"/>
        </w:rPr>
        <w:t>政府采购合同参考范本</w:t>
      </w:r>
      <w:r>
        <w:tab/>
      </w:r>
      <w:r>
        <w:fldChar w:fldCharType="begin"/>
      </w:r>
      <w:r>
        <w:instrText xml:space="preserve"> PAGEREF _Toc25072 \h </w:instrText>
      </w:r>
      <w:r>
        <w:fldChar w:fldCharType="separate"/>
      </w:r>
      <w:r>
        <w:t>81</w:t>
      </w:r>
      <w:r>
        <w:fldChar w:fldCharType="end"/>
      </w:r>
      <w:r>
        <w:rPr>
          <w:rFonts w:hint="eastAsia" w:ascii="仿宋" w:hAnsi="仿宋" w:eastAsia="仿宋" w:cs="仿宋"/>
          <w:color w:val="auto"/>
          <w:kern w:val="0"/>
          <w:szCs w:val="21"/>
          <w:highlight w:val="none"/>
        </w:rPr>
        <w:fldChar w:fldCharType="end"/>
      </w:r>
    </w:p>
    <w:p w14:paraId="1246B3CE">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_Toc31840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第一部分 合同书</w:t>
      </w:r>
      <w:r>
        <w:tab/>
      </w:r>
      <w:r>
        <w:fldChar w:fldCharType="begin"/>
      </w:r>
      <w:r>
        <w:instrText xml:space="preserve"> PAGEREF _Toc31840 \h </w:instrText>
      </w:r>
      <w:r>
        <w:fldChar w:fldCharType="separate"/>
      </w:r>
      <w:r>
        <w:t>81</w:t>
      </w:r>
      <w:r>
        <w:fldChar w:fldCharType="end"/>
      </w:r>
      <w:r>
        <w:rPr>
          <w:rFonts w:hint="eastAsia" w:ascii="仿宋" w:hAnsi="仿宋" w:eastAsia="仿宋" w:cs="仿宋"/>
          <w:color w:val="auto"/>
          <w:kern w:val="0"/>
          <w:szCs w:val="21"/>
          <w:highlight w:val="none"/>
        </w:rPr>
        <w:fldChar w:fldCharType="end"/>
      </w:r>
    </w:p>
    <w:p w14:paraId="16CD410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_Toc18136 </w:instrText>
      </w:r>
      <w:r>
        <w:rPr>
          <w:rFonts w:hint="eastAsia" w:ascii="仿宋" w:hAnsi="仿宋" w:eastAsia="仿宋" w:cs="仿宋"/>
          <w:kern w:val="0"/>
          <w:szCs w:val="21"/>
          <w:highlight w:val="none"/>
        </w:rPr>
        <w:fldChar w:fldCharType="separate"/>
      </w:r>
      <w:r>
        <w:rPr>
          <w:rFonts w:hint="eastAsia" w:ascii="仿宋" w:hAnsi="仿宋" w:eastAsia="仿宋" w:cs="仿宋"/>
        </w:rPr>
        <w:t>1.1 合同组成部分</w:t>
      </w:r>
      <w:r>
        <w:tab/>
      </w:r>
      <w:r>
        <w:fldChar w:fldCharType="begin"/>
      </w:r>
      <w:r>
        <w:instrText xml:space="preserve"> PAGEREF _Toc18136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176D685E">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_Toc30276 </w:instrText>
      </w:r>
      <w:r>
        <w:rPr>
          <w:rFonts w:hint="eastAsia" w:ascii="仿宋" w:hAnsi="仿宋" w:eastAsia="仿宋" w:cs="仿宋"/>
          <w:kern w:val="0"/>
          <w:szCs w:val="21"/>
          <w:highlight w:val="none"/>
        </w:rPr>
        <w:fldChar w:fldCharType="separate"/>
      </w:r>
      <w:r>
        <w:rPr>
          <w:rFonts w:hint="eastAsia" w:ascii="仿宋" w:hAnsi="仿宋" w:eastAsia="仿宋" w:cs="仿宋"/>
        </w:rPr>
        <w:t>1.2 标的</w:t>
      </w:r>
      <w:r>
        <w:tab/>
      </w:r>
      <w:r>
        <w:fldChar w:fldCharType="begin"/>
      </w:r>
      <w:r>
        <w:instrText xml:space="preserve"> PAGEREF _Toc30276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67DD8A15">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_Toc26356 </w:instrText>
      </w:r>
      <w:r>
        <w:rPr>
          <w:rFonts w:hint="eastAsia" w:ascii="仿宋" w:hAnsi="仿宋" w:eastAsia="仿宋" w:cs="仿宋"/>
          <w:kern w:val="0"/>
          <w:szCs w:val="21"/>
          <w:highlight w:val="none"/>
        </w:rPr>
        <w:fldChar w:fldCharType="separate"/>
      </w:r>
      <w:r>
        <w:rPr>
          <w:rFonts w:hint="eastAsia" w:ascii="仿宋" w:hAnsi="仿宋" w:eastAsia="仿宋" w:cs="仿宋"/>
        </w:rPr>
        <w:t>1.3 价款</w:t>
      </w:r>
      <w:r>
        <w:tab/>
      </w:r>
      <w:r>
        <w:fldChar w:fldCharType="begin"/>
      </w:r>
      <w:r>
        <w:instrText xml:space="preserve"> PAGEREF _Toc26356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5C3F247E">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_Toc21945 </w:instrText>
      </w:r>
      <w:r>
        <w:rPr>
          <w:rFonts w:hint="eastAsia" w:ascii="仿宋" w:hAnsi="仿宋" w:eastAsia="仿宋" w:cs="仿宋"/>
          <w:kern w:val="0"/>
          <w:szCs w:val="21"/>
          <w:highlight w:val="none"/>
        </w:rPr>
        <w:fldChar w:fldCharType="separate"/>
      </w:r>
      <w:r>
        <w:rPr>
          <w:rFonts w:hint="eastAsia" w:ascii="仿宋" w:hAnsi="仿宋" w:eastAsia="仿宋" w:cs="仿宋"/>
        </w:rPr>
        <w:t>1.4 付款方式和发票开具方式</w:t>
      </w:r>
      <w:r>
        <w:tab/>
      </w:r>
      <w:r>
        <w:fldChar w:fldCharType="begin"/>
      </w:r>
      <w:r>
        <w:instrText xml:space="preserve"> PAGEREF _Toc21945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0CD8D797">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_Toc19930 </w:instrText>
      </w:r>
      <w:r>
        <w:rPr>
          <w:rFonts w:hint="eastAsia" w:ascii="仿宋" w:hAnsi="仿宋" w:eastAsia="仿宋" w:cs="仿宋"/>
          <w:kern w:val="0"/>
          <w:szCs w:val="21"/>
          <w:highlight w:val="none"/>
        </w:rPr>
        <w:fldChar w:fldCharType="separate"/>
      </w:r>
      <w:r>
        <w:rPr>
          <w:rFonts w:hint="eastAsia" w:ascii="仿宋" w:hAnsi="仿宋" w:eastAsia="仿宋" w:cs="仿宋"/>
        </w:rPr>
        <w:t>1.5 履行期限、地点和方式</w:t>
      </w:r>
      <w:r>
        <w:tab/>
      </w:r>
      <w:r>
        <w:fldChar w:fldCharType="begin"/>
      </w:r>
      <w:r>
        <w:instrText xml:space="preserve"> PAGEREF _Toc19930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2099B84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_Toc17237 </w:instrText>
      </w:r>
      <w:r>
        <w:rPr>
          <w:rFonts w:hint="eastAsia" w:ascii="仿宋" w:hAnsi="仿宋" w:eastAsia="仿宋" w:cs="仿宋"/>
          <w:kern w:val="0"/>
          <w:szCs w:val="21"/>
          <w:highlight w:val="none"/>
        </w:rPr>
        <w:fldChar w:fldCharType="separate"/>
      </w:r>
      <w:r>
        <w:rPr>
          <w:rFonts w:hint="eastAsia" w:ascii="仿宋" w:hAnsi="仿宋" w:eastAsia="仿宋" w:cs="仿宋"/>
        </w:rPr>
        <w:t>1.6 违约责任</w:t>
      </w:r>
      <w:r>
        <w:tab/>
      </w:r>
      <w:r>
        <w:fldChar w:fldCharType="begin"/>
      </w:r>
      <w:r>
        <w:instrText xml:space="preserve"> PAGEREF _Toc17237 \h </w:instrText>
      </w:r>
      <w:r>
        <w:fldChar w:fldCharType="separate"/>
      </w:r>
      <w:r>
        <w:t>83</w:t>
      </w:r>
      <w:r>
        <w:fldChar w:fldCharType="end"/>
      </w:r>
      <w:r>
        <w:rPr>
          <w:rFonts w:hint="eastAsia" w:ascii="仿宋" w:hAnsi="仿宋" w:eastAsia="仿宋" w:cs="仿宋"/>
          <w:color w:val="auto"/>
          <w:kern w:val="0"/>
          <w:szCs w:val="21"/>
          <w:highlight w:val="none"/>
        </w:rPr>
        <w:fldChar w:fldCharType="end"/>
      </w:r>
    </w:p>
    <w:p w14:paraId="7CA1DDC1">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_Toc1982 </w:instrText>
      </w:r>
      <w:r>
        <w:rPr>
          <w:rFonts w:hint="eastAsia" w:ascii="仿宋" w:hAnsi="仿宋" w:eastAsia="仿宋" w:cs="仿宋"/>
          <w:kern w:val="0"/>
          <w:szCs w:val="21"/>
          <w:highlight w:val="none"/>
        </w:rPr>
        <w:fldChar w:fldCharType="separate"/>
      </w:r>
      <w:r>
        <w:rPr>
          <w:rFonts w:hint="eastAsia" w:ascii="仿宋" w:hAnsi="仿宋" w:eastAsia="仿宋" w:cs="仿宋"/>
        </w:rPr>
        <w:t>1.7 合同争议的解决</w:t>
      </w:r>
      <w:r>
        <w:tab/>
      </w:r>
      <w:r>
        <w:fldChar w:fldCharType="begin"/>
      </w:r>
      <w:r>
        <w:instrText xml:space="preserve"> PAGEREF _Toc1982 \h </w:instrText>
      </w:r>
      <w:r>
        <w:fldChar w:fldCharType="separate"/>
      </w:r>
      <w:r>
        <w:t>83</w:t>
      </w:r>
      <w:r>
        <w:fldChar w:fldCharType="end"/>
      </w:r>
      <w:r>
        <w:rPr>
          <w:rFonts w:hint="eastAsia" w:ascii="仿宋" w:hAnsi="仿宋" w:eastAsia="仿宋" w:cs="仿宋"/>
          <w:color w:val="auto"/>
          <w:kern w:val="0"/>
          <w:szCs w:val="21"/>
          <w:highlight w:val="none"/>
        </w:rPr>
        <w:fldChar w:fldCharType="end"/>
      </w:r>
    </w:p>
    <w:p w14:paraId="2E0BECF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_Toc20646 </w:instrText>
      </w:r>
      <w:r>
        <w:rPr>
          <w:rFonts w:hint="eastAsia" w:ascii="仿宋" w:hAnsi="仿宋" w:eastAsia="仿宋" w:cs="仿宋"/>
          <w:kern w:val="0"/>
          <w:szCs w:val="21"/>
          <w:highlight w:val="none"/>
        </w:rPr>
        <w:fldChar w:fldCharType="separate"/>
      </w:r>
      <w:r>
        <w:rPr>
          <w:rFonts w:hint="eastAsia" w:ascii="仿宋" w:hAnsi="仿宋" w:eastAsia="仿宋" w:cs="仿宋"/>
        </w:rPr>
        <w:t>1.8 合同生效</w:t>
      </w:r>
      <w:r>
        <w:tab/>
      </w:r>
      <w:r>
        <w:fldChar w:fldCharType="begin"/>
      </w:r>
      <w:r>
        <w:instrText xml:space="preserve"> PAGEREF _Toc20646 \h </w:instrText>
      </w:r>
      <w:r>
        <w:fldChar w:fldCharType="separate"/>
      </w:r>
      <w:r>
        <w:t>84</w:t>
      </w:r>
      <w:r>
        <w:fldChar w:fldCharType="end"/>
      </w:r>
      <w:r>
        <w:rPr>
          <w:rFonts w:hint="eastAsia" w:ascii="仿宋" w:hAnsi="仿宋" w:eastAsia="仿宋" w:cs="仿宋"/>
          <w:color w:val="auto"/>
          <w:kern w:val="0"/>
          <w:szCs w:val="21"/>
          <w:highlight w:val="none"/>
        </w:rPr>
        <w:fldChar w:fldCharType="end"/>
      </w:r>
    </w:p>
    <w:p w14:paraId="155D0240">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_Toc25972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第二部分 合同一般条款</w:t>
      </w:r>
      <w:r>
        <w:tab/>
      </w:r>
      <w:r>
        <w:fldChar w:fldCharType="begin"/>
      </w:r>
      <w:r>
        <w:instrText xml:space="preserve"> PAGEREF _Toc25972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6E36F900">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_Toc684 </w:instrText>
      </w:r>
      <w:r>
        <w:rPr>
          <w:rFonts w:hint="eastAsia" w:ascii="仿宋" w:hAnsi="仿宋" w:eastAsia="仿宋" w:cs="仿宋"/>
          <w:kern w:val="0"/>
          <w:szCs w:val="21"/>
          <w:highlight w:val="none"/>
        </w:rPr>
        <w:fldChar w:fldCharType="separate"/>
      </w:r>
      <w:r>
        <w:rPr>
          <w:rFonts w:hint="eastAsia" w:ascii="仿宋" w:hAnsi="仿宋" w:eastAsia="仿宋" w:cs="仿宋"/>
        </w:rPr>
        <w:t>2.1 定义</w:t>
      </w:r>
      <w:r>
        <w:tab/>
      </w:r>
      <w:r>
        <w:fldChar w:fldCharType="begin"/>
      </w:r>
      <w:r>
        <w:instrText xml:space="preserve"> PAGEREF _Toc684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19162DCA">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_Toc22927 </w:instrText>
      </w:r>
      <w:r>
        <w:rPr>
          <w:rFonts w:hint="eastAsia" w:ascii="仿宋" w:hAnsi="仿宋" w:eastAsia="仿宋" w:cs="仿宋"/>
          <w:kern w:val="0"/>
          <w:szCs w:val="21"/>
          <w:highlight w:val="none"/>
        </w:rPr>
        <w:fldChar w:fldCharType="separate"/>
      </w:r>
      <w:r>
        <w:rPr>
          <w:rFonts w:hint="eastAsia" w:ascii="仿宋" w:hAnsi="仿宋" w:eastAsia="仿宋" w:cs="仿宋"/>
        </w:rPr>
        <w:t>2.2 技术规范</w:t>
      </w:r>
      <w:r>
        <w:tab/>
      </w:r>
      <w:r>
        <w:fldChar w:fldCharType="begin"/>
      </w:r>
      <w:r>
        <w:instrText xml:space="preserve"> PAGEREF _Toc22927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76372DA2">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_Toc17651 </w:instrText>
      </w:r>
      <w:r>
        <w:rPr>
          <w:rFonts w:hint="eastAsia" w:ascii="仿宋" w:hAnsi="仿宋" w:eastAsia="仿宋" w:cs="仿宋"/>
          <w:kern w:val="0"/>
          <w:szCs w:val="21"/>
          <w:highlight w:val="none"/>
        </w:rPr>
        <w:fldChar w:fldCharType="separate"/>
      </w:r>
      <w:r>
        <w:rPr>
          <w:rFonts w:hint="eastAsia" w:ascii="仿宋" w:hAnsi="仿宋" w:eastAsia="仿宋" w:cs="仿宋"/>
        </w:rPr>
        <w:t>2.3 知识产权</w:t>
      </w:r>
      <w:r>
        <w:tab/>
      </w:r>
      <w:r>
        <w:fldChar w:fldCharType="begin"/>
      </w:r>
      <w:r>
        <w:instrText xml:space="preserve"> PAGEREF _Toc17651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6ECA0EE2">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_Toc32651 </w:instrText>
      </w:r>
      <w:r>
        <w:rPr>
          <w:rFonts w:hint="eastAsia" w:ascii="仿宋" w:hAnsi="仿宋" w:eastAsia="仿宋" w:cs="仿宋"/>
          <w:kern w:val="0"/>
          <w:szCs w:val="21"/>
          <w:highlight w:val="none"/>
        </w:rPr>
        <w:fldChar w:fldCharType="separate"/>
      </w:r>
      <w:r>
        <w:rPr>
          <w:rFonts w:hint="eastAsia" w:ascii="仿宋" w:hAnsi="仿宋" w:eastAsia="仿宋" w:cs="仿宋"/>
        </w:rPr>
        <w:t>2.4 履约检查和问题反馈</w:t>
      </w:r>
      <w:r>
        <w:tab/>
      </w:r>
      <w:r>
        <w:fldChar w:fldCharType="begin"/>
      </w:r>
      <w:r>
        <w:instrText xml:space="preserve"> PAGEREF _Toc32651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41FB617A">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_Toc12967 </w:instrText>
      </w:r>
      <w:r>
        <w:rPr>
          <w:rFonts w:hint="eastAsia" w:ascii="仿宋" w:hAnsi="仿宋" w:eastAsia="仿宋" w:cs="仿宋"/>
          <w:kern w:val="0"/>
          <w:szCs w:val="21"/>
          <w:highlight w:val="none"/>
        </w:rPr>
        <w:fldChar w:fldCharType="separate"/>
      </w:r>
      <w:r>
        <w:rPr>
          <w:rFonts w:hint="eastAsia" w:ascii="仿宋" w:hAnsi="仿宋" w:eastAsia="仿宋" w:cs="仿宋"/>
        </w:rPr>
        <w:t>2.5 结算方式和付款条件</w:t>
      </w:r>
      <w:r>
        <w:tab/>
      </w:r>
      <w:r>
        <w:fldChar w:fldCharType="begin"/>
      </w:r>
      <w:r>
        <w:instrText xml:space="preserve"> PAGEREF _Toc12967 \h </w:instrText>
      </w:r>
      <w:r>
        <w:fldChar w:fldCharType="separate"/>
      </w:r>
      <w:r>
        <w:t>85</w:t>
      </w:r>
      <w:r>
        <w:fldChar w:fldCharType="end"/>
      </w:r>
      <w:r>
        <w:rPr>
          <w:rFonts w:hint="eastAsia" w:ascii="仿宋" w:hAnsi="仿宋" w:eastAsia="仿宋" w:cs="仿宋"/>
          <w:color w:val="auto"/>
          <w:kern w:val="0"/>
          <w:szCs w:val="21"/>
          <w:highlight w:val="none"/>
        </w:rPr>
        <w:fldChar w:fldCharType="end"/>
      </w:r>
    </w:p>
    <w:p w14:paraId="7A3C1A2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_Toc9498 </w:instrText>
      </w:r>
      <w:r>
        <w:rPr>
          <w:rFonts w:hint="eastAsia" w:ascii="仿宋" w:hAnsi="仿宋" w:eastAsia="仿宋" w:cs="仿宋"/>
          <w:kern w:val="0"/>
          <w:szCs w:val="21"/>
          <w:highlight w:val="none"/>
        </w:rPr>
        <w:fldChar w:fldCharType="separate"/>
      </w:r>
      <w:r>
        <w:rPr>
          <w:rFonts w:hint="eastAsia" w:ascii="仿宋" w:hAnsi="仿宋" w:eastAsia="仿宋" w:cs="仿宋"/>
        </w:rPr>
        <w:t>2.6 技术资料和保密义务</w:t>
      </w:r>
      <w:r>
        <w:tab/>
      </w:r>
      <w:r>
        <w:fldChar w:fldCharType="begin"/>
      </w:r>
      <w:r>
        <w:instrText xml:space="preserve"> PAGEREF _Toc9498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02A327DB">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_Toc19735 </w:instrText>
      </w:r>
      <w:r>
        <w:rPr>
          <w:rFonts w:hint="eastAsia" w:ascii="仿宋" w:hAnsi="仿宋" w:eastAsia="仿宋" w:cs="仿宋"/>
          <w:kern w:val="0"/>
          <w:szCs w:val="21"/>
          <w:highlight w:val="none"/>
        </w:rPr>
        <w:fldChar w:fldCharType="separate"/>
      </w:r>
      <w:r>
        <w:rPr>
          <w:rFonts w:hint="eastAsia" w:ascii="仿宋" w:hAnsi="仿宋" w:eastAsia="仿宋" w:cs="仿宋"/>
        </w:rPr>
        <w:t>2.7 质量保证</w:t>
      </w:r>
      <w:r>
        <w:tab/>
      </w:r>
      <w:r>
        <w:fldChar w:fldCharType="begin"/>
      </w:r>
      <w:r>
        <w:instrText xml:space="preserve"> PAGEREF _Toc19735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031437C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_Toc12050 </w:instrText>
      </w:r>
      <w:r>
        <w:rPr>
          <w:rFonts w:hint="eastAsia" w:ascii="仿宋" w:hAnsi="仿宋" w:eastAsia="仿宋" w:cs="仿宋"/>
          <w:kern w:val="0"/>
          <w:szCs w:val="21"/>
          <w:highlight w:val="none"/>
        </w:rPr>
        <w:fldChar w:fldCharType="separate"/>
      </w:r>
      <w:r>
        <w:rPr>
          <w:rFonts w:hint="eastAsia" w:ascii="仿宋" w:hAnsi="仿宋" w:eastAsia="仿宋" w:cs="仿宋"/>
        </w:rPr>
        <w:t>2.8 延迟履行</w:t>
      </w:r>
      <w:r>
        <w:tab/>
      </w:r>
      <w:r>
        <w:fldChar w:fldCharType="begin"/>
      </w:r>
      <w:r>
        <w:instrText xml:space="preserve"> PAGEREF _Toc12050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1F72F78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_Toc13183 </w:instrText>
      </w:r>
      <w:r>
        <w:rPr>
          <w:rFonts w:hint="eastAsia" w:ascii="仿宋" w:hAnsi="仿宋" w:eastAsia="仿宋" w:cs="仿宋"/>
          <w:kern w:val="0"/>
          <w:szCs w:val="21"/>
          <w:highlight w:val="none"/>
        </w:rPr>
        <w:fldChar w:fldCharType="separate"/>
      </w:r>
      <w:r>
        <w:rPr>
          <w:rFonts w:hint="eastAsia" w:ascii="仿宋" w:hAnsi="仿宋" w:eastAsia="仿宋" w:cs="仿宋"/>
        </w:rPr>
        <w:t>2.9 合同变更</w:t>
      </w:r>
      <w:r>
        <w:tab/>
      </w:r>
      <w:r>
        <w:fldChar w:fldCharType="begin"/>
      </w:r>
      <w:r>
        <w:instrText xml:space="preserve"> PAGEREF _Toc13183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5B7B5EA4">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_Toc16011 </w:instrText>
      </w:r>
      <w:r>
        <w:rPr>
          <w:rFonts w:hint="eastAsia" w:ascii="仿宋" w:hAnsi="仿宋" w:eastAsia="仿宋" w:cs="仿宋"/>
          <w:kern w:val="0"/>
          <w:szCs w:val="21"/>
          <w:highlight w:val="none"/>
        </w:rPr>
        <w:fldChar w:fldCharType="separate"/>
      </w:r>
      <w:r>
        <w:rPr>
          <w:rFonts w:hint="eastAsia" w:ascii="仿宋" w:hAnsi="仿宋" w:eastAsia="仿宋" w:cs="仿宋"/>
        </w:rPr>
        <w:t>2.10 合同转让和分包</w:t>
      </w:r>
      <w:r>
        <w:tab/>
      </w:r>
      <w:r>
        <w:fldChar w:fldCharType="begin"/>
      </w:r>
      <w:r>
        <w:instrText xml:space="preserve"> PAGEREF _Toc16011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2E33536A">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_Toc19998 </w:instrText>
      </w:r>
      <w:r>
        <w:rPr>
          <w:rFonts w:hint="eastAsia" w:ascii="仿宋" w:hAnsi="仿宋" w:eastAsia="仿宋" w:cs="仿宋"/>
          <w:kern w:val="0"/>
          <w:szCs w:val="21"/>
          <w:highlight w:val="none"/>
        </w:rPr>
        <w:fldChar w:fldCharType="separate"/>
      </w:r>
      <w:r>
        <w:rPr>
          <w:rFonts w:hint="eastAsia" w:ascii="仿宋" w:hAnsi="仿宋" w:eastAsia="仿宋" w:cs="仿宋"/>
        </w:rPr>
        <w:t>2.11 不可抗力</w:t>
      </w:r>
      <w:r>
        <w:tab/>
      </w:r>
      <w:r>
        <w:fldChar w:fldCharType="begin"/>
      </w:r>
      <w:r>
        <w:instrText xml:space="preserve"> PAGEREF _Toc19998 \h </w:instrText>
      </w:r>
      <w:r>
        <w:fldChar w:fldCharType="separate"/>
      </w:r>
      <w:r>
        <w:t>86</w:t>
      </w:r>
      <w:r>
        <w:fldChar w:fldCharType="end"/>
      </w:r>
      <w:r>
        <w:rPr>
          <w:rFonts w:hint="eastAsia" w:ascii="仿宋" w:hAnsi="仿宋" w:eastAsia="仿宋" w:cs="仿宋"/>
          <w:color w:val="auto"/>
          <w:kern w:val="0"/>
          <w:szCs w:val="21"/>
          <w:highlight w:val="none"/>
        </w:rPr>
        <w:fldChar w:fldCharType="end"/>
      </w:r>
    </w:p>
    <w:p w14:paraId="63D96F88">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_Toc24622 </w:instrText>
      </w:r>
      <w:r>
        <w:rPr>
          <w:rFonts w:hint="eastAsia" w:ascii="仿宋" w:hAnsi="仿宋" w:eastAsia="仿宋" w:cs="仿宋"/>
          <w:kern w:val="0"/>
          <w:szCs w:val="21"/>
          <w:highlight w:val="none"/>
        </w:rPr>
        <w:fldChar w:fldCharType="separate"/>
      </w:r>
      <w:r>
        <w:rPr>
          <w:rFonts w:hint="eastAsia" w:ascii="仿宋" w:hAnsi="仿宋" w:eastAsia="仿宋" w:cs="仿宋"/>
        </w:rPr>
        <w:t>2.12 税费</w:t>
      </w:r>
      <w:r>
        <w:tab/>
      </w:r>
      <w:r>
        <w:fldChar w:fldCharType="begin"/>
      </w:r>
      <w:r>
        <w:instrText xml:space="preserve"> PAGEREF _Toc24622 \h </w:instrText>
      </w:r>
      <w:r>
        <w:fldChar w:fldCharType="separate"/>
      </w:r>
      <w:r>
        <w:t>87</w:t>
      </w:r>
      <w:r>
        <w:fldChar w:fldCharType="end"/>
      </w:r>
      <w:r>
        <w:rPr>
          <w:rFonts w:hint="eastAsia" w:ascii="仿宋" w:hAnsi="仿宋" w:eastAsia="仿宋" w:cs="仿宋"/>
          <w:color w:val="auto"/>
          <w:kern w:val="0"/>
          <w:szCs w:val="21"/>
          <w:highlight w:val="none"/>
        </w:rPr>
        <w:fldChar w:fldCharType="end"/>
      </w:r>
    </w:p>
    <w:p w14:paraId="0954A536">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_Toc11989 </w:instrText>
      </w:r>
      <w:r>
        <w:rPr>
          <w:rFonts w:hint="eastAsia" w:ascii="仿宋" w:hAnsi="仿宋" w:eastAsia="仿宋" w:cs="仿宋"/>
          <w:kern w:val="0"/>
          <w:szCs w:val="21"/>
          <w:highlight w:val="none"/>
        </w:rPr>
        <w:fldChar w:fldCharType="separate"/>
      </w:r>
      <w:r>
        <w:rPr>
          <w:rFonts w:hint="eastAsia" w:ascii="仿宋" w:hAnsi="仿宋" w:eastAsia="仿宋" w:cs="仿宋"/>
        </w:rPr>
        <w:t>2.13 乙方破产</w:t>
      </w:r>
      <w:r>
        <w:tab/>
      </w:r>
      <w:r>
        <w:fldChar w:fldCharType="begin"/>
      </w:r>
      <w:r>
        <w:instrText xml:space="preserve"> PAGEREF _Toc11989 \h </w:instrText>
      </w:r>
      <w:r>
        <w:fldChar w:fldCharType="separate"/>
      </w:r>
      <w:r>
        <w:t>87</w:t>
      </w:r>
      <w:r>
        <w:fldChar w:fldCharType="end"/>
      </w:r>
      <w:r>
        <w:rPr>
          <w:rFonts w:hint="eastAsia" w:ascii="仿宋" w:hAnsi="仿宋" w:eastAsia="仿宋" w:cs="仿宋"/>
          <w:color w:val="auto"/>
          <w:kern w:val="0"/>
          <w:szCs w:val="21"/>
          <w:highlight w:val="none"/>
        </w:rPr>
        <w:fldChar w:fldCharType="end"/>
      </w:r>
    </w:p>
    <w:p w14:paraId="1F3CE41C">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_Toc7880 </w:instrText>
      </w:r>
      <w:r>
        <w:rPr>
          <w:rFonts w:hint="eastAsia" w:ascii="仿宋" w:hAnsi="仿宋" w:eastAsia="仿宋" w:cs="仿宋"/>
          <w:kern w:val="0"/>
          <w:szCs w:val="21"/>
          <w:highlight w:val="none"/>
        </w:rPr>
        <w:fldChar w:fldCharType="separate"/>
      </w:r>
      <w:r>
        <w:rPr>
          <w:rFonts w:hint="eastAsia" w:ascii="仿宋" w:hAnsi="仿宋" w:eastAsia="仿宋" w:cs="仿宋"/>
        </w:rPr>
        <w:t>2.14 合同中止、终止</w:t>
      </w:r>
      <w:r>
        <w:tab/>
      </w:r>
      <w:r>
        <w:fldChar w:fldCharType="begin"/>
      </w:r>
      <w:r>
        <w:instrText xml:space="preserve"> PAGEREF _Toc7880 \h </w:instrText>
      </w:r>
      <w:r>
        <w:fldChar w:fldCharType="separate"/>
      </w:r>
      <w:r>
        <w:t>87</w:t>
      </w:r>
      <w:r>
        <w:fldChar w:fldCharType="end"/>
      </w:r>
      <w:r>
        <w:rPr>
          <w:rFonts w:hint="eastAsia" w:ascii="仿宋" w:hAnsi="仿宋" w:eastAsia="仿宋" w:cs="仿宋"/>
          <w:color w:val="auto"/>
          <w:kern w:val="0"/>
          <w:szCs w:val="21"/>
          <w:highlight w:val="none"/>
        </w:rPr>
        <w:fldChar w:fldCharType="end"/>
      </w:r>
    </w:p>
    <w:p w14:paraId="08B0884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_Toc15334 </w:instrText>
      </w:r>
      <w:r>
        <w:rPr>
          <w:rFonts w:hint="eastAsia" w:ascii="仿宋" w:hAnsi="仿宋" w:eastAsia="仿宋" w:cs="仿宋"/>
          <w:kern w:val="0"/>
          <w:szCs w:val="21"/>
          <w:highlight w:val="none"/>
        </w:rPr>
        <w:fldChar w:fldCharType="separate"/>
      </w:r>
      <w:r>
        <w:rPr>
          <w:rFonts w:hint="eastAsia" w:ascii="仿宋" w:hAnsi="仿宋" w:eastAsia="仿宋" w:cs="仿宋"/>
        </w:rPr>
        <w:t>2.15 检验和验收</w:t>
      </w:r>
      <w:r>
        <w:tab/>
      </w:r>
      <w:r>
        <w:fldChar w:fldCharType="begin"/>
      </w:r>
      <w:r>
        <w:instrText xml:space="preserve"> PAGEREF _Toc15334 \h </w:instrText>
      </w:r>
      <w:r>
        <w:fldChar w:fldCharType="separate"/>
      </w:r>
      <w:r>
        <w:t>87</w:t>
      </w:r>
      <w:r>
        <w:fldChar w:fldCharType="end"/>
      </w:r>
      <w:r>
        <w:rPr>
          <w:rFonts w:hint="eastAsia" w:ascii="仿宋" w:hAnsi="仿宋" w:eastAsia="仿宋" w:cs="仿宋"/>
          <w:color w:val="auto"/>
          <w:kern w:val="0"/>
          <w:szCs w:val="21"/>
          <w:highlight w:val="none"/>
        </w:rPr>
        <w:fldChar w:fldCharType="end"/>
      </w:r>
    </w:p>
    <w:p w14:paraId="160BE50F">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_Toc23448 </w:instrText>
      </w:r>
      <w:r>
        <w:rPr>
          <w:rFonts w:hint="eastAsia" w:ascii="仿宋" w:hAnsi="仿宋" w:eastAsia="仿宋" w:cs="仿宋"/>
          <w:kern w:val="0"/>
          <w:szCs w:val="21"/>
          <w:highlight w:val="none"/>
        </w:rPr>
        <w:fldChar w:fldCharType="separate"/>
      </w:r>
      <w:r>
        <w:rPr>
          <w:rFonts w:hint="eastAsia" w:ascii="仿宋" w:hAnsi="仿宋" w:eastAsia="仿宋" w:cs="仿宋"/>
        </w:rPr>
        <w:t>2.16 通知和送达</w:t>
      </w:r>
      <w:r>
        <w:tab/>
      </w:r>
      <w:r>
        <w:fldChar w:fldCharType="begin"/>
      </w:r>
      <w:r>
        <w:instrText xml:space="preserve"> PAGEREF _Toc23448 \h </w:instrText>
      </w:r>
      <w:r>
        <w:fldChar w:fldCharType="separate"/>
      </w:r>
      <w:r>
        <w:t>87</w:t>
      </w:r>
      <w:r>
        <w:fldChar w:fldCharType="end"/>
      </w:r>
      <w:r>
        <w:rPr>
          <w:rFonts w:hint="eastAsia" w:ascii="仿宋" w:hAnsi="仿宋" w:eastAsia="仿宋" w:cs="仿宋"/>
          <w:color w:val="auto"/>
          <w:kern w:val="0"/>
          <w:szCs w:val="21"/>
          <w:highlight w:val="none"/>
        </w:rPr>
        <w:fldChar w:fldCharType="end"/>
      </w:r>
    </w:p>
    <w:p w14:paraId="587CBC49">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_Toc7566 </w:instrText>
      </w:r>
      <w:r>
        <w:rPr>
          <w:rFonts w:hint="eastAsia" w:ascii="仿宋" w:hAnsi="仿宋" w:eastAsia="仿宋" w:cs="仿宋"/>
          <w:kern w:val="0"/>
          <w:szCs w:val="21"/>
          <w:highlight w:val="none"/>
        </w:rPr>
        <w:fldChar w:fldCharType="separate"/>
      </w:r>
      <w:r>
        <w:rPr>
          <w:rFonts w:hint="eastAsia" w:ascii="仿宋" w:hAnsi="仿宋" w:eastAsia="仿宋" w:cs="仿宋"/>
        </w:rPr>
        <w:t>2.17 合同使用的文字和适用的法律</w:t>
      </w:r>
      <w:r>
        <w:tab/>
      </w:r>
      <w:r>
        <w:fldChar w:fldCharType="begin"/>
      </w:r>
      <w:r>
        <w:instrText xml:space="preserve"> PAGEREF _Toc7566 \h </w:instrText>
      </w:r>
      <w:r>
        <w:fldChar w:fldCharType="separate"/>
      </w:r>
      <w:r>
        <w:t>88</w:t>
      </w:r>
      <w:r>
        <w:fldChar w:fldCharType="end"/>
      </w:r>
      <w:r>
        <w:rPr>
          <w:rFonts w:hint="eastAsia" w:ascii="仿宋" w:hAnsi="仿宋" w:eastAsia="仿宋" w:cs="仿宋"/>
          <w:color w:val="auto"/>
          <w:kern w:val="0"/>
          <w:szCs w:val="21"/>
          <w:highlight w:val="none"/>
        </w:rPr>
        <w:fldChar w:fldCharType="end"/>
      </w:r>
    </w:p>
    <w:p w14:paraId="509ADC64">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_Toc8695 </w:instrText>
      </w:r>
      <w:r>
        <w:rPr>
          <w:rFonts w:hint="eastAsia" w:ascii="仿宋" w:hAnsi="仿宋" w:eastAsia="仿宋" w:cs="仿宋"/>
          <w:kern w:val="0"/>
          <w:szCs w:val="21"/>
          <w:highlight w:val="none"/>
        </w:rPr>
        <w:fldChar w:fldCharType="separate"/>
      </w:r>
      <w:r>
        <w:rPr>
          <w:rFonts w:hint="eastAsia" w:ascii="仿宋" w:hAnsi="仿宋" w:eastAsia="仿宋" w:cs="仿宋"/>
        </w:rPr>
        <w:t>2.18 履约保证金</w:t>
      </w:r>
      <w:r>
        <w:tab/>
      </w:r>
      <w:r>
        <w:fldChar w:fldCharType="begin"/>
      </w:r>
      <w:r>
        <w:instrText xml:space="preserve"> PAGEREF _Toc8695 \h </w:instrText>
      </w:r>
      <w:r>
        <w:fldChar w:fldCharType="separate"/>
      </w:r>
      <w:r>
        <w:t>88</w:t>
      </w:r>
      <w:r>
        <w:fldChar w:fldCharType="end"/>
      </w:r>
      <w:r>
        <w:rPr>
          <w:rFonts w:hint="eastAsia" w:ascii="仿宋" w:hAnsi="仿宋" w:eastAsia="仿宋" w:cs="仿宋"/>
          <w:color w:val="auto"/>
          <w:kern w:val="0"/>
          <w:szCs w:val="21"/>
          <w:highlight w:val="none"/>
        </w:rPr>
        <w:fldChar w:fldCharType="end"/>
      </w:r>
    </w:p>
    <w:p w14:paraId="6D3F2B43">
      <w:pPr>
        <w:pStyle w:val="30"/>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_Toc28046 </w:instrText>
      </w:r>
      <w:r>
        <w:rPr>
          <w:rFonts w:hint="eastAsia" w:ascii="仿宋" w:hAnsi="仿宋" w:eastAsia="仿宋" w:cs="仿宋"/>
          <w:kern w:val="0"/>
          <w:szCs w:val="21"/>
          <w:highlight w:val="none"/>
        </w:rPr>
        <w:fldChar w:fldCharType="separate"/>
      </w:r>
      <w:r>
        <w:rPr>
          <w:rFonts w:hint="eastAsia" w:ascii="仿宋" w:hAnsi="仿宋" w:eastAsia="仿宋" w:cs="仿宋"/>
        </w:rPr>
        <w:t>2.19 合同份数</w:t>
      </w:r>
      <w:r>
        <w:tab/>
      </w:r>
      <w:r>
        <w:fldChar w:fldCharType="begin"/>
      </w:r>
      <w:r>
        <w:instrText xml:space="preserve"> PAGEREF _Toc28046 \h </w:instrText>
      </w:r>
      <w:r>
        <w:fldChar w:fldCharType="separate"/>
      </w:r>
      <w:r>
        <w:t>88</w:t>
      </w:r>
      <w:r>
        <w:fldChar w:fldCharType="end"/>
      </w:r>
      <w:r>
        <w:rPr>
          <w:rFonts w:hint="eastAsia" w:ascii="仿宋" w:hAnsi="仿宋" w:eastAsia="仿宋" w:cs="仿宋"/>
          <w:color w:val="auto"/>
          <w:kern w:val="0"/>
          <w:szCs w:val="21"/>
          <w:highlight w:val="none"/>
        </w:rPr>
        <w:fldChar w:fldCharType="end"/>
      </w:r>
    </w:p>
    <w:p w14:paraId="4722E172">
      <w:pPr>
        <w:pStyle w:val="24"/>
        <w:tabs>
          <w:tab w:val="right" w:leader="dot" w:pos="8312"/>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_Toc6468 </w:instrText>
      </w:r>
      <w:r>
        <w:rPr>
          <w:rFonts w:hint="eastAsia" w:ascii="仿宋" w:hAnsi="仿宋" w:eastAsia="仿宋" w:cs="仿宋"/>
          <w:kern w:val="0"/>
          <w:szCs w:val="21"/>
          <w:highlight w:val="none"/>
        </w:rPr>
        <w:fldChar w:fldCharType="separate"/>
      </w:r>
      <w:r>
        <w:rPr>
          <w:rFonts w:hint="eastAsia" w:ascii="仿宋" w:hAnsi="仿宋" w:eastAsia="仿宋" w:cs="仿宋"/>
        </w:rPr>
        <w:t>第三部分  合同专用条款</w:t>
      </w:r>
      <w:r>
        <w:tab/>
      </w:r>
      <w:r>
        <w:fldChar w:fldCharType="begin"/>
      </w:r>
      <w:r>
        <w:instrText xml:space="preserve"> PAGEREF _Toc6468 \h </w:instrText>
      </w:r>
      <w:r>
        <w:fldChar w:fldCharType="separate"/>
      </w:r>
      <w:r>
        <w:t>88</w:t>
      </w:r>
      <w:r>
        <w:fldChar w:fldCharType="end"/>
      </w:r>
      <w:r>
        <w:rPr>
          <w:rFonts w:hint="eastAsia" w:ascii="仿宋" w:hAnsi="仿宋" w:eastAsia="仿宋" w:cs="仿宋"/>
          <w:color w:val="auto"/>
          <w:kern w:val="0"/>
          <w:szCs w:val="21"/>
          <w:highlight w:val="none"/>
        </w:rPr>
        <w:fldChar w:fldCharType="end"/>
      </w:r>
    </w:p>
    <w:p w14:paraId="31A45DC5">
      <w:pPr>
        <w:numPr>
          <w:ilvl w:val="0"/>
          <w:numId w:val="0"/>
        </w:numPr>
        <w:tabs>
          <w:tab w:val="left" w:pos="0"/>
        </w:tabs>
        <w:spacing w:before="0" w:after="0" w:line="240" w:lineRule="atLeast"/>
        <w:ind w:leftChars="0"/>
        <w:jc w:val="both"/>
        <w:outlineLvl w:val="9"/>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fldChar w:fldCharType="end"/>
      </w:r>
      <w:r>
        <w:rPr>
          <w:rFonts w:hint="eastAsia" w:ascii="仿宋" w:hAnsi="仿宋" w:eastAsia="仿宋" w:cs="仿宋"/>
          <w:color w:val="auto"/>
          <w:kern w:val="0"/>
          <w:szCs w:val="21"/>
          <w:highlight w:val="none"/>
          <w:lang w:val="en-US" w:eastAsia="zh-CN"/>
        </w:rPr>
        <w:t xml:space="preserve">                        </w:t>
      </w:r>
    </w:p>
    <w:p w14:paraId="2E4452CE">
      <w:pPr>
        <w:numPr>
          <w:ilvl w:val="0"/>
          <w:numId w:val="0"/>
        </w:numPr>
        <w:tabs>
          <w:tab w:val="left" w:pos="0"/>
        </w:tabs>
        <w:spacing w:before="0" w:after="0" w:line="240" w:lineRule="atLeast"/>
        <w:ind w:firstLine="1890" w:firstLineChars="900"/>
        <w:jc w:val="both"/>
        <w:outlineLvl w:val="9"/>
        <w:rPr>
          <w:rFonts w:hint="eastAsia" w:ascii="仿宋" w:hAnsi="仿宋" w:eastAsia="仿宋" w:cs="仿宋"/>
          <w:color w:val="auto"/>
          <w:highlight w:val="none"/>
          <w:lang w:eastAsia="zh-CN"/>
        </w:rPr>
      </w:pPr>
    </w:p>
    <w:p w14:paraId="0D659E43">
      <w:pPr>
        <w:numPr>
          <w:ilvl w:val="0"/>
          <w:numId w:val="0"/>
        </w:numPr>
        <w:tabs>
          <w:tab w:val="left" w:pos="0"/>
        </w:tabs>
        <w:spacing w:before="0" w:after="0" w:line="240" w:lineRule="atLeast"/>
        <w:jc w:val="both"/>
        <w:outlineLvl w:val="9"/>
        <w:rPr>
          <w:rFonts w:hint="eastAsia" w:ascii="仿宋" w:hAnsi="仿宋" w:eastAsia="仿宋" w:cs="仿宋"/>
          <w:color w:val="auto"/>
          <w:highlight w:val="none"/>
          <w:lang w:eastAsia="zh-CN"/>
        </w:rPr>
      </w:pPr>
    </w:p>
    <w:bookmarkEnd w:id="0"/>
    <w:bookmarkEnd w:id="1"/>
    <w:bookmarkEnd w:id="2"/>
    <w:bookmarkEnd w:id="3"/>
    <w:bookmarkEnd w:id="4"/>
    <w:p w14:paraId="451AD999">
      <w:pPr>
        <w:pStyle w:val="2"/>
        <w:numPr>
          <w:ilvl w:val="0"/>
          <w:numId w:val="0"/>
        </w:numPr>
        <w:tabs>
          <w:tab w:val="left" w:pos="0"/>
        </w:tabs>
        <w:spacing w:before="0" w:after="0" w:line="240" w:lineRule="atLeast"/>
        <w:ind w:firstLine="2880" w:firstLineChars="900"/>
        <w:jc w:val="both"/>
        <w:rPr>
          <w:rFonts w:hint="eastAsia" w:ascii="仿宋" w:hAnsi="仿宋" w:eastAsia="仿宋" w:cs="仿宋"/>
          <w:color w:val="auto"/>
          <w:highlight w:val="none"/>
          <w:lang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bookmarkStart w:id="5" w:name="_Toc520356144"/>
      <w:bookmarkStart w:id="6" w:name="_Toc32623"/>
      <w:bookmarkStart w:id="7" w:name="_Toc515647758"/>
      <w:bookmarkStart w:id="8" w:name="_Toc32189"/>
    </w:p>
    <w:p w14:paraId="231EFE51">
      <w:pPr>
        <w:pStyle w:val="2"/>
        <w:numPr>
          <w:ilvl w:val="0"/>
          <w:numId w:val="0"/>
        </w:numPr>
        <w:tabs>
          <w:tab w:val="left" w:pos="0"/>
        </w:tabs>
        <w:spacing w:before="0" w:after="0" w:line="240" w:lineRule="atLeast"/>
        <w:ind w:firstLine="2880" w:firstLineChars="900"/>
        <w:jc w:val="both"/>
        <w:rPr>
          <w:rFonts w:hint="eastAsia" w:ascii="仿宋" w:hAnsi="仿宋" w:eastAsia="仿宋" w:cs="仿宋"/>
          <w:color w:val="auto"/>
          <w:highlight w:val="none"/>
        </w:rPr>
      </w:pPr>
      <w:bookmarkStart w:id="9" w:name="_Toc10614"/>
      <w:r>
        <w:rPr>
          <w:rFonts w:hint="eastAsia" w:ascii="仿宋" w:hAnsi="仿宋" w:eastAsia="仿宋" w:cs="仿宋"/>
          <w:color w:val="auto"/>
          <w:highlight w:val="none"/>
          <w:lang w:eastAsia="zh-CN"/>
        </w:rPr>
        <w:t>第一章</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投标人须知</w:t>
      </w:r>
      <w:bookmarkEnd w:id="9"/>
    </w:p>
    <w:p w14:paraId="79D094CE">
      <w:pPr>
        <w:pStyle w:val="3"/>
        <w:spacing w:before="0" w:line="240" w:lineRule="atLeast"/>
        <w:ind w:firstLine="3640" w:firstLineChars="1300"/>
        <w:jc w:val="both"/>
        <w:rPr>
          <w:rFonts w:hint="eastAsia" w:ascii="仿宋" w:hAnsi="仿宋" w:eastAsia="仿宋" w:cs="仿宋"/>
          <w:color w:val="auto"/>
          <w:sz w:val="28"/>
          <w:highlight w:val="none"/>
        </w:rPr>
      </w:pPr>
      <w:bookmarkStart w:id="10" w:name="_Toc31464"/>
      <w:r>
        <w:rPr>
          <w:rFonts w:hint="eastAsia" w:ascii="仿宋" w:hAnsi="仿宋" w:eastAsia="仿宋" w:cs="仿宋"/>
          <w:color w:val="auto"/>
          <w:sz w:val="28"/>
          <w:highlight w:val="none"/>
        </w:rPr>
        <w:t>一   总 则</w:t>
      </w:r>
      <w:bookmarkEnd w:id="10"/>
    </w:p>
    <w:p w14:paraId="67AD88CF">
      <w:pPr>
        <w:pStyle w:val="4"/>
        <w:spacing w:before="0" w:after="0" w:line="240" w:lineRule="atLeast"/>
        <w:rPr>
          <w:rFonts w:hint="eastAsia" w:ascii="仿宋" w:hAnsi="仿宋" w:eastAsia="仿宋" w:cs="仿宋"/>
          <w:color w:val="auto"/>
          <w:highlight w:val="none"/>
          <w:u w:val="none"/>
        </w:rPr>
      </w:pPr>
      <w:bookmarkStart w:id="11" w:name="_Toc21329"/>
      <w:r>
        <w:rPr>
          <w:rFonts w:hint="eastAsia" w:ascii="仿宋" w:hAnsi="仿宋" w:eastAsia="仿宋" w:cs="仿宋"/>
          <w:color w:val="auto"/>
          <w:highlight w:val="none"/>
          <w:u w:val="none"/>
        </w:rPr>
        <w:t>1.采购人、采购代理机构及</w:t>
      </w:r>
      <w:bookmarkEnd w:id="5"/>
      <w:r>
        <w:rPr>
          <w:rFonts w:hint="eastAsia" w:ascii="仿宋" w:hAnsi="仿宋" w:eastAsia="仿宋" w:cs="仿宋"/>
          <w:color w:val="auto"/>
          <w:highlight w:val="none"/>
          <w:u w:val="none"/>
        </w:rPr>
        <w:t>投标人</w:t>
      </w:r>
      <w:bookmarkEnd w:id="6"/>
      <w:bookmarkEnd w:id="7"/>
      <w:bookmarkEnd w:id="8"/>
      <w:bookmarkEnd w:id="11"/>
    </w:p>
    <w:p w14:paraId="56D78CF3">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采购人：是指依法开展政府采购活动的国家机关、事业单位、团体组织。</w:t>
      </w:r>
    </w:p>
    <w:p w14:paraId="60ECDA15">
      <w:pPr>
        <w:tabs>
          <w:tab w:val="left" w:pos="0"/>
        </w:tabs>
        <w:spacing w:line="240" w:lineRule="atLeast"/>
        <w:ind w:left="9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本项目的采购人见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6BFCE3AB">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采购代理机构：是指在集中采购机构或从事采购代理业务的社会中介机构。本项目的采购代理机构见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53EA21C1">
      <w:pPr>
        <w:numPr>
          <w:ilvl w:val="1"/>
          <w:numId w:val="2"/>
        </w:numPr>
        <w:spacing w:line="240" w:lineRule="atLeast"/>
        <w:ind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投标人：是指向采购人提供货物、工程或者服务的法人、非法人组织或者自然人。本项目的投标人及其投标货物须满足以下条件：</w:t>
      </w:r>
    </w:p>
    <w:p w14:paraId="142289CA">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在中华人民共和国境内注册，能够独立承担民事责任，有生产或供应能力的本国供应商。</w:t>
      </w:r>
    </w:p>
    <w:p w14:paraId="01AA09C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  具备《中华人民共和国政府采购法》第二十二条关于供应商条件的规定，遵守本项目采购人本级和上级财政部门政府采购的有关规定。</w:t>
      </w:r>
    </w:p>
    <w:p w14:paraId="7E4C73C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1.3.3   以采购代理机构认可的方式获得了本项目的招标文件。</w:t>
      </w:r>
    </w:p>
    <w:p w14:paraId="759F5FE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1.3.4   符合</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中规定的其他要求。</w:t>
      </w:r>
    </w:p>
    <w:p w14:paraId="77C2C53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1.3.5   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中写明允许采购进口产品，投标人应保证所投产品可履行合法报通关手续进入中国关境内。</w:t>
      </w:r>
    </w:p>
    <w:p w14:paraId="367B4224">
      <w:pPr>
        <w:spacing w:line="240" w:lineRule="atLeast"/>
        <w:ind w:left="898" w:leftChars="428"/>
        <w:rPr>
          <w:rFonts w:hint="eastAsia" w:ascii="仿宋" w:hAnsi="仿宋" w:eastAsia="仿宋" w:cs="仿宋"/>
          <w:color w:val="auto"/>
          <w:sz w:val="24"/>
          <w:highlight w:val="none"/>
        </w:rPr>
      </w:pPr>
      <w:r>
        <w:rPr>
          <w:rFonts w:hint="eastAsia" w:ascii="仿宋" w:hAnsi="仿宋" w:eastAsia="仿宋" w:cs="仿宋"/>
          <w:color w:val="auto"/>
          <w:sz w:val="24"/>
          <w:highlight w:val="none"/>
        </w:rPr>
        <w:t>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中未写明允许采购进口产品，如投标人所投产品为进口产品，其投标将被认定为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E19DB4C">
      <w:pPr>
        <w:spacing w:line="240" w:lineRule="atLeast"/>
        <w:ind w:left="840"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1.3.6  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中写明专门面向中小企业采购的，如投标人为非中小企业</w:t>
      </w:r>
      <w:r>
        <w:rPr>
          <w:rFonts w:hint="eastAsia" w:ascii="仿宋" w:hAnsi="仿宋" w:eastAsia="仿宋" w:cs="仿宋"/>
          <w:color w:val="auto"/>
          <w:sz w:val="24"/>
          <w:highlight w:val="none"/>
          <w:lang w:eastAsia="zh-CN"/>
        </w:rPr>
        <w:t>（工程、服务）或</w:t>
      </w:r>
      <w:r>
        <w:rPr>
          <w:rFonts w:hint="eastAsia" w:ascii="仿宋" w:hAnsi="仿宋" w:eastAsia="仿宋" w:cs="仿宋"/>
          <w:color w:val="auto"/>
          <w:sz w:val="24"/>
          <w:highlight w:val="none"/>
        </w:rPr>
        <w:t>所投产品为非中小企业产品</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4D0BE3C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     如</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中允许联合体投标，对联合体规定如下：</w:t>
      </w:r>
    </w:p>
    <w:p w14:paraId="44552F6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   两个以上供应商可以组成一个投标联合体，以一个投标人的身份投标。</w:t>
      </w:r>
    </w:p>
    <w:p w14:paraId="650D878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   联合体各方均应符合《中华人民共和国政府采购法》第二十二条规定的条件。</w:t>
      </w:r>
    </w:p>
    <w:p w14:paraId="54DF4E2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采购人根据采购项目对投标人的特殊要求，联合体中至少应当有一方符合相关规定。</w:t>
      </w:r>
    </w:p>
    <w:p w14:paraId="7B018FB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1.4.4   联合体各方应签订共同投标协议，明确约定联合体各方承担的工作和相应的责任，并将共同投标协议连同作为投标文件第一部分的内容提交。</w:t>
      </w:r>
    </w:p>
    <w:p w14:paraId="353A3AB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4F056BB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1.4.6  联合体中有同类资质的供应商按照联合体分工承担相同工作的，按照较低的资质等级确定联合体的资质等级。</w:t>
      </w:r>
    </w:p>
    <w:p w14:paraId="0B0E0EF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1.4.7  以联合体形式参加政府采购活动的，联合体各方不得再单独参加或者与其他供应商另外组成联合体参加本项目投标，否则相关投标将被认定为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1F3402F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1.4.8   对联合体投标的其他资格要求见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5BC70937">
      <w:pPr>
        <w:spacing w:line="240" w:lineRule="atLeast"/>
        <w:ind w:left="900" w:hanging="900" w:hangingChars="375"/>
        <w:rPr>
          <w:rFonts w:hint="eastAsia" w:ascii="仿宋" w:hAnsi="仿宋" w:eastAsia="仿宋" w:cs="仿宋"/>
          <w:color w:val="auto"/>
          <w:sz w:val="24"/>
          <w:highlight w:val="none"/>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仿宋" w:hAnsi="仿宋" w:eastAsia="仿宋" w:cs="仿宋"/>
          <w:color w:val="auto"/>
          <w:sz w:val="24"/>
          <w:highlight w:val="none"/>
        </w:rPr>
        <w:t>1.5    单位负责人为同一人或者存在直接控股、管理关系的不同供应商，其相</w:t>
      </w:r>
    </w:p>
    <w:p w14:paraId="3D5C476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EE8158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    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38905C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投标人在投标过程中不得向采购人提供、给予任何有价值的物品，影响其正常决策行为。一经发现，其将被认定为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292E2A81">
      <w:pPr>
        <w:pStyle w:val="4"/>
        <w:spacing w:before="0" w:after="0" w:line="240" w:lineRule="atLeast"/>
        <w:rPr>
          <w:rFonts w:hint="eastAsia" w:ascii="仿宋" w:hAnsi="仿宋" w:eastAsia="仿宋" w:cs="仿宋"/>
          <w:color w:val="auto"/>
          <w:highlight w:val="none"/>
          <w:u w:val="none"/>
        </w:rPr>
      </w:pPr>
      <w:bookmarkStart w:id="12" w:name="_Toc5286"/>
      <w:bookmarkStart w:id="13" w:name="_Toc8839"/>
      <w:bookmarkStart w:id="14" w:name="_Toc12139"/>
      <w:bookmarkStart w:id="15" w:name="_Toc515647759"/>
      <w:r>
        <w:rPr>
          <w:rFonts w:hint="eastAsia" w:ascii="仿宋" w:hAnsi="仿宋" w:eastAsia="仿宋" w:cs="仿宋"/>
          <w:color w:val="auto"/>
          <w:highlight w:val="none"/>
          <w:u w:val="none"/>
        </w:rPr>
        <w:t>2.资金来源</w:t>
      </w:r>
      <w:bookmarkEnd w:id="12"/>
      <w:bookmarkEnd w:id="13"/>
      <w:bookmarkEnd w:id="14"/>
      <w:bookmarkEnd w:id="15"/>
    </w:p>
    <w:p w14:paraId="40B1686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本项目的采购人已获得足以支付本次招标后所签订的合同项下的资金（包括财政性资金和本项目采购中无法与财政性资金分割的非财政性资金）。</w:t>
      </w:r>
    </w:p>
    <w:p w14:paraId="4BA60AE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    项目预算金额和分项或分包最高限价</w:t>
      </w:r>
      <w:r>
        <w:rPr>
          <w:rFonts w:hint="eastAsia" w:ascii="仿宋" w:hAnsi="仿宋" w:eastAsia="仿宋" w:cs="仿宋"/>
          <w:color w:val="auto"/>
          <w:sz w:val="24"/>
          <w:highlight w:val="none"/>
          <w:u w:val="single"/>
        </w:rPr>
        <w:t>见投标人须知资料表</w:t>
      </w:r>
      <w:r>
        <w:rPr>
          <w:rFonts w:hint="eastAsia" w:ascii="仿宋" w:hAnsi="仿宋" w:eastAsia="仿宋" w:cs="仿宋"/>
          <w:color w:val="auto"/>
          <w:sz w:val="24"/>
          <w:highlight w:val="none"/>
        </w:rPr>
        <w:t>。</w:t>
      </w:r>
    </w:p>
    <w:p w14:paraId="2028964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投标人报价超过招标文件规定的预算金额或者分项、分包最高限价的，其投标将被认定为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11CB7283">
      <w:pPr>
        <w:pStyle w:val="4"/>
        <w:spacing w:before="0" w:after="0" w:line="240" w:lineRule="atLeast"/>
        <w:rPr>
          <w:rFonts w:hint="eastAsia" w:ascii="仿宋" w:hAnsi="仿宋" w:eastAsia="仿宋" w:cs="仿宋"/>
          <w:color w:val="auto"/>
          <w:highlight w:val="none"/>
          <w:u w:val="none"/>
        </w:rPr>
      </w:pPr>
      <w:bookmarkStart w:id="16" w:name="_Toc520356145"/>
      <w:bookmarkStart w:id="17" w:name="_Toc12163"/>
      <w:bookmarkStart w:id="18" w:name="_Toc15936"/>
      <w:bookmarkStart w:id="19" w:name="_Toc20526"/>
      <w:bookmarkStart w:id="20" w:name="_Toc515647760"/>
      <w:r>
        <w:rPr>
          <w:rFonts w:hint="eastAsia" w:ascii="仿宋" w:hAnsi="仿宋" w:eastAsia="仿宋" w:cs="仿宋"/>
          <w:color w:val="auto"/>
          <w:highlight w:val="none"/>
          <w:u w:val="none"/>
        </w:rPr>
        <w:t>3.投标费用</w:t>
      </w:r>
      <w:bookmarkEnd w:id="16"/>
      <w:bookmarkEnd w:id="17"/>
      <w:bookmarkEnd w:id="18"/>
      <w:bookmarkEnd w:id="19"/>
      <w:bookmarkEnd w:id="20"/>
    </w:p>
    <w:p w14:paraId="628BCA6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不论投标的结果如何，投标人应承担所有与准备和参加投标有关的费用。</w:t>
      </w:r>
    </w:p>
    <w:p w14:paraId="64FBA34A">
      <w:pPr>
        <w:pStyle w:val="4"/>
        <w:spacing w:before="0" w:after="0" w:line="240" w:lineRule="atLeast"/>
        <w:rPr>
          <w:rFonts w:hint="eastAsia" w:ascii="仿宋" w:hAnsi="仿宋" w:eastAsia="仿宋" w:cs="仿宋"/>
          <w:color w:val="auto"/>
          <w:highlight w:val="none"/>
          <w:u w:val="none"/>
        </w:rPr>
      </w:pPr>
      <w:bookmarkStart w:id="21" w:name="_Toc6116"/>
      <w:bookmarkStart w:id="22" w:name="_Toc4463"/>
      <w:bookmarkStart w:id="23" w:name="_Toc19683"/>
      <w:bookmarkStart w:id="24" w:name="_Toc515647761"/>
      <w:r>
        <w:rPr>
          <w:rFonts w:hint="eastAsia" w:ascii="仿宋" w:hAnsi="仿宋" w:eastAsia="仿宋" w:cs="仿宋"/>
          <w:color w:val="auto"/>
          <w:highlight w:val="none"/>
          <w:u w:val="none"/>
        </w:rPr>
        <w:t>4.适用法律</w:t>
      </w:r>
      <w:bookmarkEnd w:id="21"/>
      <w:bookmarkEnd w:id="22"/>
      <w:bookmarkEnd w:id="23"/>
      <w:bookmarkEnd w:id="24"/>
    </w:p>
    <w:p w14:paraId="4BB6A24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本项目采购人、采购代理机构、投标人、评标委员会的相关行为均受《中华人民共和国政府采购法》、《中华人民共和国政府采购法实施条例》</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《政府采购货物和服务招标投标管理办法》（财政部第 </w:t>
      </w:r>
      <w:r>
        <w:rPr>
          <w:rFonts w:hint="eastAsia" w:ascii="仿宋" w:hAnsi="仿宋" w:eastAsia="仿宋" w:cs="仿宋"/>
          <w:color w:val="auto"/>
          <w:sz w:val="24"/>
          <w:highlight w:val="none"/>
          <w:lang w:val="en-US" w:eastAsia="zh-CN"/>
        </w:rPr>
        <w:t>87</w:t>
      </w:r>
      <w:r>
        <w:rPr>
          <w:rFonts w:hint="eastAsia" w:ascii="仿宋" w:hAnsi="仿宋" w:eastAsia="仿宋" w:cs="仿宋"/>
          <w:color w:val="auto"/>
          <w:sz w:val="24"/>
          <w:highlight w:val="none"/>
        </w:rPr>
        <w:t xml:space="preserve"> 号令）等及本项目本级和上级财政部门政府采购有关规定的约束，其权利受到上述法律法规的保护。</w:t>
      </w:r>
    </w:p>
    <w:p w14:paraId="317AF507">
      <w:pPr>
        <w:spacing w:line="240" w:lineRule="atLeast"/>
        <w:rPr>
          <w:rFonts w:hint="eastAsia" w:ascii="仿宋" w:hAnsi="仿宋" w:eastAsia="仿宋" w:cs="仿宋"/>
          <w:color w:val="auto"/>
          <w:sz w:val="24"/>
          <w:highlight w:val="none"/>
        </w:rPr>
      </w:pPr>
    </w:p>
    <w:p w14:paraId="422AE730">
      <w:pPr>
        <w:pStyle w:val="3"/>
        <w:spacing w:before="0" w:line="240" w:lineRule="atLeast"/>
        <w:ind w:left="1079" w:leftChars="257" w:hanging="540"/>
        <w:rPr>
          <w:rFonts w:hint="eastAsia" w:ascii="仿宋" w:hAnsi="仿宋" w:eastAsia="仿宋" w:cs="仿宋"/>
          <w:color w:val="auto"/>
          <w:sz w:val="28"/>
          <w:highlight w:val="none"/>
        </w:rPr>
      </w:pPr>
      <w:bookmarkStart w:id="25" w:name="_Toc21566"/>
      <w:bookmarkStart w:id="26" w:name="_Toc19260"/>
      <w:bookmarkStart w:id="27" w:name="_Toc520356146"/>
      <w:bookmarkStart w:id="28" w:name="_Toc515647762"/>
      <w:bookmarkStart w:id="29" w:name="_Toc216582806"/>
      <w:bookmarkStart w:id="30" w:name="_Toc4365"/>
      <w:r>
        <w:rPr>
          <w:rFonts w:hint="eastAsia" w:ascii="仿宋" w:hAnsi="仿宋" w:eastAsia="仿宋" w:cs="仿宋"/>
          <w:color w:val="auto"/>
          <w:sz w:val="28"/>
          <w:highlight w:val="none"/>
        </w:rPr>
        <w:t>二   招标文件</w:t>
      </w:r>
      <w:bookmarkEnd w:id="25"/>
      <w:bookmarkEnd w:id="26"/>
      <w:bookmarkEnd w:id="27"/>
      <w:bookmarkEnd w:id="28"/>
      <w:bookmarkEnd w:id="29"/>
      <w:bookmarkEnd w:id="30"/>
    </w:p>
    <w:p w14:paraId="1C9F0EDC">
      <w:pPr>
        <w:pStyle w:val="9"/>
        <w:rPr>
          <w:rFonts w:hint="eastAsia" w:ascii="仿宋" w:hAnsi="仿宋" w:eastAsia="仿宋" w:cs="仿宋"/>
          <w:color w:val="auto"/>
          <w:highlight w:val="none"/>
        </w:rPr>
      </w:pPr>
    </w:p>
    <w:p w14:paraId="401D0125">
      <w:pPr>
        <w:pStyle w:val="4"/>
        <w:spacing w:before="0" w:after="0" w:line="240" w:lineRule="atLeast"/>
        <w:rPr>
          <w:rFonts w:hint="eastAsia" w:ascii="仿宋" w:hAnsi="仿宋" w:eastAsia="仿宋" w:cs="仿宋"/>
          <w:color w:val="auto"/>
          <w:highlight w:val="none"/>
          <w:u w:val="none"/>
        </w:rPr>
      </w:pPr>
      <w:bookmarkStart w:id="31" w:name="_Toc515647763"/>
      <w:bookmarkStart w:id="32" w:name="_Toc25743"/>
      <w:bookmarkStart w:id="33" w:name="_Toc14084"/>
      <w:bookmarkStart w:id="34" w:name="_Toc8819"/>
      <w:bookmarkStart w:id="35" w:name="_Toc520356147"/>
      <w:r>
        <w:rPr>
          <w:rFonts w:hint="eastAsia" w:ascii="仿宋" w:hAnsi="仿宋" w:eastAsia="仿宋" w:cs="仿宋"/>
          <w:color w:val="auto"/>
          <w:highlight w:val="none"/>
          <w:u w:val="none"/>
        </w:rPr>
        <w:t>5.招标文件构成</w:t>
      </w:r>
      <w:bookmarkEnd w:id="31"/>
      <w:bookmarkEnd w:id="32"/>
      <w:bookmarkEnd w:id="33"/>
      <w:bookmarkEnd w:id="34"/>
      <w:bookmarkEnd w:id="35"/>
    </w:p>
    <w:p w14:paraId="2CC58B9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招标文件分为三册共7章，内容如下：</w:t>
      </w:r>
    </w:p>
    <w:p w14:paraId="342BD755">
      <w:pPr>
        <w:spacing w:line="240" w:lineRule="atLeast"/>
        <w:ind w:left="1078" w:leftChars="428" w:hanging="180" w:hangingChars="75"/>
        <w:rPr>
          <w:rFonts w:hint="eastAsia" w:ascii="仿宋" w:hAnsi="仿宋" w:eastAsia="仿宋" w:cs="仿宋"/>
          <w:color w:val="auto"/>
          <w:sz w:val="24"/>
          <w:highlight w:val="none"/>
        </w:rPr>
      </w:pPr>
      <w:r>
        <w:rPr>
          <w:rFonts w:hint="eastAsia" w:ascii="仿宋" w:hAnsi="仿宋" w:eastAsia="仿宋" w:cs="仿宋"/>
          <w:color w:val="auto"/>
          <w:sz w:val="24"/>
          <w:highlight w:val="none"/>
        </w:rPr>
        <w:t>第一册</w:t>
      </w:r>
    </w:p>
    <w:p w14:paraId="3E9CFDFB">
      <w:pPr>
        <w:numPr>
          <w:ilvl w:val="0"/>
          <w:numId w:val="3"/>
        </w:numPr>
        <w:tabs>
          <w:tab w:val="left" w:pos="0"/>
        </w:tabs>
        <w:spacing w:line="240" w:lineRule="atLeast"/>
        <w:ind w:hanging="82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投标人须知</w:t>
      </w:r>
    </w:p>
    <w:p w14:paraId="13F90D21">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投标文件格式</w:t>
      </w:r>
    </w:p>
    <w:p w14:paraId="7F078918">
      <w:p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第二册</w:t>
      </w:r>
    </w:p>
    <w:p w14:paraId="4A61CB67">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投标邀请</w:t>
      </w:r>
    </w:p>
    <w:p w14:paraId="6D4E2A74">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投标人须知资料表</w:t>
      </w:r>
    </w:p>
    <w:p w14:paraId="3935AD27">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货物需求一览表及技术规格</w:t>
      </w:r>
    </w:p>
    <w:p w14:paraId="428C35E5">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评标方法和标准</w:t>
      </w:r>
    </w:p>
    <w:p w14:paraId="39B5C34D">
      <w:pPr>
        <w:spacing w:line="240" w:lineRule="atLeast"/>
        <w:ind w:left="901"/>
        <w:rPr>
          <w:rFonts w:hint="eastAsia" w:ascii="仿宋" w:hAnsi="仿宋" w:eastAsia="仿宋" w:cs="仿宋"/>
          <w:color w:val="auto"/>
          <w:sz w:val="24"/>
          <w:highlight w:val="none"/>
        </w:rPr>
      </w:pPr>
      <w:r>
        <w:rPr>
          <w:rFonts w:hint="eastAsia" w:ascii="仿宋" w:hAnsi="仿宋" w:eastAsia="仿宋" w:cs="仿宋"/>
          <w:color w:val="auto"/>
          <w:sz w:val="24"/>
          <w:highlight w:val="none"/>
        </w:rPr>
        <w:t>第三册</w:t>
      </w:r>
    </w:p>
    <w:p w14:paraId="7F982482">
      <w:pPr>
        <w:numPr>
          <w:ilvl w:val="0"/>
          <w:numId w:val="3"/>
        </w:numPr>
        <w:spacing w:line="240" w:lineRule="atLeast"/>
        <w:ind w:left="718" w:leftChars="342"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政府采购合同格式</w:t>
      </w:r>
    </w:p>
    <w:p w14:paraId="2B3DE26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如本文件的前后内容不一致，以最后描述为准。</w:t>
      </w:r>
    </w:p>
    <w:p w14:paraId="7AE8C66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5.3    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15DEC068">
      <w:pPr>
        <w:pStyle w:val="4"/>
        <w:spacing w:before="0" w:after="0" w:line="240" w:lineRule="atLeast"/>
        <w:rPr>
          <w:rFonts w:hint="eastAsia" w:ascii="仿宋" w:hAnsi="仿宋" w:eastAsia="仿宋" w:cs="仿宋"/>
          <w:color w:val="auto"/>
          <w:highlight w:val="none"/>
          <w:u w:val="none"/>
        </w:rPr>
      </w:pPr>
      <w:bookmarkStart w:id="36" w:name="_Toc515904805"/>
      <w:bookmarkStart w:id="37" w:name="_Toc520356148"/>
      <w:bookmarkStart w:id="38" w:name="_Toc25846"/>
      <w:bookmarkStart w:id="39" w:name="_Toc9232"/>
      <w:bookmarkStart w:id="40" w:name="_Toc26044"/>
      <w:r>
        <w:rPr>
          <w:rFonts w:hint="eastAsia" w:ascii="仿宋" w:hAnsi="仿宋" w:eastAsia="仿宋" w:cs="仿宋"/>
          <w:color w:val="auto"/>
          <w:highlight w:val="none"/>
          <w:u w:val="none"/>
        </w:rPr>
        <w:t>6.招标文件的澄清</w:t>
      </w:r>
      <w:bookmarkEnd w:id="36"/>
      <w:bookmarkEnd w:id="37"/>
      <w:r>
        <w:rPr>
          <w:rFonts w:hint="eastAsia" w:ascii="仿宋" w:hAnsi="仿宋" w:eastAsia="仿宋" w:cs="仿宋"/>
          <w:color w:val="auto"/>
          <w:highlight w:val="none"/>
          <w:u w:val="none"/>
        </w:rPr>
        <w:t>与修改</w:t>
      </w:r>
      <w:bookmarkEnd w:id="38"/>
      <w:bookmarkEnd w:id="39"/>
      <w:bookmarkEnd w:id="40"/>
    </w:p>
    <w:p w14:paraId="367CCD6F">
      <w:pPr>
        <w:pStyle w:val="9"/>
        <w:ind w:left="840" w:hanging="840" w:hangingChars="350"/>
        <w:rPr>
          <w:rFonts w:hint="eastAsia" w:ascii="仿宋" w:hAnsi="仿宋" w:eastAsia="仿宋" w:cs="仿宋"/>
          <w:color w:val="auto"/>
          <w:szCs w:val="24"/>
          <w:highlight w:val="none"/>
        </w:rPr>
      </w:pPr>
      <w:r>
        <w:rPr>
          <w:rFonts w:hint="eastAsia" w:ascii="仿宋" w:hAnsi="仿宋" w:eastAsia="仿宋" w:cs="仿宋"/>
          <w:color w:val="auto"/>
          <w:szCs w:val="24"/>
          <w:highlight w:val="none"/>
        </w:rPr>
        <w:t>6.1    为了保证对招标文件的澄清和修改满足法律的时限要求，任何要求对招标文件进行澄清的投标人，均应在投标截止期十五日前，以书面形式将澄清要求通知采购人或采购代理机构。</w:t>
      </w:r>
    </w:p>
    <w:p w14:paraId="04A3C736">
      <w:pPr>
        <w:pStyle w:val="9"/>
        <w:ind w:left="840" w:hanging="840" w:hangingChars="350"/>
        <w:rPr>
          <w:rFonts w:hint="eastAsia" w:ascii="仿宋" w:hAnsi="仿宋" w:eastAsia="仿宋" w:cs="仿宋"/>
          <w:color w:val="auto"/>
          <w:szCs w:val="24"/>
          <w:highlight w:val="none"/>
        </w:rPr>
      </w:pPr>
      <w:bookmarkStart w:id="41" w:name="_Toc515904806"/>
      <w:bookmarkStart w:id="42" w:name="_Toc520356149"/>
      <w:bookmarkStart w:id="43" w:name="_Ref467378678"/>
      <w:r>
        <w:rPr>
          <w:rFonts w:hint="eastAsia" w:ascii="仿宋" w:hAnsi="仿宋" w:eastAsia="仿宋" w:cs="仿宋"/>
          <w:color w:val="auto"/>
          <w:szCs w:val="24"/>
          <w:highlight w:val="none"/>
        </w:rPr>
        <w:t>6.2</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t>采购人可主动地或在解答投标人提出的澄清问题时对招标文件进行澄清或修改。采购代理机构将以发布澄清（更正）公告的方式，澄清或修改招标文件，澄清或修改内容作为招标文件的组成部分。</w:t>
      </w:r>
    </w:p>
    <w:p w14:paraId="7F61A0AB">
      <w:pPr>
        <w:pStyle w:val="9"/>
        <w:ind w:left="840" w:hanging="840" w:hangingChars="350"/>
        <w:rPr>
          <w:rFonts w:hint="eastAsia" w:ascii="仿宋" w:hAnsi="仿宋" w:eastAsia="仿宋" w:cs="仿宋"/>
          <w:color w:val="auto"/>
          <w:szCs w:val="24"/>
          <w:highlight w:val="none"/>
        </w:rPr>
      </w:pPr>
      <w:r>
        <w:rPr>
          <w:rFonts w:hint="eastAsia" w:ascii="仿宋" w:hAnsi="仿宋" w:eastAsia="仿宋" w:cs="仿宋"/>
          <w:color w:val="auto"/>
          <w:szCs w:val="24"/>
          <w:highlight w:val="none"/>
        </w:rPr>
        <w:t>6.3</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t>澄清或者修改的内容可能影响投标文件编制的，采购代理机构将以书面形式通知所有购买招标文件的潜在投标人，并对其具有约束力。投标人在收到上述通知后，应及时向采购代理机构回函确认。</w:t>
      </w:r>
    </w:p>
    <w:p w14:paraId="62A7281D">
      <w:pPr>
        <w:pStyle w:val="4"/>
        <w:tabs>
          <w:tab w:val="left" w:pos="900"/>
        </w:tabs>
        <w:spacing w:before="0" w:after="0" w:line="240" w:lineRule="atLeast"/>
        <w:rPr>
          <w:rFonts w:hint="eastAsia" w:ascii="仿宋" w:hAnsi="仿宋" w:eastAsia="仿宋" w:cs="仿宋"/>
          <w:color w:val="auto"/>
          <w:highlight w:val="none"/>
          <w:u w:val="none"/>
        </w:rPr>
      </w:pPr>
      <w:bookmarkStart w:id="44" w:name="_Toc14569"/>
      <w:bookmarkStart w:id="45" w:name="_Toc18473"/>
      <w:bookmarkStart w:id="46" w:name="_Toc25635"/>
      <w:r>
        <w:rPr>
          <w:rFonts w:hint="eastAsia" w:ascii="仿宋" w:hAnsi="仿宋" w:eastAsia="仿宋" w:cs="仿宋"/>
          <w:color w:val="auto"/>
          <w:highlight w:val="none"/>
          <w:u w:val="none"/>
        </w:rPr>
        <w:t>7</w:t>
      </w:r>
      <w:bookmarkEnd w:id="41"/>
      <w:bookmarkEnd w:id="42"/>
      <w:bookmarkEnd w:id="43"/>
      <w:r>
        <w:rPr>
          <w:rFonts w:hint="eastAsia" w:ascii="仿宋" w:hAnsi="仿宋" w:eastAsia="仿宋" w:cs="仿宋"/>
          <w:color w:val="auto"/>
          <w:highlight w:val="none"/>
          <w:u w:val="none"/>
        </w:rPr>
        <w:t>.投标截止时间的顺延</w:t>
      </w:r>
      <w:bookmarkEnd w:id="44"/>
      <w:bookmarkEnd w:id="45"/>
      <w:bookmarkEnd w:id="46"/>
    </w:p>
    <w:p w14:paraId="486E5C5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为使投标人准备投标时有足够的时间对招标文件的澄清或者修改部分进行研究，采购人将依法决定是否顺延投标截止时间。</w:t>
      </w:r>
    </w:p>
    <w:p w14:paraId="37ED4C41">
      <w:pPr>
        <w:spacing w:line="240" w:lineRule="atLeast"/>
        <w:ind w:left="900" w:hanging="900" w:hangingChars="375"/>
        <w:rPr>
          <w:rFonts w:hint="eastAsia" w:ascii="仿宋" w:hAnsi="仿宋" w:eastAsia="仿宋" w:cs="仿宋"/>
          <w:color w:val="auto"/>
          <w:sz w:val="24"/>
          <w:highlight w:val="none"/>
        </w:rPr>
      </w:pPr>
    </w:p>
    <w:p w14:paraId="2F8B43C7">
      <w:pPr>
        <w:pStyle w:val="3"/>
        <w:tabs>
          <w:tab w:val="left" w:pos="900"/>
        </w:tabs>
        <w:spacing w:before="0" w:line="240" w:lineRule="atLeast"/>
        <w:ind w:left="1079" w:leftChars="257" w:hanging="540"/>
        <w:rPr>
          <w:rFonts w:hint="eastAsia" w:ascii="仿宋" w:hAnsi="仿宋" w:eastAsia="仿宋" w:cs="仿宋"/>
          <w:color w:val="auto"/>
          <w:sz w:val="28"/>
          <w:highlight w:val="none"/>
        </w:rPr>
      </w:pPr>
      <w:bookmarkStart w:id="47" w:name="_Toc516367020"/>
      <w:bookmarkStart w:id="48" w:name="_Toc216582807"/>
      <w:bookmarkStart w:id="49" w:name="_Toc520356150"/>
      <w:bookmarkStart w:id="50" w:name="_Toc21709"/>
      <w:bookmarkStart w:id="51" w:name="_Toc515647766"/>
      <w:bookmarkStart w:id="52" w:name="_Toc7636"/>
      <w:bookmarkStart w:id="53" w:name="_Toc30808"/>
      <w:r>
        <w:rPr>
          <w:rFonts w:hint="eastAsia" w:ascii="仿宋" w:hAnsi="仿宋" w:eastAsia="仿宋" w:cs="仿宋"/>
          <w:color w:val="auto"/>
          <w:sz w:val="28"/>
          <w:highlight w:val="none"/>
        </w:rPr>
        <w:t>三   投标文件</w:t>
      </w:r>
      <w:bookmarkEnd w:id="47"/>
      <w:r>
        <w:rPr>
          <w:rFonts w:hint="eastAsia" w:ascii="仿宋" w:hAnsi="仿宋" w:eastAsia="仿宋" w:cs="仿宋"/>
          <w:color w:val="auto"/>
          <w:sz w:val="28"/>
          <w:highlight w:val="none"/>
        </w:rPr>
        <w:t>的编制</w:t>
      </w:r>
      <w:bookmarkEnd w:id="48"/>
      <w:bookmarkEnd w:id="49"/>
      <w:bookmarkEnd w:id="50"/>
      <w:bookmarkEnd w:id="51"/>
      <w:bookmarkEnd w:id="52"/>
      <w:bookmarkEnd w:id="53"/>
    </w:p>
    <w:p w14:paraId="1EED825F">
      <w:pPr>
        <w:pStyle w:val="9"/>
        <w:rPr>
          <w:rFonts w:hint="eastAsia" w:ascii="仿宋" w:hAnsi="仿宋" w:eastAsia="仿宋" w:cs="仿宋"/>
          <w:color w:val="auto"/>
          <w:highlight w:val="none"/>
        </w:rPr>
      </w:pPr>
    </w:p>
    <w:p w14:paraId="4D97AEDD">
      <w:pPr>
        <w:pStyle w:val="4"/>
        <w:tabs>
          <w:tab w:val="left" w:pos="900"/>
        </w:tabs>
        <w:spacing w:before="0" w:after="0" w:line="240" w:lineRule="atLeast"/>
        <w:rPr>
          <w:rFonts w:hint="eastAsia" w:ascii="仿宋" w:hAnsi="仿宋" w:eastAsia="仿宋" w:cs="仿宋"/>
          <w:color w:val="auto"/>
          <w:highlight w:val="none"/>
          <w:u w:val="none"/>
        </w:rPr>
      </w:pPr>
      <w:bookmarkStart w:id="54" w:name="_Toc516367021"/>
      <w:bookmarkStart w:id="55" w:name="_Toc10451"/>
      <w:bookmarkStart w:id="56" w:name="_Toc7786"/>
      <w:bookmarkStart w:id="57" w:name="_Toc520356151"/>
      <w:bookmarkStart w:id="58" w:name="_Toc515647767"/>
      <w:bookmarkStart w:id="59" w:name="_Toc3553"/>
      <w:r>
        <w:rPr>
          <w:rFonts w:hint="eastAsia" w:ascii="仿宋" w:hAnsi="仿宋" w:eastAsia="仿宋" w:cs="仿宋"/>
          <w:color w:val="auto"/>
          <w:highlight w:val="none"/>
          <w:u w:val="none"/>
        </w:rPr>
        <w:t>8.</w:t>
      </w:r>
      <w:r>
        <w:rPr>
          <w:rFonts w:hint="eastAsia" w:ascii="仿宋" w:hAnsi="仿宋" w:eastAsia="仿宋" w:cs="仿宋"/>
          <w:color w:val="auto"/>
          <w:highlight w:val="none"/>
          <w:u w:val="none"/>
        </w:rPr>
        <w:tab/>
      </w:r>
      <w:r>
        <w:rPr>
          <w:rFonts w:hint="eastAsia" w:ascii="仿宋" w:hAnsi="仿宋" w:eastAsia="仿宋" w:cs="仿宋"/>
          <w:color w:val="auto"/>
          <w:highlight w:val="none"/>
          <w:u w:val="none"/>
        </w:rPr>
        <w:t>投标范围及投标文件中标准和计量单位的使用</w:t>
      </w:r>
      <w:bookmarkEnd w:id="54"/>
      <w:bookmarkEnd w:id="55"/>
      <w:bookmarkEnd w:id="56"/>
      <w:bookmarkEnd w:id="57"/>
      <w:bookmarkEnd w:id="58"/>
      <w:bookmarkEnd w:id="59"/>
    </w:p>
    <w:p w14:paraId="556AFA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项目有分包的，投标人可对招标文件其中某一个或几个分包货物进行投标，除非在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中另有规定。</w:t>
      </w:r>
    </w:p>
    <w:p w14:paraId="0AE34A7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8.2     投标人应当对所投分包招标文件中“服务需求”所列的所有内容进行投标，如仅响应某一包中的部分内容，其该包投标将被认定为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3C93ED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8.3     无论招标文件第5章货物需求一览表及技术规格中是否要求，投标人所投货物均应符合国家强制性标准。</w:t>
      </w:r>
    </w:p>
    <w:p w14:paraId="121B2E1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8.4     除招标文件中有特殊要求外，投标文件中所使用的计量单位，应采用中华人民共和国法定计量单位。</w:t>
      </w:r>
    </w:p>
    <w:p w14:paraId="17F4EA61">
      <w:pPr>
        <w:pStyle w:val="4"/>
        <w:tabs>
          <w:tab w:val="left" w:pos="900"/>
        </w:tabs>
        <w:spacing w:before="0" w:after="0" w:line="240" w:lineRule="atLeast"/>
        <w:rPr>
          <w:rFonts w:hint="eastAsia" w:ascii="仿宋" w:hAnsi="仿宋" w:eastAsia="仿宋" w:cs="仿宋"/>
          <w:color w:val="auto"/>
          <w:highlight w:val="none"/>
          <w:u w:val="none"/>
        </w:rPr>
      </w:pPr>
      <w:bookmarkStart w:id="60" w:name="_Ref467306676"/>
      <w:bookmarkStart w:id="61" w:name="_Toc516367022"/>
      <w:bookmarkStart w:id="62" w:name="_Ref467306195"/>
      <w:bookmarkStart w:id="63" w:name="_Toc28307"/>
      <w:bookmarkStart w:id="64" w:name="_Toc520356152"/>
      <w:bookmarkStart w:id="65" w:name="_Toc10460"/>
      <w:bookmarkStart w:id="66" w:name="_Toc515647768"/>
      <w:bookmarkStart w:id="67" w:name="_Toc10364"/>
      <w:r>
        <w:rPr>
          <w:rFonts w:hint="eastAsia" w:ascii="仿宋" w:hAnsi="仿宋" w:eastAsia="仿宋" w:cs="仿宋"/>
          <w:color w:val="auto"/>
          <w:highlight w:val="none"/>
          <w:u w:val="none"/>
        </w:rPr>
        <w:t>9.</w:t>
      </w:r>
      <w:r>
        <w:rPr>
          <w:rFonts w:hint="eastAsia" w:ascii="仿宋" w:hAnsi="仿宋" w:eastAsia="仿宋" w:cs="仿宋"/>
          <w:color w:val="auto"/>
          <w:highlight w:val="none"/>
          <w:u w:val="none"/>
          <w:lang w:val="en-US" w:eastAsia="zh-CN"/>
        </w:rPr>
        <w:t xml:space="preserve"> </w:t>
      </w:r>
      <w:r>
        <w:rPr>
          <w:rFonts w:hint="eastAsia" w:ascii="仿宋" w:hAnsi="仿宋" w:eastAsia="仿宋" w:cs="仿宋"/>
          <w:color w:val="auto"/>
          <w:highlight w:val="none"/>
          <w:u w:val="none"/>
        </w:rPr>
        <w:t>投标文件</w:t>
      </w:r>
      <w:bookmarkEnd w:id="60"/>
      <w:bookmarkEnd w:id="61"/>
      <w:bookmarkEnd w:id="62"/>
      <w:r>
        <w:rPr>
          <w:rFonts w:hint="eastAsia" w:ascii="仿宋" w:hAnsi="仿宋" w:eastAsia="仿宋" w:cs="仿宋"/>
          <w:color w:val="auto"/>
          <w:highlight w:val="none"/>
          <w:u w:val="none"/>
        </w:rPr>
        <w:t>构成</w:t>
      </w:r>
      <w:bookmarkEnd w:id="63"/>
      <w:bookmarkEnd w:id="64"/>
      <w:bookmarkEnd w:id="65"/>
      <w:bookmarkEnd w:id="66"/>
      <w:bookmarkEnd w:id="67"/>
    </w:p>
    <w:p w14:paraId="6B94014D">
      <w:pPr>
        <w:tabs>
          <w:tab w:val="left" w:pos="900"/>
          <w:tab w:val="left" w:pos="5580"/>
        </w:tabs>
        <w:spacing w:line="240" w:lineRule="atLeast"/>
        <w:ind w:left="960" w:hanging="960" w:hangingChars="400"/>
        <w:jc w:val="left"/>
        <w:rPr>
          <w:rFonts w:hint="eastAsia" w:ascii="仿宋" w:hAnsi="仿宋" w:eastAsia="仿宋" w:cs="仿宋"/>
          <w:color w:val="auto"/>
          <w:sz w:val="24"/>
          <w:highlight w:val="none"/>
          <w:u w:val="single"/>
        </w:rPr>
      </w:pPr>
      <w:bookmarkStart w:id="68" w:name="_Ref467052588"/>
      <w:r>
        <w:rPr>
          <w:rFonts w:hint="eastAsia" w:ascii="仿宋" w:hAnsi="仿宋" w:eastAsia="仿宋" w:cs="仿宋"/>
          <w:color w:val="auto"/>
          <w:sz w:val="24"/>
          <w:highlight w:val="none"/>
        </w:rPr>
        <w:t xml:space="preserve">9.1     </w:t>
      </w:r>
      <w:r>
        <w:rPr>
          <w:rFonts w:hint="eastAsia" w:ascii="仿宋" w:hAnsi="仿宋" w:eastAsia="仿宋" w:cs="仿宋"/>
          <w:color w:val="auto"/>
          <w:sz w:val="24"/>
          <w:highlight w:val="none"/>
          <w:u w:val="single"/>
        </w:rPr>
        <w:t>投标人应完整地按招标文件提供的投标文件格式及要求</w:t>
      </w:r>
      <w:r>
        <w:rPr>
          <w:rFonts w:hint="eastAsia" w:ascii="仿宋" w:hAnsi="仿宋" w:eastAsia="仿宋" w:cs="仿宋"/>
          <w:color w:val="auto"/>
          <w:sz w:val="24"/>
          <w:highlight w:val="none"/>
          <w:u w:val="single"/>
          <w:lang w:eastAsia="zh-CN"/>
        </w:rPr>
        <w:t>编</w:t>
      </w:r>
      <w:r>
        <w:rPr>
          <w:rFonts w:hint="eastAsia" w:ascii="仿宋" w:hAnsi="仿宋" w:eastAsia="仿宋" w:cs="仿宋"/>
          <w:color w:val="auto"/>
          <w:sz w:val="24"/>
          <w:highlight w:val="none"/>
          <w:u w:val="single"/>
        </w:rPr>
        <w:t>写投标文件</w:t>
      </w:r>
      <w:r>
        <w:rPr>
          <w:rFonts w:hint="eastAsia" w:ascii="仿宋" w:hAnsi="仿宋" w:eastAsia="仿宋" w:cs="仿宋"/>
          <w:color w:val="auto"/>
          <w:sz w:val="24"/>
          <w:highlight w:val="none"/>
          <w:u w:val="single"/>
          <w:lang w:eastAsia="zh-CN"/>
        </w:rPr>
        <w:t>（未提供格式的，格式自拟）</w:t>
      </w:r>
      <w:r>
        <w:rPr>
          <w:rFonts w:hint="eastAsia" w:ascii="仿宋" w:hAnsi="仿宋" w:eastAsia="仿宋" w:cs="仿宋"/>
          <w:color w:val="auto"/>
          <w:sz w:val="24"/>
          <w:highlight w:val="none"/>
          <w:u w:val="single"/>
        </w:rPr>
        <w:t>，投标文件应包括“开标一览表及资格证明文件”和“商务及技术文件”两部分</w:t>
      </w:r>
      <w:r>
        <w:rPr>
          <w:rFonts w:hint="eastAsia" w:ascii="仿宋" w:hAnsi="仿宋" w:eastAsia="仿宋" w:cs="仿宋"/>
          <w:color w:val="auto"/>
          <w:sz w:val="24"/>
          <w:highlight w:val="none"/>
          <w:u w:val="single"/>
          <w:lang w:eastAsia="zh-CN"/>
        </w:rPr>
        <w:t>，分别在政采云系统相应模块上传</w:t>
      </w:r>
      <w:r>
        <w:rPr>
          <w:rFonts w:hint="eastAsia" w:ascii="仿宋" w:hAnsi="仿宋" w:eastAsia="仿宋" w:cs="仿宋"/>
          <w:color w:val="auto"/>
          <w:sz w:val="24"/>
          <w:highlight w:val="none"/>
          <w:u w:val="single"/>
        </w:rPr>
        <w:t>。</w:t>
      </w:r>
    </w:p>
    <w:p w14:paraId="7AA7564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9.2    上述文件应按照招标文件规定的格式填写、签署和盖章。</w:t>
      </w:r>
    </w:p>
    <w:bookmarkEnd w:id="68"/>
    <w:p w14:paraId="234DC12D">
      <w:pPr>
        <w:pStyle w:val="4"/>
        <w:tabs>
          <w:tab w:val="left" w:pos="900"/>
        </w:tabs>
        <w:spacing w:before="0" w:after="0" w:line="240" w:lineRule="atLeast"/>
        <w:rPr>
          <w:rFonts w:hint="eastAsia" w:ascii="仿宋" w:hAnsi="仿宋" w:eastAsia="仿宋" w:cs="仿宋"/>
          <w:color w:val="auto"/>
          <w:highlight w:val="none"/>
          <w:u w:val="none"/>
          <w:lang w:eastAsia="zh-CN"/>
        </w:rPr>
      </w:pPr>
      <w:bookmarkStart w:id="69" w:name="_Toc515647769"/>
      <w:bookmarkStart w:id="70" w:name="_Toc516367023"/>
      <w:bookmarkStart w:id="71" w:name="_Toc4601"/>
      <w:bookmarkStart w:id="72" w:name="_Toc520356153"/>
      <w:bookmarkStart w:id="73" w:name="_Toc10379"/>
      <w:bookmarkStart w:id="74" w:name="_Toc13984"/>
      <w:r>
        <w:rPr>
          <w:rFonts w:hint="eastAsia" w:ascii="仿宋" w:hAnsi="仿宋" w:eastAsia="仿宋" w:cs="仿宋"/>
          <w:color w:val="auto"/>
          <w:highlight w:val="none"/>
          <w:u w:val="none"/>
        </w:rPr>
        <w:t>10.</w:t>
      </w:r>
      <w:r>
        <w:rPr>
          <w:rFonts w:hint="eastAsia" w:ascii="仿宋" w:hAnsi="仿宋" w:eastAsia="仿宋" w:cs="仿宋"/>
          <w:color w:val="auto"/>
          <w:highlight w:val="none"/>
          <w:u w:val="none"/>
        </w:rPr>
        <w:tab/>
      </w:r>
      <w:r>
        <w:rPr>
          <w:rFonts w:hint="eastAsia" w:ascii="仿宋" w:hAnsi="仿宋" w:eastAsia="仿宋" w:cs="仿宋"/>
          <w:color w:val="auto"/>
          <w:highlight w:val="none"/>
          <w:u w:val="none"/>
        </w:rPr>
        <w:t>证明投标标的的合格性和符合招标文件规定的技术文件</w:t>
      </w:r>
      <w:bookmarkEnd w:id="69"/>
      <w:bookmarkEnd w:id="70"/>
      <w:bookmarkEnd w:id="71"/>
      <w:bookmarkEnd w:id="72"/>
      <w:bookmarkEnd w:id="73"/>
      <w:r>
        <w:rPr>
          <w:rFonts w:hint="eastAsia" w:ascii="仿宋" w:hAnsi="仿宋" w:eastAsia="仿宋" w:cs="仿宋"/>
          <w:color w:val="auto"/>
          <w:highlight w:val="none"/>
          <w:u w:val="none"/>
          <w:lang w:eastAsia="zh-CN"/>
        </w:rPr>
        <w:t>。</w:t>
      </w:r>
      <w:bookmarkEnd w:id="74"/>
    </w:p>
    <w:p w14:paraId="73A341B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投标人应提交证明文件，证明其投标内容符合招标文件规定。该证明文件是投标文件的一部分。</w:t>
      </w:r>
    </w:p>
    <w:p w14:paraId="343CDB0A">
      <w:pPr>
        <w:spacing w:line="240" w:lineRule="atLeast"/>
        <w:ind w:left="900" w:hanging="900" w:hangingChars="375"/>
        <w:rPr>
          <w:rFonts w:hint="eastAsia" w:ascii="仿宋" w:hAnsi="仿宋" w:eastAsia="仿宋" w:cs="仿宋"/>
          <w:color w:val="auto"/>
          <w:sz w:val="24"/>
          <w:highlight w:val="none"/>
        </w:rPr>
      </w:pPr>
      <w:bookmarkStart w:id="75" w:name="_Ref467306244"/>
      <w:r>
        <w:rPr>
          <w:rFonts w:hint="eastAsia" w:ascii="仿宋" w:hAnsi="仿宋" w:eastAsia="仿宋" w:cs="仿宋"/>
          <w:color w:val="auto"/>
          <w:sz w:val="24"/>
          <w:highlight w:val="none"/>
        </w:rPr>
        <w:t>10.2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上款所述的证明文件，可以是文字资料、图纸和数据，</w:t>
      </w:r>
      <w:bookmarkEnd w:id="75"/>
      <w:r>
        <w:rPr>
          <w:rFonts w:hint="eastAsia" w:ascii="仿宋" w:hAnsi="仿宋" w:eastAsia="仿宋" w:cs="仿宋"/>
          <w:color w:val="auto"/>
          <w:sz w:val="24"/>
          <w:highlight w:val="none"/>
        </w:rPr>
        <w:t>它包括：</w:t>
      </w:r>
    </w:p>
    <w:p w14:paraId="1A7144B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货物主要技术指标和性能的详细说明；</w:t>
      </w:r>
    </w:p>
    <w:p w14:paraId="61682D7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货物从买方开始使用至招标文件规定的保质期内正常、连续地使用所必须的备件和专用工具清单，包括备件和专用工具的货源及现行价格；</w:t>
      </w:r>
    </w:p>
    <w:p w14:paraId="354CAEB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对照招标文件技术规格，逐条说明所提供货物及伴随的工程和服务已对招标文件的技术规格做出了实质性的响应，或申明与技术规格条文的偏差和例外。</w:t>
      </w:r>
    </w:p>
    <w:p w14:paraId="06000FF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14:paraId="5FE00A6F">
      <w:pPr>
        <w:pStyle w:val="4"/>
        <w:spacing w:before="0" w:after="0" w:line="240" w:lineRule="atLeast"/>
        <w:rPr>
          <w:rFonts w:hint="eastAsia" w:ascii="仿宋" w:hAnsi="仿宋" w:eastAsia="仿宋" w:cs="仿宋"/>
          <w:color w:val="auto"/>
          <w:highlight w:val="none"/>
          <w:u w:val="none"/>
        </w:rPr>
      </w:pPr>
      <w:bookmarkStart w:id="76" w:name="_Toc2248"/>
      <w:bookmarkStart w:id="77" w:name="_Toc23231"/>
      <w:bookmarkStart w:id="78" w:name="_Toc520356155"/>
      <w:bookmarkStart w:id="79" w:name="_Toc7463"/>
      <w:bookmarkStart w:id="80" w:name="_Toc515647770"/>
      <w:r>
        <w:rPr>
          <w:rFonts w:hint="eastAsia" w:ascii="仿宋" w:hAnsi="仿宋" w:eastAsia="仿宋" w:cs="仿宋"/>
          <w:color w:val="auto"/>
          <w:highlight w:val="none"/>
          <w:u w:val="none"/>
        </w:rPr>
        <w:t>11.投标报价</w:t>
      </w:r>
      <w:bookmarkEnd w:id="76"/>
      <w:bookmarkEnd w:id="77"/>
      <w:bookmarkEnd w:id="78"/>
      <w:bookmarkEnd w:id="79"/>
      <w:bookmarkEnd w:id="80"/>
    </w:p>
    <w:p w14:paraId="2400FC1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1F815F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投标人应在投标分项报价表上标明投标货物及相关服务的单价（如适用）和总价，并由法定代表人或其授权代表签署。</w:t>
      </w:r>
    </w:p>
    <w:p w14:paraId="6DBABAA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投标分项报价表上的价格应按下列方式填写：</w:t>
      </w:r>
    </w:p>
    <w:p w14:paraId="3B0F9EE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11.3.1  投标货物（包括备品备件、专用工具等）的出厂价（包括已在中国国内的进口货物完税后的仓库交货价、展室交货价或货架交货价），投标货物安装、调试、检验、技术服务和培训等费用；</w:t>
      </w:r>
    </w:p>
    <w:p w14:paraId="13355BB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11.3.2  货物运至最终目的地的运输费和保险费用。</w:t>
      </w:r>
    </w:p>
    <w:p w14:paraId="3A2FAAE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投标人所报的各分项投标单价在合同履行过程中是固定不变的，不得以任何理由予以变更。任何包含价格调整要求的投标，其投标将被认定为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16B3194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11.5</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每种货物只能有一个投标报价。采购人不接受具有附加条件的报价。</w:t>
      </w:r>
    </w:p>
    <w:p w14:paraId="3081D97D">
      <w:pPr>
        <w:pStyle w:val="4"/>
        <w:spacing w:before="0" w:after="0" w:line="240" w:lineRule="atLeast"/>
        <w:rPr>
          <w:rFonts w:hint="eastAsia" w:ascii="仿宋" w:hAnsi="仿宋" w:eastAsia="仿宋" w:cs="仿宋"/>
          <w:color w:val="auto"/>
          <w:highlight w:val="none"/>
          <w:u w:val="none"/>
        </w:rPr>
      </w:pPr>
      <w:bookmarkStart w:id="81" w:name="_Toc19919"/>
      <w:bookmarkStart w:id="82" w:name="_Ref467306513"/>
      <w:bookmarkStart w:id="83" w:name="_Toc17788"/>
      <w:bookmarkStart w:id="84" w:name="_Toc515647771"/>
      <w:bookmarkStart w:id="85" w:name="_Toc520356156"/>
      <w:bookmarkStart w:id="86" w:name="_Toc11514"/>
      <w:r>
        <w:rPr>
          <w:rFonts w:hint="eastAsia" w:ascii="仿宋" w:hAnsi="仿宋" w:eastAsia="仿宋" w:cs="仿宋"/>
          <w:color w:val="auto"/>
          <w:highlight w:val="none"/>
          <w:u w:val="none"/>
        </w:rPr>
        <w:t>12.投标保证金</w:t>
      </w:r>
      <w:bookmarkEnd w:id="81"/>
      <w:bookmarkEnd w:id="82"/>
      <w:bookmarkEnd w:id="83"/>
      <w:bookmarkEnd w:id="84"/>
      <w:bookmarkEnd w:id="85"/>
      <w:bookmarkEnd w:id="86"/>
    </w:p>
    <w:p w14:paraId="2F29C421">
      <w:pPr>
        <w:spacing w:line="240" w:lineRule="atLeast"/>
        <w:ind w:left="900" w:hanging="900" w:hangingChars="375"/>
        <w:rPr>
          <w:rFonts w:hint="eastAsia" w:ascii="仿宋" w:hAnsi="仿宋" w:eastAsia="仿宋" w:cs="仿宋"/>
          <w:color w:val="auto"/>
          <w:sz w:val="24"/>
          <w:highlight w:val="none"/>
        </w:rPr>
      </w:pPr>
      <w:bookmarkStart w:id="87" w:name="_Ref467306302"/>
      <w:r>
        <w:rPr>
          <w:rFonts w:hint="eastAsia" w:ascii="仿宋" w:hAnsi="仿宋" w:eastAsia="仿宋" w:cs="仿宋"/>
          <w:color w:val="auto"/>
          <w:sz w:val="24"/>
          <w:highlight w:val="none"/>
        </w:rPr>
        <w:t>12.1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投标人应提交</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中规定的投标保证金</w:t>
      </w:r>
      <w:bookmarkEnd w:id="87"/>
      <w:r>
        <w:rPr>
          <w:rFonts w:hint="eastAsia" w:ascii="仿宋" w:hAnsi="仿宋" w:eastAsia="仿宋" w:cs="仿宋"/>
          <w:color w:val="auto"/>
          <w:sz w:val="24"/>
          <w:highlight w:val="none"/>
        </w:rPr>
        <w:t>，并作为其投标的一部分。</w:t>
      </w:r>
    </w:p>
    <w:p w14:paraId="442ABB0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投标人存在下列情形的，投标保证金不予退还：</w:t>
      </w:r>
    </w:p>
    <w:p w14:paraId="629E83A6">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（1）在投标有效期内，撤销投标的；</w:t>
      </w:r>
    </w:p>
    <w:p w14:paraId="3E3F8568">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（2）中标后不按本须知第30条的规定与采购人签订合同的；</w:t>
      </w:r>
    </w:p>
    <w:p w14:paraId="103A7411">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（3）中标后不按本须知第31条的规定提交履约保证金的；</w:t>
      </w:r>
    </w:p>
    <w:p w14:paraId="0D98CBC7">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（4）中标后不按本须知第32条的规定缴纳中标服务费的；</w:t>
      </w:r>
    </w:p>
    <w:p w14:paraId="3C4A28B0">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（5）存在其他违法违规行为的。</w:t>
      </w:r>
    </w:p>
    <w:p w14:paraId="60B6819C">
      <w:pPr>
        <w:spacing w:line="240" w:lineRule="atLeast"/>
        <w:ind w:left="900" w:hanging="900" w:hangingChars="375"/>
        <w:rPr>
          <w:rFonts w:hint="eastAsia" w:ascii="仿宋" w:hAnsi="仿宋" w:eastAsia="仿宋" w:cs="仿宋"/>
          <w:color w:val="auto"/>
          <w:sz w:val="24"/>
          <w:highlight w:val="none"/>
        </w:rPr>
      </w:pPr>
      <w:bookmarkStart w:id="88" w:name="_Ref467306336"/>
      <w:r>
        <w:rPr>
          <w:rFonts w:hint="eastAsia" w:ascii="仿宋" w:hAnsi="仿宋" w:eastAsia="仿宋" w:cs="仿宋"/>
          <w:color w:val="auto"/>
          <w:sz w:val="24"/>
          <w:highlight w:val="none"/>
        </w:rPr>
        <w:t>12.3</w:t>
      </w:r>
      <w:r>
        <w:rPr>
          <w:rFonts w:hint="eastAsia" w:ascii="仿宋" w:hAnsi="仿宋" w:eastAsia="仿宋" w:cs="仿宋"/>
          <w:color w:val="auto"/>
          <w:sz w:val="24"/>
          <w:highlight w:val="none"/>
        </w:rPr>
        <w:tab/>
      </w:r>
      <w:bookmarkEnd w:id="88"/>
      <w:r>
        <w:rPr>
          <w:rFonts w:hint="eastAsia" w:ascii="仿宋" w:hAnsi="仿宋" w:eastAsia="仿宋" w:cs="仿宋"/>
          <w:color w:val="auto"/>
          <w:sz w:val="24"/>
          <w:highlight w:val="none"/>
        </w:rPr>
        <w:t>政府采购信用担保试点范围内的项目，接受符合财政部门规定的政府采购投标担保函原件。</w:t>
      </w:r>
    </w:p>
    <w:p w14:paraId="10DB221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投标人未按本须知第12.1和12.3条规定提交投标保证金的，其投标将被认定为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90D5FDB">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12.4.1  采用电汇形式的，一般可以实时入账。</w:t>
      </w:r>
    </w:p>
    <w:p w14:paraId="10CD1C48">
      <w:pPr>
        <w:spacing w:line="240" w:lineRule="atLeast"/>
        <w:ind w:left="960" w:hanging="960" w:hangingChars="4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2558457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12.5   联合体投标的，可以由联合体中的一方或者共同提交投标保证金。以一方名义提交投标保证金的，对联合体各方均具有约束力。</w:t>
      </w:r>
    </w:p>
    <w:p w14:paraId="24179F6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投标保证金的退还</w:t>
      </w:r>
    </w:p>
    <w:p w14:paraId="24237FD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12.6.1  中标人应在与采购人签订合同之日起5个工作日内，及时联系保证金收受机构办理投标保证金无息退还手续。</w:t>
      </w:r>
    </w:p>
    <w:p w14:paraId="0C4E8C4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12.6.2  未中标投标人的投标保证金将在中标通知书发出之日暨中标结果公告公布之日起5个工作日内无息退还。投标人应及时联系保证金收受机构办理退还投标保证金手续。</w:t>
      </w:r>
    </w:p>
    <w:p w14:paraId="5CAF42DE">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12.6.3  政府采购投标担保函不予退回。</w:t>
      </w:r>
    </w:p>
    <w:p w14:paraId="4DF0CD0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12.7    因投标人自身原因导致无法及时退还的，采购人或采购代理机构将不承担相应责任。</w:t>
      </w:r>
    </w:p>
    <w:p w14:paraId="125C0724">
      <w:pPr>
        <w:pStyle w:val="4"/>
        <w:spacing w:before="0" w:after="0" w:line="240" w:lineRule="atLeast"/>
        <w:rPr>
          <w:rFonts w:hint="eastAsia" w:ascii="仿宋" w:hAnsi="仿宋" w:eastAsia="仿宋" w:cs="仿宋"/>
          <w:color w:val="auto"/>
          <w:highlight w:val="none"/>
          <w:u w:val="none"/>
        </w:rPr>
      </w:pPr>
      <w:bookmarkStart w:id="89" w:name="_Toc5135"/>
      <w:bookmarkStart w:id="90" w:name="_Toc520356157"/>
      <w:bookmarkStart w:id="91" w:name="_Toc515647772"/>
      <w:bookmarkStart w:id="92" w:name="_Toc23590"/>
      <w:bookmarkStart w:id="93" w:name="_Toc32569"/>
      <w:r>
        <w:rPr>
          <w:rFonts w:hint="eastAsia" w:ascii="仿宋" w:hAnsi="仿宋" w:eastAsia="仿宋" w:cs="仿宋"/>
          <w:color w:val="auto"/>
          <w:highlight w:val="none"/>
          <w:u w:val="none"/>
        </w:rPr>
        <w:t>13.投标有效期</w:t>
      </w:r>
      <w:bookmarkEnd w:id="89"/>
      <w:bookmarkEnd w:id="90"/>
      <w:bookmarkEnd w:id="91"/>
      <w:bookmarkEnd w:id="92"/>
      <w:bookmarkEnd w:id="93"/>
    </w:p>
    <w:p w14:paraId="6CBDBAF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投标应在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中规定时间内保持有效。投标有效期不满足要求的投标，其投标将被认定为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88221F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2FFF4922">
      <w:pPr>
        <w:pStyle w:val="4"/>
        <w:spacing w:before="0" w:after="0" w:line="240" w:lineRule="atLeast"/>
        <w:rPr>
          <w:rFonts w:hint="eastAsia" w:ascii="仿宋" w:hAnsi="仿宋" w:eastAsia="仿宋" w:cs="仿宋"/>
          <w:color w:val="auto"/>
          <w:highlight w:val="none"/>
          <w:u w:val="none"/>
        </w:rPr>
      </w:pPr>
      <w:bookmarkStart w:id="94" w:name="_Toc520356158"/>
      <w:bookmarkStart w:id="95" w:name="_Toc17074"/>
      <w:bookmarkStart w:id="96" w:name="_Toc493"/>
      <w:bookmarkStart w:id="97" w:name="_Toc27088"/>
      <w:bookmarkStart w:id="98" w:name="_Toc515647773"/>
      <w:r>
        <w:rPr>
          <w:rFonts w:hint="eastAsia" w:ascii="仿宋" w:hAnsi="仿宋" w:eastAsia="仿宋" w:cs="仿宋"/>
          <w:color w:val="auto"/>
          <w:highlight w:val="none"/>
          <w:u w:val="none"/>
        </w:rPr>
        <w:t>14.投标文件的签署</w:t>
      </w:r>
      <w:bookmarkEnd w:id="94"/>
      <w:r>
        <w:rPr>
          <w:rFonts w:hint="eastAsia" w:ascii="仿宋" w:hAnsi="仿宋" w:eastAsia="仿宋" w:cs="仿宋"/>
          <w:color w:val="auto"/>
          <w:highlight w:val="none"/>
          <w:u w:val="none"/>
        </w:rPr>
        <w:t>及规定</w:t>
      </w:r>
      <w:bookmarkEnd w:id="95"/>
      <w:bookmarkEnd w:id="96"/>
      <w:bookmarkEnd w:id="97"/>
      <w:bookmarkEnd w:id="98"/>
    </w:p>
    <w:p w14:paraId="6F27B15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投标人应按投标人须知资料表中的规定，准备和上传投标文件资格证明文件、商务和技术文件加密电子投标文件。</w:t>
      </w:r>
    </w:p>
    <w:p w14:paraId="7F32B65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09CB745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开标完成后，如采购人需要提供纸质版投标文件，投标人应按照招标人要求提供相应份数的纸质投标文件，纸质版投标文件应与电子版投标文件一致，纸质投标文件采用双面打印、不可拆装的胶订方式装订。</w:t>
      </w:r>
    </w:p>
    <w:p w14:paraId="48E6BC91">
      <w:pPr>
        <w:spacing w:line="240" w:lineRule="atLeast"/>
        <w:ind w:left="900" w:hanging="900" w:hangingChars="375"/>
        <w:rPr>
          <w:rFonts w:hint="eastAsia" w:ascii="仿宋" w:hAnsi="仿宋" w:eastAsia="仿宋" w:cs="仿宋"/>
          <w:color w:val="auto"/>
          <w:sz w:val="24"/>
          <w:highlight w:val="none"/>
        </w:rPr>
      </w:pPr>
    </w:p>
    <w:p w14:paraId="7A5B39B9">
      <w:pPr>
        <w:pStyle w:val="3"/>
        <w:spacing w:before="0" w:line="240" w:lineRule="atLeast"/>
        <w:ind w:left="1079" w:leftChars="257" w:hanging="540"/>
        <w:rPr>
          <w:rFonts w:hint="eastAsia" w:ascii="仿宋" w:hAnsi="仿宋" w:eastAsia="仿宋" w:cs="仿宋"/>
          <w:color w:val="auto"/>
          <w:sz w:val="24"/>
          <w:highlight w:val="none"/>
        </w:rPr>
      </w:pPr>
      <w:bookmarkStart w:id="99" w:name="_Toc16865"/>
      <w:bookmarkStart w:id="100" w:name="_Toc11179"/>
      <w:bookmarkStart w:id="101" w:name="_Toc520356159"/>
      <w:bookmarkStart w:id="102" w:name="_Toc515647774"/>
      <w:bookmarkStart w:id="103" w:name="_Toc7038"/>
      <w:bookmarkStart w:id="104" w:name="_Toc216582808"/>
      <w:r>
        <w:rPr>
          <w:rFonts w:hint="eastAsia" w:ascii="仿宋" w:hAnsi="仿宋" w:eastAsia="仿宋" w:cs="仿宋"/>
          <w:color w:val="auto"/>
          <w:sz w:val="24"/>
          <w:highlight w:val="none"/>
        </w:rPr>
        <w:t>四   投标文件的递交</w:t>
      </w:r>
      <w:bookmarkEnd w:id="99"/>
      <w:bookmarkEnd w:id="100"/>
      <w:bookmarkEnd w:id="101"/>
      <w:bookmarkEnd w:id="102"/>
      <w:bookmarkEnd w:id="103"/>
      <w:bookmarkEnd w:id="104"/>
    </w:p>
    <w:p w14:paraId="68F6B3B4">
      <w:pPr>
        <w:pStyle w:val="9"/>
        <w:rPr>
          <w:rFonts w:hint="eastAsia" w:ascii="仿宋" w:hAnsi="仿宋" w:eastAsia="仿宋" w:cs="仿宋"/>
          <w:color w:val="auto"/>
          <w:highlight w:val="none"/>
        </w:rPr>
      </w:pPr>
    </w:p>
    <w:p w14:paraId="7D9EBCD2">
      <w:pPr>
        <w:pStyle w:val="4"/>
        <w:spacing w:before="0" w:after="0" w:line="240" w:lineRule="atLeast"/>
        <w:rPr>
          <w:rFonts w:hint="eastAsia" w:ascii="仿宋" w:hAnsi="仿宋" w:eastAsia="仿宋" w:cs="仿宋"/>
          <w:color w:val="auto"/>
          <w:highlight w:val="none"/>
          <w:u w:val="none"/>
        </w:rPr>
      </w:pPr>
      <w:bookmarkStart w:id="105" w:name="_Toc21645"/>
      <w:bookmarkStart w:id="106" w:name="_Toc515647775"/>
      <w:bookmarkStart w:id="107" w:name="_Toc520356160"/>
      <w:bookmarkStart w:id="108" w:name="_Toc32337"/>
      <w:bookmarkStart w:id="109" w:name="_Toc11283"/>
      <w:r>
        <w:rPr>
          <w:rFonts w:hint="eastAsia" w:ascii="仿宋" w:hAnsi="仿宋" w:eastAsia="仿宋" w:cs="仿宋"/>
          <w:color w:val="auto"/>
          <w:highlight w:val="none"/>
          <w:u w:val="none"/>
        </w:rPr>
        <w:t>15.投标文件的密封和标记</w:t>
      </w:r>
      <w:bookmarkEnd w:id="105"/>
      <w:bookmarkEnd w:id="106"/>
      <w:bookmarkEnd w:id="107"/>
      <w:bookmarkEnd w:id="108"/>
      <w:bookmarkEnd w:id="109"/>
    </w:p>
    <w:p w14:paraId="1C2F33E6">
      <w:pPr>
        <w:spacing w:line="240" w:lineRule="atLeas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15.1 </w:t>
      </w:r>
      <w:r>
        <w:rPr>
          <w:rFonts w:hint="eastAsia" w:ascii="仿宋" w:hAnsi="仿宋" w:eastAsia="仿宋" w:cs="仿宋"/>
          <w:b/>
          <w:bCs/>
          <w:color w:val="auto"/>
          <w:sz w:val="24"/>
          <w:u w:val="single"/>
        </w:rPr>
        <w:t>为方便</w:t>
      </w:r>
      <w:r>
        <w:rPr>
          <w:rFonts w:hint="eastAsia" w:ascii="仿宋" w:hAnsi="仿宋" w:eastAsia="仿宋" w:cs="仿宋"/>
          <w:b/>
          <w:bCs/>
          <w:color w:val="auto"/>
          <w:sz w:val="24"/>
          <w:u w:val="single"/>
          <w:lang w:val="en-US" w:eastAsia="zh-CN"/>
        </w:rPr>
        <w:t>评审</w:t>
      </w:r>
      <w:r>
        <w:rPr>
          <w:rFonts w:hint="eastAsia" w:ascii="仿宋" w:hAnsi="仿宋" w:eastAsia="仿宋" w:cs="仿宋"/>
          <w:b/>
          <w:bCs/>
          <w:color w:val="auto"/>
          <w:sz w:val="24"/>
          <w:u w:val="single"/>
        </w:rPr>
        <w:t>及进行资格审查，</w:t>
      </w:r>
      <w:r>
        <w:rPr>
          <w:rFonts w:hint="eastAsia" w:ascii="仿宋" w:hAnsi="仿宋" w:eastAsia="仿宋" w:cs="仿宋"/>
          <w:b/>
          <w:bCs/>
          <w:color w:val="auto"/>
          <w:sz w:val="24"/>
          <w:u w:val="single"/>
          <w:lang w:val="en-US" w:eastAsia="zh-CN"/>
        </w:rPr>
        <w:t>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 w:hAnsi="仿宋" w:eastAsia="仿宋" w:cs="仿宋"/>
          <w:b/>
          <w:bCs/>
          <w:color w:val="auto"/>
          <w:sz w:val="24"/>
        </w:rPr>
        <w:t>。</w:t>
      </w:r>
    </w:p>
    <w:p w14:paraId="1B642F72">
      <w:pPr>
        <w:pStyle w:val="4"/>
        <w:spacing w:before="0" w:after="0" w:line="240" w:lineRule="atLeast"/>
        <w:rPr>
          <w:rFonts w:hint="eastAsia" w:ascii="仿宋" w:hAnsi="仿宋" w:eastAsia="仿宋" w:cs="仿宋"/>
          <w:color w:val="auto"/>
          <w:highlight w:val="none"/>
          <w:u w:val="none"/>
        </w:rPr>
      </w:pPr>
      <w:bookmarkStart w:id="110" w:name="_Toc12857"/>
      <w:bookmarkStart w:id="111" w:name="_Toc515647776"/>
      <w:bookmarkStart w:id="112" w:name="_Toc9840"/>
      <w:bookmarkStart w:id="113" w:name="_Toc12751"/>
      <w:bookmarkStart w:id="114" w:name="_Toc520356161"/>
      <w:r>
        <w:rPr>
          <w:rFonts w:hint="eastAsia" w:ascii="仿宋" w:hAnsi="仿宋" w:eastAsia="仿宋" w:cs="仿宋"/>
          <w:color w:val="auto"/>
          <w:highlight w:val="none"/>
          <w:u w:val="none"/>
        </w:rPr>
        <w:t>16.投标截止</w:t>
      </w:r>
      <w:bookmarkEnd w:id="110"/>
      <w:bookmarkEnd w:id="111"/>
      <w:bookmarkEnd w:id="112"/>
      <w:bookmarkEnd w:id="113"/>
      <w:bookmarkEnd w:id="114"/>
    </w:p>
    <w:p w14:paraId="6447926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投标人应在</w:t>
      </w:r>
      <w:r>
        <w:rPr>
          <w:rFonts w:hint="eastAsia" w:ascii="仿宋" w:hAnsi="仿宋" w:eastAsia="仿宋" w:cs="仿宋"/>
          <w:color w:val="auto"/>
          <w:sz w:val="24"/>
          <w:highlight w:val="none"/>
          <w:u w:val="single"/>
        </w:rPr>
        <w:t>投标人须知资料表中</w:t>
      </w:r>
      <w:r>
        <w:rPr>
          <w:rFonts w:hint="eastAsia" w:ascii="仿宋" w:hAnsi="仿宋" w:eastAsia="仿宋" w:cs="仿宋"/>
          <w:color w:val="auto"/>
          <w:sz w:val="24"/>
          <w:highlight w:val="none"/>
        </w:rPr>
        <w:t>规定的截止时间前，将投标文件上传至新疆维吾尔自治区政府采购网。</w:t>
      </w:r>
    </w:p>
    <w:p w14:paraId="3D4364F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采购人和采购代理机构有权按本须知的规定，延迟投标截止时间。在此情况下，采购人、采购代理机构和投标人受投标截止时间制约的所有权利和义务均应延长至新的截止时间。</w:t>
      </w:r>
    </w:p>
    <w:p w14:paraId="2F3C2BD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采购人和采购代理机构将拒绝接收在投标截止时间后送达的投标文件。</w:t>
      </w:r>
    </w:p>
    <w:p w14:paraId="72771293">
      <w:pPr>
        <w:pStyle w:val="4"/>
        <w:spacing w:before="0" w:after="0" w:line="240" w:lineRule="atLeast"/>
        <w:rPr>
          <w:rFonts w:hint="eastAsia" w:ascii="仿宋" w:hAnsi="仿宋" w:eastAsia="仿宋" w:cs="仿宋"/>
          <w:color w:val="auto"/>
          <w:highlight w:val="none"/>
          <w:u w:val="none"/>
        </w:rPr>
      </w:pPr>
      <w:bookmarkStart w:id="115" w:name="_Toc520356162"/>
      <w:bookmarkStart w:id="116" w:name="_Toc24275"/>
      <w:bookmarkStart w:id="117" w:name="_Toc18537"/>
      <w:bookmarkStart w:id="118" w:name="_Toc31521"/>
      <w:bookmarkStart w:id="119" w:name="_Toc515647777"/>
      <w:r>
        <w:rPr>
          <w:rFonts w:hint="eastAsia" w:ascii="仿宋" w:hAnsi="仿宋" w:eastAsia="仿宋" w:cs="仿宋"/>
          <w:color w:val="auto"/>
          <w:highlight w:val="none"/>
          <w:u w:val="none"/>
        </w:rPr>
        <w:t>17.投标文件的接收、修改与撤回</w:t>
      </w:r>
      <w:bookmarkEnd w:id="115"/>
      <w:bookmarkEnd w:id="116"/>
      <w:bookmarkEnd w:id="117"/>
      <w:bookmarkEnd w:id="118"/>
      <w:bookmarkEnd w:id="119"/>
    </w:p>
    <w:p w14:paraId="639FFAC7">
      <w:pPr>
        <w:spacing w:line="240" w:lineRule="atLeast"/>
        <w:ind w:left="900" w:hanging="900" w:hangingChars="375"/>
        <w:rPr>
          <w:rFonts w:hint="eastAsia" w:ascii="仿宋" w:hAnsi="仿宋" w:eastAsia="仿宋" w:cs="仿宋"/>
          <w:color w:val="auto"/>
          <w:sz w:val="24"/>
          <w:highlight w:val="none"/>
        </w:rPr>
      </w:pPr>
      <w:bookmarkStart w:id="120" w:name="_Toc515647778"/>
      <w:bookmarkStart w:id="121" w:name="_Toc12436"/>
      <w:bookmarkStart w:id="122" w:name="_Toc216582809"/>
      <w:bookmarkStart w:id="123" w:name="_Toc28398"/>
      <w:bookmarkStart w:id="124" w:name="_Toc520356163"/>
      <w:r>
        <w:rPr>
          <w:rFonts w:hint="eastAsia" w:ascii="仿宋" w:hAnsi="仿宋" w:eastAsia="仿宋" w:cs="仿宋"/>
          <w:color w:val="auto"/>
          <w:sz w:val="24"/>
          <w:highlight w:val="none"/>
        </w:rPr>
        <w:t>17.1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在投标截止时间后投标人将无法上传投标文件。</w:t>
      </w:r>
    </w:p>
    <w:p w14:paraId="1326C65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上传投标文件以后，在投标截止时间前投标人可随时进行修改或撤回投标文件。</w:t>
      </w:r>
    </w:p>
    <w:p w14:paraId="672A872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在投标截止时间之后，采购人和采购代理机构不接受投标人主动对其投标文件做任何修改。</w:t>
      </w:r>
    </w:p>
    <w:p w14:paraId="67A2562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采购人和采购代理机构对所接收电子投标文件概不退回。</w:t>
      </w:r>
    </w:p>
    <w:p w14:paraId="01548060">
      <w:pPr>
        <w:pStyle w:val="27"/>
        <w:rPr>
          <w:rFonts w:hint="eastAsia" w:ascii="仿宋" w:hAnsi="仿宋" w:eastAsia="仿宋" w:cs="仿宋"/>
          <w:color w:val="auto"/>
          <w:highlight w:val="none"/>
        </w:rPr>
      </w:pPr>
    </w:p>
    <w:p w14:paraId="56B036C5">
      <w:pPr>
        <w:pStyle w:val="3"/>
        <w:spacing w:before="0" w:line="240" w:lineRule="atLeast"/>
        <w:ind w:left="1079" w:leftChars="257" w:hanging="540"/>
        <w:rPr>
          <w:rFonts w:hint="eastAsia" w:ascii="仿宋" w:hAnsi="仿宋" w:eastAsia="仿宋" w:cs="仿宋"/>
          <w:color w:val="auto"/>
          <w:sz w:val="24"/>
          <w:highlight w:val="none"/>
        </w:rPr>
      </w:pPr>
      <w:bookmarkStart w:id="125" w:name="_Toc8209"/>
      <w:r>
        <w:rPr>
          <w:rFonts w:hint="eastAsia" w:ascii="仿宋" w:hAnsi="仿宋" w:eastAsia="仿宋" w:cs="仿宋"/>
          <w:color w:val="auto"/>
          <w:sz w:val="24"/>
          <w:highlight w:val="none"/>
        </w:rPr>
        <w:t>五   开标及评标</w:t>
      </w:r>
      <w:bookmarkEnd w:id="120"/>
      <w:bookmarkEnd w:id="121"/>
      <w:bookmarkEnd w:id="122"/>
      <w:bookmarkEnd w:id="123"/>
      <w:bookmarkEnd w:id="124"/>
      <w:bookmarkEnd w:id="125"/>
    </w:p>
    <w:p w14:paraId="170E3875">
      <w:pPr>
        <w:pStyle w:val="4"/>
        <w:numPr>
          <w:ilvl w:val="0"/>
          <w:numId w:val="4"/>
        </w:numPr>
        <w:spacing w:line="240" w:lineRule="atLeast"/>
        <w:rPr>
          <w:rFonts w:hint="eastAsia" w:ascii="仿宋" w:hAnsi="仿宋" w:eastAsia="仿宋" w:cs="仿宋"/>
          <w:color w:val="auto"/>
          <w:highlight w:val="none"/>
        </w:rPr>
      </w:pPr>
      <w:bookmarkStart w:id="126" w:name="_Toc15679"/>
      <w:bookmarkStart w:id="127" w:name="_Toc515647779"/>
      <w:bookmarkStart w:id="128" w:name="_Toc7186"/>
      <w:bookmarkStart w:id="129" w:name="_Toc25345"/>
      <w:bookmarkStart w:id="130" w:name="_Toc520356164"/>
      <w:r>
        <w:rPr>
          <w:rFonts w:hint="eastAsia" w:ascii="仿宋" w:hAnsi="仿宋" w:eastAsia="仿宋" w:cs="仿宋"/>
          <w:color w:val="auto"/>
          <w:highlight w:val="none"/>
          <w:u w:val="none"/>
        </w:rPr>
        <w:t>开标</w:t>
      </w:r>
      <w:bookmarkEnd w:id="126"/>
      <w:bookmarkEnd w:id="127"/>
      <w:bookmarkEnd w:id="128"/>
      <w:bookmarkEnd w:id="129"/>
      <w:bookmarkEnd w:id="130"/>
    </w:p>
    <w:p w14:paraId="2F3F8272">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18.1  </w:t>
      </w:r>
      <w:r>
        <w:rPr>
          <w:rFonts w:hint="eastAsia" w:ascii="仿宋" w:hAnsi="仿宋" w:eastAsia="仿宋" w:cs="仿宋"/>
          <w:color w:val="auto"/>
          <w:sz w:val="24"/>
          <w:highlight w:val="none"/>
        </w:rPr>
        <w:t>采购人和采购代理机构将按投标人须知资料表中规定的开标时间和地点组织公开开标。</w:t>
      </w:r>
    </w:p>
    <w:p w14:paraId="5B7F56E3">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18.2  </w:t>
      </w:r>
      <w:r>
        <w:rPr>
          <w:rFonts w:hint="eastAsia" w:ascii="仿宋" w:hAnsi="仿宋" w:eastAsia="仿宋" w:cs="仿宋"/>
          <w:color w:val="auto"/>
          <w:sz w:val="24"/>
          <w:highlight w:val="none"/>
        </w:rPr>
        <w:t>在线签收投标文件，投标人不足3家的，不得开标。</w:t>
      </w:r>
    </w:p>
    <w:p w14:paraId="10CE8D51">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投标人解密投标文件，解密时长为30分钟，供应商应使用与加密时使用的同一把CA锁进行解密操作，如出现非供应商自身原因造成的无法解密，</w:t>
      </w:r>
      <w:r>
        <w:rPr>
          <w:rFonts w:hint="eastAsia" w:ascii="仿宋" w:hAnsi="仿宋" w:eastAsia="仿宋" w:cs="仿宋"/>
          <w:color w:val="auto"/>
          <w:sz w:val="24"/>
          <w:highlight w:val="none"/>
          <w:lang w:eastAsia="zh-CN"/>
        </w:rPr>
        <w:t>由</w:t>
      </w:r>
      <w:r>
        <w:rPr>
          <w:rFonts w:hint="eastAsia" w:ascii="仿宋" w:hAnsi="仿宋" w:eastAsia="仿宋" w:cs="仿宋"/>
          <w:color w:val="auto"/>
          <w:sz w:val="24"/>
          <w:highlight w:val="none"/>
        </w:rPr>
        <w:t>采购代理机构使用备用投标文件进行解密操作。</w:t>
      </w:r>
    </w:p>
    <w:p w14:paraId="411FAAA1">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w:t>
      </w:r>
      <w:bookmarkStart w:id="131" w:name="_Toc520356165"/>
      <w:r>
        <w:rPr>
          <w:rFonts w:hint="eastAsia" w:ascii="仿宋" w:hAnsi="仿宋" w:eastAsia="仿宋" w:cs="仿宋"/>
          <w:color w:val="auto"/>
          <w:sz w:val="24"/>
          <w:highlight w:val="none"/>
        </w:rPr>
        <w:t>组织评审委员会以不记名投票的形式选定评审委员会主任，并宣读评标会纪律，对评标委员会进行通讯工具管制及宣读相关法律法规。</w:t>
      </w:r>
    </w:p>
    <w:p w14:paraId="7E51136D">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由代理公司工作人员开启报价文件并由供应商代表在线CA签字确认，报价确认时段限制为10分钟，由评审委员会进行报价评审及政策价格认定。</w:t>
      </w:r>
    </w:p>
    <w:p w14:paraId="45C5D4B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18.6  采购代理机构将对开标过程进行记录，由参加开标的相关工作人员签字确认，并存档备查。</w:t>
      </w:r>
    </w:p>
    <w:p w14:paraId="30AE53E4">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18.7  投标人代表对开标过程和开标记录有疑义，以及认为采购人、采购代理机构相关工作人员有需要回避的情形的，应当场提出询问或者回避申请。</w:t>
      </w:r>
    </w:p>
    <w:p w14:paraId="2B715620">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电子开标的相关注意事项：</w:t>
      </w:r>
    </w:p>
    <w:p w14:paraId="5E0A4A70">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18.8.1本项目为电子招投标，供应商需要使用CA加密设备，凡参加本项目可自主通过新疆CA申领渠道“新疆政务通”申请政采云平台可使用的CA设备，如原有兵团或公共资源使用的CA，可与新疆CA联系，申请增加电子证书即可，无需重复申领。</w:t>
      </w:r>
    </w:p>
    <w:p w14:paraId="4849624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18.8.2本项目实行网上投标，采用电子投标文件(供应商须使用CA加密设备通过政采云电子投标客户端制作投标文件)。若供应商参与投标，自行承担投标一切费用。</w:t>
      </w:r>
    </w:p>
    <w:p w14:paraId="5E353CD1">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18.8.3各供应商应在开标前确保成为新疆维吾尔自治区政府采购网正式注册入库供应商，并完成CA数字证书申领。因未注册入库、未办理CA数字证书等原因造成无法投标或投标失败等后果由供应商自行承担。</w:t>
      </w:r>
    </w:p>
    <w:p w14:paraId="6A21D8DB">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进行咨询。</w:t>
      </w:r>
    </w:p>
    <w:p w14:paraId="2B0F9F56">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18.8.5供应商在开标时须使用制作加密电子投标文件所使用的CA锁及电脑，电脑须提前配置好浏览器（建议使用谷歌浏览器），以便开标时解锁。</w:t>
      </w:r>
    </w:p>
    <w:p w14:paraId="222FDAFF">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18.8.6投标保证金缴纳及确认时间：凡拟参加本次招标项目的供应商，必须在开标前将投标保证金汇入指定账户。投标保证金汇款凭证上用途栏应注明:招标项目名称+标项号+投标保证金。</w:t>
      </w:r>
    </w:p>
    <w:p w14:paraId="13F28F25">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2659F795">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18.8.8政采云线上获取招标文件方法：供应商登陆政采云平台http://www.zcygov.cn/，在线申请获取采购文件（登录政府采购云平台 → 项目采购 → 获取采购文件 → 申请，如有操作性问题，可与政采云在线客服进行咨询，咨询电话：</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36F97491">
      <w:pPr>
        <w:pStyle w:val="27"/>
        <w:rPr>
          <w:rFonts w:hint="eastAsia" w:ascii="仿宋" w:hAnsi="仿宋" w:eastAsia="仿宋" w:cs="仿宋"/>
          <w:color w:val="auto"/>
          <w:highlight w:val="none"/>
        </w:rPr>
      </w:pPr>
    </w:p>
    <w:p w14:paraId="5D78B922">
      <w:pPr>
        <w:pStyle w:val="4"/>
        <w:spacing w:before="0" w:after="0" w:line="240" w:lineRule="atLeast"/>
        <w:rPr>
          <w:rFonts w:hint="eastAsia" w:ascii="仿宋" w:hAnsi="仿宋" w:eastAsia="仿宋" w:cs="仿宋"/>
          <w:color w:val="auto"/>
          <w:highlight w:val="none"/>
          <w:u w:val="none"/>
        </w:rPr>
      </w:pPr>
      <w:bookmarkStart w:id="132" w:name="_Toc21372"/>
      <w:bookmarkStart w:id="133" w:name="_Toc19296"/>
      <w:bookmarkStart w:id="134" w:name="_Toc24810"/>
      <w:bookmarkStart w:id="135" w:name="_Toc515647780"/>
      <w:r>
        <w:rPr>
          <w:rFonts w:hint="eastAsia" w:ascii="仿宋" w:hAnsi="仿宋" w:eastAsia="仿宋" w:cs="仿宋"/>
          <w:color w:val="auto"/>
          <w:highlight w:val="none"/>
          <w:u w:val="none"/>
        </w:rPr>
        <w:t>19.</w:t>
      </w:r>
      <w:bookmarkEnd w:id="131"/>
      <w:r>
        <w:rPr>
          <w:rFonts w:hint="eastAsia" w:ascii="仿宋" w:hAnsi="仿宋" w:eastAsia="仿宋" w:cs="仿宋"/>
          <w:color w:val="auto"/>
          <w:highlight w:val="none"/>
          <w:u w:val="none"/>
        </w:rPr>
        <w:t>资格审查及组建评标委员会</w:t>
      </w:r>
      <w:bookmarkEnd w:id="132"/>
      <w:bookmarkEnd w:id="133"/>
      <w:bookmarkEnd w:id="134"/>
      <w:bookmarkEnd w:id="135"/>
    </w:p>
    <w:p w14:paraId="40D158A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19.1    采购人或采购代理机构依据法律法规和招标文件中规定的内容，对投标人及其货物的资格进行审查，未通过资格审查的投标人不进入评标；通过资格审查的投标人少于不足三家的，不得评标。</w:t>
      </w:r>
    </w:p>
    <w:p w14:paraId="090019D9">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合格投标人开标时需提供的资格证明文件：</w:t>
      </w:r>
    </w:p>
    <w:p w14:paraId="70941B74">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ascii="仿宋" w:hAnsi="仿宋" w:eastAsia="仿宋" w:cs="仿宋"/>
          <w:b/>
          <w:bCs/>
          <w:sz w:val="24"/>
          <w:highlight w:val="none"/>
        </w:rPr>
      </w:pPr>
      <w:r>
        <w:rPr>
          <w:rFonts w:hint="eastAsia" w:ascii="仿宋" w:hAnsi="仿宋" w:eastAsia="仿宋" w:cs="仿宋"/>
          <w:b/>
          <w:bCs/>
          <w:sz w:val="24"/>
          <w:highlight w:val="none"/>
        </w:rPr>
        <w:t xml:space="preserve">投标人必须符合《中华人民共和国政府采购法》第二十二条的相关规定； </w:t>
      </w:r>
    </w:p>
    <w:p w14:paraId="07AF90D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lang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072061F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2、法定代表人身份证明或法定代表人授权委托书及被授权人身份证；</w:t>
      </w:r>
    </w:p>
    <w:p w14:paraId="56A6DB88">
      <w:pPr>
        <w:pStyle w:val="38"/>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auto"/>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3、近期（投标截止日期前六个月内任意一个月）依法缴纳社会保障金的缴费证明或银行出具的“银行电子缴纳社会保障金付款凭证”（新成立公司提供相关证明文件）；</w:t>
      </w:r>
    </w:p>
    <w:p w14:paraId="11DDD0BB">
      <w:pPr>
        <w:pStyle w:val="38"/>
        <w:widowControl/>
        <w:numPr>
          <w:ilvl w:val="0"/>
          <w:numId w:val="0"/>
        </w:numPr>
        <w:spacing w:line="360" w:lineRule="exact"/>
        <w:jc w:val="both"/>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36F44BB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5、具有良好的商业信誉和健全的财务会计制度(2023年或2024年的年度财务审计报告书，2025年成立公司提供银行资信证明)；</w:t>
      </w:r>
    </w:p>
    <w:p w14:paraId="31D0EFC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70D1F3C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7、参加政府采购活动前3年内在经营活动中没有重大违法记录的书面声明；</w:t>
      </w:r>
    </w:p>
    <w:p w14:paraId="2477C95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8、具有履行合同所必需的设备和专业技术能力的证明材料；</w:t>
      </w:r>
    </w:p>
    <w:p w14:paraId="282E592D">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9、提供针对本次项目《反商业贿赂承诺书》；</w:t>
      </w:r>
    </w:p>
    <w:p w14:paraId="3723338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10、本项目不接受联合体。</w:t>
      </w:r>
    </w:p>
    <w:p w14:paraId="54E58E42">
      <w:pPr>
        <w:spacing w:line="240" w:lineRule="atLeast"/>
        <w:ind w:left="857" w:leftChars="2" w:hanging="853"/>
        <w:rPr>
          <w:rFonts w:hint="eastAsia" w:ascii="仿宋" w:hAnsi="仿宋" w:eastAsia="仿宋" w:cs="仿宋"/>
          <w:color w:val="auto"/>
          <w:sz w:val="24"/>
          <w:highlight w:val="none"/>
        </w:rPr>
      </w:pPr>
      <w:r>
        <w:rPr>
          <w:rFonts w:hint="eastAsia" w:ascii="仿宋" w:hAnsi="仿宋" w:eastAsia="仿宋" w:cs="仿宋"/>
          <w:color w:val="auto"/>
          <w:sz w:val="24"/>
          <w:highlight w:val="none"/>
        </w:rPr>
        <w:t>19.2   采购人或采购代理机构将在开标前1个工作日至投标截止后1小时的期间内查询投标人的信用记录。投标人存在不良信用记录的，其投标将被认定为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D490539">
      <w:pPr>
        <w:pStyle w:val="11"/>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19.2.1 不良信用记录指：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1D5CBCF5">
      <w:pPr>
        <w:spacing w:line="240" w:lineRule="atLeast"/>
        <w:ind w:left="849" w:leftChars="401" w:hanging="7" w:hangingChars="3"/>
        <w:rPr>
          <w:rFonts w:hint="eastAsia" w:ascii="仿宋" w:hAnsi="仿宋" w:eastAsia="仿宋" w:cs="仿宋"/>
          <w:color w:val="auto"/>
          <w:sz w:val="24"/>
          <w:highlight w:val="none"/>
        </w:rPr>
      </w:pPr>
      <w:r>
        <w:rPr>
          <w:rFonts w:hint="eastAsia" w:ascii="仿宋" w:hAnsi="仿宋" w:eastAsia="仿宋" w:cs="仿宋"/>
          <w:color w:val="auto"/>
          <w:sz w:val="24"/>
          <w:highlight w:val="none"/>
        </w:rPr>
        <w:t>以联合体形式参加投标的，联合体任何成员存在以上不良信用记录的，联合体投标将被认定为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B5FA288">
      <w:pPr>
        <w:pStyle w:val="9"/>
        <w:ind w:left="850" w:hanging="849" w:hangingChars="354"/>
        <w:jc w:val="both"/>
        <w:rPr>
          <w:rFonts w:hint="eastAsia" w:ascii="仿宋" w:hAnsi="仿宋" w:eastAsia="仿宋" w:cs="仿宋"/>
          <w:color w:val="auto"/>
          <w:highlight w:val="none"/>
        </w:rPr>
      </w:pPr>
      <w:r>
        <w:rPr>
          <w:rFonts w:hint="eastAsia" w:ascii="仿宋" w:hAnsi="仿宋" w:eastAsia="仿宋" w:cs="仿宋"/>
          <w:color w:val="auto"/>
          <w:highlight w:val="none"/>
        </w:rPr>
        <w:t>19.2.2 查询及记录方式：采购人或采购代理机构经办人将查询网页打印、签字并存档备查。投标人不良信用记录以采购人或采购代理机构查询结果为准。</w:t>
      </w:r>
    </w:p>
    <w:p w14:paraId="2F7D1FA6">
      <w:pPr>
        <w:pStyle w:val="9"/>
        <w:ind w:left="850" w:leftChars="405" w:firstLine="0"/>
        <w:jc w:val="both"/>
        <w:rPr>
          <w:rFonts w:hint="eastAsia" w:ascii="仿宋" w:hAnsi="仿宋" w:eastAsia="仿宋" w:cs="仿宋"/>
          <w:color w:val="auto"/>
          <w:highlight w:val="none"/>
        </w:rPr>
      </w:pPr>
      <w:r>
        <w:rPr>
          <w:rFonts w:hint="eastAsia" w:ascii="仿宋" w:hAnsi="仿宋" w:eastAsia="仿宋" w:cs="仿宋"/>
          <w:color w:val="auto"/>
          <w:highlight w:val="none"/>
        </w:rPr>
        <w:t>在本招标文件规定的查询时间之后，网站信息发生的任何变更均不再作为评标依据。</w:t>
      </w:r>
    </w:p>
    <w:p w14:paraId="5A5843D4">
      <w:pPr>
        <w:pStyle w:val="9"/>
        <w:ind w:left="850" w:leftChars="405" w:firstLine="0"/>
        <w:jc w:val="both"/>
        <w:rPr>
          <w:rFonts w:hint="eastAsia" w:ascii="仿宋" w:hAnsi="仿宋" w:eastAsia="仿宋" w:cs="仿宋"/>
          <w:color w:val="auto"/>
          <w:highlight w:val="none"/>
        </w:rPr>
      </w:pPr>
      <w:r>
        <w:rPr>
          <w:rFonts w:hint="eastAsia" w:ascii="仿宋" w:hAnsi="仿宋" w:eastAsia="仿宋" w:cs="仿宋"/>
          <w:color w:val="auto"/>
          <w:highlight w:val="none"/>
        </w:rPr>
        <w:t>投标人自行提供的与网站信息不一致的其他证明材料亦不作为资格审查依据。</w:t>
      </w:r>
    </w:p>
    <w:p w14:paraId="11172FF9">
      <w:pPr>
        <w:spacing w:line="240" w:lineRule="atLeast"/>
        <w:ind w:left="850" w:hanging="849" w:hangingChars="354"/>
        <w:rPr>
          <w:rFonts w:hint="default"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19.3   按照《中华人民共和国政府采购法》、《中华人民共和国政府采购法实施条例》及本项目本级和上级财政部门的有关规定依法组建的评标委员会，负责评标工作。</w:t>
      </w:r>
      <w:bookmarkStart w:id="136" w:name="_Toc520356166"/>
      <w:r>
        <w:rPr>
          <w:rFonts w:hint="eastAsia" w:ascii="仿宋" w:hAnsi="仿宋" w:eastAsia="仿宋" w:cs="仿宋"/>
          <w:b/>
          <w:bCs/>
          <w:color w:val="auto"/>
          <w:sz w:val="24"/>
          <w:highlight w:val="none"/>
          <w:u w:val="single"/>
        </w:rPr>
        <w:t>本项目评标委员会由</w:t>
      </w:r>
      <w:r>
        <w:rPr>
          <w:rFonts w:hint="eastAsia" w:ascii="仿宋" w:hAnsi="仿宋" w:eastAsia="仿宋" w:cs="仿宋"/>
          <w:b/>
          <w:bCs/>
          <w:color w:val="auto"/>
          <w:sz w:val="24"/>
          <w:highlight w:val="none"/>
          <w:u w:val="single"/>
          <w:lang w:val="en-US" w:eastAsia="zh-CN"/>
        </w:rPr>
        <w:t>5</w:t>
      </w:r>
      <w:r>
        <w:rPr>
          <w:rFonts w:hint="eastAsia" w:ascii="仿宋" w:hAnsi="仿宋" w:eastAsia="仿宋" w:cs="仿宋"/>
          <w:b/>
          <w:bCs/>
          <w:color w:val="auto"/>
          <w:sz w:val="24"/>
          <w:highlight w:val="none"/>
          <w:u w:val="single"/>
        </w:rPr>
        <w:t>人组成</w:t>
      </w:r>
      <w:r>
        <w:rPr>
          <w:rFonts w:hint="eastAsia" w:ascii="仿宋" w:hAnsi="仿宋" w:eastAsia="仿宋" w:cs="仿宋"/>
          <w:b/>
          <w:bCs/>
          <w:color w:val="auto"/>
          <w:sz w:val="24"/>
          <w:highlight w:val="none"/>
          <w:u w:val="single"/>
          <w:lang w:val="en-US" w:eastAsia="zh-CN"/>
        </w:rPr>
        <w:t>，从新疆政采云专家库</w:t>
      </w:r>
      <w:r>
        <w:rPr>
          <w:rFonts w:hint="eastAsia" w:ascii="仿宋" w:hAnsi="仿宋" w:eastAsia="仿宋" w:cs="仿宋"/>
          <w:b/>
          <w:bCs/>
          <w:color w:val="auto"/>
          <w:sz w:val="24"/>
          <w:highlight w:val="none"/>
          <w:u w:val="single"/>
        </w:rPr>
        <w:t>随机抽取专家</w:t>
      </w:r>
      <w:r>
        <w:rPr>
          <w:rFonts w:hint="eastAsia" w:ascii="仿宋" w:hAnsi="仿宋" w:eastAsia="仿宋" w:cs="仿宋"/>
          <w:b/>
          <w:bCs/>
          <w:color w:val="auto"/>
          <w:sz w:val="24"/>
          <w:highlight w:val="none"/>
          <w:u w:val="single"/>
          <w:lang w:val="en-US" w:eastAsia="zh-CN"/>
        </w:rPr>
        <w:t>5</w:t>
      </w:r>
      <w:r>
        <w:rPr>
          <w:rFonts w:hint="eastAsia" w:ascii="仿宋" w:hAnsi="仿宋" w:eastAsia="仿宋" w:cs="仿宋"/>
          <w:b/>
          <w:bCs/>
          <w:color w:val="auto"/>
          <w:sz w:val="24"/>
          <w:highlight w:val="none"/>
          <w:u w:val="single"/>
        </w:rPr>
        <w:t>名</w:t>
      </w:r>
      <w:r>
        <w:rPr>
          <w:rFonts w:hint="eastAsia" w:ascii="仿宋" w:hAnsi="仿宋" w:eastAsia="仿宋" w:cs="仿宋"/>
          <w:b/>
          <w:bCs/>
          <w:color w:val="auto"/>
          <w:sz w:val="24"/>
          <w:highlight w:val="none"/>
          <w:lang w:val="en-US" w:eastAsia="zh-CN"/>
        </w:rPr>
        <w:t>。</w:t>
      </w:r>
    </w:p>
    <w:p w14:paraId="6EAF6549">
      <w:pPr>
        <w:pStyle w:val="4"/>
        <w:spacing w:before="0" w:after="0" w:line="240" w:lineRule="atLeast"/>
        <w:rPr>
          <w:rFonts w:hint="eastAsia" w:ascii="仿宋" w:hAnsi="仿宋" w:eastAsia="仿宋" w:cs="仿宋"/>
          <w:b w:val="0"/>
          <w:bCs/>
          <w:color w:val="auto"/>
          <w:highlight w:val="none"/>
          <w:bdr w:val="single" w:color="auto" w:sz="4" w:space="0"/>
        </w:rPr>
      </w:pPr>
      <w:bookmarkStart w:id="137" w:name="_Toc19949"/>
      <w:bookmarkStart w:id="138" w:name="_Toc515647781"/>
      <w:bookmarkStart w:id="139" w:name="_Toc26295"/>
      <w:bookmarkStart w:id="140" w:name="_Toc28479"/>
      <w:r>
        <w:rPr>
          <w:rFonts w:hint="eastAsia" w:ascii="仿宋" w:hAnsi="仿宋" w:eastAsia="仿宋" w:cs="仿宋"/>
          <w:color w:val="auto"/>
          <w:highlight w:val="none"/>
          <w:u w:val="none"/>
        </w:rPr>
        <w:t>20.投标文件</w:t>
      </w:r>
      <w:bookmarkEnd w:id="136"/>
      <w:r>
        <w:rPr>
          <w:rFonts w:hint="eastAsia" w:ascii="仿宋" w:hAnsi="仿宋" w:eastAsia="仿宋" w:cs="仿宋"/>
          <w:color w:val="auto"/>
          <w:highlight w:val="none"/>
          <w:u w:val="none"/>
        </w:rPr>
        <w:t>符合性审查与澄清</w:t>
      </w:r>
      <w:bookmarkEnd w:id="137"/>
      <w:bookmarkEnd w:id="138"/>
      <w:bookmarkEnd w:id="139"/>
      <w:bookmarkEnd w:id="140"/>
    </w:p>
    <w:p w14:paraId="5570F0B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20.1   符合性审查是指依据招标文件的规定，从投标文件的有效性和完整性对招标文件的响应程度进行审查，以确定是否对招标文件的实质性要求做出响应。</w:t>
      </w:r>
      <w:bookmarkStart w:id="141" w:name="_Hlt522424701"/>
      <w:bookmarkEnd w:id="141"/>
      <w:bookmarkStart w:id="142" w:name="_Toc520356167"/>
    </w:p>
    <w:p w14:paraId="1B319CD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投标文件的澄清</w:t>
      </w:r>
    </w:p>
    <w:p w14:paraId="33AE43D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需进行CA签字确认，并不得超出投标文件范围或者改变投标文件的实质性内容。</w:t>
      </w:r>
    </w:p>
    <w:p w14:paraId="3325974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20.2.2  投标人的的澄清、说明或补正将作为投标文件的一部分。</w:t>
      </w:r>
    </w:p>
    <w:p w14:paraId="2DDE44F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20.3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投标文件报价出现前后不一致的，按照下列规定修正：</w:t>
      </w:r>
    </w:p>
    <w:p w14:paraId="170C0950">
      <w:pPr>
        <w:spacing w:line="240" w:lineRule="atLeas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（一）投标文件中开标一览表（报价表）内容与投标文件中相应内容不一致的，以开标一览表（报价表）为准；</w:t>
      </w:r>
    </w:p>
    <w:p w14:paraId="7966806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（二）大写金额和小写金额不一致的，以大写金额为准；</w:t>
      </w:r>
    </w:p>
    <w:p w14:paraId="3DC3DD76">
      <w:pPr>
        <w:spacing w:line="240" w:lineRule="atLeas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（三）单价金额小数点或者百分比有明显错位的，以开标一览表的总价为准，并修改单价；</w:t>
      </w:r>
    </w:p>
    <w:p w14:paraId="5BA0CE7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（四）总价金额与按单价汇总金额不一致的，以单价金额计算结果为准。</w:t>
      </w:r>
    </w:p>
    <w:p w14:paraId="0A39336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同时出现两种以上不一致的，按照前款规定的顺序修正。修正后的报价按照第20.2条的规定经投标人确认后产生约束力，投标人不确认的，其投标将被认定为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99C1419">
      <w:pPr>
        <w:spacing w:line="240" w:lineRule="atLeast"/>
        <w:ind w:left="735" w:leftChars="350" w:firstLine="120" w:firstLineChars="50"/>
        <w:rPr>
          <w:rFonts w:hint="eastAsia" w:ascii="仿宋" w:hAnsi="仿宋" w:eastAsia="仿宋" w:cs="仿宋"/>
          <w:color w:val="auto"/>
          <w:sz w:val="24"/>
          <w:highlight w:val="none"/>
        </w:rPr>
      </w:pPr>
      <w:r>
        <w:rPr>
          <w:rFonts w:hint="eastAsia" w:ascii="仿宋" w:hAnsi="仿宋" w:eastAsia="仿宋" w:cs="仿宋"/>
          <w:color w:val="auto"/>
          <w:sz w:val="24"/>
          <w:highlight w:val="none"/>
        </w:rPr>
        <w:t>对不同文字文本投标文件的解释发生异议的，以中文文本为准。</w:t>
      </w:r>
    </w:p>
    <w:p w14:paraId="7E91489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   如一个分包内只有一种产品，不同投标人所投产品为同一品牌的，按如下方式处理：</w:t>
      </w:r>
    </w:p>
    <w:p w14:paraId="2950C68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 xml:space="preserve">。 </w:t>
      </w:r>
    </w:p>
    <w:p w14:paraId="61FA0D3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4974AEB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20.5   如一个分包内包含多种产品的，采购人或采购代理机构将在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中载明核心产品，多家投标人提供的核心产品品牌相同的，按第20.4条规定处理。</w:t>
      </w:r>
    </w:p>
    <w:p w14:paraId="1860C45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20.6   投标人所投产品如被列入财政部与国家主管部门颁发的节能产品目录或环境标志产品目录或无线局域网产品目录，应提供相关证明，在评标时予以优先采购，具体优先采购办法见第六章评标方法和标准。</w:t>
      </w:r>
    </w:p>
    <w:p w14:paraId="280416E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55A8C83">
      <w:pPr>
        <w:pStyle w:val="4"/>
        <w:spacing w:before="0" w:after="0" w:line="240" w:lineRule="atLeast"/>
        <w:rPr>
          <w:rFonts w:hint="eastAsia" w:ascii="仿宋" w:hAnsi="仿宋" w:eastAsia="仿宋" w:cs="仿宋"/>
          <w:color w:val="auto"/>
          <w:highlight w:val="none"/>
          <w:u w:val="none"/>
        </w:rPr>
      </w:pPr>
      <w:bookmarkStart w:id="143" w:name="_Toc7061"/>
      <w:bookmarkStart w:id="144" w:name="_Toc515647782"/>
      <w:bookmarkStart w:id="145" w:name="_Toc9469"/>
      <w:bookmarkStart w:id="146" w:name="_Toc6364"/>
      <w:r>
        <w:rPr>
          <w:rFonts w:hint="eastAsia" w:ascii="仿宋" w:hAnsi="仿宋" w:eastAsia="仿宋" w:cs="仿宋"/>
          <w:color w:val="auto"/>
          <w:highlight w:val="none"/>
          <w:u w:val="none"/>
        </w:rPr>
        <w:t>21.投标偏离</w:t>
      </w:r>
      <w:bookmarkEnd w:id="143"/>
      <w:bookmarkEnd w:id="144"/>
      <w:bookmarkEnd w:id="145"/>
      <w:bookmarkEnd w:id="146"/>
    </w:p>
    <w:p w14:paraId="188E7CE8">
      <w:pPr>
        <w:spacing w:line="240" w:lineRule="atLeast"/>
        <w:ind w:left="847" w:leftChars="99" w:hanging="640" w:hangingChars="267"/>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评标委员会可以接受投标文件中不构成实质性偏离的不正规或不一致。</w:t>
      </w:r>
    </w:p>
    <w:p w14:paraId="70F58307">
      <w:pPr>
        <w:pStyle w:val="4"/>
        <w:spacing w:before="0" w:after="0" w:line="240" w:lineRule="atLeast"/>
        <w:rPr>
          <w:rFonts w:hint="eastAsia" w:ascii="仿宋" w:hAnsi="仿宋" w:eastAsia="仿宋" w:cs="仿宋"/>
          <w:color w:val="auto"/>
          <w:highlight w:val="none"/>
          <w:u w:val="none"/>
        </w:rPr>
      </w:pPr>
      <w:bookmarkStart w:id="147" w:name="_Toc515647783"/>
      <w:bookmarkStart w:id="148" w:name="_Toc6092"/>
      <w:bookmarkStart w:id="149" w:name="_Toc4950"/>
      <w:bookmarkStart w:id="150" w:name="_Toc8221"/>
      <w:r>
        <w:rPr>
          <w:rFonts w:hint="eastAsia" w:ascii="仿宋" w:hAnsi="仿宋" w:eastAsia="仿宋" w:cs="仿宋"/>
          <w:color w:val="auto"/>
          <w:highlight w:val="none"/>
          <w:u w:val="none"/>
        </w:rPr>
        <w:t>22.投标</w:t>
      </w:r>
      <w:bookmarkEnd w:id="147"/>
      <w:r>
        <w:rPr>
          <w:rFonts w:hint="eastAsia" w:ascii="仿宋" w:hAnsi="仿宋" w:eastAsia="仿宋" w:cs="仿宋"/>
          <w:color w:val="auto"/>
          <w:highlight w:val="none"/>
          <w:u w:val="none"/>
        </w:rPr>
        <w:t>无效</w:t>
      </w:r>
      <w:bookmarkEnd w:id="148"/>
      <w:bookmarkEnd w:id="149"/>
      <w:bookmarkEnd w:id="150"/>
    </w:p>
    <w:p w14:paraId="437DFFD9">
      <w:pPr>
        <w:spacing w:line="240" w:lineRule="atLeast"/>
        <w:ind w:left="852" w:leftChars="-23"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。投标人不得通过修正或撤销不符合要求的偏离，从而使其投标成为实质上响应的投标。</w:t>
      </w:r>
    </w:p>
    <w:p w14:paraId="6DAD67AA">
      <w:pPr>
        <w:spacing w:line="240" w:lineRule="atLeast"/>
        <w:ind w:left="791" w:leftChars="377"/>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评标委员会决定投标的响应性只根据招标文件要求、投标文件内容及财政主管部门指定相关信息发布媒体。</w:t>
      </w:r>
    </w:p>
    <w:p w14:paraId="1A64B3A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如发现下列情况之一的，其投标将被认定为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以下情形应当在招标文件中规定，并以醒目的方式标明</w:t>
      </w:r>
      <w:r>
        <w:rPr>
          <w:rFonts w:hint="eastAsia" w:ascii="仿宋" w:hAnsi="仿宋" w:eastAsia="仿宋" w:cs="仿宋"/>
          <w:color w:val="auto"/>
          <w:sz w:val="24"/>
          <w:highlight w:val="none"/>
        </w:rPr>
        <w:t>）</w:t>
      </w:r>
    </w:p>
    <w:p w14:paraId="6B354E0D">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未按招标文件规定的形式和金额提交投标保证金的；</w:t>
      </w:r>
    </w:p>
    <w:p w14:paraId="71E6E7BC">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未按照招标文件规定要求签署、盖章的；</w:t>
      </w:r>
    </w:p>
    <w:p w14:paraId="4A90B871">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未满足招标文件中技术条款的实质性要求；</w:t>
      </w:r>
    </w:p>
    <w:p w14:paraId="2630783D">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与其他投标人串通投标，或者与招标人串通投标；</w:t>
      </w:r>
    </w:p>
    <w:p w14:paraId="2F412ACB">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属于招标文件规定的其他投标无效情形；</w:t>
      </w:r>
    </w:p>
    <w:p w14:paraId="466F9A3B">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评标委员会认为投标人的报价明显低于其他通过符合性检查投标人的报价，有可能影响履约的，且投标人未按照规定证明其报价合理性的；</w:t>
      </w:r>
    </w:p>
    <w:p w14:paraId="1547ADAE">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投标文件含有采购人不能接受的附加条件的；</w:t>
      </w:r>
    </w:p>
    <w:p w14:paraId="07F511F2">
      <w:pPr>
        <w:numPr>
          <w:ilvl w:val="0"/>
          <w:numId w:val="5"/>
        </w:numPr>
        <w:tabs>
          <w:tab w:val="left" w:pos="0"/>
        </w:tabs>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不符合法规和招标文件中规定的其他实质性要求的。</w:t>
      </w:r>
    </w:p>
    <w:p w14:paraId="3102E281">
      <w:pPr>
        <w:pStyle w:val="4"/>
        <w:spacing w:before="0" w:after="0" w:line="240" w:lineRule="atLeast"/>
        <w:rPr>
          <w:rFonts w:hint="eastAsia" w:ascii="仿宋" w:hAnsi="仿宋" w:eastAsia="仿宋" w:cs="仿宋"/>
          <w:b/>
          <w:color w:val="auto"/>
          <w:highlight w:val="none"/>
          <w:u w:val="none"/>
        </w:rPr>
      </w:pPr>
      <w:bookmarkStart w:id="151" w:name="_Toc1871"/>
      <w:bookmarkStart w:id="152" w:name="_Toc13652"/>
      <w:bookmarkStart w:id="153" w:name="_Toc22941"/>
      <w:bookmarkStart w:id="154" w:name="_Toc515647784"/>
      <w:r>
        <w:rPr>
          <w:rFonts w:hint="eastAsia" w:ascii="仿宋" w:hAnsi="仿宋" w:eastAsia="仿宋" w:cs="仿宋"/>
          <w:b/>
          <w:color w:val="auto"/>
          <w:highlight w:val="none"/>
          <w:u w:val="none"/>
          <w:lang w:val="en-US" w:eastAsia="zh-CN"/>
        </w:rPr>
        <w:t>23.</w:t>
      </w:r>
      <w:bookmarkEnd w:id="142"/>
      <w:r>
        <w:rPr>
          <w:rFonts w:hint="eastAsia" w:ascii="仿宋" w:hAnsi="仿宋" w:eastAsia="仿宋" w:cs="仿宋"/>
          <w:b/>
          <w:color w:val="auto"/>
          <w:highlight w:val="none"/>
          <w:u w:val="none"/>
          <w:lang w:val="en-US" w:eastAsia="zh-CN"/>
        </w:rPr>
        <w:t>比较与评价</w:t>
      </w:r>
      <w:bookmarkEnd w:id="151"/>
      <w:bookmarkEnd w:id="152"/>
      <w:bookmarkEnd w:id="153"/>
      <w:bookmarkEnd w:id="154"/>
    </w:p>
    <w:p w14:paraId="51538BD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经符合性审查合格的投标文件，评标委员会将根据招标文件确定的评标方法和标准，对其技术部分和商务部分作进一步的比较和评价。</w:t>
      </w:r>
    </w:p>
    <w:p w14:paraId="03BE0BE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23.2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评标严格按照招标文件的要求和条件进行。根据实际情况，在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中规定采用下列一种评标方法，详细评标标准见招标文件第六章：</w:t>
      </w:r>
    </w:p>
    <w:p w14:paraId="374B38F7">
      <w:pPr>
        <w:pStyle w:val="17"/>
        <w:spacing w:line="240" w:lineRule="atLeast"/>
        <w:ind w:left="899" w:leftChars="342" w:hanging="18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最低评标价法，是指投标文件满足招标文件全部实质性要求，且投标报价最低的投标人为中标候选人的评标方法。</w:t>
      </w:r>
    </w:p>
    <w:p w14:paraId="0B701515">
      <w:pPr>
        <w:spacing w:line="240" w:lineRule="atLeast"/>
        <w:ind w:left="901"/>
        <w:rPr>
          <w:rFonts w:hint="eastAsia" w:ascii="仿宋" w:hAnsi="仿宋" w:eastAsia="仿宋" w:cs="仿宋"/>
          <w:b/>
          <w:bCs/>
          <w:color w:val="auto"/>
          <w:sz w:val="24"/>
          <w:highlight w:val="yellow"/>
        </w:rPr>
      </w:pPr>
      <w:r>
        <w:rPr>
          <w:rFonts w:hint="eastAsia" w:ascii="仿宋" w:hAnsi="仿宋" w:eastAsia="仿宋" w:cs="仿宋"/>
          <w:color w:val="auto"/>
          <w:sz w:val="24"/>
          <w:szCs w:val="24"/>
          <w:highlight w:val="none"/>
        </w:rPr>
        <w:t>（2） 综合评分法，是指投标文件满足招标文件全部实质性要求，且按照评审因素的量化指标评审得分最高的投标人为中标候选人的评标方法。</w:t>
      </w:r>
    </w:p>
    <w:p w14:paraId="2DDDD1E6">
      <w:pPr>
        <w:pStyle w:val="17"/>
        <w:spacing w:line="240" w:lineRule="atLeast"/>
        <w:ind w:left="900" w:hanging="900" w:hangingChars="375"/>
        <w:rPr>
          <w:rFonts w:hint="eastAsia" w:ascii="仿宋" w:hAnsi="仿宋" w:eastAsia="仿宋" w:cs="仿宋"/>
          <w:b/>
          <w:bCs/>
          <w:color w:val="auto"/>
          <w:sz w:val="24"/>
          <w:szCs w:val="24"/>
          <w:highlight w:val="none"/>
          <w:lang w:eastAsia="zh-CN"/>
        </w:rPr>
      </w:pPr>
      <w:r>
        <w:rPr>
          <w:rFonts w:hint="eastAsia" w:ascii="仿宋" w:hAnsi="仿宋" w:eastAsia="仿宋" w:cs="仿宋"/>
          <w:color w:val="auto"/>
          <w:sz w:val="24"/>
          <w:szCs w:val="24"/>
          <w:highlight w:val="none"/>
        </w:rPr>
        <w:t>23.3   根据《政府采购促进中小企业发展</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办法》（财库[20</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46</w:t>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lang w:eastAsia="zh-CN"/>
        </w:rPr>
        <w:t>《关于进一步加大政府采购支持中小企业力度的通知》</w:t>
      </w:r>
      <w:r>
        <w:rPr>
          <w:rFonts w:hint="eastAsia" w:ascii="仿宋" w:hAnsi="仿宋" w:eastAsia="仿宋" w:cs="仿宋"/>
          <w:color w:val="auto"/>
          <w:sz w:val="24"/>
          <w:szCs w:val="24"/>
          <w:highlight w:val="none"/>
        </w:rPr>
        <w:t>（财库[20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号）、《财政部 司法部关于政府采购支持监狱企业发展有关问题的通知》（财库〔2014〕68号）和《三部门联合发布关于促进残疾人就业政府采购政策的通知》（</w:t>
      </w:r>
      <w:bookmarkStart w:id="155" w:name="sendNo"/>
      <w:r>
        <w:rPr>
          <w:rFonts w:hint="eastAsia" w:ascii="仿宋" w:hAnsi="仿宋" w:eastAsia="仿宋" w:cs="仿宋"/>
          <w:bCs/>
          <w:color w:val="auto"/>
          <w:sz w:val="24"/>
          <w:szCs w:val="24"/>
          <w:highlight w:val="none"/>
        </w:rPr>
        <w:t>财库〔</w:t>
      </w:r>
      <w:bookmarkEnd w:id="155"/>
      <w:r>
        <w:rPr>
          <w:rFonts w:hint="eastAsia" w:ascii="仿宋" w:hAnsi="仿宋" w:eastAsia="仿宋" w:cs="仿宋"/>
          <w:bCs/>
          <w:color w:val="auto"/>
          <w:sz w:val="24"/>
          <w:szCs w:val="24"/>
          <w:highlight w:val="none"/>
        </w:rPr>
        <w:t>2017〕141号</w:t>
      </w:r>
      <w:r>
        <w:rPr>
          <w:rFonts w:hint="eastAsia" w:ascii="仿宋" w:hAnsi="仿宋" w:eastAsia="仿宋" w:cs="仿宋"/>
          <w:color w:val="auto"/>
          <w:sz w:val="24"/>
          <w:szCs w:val="24"/>
          <w:highlight w:val="none"/>
        </w:rPr>
        <w:t>）的规定，对满足价格扣除条件且在投标文件中提交了《</w:t>
      </w:r>
      <w:r>
        <w:rPr>
          <w:rFonts w:hint="eastAsia" w:ascii="仿宋" w:hAnsi="仿宋" w:eastAsia="仿宋" w:cs="仿宋"/>
          <w:color w:val="auto"/>
          <w:sz w:val="24"/>
          <w:szCs w:val="24"/>
          <w:highlight w:val="none"/>
          <w:lang w:eastAsia="zh-CN"/>
        </w:rPr>
        <w:t>中小企业声明函</w:t>
      </w:r>
      <w:r>
        <w:rPr>
          <w:rFonts w:hint="eastAsia" w:ascii="仿宋" w:hAnsi="仿宋" w:eastAsia="仿宋" w:cs="仿宋"/>
          <w:color w:val="auto"/>
          <w:sz w:val="24"/>
          <w:szCs w:val="24"/>
          <w:highlight w:val="none"/>
        </w:rPr>
        <w:t>》或省级以上监狱管理局、戒毒管理局（含新疆生产建设兵团）出具的属于监狱企业的证明文件的投标人，其投标报价扣除</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%后参与评审。具体办法详见招标文件第6章。</w:t>
      </w:r>
    </w:p>
    <w:p w14:paraId="078B46A5">
      <w:pPr>
        <w:pStyle w:val="4"/>
        <w:spacing w:before="0" w:after="0" w:line="240" w:lineRule="atLeast"/>
        <w:rPr>
          <w:rFonts w:hint="eastAsia" w:ascii="仿宋" w:hAnsi="仿宋" w:eastAsia="仿宋" w:cs="仿宋"/>
          <w:color w:val="auto"/>
          <w:highlight w:val="none"/>
          <w:u w:val="none"/>
        </w:rPr>
      </w:pPr>
      <w:bookmarkStart w:id="156" w:name="_Toc520356168"/>
      <w:bookmarkStart w:id="157" w:name="_Toc20227"/>
      <w:bookmarkStart w:id="158" w:name="_Toc6344"/>
      <w:bookmarkStart w:id="159" w:name="_Toc515647785"/>
      <w:bookmarkStart w:id="160" w:name="_Toc9378"/>
      <w:r>
        <w:rPr>
          <w:rFonts w:hint="eastAsia" w:ascii="仿宋" w:hAnsi="仿宋" w:eastAsia="仿宋" w:cs="仿宋"/>
          <w:color w:val="auto"/>
          <w:highlight w:val="none"/>
          <w:u w:val="none"/>
        </w:rPr>
        <w:t>24</w:t>
      </w:r>
      <w:bookmarkEnd w:id="156"/>
      <w:r>
        <w:rPr>
          <w:rFonts w:hint="eastAsia" w:ascii="仿宋" w:hAnsi="仿宋" w:eastAsia="仿宋" w:cs="仿宋"/>
          <w:color w:val="auto"/>
          <w:highlight w:val="none"/>
          <w:u w:val="none"/>
        </w:rPr>
        <w:t>.废标</w:t>
      </w:r>
      <w:bookmarkEnd w:id="157"/>
      <w:bookmarkEnd w:id="158"/>
      <w:bookmarkEnd w:id="159"/>
      <w:bookmarkEnd w:id="160"/>
    </w:p>
    <w:p w14:paraId="7D09F901">
      <w:pPr>
        <w:spacing w:line="240" w:lineRule="atLeast"/>
        <w:ind w:left="897" w:leftChars="399" w:hanging="60" w:hangingChars="2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出现下列情形之一，将导致项目废标： </w:t>
      </w:r>
    </w:p>
    <w:p w14:paraId="5396A1C7">
      <w:pPr>
        <w:spacing w:line="240" w:lineRule="atLeast"/>
        <w:ind w:left="900" w:hanging="900" w:hangingChars="375"/>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b/>
          <w:bCs/>
          <w:color w:val="auto"/>
          <w:sz w:val="24"/>
          <w:highlight w:val="none"/>
        </w:rPr>
        <w:t>（1）符合专业条件的供应商或者对招标文件做实质性响应的供应商不足三家；</w:t>
      </w:r>
    </w:p>
    <w:p w14:paraId="2F2F9D84">
      <w:pPr>
        <w:spacing w:line="240" w:lineRule="atLeast"/>
        <w:ind w:left="900" w:hanging="900" w:hangingChars="37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b/>
      </w:r>
      <w:r>
        <w:rPr>
          <w:rFonts w:hint="eastAsia" w:ascii="仿宋" w:hAnsi="仿宋" w:eastAsia="仿宋" w:cs="仿宋"/>
          <w:b/>
          <w:bCs/>
          <w:color w:val="auto"/>
          <w:sz w:val="24"/>
          <w:highlight w:val="none"/>
        </w:rPr>
        <w:t>（2）出现影响采购公正的违法、违规行为的；</w:t>
      </w:r>
    </w:p>
    <w:p w14:paraId="057EA3C8">
      <w:pPr>
        <w:spacing w:line="240" w:lineRule="atLeast"/>
        <w:ind w:firstLine="840" w:firstLineChars="3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（3）投标人的报价均超过了采购预算，采购人不能支付的；</w:t>
      </w:r>
    </w:p>
    <w:p w14:paraId="71185AEA">
      <w:pPr>
        <w:spacing w:line="240" w:lineRule="atLeast"/>
        <w:ind w:firstLine="840" w:firstLineChars="35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（4）因重大变故，采购任务取消的。</w:t>
      </w:r>
      <w:r>
        <w:rPr>
          <w:rFonts w:hint="eastAsia" w:ascii="仿宋" w:hAnsi="仿宋" w:eastAsia="仿宋" w:cs="仿宋"/>
          <w:color w:val="auto"/>
          <w:sz w:val="24"/>
          <w:highlight w:val="none"/>
        </w:rPr>
        <w:t xml:space="preserve">   </w:t>
      </w:r>
    </w:p>
    <w:p w14:paraId="03EE47D9">
      <w:pPr>
        <w:pStyle w:val="4"/>
        <w:spacing w:before="0" w:after="0" w:line="240" w:lineRule="atLeast"/>
        <w:rPr>
          <w:rFonts w:hint="eastAsia" w:ascii="仿宋" w:hAnsi="仿宋" w:eastAsia="仿宋" w:cs="仿宋"/>
          <w:color w:val="auto"/>
          <w:highlight w:val="none"/>
          <w:u w:val="none"/>
        </w:rPr>
      </w:pPr>
      <w:bookmarkStart w:id="161" w:name="_Toc24972"/>
      <w:bookmarkStart w:id="162" w:name="_Toc515647786"/>
      <w:bookmarkStart w:id="163" w:name="_Toc31289"/>
      <w:bookmarkStart w:id="164" w:name="_Toc24284"/>
      <w:bookmarkStart w:id="165" w:name="_Toc520356169"/>
      <w:r>
        <w:rPr>
          <w:rFonts w:hint="eastAsia" w:ascii="仿宋" w:hAnsi="仿宋" w:eastAsia="仿宋" w:cs="仿宋"/>
          <w:color w:val="auto"/>
          <w:highlight w:val="none"/>
          <w:u w:val="none"/>
        </w:rPr>
        <w:t>25.保密原则</w:t>
      </w:r>
      <w:bookmarkEnd w:id="161"/>
      <w:bookmarkEnd w:id="162"/>
      <w:bookmarkEnd w:id="163"/>
      <w:bookmarkEnd w:id="164"/>
    </w:p>
    <w:p w14:paraId="1B19E6B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评标将在严格保密的情况下进行。</w:t>
      </w:r>
    </w:p>
    <w:p w14:paraId="60840E5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政府采购评审专家应当遵守评审工作纪律，不得泄露评审文件、评审情况和评审中获悉的商业秘密。</w:t>
      </w:r>
    </w:p>
    <w:p w14:paraId="5C8F833A">
      <w:pPr>
        <w:pStyle w:val="3"/>
        <w:spacing w:before="0" w:line="240" w:lineRule="atLeast"/>
        <w:ind w:left="1079" w:leftChars="257" w:hanging="540"/>
        <w:rPr>
          <w:rFonts w:hint="eastAsia" w:ascii="仿宋" w:hAnsi="仿宋" w:eastAsia="仿宋" w:cs="仿宋"/>
          <w:color w:val="auto"/>
          <w:sz w:val="24"/>
          <w:highlight w:val="none"/>
        </w:rPr>
      </w:pPr>
      <w:bookmarkStart w:id="166" w:name="_Toc216582810"/>
      <w:bookmarkStart w:id="167" w:name="_Toc515647787"/>
      <w:bookmarkStart w:id="168" w:name="_Toc28179"/>
      <w:bookmarkStart w:id="169" w:name="_Toc12143"/>
      <w:bookmarkStart w:id="170" w:name="_Toc23904"/>
      <w:r>
        <w:rPr>
          <w:rFonts w:hint="eastAsia" w:ascii="仿宋" w:hAnsi="仿宋" w:eastAsia="仿宋" w:cs="仿宋"/>
          <w:color w:val="auto"/>
          <w:sz w:val="24"/>
          <w:highlight w:val="none"/>
        </w:rPr>
        <w:t xml:space="preserve">六   </w:t>
      </w:r>
      <w:bookmarkEnd w:id="165"/>
      <w:r>
        <w:rPr>
          <w:rFonts w:hint="eastAsia" w:ascii="仿宋" w:hAnsi="仿宋" w:eastAsia="仿宋" w:cs="仿宋"/>
          <w:color w:val="auto"/>
          <w:sz w:val="24"/>
          <w:highlight w:val="none"/>
        </w:rPr>
        <w:t>确定中标</w:t>
      </w:r>
      <w:bookmarkEnd w:id="166"/>
      <w:bookmarkEnd w:id="167"/>
      <w:bookmarkEnd w:id="168"/>
      <w:bookmarkEnd w:id="169"/>
      <w:bookmarkEnd w:id="170"/>
    </w:p>
    <w:p w14:paraId="03EBD095">
      <w:pPr>
        <w:pStyle w:val="9"/>
        <w:rPr>
          <w:rFonts w:hint="eastAsia" w:ascii="仿宋" w:hAnsi="仿宋" w:eastAsia="仿宋" w:cs="仿宋"/>
          <w:color w:val="auto"/>
          <w:highlight w:val="none"/>
        </w:rPr>
      </w:pPr>
    </w:p>
    <w:p w14:paraId="284CD23A">
      <w:pPr>
        <w:pStyle w:val="4"/>
        <w:spacing w:before="0" w:after="0" w:line="240" w:lineRule="atLeast"/>
        <w:rPr>
          <w:rFonts w:hint="eastAsia" w:ascii="仿宋" w:hAnsi="仿宋" w:eastAsia="仿宋" w:cs="仿宋"/>
          <w:color w:val="auto"/>
          <w:highlight w:val="none"/>
          <w:u w:val="none"/>
        </w:rPr>
      </w:pPr>
      <w:bookmarkStart w:id="171" w:name="_Toc520356170"/>
      <w:bookmarkStart w:id="172" w:name="_Toc26955"/>
      <w:bookmarkStart w:id="173" w:name="_Toc515647788"/>
      <w:bookmarkStart w:id="174" w:name="_Toc23617"/>
      <w:bookmarkStart w:id="175" w:name="_Ref467307010"/>
      <w:bookmarkStart w:id="176" w:name="_Toc23762"/>
      <w:r>
        <w:rPr>
          <w:rFonts w:hint="eastAsia" w:ascii="仿宋" w:hAnsi="仿宋" w:eastAsia="仿宋" w:cs="仿宋"/>
          <w:color w:val="auto"/>
          <w:highlight w:val="none"/>
          <w:u w:val="none"/>
        </w:rPr>
        <w:t>26.中标候选人的确定原则及标准</w:t>
      </w:r>
      <w:bookmarkEnd w:id="171"/>
      <w:bookmarkEnd w:id="172"/>
      <w:bookmarkEnd w:id="173"/>
      <w:bookmarkEnd w:id="174"/>
      <w:bookmarkEnd w:id="175"/>
      <w:bookmarkEnd w:id="176"/>
    </w:p>
    <w:p w14:paraId="0596248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除第28条规定外，对实质上响应招标文件的投标人按下列方法进行排序，确定投标候选人：</w:t>
      </w:r>
    </w:p>
    <w:p w14:paraId="103DAA61">
      <w:pPr>
        <w:spacing w:line="240" w:lineRule="atLeast"/>
        <w:ind w:left="901"/>
        <w:rPr>
          <w:rFonts w:hint="eastAsia" w:ascii="仿宋" w:hAnsi="仿宋" w:eastAsia="仿宋" w:cs="仿宋"/>
          <w:color w:val="auto"/>
          <w:sz w:val="24"/>
          <w:highlight w:val="none"/>
        </w:rPr>
      </w:pPr>
      <w:bookmarkStart w:id="177" w:name="_Toc520356171"/>
      <w:bookmarkStart w:id="178" w:name="_Toc515647789"/>
      <w:r>
        <w:rPr>
          <w:rFonts w:hint="eastAsia" w:ascii="仿宋" w:hAnsi="仿宋" w:eastAsia="仿宋" w:cs="仿宋"/>
          <w:color w:val="auto"/>
          <w:sz w:val="24"/>
          <w:highlight w:val="none"/>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1569C144">
      <w:pPr>
        <w:spacing w:line="240" w:lineRule="atLeast"/>
        <w:ind w:left="901"/>
        <w:rPr>
          <w:rFonts w:hint="eastAsia" w:ascii="仿宋" w:hAnsi="仿宋" w:eastAsia="仿宋" w:cs="仿宋"/>
          <w:color w:val="auto"/>
          <w:sz w:val="24"/>
          <w:highlight w:val="none"/>
        </w:rPr>
      </w:pPr>
      <w:r>
        <w:rPr>
          <w:rFonts w:hint="eastAsia" w:ascii="仿宋" w:hAnsi="仿宋" w:eastAsia="仿宋" w:cs="仿宋"/>
          <w:color w:val="auto"/>
          <w:sz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66158582">
      <w:pPr>
        <w:pStyle w:val="4"/>
        <w:tabs>
          <w:tab w:val="left" w:pos="900"/>
        </w:tabs>
        <w:spacing w:before="0" w:after="0" w:line="240" w:lineRule="atLeast"/>
        <w:rPr>
          <w:rFonts w:hint="eastAsia" w:ascii="仿宋" w:hAnsi="仿宋" w:eastAsia="仿宋" w:cs="仿宋"/>
          <w:color w:val="auto"/>
          <w:highlight w:val="none"/>
          <w:u w:val="none"/>
        </w:rPr>
      </w:pPr>
      <w:bookmarkStart w:id="179" w:name="_Toc9653"/>
      <w:bookmarkStart w:id="180" w:name="_Toc23951"/>
      <w:bookmarkStart w:id="181" w:name="_Toc21888"/>
      <w:r>
        <w:rPr>
          <w:rFonts w:hint="eastAsia" w:ascii="仿宋" w:hAnsi="仿宋" w:eastAsia="仿宋" w:cs="仿宋"/>
          <w:color w:val="auto"/>
          <w:highlight w:val="none"/>
          <w:u w:val="none"/>
        </w:rPr>
        <w:t>27</w:t>
      </w:r>
      <w:bookmarkEnd w:id="177"/>
      <w:r>
        <w:rPr>
          <w:rFonts w:hint="eastAsia" w:ascii="仿宋" w:hAnsi="仿宋" w:eastAsia="仿宋" w:cs="仿宋"/>
          <w:color w:val="auto"/>
          <w:highlight w:val="none"/>
          <w:u w:val="none"/>
        </w:rPr>
        <w:t>.确定中标候选人和中标人</w:t>
      </w:r>
      <w:bookmarkEnd w:id="178"/>
      <w:bookmarkEnd w:id="179"/>
      <w:bookmarkEnd w:id="180"/>
      <w:bookmarkEnd w:id="181"/>
    </w:p>
    <w:p w14:paraId="1497E412">
      <w:pPr>
        <w:spacing w:line="240" w:lineRule="atLeast"/>
        <w:ind w:left="900" w:hanging="900" w:hangingChars="375"/>
        <w:rPr>
          <w:rFonts w:hint="eastAsia" w:ascii="仿宋" w:hAnsi="仿宋" w:eastAsia="仿宋" w:cs="仿宋"/>
          <w:color w:val="auto"/>
          <w:sz w:val="24"/>
          <w:highlight w:val="yellow"/>
          <w:lang w:eastAsia="zh-CN"/>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评标委员会将根据评标标准，按</w:t>
      </w:r>
      <w:r>
        <w:rPr>
          <w:rFonts w:hint="eastAsia" w:ascii="仿宋" w:hAnsi="仿宋" w:eastAsia="仿宋" w:cs="仿宋"/>
          <w:color w:val="auto"/>
          <w:sz w:val="24"/>
          <w:highlight w:val="none"/>
          <w:u w:val="single"/>
        </w:rPr>
        <w:t>投标人须知资料表中</w:t>
      </w:r>
      <w:r>
        <w:rPr>
          <w:rFonts w:hint="eastAsia" w:ascii="仿宋" w:hAnsi="仿宋" w:eastAsia="仿宋" w:cs="仿宋"/>
          <w:color w:val="auto"/>
          <w:sz w:val="24"/>
          <w:highlight w:val="none"/>
        </w:rPr>
        <w:t>规定数量推荐中标候选人；</w:t>
      </w:r>
      <w:r>
        <w:rPr>
          <w:rFonts w:hint="eastAsia" w:ascii="仿宋" w:hAnsi="仿宋" w:eastAsia="仿宋" w:cs="仿宋"/>
          <w:color w:val="auto"/>
          <w:sz w:val="24"/>
          <w:highlight w:val="none"/>
          <w:lang w:val="en-US" w:eastAsia="zh-CN"/>
        </w:rPr>
        <w:t>评审委员会</w:t>
      </w:r>
      <w:r>
        <w:rPr>
          <w:rFonts w:hint="eastAsia" w:ascii="仿宋" w:hAnsi="仿宋" w:eastAsia="仿宋" w:cs="仿宋"/>
          <w:b/>
          <w:bCs/>
          <w:color w:val="auto"/>
          <w:sz w:val="24"/>
          <w:highlight w:val="none"/>
          <w:lang w:val="en-US" w:eastAsia="zh-CN"/>
        </w:rPr>
        <w:t>应当根据综合评分情况，按照评审得分由高到低顺序推荐3名以上成交候选供应商</w:t>
      </w:r>
      <w:r>
        <w:rPr>
          <w:rFonts w:hint="eastAsia" w:ascii="仿宋" w:hAnsi="仿宋" w:eastAsia="仿宋" w:cs="仿宋"/>
          <w:color w:val="auto"/>
          <w:sz w:val="24"/>
          <w:highlight w:val="none"/>
        </w:rPr>
        <w:t>或根据采购人的委托，直接确定中标人。</w:t>
      </w:r>
    </w:p>
    <w:p w14:paraId="281F505C">
      <w:pPr>
        <w:pStyle w:val="4"/>
        <w:tabs>
          <w:tab w:val="left" w:pos="900"/>
        </w:tabs>
        <w:spacing w:before="0" w:after="0" w:line="240" w:lineRule="atLeast"/>
        <w:rPr>
          <w:rFonts w:hint="eastAsia" w:ascii="仿宋" w:hAnsi="仿宋" w:eastAsia="仿宋" w:cs="仿宋"/>
          <w:color w:val="auto"/>
          <w:highlight w:val="none"/>
          <w:u w:val="none"/>
        </w:rPr>
      </w:pPr>
      <w:bookmarkStart w:id="182" w:name="_Ref467306874"/>
      <w:bookmarkStart w:id="183" w:name="_Toc520356173"/>
      <w:bookmarkStart w:id="184" w:name="_Toc11766"/>
      <w:bookmarkStart w:id="185" w:name="_Toc28562"/>
      <w:bookmarkStart w:id="186" w:name="_Toc8389"/>
      <w:bookmarkStart w:id="187" w:name="_Toc515647790"/>
      <w:r>
        <w:rPr>
          <w:rFonts w:hint="eastAsia" w:ascii="仿宋" w:hAnsi="仿宋" w:eastAsia="仿宋" w:cs="仿宋"/>
          <w:color w:val="auto"/>
          <w:highlight w:val="none"/>
          <w:u w:val="none"/>
        </w:rPr>
        <w:t>28.</w:t>
      </w:r>
      <w:bookmarkEnd w:id="182"/>
      <w:bookmarkEnd w:id="183"/>
      <w:r>
        <w:rPr>
          <w:rFonts w:hint="eastAsia" w:ascii="仿宋" w:hAnsi="仿宋" w:eastAsia="仿宋" w:cs="仿宋"/>
          <w:color w:val="auto"/>
          <w:highlight w:val="none"/>
          <w:u w:val="none"/>
        </w:rPr>
        <w:t>采购任务取消</w:t>
      </w:r>
      <w:bookmarkEnd w:id="184"/>
      <w:bookmarkEnd w:id="185"/>
      <w:bookmarkEnd w:id="186"/>
      <w:bookmarkEnd w:id="187"/>
    </w:p>
    <w:p w14:paraId="6017CF2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因重大变故采购任务取消时，采购人有权拒绝任何投标人中标，且对受影响的投标人不承担任何责任。</w:t>
      </w:r>
      <w:bookmarkStart w:id="188" w:name="_Toc520356174"/>
    </w:p>
    <w:p w14:paraId="3A9336E8">
      <w:pPr>
        <w:pStyle w:val="4"/>
        <w:spacing w:before="0" w:after="0" w:line="240" w:lineRule="atLeast"/>
        <w:rPr>
          <w:rFonts w:hint="eastAsia" w:ascii="仿宋" w:hAnsi="仿宋" w:eastAsia="仿宋" w:cs="仿宋"/>
          <w:color w:val="auto"/>
          <w:highlight w:val="none"/>
          <w:u w:val="none"/>
        </w:rPr>
      </w:pPr>
      <w:bookmarkStart w:id="189" w:name="_Toc26946"/>
      <w:bookmarkStart w:id="190" w:name="_Toc31099"/>
      <w:bookmarkStart w:id="191" w:name="_Toc30170"/>
      <w:bookmarkStart w:id="192" w:name="_Toc515647791"/>
      <w:r>
        <w:rPr>
          <w:rFonts w:hint="eastAsia" w:ascii="仿宋" w:hAnsi="仿宋" w:eastAsia="仿宋" w:cs="仿宋"/>
          <w:color w:val="auto"/>
          <w:highlight w:val="none"/>
          <w:u w:val="none"/>
        </w:rPr>
        <w:t>29.中标通知书</w:t>
      </w:r>
      <w:bookmarkEnd w:id="188"/>
      <w:r>
        <w:rPr>
          <w:rFonts w:hint="eastAsia" w:ascii="仿宋" w:hAnsi="仿宋" w:eastAsia="仿宋" w:cs="仿宋"/>
          <w:color w:val="auto"/>
          <w:highlight w:val="none"/>
          <w:u w:val="none"/>
        </w:rPr>
        <w:t>和招标结果通知书</w:t>
      </w:r>
      <w:bookmarkEnd w:id="189"/>
      <w:bookmarkEnd w:id="190"/>
      <w:bookmarkEnd w:id="191"/>
      <w:bookmarkEnd w:id="192"/>
    </w:p>
    <w:p w14:paraId="0A5CC65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在投标有效期内，中标人确定后，采购人或者采购代理机构发布中标公告，同时以书面形式向中标人发出中标通知书。</w:t>
      </w:r>
    </w:p>
    <w:p w14:paraId="2C22B9C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中标通知书是合同的组成部分。</w:t>
      </w:r>
    </w:p>
    <w:p w14:paraId="6C44875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29.3    招标结果通知书和中标通知书同时发出。招标结果通知书中将告知未通过资格审查的投标人未通过的原因；采用综合评分法评审的，还将告知未中标人本人的评审得分和排序。</w:t>
      </w:r>
    </w:p>
    <w:p w14:paraId="3700EC3F">
      <w:pPr>
        <w:pStyle w:val="4"/>
        <w:spacing w:before="0" w:after="0" w:line="240" w:lineRule="atLeast"/>
        <w:rPr>
          <w:rFonts w:hint="eastAsia" w:ascii="仿宋" w:hAnsi="仿宋" w:eastAsia="仿宋" w:cs="仿宋"/>
          <w:color w:val="auto"/>
          <w:highlight w:val="none"/>
          <w:u w:val="none"/>
        </w:rPr>
      </w:pPr>
      <w:bookmarkStart w:id="193" w:name="_Ref467306978"/>
      <w:bookmarkStart w:id="194" w:name="_Toc21894"/>
      <w:bookmarkStart w:id="195" w:name="_Toc520356175"/>
      <w:bookmarkStart w:id="196" w:name="_Toc7779"/>
      <w:bookmarkStart w:id="197" w:name="_Ref467306377"/>
      <w:bookmarkStart w:id="198" w:name="_Ref467307062"/>
      <w:bookmarkStart w:id="199" w:name="_Ref467307204"/>
      <w:bookmarkStart w:id="200" w:name="_Toc790"/>
      <w:bookmarkStart w:id="201" w:name="_Toc515647792"/>
      <w:r>
        <w:rPr>
          <w:rFonts w:hint="eastAsia" w:ascii="仿宋" w:hAnsi="仿宋" w:eastAsia="仿宋" w:cs="仿宋"/>
          <w:color w:val="auto"/>
          <w:highlight w:val="none"/>
          <w:u w:val="none"/>
        </w:rPr>
        <w:t>30.签订合同</w:t>
      </w:r>
      <w:bookmarkEnd w:id="193"/>
      <w:bookmarkEnd w:id="194"/>
      <w:bookmarkEnd w:id="195"/>
      <w:bookmarkEnd w:id="196"/>
      <w:bookmarkEnd w:id="197"/>
      <w:bookmarkEnd w:id="198"/>
      <w:bookmarkEnd w:id="199"/>
      <w:bookmarkEnd w:id="200"/>
      <w:bookmarkEnd w:id="201"/>
    </w:p>
    <w:p w14:paraId="195E479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30.1</w:t>
      </w:r>
      <w:r>
        <w:rPr>
          <w:rFonts w:hint="eastAsia" w:ascii="仿宋" w:hAnsi="仿宋" w:eastAsia="仿宋" w:cs="仿宋"/>
          <w:color w:val="auto"/>
          <w:sz w:val="24"/>
          <w:highlight w:val="none"/>
        </w:rPr>
        <w:tab/>
      </w:r>
      <w:r>
        <w:rPr>
          <w:rFonts w:hint="eastAsia" w:ascii="仿宋" w:hAnsi="仿宋" w:eastAsia="仿宋" w:cs="仿宋"/>
          <w:b/>
          <w:bCs/>
          <w:color w:val="auto"/>
          <w:sz w:val="24"/>
          <w:highlight w:val="none"/>
        </w:rPr>
        <w:t>中标人</w:t>
      </w:r>
      <w:r>
        <w:rPr>
          <w:rFonts w:hint="eastAsia" w:ascii="仿宋" w:hAnsi="仿宋" w:eastAsia="仿宋" w:cs="仿宋"/>
          <w:b/>
          <w:bCs/>
          <w:color w:val="auto"/>
          <w:sz w:val="24"/>
          <w:highlight w:val="none"/>
          <w:lang w:eastAsia="zh-CN"/>
        </w:rPr>
        <w:t>须在成交</w:t>
      </w:r>
      <w:r>
        <w:rPr>
          <w:rFonts w:hint="eastAsia" w:ascii="仿宋" w:hAnsi="仿宋" w:eastAsia="仿宋" w:cs="仿宋"/>
          <w:b/>
          <w:bCs/>
          <w:color w:val="auto"/>
          <w:sz w:val="24"/>
          <w:highlight w:val="none"/>
        </w:rPr>
        <w:t>通知书</w:t>
      </w:r>
      <w:r>
        <w:rPr>
          <w:rFonts w:hint="eastAsia" w:ascii="仿宋" w:hAnsi="仿宋" w:eastAsia="仿宋" w:cs="仿宋"/>
          <w:b/>
          <w:bCs/>
          <w:color w:val="auto"/>
          <w:sz w:val="24"/>
          <w:highlight w:val="none"/>
          <w:lang w:eastAsia="zh-CN"/>
        </w:rPr>
        <w:t>发出</w:t>
      </w:r>
      <w:r>
        <w:rPr>
          <w:rFonts w:hint="eastAsia" w:ascii="仿宋" w:hAnsi="仿宋" w:eastAsia="仿宋" w:cs="仿宋"/>
          <w:b/>
          <w:bCs/>
          <w:color w:val="auto"/>
          <w:sz w:val="24"/>
          <w:highlight w:val="none"/>
          <w:lang w:val="en-US" w:eastAsia="zh-CN"/>
        </w:rPr>
        <w:t>后30</w:t>
      </w:r>
      <w:r>
        <w:rPr>
          <w:rFonts w:hint="eastAsia" w:ascii="仿宋" w:hAnsi="仿宋" w:eastAsia="仿宋" w:cs="仿宋"/>
          <w:b/>
          <w:bCs/>
          <w:color w:val="auto"/>
          <w:sz w:val="24"/>
          <w:highlight w:val="none"/>
          <w:lang w:eastAsia="zh-CN"/>
        </w:rPr>
        <w:t>日内签订政府采购合同</w:t>
      </w:r>
      <w:r>
        <w:rPr>
          <w:rFonts w:hint="eastAsia" w:ascii="仿宋" w:hAnsi="仿宋" w:eastAsia="仿宋" w:cs="仿宋"/>
          <w:b/>
          <w:bCs/>
          <w:color w:val="auto"/>
          <w:sz w:val="24"/>
          <w:highlight w:val="none"/>
        </w:rPr>
        <w:t>。</w:t>
      </w:r>
    </w:p>
    <w:p w14:paraId="600F7CC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30.2</w:t>
      </w:r>
      <w:r>
        <w:rPr>
          <w:rFonts w:hint="eastAsia" w:ascii="仿宋" w:hAnsi="仿宋" w:eastAsia="仿宋" w:cs="仿宋"/>
          <w:color w:val="auto"/>
          <w:sz w:val="24"/>
          <w:highlight w:val="none"/>
        </w:rPr>
        <w:tab/>
      </w:r>
      <w:bookmarkStart w:id="202" w:name="_Toc520356176"/>
      <w:bookmarkStart w:id="203" w:name="_Ref467307090"/>
      <w:bookmarkStart w:id="204" w:name="_Ref467306425"/>
      <w:r>
        <w:rPr>
          <w:rFonts w:hint="eastAsia" w:ascii="仿宋" w:hAnsi="仿宋" w:eastAsia="仿宋" w:cs="仿宋"/>
          <w:color w:val="auto"/>
          <w:sz w:val="24"/>
          <w:highlight w:val="none"/>
        </w:rPr>
        <w:t>招标文件、中标人的投标文件及其澄清文件等，均为签订合同的依据。</w:t>
      </w:r>
    </w:p>
    <w:p w14:paraId="27D1FD3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30.3   中标人拒绝与采购人签订合同的，采购人可以按照评审报告推荐的中标候选人名单排序，确定下一中标候选人为中标人，也可以重新开展政府采购活动。</w:t>
      </w:r>
    </w:p>
    <w:p w14:paraId="583D21C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30.4   当出现法规规定的</w:t>
      </w:r>
      <w:r>
        <w:rPr>
          <w:rFonts w:hint="eastAsia" w:ascii="仿宋" w:hAnsi="仿宋" w:eastAsia="仿宋" w:cs="仿宋"/>
          <w:b/>
          <w:color w:val="auto"/>
          <w:sz w:val="24"/>
          <w:highlight w:val="none"/>
        </w:rPr>
        <w:t>中标无效或中标结果无效</w:t>
      </w:r>
      <w:r>
        <w:rPr>
          <w:rFonts w:hint="eastAsia" w:ascii="仿宋" w:hAnsi="仿宋" w:eastAsia="仿宋" w:cs="仿宋"/>
          <w:color w:val="auto"/>
          <w:sz w:val="24"/>
          <w:highlight w:val="none"/>
        </w:rPr>
        <w:t>情形时，采购人可与排名下一位的中标候选人另行签订合同，或依法重新开展采购活动。</w:t>
      </w:r>
    </w:p>
    <w:bookmarkEnd w:id="202"/>
    <w:bookmarkEnd w:id="203"/>
    <w:bookmarkEnd w:id="204"/>
    <w:p w14:paraId="57922D69">
      <w:pPr>
        <w:pStyle w:val="4"/>
        <w:spacing w:before="0" w:after="0" w:line="240" w:lineRule="atLeast"/>
        <w:rPr>
          <w:rFonts w:hint="eastAsia" w:ascii="仿宋" w:hAnsi="仿宋" w:eastAsia="仿宋" w:cs="仿宋"/>
          <w:color w:val="auto"/>
          <w:highlight w:val="none"/>
          <w:u w:val="none"/>
        </w:rPr>
      </w:pPr>
      <w:bookmarkStart w:id="205" w:name="_Toc29408"/>
      <w:bookmarkStart w:id="206" w:name="_Toc515647794"/>
      <w:bookmarkStart w:id="207" w:name="_Toc12720"/>
      <w:bookmarkStart w:id="208" w:name="_Toc3090"/>
      <w:r>
        <w:rPr>
          <w:rFonts w:hint="eastAsia" w:ascii="仿宋" w:hAnsi="仿宋" w:eastAsia="仿宋" w:cs="仿宋"/>
          <w:color w:val="auto"/>
          <w:highlight w:val="none"/>
          <w:u w:val="none"/>
        </w:rPr>
        <w:t>32.中标服务费</w:t>
      </w:r>
      <w:bookmarkEnd w:id="205"/>
      <w:bookmarkEnd w:id="206"/>
      <w:bookmarkEnd w:id="207"/>
      <w:bookmarkEnd w:id="208"/>
    </w:p>
    <w:p w14:paraId="5F716282">
      <w:pPr>
        <w:spacing w:line="240" w:lineRule="atLeast"/>
        <w:ind w:left="840" w:leftChars="200" w:hanging="420" w:hanging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中标人须按照</w:t>
      </w:r>
      <w:r>
        <w:rPr>
          <w:rFonts w:hint="eastAsia" w:ascii="仿宋" w:hAnsi="仿宋" w:eastAsia="仿宋" w:cs="仿宋"/>
          <w:color w:val="auto"/>
          <w:sz w:val="24"/>
          <w:highlight w:val="none"/>
          <w:u w:val="single"/>
        </w:rPr>
        <w:t>投标须知资料表</w:t>
      </w:r>
      <w:r>
        <w:rPr>
          <w:rFonts w:hint="eastAsia" w:ascii="仿宋" w:hAnsi="仿宋" w:eastAsia="仿宋" w:cs="仿宋"/>
          <w:color w:val="auto"/>
          <w:sz w:val="24"/>
          <w:highlight w:val="none"/>
        </w:rPr>
        <w:t>规定，向采购代理机构支付中标服务费。</w:t>
      </w:r>
    </w:p>
    <w:p w14:paraId="77819B71">
      <w:pPr>
        <w:pStyle w:val="4"/>
        <w:spacing w:before="0" w:after="0" w:line="240" w:lineRule="atLeast"/>
        <w:rPr>
          <w:rFonts w:hint="eastAsia" w:ascii="仿宋" w:hAnsi="仿宋" w:eastAsia="仿宋" w:cs="仿宋"/>
          <w:color w:val="auto"/>
          <w:highlight w:val="none"/>
          <w:u w:val="none"/>
        </w:rPr>
      </w:pPr>
      <w:bookmarkStart w:id="209" w:name="_Toc515647795"/>
      <w:bookmarkStart w:id="210" w:name="_Toc6923"/>
      <w:bookmarkStart w:id="211" w:name="_Toc7049"/>
      <w:bookmarkStart w:id="212" w:name="_Toc2044"/>
      <w:r>
        <w:rPr>
          <w:rFonts w:hint="eastAsia" w:ascii="仿宋" w:hAnsi="仿宋" w:eastAsia="仿宋" w:cs="仿宋"/>
          <w:color w:val="auto"/>
          <w:highlight w:val="none"/>
          <w:u w:val="none"/>
        </w:rPr>
        <w:t>33.政府采购信用担保</w:t>
      </w:r>
      <w:bookmarkEnd w:id="209"/>
      <w:bookmarkEnd w:id="210"/>
      <w:bookmarkEnd w:id="211"/>
      <w:bookmarkEnd w:id="212"/>
    </w:p>
    <w:p w14:paraId="0E15195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33.1   本项目是否属于信用担保试点范围见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1887ADBE">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33.2   如属于政府采购信用担保试点范围内，中小型企业投标人可以自由按照财政部门的规定，采用投标担保、履约担保和融资担保。</w:t>
      </w:r>
    </w:p>
    <w:p w14:paraId="3CBCF41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33.2.1 投标人递交的投标担保函和履约担保函应符合本招标文件的规定。</w:t>
      </w:r>
    </w:p>
    <w:p w14:paraId="546F471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33.2.2 中标人可以采取融资担保的形式为政府采购项目履约进行融资。</w:t>
      </w:r>
    </w:p>
    <w:p w14:paraId="59A99B5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33.2.3 合格的政府采购专业信用担保机构名单见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0F880B1A">
      <w:pPr>
        <w:pStyle w:val="4"/>
        <w:spacing w:before="0" w:after="0" w:line="240" w:lineRule="atLeast"/>
        <w:rPr>
          <w:rFonts w:hint="eastAsia" w:ascii="仿宋" w:hAnsi="仿宋" w:eastAsia="仿宋" w:cs="仿宋"/>
          <w:color w:val="auto"/>
          <w:highlight w:val="none"/>
          <w:u w:val="none"/>
        </w:rPr>
      </w:pPr>
      <w:bookmarkStart w:id="213" w:name="_Toc515647796"/>
      <w:bookmarkStart w:id="214" w:name="_Toc2133"/>
      <w:bookmarkStart w:id="215" w:name="_Toc23999"/>
      <w:bookmarkStart w:id="216" w:name="_Toc7086"/>
      <w:r>
        <w:rPr>
          <w:rFonts w:hint="eastAsia" w:ascii="仿宋" w:hAnsi="仿宋" w:eastAsia="仿宋" w:cs="仿宋"/>
          <w:color w:val="auto"/>
          <w:highlight w:val="none"/>
          <w:u w:val="none"/>
        </w:rPr>
        <w:t>34.廉洁自律规定</w:t>
      </w:r>
      <w:bookmarkEnd w:id="213"/>
      <w:bookmarkEnd w:id="214"/>
      <w:bookmarkEnd w:id="215"/>
      <w:bookmarkEnd w:id="216"/>
    </w:p>
    <w:p w14:paraId="1ED8946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采购代理机构工作人员不得以不正当手段获取政府采购代理业务，不得与采购人、供应商恶意串通操纵政府采购活动。</w:t>
      </w:r>
    </w:p>
    <w:p w14:paraId="2559554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34.2   采购代理机构工作人员不得接受采购人或者供应商组织的宴请、旅游、娱乐，不得收受礼品、现金、有价证券等，不得向采购人或者供应商报销应当由个人承担的费用。</w:t>
      </w:r>
    </w:p>
    <w:p w14:paraId="0C85E8B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34.3   为强化采购代理机构内部监督机制，供应商可按</w:t>
      </w:r>
      <w:r>
        <w:rPr>
          <w:rFonts w:hint="eastAsia" w:ascii="仿宋" w:hAnsi="仿宋" w:eastAsia="仿宋" w:cs="仿宋"/>
          <w:color w:val="auto"/>
          <w:sz w:val="24"/>
          <w:highlight w:val="none"/>
          <w:u w:val="single"/>
        </w:rPr>
        <w:t>投标人须知资料表中的</w:t>
      </w:r>
      <w:r>
        <w:rPr>
          <w:rFonts w:hint="eastAsia" w:ascii="仿宋" w:hAnsi="仿宋" w:eastAsia="仿宋" w:cs="仿宋"/>
          <w:color w:val="auto"/>
          <w:sz w:val="24"/>
          <w:highlight w:val="none"/>
        </w:rPr>
        <w:t>监督电话和邮箱，反映采购代理机构的廉洁自律等问题。</w:t>
      </w:r>
    </w:p>
    <w:p w14:paraId="706C6027">
      <w:pPr>
        <w:pStyle w:val="4"/>
        <w:spacing w:before="0" w:after="0" w:line="240" w:lineRule="atLeast"/>
        <w:rPr>
          <w:rFonts w:hint="eastAsia" w:ascii="仿宋" w:hAnsi="仿宋" w:eastAsia="仿宋" w:cs="仿宋"/>
          <w:color w:val="auto"/>
          <w:highlight w:val="none"/>
          <w:u w:val="none"/>
        </w:rPr>
      </w:pPr>
      <w:bookmarkStart w:id="217" w:name="_Toc22537"/>
      <w:bookmarkStart w:id="218" w:name="_Toc25480"/>
      <w:bookmarkStart w:id="219" w:name="_Toc11586"/>
      <w:bookmarkStart w:id="220" w:name="_Toc515647797"/>
      <w:r>
        <w:rPr>
          <w:rFonts w:hint="eastAsia" w:ascii="仿宋" w:hAnsi="仿宋" w:eastAsia="仿宋" w:cs="仿宋"/>
          <w:color w:val="auto"/>
          <w:highlight w:val="none"/>
          <w:u w:val="none"/>
        </w:rPr>
        <w:t>35.人员回避</w:t>
      </w:r>
      <w:bookmarkEnd w:id="217"/>
      <w:bookmarkEnd w:id="218"/>
      <w:bookmarkEnd w:id="219"/>
      <w:bookmarkEnd w:id="220"/>
    </w:p>
    <w:p w14:paraId="01EE712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投标人认为采购人员及其相关人员有法律法规所列与其他供应商有利害关系的，可以向采购人或采购代理机构书面提出回避申请，并说明理由。</w:t>
      </w:r>
    </w:p>
    <w:p w14:paraId="6921B568">
      <w:pPr>
        <w:pStyle w:val="4"/>
        <w:spacing w:before="0" w:after="0" w:line="240" w:lineRule="atLeast"/>
        <w:rPr>
          <w:rFonts w:hint="eastAsia" w:ascii="仿宋" w:hAnsi="仿宋" w:eastAsia="仿宋" w:cs="仿宋"/>
          <w:color w:val="auto"/>
          <w:highlight w:val="none"/>
          <w:u w:val="none"/>
          <w:lang w:eastAsia="zh-CN"/>
        </w:rPr>
      </w:pPr>
      <w:bookmarkStart w:id="221" w:name="_Toc1148"/>
      <w:bookmarkStart w:id="222" w:name="_Toc515647798"/>
      <w:bookmarkStart w:id="223" w:name="_Toc11115"/>
      <w:bookmarkStart w:id="224" w:name="_Toc19222"/>
      <w:r>
        <w:rPr>
          <w:rFonts w:hint="eastAsia" w:ascii="仿宋" w:hAnsi="仿宋" w:eastAsia="仿宋" w:cs="仿宋"/>
          <w:color w:val="auto"/>
          <w:highlight w:val="none"/>
          <w:u w:val="none"/>
        </w:rPr>
        <w:t>36.质疑与</w:t>
      </w:r>
      <w:bookmarkEnd w:id="221"/>
      <w:bookmarkEnd w:id="222"/>
      <w:bookmarkEnd w:id="223"/>
      <w:r>
        <w:rPr>
          <w:rFonts w:hint="eastAsia" w:ascii="仿宋" w:hAnsi="仿宋" w:eastAsia="仿宋" w:cs="仿宋"/>
          <w:color w:val="auto"/>
          <w:highlight w:val="none"/>
          <w:u w:val="none"/>
          <w:lang w:eastAsia="zh-CN"/>
        </w:rPr>
        <w:t>投诉</w:t>
      </w:r>
      <w:bookmarkEnd w:id="224"/>
    </w:p>
    <w:p w14:paraId="4E107AB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36.1  供应商认为采购文件、采购过程、中标或者成交结果使自己的权益受到损害的，可以在知道或者应知其权益受到损害之日起7个工作日内，以书面形式向采购人、采购代理机构提出质疑。</w:t>
      </w:r>
    </w:p>
    <w:p w14:paraId="16DE473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供应商需在法定质疑期内一次性提出针对同一采购程序环节的质疑。</w:t>
      </w:r>
    </w:p>
    <w:p w14:paraId="648A666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36.2  提出质疑的供应商（以下简称质疑供应商）应当是参与所质疑项目采购活动的供应商。</w:t>
      </w:r>
    </w:p>
    <w:p w14:paraId="6DDD1F4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潜在供应商已依法获取其可质疑的采购文件的，可以对该文件提出质疑。对采购文件提出质疑的，应当在获取采购文件或者采购文件公告期限届满之日起7个工作日内提出。</w:t>
      </w:r>
    </w:p>
    <w:p w14:paraId="1F2B0E9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36.3</w:t>
      </w:r>
      <w:r>
        <w:rPr>
          <w:rFonts w:hint="eastAsia" w:ascii="仿宋" w:hAnsi="仿宋" w:eastAsia="仿宋" w:cs="仿宋"/>
          <w:color w:val="auto"/>
          <w:sz w:val="24"/>
          <w:highlight w:val="none"/>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20619EF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代理人提出质疑和投诉，应当提交供应商签署的授权委托书。</w:t>
      </w:r>
    </w:p>
    <w:p w14:paraId="0F7DAF9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供应商提出质疑应当提交质疑函和必要的证明材料。质疑函应当包括下列内容：</w:t>
      </w:r>
    </w:p>
    <w:p w14:paraId="136AD0B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（一）供应商的姓名或者名称、地址、邮编、联系人及联系电话；</w:t>
      </w:r>
    </w:p>
    <w:p w14:paraId="09C06EF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（二）质疑项目的名称、编号；</w:t>
      </w:r>
    </w:p>
    <w:p w14:paraId="6229327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（三）具体、明确的质疑事项和与质疑事项相关的请求；</w:t>
      </w:r>
    </w:p>
    <w:p w14:paraId="5B90A06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（四）事实依据；</w:t>
      </w:r>
    </w:p>
    <w:p w14:paraId="6DF2FF5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（五）必要的法律依据；</w:t>
      </w:r>
    </w:p>
    <w:p w14:paraId="0337AA4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（六）提出质疑的日期。</w:t>
      </w:r>
    </w:p>
    <w:p w14:paraId="5C37B81C">
      <w:pPr>
        <w:spacing w:line="240" w:lineRule="auto"/>
        <w:ind w:left="480" w:hanging="480" w:hanging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供应商为自然人的，应当由本人签字；供应商为法人或者其他组织的，应当由法定代表人、主要负责人，或者其授权代表签字或者盖章，并加盖公章。</w:t>
      </w:r>
    </w:p>
    <w:p w14:paraId="5B9AE8F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质疑的处理和答复</w:t>
      </w:r>
    </w:p>
    <w:p w14:paraId="7716062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采购人、采购代理机构不得拒收质疑供应商在法定质疑期内发出的质疑函，应当在收到质疑函后7个工作日内作出答复，并以书面形式通知质疑供应商和其他有关供应商。</w:t>
      </w:r>
    </w:p>
    <w:p w14:paraId="16D82E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 供应商对评审过程、中标或者成交结果提出质疑的，采购人、采购代理机构可以组织原评标委员会、竞争性谈判小组、询价小组或者竞争性磋商小组协助答复质疑。</w:t>
      </w:r>
    </w:p>
    <w:p w14:paraId="7B592D3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 xml:space="preserve">  采购人、采购代理机构认为供应商质疑不成立，或者成立但未对中标、成交结果构成影响的，继续开展采购活动；认为供应商质疑成立且影响或者可能影响中标、成交结果的，按照下列情况处理：</w:t>
      </w:r>
    </w:p>
    <w:p w14:paraId="22CA4B2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（一）对采购文件提出的质疑，依法通过澄清或者修改可以继续开展采购活动的，澄清或者修改采购文件后继续开展采购活动；否则应当修改采购文件后重新开展采购活动。</w:t>
      </w:r>
    </w:p>
    <w:p w14:paraId="7411BE5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对采购过程、中标或者成交结果提出的质疑，合格供应商符合法定数量时，可以从合格的中标或者成交候选人中另行确定中标、成交供应商的，应当依法另行确定中标、成交供应商；否则应当重新开展采购活动。</w:t>
      </w:r>
    </w:p>
    <w:p w14:paraId="09B1B08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质疑答复导致中标、成交结果改变的，采购人或者采购代理机构应当将有关情况书面报告本级财政部门。</w:t>
      </w:r>
    </w:p>
    <w:p w14:paraId="36FA9FC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质疑答复应当包括下列内容：</w:t>
      </w:r>
    </w:p>
    <w:p w14:paraId="6B3360A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（一）质疑供应商的姓名或者名称；</w:t>
      </w:r>
    </w:p>
    <w:p w14:paraId="28EFF35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（二）收到质疑函的日期、质疑项目名称及编号；</w:t>
      </w:r>
    </w:p>
    <w:p w14:paraId="49C67A4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（三）质疑事项、质疑答复的具体内容、事实依据和法律依据；</w:t>
      </w:r>
    </w:p>
    <w:p w14:paraId="35D4387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（四）告知质疑供应商依法投诉的权利；</w:t>
      </w:r>
    </w:p>
    <w:p w14:paraId="096F643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（五）质疑答复人名称；</w:t>
      </w:r>
    </w:p>
    <w:p w14:paraId="73D3522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（六）答复质疑的日期。</w:t>
      </w:r>
    </w:p>
    <w:p w14:paraId="011ABCEF">
      <w:pPr>
        <w:spacing w:line="240" w:lineRule="atLeast"/>
        <w:ind w:left="900" w:hanging="900" w:hangingChars="375"/>
        <w:rPr>
          <w:rFonts w:hint="eastAsia" w:ascii="仿宋" w:hAnsi="仿宋" w:eastAsia="仿宋" w:cs="仿宋"/>
          <w:b/>
          <w:color w:val="auto"/>
          <w:sz w:val="24"/>
          <w:highlight w:val="none"/>
        </w:rPr>
      </w:pPr>
      <w:r>
        <w:rPr>
          <w:rFonts w:hint="eastAsia" w:ascii="仿宋" w:hAnsi="仿宋" w:eastAsia="仿宋" w:cs="仿宋"/>
          <w:color w:val="auto"/>
          <w:sz w:val="24"/>
          <w:highlight w:val="none"/>
        </w:rPr>
        <w:t>　　质疑答复的内容不得涉及商业秘密。</w:t>
      </w:r>
    </w:p>
    <w:p w14:paraId="6D4A7E3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36.10</w:t>
      </w:r>
      <w:r>
        <w:rPr>
          <w:rFonts w:hint="eastAsia" w:ascii="仿宋" w:hAnsi="仿宋" w:eastAsia="仿宋" w:cs="仿宋"/>
          <w:color w:val="auto"/>
          <w:sz w:val="24"/>
          <w:highlight w:val="none"/>
        </w:rPr>
        <w:t>质疑供应商对采购人、采购代理机构的答复不满意，或者采购人、采购代理机构未在规定时间内作出答复的，可以在答复期满后15个工作日内向财政部门提起投诉。</w:t>
      </w:r>
    </w:p>
    <w:p w14:paraId="32C8CAD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36.11</w:t>
      </w:r>
      <w:r>
        <w:rPr>
          <w:rFonts w:hint="eastAsia" w:ascii="仿宋" w:hAnsi="仿宋" w:eastAsia="仿宋" w:cs="仿宋"/>
          <w:color w:val="auto"/>
          <w:sz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178C6D7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（一）投诉人和被投诉人的姓名或者名称、通讯地址、邮编、联系人及联系电话；</w:t>
      </w:r>
    </w:p>
    <w:p w14:paraId="2691688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（二）质疑和质疑答复情况说明及相关证明材料；</w:t>
      </w:r>
    </w:p>
    <w:p w14:paraId="0BCDA25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（三）具体、明确的投诉事项和与投诉事项相关的投诉请求；</w:t>
      </w:r>
    </w:p>
    <w:p w14:paraId="191D472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（四）事实依据；</w:t>
      </w:r>
    </w:p>
    <w:p w14:paraId="39603A3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（五）法律依据；</w:t>
      </w:r>
    </w:p>
    <w:p w14:paraId="1238596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（六）提起投诉的日期。</w:t>
      </w:r>
    </w:p>
    <w:p w14:paraId="05AB150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投诉人为自然人的，应当由本人签字；投诉人为法人或者其他组织的，应当由法定代表人、主要负责人，或者其授权代表签字或者盖章，并加盖公章。</w:t>
      </w:r>
    </w:p>
    <w:p w14:paraId="1E8F778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36.12</w:t>
      </w:r>
      <w:r>
        <w:rPr>
          <w:rFonts w:hint="eastAsia" w:ascii="仿宋" w:hAnsi="仿宋" w:eastAsia="仿宋" w:cs="仿宋"/>
          <w:color w:val="auto"/>
          <w:sz w:val="24"/>
          <w:highlight w:val="none"/>
        </w:rPr>
        <w:t>投诉人应当根据</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第七条第二款规定的信息内容，并按照其规定的方式提起投诉。</w:t>
      </w:r>
    </w:p>
    <w:p w14:paraId="6905BD2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投诉人提起投诉应当符合下列条件：</w:t>
      </w:r>
    </w:p>
    <w:p w14:paraId="26AADCB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（一）提起投诉前已依法进行质疑；</w:t>
      </w:r>
    </w:p>
    <w:p w14:paraId="5D274F1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（二）投诉书内容符合本办法的规定；</w:t>
      </w:r>
    </w:p>
    <w:p w14:paraId="5878CF5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（三）在投诉有效期限内提起投诉；</w:t>
      </w:r>
    </w:p>
    <w:p w14:paraId="2FF067E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（四）同一投诉事项未经财政部门投诉处理；</w:t>
      </w:r>
    </w:p>
    <w:p w14:paraId="4875B49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（五）财政部规定的其他条件。</w:t>
      </w:r>
    </w:p>
    <w:p w14:paraId="3D0118B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36.13</w:t>
      </w:r>
      <w:r>
        <w:rPr>
          <w:rFonts w:hint="eastAsia" w:ascii="仿宋" w:hAnsi="仿宋" w:eastAsia="仿宋" w:cs="仿宋"/>
          <w:color w:val="auto"/>
          <w:sz w:val="24"/>
          <w:highlight w:val="none"/>
        </w:rPr>
        <w:t>供应商投诉的事项不得超出已质疑事项的范围，但基于质疑答复内容提出的投诉事项除外。</w:t>
      </w:r>
    </w:p>
    <w:p w14:paraId="190675C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36.14</w:t>
      </w:r>
      <w:r>
        <w:rPr>
          <w:rFonts w:hint="eastAsia" w:ascii="仿宋" w:hAnsi="仿宋" w:eastAsia="仿宋" w:cs="仿宋"/>
          <w:color w:val="auto"/>
          <w:sz w:val="24"/>
          <w:highlight w:val="none"/>
        </w:rPr>
        <w:t>投诉处理</w:t>
      </w:r>
    </w:p>
    <w:p w14:paraId="0B3CA39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36.15</w:t>
      </w:r>
      <w:r>
        <w:rPr>
          <w:rFonts w:hint="eastAsia" w:ascii="仿宋" w:hAnsi="仿宋" w:eastAsia="仿宋" w:cs="仿宋"/>
          <w:color w:val="auto"/>
          <w:sz w:val="24"/>
          <w:highlight w:val="none"/>
        </w:rPr>
        <w:t>财政部门收到投诉书后，应当在5个工作日内进行审查，审查后按照下列情况处理：</w:t>
      </w:r>
    </w:p>
    <w:p w14:paraId="51B4DC7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（一）投诉书内容不符合</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第十八条规定的，应当在收到投诉书5个工作日内一次性书面通知投诉人补正。补正通知应当载明需要补正的事项和合理的补正期限。未按照补正期限进行补正或者补正后仍不符合规定的，不予受理。</w:t>
      </w:r>
    </w:p>
    <w:p w14:paraId="07A353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（二）投诉不符合本办法第十九条规定条件的，应当在3个工作日内书面告知投诉人不予受理，并说明理由。</w:t>
      </w:r>
    </w:p>
    <w:p w14:paraId="58A3EE1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（三）投诉不属于本部门管辖的，应当在3个工作日内书面告知投诉人向有管辖权的部门提起投诉。</w:t>
      </w:r>
    </w:p>
    <w:p w14:paraId="05C5113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（四）投诉符合</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第十八条、第十九条规定的，自收到投诉书之日起即为受理，并在收到投诉后8个工作日内向被投诉人和其他与投诉事项有关的当事人发出投诉答复通知书及投诉书副本。</w:t>
      </w:r>
    </w:p>
    <w:p w14:paraId="59EA7E7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36.16</w:t>
      </w:r>
      <w:r>
        <w:rPr>
          <w:rFonts w:hint="eastAsia" w:ascii="仿宋" w:hAnsi="仿宋" w:eastAsia="仿宋" w:cs="仿宋"/>
          <w:color w:val="auto"/>
          <w:sz w:val="24"/>
          <w:highlight w:val="none"/>
        </w:rPr>
        <w:t>被投诉人和其他与投诉事项有关的当事人应当在收到投诉答复通知书及投诉书副本之日起5个工作日内，以书面形式向财政部门作出说明，并提交相关证据、依据和其他有关材料。</w:t>
      </w:r>
    </w:p>
    <w:p w14:paraId="6F6D1CF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36.17</w:t>
      </w:r>
      <w:r>
        <w:rPr>
          <w:rFonts w:hint="eastAsia" w:ascii="仿宋" w:hAnsi="仿宋" w:eastAsia="仿宋" w:cs="仿宋"/>
          <w:color w:val="auto"/>
          <w:sz w:val="24"/>
          <w:highlight w:val="none"/>
        </w:rPr>
        <w:t xml:space="preserve"> 财政部门处理投诉事项原则上采用书面审查的方式。财政部门认为有必要时，可以进行调查取证或者组织质证。</w:t>
      </w:r>
    </w:p>
    <w:p w14:paraId="2BD2439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财政部门可以根据法律、法规规定或者职责权限，委托相关单位或者第三方开展调查取证、检验、检测、鉴定。</w:t>
      </w:r>
    </w:p>
    <w:p w14:paraId="262B255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质证应当通知相关当事人到场，并制作质证笔录。质证笔录应当由当事人签字确认。</w:t>
      </w:r>
    </w:p>
    <w:p w14:paraId="03A90D8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36.18</w:t>
      </w:r>
      <w:r>
        <w:rPr>
          <w:rFonts w:hint="eastAsia" w:ascii="仿宋" w:hAnsi="仿宋" w:eastAsia="仿宋" w:cs="仿宋"/>
          <w:color w:val="auto"/>
          <w:sz w:val="24"/>
          <w:highlight w:val="none"/>
        </w:rPr>
        <w:t xml:space="preserve"> 财政部门依法进行调查取证时，投诉人、被投诉人以及与投诉事项有关的单位及人员应当如实反映情况，并提供财政部门所需要的相关材料。</w:t>
      </w:r>
    </w:p>
    <w:p w14:paraId="2D74839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36.19</w:t>
      </w:r>
      <w:r>
        <w:rPr>
          <w:rFonts w:hint="eastAsia" w:ascii="仿宋" w:hAnsi="仿宋" w:eastAsia="仿宋" w:cs="仿宋"/>
          <w:color w:val="auto"/>
          <w:sz w:val="24"/>
          <w:highlight w:val="none"/>
        </w:rPr>
        <w:t xml:space="preserve"> 应当由投诉人承担举证责任的投诉事项，投诉人未提供相关证据、依据和其他有关材料的，视为该投诉事项不成立；被投诉人未按照投诉答复通知书要求提交相关证据、依据和其他有关材料的，视同其放弃说明权利，依法承担不利后果。</w:t>
      </w:r>
    </w:p>
    <w:p w14:paraId="47BBEE9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36.20</w:t>
      </w:r>
      <w:r>
        <w:rPr>
          <w:rFonts w:hint="eastAsia" w:ascii="仿宋" w:hAnsi="仿宋" w:eastAsia="仿宋" w:cs="仿宋"/>
          <w:color w:val="auto"/>
          <w:sz w:val="24"/>
          <w:highlight w:val="none"/>
        </w:rPr>
        <w:t>财政部门应当自收到投诉之日起30个工作日内，对投诉事项作出处理决定。</w:t>
      </w:r>
    </w:p>
    <w:p w14:paraId="253C2E2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36.21</w:t>
      </w:r>
      <w:r>
        <w:rPr>
          <w:rFonts w:hint="eastAsia" w:ascii="仿宋" w:hAnsi="仿宋" w:eastAsia="仿宋" w:cs="仿宋"/>
          <w:color w:val="auto"/>
          <w:sz w:val="24"/>
          <w:highlight w:val="none"/>
        </w:rPr>
        <w:t xml:space="preserve"> 财政部门处理投诉事项，需要检验、检测、鉴定、专家评审以及需要投诉人补正材料的，所需时间不计算在投诉处理期限内。</w:t>
      </w:r>
    </w:p>
    <w:p w14:paraId="4861BEF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前款所称所需时间，是指财政部门向相关单位、第三方、投诉人发出相关文书、补正通知之日至收到相关反馈文书或材料之日。</w:t>
      </w:r>
    </w:p>
    <w:p w14:paraId="2063A16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财政部门向相关单位、第三方开展检验、检测、鉴定、专家评审的，应当将所需时间告知投诉人。</w:t>
      </w:r>
    </w:p>
    <w:p w14:paraId="2E42A47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36.22</w:t>
      </w:r>
      <w:r>
        <w:rPr>
          <w:rFonts w:hint="eastAsia" w:ascii="仿宋" w:hAnsi="仿宋" w:eastAsia="仿宋" w:cs="仿宋"/>
          <w:color w:val="auto"/>
          <w:sz w:val="24"/>
          <w:highlight w:val="none"/>
        </w:rPr>
        <w:t xml:space="preserve"> 财政部门在处理投诉事项期间，可以视具体情况书面通知采购人和采购代理机构暂停采购活动，暂停采购活动时间最长不得超过30日。</w:t>
      </w:r>
    </w:p>
    <w:p w14:paraId="318F82F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采购人和采购代理机构收到暂停采购活动通知后应当立即中止采购活动，在法定的暂停期限结束前或者财政部门发出恢复采购活动通知前，不得进行该项采购活动。</w:t>
      </w:r>
    </w:p>
    <w:p w14:paraId="2ECB7E7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36.23</w:t>
      </w:r>
      <w:r>
        <w:rPr>
          <w:rFonts w:hint="eastAsia" w:ascii="仿宋" w:hAnsi="仿宋" w:eastAsia="仿宋" w:cs="仿宋"/>
          <w:color w:val="auto"/>
          <w:sz w:val="24"/>
          <w:highlight w:val="none"/>
        </w:rPr>
        <w:t xml:space="preserve"> 投诉处理过程中，有下列情形之一的，财政部门应当驳回投诉：</w:t>
      </w:r>
    </w:p>
    <w:p w14:paraId="2EEDFBA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（一）受理后发现投诉不符合法定受理条件；</w:t>
      </w:r>
    </w:p>
    <w:p w14:paraId="5886F26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（二）投诉事项缺乏事实依据，投诉事项不成立；</w:t>
      </w:r>
    </w:p>
    <w:p w14:paraId="109215F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（三）投诉人捏造事实或者提供虚假材料；</w:t>
      </w:r>
    </w:p>
    <w:p w14:paraId="05E5234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（四）投诉人以非法手段取得证明材料。证据来源的合法性存在明显疑问，投诉人无法证明其取得方式合法的，视为以非法手段取得证明材料。</w:t>
      </w:r>
    </w:p>
    <w:p w14:paraId="786B8BC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36.24</w:t>
      </w:r>
      <w:r>
        <w:rPr>
          <w:rFonts w:hint="eastAsia" w:ascii="仿宋" w:hAnsi="仿宋" w:eastAsia="仿宋" w:cs="仿宋"/>
          <w:color w:val="auto"/>
          <w:sz w:val="24"/>
          <w:highlight w:val="none"/>
        </w:rPr>
        <w:t xml:space="preserve"> 财政部门受理投诉后,投诉人书面申请撤回投诉的，财政部门应当终止投诉处理程序，并书面告知相关当事人。</w:t>
      </w:r>
    </w:p>
    <w:p w14:paraId="0CC4EE3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36.25</w:t>
      </w:r>
      <w:r>
        <w:rPr>
          <w:rFonts w:hint="eastAsia" w:ascii="仿宋" w:hAnsi="仿宋" w:eastAsia="仿宋" w:cs="仿宋"/>
          <w:color w:val="auto"/>
          <w:sz w:val="24"/>
          <w:highlight w:val="none"/>
        </w:rPr>
        <w:t xml:space="preserve"> 投诉人对采购文件提起的投诉事项，财政部门经查证属实的，应当认定投诉事项成立。经认定成立的投诉事项不影响采购结果的，继续开展采购活动；影响或者可能影响采购结果的，财政部门按照下列情况处理：</w:t>
      </w:r>
    </w:p>
    <w:p w14:paraId="1CDFE37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（一）未确定中标或者成交供应商的，责令重新开展采购活动。</w:t>
      </w:r>
    </w:p>
    <w:p w14:paraId="77BCB74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（二）已确定中标或者成交供应商但尚未签订政府采购合同的，认定中标或者成交结果无效，责令重新开展采购活动。</w:t>
      </w:r>
    </w:p>
    <w:p w14:paraId="01EDA56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（三）政府采购合同已经签订但尚未履行的，撤销合同，责令重新开展采购活动。</w:t>
      </w:r>
    </w:p>
    <w:p w14:paraId="530204E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（四）政府采购合同已经履行，给他人造成损失的，相关当事人可依法提起诉讼，由责任人承担赔偿责任。</w:t>
      </w:r>
    </w:p>
    <w:p w14:paraId="241DFDB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36.26</w:t>
      </w:r>
      <w:r>
        <w:rPr>
          <w:rFonts w:hint="eastAsia" w:ascii="仿宋" w:hAnsi="仿宋" w:eastAsia="仿宋" w:cs="仿宋"/>
          <w:color w:val="auto"/>
          <w:sz w:val="24"/>
          <w:highlight w:val="none"/>
        </w:rPr>
        <w:t>投诉人对采购过程或者采购结果提起的投诉事项，财政部门经查证属实的，应当认定投诉事项成立。经认定成立的投诉事项不影响采购结果的，继续开展采购活动；影响或者可能影响采购结果的，财政部门按照下列情况处理：</w:t>
      </w:r>
    </w:p>
    <w:p w14:paraId="12ADD6F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（一）未确定中标或者成交供应商的，责令重新开展采购活动。</w:t>
      </w:r>
    </w:p>
    <w:p w14:paraId="4E4DF00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654F6BA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政府采购合同已经签订但尚未履行的，撤销合同。合格供应商符合法定数量时，可以从合格的中标或者成交候选人中另行确定中标或者成交供应商的，应当要求采购人依法另行确定中标、成交供应商；否则责令重新开展采购活动。</w:t>
      </w:r>
    </w:p>
    <w:p w14:paraId="355A6C3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（四）政府采购合同已经履行，给他人造成损失的，相关当事人可依法提起诉讼,由责任人承担赔偿责任。</w:t>
      </w:r>
    </w:p>
    <w:p w14:paraId="09106AE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投诉人对废标行为提起的投诉事项成立的，财政部门应当认定废标行为无效。</w:t>
      </w:r>
    </w:p>
    <w:p w14:paraId="373DB3A1">
      <w:pPr>
        <w:bidi w:val="0"/>
        <w:rPr>
          <w:rFonts w:hint="eastAsia" w:ascii="仿宋" w:hAnsi="仿宋" w:eastAsia="仿宋" w:cs="仿宋"/>
          <w:b/>
          <w:bCs/>
          <w:color w:val="auto"/>
          <w:sz w:val="24"/>
          <w:szCs w:val="24"/>
          <w:highlight w:val="none"/>
        </w:rPr>
      </w:pPr>
      <w:bookmarkStart w:id="225" w:name="_Toc14893"/>
      <w:bookmarkStart w:id="226" w:name="_Toc11297"/>
      <w:bookmarkStart w:id="227" w:name="_Toc3796"/>
      <w:bookmarkStart w:id="228" w:name="_Toc25636"/>
      <w:bookmarkStart w:id="229" w:name="_Toc16553"/>
      <w:bookmarkStart w:id="230" w:name="_Toc4181"/>
      <w:bookmarkStart w:id="231" w:name="_Toc27601"/>
      <w:bookmarkStart w:id="232" w:name="_Toc23384"/>
      <w:bookmarkStart w:id="233" w:name="_Toc23411"/>
      <w:bookmarkStart w:id="234" w:name="_Toc12088"/>
      <w:bookmarkStart w:id="235" w:name="_Toc9437"/>
      <w:bookmarkStart w:id="236" w:name="_Toc10326"/>
      <w:bookmarkStart w:id="237" w:name="_Toc32049"/>
      <w:bookmarkStart w:id="238" w:name="_Toc30093"/>
      <w:bookmarkStart w:id="239" w:name="_Toc8353"/>
      <w:bookmarkStart w:id="240" w:name="_Toc12693"/>
      <w:bookmarkStart w:id="241" w:name="_Toc29320"/>
      <w:bookmarkStart w:id="242" w:name="_Toc13698"/>
      <w:bookmarkStart w:id="243" w:name="_Toc29525"/>
      <w:bookmarkStart w:id="244" w:name="_Toc14412"/>
      <w:bookmarkStart w:id="245" w:name="_Toc19910"/>
    </w:p>
    <w:p w14:paraId="46979D02">
      <w:pPr>
        <w:bidi w:val="0"/>
        <w:rPr>
          <w:rFonts w:hint="eastAsia" w:ascii="仿宋" w:hAnsi="仿宋" w:eastAsia="仿宋" w:cs="仿宋"/>
          <w:b/>
          <w:bCs/>
          <w:color w:val="auto"/>
          <w:sz w:val="24"/>
          <w:szCs w:val="24"/>
          <w:highlight w:val="none"/>
        </w:rPr>
      </w:pPr>
    </w:p>
    <w:p w14:paraId="055A7BCF">
      <w:pPr>
        <w:bidi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质疑函范本</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p>
    <w:p w14:paraId="4CC235A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一、质疑供应商基本信息</w:t>
      </w:r>
    </w:p>
    <w:p w14:paraId="2DF89ED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610D796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邮编：</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2F1135D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54E8EFE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1F316E1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25C5642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1ABCE37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二、质疑项目基本情况</w:t>
      </w:r>
    </w:p>
    <w:p w14:paraId="6A28C9F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70BDE19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4170B83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30B0AC7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50FA395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三、质疑事项具体内容</w:t>
      </w:r>
    </w:p>
    <w:p w14:paraId="432A289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7C494E9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事实依据： </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71B32E0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0EB5AF44">
      <w:pPr>
        <w:spacing w:line="240" w:lineRule="atLeast"/>
        <w:ind w:left="900" w:hanging="900" w:hangingChars="375"/>
        <w:rPr>
          <w:rFonts w:hint="eastAsia" w:ascii="仿宋" w:hAnsi="仿宋" w:eastAsia="仿宋" w:cs="仿宋"/>
          <w:color w:val="auto"/>
          <w:sz w:val="24"/>
          <w:highlight w:val="none"/>
        </w:rPr>
      </w:pPr>
    </w:p>
    <w:p w14:paraId="288F191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592690B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856CC9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质疑事项2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1E2AC9DE">
      <w:pPr>
        <w:pStyle w:val="27"/>
        <w:rPr>
          <w:rFonts w:hint="eastAsia" w:ascii="仿宋" w:hAnsi="仿宋" w:eastAsia="仿宋" w:cs="仿宋"/>
          <w:color w:val="auto"/>
          <w:highlight w:val="none"/>
        </w:rPr>
      </w:pPr>
    </w:p>
    <w:p w14:paraId="54AA37E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四、与质疑事项相关的质疑请求</w:t>
      </w:r>
    </w:p>
    <w:p w14:paraId="3E7ECB0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26F6800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064F2E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B2E903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2E288B5">
      <w:pPr>
        <w:pStyle w:val="3"/>
        <w:spacing w:before="0" w:line="240" w:lineRule="atLeast"/>
        <w:jc w:val="both"/>
        <w:rPr>
          <w:rFonts w:hint="eastAsia" w:ascii="仿宋" w:hAnsi="仿宋" w:eastAsia="仿宋" w:cs="仿宋"/>
          <w:color w:val="auto"/>
          <w:szCs w:val="24"/>
          <w:highlight w:val="none"/>
        </w:rPr>
      </w:pPr>
      <w:r>
        <w:rPr>
          <w:rFonts w:hint="eastAsia" w:ascii="仿宋" w:hAnsi="仿宋" w:eastAsia="仿宋" w:cs="仿宋"/>
          <w:color w:val="auto"/>
          <w:sz w:val="24"/>
          <w:highlight w:val="none"/>
        </w:rPr>
        <w:br w:type="page"/>
      </w:r>
      <w:bookmarkStart w:id="246" w:name="_Toc21748"/>
      <w:bookmarkStart w:id="247" w:name="_Toc16186"/>
      <w:bookmarkStart w:id="248" w:name="_Toc9814"/>
      <w:bookmarkStart w:id="249" w:name="_Toc29087"/>
      <w:bookmarkStart w:id="250" w:name="_Toc515647799"/>
      <w:r>
        <w:rPr>
          <w:rFonts w:hint="eastAsia" w:ascii="仿宋" w:hAnsi="仿宋" w:eastAsia="仿宋" w:cs="仿宋"/>
          <w:color w:val="auto"/>
          <w:szCs w:val="24"/>
          <w:highlight w:val="none"/>
        </w:rPr>
        <w:t>附件1：履约保证金保函（格式）</w:t>
      </w:r>
      <w:bookmarkEnd w:id="246"/>
      <w:bookmarkEnd w:id="247"/>
      <w:bookmarkEnd w:id="248"/>
      <w:bookmarkEnd w:id="249"/>
      <w:bookmarkEnd w:id="250"/>
    </w:p>
    <w:p w14:paraId="6B897465">
      <w:pPr>
        <w:spacing w:line="240" w:lineRule="atLeast"/>
        <w:ind w:left="900" w:hanging="787" w:hangingChars="375"/>
        <w:rPr>
          <w:rFonts w:hint="eastAsia" w:ascii="仿宋" w:hAnsi="仿宋" w:eastAsia="仿宋" w:cs="仿宋"/>
          <w:color w:val="auto"/>
          <w:szCs w:val="24"/>
          <w:highlight w:val="none"/>
        </w:rPr>
      </w:pPr>
    </w:p>
    <w:p w14:paraId="63787D9D">
      <w:pPr>
        <w:pStyle w:val="17"/>
        <w:spacing w:line="240" w:lineRule="atLeast"/>
        <w:ind w:left="1079"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（中标后开具）</w:t>
      </w:r>
    </w:p>
    <w:p w14:paraId="50A007C5">
      <w:pPr>
        <w:pStyle w:val="17"/>
        <w:spacing w:line="240" w:lineRule="atLeast"/>
        <w:ind w:left="1079" w:leftChars="257" w:hanging="540"/>
        <w:rPr>
          <w:rFonts w:hint="eastAsia" w:ascii="仿宋" w:hAnsi="仿宋" w:eastAsia="仿宋" w:cs="仿宋"/>
          <w:b/>
          <w:color w:val="auto"/>
          <w:sz w:val="24"/>
          <w:highlight w:val="none"/>
        </w:rPr>
      </w:pPr>
    </w:p>
    <w:p w14:paraId="42667A12">
      <w:pPr>
        <w:pStyle w:val="17"/>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致: (</w:t>
      </w:r>
      <w:r>
        <w:rPr>
          <w:rFonts w:hint="eastAsia" w:ascii="仿宋" w:hAnsi="仿宋" w:eastAsia="仿宋" w:cs="仿宋"/>
          <w:i/>
          <w:color w:val="auto"/>
          <w:sz w:val="24"/>
          <w:highlight w:val="none"/>
          <w:u w:val="single"/>
        </w:rPr>
        <w:t>买方名称</w:t>
      </w:r>
      <w:r>
        <w:rPr>
          <w:rFonts w:hint="eastAsia" w:ascii="仿宋" w:hAnsi="仿宋" w:eastAsia="仿宋" w:cs="仿宋"/>
          <w:color w:val="auto"/>
          <w:sz w:val="24"/>
          <w:highlight w:val="none"/>
        </w:rPr>
        <w:t>)</w:t>
      </w:r>
    </w:p>
    <w:p w14:paraId="6CFCD873">
      <w:pPr>
        <w:pStyle w:val="17"/>
        <w:spacing w:line="240" w:lineRule="atLeast"/>
        <w:ind w:left="1079"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号合同履约保函</w:t>
      </w:r>
    </w:p>
    <w:p w14:paraId="3382F3BB">
      <w:pPr>
        <w:pStyle w:val="17"/>
        <w:spacing w:line="240" w:lineRule="atLeast"/>
        <w:ind w:left="1079" w:leftChars="257" w:hanging="540"/>
        <w:jc w:val="center"/>
        <w:rPr>
          <w:rFonts w:hint="eastAsia" w:ascii="仿宋" w:hAnsi="仿宋" w:eastAsia="仿宋" w:cs="仿宋"/>
          <w:color w:val="auto"/>
          <w:sz w:val="24"/>
          <w:highlight w:val="none"/>
        </w:rPr>
      </w:pPr>
    </w:p>
    <w:p w14:paraId="2449A171">
      <w:pPr>
        <w:pStyle w:val="17"/>
        <w:spacing w:line="240" w:lineRule="atLeast"/>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本保函作为贵方与(</w:t>
      </w:r>
      <w:r>
        <w:rPr>
          <w:rFonts w:hint="eastAsia" w:ascii="仿宋" w:hAnsi="仿宋" w:eastAsia="仿宋" w:cs="仿宋"/>
          <w:i/>
          <w:color w:val="auto"/>
          <w:sz w:val="24"/>
          <w:highlight w:val="none"/>
          <w:u w:val="single"/>
        </w:rPr>
        <w:t>卖方名称</w:t>
      </w:r>
      <w:r>
        <w:rPr>
          <w:rFonts w:hint="eastAsia" w:ascii="仿宋" w:hAnsi="仿宋" w:eastAsia="仿宋" w:cs="仿宋"/>
          <w:color w:val="auto"/>
          <w:sz w:val="24"/>
          <w:highlight w:val="none"/>
        </w:rPr>
        <w:t>)(以下简称卖方)于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项目(以下简称项目)项下提供(</w:t>
      </w:r>
      <w:r>
        <w:rPr>
          <w:rFonts w:hint="eastAsia" w:ascii="仿宋" w:hAnsi="仿宋" w:eastAsia="仿宋" w:cs="仿宋"/>
          <w:i/>
          <w:color w:val="auto"/>
          <w:sz w:val="24"/>
          <w:highlight w:val="none"/>
          <w:u w:val="single"/>
          <w:lang w:eastAsia="zh-CN"/>
        </w:rPr>
        <w:t>服务</w:t>
      </w:r>
      <w:r>
        <w:rPr>
          <w:rFonts w:hint="eastAsia" w:ascii="仿宋" w:hAnsi="仿宋" w:eastAsia="仿宋" w:cs="仿宋"/>
          <w:i/>
          <w:color w:val="auto"/>
          <w:sz w:val="24"/>
          <w:highlight w:val="none"/>
          <w:u w:val="single"/>
        </w:rPr>
        <w:t>名称</w:t>
      </w:r>
      <w:r>
        <w:rPr>
          <w:rFonts w:hint="eastAsia" w:ascii="仿宋" w:hAnsi="仿宋" w:eastAsia="仿宋" w:cs="仿宋"/>
          <w:color w:val="auto"/>
          <w:sz w:val="24"/>
          <w:highlight w:val="none"/>
        </w:rPr>
        <w:t>)(以下简称货物)签订的(</w:t>
      </w:r>
      <w:r>
        <w:rPr>
          <w:rFonts w:hint="eastAsia" w:ascii="仿宋" w:hAnsi="仿宋" w:eastAsia="仿宋" w:cs="仿宋"/>
          <w:i/>
          <w:color w:val="auto"/>
          <w:sz w:val="24"/>
          <w:highlight w:val="none"/>
          <w:u w:val="single"/>
        </w:rPr>
        <w:t>合同号</w:t>
      </w:r>
      <w:r>
        <w:rPr>
          <w:rFonts w:hint="eastAsia" w:ascii="仿宋" w:hAnsi="仿宋" w:eastAsia="仿宋" w:cs="仿宋"/>
          <w:color w:val="auto"/>
          <w:sz w:val="24"/>
          <w:highlight w:val="none"/>
        </w:rPr>
        <w:t>)号合同的履约保函。</w:t>
      </w:r>
    </w:p>
    <w:p w14:paraId="4DD379C6">
      <w:pPr>
        <w:pStyle w:val="17"/>
        <w:spacing w:line="240" w:lineRule="atLeast"/>
        <w:ind w:firstLine="540" w:firstLineChars="225"/>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i/>
          <w:color w:val="auto"/>
          <w:sz w:val="24"/>
          <w:highlight w:val="none"/>
          <w:u w:val="single"/>
        </w:rPr>
        <w:t>出具保函的银行名称</w:t>
      </w:r>
      <w:r>
        <w:rPr>
          <w:rFonts w:hint="eastAsia" w:ascii="仿宋" w:hAnsi="仿宋" w:eastAsia="仿宋" w:cs="仿宋"/>
          <w:color w:val="auto"/>
          <w:sz w:val="24"/>
          <w:highlight w:val="none"/>
        </w:rPr>
        <w:t>)(以下简称银行)无条件地、不可撤销地具结保证本行、其继承人和受让人无追索地向贵方以(</w:t>
      </w:r>
      <w:r>
        <w:rPr>
          <w:rFonts w:hint="eastAsia" w:ascii="仿宋" w:hAnsi="仿宋" w:eastAsia="仿宋" w:cs="仿宋"/>
          <w:i/>
          <w:color w:val="auto"/>
          <w:sz w:val="24"/>
          <w:highlight w:val="none"/>
          <w:u w:val="single"/>
        </w:rPr>
        <w:t>货币名称</w:t>
      </w:r>
      <w:r>
        <w:rPr>
          <w:rFonts w:hint="eastAsia" w:ascii="仿宋" w:hAnsi="仿宋" w:eastAsia="仿宋" w:cs="仿宋"/>
          <w:color w:val="auto"/>
          <w:sz w:val="24"/>
          <w:highlight w:val="none"/>
        </w:rPr>
        <w:t>)支付总额不超过(</w:t>
      </w:r>
      <w:r>
        <w:rPr>
          <w:rFonts w:hint="eastAsia" w:ascii="仿宋" w:hAnsi="仿宋" w:eastAsia="仿宋" w:cs="仿宋"/>
          <w:i/>
          <w:color w:val="auto"/>
          <w:sz w:val="24"/>
          <w:highlight w:val="none"/>
          <w:u w:val="single"/>
        </w:rPr>
        <w:t>货币数量</w:t>
      </w:r>
      <w:r>
        <w:rPr>
          <w:rFonts w:hint="eastAsia" w:ascii="仿宋" w:hAnsi="仿宋" w:eastAsia="仿宋" w:cs="仿宋"/>
          <w:color w:val="auto"/>
          <w:sz w:val="24"/>
          <w:highlight w:val="none"/>
        </w:rPr>
        <w:t>),即相当于合同价格的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%,并以此约定如下:</w:t>
      </w:r>
    </w:p>
    <w:p w14:paraId="52F991EF">
      <w:pPr>
        <w:pStyle w:val="17"/>
        <w:spacing w:line="240" w:lineRule="atLeast"/>
        <w:ind w:left="539" w:leftChars="257"/>
        <w:rPr>
          <w:rFonts w:hint="eastAsia" w:ascii="仿宋" w:hAnsi="仿宋" w:eastAsia="仿宋" w:cs="仿宋"/>
          <w:color w:val="auto"/>
          <w:sz w:val="24"/>
          <w:highlight w:val="none"/>
        </w:rPr>
      </w:pPr>
      <w:r>
        <w:rPr>
          <w:rFonts w:hint="eastAsia" w:ascii="仿宋" w:hAnsi="仿宋" w:eastAsia="仿宋" w:cs="仿宋"/>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1894DAB0">
      <w:pPr>
        <w:pStyle w:val="17"/>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286A8596">
      <w:pPr>
        <w:pStyle w:val="17"/>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489111C9">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4.本保函在本合同规定的保证期期满前完全有效。</w:t>
      </w:r>
    </w:p>
    <w:p w14:paraId="6A0B50FC">
      <w:pPr>
        <w:pStyle w:val="17"/>
        <w:spacing w:line="240" w:lineRule="atLeast"/>
        <w:ind w:left="1079" w:leftChars="257" w:hanging="540"/>
        <w:rPr>
          <w:rFonts w:hint="eastAsia" w:ascii="仿宋" w:hAnsi="仿宋" w:eastAsia="仿宋" w:cs="仿宋"/>
          <w:color w:val="auto"/>
          <w:sz w:val="24"/>
          <w:highlight w:val="none"/>
        </w:rPr>
      </w:pPr>
    </w:p>
    <w:p w14:paraId="5E6A90BF">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谨启</w:t>
      </w:r>
    </w:p>
    <w:p w14:paraId="58A980B3">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出具保函银行名称：</w:t>
      </w:r>
      <w:r>
        <w:rPr>
          <w:rFonts w:hint="eastAsia" w:ascii="仿宋" w:hAnsi="仿宋" w:eastAsia="仿宋" w:cs="仿宋"/>
          <w:color w:val="auto"/>
          <w:sz w:val="24"/>
          <w:highlight w:val="none"/>
          <w:u w:val="single"/>
        </w:rPr>
        <w:t xml:space="preserve">                             </w:t>
      </w:r>
    </w:p>
    <w:p w14:paraId="678626D6">
      <w:pPr>
        <w:pStyle w:val="17"/>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签字人姓名和职务：</w:t>
      </w:r>
      <w:r>
        <w:rPr>
          <w:rFonts w:hint="eastAsia" w:ascii="仿宋" w:hAnsi="仿宋" w:eastAsia="仿宋" w:cs="仿宋"/>
          <w:color w:val="auto"/>
          <w:sz w:val="24"/>
          <w:highlight w:val="none"/>
          <w:u w:val="single"/>
        </w:rPr>
        <w:t xml:space="preserve">                             </w:t>
      </w:r>
    </w:p>
    <w:p w14:paraId="74F6D8F1">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签字人签名：</w:t>
      </w:r>
      <w:r>
        <w:rPr>
          <w:rFonts w:hint="eastAsia" w:ascii="仿宋" w:hAnsi="仿宋" w:eastAsia="仿宋" w:cs="仿宋"/>
          <w:color w:val="auto"/>
          <w:sz w:val="24"/>
          <w:highlight w:val="none"/>
          <w:u w:val="single"/>
        </w:rPr>
        <w:t xml:space="preserve">                                   </w:t>
      </w:r>
    </w:p>
    <w:p w14:paraId="0BE89254">
      <w:pPr>
        <w:pStyle w:val="17"/>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公章：</w:t>
      </w:r>
      <w:r>
        <w:rPr>
          <w:rFonts w:hint="eastAsia" w:ascii="仿宋" w:hAnsi="仿宋" w:eastAsia="仿宋" w:cs="仿宋"/>
          <w:color w:val="auto"/>
          <w:sz w:val="24"/>
          <w:highlight w:val="none"/>
          <w:u w:val="single"/>
        </w:rPr>
        <w:t xml:space="preserve">                                         </w:t>
      </w:r>
    </w:p>
    <w:p w14:paraId="505D12FC">
      <w:pPr>
        <w:pStyle w:val="3"/>
        <w:spacing w:before="0" w:line="240" w:lineRule="atLeast"/>
        <w:ind w:left="1079" w:leftChars="257" w:hanging="540"/>
        <w:rPr>
          <w:rFonts w:hint="eastAsia" w:ascii="仿宋" w:hAnsi="仿宋" w:eastAsia="仿宋" w:cs="仿宋"/>
          <w:color w:val="auto"/>
          <w:szCs w:val="24"/>
          <w:highlight w:val="none"/>
        </w:rPr>
      </w:pPr>
      <w:r>
        <w:rPr>
          <w:rFonts w:hint="eastAsia" w:ascii="仿宋" w:hAnsi="仿宋" w:eastAsia="仿宋" w:cs="仿宋"/>
          <w:color w:val="auto"/>
          <w:highlight w:val="none"/>
        </w:rPr>
        <w:br w:type="page"/>
      </w:r>
      <w:bookmarkStart w:id="251" w:name="_Toc31496"/>
      <w:bookmarkStart w:id="252" w:name="_Toc515647800"/>
      <w:bookmarkStart w:id="253" w:name="_Toc10951"/>
      <w:bookmarkStart w:id="254" w:name="_Toc6548"/>
      <w:r>
        <w:rPr>
          <w:rFonts w:hint="eastAsia" w:ascii="仿宋" w:hAnsi="仿宋" w:eastAsia="仿宋" w:cs="仿宋"/>
          <w:color w:val="auto"/>
          <w:szCs w:val="24"/>
          <w:highlight w:val="none"/>
        </w:rPr>
        <w:t>附件2：履约担保函格式</w:t>
      </w:r>
      <w:bookmarkEnd w:id="251"/>
      <w:bookmarkEnd w:id="252"/>
      <w:bookmarkEnd w:id="253"/>
      <w:bookmarkEnd w:id="254"/>
    </w:p>
    <w:p w14:paraId="36C07332">
      <w:pPr>
        <w:pStyle w:val="3"/>
        <w:spacing w:before="0" w:line="240" w:lineRule="atLeast"/>
        <w:ind w:left="1079" w:leftChars="257" w:hanging="540"/>
        <w:rPr>
          <w:rFonts w:hint="eastAsia" w:ascii="仿宋" w:hAnsi="仿宋" w:eastAsia="仿宋" w:cs="仿宋"/>
          <w:b w:val="0"/>
          <w:color w:val="auto"/>
          <w:highlight w:val="none"/>
        </w:rPr>
      </w:pPr>
      <w:bookmarkStart w:id="255" w:name="_Toc515647801"/>
      <w:bookmarkStart w:id="256" w:name="_Toc13962"/>
      <w:bookmarkStart w:id="257" w:name="_Toc162"/>
      <w:bookmarkStart w:id="258" w:name="_Toc21982"/>
      <w:r>
        <w:rPr>
          <w:rFonts w:hint="eastAsia" w:ascii="仿宋" w:hAnsi="仿宋" w:eastAsia="仿宋" w:cs="仿宋"/>
          <w:color w:val="auto"/>
          <w:szCs w:val="24"/>
          <w:highlight w:val="none"/>
        </w:rPr>
        <w:t>（采用政府采购信用担保形式时使用）</w:t>
      </w:r>
      <w:bookmarkEnd w:id="255"/>
      <w:bookmarkEnd w:id="256"/>
      <w:bookmarkEnd w:id="257"/>
      <w:bookmarkEnd w:id="258"/>
    </w:p>
    <w:p w14:paraId="6E27292C">
      <w:pPr>
        <w:spacing w:line="240" w:lineRule="atLeast"/>
        <w:ind w:left="1079" w:leftChars="257" w:hanging="540"/>
        <w:rPr>
          <w:rFonts w:hint="eastAsia" w:ascii="仿宋" w:hAnsi="仿宋" w:eastAsia="仿宋" w:cs="仿宋"/>
          <w:b/>
          <w:color w:val="auto"/>
          <w:kern w:val="0"/>
          <w:sz w:val="24"/>
          <w:szCs w:val="20"/>
          <w:highlight w:val="none"/>
        </w:rPr>
      </w:pPr>
    </w:p>
    <w:p w14:paraId="325FCA4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政府采购履约担保函（项目用）</w:t>
      </w:r>
    </w:p>
    <w:p w14:paraId="5B192017">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编号：</w:t>
      </w:r>
    </w:p>
    <w:p w14:paraId="79A55932">
      <w:pPr>
        <w:rPr>
          <w:rFonts w:hint="eastAsia" w:ascii="仿宋" w:hAnsi="仿宋" w:eastAsia="仿宋" w:cs="仿宋"/>
          <w:color w:val="auto"/>
          <w:sz w:val="24"/>
          <w:highlight w:val="none"/>
        </w:rPr>
      </w:pPr>
    </w:p>
    <w:p w14:paraId="41A73543">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6AD3FA96">
      <w:pPr>
        <w:rPr>
          <w:rFonts w:hint="eastAsia" w:ascii="仿宋" w:hAnsi="仿宋" w:eastAsia="仿宋" w:cs="仿宋"/>
          <w:color w:val="auto"/>
          <w:sz w:val="24"/>
          <w:highlight w:val="none"/>
        </w:rPr>
      </w:pPr>
    </w:p>
    <w:p w14:paraId="0862BA4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鉴于你方与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（以下简称供应商）于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日签定编号为   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政府采购合同》（以下简称主合同），且依据该合同的约定，供应商应在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p>
    <w:p w14:paraId="78690B55">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日前向你方交纳履约保证金，且可以履约担保函的形式交纳履约保证金。应供应商的申请，我方以保证的方式向你方提供如下履约保证金担保：</w:t>
      </w:r>
    </w:p>
    <w:p w14:paraId="0E814D8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一、保证责任的情形及保证金额</w:t>
      </w:r>
    </w:p>
    <w:p w14:paraId="5705E9C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（一）在供应商出现下列情形之一时，我方承担保证责任：</w:t>
      </w:r>
    </w:p>
    <w:p w14:paraId="2F4B87E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1．将中标项目转让给他人，或者在投标文件中未说明，且未经采购招标机构人同意，将中标项目分包给他人的；</w:t>
      </w:r>
    </w:p>
    <w:p w14:paraId="10DC16B2">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2．主合同约定的应当缴纳履约保证金的情形: </w:t>
      </w:r>
    </w:p>
    <w:p w14:paraId="617C42F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（1）未按主合同约定的质量、数量和期限供应货物/提供服务/完成工程的；</w:t>
      </w:r>
    </w:p>
    <w:p w14:paraId="73E3F30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B5242C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（二）我方的保证范围是主合同约定的合同价款总额的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%数额为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），币种为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。（即主合同履约保证金金额）</w:t>
      </w:r>
    </w:p>
    <w:p w14:paraId="03F2FE5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二、保证的方式及保证期间</w:t>
      </w:r>
    </w:p>
    <w:p w14:paraId="4720E477">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我方保证的方式为：连带责任保证。</w:t>
      </w:r>
    </w:p>
    <w:p w14:paraId="257C4FE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我方保证的期间为：自本合同生效之日起至供应商按照主合同约定的供货/完工期限届满后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w:t>
      </w:r>
    </w:p>
    <w:p w14:paraId="35A49D2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如果供应商未按主合同约定向贵方供应货物/提供服务/完成工程的，由我方在保证金额内向你方支付上述款项。</w:t>
      </w:r>
    </w:p>
    <w:p w14:paraId="68672577">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三、承担保证责任的程序</w:t>
      </w:r>
    </w:p>
    <w:p w14:paraId="5592532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3BE0415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如果你方与供应商因</w:t>
      </w:r>
      <w:r>
        <w:rPr>
          <w:rFonts w:hint="eastAsia" w:ascii="仿宋" w:hAnsi="仿宋" w:eastAsia="仿宋" w:cs="仿宋"/>
          <w:color w:val="auto"/>
          <w:sz w:val="24"/>
          <w:highlight w:val="none"/>
          <w:lang w:eastAsia="zh-CN"/>
        </w:rPr>
        <w:t>服务</w:t>
      </w:r>
      <w:r>
        <w:rPr>
          <w:rFonts w:hint="eastAsia" w:ascii="仿宋" w:hAnsi="仿宋" w:eastAsia="仿宋" w:cs="仿宋"/>
          <w:color w:val="auto"/>
          <w:sz w:val="24"/>
          <w:highlight w:val="none"/>
        </w:rPr>
        <w:t>质量问题产生争议，你方还需同时提供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部门出具的质量检测报告，或经诉讼（仲裁）程序裁决后的裁决书、调解书，本保证人即按照检测结果或裁决书、调解书决定是否承担保证责任。</w:t>
      </w:r>
    </w:p>
    <w:p w14:paraId="0EFDCF3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 我方收到你方的书面索赔通知及相应证明材料，在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工作日内进行核定后按照本保函的承诺承担保证责任。</w:t>
      </w:r>
    </w:p>
    <w:p w14:paraId="5AB3509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四、保证责任的终止</w:t>
      </w:r>
    </w:p>
    <w:p w14:paraId="451D86D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1．保证期间届满你方未向我方书面主张保证责任的，自保证期间届满次日起，我方保证责任自动终止。保证期间届满前，主合同约定的</w:t>
      </w:r>
      <w:r>
        <w:rPr>
          <w:rFonts w:hint="eastAsia" w:ascii="仿宋" w:hAnsi="仿宋" w:eastAsia="仿宋" w:cs="仿宋"/>
          <w:color w:val="auto"/>
          <w:sz w:val="24"/>
          <w:highlight w:val="none"/>
          <w:lang w:eastAsia="zh-CN"/>
        </w:rPr>
        <w:t>服务</w:t>
      </w:r>
      <w:r>
        <w:rPr>
          <w:rFonts w:hint="eastAsia" w:ascii="仿宋" w:hAnsi="仿宋" w:eastAsia="仿宋" w:cs="仿宋"/>
          <w:color w:val="auto"/>
          <w:sz w:val="24"/>
          <w:highlight w:val="none"/>
        </w:rPr>
        <w:t>\工程\服务全部验收合格的，自验收合格日起，我方保证责任自动终止。</w:t>
      </w:r>
    </w:p>
    <w:p w14:paraId="3D0A3CEB">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2．我方按照本保函向你方履行了保证责任后，自我方向你方支付款项（支付款项从我方账户划出）之日起，保证责任即终止。</w:t>
      </w:r>
    </w:p>
    <w:p w14:paraId="43F382C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3．按照法律法规的规定或出现应终止我方保证责任的其它情形的，我方在本保函项下的保证责任亦终止。</w:t>
      </w:r>
    </w:p>
    <w:p w14:paraId="216F9AF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0ACE7EB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五、免责条款</w:t>
      </w:r>
    </w:p>
    <w:p w14:paraId="535C393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1．因你方违反主合同约定致使供应商不能履行义务的，我方不承担保证责任。</w:t>
      </w:r>
    </w:p>
    <w:p w14:paraId="21934E0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2．依照法律法规的规定或你方与供应商的另行约定，全部或者部分免除供应商应缴纳的保证金义务的，我方亦免除相应的保证责任。</w:t>
      </w:r>
    </w:p>
    <w:p w14:paraId="1924665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3．因不可抗力造成供应商不能履行供货义务的，我方不承担保证责任。</w:t>
      </w:r>
    </w:p>
    <w:p w14:paraId="3AFBCDF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六、争议的解决</w:t>
      </w:r>
    </w:p>
    <w:p w14:paraId="3677A9E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因本保函发生的纠纷，由你我双方协商解决，协商不成的，通过诉讼程序解决，诉讼管辖地法院为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法院。</w:t>
      </w:r>
    </w:p>
    <w:p w14:paraId="69A4E5B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七、保函的生效</w:t>
      </w:r>
    </w:p>
    <w:p w14:paraId="152FEC3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本保函自我方加盖公章之日起生效。</w:t>
      </w:r>
    </w:p>
    <w:p w14:paraId="3F63FC09">
      <w:pPr>
        <w:rPr>
          <w:rFonts w:hint="eastAsia" w:ascii="仿宋" w:hAnsi="仿宋" w:eastAsia="仿宋" w:cs="仿宋"/>
          <w:color w:val="auto"/>
          <w:sz w:val="24"/>
          <w:highlight w:val="none"/>
        </w:rPr>
      </w:pPr>
    </w:p>
    <w:p w14:paraId="3BB59392">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B6A6451">
      <w:pPr>
        <w:ind w:firstLine="5400" w:firstLineChars="2250"/>
        <w:rPr>
          <w:rFonts w:hint="eastAsia" w:ascii="仿宋" w:hAnsi="仿宋" w:eastAsia="仿宋" w:cs="仿宋"/>
          <w:color w:val="auto"/>
          <w:sz w:val="24"/>
          <w:highlight w:val="none"/>
        </w:rPr>
      </w:pPr>
      <w:r>
        <w:rPr>
          <w:rFonts w:hint="eastAsia" w:ascii="仿宋" w:hAnsi="仿宋" w:eastAsia="仿宋" w:cs="仿宋"/>
          <w:color w:val="auto"/>
          <w:sz w:val="24"/>
          <w:highlight w:val="none"/>
        </w:rPr>
        <w:t>保证人：（公章）</w:t>
      </w:r>
    </w:p>
    <w:p w14:paraId="53333125">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A17B0E8">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14:paraId="1B2A1CB0">
      <w:pPr>
        <w:pStyle w:val="9"/>
        <w:spacing w:line="240" w:lineRule="atLeast"/>
        <w:ind w:firstLine="0"/>
        <w:rPr>
          <w:rFonts w:hint="eastAsia" w:ascii="仿宋" w:hAnsi="仿宋" w:eastAsia="仿宋" w:cs="仿宋"/>
          <w:color w:val="auto"/>
          <w:kern w:val="2"/>
          <w:szCs w:val="24"/>
          <w:highlight w:val="none"/>
        </w:rPr>
      </w:pPr>
      <w:r>
        <w:rPr>
          <w:rFonts w:hint="eastAsia" w:ascii="仿宋" w:hAnsi="仿宋" w:eastAsia="仿宋" w:cs="仿宋"/>
          <w:b/>
          <w:color w:val="auto"/>
          <w:highlight w:val="none"/>
        </w:rPr>
        <w:br w:type="page"/>
      </w:r>
    </w:p>
    <w:p w14:paraId="2616D458">
      <w:pPr>
        <w:pStyle w:val="2"/>
        <w:bidi w:val="0"/>
        <w:rPr>
          <w:rFonts w:hint="eastAsia" w:ascii="仿宋" w:hAnsi="仿宋" w:eastAsia="仿宋" w:cs="仿宋"/>
          <w:color w:val="auto"/>
          <w:highlight w:val="none"/>
        </w:rPr>
      </w:pPr>
      <w:bookmarkStart w:id="259" w:name="_Toc728"/>
      <w:bookmarkStart w:id="260" w:name="_Toc216582812"/>
      <w:bookmarkStart w:id="261" w:name="_Toc27613"/>
      <w:bookmarkStart w:id="262" w:name="_Toc515647802"/>
      <w:bookmarkStart w:id="263" w:name="_Toc702"/>
      <w:r>
        <w:rPr>
          <w:rFonts w:hint="eastAsia" w:ascii="仿宋" w:hAnsi="仿宋" w:eastAsia="仿宋" w:cs="仿宋"/>
          <w:color w:val="auto"/>
          <w:highlight w:val="none"/>
          <w:lang w:eastAsia="zh-CN"/>
        </w:rPr>
        <w:t>第</w:t>
      </w:r>
      <w:r>
        <w:rPr>
          <w:rFonts w:hint="eastAsia" w:ascii="仿宋" w:hAnsi="仿宋" w:eastAsia="仿宋" w:cs="仿宋"/>
          <w:color w:val="auto"/>
          <w:highlight w:val="none"/>
          <w:lang w:val="en-US" w:eastAsia="zh-CN"/>
        </w:rPr>
        <w:t xml:space="preserve">2章    </w:t>
      </w:r>
      <w:r>
        <w:rPr>
          <w:rFonts w:hint="eastAsia" w:ascii="仿宋" w:hAnsi="仿宋" w:eastAsia="仿宋" w:cs="仿宋"/>
          <w:color w:val="auto"/>
          <w:highlight w:val="none"/>
        </w:rPr>
        <w:t>投标文件格式</w:t>
      </w:r>
      <w:bookmarkEnd w:id="259"/>
      <w:bookmarkEnd w:id="260"/>
      <w:bookmarkEnd w:id="261"/>
      <w:bookmarkEnd w:id="262"/>
      <w:bookmarkEnd w:id="263"/>
    </w:p>
    <w:p w14:paraId="18114BB2">
      <w:pPr>
        <w:spacing w:line="240" w:lineRule="atLeast"/>
        <w:ind w:left="735" w:leftChars="350" w:firstLine="120" w:firstLineChars="50"/>
        <w:rPr>
          <w:rFonts w:hint="eastAsia" w:ascii="仿宋" w:hAnsi="仿宋" w:eastAsia="仿宋" w:cs="仿宋"/>
          <w:color w:val="auto"/>
          <w:sz w:val="24"/>
          <w:highlight w:val="none"/>
        </w:rPr>
      </w:pPr>
    </w:p>
    <w:p w14:paraId="7D228F0F">
      <w:pPr>
        <w:pStyle w:val="3"/>
        <w:spacing w:before="0" w:line="240" w:lineRule="atLeast"/>
        <w:ind w:left="1079" w:leftChars="257" w:hanging="540"/>
        <w:rPr>
          <w:rFonts w:hint="eastAsia" w:ascii="仿宋" w:hAnsi="仿宋" w:eastAsia="仿宋" w:cs="仿宋"/>
          <w:color w:val="auto"/>
          <w:sz w:val="24"/>
          <w:highlight w:val="none"/>
        </w:rPr>
      </w:pPr>
      <w:bookmarkStart w:id="264" w:name="_Toc21320"/>
      <w:bookmarkStart w:id="265" w:name="_Toc18694"/>
      <w:bookmarkStart w:id="266" w:name="_Toc515647803"/>
      <w:bookmarkStart w:id="267" w:name="_Toc18974"/>
      <w:r>
        <w:rPr>
          <w:rFonts w:hint="eastAsia" w:ascii="仿宋" w:hAnsi="仿宋" w:eastAsia="仿宋" w:cs="仿宋"/>
          <w:color w:val="auto"/>
          <w:sz w:val="24"/>
          <w:highlight w:val="none"/>
        </w:rPr>
        <w:t>第一部分 开标一览表及资格证明文件</w:t>
      </w:r>
      <w:bookmarkEnd w:id="264"/>
      <w:bookmarkEnd w:id="265"/>
      <w:bookmarkEnd w:id="266"/>
      <w:bookmarkEnd w:id="267"/>
    </w:p>
    <w:p w14:paraId="0F85D04C">
      <w:pPr>
        <w:spacing w:line="240" w:lineRule="atLeast"/>
        <w:ind w:left="708" w:hanging="708" w:hangingChars="295"/>
        <w:jc w:val="center"/>
        <w:rPr>
          <w:rFonts w:hint="eastAsia" w:ascii="仿宋" w:hAnsi="仿宋" w:eastAsia="仿宋" w:cs="仿宋"/>
          <w:color w:val="auto"/>
          <w:sz w:val="24"/>
          <w:highlight w:val="none"/>
        </w:rPr>
      </w:pPr>
    </w:p>
    <w:p w14:paraId="675E2F02">
      <w:pPr>
        <w:tabs>
          <w:tab w:val="left" w:pos="5580"/>
        </w:tabs>
        <w:spacing w:line="360" w:lineRule="auto"/>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开标一览表（见投标文件格式一）;</w:t>
      </w:r>
    </w:p>
    <w:p w14:paraId="27D5F2DC">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78D6A7BA">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3、法定代表人身份证明或法定代表人授权委托书及被授权人身份证；</w:t>
      </w:r>
      <w:r>
        <w:rPr>
          <w:rFonts w:hint="eastAsia" w:ascii="仿宋" w:hAnsi="仿宋" w:eastAsia="仿宋" w:cs="仿宋"/>
          <w:color w:val="auto"/>
          <w:sz w:val="24"/>
          <w:highlight w:val="none"/>
        </w:rPr>
        <w:t>（见投标文件格式</w:t>
      </w:r>
      <w:r>
        <w:rPr>
          <w:rFonts w:hint="eastAsia" w:ascii="仿宋" w:hAnsi="仿宋" w:eastAsia="仿宋" w:cs="仿宋"/>
          <w:color w:val="auto"/>
          <w:sz w:val="24"/>
          <w:highlight w:val="none"/>
          <w:lang w:eastAsia="zh-CN"/>
        </w:rPr>
        <w:t>二</w:t>
      </w:r>
      <w:r>
        <w:rPr>
          <w:rFonts w:hint="eastAsia" w:ascii="仿宋" w:hAnsi="仿宋" w:eastAsia="仿宋" w:cs="仿宋"/>
          <w:color w:val="auto"/>
          <w:sz w:val="24"/>
          <w:highlight w:val="none"/>
        </w:rPr>
        <w:t>）</w:t>
      </w:r>
    </w:p>
    <w:p w14:paraId="592A44B5">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4、近期（投标截止日期前六个月内任意一个月）依法缴纳社会保障金的缴费证明或银行出具的“银行电子缴纳社会保障金付款凭证”（新成立公司提供相关证明文件）；</w:t>
      </w:r>
    </w:p>
    <w:p w14:paraId="1C20B9C9">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7431DC8C">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6、具有良好的商业信誉和健全的财务会计制度(2023年或2024年的年度财务审计报告书，2025年成立公司提供银行资信证明)；</w:t>
      </w:r>
    </w:p>
    <w:p w14:paraId="7AF2CF1B">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576BD217">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8、参加政府采购活动前3年内在经营活动中没有重大违法记录的书面声明；</w:t>
      </w:r>
    </w:p>
    <w:p w14:paraId="63F14D57">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9、具有履行合同所必需的设备和专业技术能力的证明材料；</w:t>
      </w:r>
      <w:r>
        <w:rPr>
          <w:rFonts w:hint="eastAsia" w:ascii="仿宋" w:hAnsi="仿宋" w:eastAsia="仿宋" w:cs="仿宋"/>
          <w:color w:val="auto"/>
          <w:sz w:val="24"/>
          <w:highlight w:val="none"/>
        </w:rPr>
        <w:t>（见投标文件格式</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w:t>
      </w:r>
    </w:p>
    <w:p w14:paraId="529AA547">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10、提供针对本次项目《反商业贿赂承诺书》（格式自拟）；</w:t>
      </w:r>
    </w:p>
    <w:p w14:paraId="7D02A7FF">
      <w:pPr>
        <w:pStyle w:val="9"/>
        <w:spacing w:line="360" w:lineRule="auto"/>
        <w:rPr>
          <w:rFonts w:hint="eastAsia" w:eastAsia="仿宋"/>
          <w:lang w:val="en-US" w:eastAsia="zh-CN"/>
        </w:rPr>
      </w:pPr>
      <w:r>
        <w:rPr>
          <w:rFonts w:hint="eastAsia" w:ascii="仿宋" w:hAnsi="仿宋" w:eastAsia="仿宋" w:cs="仿宋"/>
          <w:color w:val="auto"/>
          <w:sz w:val="24"/>
          <w:highlight w:val="none"/>
          <w:lang w:val="en-US" w:eastAsia="zh-CN"/>
        </w:rPr>
        <w:t>11、投标保证金缴纳证明或保函；</w:t>
      </w:r>
    </w:p>
    <w:p w14:paraId="2967A8A9">
      <w:pPr>
        <w:tabs>
          <w:tab w:val="left" w:pos="5580"/>
        </w:tabs>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12、本项目不接受联合体。</w:t>
      </w:r>
    </w:p>
    <w:p w14:paraId="79C9E335">
      <w:pPr>
        <w:tabs>
          <w:tab w:val="left" w:pos="5580"/>
        </w:tabs>
        <w:spacing w:line="240" w:lineRule="atLeast"/>
        <w:ind w:left="1" w:firstLine="564" w:firstLineChars="235"/>
        <w:rPr>
          <w:rFonts w:hint="eastAsia" w:ascii="仿宋" w:hAnsi="仿宋" w:eastAsia="仿宋" w:cs="仿宋"/>
          <w:color w:val="auto"/>
          <w:sz w:val="24"/>
          <w:highlight w:val="none"/>
        </w:rPr>
      </w:pPr>
    </w:p>
    <w:p w14:paraId="5B157694">
      <w:pPr>
        <w:tabs>
          <w:tab w:val="left" w:pos="5580"/>
        </w:tabs>
        <w:spacing w:line="240" w:lineRule="atLeast"/>
        <w:ind w:left="1" w:firstLine="564" w:firstLineChars="235"/>
        <w:rPr>
          <w:rFonts w:hint="eastAsia" w:ascii="仿宋" w:hAnsi="仿宋" w:eastAsia="仿宋" w:cs="仿宋"/>
          <w:color w:val="auto"/>
          <w:sz w:val="24"/>
          <w:highlight w:val="none"/>
        </w:rPr>
      </w:pPr>
    </w:p>
    <w:p w14:paraId="123C3E1B">
      <w:pPr>
        <w:tabs>
          <w:tab w:val="left" w:pos="5580"/>
        </w:tabs>
        <w:spacing w:line="240" w:lineRule="atLeast"/>
        <w:ind w:left="1" w:firstLine="564" w:firstLineChars="235"/>
        <w:rPr>
          <w:rFonts w:hint="eastAsia" w:ascii="仿宋" w:hAnsi="仿宋" w:eastAsia="仿宋" w:cs="仿宋"/>
          <w:color w:val="auto"/>
          <w:sz w:val="24"/>
          <w:highlight w:val="none"/>
        </w:rPr>
      </w:pPr>
    </w:p>
    <w:p w14:paraId="5F867866">
      <w:pPr>
        <w:tabs>
          <w:tab w:val="left" w:pos="5580"/>
        </w:tabs>
        <w:spacing w:line="240" w:lineRule="atLeast"/>
        <w:ind w:left="1" w:firstLine="564" w:firstLineChars="235"/>
        <w:rPr>
          <w:rFonts w:hint="eastAsia" w:ascii="仿宋" w:hAnsi="仿宋" w:eastAsia="仿宋" w:cs="仿宋"/>
          <w:color w:val="auto"/>
          <w:sz w:val="24"/>
          <w:highlight w:val="none"/>
        </w:rPr>
      </w:pPr>
    </w:p>
    <w:p w14:paraId="20F7EC74">
      <w:pPr>
        <w:tabs>
          <w:tab w:val="left" w:pos="5580"/>
        </w:tabs>
        <w:spacing w:line="240" w:lineRule="atLeast"/>
        <w:ind w:left="1" w:firstLine="564" w:firstLineChars="235"/>
        <w:rPr>
          <w:rFonts w:hint="eastAsia" w:ascii="仿宋" w:hAnsi="仿宋" w:eastAsia="仿宋" w:cs="仿宋"/>
          <w:color w:val="auto"/>
          <w:sz w:val="24"/>
          <w:highlight w:val="none"/>
        </w:rPr>
      </w:pPr>
    </w:p>
    <w:p w14:paraId="37407401">
      <w:pPr>
        <w:tabs>
          <w:tab w:val="left" w:pos="5580"/>
        </w:tabs>
        <w:spacing w:line="240" w:lineRule="atLeast"/>
        <w:ind w:left="1" w:firstLine="564" w:firstLineChars="235"/>
        <w:rPr>
          <w:rFonts w:hint="eastAsia" w:ascii="仿宋" w:hAnsi="仿宋" w:eastAsia="仿宋" w:cs="仿宋"/>
          <w:color w:val="auto"/>
          <w:sz w:val="24"/>
          <w:highlight w:val="none"/>
        </w:rPr>
      </w:pPr>
    </w:p>
    <w:p w14:paraId="7E161FB7">
      <w:pPr>
        <w:tabs>
          <w:tab w:val="left" w:pos="5580"/>
        </w:tabs>
        <w:spacing w:line="240" w:lineRule="atLeast"/>
        <w:ind w:left="1" w:firstLine="564" w:firstLineChars="235"/>
        <w:rPr>
          <w:rFonts w:hint="eastAsia" w:ascii="仿宋" w:hAnsi="仿宋" w:eastAsia="仿宋" w:cs="仿宋"/>
          <w:color w:val="auto"/>
          <w:sz w:val="24"/>
          <w:highlight w:val="none"/>
        </w:rPr>
      </w:pPr>
    </w:p>
    <w:p w14:paraId="0493C813">
      <w:pPr>
        <w:pStyle w:val="3"/>
        <w:bidi w:val="0"/>
        <w:spacing w:before="0" w:line="240" w:lineRule="auto"/>
        <w:jc w:val="center"/>
        <w:rPr>
          <w:rFonts w:hint="eastAsia" w:ascii="仿宋" w:hAnsi="仿宋" w:eastAsia="仿宋" w:cs="仿宋"/>
          <w:color w:val="auto"/>
          <w:sz w:val="24"/>
          <w:highlight w:val="none"/>
        </w:rPr>
        <w:sectPr>
          <w:footerReference r:id="rId6"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bookmarkStart w:id="268" w:name="_Toc16568"/>
      <w:bookmarkStart w:id="269" w:name="_Toc30524"/>
      <w:bookmarkStart w:id="270" w:name="_Toc515647804"/>
    </w:p>
    <w:p w14:paraId="48D98C71">
      <w:pPr>
        <w:pStyle w:val="3"/>
        <w:bidi w:val="0"/>
        <w:spacing w:before="0" w:line="240" w:lineRule="auto"/>
        <w:jc w:val="center"/>
        <w:rPr>
          <w:rFonts w:hint="eastAsia" w:ascii="仿宋" w:hAnsi="仿宋" w:eastAsia="仿宋" w:cs="仿宋"/>
          <w:color w:val="auto"/>
          <w:sz w:val="24"/>
          <w:highlight w:val="none"/>
        </w:rPr>
      </w:pPr>
      <w:bookmarkStart w:id="271" w:name="_Toc2558"/>
      <w:r>
        <w:rPr>
          <w:rFonts w:hint="eastAsia" w:ascii="仿宋" w:hAnsi="仿宋" w:eastAsia="仿宋" w:cs="仿宋"/>
          <w:color w:val="auto"/>
          <w:sz w:val="24"/>
          <w:highlight w:val="none"/>
        </w:rPr>
        <w:t>1  开标一览表（投标文件格式一）</w:t>
      </w:r>
      <w:bookmarkEnd w:id="268"/>
      <w:bookmarkEnd w:id="269"/>
      <w:bookmarkEnd w:id="270"/>
      <w:bookmarkEnd w:id="271"/>
    </w:p>
    <w:p w14:paraId="1D8CFFCA">
      <w:pPr>
        <w:pStyle w:val="17"/>
        <w:tabs>
          <w:tab w:val="left" w:pos="5580"/>
        </w:tabs>
        <w:spacing w:line="240" w:lineRule="atLeast"/>
        <w:ind w:left="268" w:leftChars="128"/>
        <w:rPr>
          <w:rFonts w:hint="eastAsia" w:ascii="仿宋" w:hAnsi="仿宋" w:eastAsia="仿宋" w:cs="仿宋"/>
          <w:color w:val="auto"/>
          <w:sz w:val="24"/>
          <w:highlight w:val="none"/>
        </w:rPr>
      </w:pPr>
    </w:p>
    <w:p w14:paraId="20408805">
      <w:pPr>
        <w:pStyle w:val="17"/>
        <w:tabs>
          <w:tab w:val="left" w:pos="5580"/>
        </w:tabs>
        <w:spacing w:line="240" w:lineRule="atLeast"/>
        <w:ind w:left="268" w:leftChars="128"/>
        <w:rPr>
          <w:rFonts w:hint="eastAsia" w:ascii="仿宋" w:hAnsi="仿宋" w:eastAsia="仿宋" w:cs="仿宋"/>
          <w:color w:val="auto"/>
          <w:sz w:val="24"/>
          <w:szCs w:val="24"/>
          <w:highlight w:val="none"/>
        </w:rPr>
      </w:pPr>
    </w:p>
    <w:p w14:paraId="574FE0A5">
      <w:pPr>
        <w:pStyle w:val="9"/>
        <w:tabs>
          <w:tab w:val="left" w:pos="5580"/>
        </w:tabs>
        <w:spacing w:line="240" w:lineRule="atLeast"/>
        <w:ind w:left="1079" w:leftChars="257" w:hanging="540"/>
        <w:jc w:val="center"/>
        <w:rPr>
          <w:rFonts w:hint="eastAsia" w:ascii="仿宋" w:hAnsi="仿宋" w:eastAsia="仿宋" w:cs="仿宋"/>
          <w:b/>
          <w:color w:val="auto"/>
          <w:highlight w:val="none"/>
        </w:rPr>
      </w:pPr>
      <w:bookmarkStart w:id="272" w:name="_Hlt520356241"/>
      <w:bookmarkEnd w:id="272"/>
      <w:bookmarkStart w:id="273" w:name="_Toc494296984"/>
      <w:bookmarkStart w:id="274" w:name="_Toc480942349"/>
      <w:bookmarkStart w:id="275" w:name="_Toc520356217"/>
      <w:bookmarkStart w:id="276" w:name="_Toc216582813"/>
      <w:bookmarkStart w:id="277" w:name="_Ref467988698"/>
      <w:r>
        <w:rPr>
          <w:rFonts w:hint="eastAsia" w:ascii="仿宋" w:hAnsi="仿宋" w:eastAsia="仿宋" w:cs="仿宋"/>
          <w:b/>
          <w:color w:val="auto"/>
          <w:highlight w:val="none"/>
        </w:rPr>
        <w:t>开标一览表</w:t>
      </w:r>
      <w:bookmarkEnd w:id="273"/>
      <w:r>
        <w:rPr>
          <w:rFonts w:hint="eastAsia" w:ascii="仿宋" w:hAnsi="仿宋" w:eastAsia="仿宋" w:cs="仿宋"/>
          <w:b/>
          <w:color w:val="auto"/>
          <w:highlight w:val="none"/>
        </w:rPr>
        <w:cr/>
      </w:r>
    </w:p>
    <w:p w14:paraId="72772729">
      <w:pPr>
        <w:pStyle w:val="9"/>
        <w:tabs>
          <w:tab w:val="left" w:pos="5580"/>
        </w:tabs>
        <w:spacing w:line="240" w:lineRule="atLeast"/>
        <w:ind w:left="1079" w:leftChars="257" w:hanging="540"/>
        <w:rPr>
          <w:rFonts w:hint="eastAsia" w:ascii="仿宋" w:hAnsi="仿宋" w:eastAsia="仿宋" w:cs="仿宋"/>
          <w:color w:val="auto"/>
          <w:highlight w:val="none"/>
        </w:rPr>
      </w:pPr>
    </w:p>
    <w:p w14:paraId="2BB0F4D0">
      <w:pPr>
        <w:tabs>
          <w:tab w:val="left" w:pos="1800"/>
          <w:tab w:val="left" w:pos="5580"/>
        </w:tabs>
        <w:spacing w:line="240" w:lineRule="atLeast"/>
        <w:ind w:left="1079"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招标编号：                 包号：         </w:t>
      </w:r>
    </w:p>
    <w:p w14:paraId="7F3BD128">
      <w:pPr>
        <w:tabs>
          <w:tab w:val="left" w:pos="1800"/>
          <w:tab w:val="left" w:pos="5580"/>
        </w:tabs>
        <w:spacing w:line="240" w:lineRule="atLeast"/>
        <w:ind w:left="1079"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报价单位：人民币</w:t>
      </w:r>
      <w:r>
        <w:rPr>
          <w:rFonts w:hint="eastAsia" w:ascii="仿宋" w:hAnsi="仿宋" w:eastAsia="仿宋" w:cs="仿宋"/>
          <w:b/>
          <w:color w:val="auto"/>
          <w:sz w:val="24"/>
          <w:highlight w:val="none"/>
        </w:rPr>
        <w:t>万元</w:t>
      </w:r>
    </w:p>
    <w:tbl>
      <w:tblPr>
        <w:tblStyle w:val="39"/>
        <w:tblW w:w="9155" w:type="dxa"/>
        <w:tblInd w:w="-61" w:type="dxa"/>
        <w:tblLayout w:type="fixed"/>
        <w:tblCellMar>
          <w:top w:w="0" w:type="dxa"/>
          <w:left w:w="0" w:type="dxa"/>
          <w:bottom w:w="0" w:type="dxa"/>
          <w:right w:w="0" w:type="dxa"/>
        </w:tblCellMar>
      </w:tblPr>
      <w:tblGrid>
        <w:gridCol w:w="1420"/>
        <w:gridCol w:w="2340"/>
        <w:gridCol w:w="1518"/>
        <w:gridCol w:w="1250"/>
        <w:gridCol w:w="1498"/>
        <w:gridCol w:w="1129"/>
      </w:tblGrid>
      <w:tr w14:paraId="01B8FD68">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noWrap w:val="0"/>
            <w:vAlign w:val="center"/>
          </w:tcPr>
          <w:p w14:paraId="65652B48">
            <w:pPr>
              <w:keepNext w:val="0"/>
              <w:keepLines w:val="0"/>
              <w:suppressLineNumbers w:val="0"/>
              <w:tabs>
                <w:tab w:val="left" w:pos="5580"/>
              </w:tabs>
              <w:spacing w:before="0" w:beforeAutospacing="0" w:after="0" w:afterAutospacing="0" w:line="240" w:lineRule="atLeast"/>
              <w:ind w:left="0" w:right="-199"/>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服务</w:t>
            </w:r>
            <w:r>
              <w:rPr>
                <w:rFonts w:hint="eastAsia" w:ascii="仿宋" w:hAnsi="仿宋" w:eastAsia="仿宋" w:cs="仿宋"/>
                <w:color w:val="auto"/>
                <w:sz w:val="24"/>
                <w:highlight w:val="none"/>
              </w:rPr>
              <w:t>名称</w:t>
            </w:r>
          </w:p>
        </w:tc>
        <w:tc>
          <w:tcPr>
            <w:tcW w:w="2340" w:type="dxa"/>
            <w:tcBorders>
              <w:top w:val="single" w:color="auto" w:sz="4" w:space="0"/>
              <w:left w:val="single" w:color="auto" w:sz="8" w:space="0"/>
              <w:bottom w:val="single" w:color="auto" w:sz="8" w:space="0"/>
              <w:right w:val="single" w:color="auto" w:sz="4" w:space="0"/>
            </w:tcBorders>
            <w:noWrap w:val="0"/>
            <w:vAlign w:val="center"/>
          </w:tcPr>
          <w:p w14:paraId="123E605E">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投标总价</w:t>
            </w:r>
          </w:p>
        </w:tc>
        <w:tc>
          <w:tcPr>
            <w:tcW w:w="1518" w:type="dxa"/>
            <w:tcBorders>
              <w:top w:val="single" w:color="auto" w:sz="8" w:space="0"/>
              <w:left w:val="nil"/>
              <w:bottom w:val="single" w:color="auto" w:sz="8" w:space="0"/>
              <w:right w:val="single" w:color="auto" w:sz="4" w:space="0"/>
            </w:tcBorders>
            <w:noWrap w:val="0"/>
            <w:vAlign w:val="center"/>
          </w:tcPr>
          <w:p w14:paraId="7AD689AC">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投标保证金</w:t>
            </w:r>
          </w:p>
        </w:tc>
        <w:tc>
          <w:tcPr>
            <w:tcW w:w="1250" w:type="dxa"/>
            <w:tcBorders>
              <w:top w:val="single" w:color="auto" w:sz="8" w:space="0"/>
              <w:left w:val="nil"/>
              <w:bottom w:val="single" w:color="auto" w:sz="8" w:space="0"/>
              <w:right w:val="single" w:color="auto" w:sz="4" w:space="0"/>
            </w:tcBorders>
            <w:noWrap w:val="0"/>
            <w:vAlign w:val="center"/>
          </w:tcPr>
          <w:p w14:paraId="3D261978">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履约期限</w:t>
            </w:r>
          </w:p>
        </w:tc>
        <w:tc>
          <w:tcPr>
            <w:tcW w:w="1498" w:type="dxa"/>
            <w:tcBorders>
              <w:top w:val="single" w:color="auto" w:sz="8" w:space="0"/>
              <w:left w:val="nil"/>
              <w:bottom w:val="single" w:color="auto" w:sz="8" w:space="0"/>
              <w:right w:val="single" w:color="auto" w:sz="4" w:space="0"/>
            </w:tcBorders>
            <w:noWrap w:val="0"/>
            <w:vAlign w:val="center"/>
          </w:tcPr>
          <w:p w14:paraId="2512B389">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履约地点</w:t>
            </w:r>
          </w:p>
        </w:tc>
        <w:tc>
          <w:tcPr>
            <w:tcW w:w="1129" w:type="dxa"/>
            <w:tcBorders>
              <w:top w:val="single" w:color="auto" w:sz="8" w:space="0"/>
              <w:left w:val="single" w:color="auto" w:sz="4" w:space="0"/>
              <w:bottom w:val="single" w:color="auto" w:sz="8" w:space="0"/>
              <w:right w:val="single" w:color="auto" w:sz="8" w:space="0"/>
            </w:tcBorders>
            <w:noWrap w:val="0"/>
            <w:vAlign w:val="center"/>
          </w:tcPr>
          <w:p w14:paraId="06C3195A">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77136A51">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noWrap w:val="0"/>
            <w:vAlign w:val="center"/>
          </w:tcPr>
          <w:p w14:paraId="2F733697">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2340" w:type="dxa"/>
            <w:tcBorders>
              <w:top w:val="single" w:color="auto" w:sz="8" w:space="0"/>
              <w:left w:val="single" w:color="auto" w:sz="8" w:space="0"/>
              <w:bottom w:val="single" w:color="auto" w:sz="4" w:space="0"/>
              <w:right w:val="single" w:color="auto" w:sz="4" w:space="0"/>
            </w:tcBorders>
            <w:noWrap w:val="0"/>
            <w:vAlign w:val="center"/>
          </w:tcPr>
          <w:p w14:paraId="4E938131">
            <w:pPr>
              <w:keepNext w:val="0"/>
              <w:keepLines w:val="0"/>
              <w:suppressLineNumbers w:val="0"/>
              <w:tabs>
                <w:tab w:val="left" w:pos="5580"/>
              </w:tabs>
              <w:spacing w:before="0" w:beforeAutospacing="0" w:after="0" w:afterAutospacing="0" w:line="240" w:lineRule="atLeas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p>
          <w:p w14:paraId="7BBCCCE0">
            <w:pPr>
              <w:keepNext w:val="0"/>
              <w:keepLines w:val="0"/>
              <w:suppressLineNumbers w:val="0"/>
              <w:tabs>
                <w:tab w:val="left" w:pos="5580"/>
              </w:tabs>
              <w:spacing w:before="0" w:beforeAutospacing="0" w:after="0" w:afterAutospacing="0" w:line="240" w:lineRule="atLeas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1518" w:type="dxa"/>
            <w:tcBorders>
              <w:top w:val="single" w:color="auto" w:sz="8" w:space="0"/>
              <w:left w:val="nil"/>
              <w:bottom w:val="single" w:color="auto" w:sz="4" w:space="0"/>
              <w:right w:val="single" w:color="auto" w:sz="4" w:space="0"/>
            </w:tcBorders>
            <w:noWrap w:val="0"/>
            <w:vAlign w:val="center"/>
          </w:tcPr>
          <w:p w14:paraId="265D5BD0">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250" w:type="dxa"/>
            <w:tcBorders>
              <w:top w:val="single" w:color="auto" w:sz="8" w:space="0"/>
              <w:left w:val="nil"/>
              <w:bottom w:val="single" w:color="auto" w:sz="4" w:space="0"/>
              <w:right w:val="single" w:color="auto" w:sz="4" w:space="0"/>
            </w:tcBorders>
            <w:noWrap w:val="0"/>
            <w:vAlign w:val="center"/>
          </w:tcPr>
          <w:p w14:paraId="06AA9F31">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498" w:type="dxa"/>
            <w:tcBorders>
              <w:top w:val="single" w:color="auto" w:sz="8" w:space="0"/>
              <w:left w:val="nil"/>
              <w:bottom w:val="single" w:color="auto" w:sz="4" w:space="0"/>
              <w:right w:val="single" w:color="auto" w:sz="4" w:space="0"/>
            </w:tcBorders>
            <w:noWrap w:val="0"/>
            <w:vAlign w:val="center"/>
          </w:tcPr>
          <w:p w14:paraId="0D3A4B60">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129" w:type="dxa"/>
            <w:tcBorders>
              <w:top w:val="single" w:color="auto" w:sz="8" w:space="0"/>
              <w:left w:val="single" w:color="auto" w:sz="4" w:space="0"/>
              <w:bottom w:val="single" w:color="auto" w:sz="4" w:space="0"/>
              <w:right w:val="single" w:color="auto" w:sz="8" w:space="0"/>
            </w:tcBorders>
            <w:noWrap w:val="0"/>
            <w:vAlign w:val="center"/>
          </w:tcPr>
          <w:p w14:paraId="4693BDD4">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lang w:eastAsia="zh-CN"/>
              </w:rPr>
            </w:pPr>
          </w:p>
        </w:tc>
      </w:tr>
    </w:tbl>
    <w:p w14:paraId="24396BAA">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5109F4F1">
      <w:pPr>
        <w:pStyle w:val="17"/>
        <w:tabs>
          <w:tab w:val="left" w:pos="5580"/>
        </w:tabs>
        <w:spacing w:line="240" w:lineRule="atLeast"/>
        <w:ind w:left="1079" w:leftChars="257" w:hanging="540"/>
        <w:rPr>
          <w:rFonts w:hint="eastAsia" w:ascii="仿宋" w:hAnsi="仿宋" w:eastAsia="仿宋" w:cs="仿宋"/>
          <w:color w:val="auto"/>
          <w:sz w:val="24"/>
          <w:highlight w:val="none"/>
          <w:u w:val="single"/>
        </w:rPr>
      </w:pPr>
    </w:p>
    <w:p w14:paraId="7ECF3FDB">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r>
        <w:rPr>
          <w:rFonts w:hint="eastAsia" w:ascii="仿宋" w:hAnsi="仿宋" w:eastAsia="仿宋" w:cs="仿宋"/>
          <w:color w:val="auto"/>
          <w:sz w:val="24"/>
          <w:highlight w:val="none"/>
          <w:lang w:eastAsia="zh-CN"/>
        </w:rPr>
        <w:t>电子签章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5E15303B">
      <w:pPr>
        <w:pStyle w:val="17"/>
        <w:tabs>
          <w:tab w:val="left" w:pos="5580"/>
        </w:tabs>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法定代表人或委托代理(</w:t>
      </w:r>
      <w:r>
        <w:rPr>
          <w:rFonts w:hint="eastAsia" w:ascii="仿宋" w:hAnsi="仿宋" w:eastAsia="仿宋" w:cs="仿宋"/>
          <w:color w:val="auto"/>
          <w:sz w:val="24"/>
          <w:highlight w:val="none"/>
          <w:lang w:val="en-US" w:eastAsia="zh-CN"/>
        </w:rPr>
        <w:t>CA</w:t>
      </w: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u w:val="single"/>
        </w:rPr>
        <w:tab/>
      </w:r>
    </w:p>
    <w:p w14:paraId="0703E590">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23FAA6E6">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2551765D">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注:1、此表应按</w:t>
      </w:r>
      <w:r>
        <w:rPr>
          <w:rFonts w:hint="eastAsia" w:ascii="仿宋" w:hAnsi="仿宋" w:eastAsia="仿宋" w:cs="仿宋"/>
          <w:color w:val="auto"/>
          <w:sz w:val="24"/>
          <w:highlight w:val="none"/>
          <w:lang w:val="en-US" w:eastAsia="zh-CN"/>
        </w:rPr>
        <w:t>招标文件</w:t>
      </w:r>
      <w:r>
        <w:rPr>
          <w:rFonts w:hint="eastAsia" w:ascii="仿宋" w:hAnsi="仿宋" w:eastAsia="仿宋" w:cs="仿宋"/>
          <w:color w:val="auto"/>
          <w:sz w:val="24"/>
          <w:highlight w:val="none"/>
        </w:rPr>
        <w:t>的规定</w:t>
      </w:r>
      <w:r>
        <w:rPr>
          <w:rFonts w:hint="eastAsia" w:ascii="仿宋" w:hAnsi="仿宋" w:eastAsia="仿宋" w:cs="仿宋"/>
          <w:color w:val="auto"/>
          <w:sz w:val="24"/>
          <w:highlight w:val="none"/>
          <w:lang w:val="en-US" w:eastAsia="zh-CN"/>
        </w:rPr>
        <w:t>填写</w:t>
      </w:r>
      <w:r>
        <w:rPr>
          <w:rFonts w:hint="eastAsia" w:ascii="仿宋" w:hAnsi="仿宋" w:eastAsia="仿宋" w:cs="仿宋"/>
          <w:color w:val="auto"/>
          <w:sz w:val="24"/>
          <w:highlight w:val="none"/>
        </w:rPr>
        <w:t>。</w:t>
      </w:r>
    </w:p>
    <w:p w14:paraId="3ECA5866">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2、此表中，每包的投标总价应和投标分项报价表的总价相一致。</w:t>
      </w:r>
    </w:p>
    <w:p w14:paraId="75D1FA7A">
      <w:pPr>
        <w:rPr>
          <w:rFonts w:hint="eastAsia" w:ascii="仿宋" w:hAnsi="仿宋" w:eastAsia="仿宋" w:cs="仿宋"/>
          <w:b/>
          <w:color w:val="auto"/>
          <w:sz w:val="24"/>
          <w:highlight w:val="none"/>
        </w:rPr>
      </w:pPr>
      <w:r>
        <w:rPr>
          <w:rFonts w:hint="eastAsia" w:ascii="仿宋" w:hAnsi="仿宋" w:eastAsia="仿宋" w:cs="仿宋"/>
          <w:color w:val="auto"/>
          <w:sz w:val="24"/>
          <w:highlight w:val="none"/>
        </w:rPr>
        <w:br w:type="page"/>
      </w:r>
    </w:p>
    <w:p w14:paraId="54264452">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2905E083">
      <w:pPr>
        <w:pStyle w:val="3"/>
        <w:spacing w:before="0" w:line="240" w:lineRule="atLeast"/>
        <w:ind w:left="1079" w:leftChars="257" w:hanging="540"/>
        <w:rPr>
          <w:rFonts w:hint="eastAsia" w:ascii="仿宋" w:hAnsi="仿宋" w:eastAsia="仿宋" w:cs="仿宋"/>
          <w:color w:val="auto"/>
          <w:sz w:val="24"/>
          <w:highlight w:val="none"/>
        </w:rPr>
      </w:pPr>
      <w:bookmarkStart w:id="278" w:name="_Toc29899"/>
      <w:bookmarkStart w:id="279" w:name="_Toc17577"/>
      <w:bookmarkStart w:id="280" w:name="_Toc515647805"/>
      <w:bookmarkStart w:id="281" w:name="_Toc9064"/>
      <w:r>
        <w:rPr>
          <w:rFonts w:hint="eastAsia" w:ascii="仿宋" w:hAnsi="仿宋" w:eastAsia="仿宋" w:cs="仿宋"/>
          <w:color w:val="auto"/>
          <w:sz w:val="24"/>
          <w:highlight w:val="none"/>
        </w:rPr>
        <w:t xml:space="preserve">2  </w:t>
      </w:r>
      <w:bookmarkEnd w:id="278"/>
      <w:bookmarkEnd w:id="279"/>
      <w:bookmarkEnd w:id="280"/>
      <w:r>
        <w:rPr>
          <w:rFonts w:hint="eastAsia" w:ascii="仿宋" w:hAnsi="仿宋" w:eastAsia="仿宋" w:cs="仿宋"/>
          <w:color w:val="auto"/>
          <w:sz w:val="24"/>
          <w:highlight w:val="none"/>
          <w:lang w:eastAsia="zh-CN"/>
        </w:rPr>
        <w:t>法人或者非法人组织的营业执照等证明文件或自然人的身份证明</w:t>
      </w:r>
      <w:bookmarkEnd w:id="281"/>
    </w:p>
    <w:p w14:paraId="1E2D8E2A">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6C0CE025">
      <w:pPr>
        <w:pStyle w:val="17"/>
        <w:tabs>
          <w:tab w:val="left" w:pos="5580"/>
        </w:tabs>
        <w:spacing w:line="240" w:lineRule="atLeast"/>
        <w:ind w:left="1079" w:leftChars="257" w:hanging="540"/>
        <w:rPr>
          <w:rFonts w:hint="eastAsia" w:ascii="仿宋" w:hAnsi="仿宋" w:eastAsia="仿宋" w:cs="仿宋"/>
          <w:b/>
          <w:color w:val="auto"/>
          <w:sz w:val="24"/>
          <w:highlight w:val="none"/>
        </w:rPr>
      </w:pPr>
    </w:p>
    <w:p w14:paraId="4C2B6E2A">
      <w:pPr>
        <w:pStyle w:val="17"/>
        <w:tabs>
          <w:tab w:val="left" w:pos="5580"/>
        </w:tabs>
        <w:spacing w:line="240" w:lineRule="atLeast"/>
        <w:ind w:left="1079" w:leftChars="257" w:hanging="540"/>
        <w:rPr>
          <w:rFonts w:hint="eastAsia" w:ascii="仿宋" w:hAnsi="仿宋" w:eastAsia="仿宋" w:cs="仿宋"/>
          <w:b/>
          <w:color w:val="auto"/>
          <w:sz w:val="24"/>
          <w:highlight w:val="none"/>
        </w:rPr>
      </w:pPr>
    </w:p>
    <w:p w14:paraId="65436750">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说明：1.提供有效的营业执照复印件，复印件上应加盖本单位章。</w:t>
      </w:r>
    </w:p>
    <w:p w14:paraId="575BF6EC">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2.投标人为自然人的，应提供身份证明的复印件。</w:t>
      </w:r>
    </w:p>
    <w:p w14:paraId="269D04D3">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3.联合体投标应提供联合体各方满足以上要求的证明文件。</w:t>
      </w:r>
    </w:p>
    <w:p w14:paraId="7E2BDF08">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5141AB7D">
      <w:pPr>
        <w:pStyle w:val="17"/>
        <w:tabs>
          <w:tab w:val="left" w:pos="5580"/>
        </w:tabs>
        <w:spacing w:line="240" w:lineRule="atLeast"/>
        <w:ind w:left="1079"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48B8A2C4">
      <w:pPr>
        <w:pStyle w:val="3"/>
        <w:spacing w:before="0" w:line="240" w:lineRule="atLeast"/>
        <w:ind w:left="1079" w:leftChars="257" w:hanging="540"/>
        <w:rPr>
          <w:rFonts w:hint="eastAsia" w:ascii="仿宋" w:hAnsi="仿宋" w:eastAsia="仿宋" w:cs="仿宋"/>
          <w:sz w:val="24"/>
          <w:szCs w:val="24"/>
        </w:rPr>
      </w:pPr>
      <w:bookmarkStart w:id="282" w:name="_Toc515647807"/>
      <w:bookmarkStart w:id="283" w:name="_Toc22472"/>
      <w:bookmarkStart w:id="284" w:name="_Toc20787"/>
      <w:bookmarkStart w:id="285" w:name="_Toc1083"/>
      <w:r>
        <w:rPr>
          <w:rFonts w:hint="eastAsia" w:ascii="仿宋" w:hAnsi="仿宋" w:eastAsia="仿宋" w:cs="仿宋"/>
          <w:color w:val="auto"/>
          <w:sz w:val="24"/>
          <w:highlight w:val="none"/>
        </w:rPr>
        <w:t xml:space="preserve">3  </w:t>
      </w:r>
      <w:r>
        <w:rPr>
          <w:rFonts w:hint="eastAsia" w:ascii="仿宋" w:hAnsi="仿宋" w:eastAsia="仿宋" w:cs="仿宋"/>
          <w:sz w:val="24"/>
          <w:szCs w:val="24"/>
        </w:rPr>
        <w:t>法定代表人资格证明书或法人授权委托书及被授权人身份证</w:t>
      </w:r>
      <w:r>
        <w:rPr>
          <w:rFonts w:hint="eastAsia" w:ascii="仿宋" w:hAnsi="仿宋" w:eastAsia="仿宋" w:cs="仿宋"/>
          <w:color w:val="auto"/>
          <w:sz w:val="24"/>
          <w:highlight w:val="none"/>
        </w:rPr>
        <w:t>(投标文件格式二，自然人投标的无需提供)</w:t>
      </w:r>
      <w:bookmarkEnd w:id="282"/>
      <w:bookmarkEnd w:id="283"/>
      <w:bookmarkEnd w:id="284"/>
      <w:bookmarkEnd w:id="285"/>
    </w:p>
    <w:p w14:paraId="424D0D44">
      <w:pPr>
        <w:pStyle w:val="3"/>
        <w:spacing w:before="0" w:line="240" w:lineRule="atLeast"/>
        <w:ind w:left="1079" w:leftChars="257" w:hanging="540"/>
        <w:rPr>
          <w:rFonts w:hint="eastAsia" w:ascii="仿宋" w:hAnsi="仿宋" w:eastAsia="仿宋" w:cs="仿宋"/>
          <w:sz w:val="24"/>
          <w:szCs w:val="24"/>
        </w:rPr>
      </w:pPr>
      <w:bookmarkStart w:id="286" w:name="_Toc423"/>
      <w:r>
        <w:rPr>
          <w:rFonts w:hint="eastAsia" w:ascii="仿宋" w:hAnsi="仿宋" w:eastAsia="仿宋" w:cs="仿宋"/>
          <w:sz w:val="24"/>
          <w:szCs w:val="24"/>
        </w:rPr>
        <w:t>3.1法定代表人身份证明</w:t>
      </w:r>
      <w:bookmarkEnd w:id="286"/>
    </w:p>
    <w:p w14:paraId="64AE49E1">
      <w:pPr>
        <w:rPr>
          <w:rFonts w:hint="eastAsia" w:ascii="仿宋" w:hAnsi="仿宋" w:eastAsia="仿宋" w:cs="仿宋"/>
          <w:sz w:val="24"/>
        </w:rPr>
      </w:pPr>
      <w:r>
        <w:rPr>
          <w:rFonts w:hint="eastAsia" w:ascii="仿宋" w:hAnsi="仿宋" w:eastAsia="仿宋" w:cs="仿宋"/>
          <w:sz w:val="24"/>
        </w:rPr>
        <w:t xml:space="preserve">               同志，现任我单位          职务，为法定代表人，特此证明。</w:t>
      </w:r>
    </w:p>
    <w:p w14:paraId="45E2F8A3">
      <w:pPr>
        <w:ind w:firstLine="240" w:firstLineChars="100"/>
        <w:rPr>
          <w:rFonts w:hint="eastAsia" w:ascii="仿宋" w:hAnsi="仿宋" w:eastAsia="仿宋" w:cs="仿宋"/>
          <w:sz w:val="24"/>
        </w:rPr>
      </w:pPr>
      <w:r>
        <w:rPr>
          <w:rFonts w:hint="eastAsia" w:ascii="仿宋" w:hAnsi="仿宋" w:eastAsia="仿宋" w:cs="仿宋"/>
          <w:sz w:val="24"/>
        </w:rPr>
        <w:t xml:space="preserve">签发日期：                  单位：         </w:t>
      </w:r>
    </w:p>
    <w:p w14:paraId="3ECC0A31">
      <w:pPr>
        <w:ind w:firstLine="240" w:firstLineChars="100"/>
        <w:rPr>
          <w:rFonts w:hint="eastAsia" w:ascii="仿宋" w:hAnsi="仿宋" w:eastAsia="仿宋" w:cs="仿宋"/>
          <w:sz w:val="24"/>
        </w:rPr>
      </w:pPr>
      <w:r>
        <w:rPr>
          <w:rFonts w:hint="eastAsia" w:ascii="仿宋" w:hAnsi="仿宋" w:eastAsia="仿宋" w:cs="仿宋"/>
          <w:sz w:val="24"/>
        </w:rPr>
        <w:t>附：代表人性别：            年龄：           身份证号码：</w:t>
      </w:r>
    </w:p>
    <w:p w14:paraId="71ACFC27">
      <w:pPr>
        <w:ind w:firstLine="240" w:firstLineChars="100"/>
        <w:rPr>
          <w:rFonts w:hint="eastAsia" w:ascii="仿宋" w:hAnsi="仿宋" w:eastAsia="仿宋" w:cs="仿宋"/>
          <w:sz w:val="24"/>
        </w:rPr>
      </w:pPr>
      <w:r>
        <w:rPr>
          <w:rFonts w:hint="eastAsia" w:ascii="仿宋" w:hAnsi="仿宋" w:eastAsia="仿宋" w:cs="仿宋"/>
          <w:sz w:val="24"/>
        </w:rPr>
        <w:t>联系电话：</w:t>
      </w:r>
    </w:p>
    <w:p w14:paraId="3CB56762">
      <w:pPr>
        <w:ind w:firstLine="240" w:firstLineChars="100"/>
        <w:rPr>
          <w:rFonts w:hint="eastAsia" w:ascii="仿宋" w:hAnsi="仿宋" w:eastAsia="仿宋" w:cs="仿宋"/>
          <w:sz w:val="24"/>
        </w:rPr>
      </w:pPr>
      <w:r>
        <w:rPr>
          <w:rFonts w:hint="eastAsia" w:ascii="仿宋" w:hAnsi="仿宋" w:eastAsia="仿宋" w:cs="仿宋"/>
          <w:sz w:val="24"/>
        </w:rPr>
        <w:t>营业执照号码：              经济性质：</w:t>
      </w:r>
    </w:p>
    <w:p w14:paraId="08767CA6">
      <w:pPr>
        <w:rPr>
          <w:rFonts w:hint="eastAsia" w:ascii="仿宋" w:hAnsi="仿宋" w:eastAsia="仿宋" w:cs="仿宋"/>
          <w:sz w:val="24"/>
        </w:rPr>
      </w:pPr>
      <w:r>
        <w:rPr>
          <w:rFonts w:hint="eastAsia" w:ascii="仿宋" w:hAnsi="仿宋" w:eastAsia="仿宋" w:cs="仿宋"/>
          <w:sz w:val="24"/>
        </w:rPr>
        <w:t>说明：</w:t>
      </w:r>
    </w:p>
    <w:p w14:paraId="4AFB387F">
      <w:pPr>
        <w:ind w:firstLine="240" w:firstLineChars="100"/>
        <w:rPr>
          <w:rFonts w:hint="eastAsia" w:ascii="仿宋" w:hAnsi="仿宋" w:eastAsia="仿宋" w:cs="仿宋"/>
          <w:sz w:val="24"/>
        </w:rPr>
      </w:pPr>
      <w:r>
        <w:rPr>
          <w:rFonts w:hint="eastAsia" w:ascii="仿宋" w:hAnsi="仿宋" w:eastAsia="仿宋" w:cs="仿宋"/>
          <w:sz w:val="24"/>
        </w:rPr>
        <w:t>1、法定代表人为企业事业单位、国家机关、社会团体的主要行政负责人。</w:t>
      </w:r>
    </w:p>
    <w:p w14:paraId="2549A77E">
      <w:pPr>
        <w:rPr>
          <w:rFonts w:hint="eastAsia" w:ascii="仿宋" w:hAnsi="仿宋" w:eastAsia="仿宋" w:cs="仿宋"/>
          <w:sz w:val="24"/>
        </w:rPr>
      </w:pPr>
      <w:r>
        <w:rPr>
          <w:rFonts w:hint="eastAsia" w:ascii="仿宋" w:hAnsi="仿宋" w:eastAsia="仿宋" w:cs="仿宋"/>
          <w:sz w:val="24"/>
        </w:rPr>
        <w:t xml:space="preserve">  2、内容必须填写真实、清楚、涂改无效，不得转让。</w:t>
      </w:r>
    </w:p>
    <w:p w14:paraId="0A66617C">
      <w:pPr>
        <w:rPr>
          <w:rFonts w:hint="eastAsia" w:ascii="仿宋" w:hAnsi="仿宋" w:eastAsia="仿宋" w:cs="仿宋"/>
          <w:sz w:val="24"/>
        </w:rPr>
      </w:pPr>
      <w:r>
        <w:rPr>
          <w:rFonts w:hint="eastAsia" w:ascii="仿宋" w:hAnsi="仿宋" w:eastAsia="仿宋" w:cs="仿宋"/>
          <w:sz w:val="24"/>
        </w:rPr>
        <w:t xml:space="preserve">  (为避免废标，请供应商务必提供本附件)</w:t>
      </w:r>
    </w:p>
    <w:p w14:paraId="7B845647">
      <w:pPr>
        <w:rPr>
          <w:rFonts w:hint="eastAsia" w:ascii="仿宋" w:hAnsi="仿宋" w:eastAsia="仿宋" w:cs="仿宋"/>
          <w:sz w:val="24"/>
        </w:rPr>
      </w:pPr>
      <w:r>
        <w:rPr>
          <w:rFonts w:hint="eastAsia" w:ascii="仿宋" w:hAnsi="仿宋" w:eastAsia="仿宋" w:cs="仿宋"/>
          <w:sz w:val="24"/>
        </w:rPr>
        <mc:AlternateContent>
          <mc:Choice Requires="wps">
            <w:drawing>
              <wp:anchor distT="0" distB="0" distL="114300" distR="114300" simplePos="0" relativeHeight="251660288"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DEB4CA4">
                            <w:pPr>
                              <w:jc w:val="center"/>
                              <w:rPr>
                                <w:rFonts w:hAnsi="宋体"/>
                                <w:szCs w:val="21"/>
                              </w:rPr>
                            </w:pPr>
                          </w:p>
                          <w:p w14:paraId="62959E1D">
                            <w:pPr>
                              <w:jc w:val="center"/>
                              <w:rPr>
                                <w:rFonts w:hAnsi="宋体"/>
                                <w:szCs w:val="21"/>
                              </w:rPr>
                            </w:pPr>
                          </w:p>
                          <w:p w14:paraId="468B5D68">
                            <w:pPr>
                              <w:jc w:val="center"/>
                              <w:rPr>
                                <w:rFonts w:hAnsi="宋体"/>
                                <w:szCs w:val="21"/>
                              </w:rPr>
                            </w:pPr>
                          </w:p>
                          <w:p w14:paraId="7C2763C8">
                            <w:pPr>
                              <w:jc w:val="center"/>
                              <w:rPr>
                                <w:szCs w:val="21"/>
                              </w:rPr>
                            </w:pPr>
                            <w:r>
                              <w:rPr>
                                <w:rFonts w:hint="eastAsia" w:hAnsi="宋体"/>
                                <w:szCs w:val="21"/>
                              </w:rPr>
                              <w:t>法定代表人身份证复印件正反面</w:t>
                            </w:r>
                          </w:p>
                        </w:txbxContent>
                      </wps:txbx>
                      <wps:bodyPr vert="horz" wrap="square" anchor="t" anchorCtr="0" upright="1"/>
                    </wps:wsp>
                  </a:graphicData>
                </a:graphic>
              </wp:anchor>
            </w:drawing>
          </mc:Choice>
          <mc:Fallback>
            <w:pict>
              <v:shape id="_x0000_s1026" o:spid="_x0000_s1026" o:spt="176" type="#_x0000_t176" style="position:absolute;left:0pt;margin-left:12.15pt;margin-top:0.85pt;height:108.3pt;width:337.15pt;z-index:251660288;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NuBLTjWAAAACAEAAA8AAAAAAAAA&#10;AQAgAAAAIgAAAGRycy9kb3ducmV2LnhtbFBLAQIUABQAAAAIAIdO4kBZ4P3jTAIAAJMEAAAOAAAA&#10;AAAAAAEAIAAAACUBAABkcnMvZTJvRG9jLnhtbFBLBQYAAAAABgAGAFkBAADjBQAAAAA=&#10;">
                <v:fill on="t" focussize="0,0"/>
                <v:stroke color="#000000" joinstyle="miter"/>
                <v:imagedata o:title=""/>
                <o:lock v:ext="edit" aspectratio="f"/>
                <v:textbox>
                  <w:txbxContent>
                    <w:p w14:paraId="0DEB4CA4">
                      <w:pPr>
                        <w:jc w:val="center"/>
                        <w:rPr>
                          <w:rFonts w:hAnsi="宋体"/>
                          <w:szCs w:val="21"/>
                        </w:rPr>
                      </w:pPr>
                    </w:p>
                    <w:p w14:paraId="62959E1D">
                      <w:pPr>
                        <w:jc w:val="center"/>
                        <w:rPr>
                          <w:rFonts w:hAnsi="宋体"/>
                          <w:szCs w:val="21"/>
                        </w:rPr>
                      </w:pPr>
                    </w:p>
                    <w:p w14:paraId="468B5D68">
                      <w:pPr>
                        <w:jc w:val="center"/>
                        <w:rPr>
                          <w:rFonts w:hAnsi="宋体"/>
                          <w:szCs w:val="21"/>
                        </w:rPr>
                      </w:pPr>
                    </w:p>
                    <w:p w14:paraId="7C2763C8">
                      <w:pPr>
                        <w:jc w:val="center"/>
                        <w:rPr>
                          <w:szCs w:val="21"/>
                        </w:rPr>
                      </w:pPr>
                      <w:r>
                        <w:rPr>
                          <w:rFonts w:hint="eastAsia" w:hAnsi="宋体"/>
                          <w:szCs w:val="21"/>
                        </w:rPr>
                        <w:t>法定代表人身份证复印件正反面</w:t>
                      </w:r>
                    </w:p>
                  </w:txbxContent>
                </v:textbox>
              </v:shape>
            </w:pict>
          </mc:Fallback>
        </mc:AlternateContent>
      </w:r>
    </w:p>
    <w:p w14:paraId="3D79CEF5">
      <w:pPr>
        <w:rPr>
          <w:rFonts w:hint="eastAsia" w:ascii="仿宋" w:hAnsi="仿宋" w:eastAsia="仿宋" w:cs="仿宋"/>
          <w:sz w:val="24"/>
        </w:rPr>
      </w:pPr>
    </w:p>
    <w:p w14:paraId="4F5E3DBE">
      <w:pPr>
        <w:rPr>
          <w:rFonts w:hint="eastAsia" w:ascii="仿宋" w:hAnsi="仿宋" w:eastAsia="仿宋" w:cs="仿宋"/>
          <w:sz w:val="24"/>
        </w:rPr>
      </w:pPr>
    </w:p>
    <w:p w14:paraId="07F2974A">
      <w:pPr>
        <w:autoSpaceDE w:val="0"/>
        <w:autoSpaceDN w:val="0"/>
        <w:adjustRightInd w:val="0"/>
        <w:ind w:right="246"/>
        <w:rPr>
          <w:rFonts w:hint="eastAsia" w:ascii="仿宋" w:hAnsi="仿宋" w:eastAsia="仿宋" w:cs="仿宋"/>
          <w:sz w:val="24"/>
        </w:rPr>
      </w:pPr>
    </w:p>
    <w:p w14:paraId="681935B5">
      <w:pPr>
        <w:autoSpaceDE w:val="0"/>
        <w:autoSpaceDN w:val="0"/>
        <w:adjustRightInd w:val="0"/>
        <w:ind w:right="246" w:firstLine="784" w:firstLineChars="327"/>
        <w:rPr>
          <w:rFonts w:hint="eastAsia" w:ascii="仿宋" w:hAnsi="仿宋" w:eastAsia="仿宋" w:cs="仿宋"/>
          <w:sz w:val="24"/>
        </w:rPr>
      </w:pPr>
      <w:r>
        <w:rPr>
          <w:rFonts w:hint="eastAsia" w:ascii="仿宋" w:hAnsi="仿宋" w:eastAsia="仿宋" w:cs="仿宋"/>
          <w:sz w:val="24"/>
        </w:rPr>
        <w:t xml:space="preserve">供应商（盖章）：                              </w:t>
      </w:r>
    </w:p>
    <w:p w14:paraId="0C77FFAB">
      <w:pPr>
        <w:adjustRightInd w:val="0"/>
        <w:snapToGrid w:val="0"/>
        <w:ind w:firstLine="784" w:firstLineChars="327"/>
        <w:rPr>
          <w:rFonts w:hint="eastAsia" w:ascii="仿宋" w:hAnsi="仿宋" w:eastAsia="仿宋" w:cs="仿宋"/>
          <w:sz w:val="24"/>
        </w:rPr>
      </w:pPr>
    </w:p>
    <w:p w14:paraId="46AA9B8F">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法定代表人(签/章)： </w:t>
      </w:r>
    </w:p>
    <w:p w14:paraId="7DF28B17">
      <w:pPr>
        <w:pStyle w:val="17"/>
        <w:tabs>
          <w:tab w:val="left" w:pos="5370"/>
        </w:tabs>
        <w:spacing w:line="240" w:lineRule="atLeast"/>
        <w:ind w:left="1155" w:leftChars="371" w:hanging="376" w:hangingChars="157"/>
        <w:rPr>
          <w:rFonts w:hint="eastAsia" w:ascii="仿宋" w:hAnsi="仿宋" w:eastAsia="仿宋" w:cs="仿宋"/>
          <w:sz w:val="24"/>
          <w:szCs w:val="24"/>
        </w:rPr>
      </w:pPr>
    </w:p>
    <w:p w14:paraId="6ACEC22A">
      <w:pPr>
        <w:pStyle w:val="17"/>
        <w:tabs>
          <w:tab w:val="left" w:pos="5370"/>
        </w:tabs>
        <w:spacing w:line="240" w:lineRule="atLeast"/>
        <w:ind w:left="1155" w:leftChars="371" w:hanging="376" w:hangingChars="157"/>
        <w:rPr>
          <w:rFonts w:hint="eastAsia" w:ascii="仿宋" w:hAnsi="仿宋" w:eastAsia="仿宋" w:cs="仿宋"/>
          <w:sz w:val="24"/>
          <w:szCs w:val="24"/>
        </w:rPr>
      </w:pPr>
    </w:p>
    <w:p w14:paraId="538A9DC5">
      <w:pPr>
        <w:pStyle w:val="17"/>
        <w:tabs>
          <w:tab w:val="left" w:pos="5370"/>
        </w:tabs>
        <w:spacing w:line="240" w:lineRule="atLeast"/>
        <w:ind w:left="1155" w:leftChars="371" w:hanging="376" w:hangingChars="157"/>
        <w:rPr>
          <w:rFonts w:hint="eastAsia"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color w:val="auto"/>
          <w:sz w:val="24"/>
          <w:highlight w:val="none"/>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17CB0447">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                  </w:t>
      </w:r>
    </w:p>
    <w:p w14:paraId="1DE8AB7E">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日期：                                       </w:t>
      </w:r>
    </w:p>
    <w:p w14:paraId="21B2A212">
      <w:pPr>
        <w:pStyle w:val="17"/>
        <w:tabs>
          <w:tab w:val="left" w:pos="5580"/>
        </w:tabs>
        <w:rPr>
          <w:rFonts w:hint="eastAsia" w:ascii="仿宋" w:hAnsi="仿宋" w:eastAsia="仿宋" w:cs="仿宋"/>
          <w:sz w:val="24"/>
          <w:szCs w:val="24"/>
        </w:rPr>
      </w:pPr>
      <w:r>
        <w:rPr>
          <w:rFonts w:hint="eastAsia" w:ascii="仿宋" w:hAnsi="仿宋" w:eastAsia="仿宋" w:cs="仿宋"/>
          <w:sz w:val="24"/>
          <w:szCs w:val="24"/>
        </w:rPr>
        <w:t>说明：1.提供有效的营业执照等证明文件复印件，复印件上应加盖本单位章。</w:t>
      </w:r>
    </w:p>
    <w:p w14:paraId="3B14DD9D">
      <w:pPr>
        <w:pStyle w:val="17"/>
        <w:tabs>
          <w:tab w:val="left" w:pos="5580"/>
        </w:tabs>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  2. 供应商为自然人的，应提供身份证明的复印件。</w:t>
      </w:r>
    </w:p>
    <w:p w14:paraId="65A2670B">
      <w:pPr>
        <w:pStyle w:val="17"/>
        <w:tabs>
          <w:tab w:val="left" w:pos="5580"/>
        </w:tabs>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  3.联合体</w:t>
      </w:r>
      <w:r>
        <w:rPr>
          <w:rFonts w:hint="eastAsia" w:ascii="仿宋" w:hAnsi="仿宋" w:eastAsia="仿宋" w:cs="仿宋"/>
          <w:sz w:val="24"/>
          <w:szCs w:val="24"/>
          <w:lang w:eastAsia="zh-CN"/>
        </w:rPr>
        <w:t>投标</w:t>
      </w:r>
      <w:r>
        <w:rPr>
          <w:rFonts w:hint="eastAsia" w:ascii="仿宋" w:hAnsi="仿宋" w:eastAsia="仿宋" w:cs="仿宋"/>
          <w:sz w:val="24"/>
          <w:szCs w:val="24"/>
        </w:rPr>
        <w:t>应提供联合体各方满足以上要求的证明文件。</w:t>
      </w:r>
      <w:bookmarkStart w:id="287" w:name="_Toc4926"/>
      <w:bookmarkStart w:id="288" w:name="_Toc8491"/>
      <w:bookmarkStart w:id="289" w:name="_Toc21867"/>
      <w:bookmarkStart w:id="290" w:name="_Toc13107"/>
      <w:bookmarkStart w:id="291" w:name="_Toc17981"/>
      <w:bookmarkStart w:id="292" w:name="_Toc7748"/>
      <w:bookmarkStart w:id="293" w:name="_Toc14483"/>
      <w:bookmarkStart w:id="294" w:name="_Toc4082"/>
      <w:bookmarkStart w:id="295" w:name="_Toc5436"/>
      <w:bookmarkStart w:id="296" w:name="_Toc16640"/>
      <w:bookmarkStart w:id="297" w:name="_Toc6829"/>
      <w:bookmarkStart w:id="298" w:name="_Toc27943"/>
      <w:bookmarkStart w:id="299" w:name="_Toc16635"/>
    </w:p>
    <w:p w14:paraId="73C55A29">
      <w:pPr>
        <w:rPr>
          <w:rFonts w:hint="eastAsia" w:ascii="仿宋" w:hAnsi="仿宋" w:eastAsia="仿宋" w:cs="仿宋"/>
          <w:sz w:val="24"/>
        </w:rPr>
      </w:pPr>
      <w:r>
        <w:rPr>
          <w:rFonts w:hint="eastAsia" w:ascii="仿宋" w:hAnsi="仿宋" w:eastAsia="仿宋" w:cs="仿宋"/>
          <w:sz w:val="24"/>
        </w:rPr>
        <w:br w:type="page"/>
      </w:r>
    </w:p>
    <w:p w14:paraId="2EFAA029">
      <w:pPr>
        <w:pStyle w:val="17"/>
        <w:tabs>
          <w:tab w:val="left" w:pos="5580"/>
        </w:tabs>
        <w:ind w:left="1079" w:leftChars="257" w:hanging="540"/>
        <w:rPr>
          <w:rFonts w:hint="eastAsia" w:ascii="仿宋" w:hAnsi="仿宋" w:eastAsia="仿宋" w:cs="仿宋"/>
          <w:sz w:val="24"/>
          <w:szCs w:val="24"/>
        </w:rPr>
      </w:pPr>
    </w:p>
    <w:p w14:paraId="13036168">
      <w:pPr>
        <w:pStyle w:val="3"/>
        <w:spacing w:before="0" w:line="240" w:lineRule="atLeast"/>
        <w:ind w:left="1079" w:leftChars="257" w:hanging="540"/>
        <w:rPr>
          <w:rFonts w:hint="eastAsia" w:ascii="仿宋" w:hAnsi="仿宋" w:eastAsia="仿宋" w:cs="仿宋"/>
          <w:sz w:val="24"/>
          <w:szCs w:val="24"/>
        </w:rPr>
      </w:pPr>
      <w:bookmarkStart w:id="300" w:name="_Toc2816"/>
      <w:r>
        <w:rPr>
          <w:rFonts w:hint="eastAsia" w:ascii="仿宋" w:hAnsi="仿宋" w:eastAsia="仿宋" w:cs="仿宋"/>
          <w:sz w:val="24"/>
          <w:szCs w:val="24"/>
        </w:rPr>
        <w:t>3.2法定代表人授权委托书</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p>
    <w:p w14:paraId="40A23388">
      <w:pPr>
        <w:pStyle w:val="17"/>
        <w:tabs>
          <w:tab w:val="left" w:pos="5580"/>
        </w:tabs>
        <w:spacing w:line="240" w:lineRule="atLeast"/>
        <w:rPr>
          <w:rFonts w:hint="eastAsia" w:ascii="仿宋" w:hAnsi="仿宋" w:eastAsia="仿宋" w:cs="仿宋"/>
          <w:sz w:val="24"/>
          <w:szCs w:val="24"/>
        </w:rPr>
      </w:pPr>
      <w:r>
        <w:rPr>
          <w:rFonts w:hint="eastAsia" w:ascii="仿宋" w:hAnsi="仿宋" w:eastAsia="仿宋" w:cs="仿宋"/>
          <w:sz w:val="24"/>
          <w:szCs w:val="24"/>
        </w:rPr>
        <w:cr/>
      </w:r>
      <w:r>
        <w:rPr>
          <w:rFonts w:hint="eastAsia" w:ascii="仿宋" w:hAnsi="仿宋" w:eastAsia="仿宋" w:cs="仿宋"/>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w:t>
      </w:r>
      <w:r>
        <w:rPr>
          <w:rFonts w:hint="eastAsia" w:ascii="仿宋" w:hAnsi="仿宋" w:eastAsia="仿宋" w:cs="仿宋"/>
          <w:sz w:val="24"/>
          <w:szCs w:val="24"/>
          <w:lang w:eastAsia="zh-CN"/>
        </w:rPr>
        <w:t>投标</w:t>
      </w:r>
      <w:r>
        <w:rPr>
          <w:rFonts w:hint="eastAsia" w:ascii="仿宋" w:hAnsi="仿宋" w:eastAsia="仿宋" w:cs="仿宋"/>
          <w:sz w:val="24"/>
          <w:szCs w:val="24"/>
        </w:rPr>
        <w:t>，以我单位名义处理一切与之有关的事务。　　</w:t>
      </w:r>
    </w:p>
    <w:p w14:paraId="690A08A5">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本授权书于           年     月     日签字生效,特此声明。</w:t>
      </w:r>
    </w:p>
    <w:p w14:paraId="3324F3DC">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1312"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768F8AE">
                            <w:pPr>
                              <w:jc w:val="center"/>
                              <w:rPr>
                                <w:rFonts w:hAnsi="宋体"/>
                              </w:rPr>
                            </w:pPr>
                          </w:p>
                          <w:p w14:paraId="7E4932F8">
                            <w:pPr>
                              <w:jc w:val="center"/>
                              <w:rPr>
                                <w:rFonts w:hAnsi="宋体"/>
                              </w:rPr>
                            </w:pPr>
                          </w:p>
                          <w:p w14:paraId="59674672">
                            <w:pPr>
                              <w:jc w:val="center"/>
                              <w:rPr>
                                <w:rFonts w:hAnsi="宋体"/>
                              </w:rPr>
                            </w:pPr>
                          </w:p>
                          <w:p w14:paraId="343A6B4D">
                            <w:pPr>
                              <w:jc w:val="center"/>
                            </w:pPr>
                            <w:r>
                              <w:rPr>
                                <w:rFonts w:hint="eastAsia" w:hAnsi="宋体"/>
                              </w:rPr>
                              <w:t>授权委托人身份证复印件正反面</w:t>
                            </w:r>
                          </w:p>
                        </w:txbxContent>
                      </wps:txbx>
                      <wps:bodyPr vert="horz" wrap="square" anchor="t" anchorCtr="0" upright="1"/>
                    </wps:wsp>
                  </a:graphicData>
                </a:graphic>
              </wp:anchor>
            </w:drawing>
          </mc:Choice>
          <mc:Fallback>
            <w:pict>
              <v:shape id="_x0000_s1026" o:spid="_x0000_s1026" o:spt="176" type="#_x0000_t176" style="position:absolute;left:0pt;margin-left:1.65pt;margin-top:10.7pt;height:110.7pt;width:363.65pt;z-index:251661312;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NAYi+1gAAAAgBAAAPAAAA&#10;AAAAAAEAIAAAACIAAABkcnMvZG93bnJldi54bWxQSwECFAAUAAAACACHTuJA/To0DFACAACTBAAA&#10;DgAAAAAAAAABACAAAAAlAQAAZHJzL2Uyb0RvYy54bWxQSwUGAAAAAAYABgBZAQAA5wUAAAAA&#10;">
                <v:fill on="t" focussize="0,0"/>
                <v:stroke color="#000000" joinstyle="miter"/>
                <v:imagedata o:title=""/>
                <o:lock v:ext="edit" aspectratio="f"/>
                <v:textbox>
                  <w:txbxContent>
                    <w:p w14:paraId="2768F8AE">
                      <w:pPr>
                        <w:jc w:val="center"/>
                        <w:rPr>
                          <w:rFonts w:hAnsi="宋体"/>
                        </w:rPr>
                      </w:pPr>
                    </w:p>
                    <w:p w14:paraId="7E4932F8">
                      <w:pPr>
                        <w:jc w:val="center"/>
                        <w:rPr>
                          <w:rFonts w:hAnsi="宋体"/>
                        </w:rPr>
                      </w:pPr>
                    </w:p>
                    <w:p w14:paraId="59674672">
                      <w:pPr>
                        <w:jc w:val="center"/>
                        <w:rPr>
                          <w:rFonts w:hAnsi="宋体"/>
                        </w:rPr>
                      </w:pPr>
                    </w:p>
                    <w:p w14:paraId="343A6B4D">
                      <w:pPr>
                        <w:jc w:val="center"/>
                      </w:pPr>
                      <w:r>
                        <w:rPr>
                          <w:rFonts w:hint="eastAsia" w:hAnsi="宋体"/>
                        </w:rPr>
                        <w:t>授权委托人身份证复印件正反面</w:t>
                      </w:r>
                    </w:p>
                  </w:txbxContent>
                </v:textbox>
              </v:shape>
            </w:pict>
          </mc:Fallback>
        </mc:AlternateContent>
      </w:r>
    </w:p>
    <w:p w14:paraId="2362D420">
      <w:pPr>
        <w:pStyle w:val="17"/>
        <w:tabs>
          <w:tab w:val="left" w:pos="5580"/>
        </w:tabs>
        <w:spacing w:line="240" w:lineRule="atLeast"/>
        <w:ind w:left="1079" w:leftChars="257" w:hanging="540"/>
        <w:rPr>
          <w:rFonts w:hint="eastAsia" w:ascii="仿宋" w:hAnsi="仿宋" w:eastAsia="仿宋" w:cs="仿宋"/>
          <w:sz w:val="24"/>
          <w:szCs w:val="24"/>
        </w:rPr>
      </w:pPr>
    </w:p>
    <w:p w14:paraId="7A923394">
      <w:pPr>
        <w:pStyle w:val="17"/>
        <w:tabs>
          <w:tab w:val="left" w:pos="5580"/>
        </w:tabs>
        <w:spacing w:line="240" w:lineRule="atLeast"/>
        <w:rPr>
          <w:rFonts w:hint="eastAsia" w:ascii="仿宋" w:hAnsi="仿宋" w:eastAsia="仿宋" w:cs="仿宋"/>
          <w:sz w:val="24"/>
          <w:szCs w:val="24"/>
        </w:rPr>
      </w:pPr>
    </w:p>
    <w:p w14:paraId="592D808D">
      <w:pPr>
        <w:pStyle w:val="17"/>
        <w:tabs>
          <w:tab w:val="left" w:pos="5580"/>
        </w:tabs>
        <w:spacing w:line="240" w:lineRule="atLeast"/>
        <w:rPr>
          <w:rFonts w:hint="eastAsia" w:ascii="仿宋" w:hAnsi="仿宋" w:eastAsia="仿宋" w:cs="仿宋"/>
          <w:sz w:val="24"/>
          <w:szCs w:val="24"/>
        </w:rPr>
      </w:pPr>
    </w:p>
    <w:p w14:paraId="6304859D">
      <w:pPr>
        <w:pStyle w:val="17"/>
        <w:tabs>
          <w:tab w:val="left" w:pos="5580"/>
        </w:tabs>
        <w:spacing w:line="240" w:lineRule="atLeast"/>
        <w:rPr>
          <w:rFonts w:hint="eastAsia" w:ascii="仿宋" w:hAnsi="仿宋" w:eastAsia="仿宋" w:cs="仿宋"/>
          <w:sz w:val="24"/>
          <w:szCs w:val="24"/>
        </w:rPr>
      </w:pPr>
    </w:p>
    <w:p w14:paraId="0DE3F9D1">
      <w:pPr>
        <w:pStyle w:val="17"/>
        <w:tabs>
          <w:tab w:val="left" w:pos="5580"/>
        </w:tabs>
        <w:spacing w:line="240" w:lineRule="atLeast"/>
        <w:rPr>
          <w:rFonts w:hint="eastAsia" w:ascii="仿宋" w:hAnsi="仿宋" w:eastAsia="仿宋" w:cs="仿宋"/>
          <w:sz w:val="24"/>
          <w:szCs w:val="24"/>
        </w:rPr>
      </w:pPr>
    </w:p>
    <w:p w14:paraId="61399586">
      <w:pPr>
        <w:pStyle w:val="17"/>
        <w:tabs>
          <w:tab w:val="left" w:pos="5580"/>
        </w:tabs>
        <w:spacing w:line="240" w:lineRule="atLeast"/>
        <w:rPr>
          <w:rFonts w:hint="eastAsia" w:ascii="仿宋" w:hAnsi="仿宋" w:eastAsia="仿宋" w:cs="仿宋"/>
          <w:sz w:val="24"/>
          <w:szCs w:val="24"/>
        </w:rPr>
      </w:pPr>
    </w:p>
    <w:p w14:paraId="42201A25">
      <w:pPr>
        <w:pStyle w:val="17"/>
        <w:tabs>
          <w:tab w:val="left" w:pos="5580"/>
        </w:tabs>
        <w:spacing w:line="240" w:lineRule="atLeast"/>
        <w:rPr>
          <w:rFonts w:hint="eastAsia" w:ascii="仿宋" w:hAnsi="仿宋" w:eastAsia="仿宋" w:cs="仿宋"/>
          <w:sz w:val="24"/>
          <w:szCs w:val="24"/>
        </w:rPr>
      </w:pPr>
    </w:p>
    <w:p w14:paraId="42655EB8">
      <w:pPr>
        <w:pStyle w:val="17"/>
        <w:tabs>
          <w:tab w:val="left" w:pos="5580"/>
        </w:tabs>
        <w:spacing w:line="240" w:lineRule="atLeast"/>
        <w:rPr>
          <w:rFonts w:hint="eastAsia"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2336"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926A072">
                            <w:pPr>
                              <w:jc w:val="center"/>
                              <w:rPr>
                                <w:rFonts w:hAnsi="宋体"/>
                              </w:rPr>
                            </w:pPr>
                          </w:p>
                          <w:p w14:paraId="14B5FD7C">
                            <w:pPr>
                              <w:jc w:val="center"/>
                              <w:rPr>
                                <w:rFonts w:hAnsi="宋体"/>
                              </w:rPr>
                            </w:pPr>
                          </w:p>
                          <w:p w14:paraId="38F5E03F">
                            <w:pPr>
                              <w:jc w:val="center"/>
                              <w:rPr>
                                <w:rFonts w:hAnsi="宋体"/>
                              </w:rPr>
                            </w:pPr>
                          </w:p>
                          <w:p w14:paraId="2BAFA97E">
                            <w:pPr>
                              <w:jc w:val="center"/>
                            </w:pPr>
                            <w:r>
                              <w:rPr>
                                <w:rFonts w:hint="eastAsia" w:hAnsi="宋体"/>
                              </w:rPr>
                              <w:t>法人身份证复印件正反面</w:t>
                            </w:r>
                          </w:p>
                          <w:p w14:paraId="07F1A32B"/>
                        </w:txbxContent>
                      </wps:txbx>
                      <wps:bodyPr vert="horz" wrap="square" anchor="t" anchorCtr="0" upright="1"/>
                    </wps:wsp>
                  </a:graphicData>
                </a:graphic>
              </wp:anchor>
            </w:drawing>
          </mc:Choice>
          <mc:Fallback>
            <w:pict>
              <v:roundrect id="_x0000_s1026" o:spid="_x0000_s1026" o:spt="2" style="position:absolute;left:0pt;margin-left:7.95pt;margin-top:11.7pt;height:118.25pt;width:359.5pt;z-index:251662336;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NOItI2QAAAAkBAAAPAAAAAAAAAAEA&#10;IAAAACIAAABkcnMvZG93bnJldi54bWxQSwECFAAUAAAACACHTuJAf1ObZEcCAACbBAAADgAAAAAA&#10;AAABACAAAAAoAQAAZHJzL2Uyb0RvYy54bWxQSwUGAAAAAAYABgBZAQAA4QUAAAAA&#10;">
                <v:fill on="t" focussize="0,0"/>
                <v:stroke weight="1.25pt" color="#808080" joinstyle="round"/>
                <v:imagedata o:title=""/>
                <o:lock v:ext="edit" aspectratio="f"/>
                <v:textbox>
                  <w:txbxContent>
                    <w:p w14:paraId="4926A072">
                      <w:pPr>
                        <w:jc w:val="center"/>
                        <w:rPr>
                          <w:rFonts w:hAnsi="宋体"/>
                        </w:rPr>
                      </w:pPr>
                    </w:p>
                    <w:p w14:paraId="14B5FD7C">
                      <w:pPr>
                        <w:jc w:val="center"/>
                        <w:rPr>
                          <w:rFonts w:hAnsi="宋体"/>
                        </w:rPr>
                      </w:pPr>
                    </w:p>
                    <w:p w14:paraId="38F5E03F">
                      <w:pPr>
                        <w:jc w:val="center"/>
                        <w:rPr>
                          <w:rFonts w:hAnsi="宋体"/>
                        </w:rPr>
                      </w:pPr>
                    </w:p>
                    <w:p w14:paraId="2BAFA97E">
                      <w:pPr>
                        <w:jc w:val="center"/>
                      </w:pPr>
                      <w:r>
                        <w:rPr>
                          <w:rFonts w:hint="eastAsia" w:hAnsi="宋体"/>
                        </w:rPr>
                        <w:t>法人身份证复印件正反面</w:t>
                      </w:r>
                    </w:p>
                    <w:p w14:paraId="07F1A32B"/>
                  </w:txbxContent>
                </v:textbox>
              </v:roundrect>
            </w:pict>
          </mc:Fallback>
        </mc:AlternateContent>
      </w:r>
    </w:p>
    <w:p w14:paraId="3650871F">
      <w:pPr>
        <w:pStyle w:val="17"/>
        <w:tabs>
          <w:tab w:val="left" w:pos="5580"/>
        </w:tabs>
        <w:spacing w:line="240" w:lineRule="atLeast"/>
        <w:rPr>
          <w:rFonts w:hint="eastAsia" w:ascii="仿宋" w:hAnsi="仿宋" w:eastAsia="仿宋" w:cs="仿宋"/>
          <w:sz w:val="24"/>
          <w:szCs w:val="24"/>
        </w:rPr>
      </w:pPr>
    </w:p>
    <w:p w14:paraId="3879282B">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供应商（盖单位章）;                           </w:t>
      </w:r>
    </w:p>
    <w:p w14:paraId="6DC76456">
      <w:pPr>
        <w:pStyle w:val="17"/>
        <w:tabs>
          <w:tab w:val="left" w:pos="5580"/>
        </w:tabs>
        <w:spacing w:line="240" w:lineRule="atLeast"/>
        <w:ind w:left="1079" w:leftChars="257" w:hanging="540"/>
        <w:rPr>
          <w:rFonts w:hint="eastAsia" w:ascii="仿宋" w:hAnsi="仿宋" w:eastAsia="仿宋" w:cs="仿宋"/>
          <w:sz w:val="24"/>
          <w:szCs w:val="24"/>
        </w:rPr>
      </w:pPr>
    </w:p>
    <w:p w14:paraId="0540A631">
      <w:pPr>
        <w:pStyle w:val="17"/>
        <w:tabs>
          <w:tab w:val="left" w:pos="5580"/>
        </w:tabs>
        <w:spacing w:line="240" w:lineRule="atLeast"/>
        <w:ind w:left="1079" w:leftChars="257" w:hanging="540"/>
        <w:rPr>
          <w:rFonts w:hint="eastAsia" w:ascii="仿宋" w:hAnsi="仿宋" w:eastAsia="仿宋" w:cs="仿宋"/>
          <w:sz w:val="24"/>
          <w:szCs w:val="24"/>
        </w:rPr>
      </w:pPr>
    </w:p>
    <w:p w14:paraId="2D028390">
      <w:pPr>
        <w:pStyle w:val="17"/>
        <w:tabs>
          <w:tab w:val="left" w:pos="5580"/>
        </w:tabs>
        <w:spacing w:line="240" w:lineRule="atLeast"/>
        <w:ind w:left="1079" w:leftChars="257" w:hanging="540"/>
        <w:rPr>
          <w:rFonts w:hint="eastAsia" w:ascii="仿宋" w:hAnsi="仿宋" w:eastAsia="仿宋" w:cs="仿宋"/>
          <w:sz w:val="24"/>
          <w:szCs w:val="24"/>
        </w:rPr>
      </w:pPr>
    </w:p>
    <w:p w14:paraId="4A436088">
      <w:pPr>
        <w:pStyle w:val="17"/>
        <w:tabs>
          <w:tab w:val="left" w:pos="5370"/>
        </w:tabs>
        <w:spacing w:line="240" w:lineRule="atLeast"/>
        <w:ind w:firstLine="480" w:firstLineChars="200"/>
        <w:rPr>
          <w:rFonts w:hint="eastAsia" w:ascii="仿宋" w:hAnsi="仿宋" w:eastAsia="仿宋" w:cs="仿宋"/>
          <w:sz w:val="24"/>
          <w:szCs w:val="24"/>
        </w:rPr>
      </w:pPr>
    </w:p>
    <w:p w14:paraId="225F5C6A">
      <w:pPr>
        <w:pStyle w:val="17"/>
        <w:tabs>
          <w:tab w:val="left" w:pos="5370"/>
        </w:tabs>
        <w:spacing w:line="240" w:lineRule="atLeast"/>
        <w:ind w:firstLine="480" w:firstLineChars="200"/>
        <w:rPr>
          <w:rFonts w:hint="eastAsia" w:ascii="仿宋" w:hAnsi="仿宋" w:eastAsia="仿宋" w:cs="仿宋"/>
          <w:sz w:val="24"/>
          <w:szCs w:val="24"/>
        </w:rPr>
      </w:pPr>
    </w:p>
    <w:p w14:paraId="1B42B90A">
      <w:pPr>
        <w:pStyle w:val="17"/>
        <w:tabs>
          <w:tab w:val="left" w:pos="5370"/>
        </w:tabs>
        <w:spacing w:line="240" w:lineRule="atLeast"/>
        <w:ind w:firstLine="480" w:firstLineChars="200"/>
        <w:rPr>
          <w:rFonts w:hint="eastAsia" w:ascii="仿宋" w:hAnsi="仿宋" w:eastAsia="仿宋" w:cs="仿宋"/>
          <w:sz w:val="24"/>
          <w:szCs w:val="24"/>
        </w:rPr>
      </w:pPr>
    </w:p>
    <w:p w14:paraId="7B66FA9E">
      <w:pPr>
        <w:pStyle w:val="17"/>
        <w:tabs>
          <w:tab w:val="left" w:pos="5370"/>
        </w:tabs>
        <w:spacing w:line="240" w:lineRule="atLeast"/>
        <w:ind w:firstLine="480" w:firstLineChars="200"/>
        <w:rPr>
          <w:rFonts w:hint="eastAsia"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color w:val="auto"/>
          <w:sz w:val="24"/>
          <w:highlight w:val="none"/>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46D43C36">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法定代表人（签/章）：                     </w:t>
      </w:r>
    </w:p>
    <w:p w14:paraId="5132A5F6">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身份证号码： </w:t>
      </w:r>
    </w:p>
    <w:p w14:paraId="12AEACA9">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委托代理人（签/章）：                                   </w:t>
      </w:r>
    </w:p>
    <w:p w14:paraId="622F11D0">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身份证号码：                                   </w:t>
      </w:r>
    </w:p>
    <w:p w14:paraId="4332D0A3">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详细通讯地址：                                 </w:t>
      </w:r>
    </w:p>
    <w:p w14:paraId="76F5EC1F">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邮 政 编 码 ：                                 </w:t>
      </w:r>
    </w:p>
    <w:p w14:paraId="7B8B39DF">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传　　　　真：                                 </w:t>
      </w:r>
    </w:p>
    <w:p w14:paraId="0286C346">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电　　　　话：                                 </w:t>
      </w:r>
    </w:p>
    <w:p w14:paraId="39D2EE18">
      <w:pPr>
        <w:pStyle w:val="17"/>
        <w:tabs>
          <w:tab w:val="left" w:pos="5580"/>
        </w:tabs>
        <w:spacing w:line="240" w:lineRule="atLeast"/>
        <w:ind w:firstLine="480" w:firstLineChars="200"/>
        <w:rPr>
          <w:rFonts w:hint="eastAsia" w:ascii="仿宋" w:hAnsi="仿宋" w:eastAsia="仿宋" w:cs="仿宋"/>
          <w:color w:val="auto"/>
          <w:sz w:val="24"/>
          <w:highlight w:val="none"/>
        </w:rPr>
      </w:pPr>
    </w:p>
    <w:p w14:paraId="28AEDB09">
      <w:pPr>
        <w:pStyle w:val="3"/>
        <w:spacing w:before="0" w:line="240" w:lineRule="atLeast"/>
        <w:ind w:left="1079" w:leftChars="257" w:hanging="540"/>
        <w:rPr>
          <w:rFonts w:hint="eastAsia" w:ascii="仿宋" w:hAnsi="仿宋" w:eastAsia="仿宋" w:cs="仿宋"/>
          <w:color w:val="auto"/>
          <w:sz w:val="24"/>
          <w:highlight w:val="none"/>
          <w:lang w:val="en-US" w:eastAsia="zh-CN"/>
        </w:rPr>
      </w:pPr>
      <w:bookmarkStart w:id="301" w:name="_Toc32520"/>
      <w:bookmarkStart w:id="302" w:name="_Toc7039"/>
      <w:bookmarkStart w:id="303" w:name="_Toc515647808"/>
      <w:r>
        <w:rPr>
          <w:rFonts w:hint="eastAsia" w:ascii="仿宋" w:hAnsi="仿宋" w:eastAsia="仿宋" w:cs="仿宋"/>
          <w:b/>
          <w:color w:val="auto"/>
          <w:sz w:val="24"/>
          <w:highlight w:val="none"/>
          <w:lang w:val="en-US" w:eastAsia="zh-CN"/>
        </w:rPr>
        <w:br w:type="page"/>
      </w:r>
      <w:bookmarkStart w:id="304" w:name="_Toc1612"/>
      <w:r>
        <w:rPr>
          <w:rFonts w:hint="eastAsia" w:ascii="仿宋" w:hAnsi="仿宋" w:eastAsia="仿宋" w:cs="仿宋"/>
          <w:b/>
          <w:color w:val="auto"/>
          <w:sz w:val="24"/>
          <w:highlight w:val="none"/>
          <w:lang w:val="en-US" w:eastAsia="zh-CN"/>
        </w:rPr>
        <w:t xml:space="preserve">4  </w:t>
      </w:r>
      <w:r>
        <w:rPr>
          <w:rFonts w:hint="eastAsia" w:ascii="仿宋" w:hAnsi="仿宋" w:eastAsia="仿宋" w:cs="仿宋"/>
          <w:color w:val="auto"/>
          <w:sz w:val="24"/>
          <w:highlight w:val="none"/>
          <w:lang w:eastAsia="zh-CN"/>
        </w:rPr>
        <w:t>近期（投标截止日期前六个月内任意一个月）依法缴纳社会保障金的缴费证明或银行出具的“银行电子缴纳社会保障金付款凭证”（新成立公司提供相关证明文件）</w:t>
      </w:r>
      <w:bookmarkEnd w:id="304"/>
    </w:p>
    <w:p w14:paraId="7814CD16">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2F392112">
      <w:pPr>
        <w:pStyle w:val="17"/>
        <w:tabs>
          <w:tab w:val="left" w:pos="5580"/>
        </w:tabs>
        <w:spacing w:line="240" w:lineRule="atLeast"/>
        <w:ind w:left="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0E92CF33">
      <w:pPr>
        <w:pStyle w:val="3"/>
        <w:spacing w:before="0" w:line="240" w:lineRule="atLeast"/>
        <w:ind w:left="1079"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br w:type="page"/>
      </w:r>
      <w:bookmarkStart w:id="305" w:name="_Toc22546"/>
      <w:r>
        <w:rPr>
          <w:rFonts w:hint="eastAsia" w:ascii="仿宋" w:hAnsi="仿宋" w:eastAsia="仿宋" w:cs="仿宋"/>
          <w:b/>
          <w:color w:val="auto"/>
          <w:sz w:val="24"/>
          <w:highlight w:val="none"/>
          <w:lang w:val="en-US" w:eastAsia="zh-CN"/>
        </w:rPr>
        <w:t xml:space="preserve">5  </w:t>
      </w:r>
      <w:bookmarkEnd w:id="301"/>
      <w:bookmarkEnd w:id="302"/>
      <w:bookmarkEnd w:id="303"/>
      <w:r>
        <w:rPr>
          <w:rFonts w:hint="eastAsia" w:ascii="仿宋" w:hAnsi="仿宋" w:eastAsia="仿宋" w:cs="仿宋"/>
          <w:b/>
          <w:color w:val="auto"/>
          <w:sz w:val="24"/>
          <w:highlight w:val="none"/>
          <w:lang w:val="en-US" w:eastAsia="zh-CN"/>
        </w:rPr>
        <w:t>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bookmarkEnd w:id="305"/>
    </w:p>
    <w:p w14:paraId="7E19BD73">
      <w:pPr>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55F8B8B9">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61494AB7">
      <w:pPr>
        <w:pStyle w:val="3"/>
        <w:spacing w:before="0" w:line="240" w:lineRule="atLeast"/>
        <w:ind w:left="1079" w:leftChars="257" w:hanging="540"/>
        <w:rPr>
          <w:rFonts w:hint="eastAsia" w:ascii="仿宋" w:hAnsi="仿宋" w:eastAsia="仿宋" w:cs="仿宋"/>
          <w:b/>
          <w:color w:val="auto"/>
          <w:sz w:val="24"/>
          <w:highlight w:val="none"/>
          <w:lang w:val="en-US" w:eastAsia="zh-CN"/>
        </w:rPr>
      </w:pPr>
      <w:bookmarkStart w:id="306" w:name="_Toc15020"/>
      <w:r>
        <w:rPr>
          <w:rFonts w:hint="eastAsia" w:ascii="仿宋" w:hAnsi="仿宋" w:eastAsia="仿宋" w:cs="仿宋"/>
          <w:b/>
          <w:color w:val="auto"/>
          <w:sz w:val="24"/>
          <w:highlight w:val="none"/>
          <w:lang w:val="en-US" w:eastAsia="zh-CN"/>
        </w:rPr>
        <w:t>6  良好的商业信誉和健全的财务会计制度证明材料原件（2023年或2024年的年度财务审计报告书；2025年成立公司提供银行资信证明）</w:t>
      </w:r>
      <w:bookmarkEnd w:id="306"/>
    </w:p>
    <w:p w14:paraId="774D257A">
      <w:pPr>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62B75BD8">
      <w:pPr>
        <w:ind w:firstLine="480" w:firstLineChars="200"/>
        <w:rPr>
          <w:rFonts w:hint="eastAsia" w:ascii="仿宋" w:hAnsi="仿宋" w:eastAsia="仿宋" w:cs="仿宋"/>
          <w:color w:val="auto"/>
          <w:sz w:val="24"/>
          <w:highlight w:val="none"/>
          <w:lang w:val="en-US" w:eastAsia="zh-CN"/>
        </w:rPr>
      </w:pPr>
    </w:p>
    <w:p w14:paraId="120FC5B9">
      <w:pPr>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1F76FD8F">
      <w:pPr>
        <w:tabs>
          <w:tab w:val="left" w:pos="5580"/>
        </w:tabs>
        <w:spacing w:line="240" w:lineRule="atLeast"/>
        <w:ind w:left="540"/>
        <w:rPr>
          <w:rFonts w:hint="eastAsia" w:ascii="仿宋" w:hAnsi="仿宋" w:eastAsia="仿宋" w:cs="仿宋"/>
          <w:bCs/>
          <w:color w:val="auto"/>
          <w:sz w:val="24"/>
          <w:highlight w:val="none"/>
        </w:rPr>
      </w:pPr>
      <w:r>
        <w:rPr>
          <w:rFonts w:hint="eastAsia" w:ascii="仿宋" w:hAnsi="仿宋" w:eastAsia="仿宋" w:cs="仿宋"/>
          <w:color w:val="auto"/>
          <w:sz w:val="24"/>
          <w:highlight w:val="none"/>
        </w:rPr>
        <w:t>1、如提供本单位上年度经会计师事务所出具的审计报告复印件须加盖</w:t>
      </w:r>
      <w:r>
        <w:rPr>
          <w:rFonts w:hint="eastAsia" w:ascii="仿宋" w:hAnsi="仿宋" w:eastAsia="仿宋" w:cs="仿宋"/>
          <w:bCs/>
          <w:color w:val="auto"/>
          <w:sz w:val="24"/>
          <w:highlight w:val="none"/>
        </w:rPr>
        <w:t>本单位</w:t>
      </w:r>
      <w:r>
        <w:rPr>
          <w:rFonts w:hint="eastAsia" w:ascii="仿宋" w:hAnsi="仿宋" w:eastAsia="仿宋" w:cs="仿宋"/>
          <w:bCs/>
          <w:color w:val="auto"/>
          <w:sz w:val="24"/>
          <w:highlight w:val="none"/>
          <w:lang w:eastAsia="zh-CN"/>
        </w:rPr>
        <w:t>电子</w:t>
      </w:r>
      <w:r>
        <w:rPr>
          <w:rFonts w:hint="eastAsia" w:ascii="仿宋" w:hAnsi="仿宋" w:eastAsia="仿宋" w:cs="仿宋"/>
          <w:bCs/>
          <w:color w:val="auto"/>
          <w:sz w:val="24"/>
          <w:highlight w:val="none"/>
        </w:rPr>
        <w:t>章。</w:t>
      </w:r>
    </w:p>
    <w:p w14:paraId="4CCA4056">
      <w:pPr>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14:paraId="5F43FC00">
      <w:pPr>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3、如果是联合体投标，联合体各方均需提供上述证明。</w:t>
      </w:r>
    </w:p>
    <w:p w14:paraId="7BBA573B">
      <w:pPr>
        <w:ind w:firstLine="480" w:firstLineChars="200"/>
        <w:rPr>
          <w:rFonts w:hint="eastAsia" w:ascii="仿宋" w:hAnsi="仿宋" w:eastAsia="仿宋" w:cs="仿宋"/>
          <w:color w:val="auto"/>
          <w:sz w:val="24"/>
          <w:highlight w:val="none"/>
          <w:lang w:val="en-US" w:eastAsia="zh-CN"/>
        </w:rPr>
      </w:pPr>
    </w:p>
    <w:p w14:paraId="62B5D8CE">
      <w:pPr>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br w:type="page"/>
      </w:r>
    </w:p>
    <w:p w14:paraId="77E86C34">
      <w:pPr>
        <w:pStyle w:val="3"/>
        <w:spacing w:before="0" w:line="240" w:lineRule="atLeast"/>
        <w:ind w:left="1079" w:leftChars="257" w:hanging="540"/>
        <w:rPr>
          <w:rFonts w:hint="eastAsia" w:ascii="仿宋" w:hAnsi="仿宋" w:eastAsia="仿宋" w:cs="仿宋"/>
          <w:b/>
          <w:color w:val="auto"/>
          <w:sz w:val="24"/>
          <w:highlight w:val="none"/>
          <w:lang w:val="en-US" w:eastAsia="zh-CN"/>
        </w:rPr>
      </w:pPr>
      <w:bookmarkStart w:id="307" w:name="_Toc25162"/>
      <w:bookmarkStart w:id="308" w:name="_Toc515647809"/>
      <w:bookmarkStart w:id="309" w:name="_Toc28445"/>
      <w:bookmarkStart w:id="310" w:name="_Toc11047"/>
      <w:bookmarkStart w:id="311" w:name="_Toc10870"/>
      <w:r>
        <w:rPr>
          <w:rFonts w:hint="eastAsia" w:ascii="仿宋" w:hAnsi="仿宋" w:eastAsia="仿宋" w:cs="仿宋"/>
          <w:b/>
          <w:color w:val="auto"/>
          <w:sz w:val="24"/>
          <w:highlight w:val="none"/>
          <w:lang w:val="en-US" w:eastAsia="zh-CN"/>
        </w:rPr>
        <w:t>7  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bookmarkEnd w:id="307"/>
    </w:p>
    <w:bookmarkEnd w:id="308"/>
    <w:bookmarkEnd w:id="309"/>
    <w:bookmarkEnd w:id="310"/>
    <w:bookmarkEnd w:id="311"/>
    <w:p w14:paraId="5B68ACB4">
      <w:pPr>
        <w:pStyle w:val="3"/>
        <w:spacing w:before="0" w:line="240" w:lineRule="atLeast"/>
        <w:ind w:left="1079" w:leftChars="257" w:hanging="540"/>
        <w:rPr>
          <w:rFonts w:hint="eastAsia" w:ascii="仿宋" w:hAnsi="仿宋" w:eastAsia="仿宋" w:cs="仿宋"/>
          <w:b/>
          <w:color w:val="auto"/>
          <w:sz w:val="24"/>
          <w:highlight w:val="none"/>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bookmarkStart w:id="312" w:name="_Toc32670"/>
      <w:bookmarkStart w:id="313" w:name="_Toc515647811"/>
      <w:bookmarkStart w:id="314" w:name="_Toc24428"/>
      <w:bookmarkStart w:id="315" w:name="_Toc24985"/>
    </w:p>
    <w:p w14:paraId="3EB78C3E">
      <w:pPr>
        <w:pStyle w:val="3"/>
        <w:spacing w:before="0" w:line="240" w:lineRule="atLeast"/>
        <w:ind w:left="1079" w:leftChars="257" w:hanging="540"/>
        <w:rPr>
          <w:rFonts w:hint="eastAsia" w:ascii="仿宋" w:hAnsi="仿宋" w:eastAsia="仿宋" w:cs="仿宋"/>
          <w:b/>
          <w:color w:val="auto"/>
          <w:sz w:val="24"/>
          <w:highlight w:val="none"/>
          <w:lang w:val="en-US" w:eastAsia="zh-CN"/>
        </w:rPr>
      </w:pPr>
      <w:bookmarkStart w:id="316" w:name="_Toc14236"/>
      <w:r>
        <w:rPr>
          <w:rFonts w:hint="eastAsia" w:ascii="仿宋" w:hAnsi="仿宋" w:eastAsia="仿宋" w:cs="仿宋"/>
          <w:b/>
          <w:color w:val="auto"/>
          <w:sz w:val="24"/>
          <w:highlight w:val="none"/>
          <w:lang w:val="en-US" w:eastAsia="zh-CN"/>
        </w:rPr>
        <w:t>8  供应商具备履行合同所必需的设备和专业技术能力的证明材料（投标格式三）</w:t>
      </w:r>
      <w:bookmarkEnd w:id="316"/>
    </w:p>
    <w:p w14:paraId="4105E95C">
      <w:pPr>
        <w:pStyle w:val="3"/>
        <w:spacing w:before="0" w:line="240" w:lineRule="atLeast"/>
        <w:ind w:left="1079" w:leftChars="257" w:hanging="540"/>
        <w:rPr>
          <w:rFonts w:hint="eastAsia" w:ascii="仿宋" w:hAnsi="仿宋" w:eastAsia="仿宋" w:cs="仿宋"/>
          <w:b/>
          <w:color w:val="auto"/>
          <w:sz w:val="24"/>
          <w:highlight w:val="none"/>
          <w:lang w:val="en-US" w:eastAsia="zh-CN"/>
        </w:rPr>
      </w:pPr>
      <w:bookmarkStart w:id="317" w:name="_Toc25555"/>
      <w:r>
        <w:rPr>
          <w:rFonts w:hint="eastAsia" w:ascii="仿宋" w:hAnsi="仿宋" w:eastAsia="仿宋" w:cs="仿宋"/>
          <w:color w:val="auto"/>
          <w:sz w:val="24"/>
          <w:highlight w:val="none"/>
          <w:lang w:val="en-US" w:eastAsia="zh-CN"/>
        </w:rPr>
        <w:t>8.1</w:t>
      </w:r>
      <w:r>
        <w:rPr>
          <w:rFonts w:hint="eastAsia" w:ascii="仿宋" w:hAnsi="仿宋" w:eastAsia="仿宋" w:cs="仿宋"/>
          <w:color w:val="auto"/>
          <w:kern w:val="0"/>
          <w:sz w:val="24"/>
          <w:highlight w:val="none"/>
          <w:lang w:val="en-US" w:eastAsia="zh-CN"/>
        </w:rPr>
        <w:t>具备履行合同所必需的设备和专业技术能力的承诺</w:t>
      </w:r>
      <w:bookmarkEnd w:id="317"/>
    </w:p>
    <w:p w14:paraId="2F421402">
      <w:pPr>
        <w:pStyle w:val="17"/>
        <w:tabs>
          <w:tab w:val="left" w:pos="5580"/>
        </w:tabs>
        <w:spacing w:line="360" w:lineRule="auto"/>
        <w:ind w:left="1079" w:leftChars="257" w:hanging="540"/>
        <w:rPr>
          <w:rFonts w:hint="eastAsia" w:ascii="仿宋" w:hAnsi="仿宋" w:eastAsia="仿宋" w:cs="仿宋"/>
          <w:color w:val="auto"/>
          <w:kern w:val="0"/>
          <w:sz w:val="24"/>
          <w:highlight w:val="none"/>
          <w:lang w:val="en-US" w:eastAsia="zh-CN"/>
        </w:rPr>
      </w:pPr>
    </w:p>
    <w:p w14:paraId="4788CD8E">
      <w:pPr>
        <w:pStyle w:val="17"/>
        <w:tabs>
          <w:tab w:val="left" w:pos="5580"/>
        </w:tabs>
        <w:spacing w:line="360" w:lineRule="auto"/>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致：</w:t>
      </w:r>
      <w:r>
        <w:rPr>
          <w:rFonts w:hint="eastAsia" w:ascii="仿宋" w:hAnsi="仿宋" w:eastAsia="仿宋" w:cs="仿宋"/>
          <w:color w:val="auto"/>
          <w:kern w:val="0"/>
          <w:sz w:val="24"/>
          <w:highlight w:val="none"/>
          <w:u w:val="single"/>
          <w:lang w:val="en-US" w:eastAsia="zh-CN"/>
        </w:rPr>
        <w:t xml:space="preserve">                   采购人</w:t>
      </w:r>
    </w:p>
    <w:p w14:paraId="1B1E49ED">
      <w:pPr>
        <w:pStyle w:val="17"/>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我公司（</w:t>
      </w:r>
      <w:r>
        <w:rPr>
          <w:rFonts w:hint="eastAsia" w:ascii="仿宋" w:hAnsi="仿宋" w:eastAsia="仿宋" w:cs="仿宋"/>
          <w:color w:val="auto"/>
          <w:kern w:val="0"/>
          <w:sz w:val="24"/>
          <w:highlight w:val="none"/>
          <w:u w:val="single"/>
          <w:lang w:val="en-US" w:eastAsia="zh-CN"/>
        </w:rPr>
        <w:t xml:space="preserve">                     公司</w:t>
      </w:r>
      <w:r>
        <w:rPr>
          <w:rFonts w:hint="eastAsia" w:ascii="仿宋" w:hAnsi="仿宋" w:eastAsia="仿宋" w:cs="仿宋"/>
          <w:color w:val="auto"/>
          <w:kern w:val="0"/>
          <w:sz w:val="24"/>
          <w:highlight w:val="none"/>
          <w:lang w:val="en-US" w:eastAsia="zh-CN"/>
        </w:rPr>
        <w:t>）参加贵方组织的</w:t>
      </w:r>
      <w:r>
        <w:rPr>
          <w:rFonts w:hint="eastAsia" w:ascii="仿宋" w:hAnsi="仿宋" w:eastAsia="仿宋" w:cs="仿宋"/>
          <w:color w:val="auto"/>
          <w:kern w:val="0"/>
          <w:sz w:val="24"/>
          <w:highlight w:val="none"/>
          <w:u w:val="single"/>
          <w:lang w:val="en-US" w:eastAsia="zh-CN"/>
        </w:rPr>
        <w:t xml:space="preserve">               项目</w:t>
      </w:r>
      <w:r>
        <w:rPr>
          <w:rFonts w:hint="eastAsia" w:ascii="仿宋" w:hAnsi="仿宋" w:eastAsia="仿宋" w:cs="仿宋"/>
          <w:color w:val="auto"/>
          <w:kern w:val="0"/>
          <w:sz w:val="24"/>
          <w:highlight w:val="none"/>
          <w:lang w:val="en-US" w:eastAsia="zh-CN"/>
        </w:rPr>
        <w:t>（项目编号：</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en-US" w:eastAsia="zh-CN"/>
        </w:rPr>
        <w:t>）的投标活动，如我方获得中标资格，我方保证具备履行合同所必须的设备和专业技术能力，并承诺如下：</w:t>
      </w:r>
    </w:p>
    <w:p w14:paraId="61F9F80F">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具有独立承担民事责任的能力；</w:t>
      </w:r>
    </w:p>
    <w:p w14:paraId="7B836258">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具有良好的商业信誉和健全的财务会计制度；</w:t>
      </w:r>
    </w:p>
    <w:p w14:paraId="39678021">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具有履行合同所必需的设备和专业技术能力；</w:t>
      </w:r>
    </w:p>
    <w:p w14:paraId="65046A30">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参加政府采购活动前三年内，在经营活动中没有重大违法记录；</w:t>
      </w:r>
    </w:p>
    <w:p w14:paraId="57A4BC28">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法律、行政法规规定的其他条件；</w:t>
      </w:r>
    </w:p>
    <w:p w14:paraId="5AA6E175">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我公司已完全了解本招标文件中规定的技术要求和商务条款。</w:t>
      </w:r>
    </w:p>
    <w:p w14:paraId="4647F663">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同时，我公司具有很好的厂家原厂产品支持、技术服务、产品调试、系统培训及原厂售后服务承诺保持书。</w:t>
      </w:r>
    </w:p>
    <w:p w14:paraId="3EC28399">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如违反以上承诺，本公司愿承担一切法律责任。</w:t>
      </w:r>
    </w:p>
    <w:p w14:paraId="3422E1DB">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2A5F4C5F">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0BB13E3D">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391DE522">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39836596">
      <w:pPr>
        <w:pStyle w:val="17"/>
        <w:tabs>
          <w:tab w:val="left" w:pos="5580"/>
        </w:tabs>
        <w:spacing w:line="360" w:lineRule="auto"/>
        <w:ind w:firstLine="2640" w:firstLineChars="1100"/>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法定代表人或其委托代理人：</w:t>
      </w:r>
      <w:r>
        <w:rPr>
          <w:rFonts w:hint="eastAsia" w:ascii="仿宋" w:hAnsi="仿宋" w:eastAsia="仿宋" w:cs="仿宋"/>
          <w:color w:val="auto"/>
          <w:kern w:val="0"/>
          <w:sz w:val="24"/>
          <w:highlight w:val="none"/>
          <w:u w:val="single"/>
          <w:lang w:val="en-US" w:eastAsia="zh-CN"/>
        </w:rPr>
        <w:t xml:space="preserve">                     </w:t>
      </w:r>
    </w:p>
    <w:p w14:paraId="340FDA39">
      <w:pPr>
        <w:pStyle w:val="17"/>
        <w:tabs>
          <w:tab w:val="left" w:pos="5580"/>
        </w:tabs>
        <w:spacing w:line="360" w:lineRule="auto"/>
        <w:ind w:firstLine="480" w:firstLineChars="200"/>
        <w:jc w:val="center"/>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 xml:space="preserve">    供应商：</w:t>
      </w:r>
      <w:r>
        <w:rPr>
          <w:rFonts w:hint="eastAsia" w:ascii="仿宋" w:hAnsi="仿宋" w:eastAsia="仿宋" w:cs="仿宋"/>
          <w:color w:val="auto"/>
          <w:kern w:val="0"/>
          <w:sz w:val="24"/>
          <w:highlight w:val="none"/>
          <w:u w:val="single"/>
          <w:lang w:val="en-US" w:eastAsia="zh-CN"/>
        </w:rPr>
        <w:t xml:space="preserve">        （电子签章）                   </w:t>
      </w:r>
    </w:p>
    <w:p w14:paraId="6CCF7408">
      <w:pPr>
        <w:pStyle w:val="17"/>
        <w:tabs>
          <w:tab w:val="left" w:pos="5580"/>
        </w:tabs>
        <w:spacing w:line="360" w:lineRule="auto"/>
        <w:ind w:firstLine="480" w:firstLineChars="200"/>
        <w:jc w:val="center"/>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 xml:space="preserve">日期： </w:t>
      </w:r>
      <w:r>
        <w:rPr>
          <w:rFonts w:hint="eastAsia" w:ascii="仿宋" w:hAnsi="仿宋" w:eastAsia="仿宋" w:cs="仿宋"/>
          <w:color w:val="auto"/>
          <w:kern w:val="0"/>
          <w:sz w:val="24"/>
          <w:highlight w:val="none"/>
          <w:u w:val="single"/>
          <w:lang w:val="en-US" w:eastAsia="zh-CN"/>
        </w:rPr>
        <w:t xml:space="preserve"> 2025年     月     日                   </w:t>
      </w:r>
    </w:p>
    <w:p w14:paraId="7E809EE9">
      <w:pPr>
        <w:pStyle w:val="3"/>
        <w:spacing w:before="0" w:line="240" w:lineRule="atLeast"/>
        <w:ind w:left="1079" w:leftChars="257" w:hanging="540"/>
        <w:rPr>
          <w:rFonts w:hint="eastAsia" w:ascii="仿宋" w:hAnsi="仿宋" w:eastAsia="仿宋" w:cs="仿宋"/>
          <w:b/>
          <w:color w:val="auto"/>
          <w:sz w:val="24"/>
          <w:highlight w:val="none"/>
          <w:lang w:val="en-US" w:eastAsia="zh-CN"/>
        </w:rPr>
      </w:pPr>
      <w:r>
        <w:rPr>
          <w:rFonts w:hint="eastAsia" w:ascii="仿宋" w:hAnsi="仿宋" w:eastAsia="仿宋" w:cs="仿宋"/>
          <w:color w:val="auto"/>
          <w:kern w:val="0"/>
          <w:sz w:val="24"/>
          <w:highlight w:val="none"/>
          <w:lang w:val="en-US" w:eastAsia="zh-CN"/>
        </w:rPr>
        <w:br w:type="page"/>
      </w:r>
      <w:bookmarkStart w:id="318" w:name="_Toc26781"/>
      <w:r>
        <w:rPr>
          <w:rFonts w:hint="eastAsia" w:ascii="仿宋" w:hAnsi="仿宋" w:eastAsia="仿宋" w:cs="仿宋"/>
          <w:kern w:val="0"/>
          <w:sz w:val="24"/>
          <w:lang w:val="en-US" w:eastAsia="zh-CN"/>
        </w:rPr>
        <w:t>8.2具备履行合同所必须的设备表</w:t>
      </w:r>
      <w:bookmarkEnd w:id="318"/>
    </w:p>
    <w:p w14:paraId="5A36F8BF">
      <w:pPr>
        <w:pStyle w:val="17"/>
        <w:tabs>
          <w:tab w:val="left" w:pos="5580"/>
        </w:tabs>
        <w:spacing w:line="360" w:lineRule="auto"/>
        <w:rPr>
          <w:rFonts w:hint="eastAsia" w:ascii="仿宋" w:hAnsi="仿宋" w:eastAsia="仿宋" w:cs="仿宋"/>
          <w:kern w:val="0"/>
          <w:sz w:val="24"/>
          <w:lang w:val="en-US" w:eastAsia="zh-CN"/>
        </w:rPr>
      </w:pP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4"/>
        <w:gridCol w:w="1728"/>
        <w:gridCol w:w="2078"/>
        <w:gridCol w:w="764"/>
        <w:gridCol w:w="1711"/>
        <w:gridCol w:w="1133"/>
      </w:tblGrid>
      <w:tr w14:paraId="2B405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21ABC326">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序号</w:t>
            </w:r>
          </w:p>
        </w:tc>
        <w:tc>
          <w:tcPr>
            <w:tcW w:w="1728" w:type="dxa"/>
            <w:noWrap w:val="0"/>
            <w:vAlign w:val="center"/>
          </w:tcPr>
          <w:p w14:paraId="4B355324">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设备名称</w:t>
            </w:r>
          </w:p>
        </w:tc>
        <w:tc>
          <w:tcPr>
            <w:tcW w:w="2078" w:type="dxa"/>
            <w:noWrap w:val="0"/>
            <w:vAlign w:val="center"/>
          </w:tcPr>
          <w:p w14:paraId="20171D4F">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品牌、规格型号</w:t>
            </w:r>
          </w:p>
        </w:tc>
        <w:tc>
          <w:tcPr>
            <w:tcW w:w="764" w:type="dxa"/>
            <w:noWrap w:val="0"/>
            <w:vAlign w:val="center"/>
          </w:tcPr>
          <w:p w14:paraId="35CD1CD5">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数量</w:t>
            </w:r>
          </w:p>
        </w:tc>
        <w:tc>
          <w:tcPr>
            <w:tcW w:w="1711" w:type="dxa"/>
            <w:noWrap w:val="0"/>
            <w:vAlign w:val="center"/>
          </w:tcPr>
          <w:p w14:paraId="6053962E">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主要技术参数</w:t>
            </w:r>
          </w:p>
        </w:tc>
        <w:tc>
          <w:tcPr>
            <w:tcW w:w="1133" w:type="dxa"/>
            <w:noWrap w:val="0"/>
            <w:vAlign w:val="center"/>
          </w:tcPr>
          <w:p w14:paraId="6A3E22C2">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备注</w:t>
            </w:r>
          </w:p>
        </w:tc>
      </w:tr>
      <w:tr w14:paraId="31AE2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336040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5848BAE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6985F49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F15E8E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442C82D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4BAEB4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001A7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3C160DA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DD224E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553C990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2FC67E4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42F8FF3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767CDC7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244D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0A91A3F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3B72E4F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3BF2A68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4CCAD44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557B829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34BF63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173F1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2941E9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1A9B9A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65114BD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4527FB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71E683A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7B5D54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000AE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EB699F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6B09E2D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2FF5FD2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33D17F9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755D674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0A7C74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478DF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9DE022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63437F4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14B7E45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60D2ED9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55E017B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739CA96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4FC47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67E247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05E1BE8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09228EC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6C2C551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5D73F5F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77D78CD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75EFF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F7CE32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5B13128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7A50E6E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CE27B3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49F0A94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3BA737F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2D3DF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5C75E4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D30324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69E1897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20EA1C4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1057A7F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2869936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2320E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AE99AD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4BF7682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1730183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9312CA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3FAF3F2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0B77987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bl>
    <w:p w14:paraId="434B01C5">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3F6CAF15">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123C388D">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3966982C">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5398B9B0">
      <w:pPr>
        <w:pStyle w:val="17"/>
        <w:tabs>
          <w:tab w:val="left" w:pos="5580"/>
        </w:tabs>
        <w:spacing w:line="240" w:lineRule="atLeast"/>
        <w:rPr>
          <w:rFonts w:hint="eastAsia" w:ascii="仿宋" w:hAnsi="仿宋" w:eastAsia="仿宋" w:cs="仿宋"/>
          <w:kern w:val="0"/>
          <w:sz w:val="24"/>
          <w:lang w:val="en-US" w:eastAsia="zh-CN"/>
        </w:rPr>
      </w:pPr>
    </w:p>
    <w:p w14:paraId="24114678">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1164EB7F">
      <w:pPr>
        <w:pStyle w:val="17"/>
        <w:tabs>
          <w:tab w:val="left" w:pos="5580"/>
        </w:tabs>
        <w:spacing w:line="360" w:lineRule="auto"/>
        <w:ind w:firstLine="2880" w:firstLineChars="1200"/>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法定代表人或其委托代理人：</w:t>
      </w:r>
      <w:r>
        <w:rPr>
          <w:rFonts w:hint="eastAsia" w:ascii="仿宋" w:hAnsi="仿宋" w:eastAsia="仿宋" w:cs="仿宋"/>
          <w:kern w:val="0"/>
          <w:sz w:val="24"/>
          <w:u w:val="single"/>
          <w:lang w:val="en-US" w:eastAsia="zh-CN"/>
        </w:rPr>
        <w:t xml:space="preserve">                     </w:t>
      </w:r>
    </w:p>
    <w:p w14:paraId="26D73729">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       供应商：</w:t>
      </w:r>
      <w:r>
        <w:rPr>
          <w:rFonts w:hint="eastAsia" w:ascii="仿宋" w:hAnsi="仿宋" w:eastAsia="仿宋" w:cs="仿宋"/>
          <w:kern w:val="0"/>
          <w:sz w:val="24"/>
          <w:u w:val="single"/>
          <w:lang w:val="en-US" w:eastAsia="zh-CN"/>
        </w:rPr>
        <w:t xml:space="preserve">        （电子签章）                   </w:t>
      </w:r>
    </w:p>
    <w:p w14:paraId="3E503D2D">
      <w:pPr>
        <w:pStyle w:val="17"/>
        <w:tabs>
          <w:tab w:val="left" w:pos="5580"/>
        </w:tabs>
        <w:spacing w:line="240" w:lineRule="atLeast"/>
        <w:ind w:left="1257" w:leftChars="599" w:firstLine="1540" w:firstLineChars="642"/>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 xml:space="preserve">日期： </w:t>
      </w:r>
      <w:r>
        <w:rPr>
          <w:rFonts w:hint="eastAsia" w:ascii="仿宋" w:hAnsi="仿宋" w:eastAsia="仿宋" w:cs="仿宋"/>
          <w:kern w:val="0"/>
          <w:sz w:val="24"/>
          <w:u w:val="single"/>
          <w:lang w:val="en-US" w:eastAsia="zh-CN"/>
        </w:rPr>
        <w:t xml:space="preserve"> 2025年     月     日                  </w:t>
      </w:r>
    </w:p>
    <w:p w14:paraId="7E644428">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CD476C4">
      <w:pPr>
        <w:pStyle w:val="3"/>
        <w:spacing w:before="0" w:line="240" w:lineRule="atLeast"/>
        <w:ind w:left="1079" w:leftChars="257" w:hanging="540"/>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br w:type="page"/>
      </w:r>
      <w:bookmarkStart w:id="319" w:name="_Toc21535"/>
      <w:r>
        <w:rPr>
          <w:rFonts w:hint="eastAsia" w:ascii="仿宋" w:hAnsi="仿宋" w:eastAsia="仿宋" w:cs="仿宋"/>
          <w:kern w:val="0"/>
          <w:sz w:val="24"/>
          <w:lang w:val="en-US" w:eastAsia="zh-CN"/>
        </w:rPr>
        <w:t>8.3具备履行合同所必须的专业技术能力表</w:t>
      </w:r>
      <w:bookmarkEnd w:id="319"/>
    </w:p>
    <w:p w14:paraId="045952FB">
      <w:pPr>
        <w:pStyle w:val="17"/>
        <w:tabs>
          <w:tab w:val="left" w:pos="5580"/>
        </w:tabs>
        <w:spacing w:line="240" w:lineRule="atLeast"/>
        <w:jc w:val="left"/>
        <w:rPr>
          <w:rFonts w:hint="eastAsia" w:ascii="仿宋" w:hAnsi="仿宋" w:eastAsia="仿宋" w:cs="仿宋"/>
          <w:kern w:val="0"/>
          <w:sz w:val="24"/>
          <w:lang w:val="en-US" w:eastAsia="zh-CN"/>
        </w:rPr>
      </w:pP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1"/>
        <w:gridCol w:w="1421"/>
        <w:gridCol w:w="1421"/>
        <w:gridCol w:w="1220"/>
        <w:gridCol w:w="1256"/>
        <w:gridCol w:w="1789"/>
      </w:tblGrid>
      <w:tr w14:paraId="125FA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exact"/>
        </w:trPr>
        <w:tc>
          <w:tcPr>
            <w:tcW w:w="1421" w:type="dxa"/>
            <w:noWrap w:val="0"/>
            <w:vAlign w:val="center"/>
          </w:tcPr>
          <w:p w14:paraId="5B4E3AD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w:t>
            </w:r>
          </w:p>
        </w:tc>
        <w:tc>
          <w:tcPr>
            <w:tcW w:w="1421" w:type="dxa"/>
            <w:noWrap w:val="0"/>
            <w:vAlign w:val="center"/>
          </w:tcPr>
          <w:p w14:paraId="476EC9A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姓名</w:t>
            </w:r>
          </w:p>
        </w:tc>
        <w:tc>
          <w:tcPr>
            <w:tcW w:w="1421" w:type="dxa"/>
            <w:noWrap w:val="0"/>
            <w:vAlign w:val="center"/>
          </w:tcPr>
          <w:p w14:paraId="06B5350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岗位职责</w:t>
            </w:r>
          </w:p>
        </w:tc>
        <w:tc>
          <w:tcPr>
            <w:tcW w:w="1220" w:type="dxa"/>
            <w:noWrap w:val="0"/>
            <w:vAlign w:val="center"/>
          </w:tcPr>
          <w:p w14:paraId="3DDD0CC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性别</w:t>
            </w:r>
          </w:p>
        </w:tc>
        <w:tc>
          <w:tcPr>
            <w:tcW w:w="1256" w:type="dxa"/>
            <w:noWrap w:val="0"/>
            <w:vAlign w:val="center"/>
          </w:tcPr>
          <w:p w14:paraId="7BCA488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工作年限</w:t>
            </w:r>
          </w:p>
        </w:tc>
        <w:tc>
          <w:tcPr>
            <w:tcW w:w="1789" w:type="dxa"/>
            <w:noWrap w:val="0"/>
            <w:vAlign w:val="center"/>
          </w:tcPr>
          <w:p w14:paraId="3EAEB50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岗位证书（资格证书、职称证书）及编号</w:t>
            </w:r>
          </w:p>
        </w:tc>
      </w:tr>
      <w:tr w14:paraId="5F346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1BB1C58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190248EB">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2F781BA5">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3A65921A">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0C5546A1">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10E5845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29A0D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3654D736">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00400E19">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182CE4E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385157F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304E9730">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79EBEB4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3C8CC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043B06CC">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411E2F9F">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558B9B93">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3AD9EF7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1DD85D71">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7B074404">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55509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724263D8">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23F131F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4DBE875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6089C48E">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59527EEB">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51643188">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31C7C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737AC82E">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38CCF179">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2D39D2EE">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2562F5F6">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1A46B48F">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18D4B28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bl>
    <w:p w14:paraId="35F4EBB4">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370F57F0">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52AEB2B8">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4B9B6002">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4B0E3A1F">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0211A67F">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7184A59D">
      <w:pPr>
        <w:pStyle w:val="17"/>
        <w:tabs>
          <w:tab w:val="left" w:pos="5580"/>
        </w:tabs>
        <w:spacing w:line="360" w:lineRule="auto"/>
        <w:ind w:firstLine="2640" w:firstLineChars="1100"/>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法定代表人或其委托代理人：</w:t>
      </w:r>
      <w:r>
        <w:rPr>
          <w:rFonts w:hint="eastAsia" w:ascii="仿宋" w:hAnsi="仿宋" w:eastAsia="仿宋" w:cs="仿宋"/>
          <w:kern w:val="0"/>
          <w:sz w:val="24"/>
          <w:u w:val="single"/>
          <w:lang w:val="en-US" w:eastAsia="zh-CN"/>
        </w:rPr>
        <w:t xml:space="preserve">                     </w:t>
      </w:r>
    </w:p>
    <w:p w14:paraId="1BF3335C">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    供应商：</w:t>
      </w:r>
      <w:r>
        <w:rPr>
          <w:rFonts w:hint="eastAsia" w:ascii="仿宋" w:hAnsi="仿宋" w:eastAsia="仿宋" w:cs="仿宋"/>
          <w:kern w:val="0"/>
          <w:sz w:val="24"/>
          <w:u w:val="single"/>
          <w:lang w:val="en-US" w:eastAsia="zh-CN"/>
        </w:rPr>
        <w:t xml:space="preserve">        （电子签章）                   </w:t>
      </w:r>
    </w:p>
    <w:p w14:paraId="4FC9A649">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日期： </w:t>
      </w:r>
      <w:r>
        <w:rPr>
          <w:rFonts w:hint="eastAsia" w:ascii="仿宋" w:hAnsi="仿宋" w:eastAsia="仿宋" w:cs="仿宋"/>
          <w:kern w:val="0"/>
          <w:sz w:val="24"/>
          <w:u w:val="single"/>
          <w:lang w:val="en-US" w:eastAsia="zh-CN"/>
        </w:rPr>
        <w:t xml:space="preserve"> 2025年     月     日                   </w:t>
      </w:r>
    </w:p>
    <w:p w14:paraId="690EEB4C">
      <w:pPr>
        <w:pStyle w:val="3"/>
        <w:numPr>
          <w:ilvl w:val="0"/>
          <w:numId w:val="0"/>
        </w:numPr>
        <w:spacing w:before="0" w:line="240" w:lineRule="atLeast"/>
        <w:ind w:leftChars="100"/>
        <w:jc w:val="both"/>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lang w:val="en-US" w:eastAsia="zh-CN"/>
        </w:rPr>
        <w:br w:type="page"/>
      </w:r>
      <w:bookmarkStart w:id="320" w:name="_Toc8553"/>
      <w:r>
        <w:rPr>
          <w:rFonts w:hint="eastAsia" w:ascii="仿宋" w:hAnsi="仿宋" w:eastAsia="仿宋" w:cs="仿宋"/>
          <w:b/>
          <w:color w:val="auto"/>
          <w:sz w:val="24"/>
          <w:highlight w:val="none"/>
          <w:lang w:val="en-US" w:eastAsia="zh-CN"/>
        </w:rPr>
        <w:t xml:space="preserve">9  </w:t>
      </w:r>
      <w:r>
        <w:rPr>
          <w:rFonts w:hint="eastAsia" w:ascii="仿宋" w:hAnsi="仿宋" w:eastAsia="仿宋" w:cs="仿宋"/>
          <w:color w:val="auto"/>
          <w:sz w:val="24"/>
          <w:highlight w:val="none"/>
          <w:lang w:val="en-US" w:eastAsia="zh-CN"/>
        </w:rPr>
        <w:t>参加政府采购活动前3年内在经营活动中没有重大违法记录的书面声明；</w:t>
      </w:r>
      <w:bookmarkEnd w:id="320"/>
    </w:p>
    <w:p w14:paraId="6DAA7C85">
      <w:pPr>
        <w:pStyle w:val="3"/>
        <w:numPr>
          <w:ilvl w:val="0"/>
          <w:numId w:val="0"/>
        </w:numPr>
        <w:spacing w:before="0" w:line="240" w:lineRule="atLeast"/>
        <w:ind w:leftChars="100"/>
        <w:jc w:val="both"/>
        <w:rPr>
          <w:rFonts w:hint="eastAsia" w:ascii="仿宋" w:hAnsi="仿宋" w:eastAsia="仿宋" w:cs="仿宋"/>
          <w:color w:val="auto"/>
          <w:sz w:val="24"/>
          <w:highlight w:val="none"/>
          <w:lang w:eastAsia="zh-CN"/>
        </w:rPr>
      </w:pPr>
      <w:bookmarkStart w:id="321" w:name="_Toc20944"/>
      <w:r>
        <w:rPr>
          <w:rFonts w:hint="eastAsia" w:ascii="仿宋" w:hAnsi="仿宋" w:eastAsia="仿宋" w:cs="仿宋"/>
          <w:color w:val="auto"/>
          <w:sz w:val="24"/>
          <w:highlight w:val="none"/>
          <w:lang w:val="en-US" w:eastAsia="zh-CN"/>
        </w:rPr>
        <w:t xml:space="preserve">10  </w:t>
      </w:r>
      <w:bookmarkEnd w:id="312"/>
      <w:bookmarkEnd w:id="313"/>
      <w:bookmarkEnd w:id="314"/>
      <w:bookmarkEnd w:id="315"/>
      <w:r>
        <w:rPr>
          <w:rFonts w:hint="eastAsia" w:ascii="仿宋" w:hAnsi="仿宋" w:eastAsia="仿宋" w:cs="仿宋"/>
          <w:color w:val="auto"/>
          <w:sz w:val="24"/>
          <w:highlight w:val="none"/>
          <w:lang w:val="en-US" w:eastAsia="zh-CN"/>
        </w:rPr>
        <w:t>提供针对本次项目《反商业贿赂承诺书》（格式自拟）</w:t>
      </w:r>
      <w:r>
        <w:rPr>
          <w:rFonts w:hint="eastAsia" w:ascii="仿宋" w:hAnsi="仿宋" w:eastAsia="仿宋" w:cs="仿宋"/>
          <w:color w:val="auto"/>
          <w:sz w:val="24"/>
          <w:highlight w:val="none"/>
          <w:lang w:eastAsia="zh-CN"/>
        </w:rPr>
        <w:t>；</w:t>
      </w:r>
      <w:bookmarkEnd w:id="321"/>
    </w:p>
    <w:p w14:paraId="78F4E18E">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124B935D">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1DB338F0">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27E1B63D">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说明：1.投标人应按照相关法规规定如实作出说明。</w:t>
      </w:r>
    </w:p>
    <w:p w14:paraId="2E3333EC">
      <w:pPr>
        <w:pStyle w:val="17"/>
        <w:tabs>
          <w:tab w:val="left" w:pos="5580"/>
        </w:tabs>
        <w:spacing w:line="240" w:lineRule="atLeast"/>
        <w:ind w:left="644" w:leftChars="307"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按照招标文件的规定加盖单位</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章（自然人投标的无需盖章，需要签字）。</w:t>
      </w:r>
    </w:p>
    <w:p w14:paraId="5C09A07C">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3.如果是联合体投标，联合体各方均需提供上述证明。</w:t>
      </w:r>
    </w:p>
    <w:p w14:paraId="7F03F2B1">
      <w:pPr>
        <w:pStyle w:val="3"/>
        <w:numPr>
          <w:ilvl w:val="0"/>
          <w:numId w:val="0"/>
        </w:numPr>
        <w:spacing w:before="0" w:line="240" w:lineRule="atLeast"/>
        <w:ind w:leftChars="257"/>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322" w:name="_Toc24761"/>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sz w:val="24"/>
        </w:rPr>
        <w:t>投标保证金缴纳凭证或投标担保函</w:t>
      </w:r>
      <w:bookmarkEnd w:id="322"/>
    </w:p>
    <w:p w14:paraId="4A40FA85">
      <w:pPr>
        <w:tabs>
          <w:tab w:val="left" w:pos="5580"/>
        </w:tabs>
        <w:spacing w:line="240" w:lineRule="atLeast"/>
        <w:ind w:left="540" w:firstLine="480" w:firstLineChars="200"/>
        <w:rPr>
          <w:rFonts w:hint="eastAsia" w:ascii="仿宋" w:hAnsi="仿宋" w:eastAsia="仿宋" w:cs="仿宋"/>
          <w:color w:val="auto"/>
          <w:sz w:val="24"/>
          <w:highlight w:val="none"/>
        </w:rPr>
      </w:pPr>
    </w:p>
    <w:p w14:paraId="5DCB9B59">
      <w:pPr>
        <w:tabs>
          <w:tab w:val="left" w:pos="5580"/>
        </w:tabs>
        <w:spacing w:line="240" w:lineRule="atLeast"/>
        <w:ind w:left="54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投标人可将本项目投标保证金支付的汇款凭证、支票、汇票</w:t>
      </w:r>
      <w:r>
        <w:rPr>
          <w:rFonts w:hint="eastAsia" w:ascii="仿宋" w:hAnsi="仿宋" w:eastAsia="仿宋" w:cs="仿宋"/>
          <w:color w:val="auto"/>
          <w:sz w:val="24"/>
          <w:highlight w:val="none"/>
          <w:lang w:val="en-US" w:eastAsia="zh-CN"/>
        </w:rPr>
        <w:t>或</w:t>
      </w:r>
      <w:r>
        <w:rPr>
          <w:rFonts w:hint="eastAsia" w:ascii="仿宋" w:hAnsi="仿宋" w:eastAsia="仿宋" w:cs="仿宋"/>
          <w:color w:val="auto"/>
          <w:sz w:val="24"/>
          <w:highlight w:val="none"/>
        </w:rPr>
        <w:t>保证金收据的</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highlight w:val="none"/>
        </w:rPr>
        <w:t>作为缴纳凭证装订在本部分，</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highlight w:val="none"/>
        </w:rPr>
        <w:t>上应加盖本单位</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章；使用银行保函等其他投标担保函的，应将担保函正本</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highlight w:val="none"/>
        </w:rPr>
        <w:t>，装订在本部分正本中；如采用政府采购信用担保形式的，应使用（投标文件格式</w:t>
      </w:r>
      <w:r>
        <w:rPr>
          <w:rFonts w:hint="eastAsia" w:ascii="仿宋" w:hAnsi="仿宋" w:eastAsia="仿宋" w:cs="仿宋"/>
          <w:color w:val="auto"/>
          <w:sz w:val="24"/>
          <w:highlight w:val="none"/>
          <w:lang w:eastAsia="zh-CN"/>
        </w:rPr>
        <w:t>四</w:t>
      </w:r>
      <w:r>
        <w:rPr>
          <w:rFonts w:hint="eastAsia" w:ascii="仿宋" w:hAnsi="仿宋" w:eastAsia="仿宋" w:cs="仿宋"/>
          <w:color w:val="auto"/>
          <w:sz w:val="24"/>
          <w:highlight w:val="none"/>
        </w:rPr>
        <w:t>）,将原件</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highlight w:val="none"/>
        </w:rPr>
        <w:t>装订在本部分正本中。</w:t>
      </w:r>
    </w:p>
    <w:p w14:paraId="6E228E32">
      <w:pPr>
        <w:spacing w:line="240" w:lineRule="atLeast"/>
        <w:ind w:left="1079" w:leftChars="257" w:hanging="540"/>
        <w:jc w:val="center"/>
        <w:rPr>
          <w:rFonts w:hint="eastAsia" w:ascii="仿宋" w:hAnsi="仿宋" w:eastAsia="仿宋" w:cs="仿宋"/>
          <w:color w:val="auto"/>
          <w:sz w:val="24"/>
          <w:highlight w:val="none"/>
        </w:rPr>
      </w:pPr>
    </w:p>
    <w:p w14:paraId="0615C8B1">
      <w:pPr>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政府采购投标担保函 （项目用</w:t>
      </w:r>
      <w:r>
        <w:rPr>
          <w:rFonts w:hint="eastAsia" w:ascii="仿宋" w:hAnsi="仿宋" w:eastAsia="仿宋" w:cs="仿宋"/>
          <w:color w:val="auto"/>
          <w:sz w:val="24"/>
          <w:highlight w:val="none"/>
          <w:lang w:eastAsia="zh-CN"/>
        </w:rPr>
        <w:t>）（投标文件格式四）</w:t>
      </w:r>
    </w:p>
    <w:p w14:paraId="0CC5B85F">
      <w:pPr>
        <w:ind w:firstLine="7680" w:firstLineChars="3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p w14:paraId="43A287A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1ECF91C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（采购人或采购代理机构）：</w:t>
      </w:r>
    </w:p>
    <w:p w14:paraId="1BC0A452">
      <w:pPr>
        <w:rPr>
          <w:rFonts w:hint="eastAsia" w:ascii="仿宋" w:hAnsi="仿宋" w:eastAsia="仿宋" w:cs="仿宋"/>
          <w:color w:val="auto"/>
          <w:sz w:val="24"/>
          <w:szCs w:val="24"/>
          <w:highlight w:val="none"/>
        </w:rPr>
      </w:pPr>
    </w:p>
    <w:p w14:paraId="10AB8FA4">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鉴于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（以下简称“投标人”）拟参加编号为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4BF7A5F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27A207C4">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一、保证责任的情形及保证金额</w:t>
      </w:r>
    </w:p>
    <w:p w14:paraId="4FDA1EFF">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（一）在投标人出现下列情形之一时，我方承担保证责任：</w:t>
      </w:r>
    </w:p>
    <w:p w14:paraId="08D14AE8">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1．中标后投标人无正当理由不与采购人或者采购代理机构签订《政府采购合同》；</w:t>
      </w:r>
    </w:p>
    <w:p w14:paraId="3BC19BEE">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2．招标文件规定的投标人应当缴纳保证金的其他情形。</w:t>
      </w:r>
    </w:p>
    <w:p w14:paraId="5EE6F689">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（二）我方承担保证责任的最高金额为人民币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），即本项目的投标保证金金额。</w:t>
      </w:r>
    </w:p>
    <w:p w14:paraId="066CC570">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二、保证的方式及保证期间</w:t>
      </w:r>
    </w:p>
    <w:p w14:paraId="5921D07D">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我方保证的方式为：连带责任保证。</w:t>
      </w:r>
    </w:p>
    <w:p w14:paraId="1F765182">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我方的保证期间为：自本保函生效之日起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个月止。</w:t>
      </w:r>
    </w:p>
    <w:p w14:paraId="395E3805">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三、承担保证责任的程序</w:t>
      </w:r>
    </w:p>
    <w:p w14:paraId="32A067C7">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08E9380">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2．我方在收到索赔通知及相关证明材料后，在</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个工作日内进行审查，符合应承担保证责任情形的，我方应按照你方的要求代投标人向你方支付投标保证金。</w:t>
      </w:r>
    </w:p>
    <w:p w14:paraId="4A687645">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四、保证责任的终止</w:t>
      </w:r>
    </w:p>
    <w:p w14:paraId="713B1F74">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1．保证期间届满你方未向我方书面主张保证责任的，自保证期间届满次日起，我方保证责任自动终止。</w:t>
      </w:r>
    </w:p>
    <w:p w14:paraId="6FE4E506">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2．我方按照本保函向你贵方履行了保证责任后，自我方向你贵方支付款项（支付款项从我方账户划出）之日起，保证责任终止。</w:t>
      </w:r>
    </w:p>
    <w:p w14:paraId="7F635A8E">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3．按照法律法规的规定或出现我方保证责任终止的其它情形的，我方在本保函项下的保证责任亦终止。</w:t>
      </w:r>
    </w:p>
    <w:p w14:paraId="4B429926">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五、免责条款</w:t>
      </w:r>
    </w:p>
    <w:p w14:paraId="261EF247">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1．依照法律规定或你方与投标人的另行约定，全部或者部分免除投标人投标保证金义务时，我方亦免除相应的保证责任。</w:t>
      </w:r>
    </w:p>
    <w:p w14:paraId="7E8BAB3C">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2．因你方原因致使投标人发生本保函第一条第（一）款约定情形的，我方不承担保证责任。</w:t>
      </w:r>
    </w:p>
    <w:p w14:paraId="12A4C78B">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3．因不可抗力造成投标人发生本保函第一条约定情形的，我方不承担保证责任。</w:t>
      </w:r>
    </w:p>
    <w:p w14:paraId="0CEB5FB8">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4．你方或其他有权机关对招标文件进行任何澄清或修改，加重我方保证责任的，我方对加重部分不承担保证责任，但该澄清或修改经我方事先书面同意的除外。</w:t>
      </w:r>
    </w:p>
    <w:p w14:paraId="05D32E28">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六、争议的解决</w:t>
      </w:r>
    </w:p>
    <w:p w14:paraId="22EA96A3">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因本保函发生的纠纷，由你我双方协商解决，协商不成的，通过诉讼程序解决，诉讼管辖地法院为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法院。</w:t>
      </w:r>
    </w:p>
    <w:p w14:paraId="69AA6EA6">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七、保函的生效</w:t>
      </w:r>
    </w:p>
    <w:p w14:paraId="4C3A4066">
      <w:p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本保函自我方加盖公章之日起生效。</w:t>
      </w:r>
    </w:p>
    <w:p w14:paraId="38D5C2F2">
      <w:pPr>
        <w:jc w:val="right"/>
        <w:rPr>
          <w:rFonts w:hint="eastAsia" w:ascii="仿宋" w:hAnsi="仿宋" w:eastAsia="仿宋" w:cs="仿宋"/>
          <w:color w:val="auto"/>
          <w:sz w:val="24"/>
          <w:szCs w:val="24"/>
          <w:highlight w:val="none"/>
        </w:rPr>
      </w:pPr>
    </w:p>
    <w:p w14:paraId="391809F7">
      <w:pPr>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保证人：（</w:t>
      </w:r>
      <w:r>
        <w:rPr>
          <w:rFonts w:hint="eastAsia" w:ascii="仿宋" w:hAnsi="仿宋" w:eastAsia="仿宋" w:cs="仿宋"/>
          <w:color w:val="auto"/>
          <w:sz w:val="24"/>
          <w:szCs w:val="24"/>
          <w:highlight w:val="none"/>
          <w:lang w:eastAsia="zh-CN"/>
        </w:rPr>
        <w:t>电子签章</w:t>
      </w:r>
      <w:r>
        <w:rPr>
          <w:rFonts w:hint="eastAsia" w:ascii="仿宋" w:hAnsi="仿宋" w:eastAsia="仿宋" w:cs="仿宋"/>
          <w:color w:val="auto"/>
          <w:sz w:val="24"/>
          <w:szCs w:val="24"/>
          <w:highlight w:val="none"/>
        </w:rPr>
        <w:t>）</w:t>
      </w:r>
    </w:p>
    <w:p w14:paraId="18F3553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20B2281D">
      <w:pPr>
        <w:jc w:val="right"/>
        <w:rPr>
          <w:rFonts w:hint="eastAsia" w:ascii="仿宋" w:hAnsi="仿宋" w:eastAsia="仿宋" w:cs="仿宋"/>
          <w:color w:val="auto"/>
          <w:sz w:val="24"/>
          <w:szCs w:val="24"/>
          <w:highlight w:val="none"/>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年   月   </w:t>
      </w:r>
      <w:r>
        <w:rPr>
          <w:rFonts w:hint="eastAsia" w:ascii="仿宋" w:hAnsi="仿宋" w:eastAsia="仿宋" w:cs="仿宋"/>
          <w:color w:val="auto"/>
          <w:sz w:val="24"/>
          <w:szCs w:val="24"/>
          <w:highlight w:val="none"/>
          <w:lang w:val="en-US" w:eastAsia="zh-CN"/>
        </w:rPr>
        <w:t>日</w:t>
      </w:r>
    </w:p>
    <w:p w14:paraId="2AE9963C">
      <w:pPr>
        <w:pStyle w:val="17"/>
        <w:tabs>
          <w:tab w:val="left" w:pos="5580"/>
        </w:tabs>
        <w:spacing w:line="240" w:lineRule="atLeast"/>
        <w:ind w:left="1079" w:leftChars="257" w:hanging="540"/>
        <w:jc w:val="center"/>
        <w:rPr>
          <w:rFonts w:hint="eastAsia" w:ascii="仿宋" w:hAnsi="仿宋" w:eastAsia="仿宋" w:cs="仿宋"/>
          <w:color w:val="auto"/>
          <w:sz w:val="24"/>
          <w:highlight w:val="none"/>
        </w:rPr>
      </w:pPr>
    </w:p>
    <w:p w14:paraId="14C02545">
      <w:pPr>
        <w:pStyle w:val="3"/>
        <w:spacing w:before="0" w:line="240" w:lineRule="atLeast"/>
        <w:ind w:left="1079" w:leftChars="257" w:hanging="540"/>
        <w:rPr>
          <w:rFonts w:hint="eastAsia" w:ascii="仿宋" w:hAnsi="仿宋" w:eastAsia="仿宋" w:cs="仿宋"/>
          <w:color w:val="auto"/>
          <w:sz w:val="24"/>
          <w:highlight w:val="none"/>
        </w:rPr>
      </w:pPr>
      <w:bookmarkStart w:id="323" w:name="_Toc22736"/>
      <w:r>
        <w:rPr>
          <w:rFonts w:hint="eastAsia" w:ascii="仿宋" w:hAnsi="仿宋" w:eastAsia="仿宋" w:cs="仿宋"/>
          <w:color w:val="auto"/>
          <w:sz w:val="24"/>
          <w:highlight w:val="none"/>
          <w:lang w:val="en-US" w:eastAsia="zh-CN"/>
        </w:rPr>
        <w:t xml:space="preserve">12  </w:t>
      </w:r>
      <w:r>
        <w:rPr>
          <w:rFonts w:hint="eastAsia" w:ascii="仿宋" w:hAnsi="仿宋" w:eastAsia="仿宋" w:cs="仿宋"/>
          <w:color w:val="auto"/>
          <w:sz w:val="24"/>
          <w:highlight w:val="none"/>
        </w:rPr>
        <w:t>投标人须知资料表要求的其他资格证明文件</w:t>
      </w:r>
      <w:bookmarkEnd w:id="323"/>
    </w:p>
    <w:p w14:paraId="3F02FBEF">
      <w:pPr>
        <w:spacing w:line="240" w:lineRule="atLeast"/>
        <w:ind w:left="1079" w:leftChars="257" w:hanging="540"/>
        <w:jc w:val="center"/>
        <w:rPr>
          <w:rFonts w:hint="eastAsia" w:ascii="仿宋" w:hAnsi="仿宋" w:eastAsia="仿宋" w:cs="仿宋"/>
          <w:b/>
          <w:bCs/>
          <w:color w:val="auto"/>
          <w:sz w:val="24"/>
          <w:highlight w:val="none"/>
        </w:rPr>
      </w:pPr>
    </w:p>
    <w:p w14:paraId="32E66DBB">
      <w:pPr>
        <w:spacing w:line="240" w:lineRule="atLeast"/>
        <w:ind w:left="1079" w:leftChars="257" w:hanging="540"/>
        <w:jc w:val="center"/>
        <w:rPr>
          <w:rFonts w:hint="eastAsia" w:ascii="仿宋" w:hAnsi="仿宋" w:eastAsia="仿宋" w:cs="仿宋"/>
          <w:b/>
          <w:bCs/>
          <w:color w:val="auto"/>
          <w:sz w:val="24"/>
          <w:highlight w:val="none"/>
        </w:rPr>
      </w:pPr>
    </w:p>
    <w:p w14:paraId="6048AE4E">
      <w:pPr>
        <w:spacing w:line="240" w:lineRule="atLeast"/>
        <w:ind w:left="1079" w:leftChars="257" w:hanging="540"/>
        <w:jc w:val="center"/>
        <w:rPr>
          <w:rFonts w:hint="eastAsia" w:ascii="仿宋" w:hAnsi="仿宋" w:eastAsia="仿宋" w:cs="仿宋"/>
          <w:b/>
          <w:bCs/>
          <w:color w:val="auto"/>
          <w:sz w:val="24"/>
          <w:highlight w:val="none"/>
        </w:rPr>
      </w:pPr>
    </w:p>
    <w:p w14:paraId="12644B52">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1.应提供</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要求的其他资格证明文件。</w:t>
      </w:r>
    </w:p>
    <w:p w14:paraId="2C0D0FF4">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2.应加盖本单位</w:t>
      </w:r>
      <w:r>
        <w:rPr>
          <w:rFonts w:hint="eastAsia" w:ascii="仿宋" w:hAnsi="仿宋" w:eastAsia="仿宋" w:cs="仿宋"/>
          <w:color w:val="auto"/>
          <w:sz w:val="24"/>
          <w:highlight w:val="none"/>
          <w:lang w:eastAsia="zh-CN"/>
        </w:rPr>
        <w:t>电子章</w:t>
      </w:r>
      <w:r>
        <w:rPr>
          <w:rFonts w:hint="eastAsia" w:ascii="仿宋" w:hAnsi="仿宋" w:eastAsia="仿宋" w:cs="仿宋"/>
          <w:color w:val="auto"/>
          <w:sz w:val="24"/>
          <w:highlight w:val="none"/>
        </w:rPr>
        <w:t>章（自然人投标的无需盖章，需要签字）。</w:t>
      </w:r>
    </w:p>
    <w:p w14:paraId="1AC9B905">
      <w:pPr>
        <w:pStyle w:val="17"/>
        <w:tabs>
          <w:tab w:val="left" w:pos="5580"/>
        </w:tabs>
        <w:spacing w:line="240" w:lineRule="atLeast"/>
        <w:ind w:left="1260" w:leftChars="344" w:hanging="53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3. 如果是联合体投标，联合体各方需提供的满足招标文件要求的其他资格证明文件。</w:t>
      </w:r>
    </w:p>
    <w:p w14:paraId="4B88E7B0">
      <w:pPr>
        <w:pStyle w:val="17"/>
        <w:tabs>
          <w:tab w:val="left" w:pos="5580"/>
        </w:tabs>
        <w:spacing w:line="240" w:lineRule="atLeast"/>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2BFD55DB">
      <w:pPr>
        <w:pStyle w:val="3"/>
        <w:spacing w:before="0" w:line="240" w:lineRule="atLeast"/>
        <w:ind w:left="1079" w:leftChars="257" w:hanging="540"/>
        <w:rPr>
          <w:rFonts w:hint="eastAsia" w:ascii="仿宋" w:hAnsi="仿宋" w:eastAsia="仿宋" w:cs="仿宋"/>
          <w:color w:val="auto"/>
          <w:sz w:val="24"/>
          <w:highlight w:val="none"/>
        </w:rPr>
      </w:pPr>
      <w:bookmarkStart w:id="324" w:name="_Toc22967"/>
      <w:bookmarkStart w:id="325" w:name="_Toc515647816"/>
      <w:bookmarkStart w:id="326" w:name="_Toc12936"/>
      <w:bookmarkStart w:id="327" w:name="_Toc11180"/>
      <w:r>
        <w:rPr>
          <w:rFonts w:hint="eastAsia" w:ascii="仿宋" w:hAnsi="仿宋" w:eastAsia="仿宋" w:cs="仿宋"/>
          <w:color w:val="auto"/>
          <w:sz w:val="24"/>
          <w:highlight w:val="none"/>
        </w:rPr>
        <w:t>第二部分  商务及技术文件</w:t>
      </w:r>
      <w:bookmarkEnd w:id="324"/>
      <w:bookmarkEnd w:id="325"/>
      <w:bookmarkEnd w:id="326"/>
      <w:bookmarkEnd w:id="327"/>
    </w:p>
    <w:p w14:paraId="275E990D">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1、投标书（投标文件格式五）</w:t>
      </w:r>
    </w:p>
    <w:p w14:paraId="020F5020">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2、投标保证金缴纳凭证或投标担保函（见投标文件格式六）</w:t>
      </w:r>
    </w:p>
    <w:p w14:paraId="66AA7F7B">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3、投标分项报价表（投标文件格式七）</w:t>
      </w:r>
    </w:p>
    <w:p w14:paraId="60CFD041">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服务</w:t>
      </w:r>
      <w:r>
        <w:rPr>
          <w:rFonts w:hint="eastAsia" w:ascii="仿宋" w:hAnsi="仿宋" w:eastAsia="仿宋" w:cs="仿宋"/>
          <w:color w:val="auto"/>
          <w:sz w:val="24"/>
          <w:highlight w:val="none"/>
        </w:rPr>
        <w:t>说明一览表（投标文件格式八）</w:t>
      </w:r>
    </w:p>
    <w:p w14:paraId="7E7CE800">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5、技术规格偏离表（投标文件格式九）</w:t>
      </w:r>
    </w:p>
    <w:p w14:paraId="018E69EF">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6、商务条款偏离表（投标文件格式十）</w:t>
      </w:r>
    </w:p>
    <w:p w14:paraId="3FDE07E3">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7、符合《政府采购促进中小企业发展管理办法》、《关于进一步加大政府采购支持中小企业力度的通知》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《关于政府采购支持监狱企业发展有关问题的通知》和《三部门联合发布关于促进残疾人就业政府采购政策的通知》价格扣减条件的投标人须提交</w:t>
      </w:r>
    </w:p>
    <w:p w14:paraId="4B17E4E7">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7-1《投标人企业（单位）类型声明函》（投标文件格式十一）</w:t>
      </w:r>
    </w:p>
    <w:p w14:paraId="6E02257F">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《残疾人福利性单位声明函》（投标文件</w:t>
      </w:r>
      <w:r>
        <w:rPr>
          <w:rFonts w:hint="eastAsia" w:ascii="仿宋" w:hAnsi="仿宋" w:eastAsia="仿宋" w:cs="仿宋"/>
          <w:color w:val="auto"/>
          <w:sz w:val="24"/>
          <w:highlight w:val="none"/>
          <w:lang w:val="en-US" w:eastAsia="zh-CN"/>
        </w:rPr>
        <w:t>格式十二</w:t>
      </w:r>
      <w:r>
        <w:rPr>
          <w:rFonts w:hint="eastAsia" w:ascii="仿宋" w:hAnsi="仿宋" w:eastAsia="仿宋" w:cs="仿宋"/>
          <w:color w:val="auto"/>
          <w:sz w:val="24"/>
          <w:highlight w:val="none"/>
        </w:rPr>
        <w:t>）</w:t>
      </w:r>
    </w:p>
    <w:p w14:paraId="57694B17">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8、投标人关联单位的说明（格式自拟）</w:t>
      </w:r>
    </w:p>
    <w:p w14:paraId="51F90C8A">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9、投标文件还应包括投标人须知第10条的所有技术文件</w:t>
      </w:r>
    </w:p>
    <w:p w14:paraId="091DE1E3">
      <w:pPr>
        <w:pStyle w:val="9"/>
        <w:rPr>
          <w:rFonts w:hint="eastAsia" w:ascii="仿宋" w:hAnsi="仿宋" w:eastAsia="仿宋" w:cs="仿宋"/>
        </w:rPr>
      </w:pPr>
    </w:p>
    <w:p w14:paraId="7611BBB9">
      <w:pPr>
        <w:pStyle w:val="10"/>
        <w:rPr>
          <w:rFonts w:hint="eastAsia" w:ascii="仿宋" w:hAnsi="仿宋" w:eastAsia="仿宋" w:cs="仿宋"/>
        </w:rPr>
      </w:pPr>
    </w:p>
    <w:p w14:paraId="1C7A277E">
      <w:pPr>
        <w:rPr>
          <w:rFonts w:hint="eastAsia" w:ascii="仿宋" w:hAnsi="仿宋" w:eastAsia="仿宋" w:cs="仿宋"/>
        </w:rPr>
      </w:pPr>
    </w:p>
    <w:p w14:paraId="6D8A8139">
      <w:pPr>
        <w:pStyle w:val="38"/>
        <w:rPr>
          <w:rFonts w:hint="eastAsia" w:ascii="仿宋" w:hAnsi="仿宋" w:eastAsia="仿宋" w:cs="仿宋"/>
        </w:rPr>
      </w:pPr>
    </w:p>
    <w:p w14:paraId="37BED041">
      <w:pPr>
        <w:pStyle w:val="38"/>
        <w:rPr>
          <w:rFonts w:hint="eastAsia" w:ascii="仿宋" w:hAnsi="仿宋" w:eastAsia="仿宋" w:cs="仿宋"/>
        </w:rPr>
      </w:pPr>
    </w:p>
    <w:p w14:paraId="11107F9D">
      <w:pPr>
        <w:pStyle w:val="38"/>
        <w:rPr>
          <w:rFonts w:hint="eastAsia" w:ascii="仿宋" w:hAnsi="仿宋" w:eastAsia="仿宋" w:cs="仿宋"/>
        </w:rPr>
      </w:pPr>
    </w:p>
    <w:p w14:paraId="7737C531">
      <w:pPr>
        <w:pStyle w:val="38"/>
        <w:rPr>
          <w:rFonts w:hint="eastAsia" w:ascii="仿宋" w:hAnsi="仿宋" w:eastAsia="仿宋" w:cs="仿宋"/>
        </w:rPr>
      </w:pPr>
    </w:p>
    <w:p w14:paraId="0839D8A8">
      <w:pPr>
        <w:pStyle w:val="38"/>
        <w:rPr>
          <w:rFonts w:hint="eastAsia" w:ascii="仿宋" w:hAnsi="仿宋" w:eastAsia="仿宋" w:cs="仿宋"/>
        </w:rPr>
      </w:pPr>
    </w:p>
    <w:p w14:paraId="15995896">
      <w:pPr>
        <w:pStyle w:val="38"/>
        <w:rPr>
          <w:rFonts w:hint="eastAsia" w:ascii="仿宋" w:hAnsi="仿宋" w:eastAsia="仿宋" w:cs="仿宋"/>
        </w:rPr>
      </w:pPr>
    </w:p>
    <w:p w14:paraId="5D2B4DA2">
      <w:pPr>
        <w:pStyle w:val="38"/>
        <w:rPr>
          <w:rFonts w:hint="eastAsia" w:ascii="仿宋" w:hAnsi="仿宋" w:eastAsia="仿宋" w:cs="仿宋"/>
        </w:rPr>
      </w:pPr>
    </w:p>
    <w:p w14:paraId="55673CDB">
      <w:pPr>
        <w:pStyle w:val="38"/>
        <w:rPr>
          <w:rFonts w:hint="eastAsia" w:ascii="仿宋" w:hAnsi="仿宋" w:eastAsia="仿宋" w:cs="仿宋"/>
        </w:rPr>
      </w:pPr>
    </w:p>
    <w:p w14:paraId="4BF155CE">
      <w:pPr>
        <w:pStyle w:val="38"/>
        <w:rPr>
          <w:rFonts w:hint="eastAsia" w:ascii="仿宋" w:hAnsi="仿宋" w:eastAsia="仿宋" w:cs="仿宋"/>
        </w:rPr>
      </w:pPr>
    </w:p>
    <w:p w14:paraId="7C14DC99">
      <w:pPr>
        <w:pStyle w:val="38"/>
        <w:rPr>
          <w:rFonts w:hint="eastAsia" w:ascii="仿宋" w:hAnsi="仿宋" w:eastAsia="仿宋" w:cs="仿宋"/>
        </w:rPr>
      </w:pPr>
    </w:p>
    <w:p w14:paraId="3D97D104">
      <w:pPr>
        <w:pStyle w:val="38"/>
        <w:rPr>
          <w:rFonts w:hint="eastAsia" w:ascii="仿宋" w:hAnsi="仿宋" w:eastAsia="仿宋" w:cs="仿宋"/>
        </w:rPr>
      </w:pPr>
    </w:p>
    <w:p w14:paraId="5CD94AD4">
      <w:pPr>
        <w:pStyle w:val="38"/>
        <w:rPr>
          <w:rFonts w:hint="eastAsia" w:ascii="仿宋" w:hAnsi="仿宋" w:eastAsia="仿宋" w:cs="仿宋"/>
        </w:rPr>
      </w:pPr>
    </w:p>
    <w:p w14:paraId="14B77B66">
      <w:pPr>
        <w:pStyle w:val="38"/>
        <w:rPr>
          <w:rFonts w:hint="eastAsia" w:ascii="仿宋" w:hAnsi="仿宋" w:eastAsia="仿宋" w:cs="仿宋"/>
        </w:rPr>
      </w:pPr>
    </w:p>
    <w:p w14:paraId="23CC6AAD">
      <w:pPr>
        <w:pStyle w:val="38"/>
        <w:rPr>
          <w:rFonts w:hint="eastAsia" w:ascii="仿宋" w:hAnsi="仿宋" w:eastAsia="仿宋" w:cs="仿宋"/>
        </w:rPr>
      </w:pPr>
    </w:p>
    <w:p w14:paraId="281BEC61">
      <w:pPr>
        <w:pStyle w:val="38"/>
        <w:rPr>
          <w:rFonts w:hint="eastAsia" w:ascii="仿宋" w:hAnsi="仿宋" w:eastAsia="仿宋" w:cs="仿宋"/>
        </w:rPr>
      </w:pPr>
    </w:p>
    <w:p w14:paraId="3B8BA814">
      <w:pPr>
        <w:pStyle w:val="38"/>
        <w:rPr>
          <w:rFonts w:hint="eastAsia" w:ascii="仿宋" w:hAnsi="仿宋" w:eastAsia="仿宋" w:cs="仿宋"/>
        </w:rPr>
      </w:pPr>
    </w:p>
    <w:bookmarkEnd w:id="274"/>
    <w:bookmarkEnd w:id="275"/>
    <w:bookmarkEnd w:id="276"/>
    <w:bookmarkEnd w:id="277"/>
    <w:p w14:paraId="74F013EC">
      <w:pPr>
        <w:pStyle w:val="3"/>
        <w:bidi w:val="0"/>
        <w:rPr>
          <w:rFonts w:hint="eastAsia" w:ascii="仿宋" w:hAnsi="仿宋" w:eastAsia="仿宋" w:cs="仿宋"/>
          <w:sz w:val="24"/>
          <w:szCs w:val="24"/>
        </w:rPr>
      </w:pPr>
      <w:bookmarkStart w:id="328" w:name="_Toc3612"/>
      <w:bookmarkStart w:id="329" w:name="_Toc14915"/>
      <w:bookmarkStart w:id="330" w:name="_Toc13105"/>
      <w:bookmarkStart w:id="331" w:name="_Toc2041"/>
      <w:bookmarkStart w:id="332" w:name="_Toc515647817"/>
      <w:r>
        <w:rPr>
          <w:rFonts w:hint="eastAsia" w:ascii="仿宋" w:hAnsi="仿宋" w:eastAsia="仿宋" w:cs="仿宋"/>
          <w:sz w:val="24"/>
          <w:szCs w:val="24"/>
        </w:rPr>
        <w:t xml:space="preserve">1   </w:t>
      </w:r>
      <w:bookmarkStart w:id="333" w:name="_Hlt520355504"/>
      <w:bookmarkEnd w:id="333"/>
      <w:r>
        <w:rPr>
          <w:rFonts w:hint="eastAsia" w:ascii="仿宋" w:hAnsi="仿宋" w:eastAsia="仿宋" w:cs="仿宋"/>
          <w:sz w:val="24"/>
          <w:szCs w:val="24"/>
        </w:rPr>
        <w:t>投标书（投标文件格式</w:t>
      </w:r>
      <w:r>
        <w:rPr>
          <w:rFonts w:hint="eastAsia" w:ascii="仿宋" w:hAnsi="仿宋" w:eastAsia="仿宋" w:cs="仿宋"/>
          <w:sz w:val="24"/>
          <w:szCs w:val="24"/>
          <w:lang w:eastAsia="zh-CN"/>
        </w:rPr>
        <w:t>五</w:t>
      </w:r>
      <w:r>
        <w:rPr>
          <w:rFonts w:hint="eastAsia" w:ascii="仿宋" w:hAnsi="仿宋" w:eastAsia="仿宋" w:cs="仿宋"/>
          <w:sz w:val="24"/>
          <w:szCs w:val="24"/>
        </w:rPr>
        <w:t>）</w:t>
      </w:r>
      <w:bookmarkEnd w:id="328"/>
      <w:bookmarkEnd w:id="329"/>
      <w:bookmarkEnd w:id="330"/>
      <w:bookmarkEnd w:id="331"/>
      <w:bookmarkEnd w:id="332"/>
    </w:p>
    <w:p w14:paraId="357013E8">
      <w:pPr>
        <w:tabs>
          <w:tab w:val="left" w:pos="5580"/>
        </w:tabs>
        <w:spacing w:line="240" w:lineRule="atLeast"/>
        <w:ind w:left="1079" w:leftChars="257" w:hanging="540"/>
        <w:rPr>
          <w:rFonts w:hint="eastAsia" w:ascii="仿宋" w:hAnsi="仿宋" w:eastAsia="仿宋" w:cs="仿宋"/>
          <w:sz w:val="24"/>
        </w:rPr>
      </w:pPr>
    </w:p>
    <w:p w14:paraId="0487D81E">
      <w:pPr>
        <w:tabs>
          <w:tab w:val="left" w:pos="5580"/>
        </w:tabs>
        <w:spacing w:line="240" w:lineRule="atLeast"/>
        <w:ind w:left="1080" w:hanging="1080"/>
        <w:rPr>
          <w:rFonts w:hint="eastAsia" w:ascii="仿宋" w:hAnsi="仿宋" w:eastAsia="仿宋" w:cs="仿宋"/>
          <w:sz w:val="24"/>
        </w:rPr>
      </w:pPr>
      <w:r>
        <w:rPr>
          <w:rFonts w:hint="eastAsia" w:ascii="仿宋" w:hAnsi="仿宋" w:eastAsia="仿宋" w:cs="仿宋"/>
          <w:sz w:val="24"/>
        </w:rPr>
        <w:t>致：</w:t>
      </w:r>
      <w:r>
        <w:rPr>
          <w:rFonts w:hint="eastAsia" w:ascii="仿宋" w:hAnsi="仿宋" w:eastAsia="仿宋" w:cs="仿宋"/>
          <w:sz w:val="24"/>
          <w:u w:val="single"/>
        </w:rPr>
        <w:t>采购代理机构</w:t>
      </w:r>
    </w:p>
    <w:p w14:paraId="229238D2">
      <w:pPr>
        <w:pStyle w:val="17"/>
        <w:tabs>
          <w:tab w:val="left" w:pos="5580"/>
        </w:tabs>
        <w:spacing w:line="240" w:lineRule="atLeast"/>
        <w:ind w:left="1079" w:leftChars="257" w:hanging="540"/>
        <w:rPr>
          <w:rFonts w:hint="eastAsia" w:ascii="仿宋" w:hAnsi="仿宋" w:eastAsia="仿宋" w:cs="仿宋"/>
          <w:sz w:val="24"/>
        </w:rPr>
      </w:pPr>
    </w:p>
    <w:p w14:paraId="121D9431">
      <w:pPr>
        <w:pStyle w:val="17"/>
        <w:tabs>
          <w:tab w:val="left" w:pos="5580"/>
        </w:tabs>
        <w:spacing w:line="240" w:lineRule="atLeast"/>
        <w:ind w:left="2" w:leftChars="1" w:firstLine="480" w:firstLineChars="200"/>
        <w:rPr>
          <w:rFonts w:hint="eastAsia" w:ascii="仿宋" w:hAnsi="仿宋" w:eastAsia="仿宋" w:cs="仿宋"/>
          <w:sz w:val="24"/>
        </w:rPr>
      </w:pPr>
      <w:r>
        <w:rPr>
          <w:rFonts w:hint="eastAsia" w:ascii="仿宋" w:hAnsi="仿宋" w:eastAsia="仿宋" w:cs="仿宋"/>
          <w:sz w:val="24"/>
        </w:rPr>
        <w:t>根据贵方(</w:t>
      </w:r>
      <w:r>
        <w:rPr>
          <w:rFonts w:hint="eastAsia" w:ascii="仿宋" w:hAnsi="仿宋" w:eastAsia="仿宋" w:cs="仿宋"/>
          <w:i/>
          <w:sz w:val="24"/>
          <w:u w:val="single"/>
        </w:rPr>
        <w:t>项目名称</w:t>
      </w:r>
      <w:r>
        <w:rPr>
          <w:rFonts w:hint="eastAsia" w:ascii="仿宋" w:hAnsi="仿宋" w:eastAsia="仿宋" w:cs="仿宋"/>
          <w:sz w:val="24"/>
        </w:rPr>
        <w:t>)项目的投标邀请(</w:t>
      </w:r>
      <w:r>
        <w:rPr>
          <w:rFonts w:hint="eastAsia" w:ascii="仿宋" w:hAnsi="仿宋" w:eastAsia="仿宋" w:cs="仿宋"/>
          <w:i/>
          <w:sz w:val="24"/>
          <w:u w:val="single"/>
        </w:rPr>
        <w:t>招标编号</w:t>
      </w:r>
      <w:r>
        <w:rPr>
          <w:rFonts w:hint="eastAsia" w:ascii="仿宋" w:hAnsi="仿宋" w:eastAsia="仿宋" w:cs="仿宋"/>
          <w:sz w:val="24"/>
        </w:rPr>
        <w:t>),签字代表(</w:t>
      </w:r>
      <w:r>
        <w:rPr>
          <w:rFonts w:hint="eastAsia" w:ascii="仿宋" w:hAnsi="仿宋" w:eastAsia="仿宋" w:cs="仿宋"/>
          <w:i/>
          <w:sz w:val="24"/>
          <w:u w:val="single"/>
        </w:rPr>
        <w:t>姓名、职务</w:t>
      </w:r>
      <w:r>
        <w:rPr>
          <w:rFonts w:hint="eastAsia" w:ascii="仿宋" w:hAnsi="仿宋" w:eastAsia="仿宋" w:cs="仿宋"/>
          <w:sz w:val="24"/>
        </w:rPr>
        <w:t>)经正式授权并代表投标人（</w:t>
      </w:r>
      <w:r>
        <w:rPr>
          <w:rFonts w:hint="eastAsia" w:ascii="仿宋" w:hAnsi="仿宋" w:eastAsia="仿宋" w:cs="仿宋"/>
          <w:i/>
          <w:sz w:val="24"/>
          <w:u w:val="single"/>
        </w:rPr>
        <w:t>名称、地址</w:t>
      </w:r>
      <w:r>
        <w:rPr>
          <w:rFonts w:hint="eastAsia" w:ascii="仿宋" w:hAnsi="仿宋" w:eastAsia="仿宋" w:cs="仿宋"/>
          <w:sz w:val="24"/>
        </w:rPr>
        <w:t>）提交</w:t>
      </w:r>
      <w:r>
        <w:rPr>
          <w:rFonts w:hint="eastAsia" w:ascii="仿宋" w:hAnsi="仿宋" w:eastAsia="仿宋" w:cs="仿宋"/>
          <w:sz w:val="24"/>
          <w:lang w:eastAsia="zh-CN"/>
        </w:rPr>
        <w:t>电子投标文件</w:t>
      </w:r>
      <w:r>
        <w:rPr>
          <w:rFonts w:hint="eastAsia" w:ascii="仿宋" w:hAnsi="仿宋" w:eastAsia="仿宋" w:cs="仿宋"/>
          <w:sz w:val="24"/>
        </w:rPr>
        <w:t>，并以</w:t>
      </w:r>
      <w:r>
        <w:rPr>
          <w:rFonts w:hint="eastAsia" w:ascii="仿宋" w:hAnsi="仿宋" w:eastAsia="仿宋" w:cs="仿宋"/>
          <w:sz w:val="24"/>
          <w:u w:val="single"/>
        </w:rPr>
        <w:t xml:space="preserve">         </w:t>
      </w:r>
      <w:r>
        <w:rPr>
          <w:rFonts w:hint="eastAsia" w:ascii="仿宋" w:hAnsi="仿宋" w:eastAsia="仿宋" w:cs="仿宋"/>
          <w:sz w:val="24"/>
        </w:rPr>
        <w:t>形式出具的金额为人民币</w:t>
      </w:r>
      <w:r>
        <w:rPr>
          <w:rFonts w:hint="eastAsia" w:ascii="仿宋" w:hAnsi="仿宋" w:eastAsia="仿宋" w:cs="仿宋"/>
          <w:sz w:val="24"/>
          <w:u w:val="single"/>
        </w:rPr>
        <w:t>　　　　</w:t>
      </w:r>
      <w:r>
        <w:rPr>
          <w:rFonts w:hint="eastAsia" w:ascii="仿宋" w:hAnsi="仿宋" w:eastAsia="仿宋" w:cs="仿宋"/>
          <w:sz w:val="24"/>
        </w:rPr>
        <w:t>元的投标保证金。</w:t>
      </w:r>
    </w:p>
    <w:p w14:paraId="2D9F2B0D">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据此，签字代表宣布同意如下：</w:t>
      </w:r>
    </w:p>
    <w:p w14:paraId="05259F57">
      <w:pPr>
        <w:pStyle w:val="17"/>
        <w:tabs>
          <w:tab w:val="left" w:pos="720"/>
          <w:tab w:val="left" w:pos="900"/>
        </w:tabs>
        <w:spacing w:line="240" w:lineRule="atLeast"/>
        <w:ind w:left="768" w:leftChars="257" w:hanging="229"/>
        <w:rPr>
          <w:rFonts w:hint="eastAsia" w:ascii="仿宋" w:hAnsi="仿宋" w:eastAsia="仿宋" w:cs="仿宋"/>
          <w:sz w:val="24"/>
          <w:u w:val="single"/>
        </w:rPr>
      </w:pPr>
      <w:r>
        <w:rPr>
          <w:rFonts w:hint="eastAsia" w:ascii="仿宋" w:hAnsi="仿宋" w:eastAsia="仿宋" w:cs="仿宋"/>
          <w:sz w:val="24"/>
        </w:rPr>
        <w:t>（1）附投标价格表中规定的应提供</w:t>
      </w:r>
      <w:r>
        <w:rPr>
          <w:rFonts w:hint="eastAsia" w:ascii="仿宋" w:hAnsi="仿宋" w:eastAsia="仿宋" w:cs="仿宋"/>
          <w:sz w:val="24"/>
          <w:lang w:eastAsia="zh-CN"/>
        </w:rPr>
        <w:t>服务</w:t>
      </w:r>
      <w:r>
        <w:rPr>
          <w:rFonts w:hint="eastAsia" w:ascii="仿宋" w:hAnsi="仿宋" w:eastAsia="仿宋" w:cs="仿宋"/>
          <w:sz w:val="24"/>
        </w:rPr>
        <w:t>的投标总价详见开标一览表，</w:t>
      </w:r>
      <w:r>
        <w:rPr>
          <w:rFonts w:hint="eastAsia" w:ascii="仿宋" w:hAnsi="仿宋" w:eastAsia="仿宋" w:cs="仿宋"/>
          <w:sz w:val="24"/>
          <w:szCs w:val="24"/>
          <w:u w:val="single"/>
        </w:rPr>
        <w:t>其中由小型和微型企业</w:t>
      </w:r>
      <w:r>
        <w:rPr>
          <w:rFonts w:hint="eastAsia" w:ascii="仿宋" w:hAnsi="仿宋" w:eastAsia="仿宋" w:cs="仿宋"/>
          <w:sz w:val="24"/>
          <w:szCs w:val="24"/>
        </w:rPr>
        <w:t>提供服务的价格为</w:t>
      </w:r>
      <w:r>
        <w:rPr>
          <w:rFonts w:hint="eastAsia" w:ascii="仿宋" w:hAnsi="仿宋" w:eastAsia="仿宋" w:cs="仿宋"/>
          <w:sz w:val="24"/>
          <w:u w:val="single"/>
        </w:rPr>
        <w:t>　　  （用文字和数字表示），占投标总价   %</w:t>
      </w:r>
      <w:r>
        <w:rPr>
          <w:rFonts w:hint="eastAsia" w:ascii="仿宋" w:hAnsi="仿宋" w:eastAsia="仿宋" w:cs="仿宋"/>
          <w:sz w:val="24"/>
        </w:rPr>
        <w:t>。</w:t>
      </w:r>
    </w:p>
    <w:p w14:paraId="692BA43D">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（2）本投标有效期为自投标截止之日起</w:t>
      </w:r>
      <w:r>
        <w:rPr>
          <w:rFonts w:hint="eastAsia" w:ascii="仿宋" w:hAnsi="仿宋" w:eastAsia="仿宋" w:cs="仿宋"/>
          <w:sz w:val="24"/>
          <w:u w:val="single"/>
        </w:rPr>
        <w:t xml:space="preserve">          </w:t>
      </w:r>
      <w:r>
        <w:rPr>
          <w:rFonts w:hint="eastAsia" w:ascii="仿宋" w:hAnsi="仿宋" w:eastAsia="仿宋" w:cs="仿宋"/>
          <w:sz w:val="24"/>
        </w:rPr>
        <w:t>个日历日。</w:t>
      </w:r>
    </w:p>
    <w:p w14:paraId="7C3BF354">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（3）联合体中的大中型企业和其他自然人、法人或者非法人组织，与联合体中的小型、微型企业之间</w:t>
      </w:r>
      <w:r>
        <w:rPr>
          <w:rFonts w:hint="eastAsia" w:ascii="仿宋" w:hAnsi="仿宋" w:eastAsia="仿宋" w:cs="仿宋"/>
          <w:sz w:val="24"/>
          <w:u w:val="single"/>
        </w:rPr>
        <w:t xml:space="preserve">     （</w:t>
      </w:r>
      <w:r>
        <w:rPr>
          <w:rFonts w:hint="eastAsia" w:ascii="仿宋" w:hAnsi="仿宋" w:eastAsia="仿宋" w:cs="仿宋"/>
          <w:sz w:val="24"/>
        </w:rPr>
        <w:t>存在、不存在）投资关系（如果是联合体的话）。</w:t>
      </w:r>
    </w:p>
    <w:p w14:paraId="4CB54D5C">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（4）已详细审查全部招标文件，包括所有补充通知（如果有的话），完全理解并同意放弃对这方面有不明、误解和质疑的权力。</w:t>
      </w:r>
    </w:p>
    <w:p w14:paraId="4D380106">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（5）在规定的开标时间后，遵守招标文件中有关保证金的规定。</w:t>
      </w:r>
    </w:p>
    <w:p w14:paraId="4BE05789">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（6）我方不是为本项目提供整体设计、规范编制或者项目管理、监理、检测等服务的供应商，我方不是采购代理机构的附属机构。</w:t>
      </w:r>
    </w:p>
    <w:p w14:paraId="7059EE51">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（7）在领取中标通知书的同时按招标文件规定的形式，向贵方一次性支付中标服务费。</w:t>
      </w:r>
    </w:p>
    <w:p w14:paraId="6B3D5F04">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（8）按照贵方可能要求，提供与其投标有关的一切数据或资料，完全理解贵方不一定接受最低价的投标或收到的任何投标。</w:t>
      </w:r>
    </w:p>
    <w:p w14:paraId="79606DA6">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（9）按照招标文件的规定履行合同责任和义务。</w:t>
      </w:r>
    </w:p>
    <w:p w14:paraId="156DDCD6">
      <w:pPr>
        <w:pStyle w:val="17"/>
        <w:tabs>
          <w:tab w:val="left" w:pos="5580"/>
        </w:tabs>
        <w:spacing w:line="240" w:lineRule="atLeast"/>
        <w:ind w:left="358" w:leftChars="68" w:hanging="216" w:hangingChars="90"/>
        <w:rPr>
          <w:rFonts w:hint="eastAsia" w:ascii="仿宋" w:hAnsi="仿宋" w:eastAsia="仿宋" w:cs="仿宋"/>
          <w:sz w:val="24"/>
        </w:rPr>
      </w:pPr>
      <w:r>
        <w:rPr>
          <w:rFonts w:hint="eastAsia" w:ascii="仿宋" w:hAnsi="仿宋" w:eastAsia="仿宋" w:cs="仿宋"/>
          <w:sz w:val="24"/>
        </w:rPr>
        <w:t xml:space="preserve">  与本投标有关的一切正式往来信函请寄：</w:t>
      </w:r>
    </w:p>
    <w:p w14:paraId="335FCC49">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single"/>
        </w:rPr>
        <w:t xml:space="preserve">                         </w:t>
      </w:r>
      <w:r>
        <w:rPr>
          <w:rFonts w:hint="eastAsia" w:ascii="仿宋" w:hAnsi="仿宋" w:eastAsia="仿宋" w:cs="仿宋"/>
          <w:sz w:val="24"/>
        </w:rPr>
        <w:t xml:space="preserve">     传真</w:t>
      </w:r>
      <w:r>
        <w:rPr>
          <w:rFonts w:hint="eastAsia" w:ascii="仿宋" w:hAnsi="仿宋" w:eastAsia="仿宋" w:cs="仿宋"/>
          <w:sz w:val="24"/>
          <w:u w:val="single"/>
        </w:rPr>
        <w:t xml:space="preserve">                             </w:t>
      </w:r>
    </w:p>
    <w:p w14:paraId="71376B64">
      <w:pPr>
        <w:pStyle w:val="17"/>
        <w:tabs>
          <w:tab w:val="left" w:pos="5580"/>
        </w:tabs>
        <w:spacing w:line="240" w:lineRule="atLeast"/>
        <w:ind w:left="1079" w:leftChars="257" w:hanging="540"/>
        <w:rPr>
          <w:rFonts w:hint="eastAsia" w:ascii="仿宋" w:hAnsi="仿宋" w:eastAsia="仿宋" w:cs="仿宋"/>
          <w:b/>
          <w:sz w:val="24"/>
        </w:rPr>
      </w:pPr>
      <w:r>
        <w:rPr>
          <w:rFonts w:hint="eastAsia" w:ascii="仿宋" w:hAnsi="仿宋" w:eastAsia="仿宋" w:cs="仿宋"/>
          <w:sz w:val="24"/>
        </w:rPr>
        <w:t>电话</w:t>
      </w:r>
      <w:r>
        <w:rPr>
          <w:rFonts w:hint="eastAsia" w:ascii="仿宋" w:hAnsi="仿宋" w:eastAsia="仿宋" w:cs="仿宋"/>
          <w:sz w:val="24"/>
          <w:u w:val="single"/>
        </w:rPr>
        <w:t xml:space="preserve">                         </w:t>
      </w:r>
      <w:r>
        <w:rPr>
          <w:rFonts w:hint="eastAsia" w:ascii="仿宋" w:hAnsi="仿宋" w:eastAsia="仿宋" w:cs="仿宋"/>
          <w:sz w:val="24"/>
        </w:rPr>
        <w:t xml:space="preserve">     电子函件</w:t>
      </w:r>
      <w:r>
        <w:rPr>
          <w:rFonts w:hint="eastAsia" w:ascii="仿宋" w:hAnsi="仿宋" w:eastAsia="仿宋" w:cs="仿宋"/>
          <w:sz w:val="24"/>
          <w:u w:val="single"/>
        </w:rPr>
        <w:t xml:space="preserve">                         </w:t>
      </w:r>
    </w:p>
    <w:p w14:paraId="1C544CAD">
      <w:pPr>
        <w:pStyle w:val="17"/>
        <w:tabs>
          <w:tab w:val="left" w:pos="5580"/>
        </w:tabs>
        <w:spacing w:line="240" w:lineRule="atLeast"/>
        <w:ind w:left="1079" w:leftChars="257" w:hanging="540"/>
        <w:rPr>
          <w:rFonts w:hint="eastAsia" w:ascii="仿宋" w:hAnsi="仿宋" w:eastAsia="仿宋" w:cs="仿宋"/>
          <w:sz w:val="24"/>
        </w:rPr>
      </w:pPr>
    </w:p>
    <w:p w14:paraId="2AEAB584">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法定代表人或其委托代理人签字-----------------</w:t>
      </w:r>
    </w:p>
    <w:p w14:paraId="06817404">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投标人名称-----------------</w:t>
      </w:r>
    </w:p>
    <w:p w14:paraId="6DD5AB22">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投标人开户银行（全称）</w:t>
      </w:r>
      <w:r>
        <w:rPr>
          <w:rFonts w:hint="eastAsia" w:ascii="仿宋" w:hAnsi="仿宋" w:eastAsia="仿宋" w:cs="仿宋"/>
          <w:sz w:val="24"/>
          <w:u w:val="single"/>
        </w:rPr>
        <w:t xml:space="preserve">　　　　　　 </w:t>
      </w:r>
    </w:p>
    <w:p w14:paraId="3BB6B6DD">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投标人银行帐号</w:t>
      </w:r>
      <w:r>
        <w:rPr>
          <w:rFonts w:hint="eastAsia" w:ascii="仿宋" w:hAnsi="仿宋" w:eastAsia="仿宋" w:cs="仿宋"/>
          <w:sz w:val="24"/>
          <w:u w:val="single"/>
        </w:rPr>
        <w:t>　　　　　　　　 　　</w:t>
      </w:r>
    </w:p>
    <w:p w14:paraId="076EB7BC">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投标人（电子签章）-------------------------</w:t>
      </w:r>
    </w:p>
    <w:p w14:paraId="0B42BFE7">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日期-------------------------------</w:t>
      </w:r>
    </w:p>
    <w:p w14:paraId="36BF35D1">
      <w:pPr>
        <w:pStyle w:val="17"/>
        <w:tabs>
          <w:tab w:val="left" w:pos="5580"/>
        </w:tabs>
        <w:spacing w:line="240" w:lineRule="atLeast"/>
        <w:rPr>
          <w:rFonts w:hint="eastAsia" w:ascii="仿宋" w:hAnsi="仿宋" w:eastAsia="仿宋" w:cs="仿宋"/>
          <w:sz w:val="24"/>
        </w:rPr>
      </w:pPr>
    </w:p>
    <w:p w14:paraId="385486A3">
      <w:pPr>
        <w:pStyle w:val="3"/>
        <w:spacing w:before="0" w:line="240" w:lineRule="atLeast"/>
        <w:rPr>
          <w:rFonts w:hint="eastAsia" w:ascii="仿宋" w:hAnsi="仿宋" w:eastAsia="仿宋" w:cs="仿宋"/>
          <w:sz w:val="24"/>
        </w:rPr>
      </w:pPr>
      <w:r>
        <w:rPr>
          <w:rFonts w:hint="eastAsia" w:ascii="仿宋" w:hAnsi="仿宋" w:eastAsia="仿宋" w:cs="仿宋"/>
          <w:sz w:val="24"/>
        </w:rPr>
        <w:br w:type="page"/>
      </w:r>
      <w:bookmarkStart w:id="334" w:name="_Toc23473"/>
      <w:bookmarkStart w:id="335" w:name="_Toc29980"/>
      <w:bookmarkStart w:id="336" w:name="_Toc32401"/>
      <w:bookmarkStart w:id="337" w:name="_Toc1266"/>
      <w:r>
        <w:rPr>
          <w:rFonts w:hint="eastAsia" w:ascii="仿宋" w:hAnsi="仿宋" w:eastAsia="仿宋" w:cs="仿宋"/>
          <w:sz w:val="24"/>
        </w:rPr>
        <w:t>2   投标保证金缴纳凭证或投标担保函</w:t>
      </w:r>
      <w:bookmarkEnd w:id="334"/>
      <w:bookmarkEnd w:id="335"/>
      <w:bookmarkEnd w:id="336"/>
      <w:bookmarkEnd w:id="337"/>
    </w:p>
    <w:p w14:paraId="56F3B86A">
      <w:pPr>
        <w:ind w:firstLine="480" w:firstLineChars="200"/>
        <w:rPr>
          <w:rFonts w:hint="eastAsia" w:ascii="仿宋" w:hAnsi="仿宋" w:eastAsia="仿宋" w:cs="仿宋"/>
          <w:sz w:val="24"/>
        </w:rPr>
      </w:pPr>
      <w:r>
        <w:rPr>
          <w:rFonts w:hint="eastAsia" w:ascii="仿宋" w:hAnsi="仿宋" w:eastAsia="仿宋" w:cs="仿宋"/>
          <w:kern w:val="2"/>
          <w:sz w:val="24"/>
          <w:szCs w:val="20"/>
          <w:lang w:val="en-US" w:eastAsia="zh-CN" w:bidi="ar-SA"/>
        </w:rPr>
        <w:t>投标人可将本项目投标保证金支付的汇款凭证、支票、汇票或保证金收据（如有）的扫描件作为缴纳凭证装订在本部分，应加盖本单位章；使用银行保函等其他投标担保函的，应将担保函正本的扫描件，装订在本部分正本中；如采用政府采购信用担保形式的，应使用政府采购投标担保函（投标文件格式六）,将原件的扫描件装订在本部分正本中。</w:t>
      </w:r>
    </w:p>
    <w:p w14:paraId="5D992285">
      <w:pPr>
        <w:jc w:val="center"/>
        <w:rPr>
          <w:rFonts w:hint="eastAsia" w:ascii="仿宋" w:hAnsi="仿宋" w:eastAsia="仿宋" w:cs="仿宋"/>
          <w:b/>
          <w:bCs/>
          <w:sz w:val="24"/>
          <w:szCs w:val="24"/>
        </w:rPr>
      </w:pPr>
    </w:p>
    <w:p w14:paraId="72CFF005">
      <w:pPr>
        <w:jc w:val="center"/>
        <w:rPr>
          <w:rFonts w:hint="eastAsia" w:ascii="仿宋" w:hAnsi="仿宋" w:eastAsia="仿宋" w:cs="仿宋"/>
          <w:b/>
          <w:bCs/>
          <w:sz w:val="24"/>
          <w:szCs w:val="24"/>
        </w:rPr>
      </w:pPr>
    </w:p>
    <w:p w14:paraId="4267CD8C">
      <w:pPr>
        <w:jc w:val="center"/>
        <w:rPr>
          <w:rFonts w:hint="eastAsia" w:ascii="仿宋" w:hAnsi="仿宋" w:eastAsia="仿宋" w:cs="仿宋"/>
          <w:b/>
          <w:bCs/>
          <w:sz w:val="24"/>
          <w:szCs w:val="24"/>
        </w:rPr>
      </w:pPr>
      <w:r>
        <w:rPr>
          <w:rFonts w:hint="eastAsia" w:ascii="仿宋" w:hAnsi="仿宋" w:eastAsia="仿宋" w:cs="仿宋"/>
          <w:b/>
          <w:bCs/>
          <w:sz w:val="24"/>
          <w:szCs w:val="24"/>
        </w:rPr>
        <w:t>政府采购投标担保函 （项目用）（投标文件格式六）</w:t>
      </w:r>
    </w:p>
    <w:p w14:paraId="5B1B6EDE">
      <w:pPr>
        <w:ind w:firstLine="480" w:firstLineChars="200"/>
        <w:jc w:val="left"/>
        <w:rPr>
          <w:rFonts w:hint="eastAsia" w:ascii="仿宋" w:hAnsi="仿宋" w:eastAsia="仿宋" w:cs="仿宋"/>
          <w:kern w:val="2"/>
          <w:sz w:val="24"/>
          <w:szCs w:val="20"/>
          <w:lang w:val="en-US" w:eastAsia="zh-CN" w:bidi="ar-SA"/>
        </w:rPr>
      </w:pPr>
    </w:p>
    <w:p w14:paraId="374FAEB0">
      <w:pPr>
        <w:ind w:firstLine="480" w:firstLineChars="200"/>
        <w:jc w:val="lef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编号：</w:t>
      </w:r>
    </w:p>
    <w:p w14:paraId="1FE5847A">
      <w:pPr>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（采购人或采购代理机构）：</w:t>
      </w:r>
    </w:p>
    <w:p w14:paraId="79E5DF92">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鉴于</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（以下简称“投标人”）拟参加编号为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的                                       </w:t>
      </w:r>
    </w:p>
    <w:p w14:paraId="4DA1D326">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0C50DDAF">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一、保证责任的情形及保证金额</w:t>
      </w:r>
    </w:p>
    <w:p w14:paraId="65C1A97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（一）在投标人出现下列情形之一时，我方承担保证责任：</w:t>
      </w:r>
    </w:p>
    <w:p w14:paraId="05417E19">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1．中标后投标人无正当理由不与采购人或者采购代理机构签订《政府采购合同》；</w:t>
      </w:r>
    </w:p>
    <w:p w14:paraId="7D5D552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2．招标文件规定的投标人应当缴纳保证金的其他情形。</w:t>
      </w:r>
    </w:p>
    <w:p w14:paraId="5269F1AA">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（二）我方承担保证责任的最高金额为人民币</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元（大写</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），即本项目的投标保证金金额。</w:t>
      </w:r>
    </w:p>
    <w:p w14:paraId="4ABC79F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二、保证的方式及保证期间</w:t>
      </w:r>
    </w:p>
    <w:p w14:paraId="1BC700D8">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我方保证的方式为：连带责任保证。</w:t>
      </w:r>
    </w:p>
    <w:p w14:paraId="0C6E17EB">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我方的保证期间为：自本保函生效之日起</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个月止。</w:t>
      </w:r>
    </w:p>
    <w:p w14:paraId="4E2FC78D">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三、承担保证责任的程序</w:t>
      </w:r>
    </w:p>
    <w:p w14:paraId="65130A9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1BC152D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2．我方在收到索赔通知及相关证明材料后，在　　　个工作日内进行审查，符合应承担保证责任情形的，我方应按照你方的要求代投标人向你方支付投标保证金。</w:t>
      </w:r>
    </w:p>
    <w:p w14:paraId="3D8C5B0C">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四、保证责任的终止</w:t>
      </w:r>
    </w:p>
    <w:p w14:paraId="7A62AB8F">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1．保证期间届满你方未向我方书面主张保证责任的，自保证期间届满次日起，我方保证责任自动终止。</w:t>
      </w:r>
    </w:p>
    <w:p w14:paraId="21B5D84A">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2．我方按照本保函向你贵方履行了保证责任后，自我方向你贵方支付款项（支付款项从我方账户划出）之日起，保证责任终止。</w:t>
      </w:r>
    </w:p>
    <w:p w14:paraId="66D75A6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3．按照法律法规的规定或出现我方保证责任终止的其它情形的，我方在本保函项下的保证责任亦终止。</w:t>
      </w:r>
    </w:p>
    <w:p w14:paraId="6FF75FAE">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五、免责条款</w:t>
      </w:r>
    </w:p>
    <w:p w14:paraId="3898AEB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1．依照法律规定或你方与投标人的另行约定，全部或者部分免除投标人投标保证金义务时，我方亦免除相应的保证责任。</w:t>
      </w:r>
    </w:p>
    <w:p w14:paraId="371553BB">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2．因你方原因致使投标人发生本保函第一条第（一）款约定情形的，我方不承担保证责任。</w:t>
      </w:r>
    </w:p>
    <w:p w14:paraId="0CC4227C">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3．因不可抗力造成投标人发生本保函第一条约定情形的，我方不承担保证责任。</w:t>
      </w:r>
    </w:p>
    <w:p w14:paraId="3758605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4．你方或其他有权机关对招标文件进行任何澄清或修改，加重我方保证责任的，我方对加重部分不承担保证责任，但该澄清或修改经我方事先书面同意的除外。</w:t>
      </w:r>
    </w:p>
    <w:p w14:paraId="7A11564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六、争议的解决</w:t>
      </w:r>
    </w:p>
    <w:p w14:paraId="3979804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因本保函发生的纠纷，由你我双方协商解决，协商不成的，通过诉讼程序解决，诉讼管辖地法院为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法院。</w:t>
      </w:r>
    </w:p>
    <w:p w14:paraId="1A398B1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七、保函的生效</w:t>
      </w:r>
    </w:p>
    <w:p w14:paraId="197BCC9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本保函自我方加盖公章之日起生效。</w:t>
      </w:r>
    </w:p>
    <w:p w14:paraId="547BA1CC">
      <w:pPr>
        <w:ind w:firstLine="480" w:firstLineChars="200"/>
        <w:jc w:val="right"/>
        <w:rPr>
          <w:rFonts w:hint="eastAsia" w:ascii="仿宋" w:hAnsi="仿宋" w:eastAsia="仿宋" w:cs="仿宋"/>
          <w:kern w:val="2"/>
          <w:sz w:val="24"/>
          <w:szCs w:val="20"/>
          <w:lang w:val="en-US" w:eastAsia="zh-CN" w:bidi="ar-SA"/>
        </w:rPr>
      </w:pPr>
    </w:p>
    <w:p w14:paraId="49B0C18A">
      <w:pPr>
        <w:ind w:firstLine="480" w:firstLineChars="200"/>
        <w:jc w:val="righ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保证人：（</w:t>
      </w:r>
      <w:r>
        <w:rPr>
          <w:rFonts w:hint="eastAsia" w:ascii="仿宋" w:hAnsi="仿宋" w:eastAsia="仿宋" w:cs="仿宋"/>
          <w:color w:val="auto"/>
          <w:sz w:val="24"/>
          <w:highlight w:val="none"/>
          <w:lang w:eastAsia="zh-CN"/>
        </w:rPr>
        <w:t>电子签章</w:t>
      </w:r>
      <w:r>
        <w:rPr>
          <w:rFonts w:hint="eastAsia" w:ascii="仿宋" w:hAnsi="仿宋" w:eastAsia="仿宋" w:cs="仿宋"/>
          <w:kern w:val="2"/>
          <w:sz w:val="24"/>
          <w:szCs w:val="20"/>
          <w:lang w:val="en-US" w:eastAsia="zh-CN" w:bidi="ar-SA"/>
        </w:rPr>
        <w:t>）</w:t>
      </w:r>
    </w:p>
    <w:p w14:paraId="7E35A08B">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                               </w:t>
      </w:r>
    </w:p>
    <w:p w14:paraId="6591180F">
      <w:pPr>
        <w:ind w:firstLine="480" w:firstLineChars="200"/>
        <w:jc w:val="righ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年     月      日</w:t>
      </w:r>
    </w:p>
    <w:p w14:paraId="14CF32B3">
      <w:pPr>
        <w:ind w:firstLine="480" w:firstLineChars="200"/>
        <w:rPr>
          <w:rFonts w:hint="eastAsia" w:ascii="仿宋" w:hAnsi="仿宋" w:eastAsia="仿宋" w:cs="仿宋"/>
          <w:kern w:val="2"/>
          <w:sz w:val="24"/>
          <w:szCs w:val="20"/>
          <w:lang w:val="en-US" w:eastAsia="zh-CN" w:bidi="ar-SA"/>
        </w:rPr>
        <w:sectPr>
          <w:headerReference r:id="rId7" w:type="default"/>
          <w:footerReference r:id="rId8"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p>
    <w:p w14:paraId="7F26B0DA">
      <w:pPr>
        <w:pStyle w:val="3"/>
        <w:spacing w:before="0" w:line="240" w:lineRule="atLeast"/>
        <w:rPr>
          <w:rFonts w:ascii="仿宋" w:hAnsi="仿宋" w:eastAsia="仿宋" w:cs="仿宋"/>
          <w:sz w:val="24"/>
          <w:szCs w:val="24"/>
        </w:rPr>
      </w:pPr>
      <w:bookmarkStart w:id="338" w:name="_Hlt520356243"/>
      <w:bookmarkEnd w:id="338"/>
      <w:bookmarkStart w:id="339" w:name="_Hlt520355938"/>
      <w:bookmarkEnd w:id="339"/>
      <w:bookmarkStart w:id="340" w:name="_Toc515647818"/>
      <w:bookmarkStart w:id="341" w:name="_Toc1881"/>
      <w:bookmarkStart w:id="342" w:name="_Toc20897"/>
      <w:bookmarkStart w:id="343" w:name="_Toc216582815"/>
      <w:bookmarkStart w:id="344" w:name="_Toc19241"/>
      <w:bookmarkStart w:id="345" w:name="_Toc30490"/>
      <w:r>
        <w:rPr>
          <w:rFonts w:hint="eastAsia" w:ascii="仿宋" w:hAnsi="仿宋" w:eastAsia="仿宋" w:cs="仿宋"/>
          <w:sz w:val="24"/>
          <w:szCs w:val="24"/>
        </w:rPr>
        <w:t xml:space="preserve">3   </w:t>
      </w:r>
      <w:bookmarkEnd w:id="340"/>
      <w:bookmarkEnd w:id="341"/>
      <w:bookmarkEnd w:id="342"/>
      <w:bookmarkEnd w:id="343"/>
      <w:bookmarkEnd w:id="344"/>
      <w:r>
        <w:rPr>
          <w:rFonts w:hint="eastAsia" w:ascii="仿宋" w:hAnsi="仿宋" w:eastAsia="仿宋" w:cs="仿宋"/>
          <w:sz w:val="24"/>
          <w:szCs w:val="24"/>
          <w:lang w:val="en-US" w:eastAsia="zh-CN"/>
        </w:rPr>
        <w:t>服务</w:t>
      </w:r>
      <w:r>
        <w:rPr>
          <w:rFonts w:hint="eastAsia" w:ascii="仿宋" w:hAnsi="仿宋" w:eastAsia="仿宋" w:cs="仿宋"/>
          <w:sz w:val="24"/>
          <w:szCs w:val="24"/>
        </w:rPr>
        <w:t>分项报价表（</w:t>
      </w:r>
      <w:r>
        <w:rPr>
          <w:rFonts w:hint="eastAsia" w:ascii="仿宋" w:hAnsi="仿宋" w:eastAsia="仿宋" w:cs="仿宋"/>
          <w:sz w:val="24"/>
          <w:szCs w:val="24"/>
          <w:lang w:val="en-US" w:eastAsia="zh-CN"/>
        </w:rPr>
        <w:t>招标</w:t>
      </w:r>
      <w:r>
        <w:rPr>
          <w:rFonts w:hint="eastAsia" w:ascii="仿宋" w:hAnsi="仿宋" w:eastAsia="仿宋" w:cs="仿宋"/>
          <w:sz w:val="24"/>
          <w:szCs w:val="24"/>
        </w:rPr>
        <w:t>文件格式七）</w:t>
      </w:r>
      <w:bookmarkEnd w:id="345"/>
    </w:p>
    <w:p w14:paraId="09476A57">
      <w:pPr>
        <w:pStyle w:val="17"/>
        <w:spacing w:line="240" w:lineRule="atLeast"/>
        <w:ind w:left="1080" w:leftChars="257" w:hanging="540"/>
        <w:rPr>
          <w:rFonts w:ascii="仿宋" w:hAnsi="仿宋" w:eastAsia="仿宋" w:cs="仿宋"/>
          <w:sz w:val="24"/>
          <w:szCs w:val="24"/>
        </w:rPr>
      </w:pPr>
    </w:p>
    <w:p w14:paraId="22292398">
      <w:pPr>
        <w:pStyle w:val="17"/>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项目名称:                      项目编号:                      </w:t>
      </w:r>
    </w:p>
    <w:p w14:paraId="637D81C8">
      <w:pPr>
        <w:pStyle w:val="17"/>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包号: 　               　报价单位：人民币万元</w:t>
      </w:r>
    </w:p>
    <w:tbl>
      <w:tblPr>
        <w:tblStyle w:val="39"/>
        <w:tblpPr w:leftFromText="180" w:rightFromText="180" w:vertAnchor="text" w:horzAnchor="page" w:tblpXSpec="center" w:tblpY="373"/>
        <w:tblOverlap w:val="never"/>
        <w:tblW w:w="95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207"/>
        <w:gridCol w:w="1450"/>
        <w:gridCol w:w="1512"/>
        <w:gridCol w:w="1250"/>
        <w:gridCol w:w="1263"/>
        <w:gridCol w:w="1302"/>
        <w:gridCol w:w="741"/>
      </w:tblGrid>
      <w:tr w14:paraId="45764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19" w:type="dxa"/>
            <w:vAlign w:val="center"/>
          </w:tcPr>
          <w:p w14:paraId="31FB623C">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r>
              <w:rPr>
                <w:rFonts w:hint="eastAsia" w:ascii="仿宋" w:hAnsi="仿宋" w:eastAsia="仿宋" w:cs="仿宋"/>
                <w:sz w:val="24"/>
                <w:szCs w:val="24"/>
              </w:rPr>
              <w:t>序号</w:t>
            </w:r>
          </w:p>
        </w:tc>
        <w:tc>
          <w:tcPr>
            <w:tcW w:w="1207" w:type="dxa"/>
            <w:vAlign w:val="center"/>
          </w:tcPr>
          <w:p w14:paraId="6A451057">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r>
              <w:rPr>
                <w:rFonts w:hint="eastAsia" w:ascii="仿宋" w:hAnsi="仿宋" w:eastAsia="仿宋" w:cs="仿宋"/>
                <w:sz w:val="24"/>
                <w:szCs w:val="24"/>
              </w:rPr>
              <w:t>服务名称</w:t>
            </w:r>
          </w:p>
        </w:tc>
        <w:tc>
          <w:tcPr>
            <w:tcW w:w="1450" w:type="dxa"/>
            <w:vAlign w:val="center"/>
          </w:tcPr>
          <w:p w14:paraId="6A03F79D">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服务内容</w:t>
            </w:r>
          </w:p>
        </w:tc>
        <w:tc>
          <w:tcPr>
            <w:tcW w:w="1512" w:type="dxa"/>
            <w:vAlign w:val="center"/>
          </w:tcPr>
          <w:p w14:paraId="5073C25B">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数量</w:t>
            </w:r>
          </w:p>
        </w:tc>
        <w:tc>
          <w:tcPr>
            <w:tcW w:w="1250" w:type="dxa"/>
            <w:vAlign w:val="center"/>
          </w:tcPr>
          <w:p w14:paraId="6F402D79">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单位</w:t>
            </w:r>
          </w:p>
        </w:tc>
        <w:tc>
          <w:tcPr>
            <w:tcW w:w="1263" w:type="dxa"/>
            <w:vAlign w:val="center"/>
          </w:tcPr>
          <w:p w14:paraId="298B9E61">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单价</w:t>
            </w:r>
          </w:p>
        </w:tc>
        <w:tc>
          <w:tcPr>
            <w:tcW w:w="1302" w:type="dxa"/>
            <w:vAlign w:val="center"/>
          </w:tcPr>
          <w:p w14:paraId="7EED2021">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总价</w:t>
            </w:r>
          </w:p>
        </w:tc>
        <w:tc>
          <w:tcPr>
            <w:tcW w:w="741" w:type="dxa"/>
            <w:vAlign w:val="center"/>
          </w:tcPr>
          <w:p w14:paraId="0F631A86">
            <w:pPr>
              <w:pStyle w:val="17"/>
              <w:keepNext w:val="0"/>
              <w:keepLines w:val="0"/>
              <w:suppressLineNumbers w:val="0"/>
              <w:spacing w:before="0" w:beforeAutospacing="0" w:after="0" w:afterAutospacing="0" w:line="240" w:lineRule="atLeast"/>
              <w:ind w:left="0" w:right="0"/>
              <w:jc w:val="center"/>
              <w:rPr>
                <w:rFonts w:ascii="仿宋" w:hAnsi="仿宋" w:eastAsia="仿宋" w:cs="仿宋"/>
                <w:sz w:val="24"/>
                <w:szCs w:val="24"/>
              </w:rPr>
            </w:pPr>
            <w:r>
              <w:rPr>
                <w:rFonts w:hint="eastAsia" w:ascii="仿宋" w:hAnsi="仿宋" w:eastAsia="仿宋" w:cs="仿宋"/>
                <w:sz w:val="24"/>
                <w:szCs w:val="24"/>
              </w:rPr>
              <w:t>备注</w:t>
            </w:r>
          </w:p>
        </w:tc>
      </w:tr>
      <w:tr w14:paraId="3D909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819" w:type="dxa"/>
            <w:vAlign w:val="center"/>
          </w:tcPr>
          <w:p w14:paraId="4631096D">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2244B49E">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54DFB583">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25A96739">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64DA9F87">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55544781">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6384433F">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02783CE3">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226F7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819" w:type="dxa"/>
            <w:vAlign w:val="center"/>
          </w:tcPr>
          <w:p w14:paraId="70CE20D0">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5B24270B">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61EBBF97">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57B47F62">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3C7563D0">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728FBB59">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659E70AD">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098D5B1C">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0EB4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19" w:type="dxa"/>
            <w:vAlign w:val="center"/>
          </w:tcPr>
          <w:p w14:paraId="4CEDCF76">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1D12224B">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5043224C">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661F9A9C">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191343FA">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23C1EDD4">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12E0BC3A">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7E092D2E">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35A8A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19" w:type="dxa"/>
            <w:vAlign w:val="center"/>
          </w:tcPr>
          <w:p w14:paraId="7A6B73A2">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15A3027B">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565FC35A">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7CE062B9">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29AE69FD">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7D8B8AF6">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78EC0418">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24CED0DB">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13C30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19" w:type="dxa"/>
            <w:vAlign w:val="center"/>
          </w:tcPr>
          <w:p w14:paraId="4997B698">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591F48FA">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3765671F">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3BB6146E">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1816B6A2">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409ABEC6">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11DB7E7C">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09EB9831">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07BA3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519D1547">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5BF41B8D">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168EF4E1">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036EEBBA">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5F3B9F04">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1824F886">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36F8D93C">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32B28D68">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03909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494FD1FD">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46E635E1">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14495A21">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3685C05D">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2548EC64">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1D937293">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61D52504">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02F15A85">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43B88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2C5373AE">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6A53AFE1">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6CBA3E1B">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2EC3DDA9">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70F479EE">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58B36C6B">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12AA8B02">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2A1237E1">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r w14:paraId="33780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0C1442B8">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07" w:type="dxa"/>
            <w:vAlign w:val="center"/>
          </w:tcPr>
          <w:p w14:paraId="21FE3B12">
            <w:pPr>
              <w:keepNext w:val="0"/>
              <w:keepLines w:val="0"/>
              <w:widowControl/>
              <w:suppressLineNumbers w:val="0"/>
              <w:spacing w:before="0" w:beforeAutospacing="0" w:after="0" w:afterAutospacing="0"/>
              <w:ind w:left="0" w:right="0"/>
              <w:jc w:val="left"/>
              <w:textAlignment w:val="center"/>
              <w:rPr>
                <w:rFonts w:ascii="仿宋" w:hAnsi="仿宋" w:eastAsia="仿宋" w:cs="仿宋"/>
                <w:sz w:val="24"/>
              </w:rPr>
            </w:pPr>
          </w:p>
        </w:tc>
        <w:tc>
          <w:tcPr>
            <w:tcW w:w="1450" w:type="dxa"/>
            <w:vAlign w:val="center"/>
          </w:tcPr>
          <w:p w14:paraId="60DDC165">
            <w:pPr>
              <w:pStyle w:val="17"/>
              <w:keepNext w:val="0"/>
              <w:keepLines w:val="0"/>
              <w:suppressLineNumbers w:val="0"/>
              <w:spacing w:before="0" w:beforeAutospacing="0" w:after="0" w:afterAutospacing="0" w:line="240" w:lineRule="atLeast"/>
              <w:ind w:left="0" w:right="0"/>
              <w:jc w:val="left"/>
              <w:rPr>
                <w:rFonts w:ascii="仿宋" w:hAnsi="仿宋" w:eastAsia="仿宋" w:cs="仿宋"/>
                <w:sz w:val="24"/>
                <w:szCs w:val="24"/>
              </w:rPr>
            </w:pPr>
          </w:p>
        </w:tc>
        <w:tc>
          <w:tcPr>
            <w:tcW w:w="1512" w:type="dxa"/>
            <w:vAlign w:val="center"/>
          </w:tcPr>
          <w:p w14:paraId="0845DE6E">
            <w:pPr>
              <w:keepNext w:val="0"/>
              <w:keepLines w:val="0"/>
              <w:widowControl/>
              <w:suppressLineNumbers w:val="0"/>
              <w:spacing w:before="0" w:beforeAutospacing="0" w:after="0" w:afterAutospacing="0"/>
              <w:ind w:left="0" w:right="0"/>
              <w:jc w:val="center"/>
              <w:textAlignment w:val="center"/>
              <w:rPr>
                <w:rFonts w:ascii="仿宋" w:hAnsi="仿宋" w:eastAsia="仿宋" w:cs="仿宋"/>
                <w:sz w:val="24"/>
              </w:rPr>
            </w:pPr>
          </w:p>
        </w:tc>
        <w:tc>
          <w:tcPr>
            <w:tcW w:w="1250" w:type="dxa"/>
            <w:vAlign w:val="center"/>
          </w:tcPr>
          <w:p w14:paraId="0A4CEACB">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263" w:type="dxa"/>
            <w:vAlign w:val="center"/>
          </w:tcPr>
          <w:p w14:paraId="711E841B">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1302" w:type="dxa"/>
            <w:vAlign w:val="center"/>
          </w:tcPr>
          <w:p w14:paraId="61BC1AC3">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c>
          <w:tcPr>
            <w:tcW w:w="741" w:type="dxa"/>
            <w:vAlign w:val="center"/>
          </w:tcPr>
          <w:p w14:paraId="758A6B69">
            <w:pPr>
              <w:pStyle w:val="17"/>
              <w:keepNext w:val="0"/>
              <w:keepLines w:val="0"/>
              <w:suppressLineNumbers w:val="0"/>
              <w:spacing w:before="0" w:beforeAutospacing="0" w:after="0" w:afterAutospacing="0" w:line="240" w:lineRule="atLeast"/>
              <w:ind w:left="1080" w:leftChars="257" w:right="0" w:hanging="540"/>
              <w:jc w:val="left"/>
              <w:rPr>
                <w:rFonts w:ascii="仿宋" w:hAnsi="仿宋" w:eastAsia="仿宋" w:cs="仿宋"/>
                <w:sz w:val="24"/>
                <w:szCs w:val="24"/>
              </w:rPr>
            </w:pPr>
          </w:p>
        </w:tc>
      </w:tr>
    </w:tbl>
    <w:p w14:paraId="7A33E170">
      <w:pPr>
        <w:pStyle w:val="17"/>
        <w:spacing w:line="240" w:lineRule="atLeast"/>
        <w:rPr>
          <w:rFonts w:ascii="仿宋" w:hAnsi="仿宋" w:eastAsia="仿宋" w:cs="仿宋"/>
          <w:sz w:val="24"/>
          <w:szCs w:val="24"/>
        </w:rPr>
      </w:pPr>
    </w:p>
    <w:p w14:paraId="4ADFDC0C">
      <w:pPr>
        <w:pStyle w:val="17"/>
        <w:tabs>
          <w:tab w:val="left" w:pos="5370"/>
        </w:tabs>
        <w:spacing w:line="240" w:lineRule="atLeast"/>
        <w:jc w:val="left"/>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38D5AE56">
      <w:pPr>
        <w:pStyle w:val="17"/>
        <w:tabs>
          <w:tab w:val="left" w:pos="5370"/>
        </w:tabs>
        <w:spacing w:line="240" w:lineRule="atLeast"/>
        <w:jc w:val="left"/>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25EBFEDE">
      <w:pPr>
        <w:pStyle w:val="17"/>
        <w:spacing w:line="240" w:lineRule="atLeast"/>
        <w:ind w:left="1080" w:leftChars="257" w:hanging="540"/>
        <w:jc w:val="left"/>
        <w:rPr>
          <w:rFonts w:hint="eastAsia" w:ascii="仿宋" w:hAnsi="仿宋" w:eastAsia="仿宋" w:cs="仿宋"/>
          <w:sz w:val="24"/>
        </w:rPr>
      </w:pPr>
    </w:p>
    <w:p w14:paraId="48E4F721">
      <w:pPr>
        <w:pStyle w:val="17"/>
        <w:spacing w:line="240" w:lineRule="atLeast"/>
        <w:rPr>
          <w:rFonts w:ascii="仿宋" w:hAnsi="仿宋" w:eastAsia="仿宋" w:cs="仿宋"/>
          <w:sz w:val="24"/>
          <w:szCs w:val="24"/>
        </w:rPr>
      </w:pPr>
      <w:r>
        <w:rPr>
          <w:rFonts w:hint="eastAsia" w:ascii="仿宋" w:hAnsi="仿宋" w:eastAsia="仿宋" w:cs="仿宋"/>
          <w:sz w:val="24"/>
          <w:szCs w:val="24"/>
        </w:rPr>
        <w:t>注:1.如果按单价计算的结果与总价不一致,以单价为准修正总价。</w:t>
      </w:r>
    </w:p>
    <w:p w14:paraId="672FA588">
      <w:pPr>
        <w:pStyle w:val="17"/>
        <w:spacing w:line="240" w:lineRule="atLeast"/>
        <w:rPr>
          <w:rFonts w:ascii="仿宋" w:hAnsi="仿宋" w:eastAsia="仿宋" w:cs="仿宋"/>
          <w:sz w:val="24"/>
          <w:szCs w:val="24"/>
        </w:rPr>
      </w:pPr>
      <w:r>
        <w:rPr>
          <w:rFonts w:hint="eastAsia" w:ascii="仿宋" w:hAnsi="仿宋" w:eastAsia="仿宋" w:cs="仿宋"/>
          <w:sz w:val="24"/>
          <w:szCs w:val="24"/>
        </w:rPr>
        <w:t xml:space="preserve">   2.上述各项的详细分项报价，应另页描述。</w:t>
      </w:r>
    </w:p>
    <w:p w14:paraId="20E6CC9C">
      <w:pPr>
        <w:pStyle w:val="17"/>
        <w:spacing w:line="240" w:lineRule="atLeast"/>
        <w:rPr>
          <w:rFonts w:ascii="仿宋" w:hAnsi="仿宋" w:eastAsia="仿宋" w:cs="仿宋"/>
          <w:sz w:val="24"/>
          <w:szCs w:val="24"/>
        </w:rPr>
      </w:pPr>
      <w:r>
        <w:rPr>
          <w:rFonts w:hint="eastAsia" w:ascii="仿宋" w:hAnsi="仿宋" w:eastAsia="仿宋" w:cs="仿宋"/>
          <w:sz w:val="24"/>
          <w:szCs w:val="24"/>
        </w:rPr>
        <w:t xml:space="preserve">   3.如果开标一览表（报价表）内容与投标文件中明细表内容不一致的，以开标一览表（报价表）内容为准。</w:t>
      </w:r>
    </w:p>
    <w:p w14:paraId="0B4EE4C5">
      <w:pPr>
        <w:pStyle w:val="3"/>
        <w:bidi w:val="0"/>
        <w:rPr>
          <w:rFonts w:hint="eastAsia" w:ascii="仿宋" w:hAnsi="仿宋" w:eastAsia="仿宋" w:cs="仿宋"/>
          <w:sz w:val="24"/>
          <w:szCs w:val="24"/>
        </w:rPr>
      </w:pPr>
      <w:bookmarkStart w:id="346" w:name="_Toc216582816"/>
      <w:bookmarkStart w:id="347" w:name="_Toc14037"/>
      <w:bookmarkStart w:id="348" w:name="_Toc18267"/>
      <w:bookmarkStart w:id="349" w:name="_Toc515647819"/>
      <w:bookmarkStart w:id="350" w:name="_Toc617"/>
    </w:p>
    <w:p w14:paraId="78AEAEF2">
      <w:pPr>
        <w:pStyle w:val="3"/>
        <w:bidi w:val="0"/>
        <w:rPr>
          <w:rFonts w:hint="eastAsia" w:ascii="仿宋" w:hAnsi="仿宋" w:eastAsia="仿宋" w:cs="仿宋"/>
          <w:sz w:val="24"/>
          <w:szCs w:val="24"/>
        </w:rPr>
      </w:pPr>
    </w:p>
    <w:p w14:paraId="0BC69C4B">
      <w:pPr>
        <w:pStyle w:val="3"/>
        <w:bidi w:val="0"/>
        <w:rPr>
          <w:rFonts w:hint="eastAsia" w:ascii="仿宋" w:hAnsi="仿宋" w:eastAsia="仿宋" w:cs="仿宋"/>
          <w:sz w:val="24"/>
          <w:szCs w:val="24"/>
        </w:rPr>
      </w:pPr>
      <w:bookmarkStart w:id="351" w:name="_Toc8085"/>
      <w:r>
        <w:rPr>
          <w:rFonts w:hint="eastAsia" w:ascii="仿宋" w:hAnsi="仿宋" w:eastAsia="仿宋" w:cs="仿宋"/>
          <w:sz w:val="24"/>
          <w:szCs w:val="24"/>
        </w:rPr>
        <w:t xml:space="preserve">4   </w:t>
      </w:r>
      <w:r>
        <w:rPr>
          <w:rFonts w:hint="eastAsia" w:ascii="仿宋" w:hAnsi="仿宋" w:eastAsia="仿宋" w:cs="仿宋"/>
          <w:sz w:val="24"/>
          <w:szCs w:val="24"/>
          <w:lang w:eastAsia="zh-CN"/>
        </w:rPr>
        <w:t>服务</w:t>
      </w:r>
      <w:r>
        <w:rPr>
          <w:rFonts w:hint="eastAsia" w:ascii="仿宋" w:hAnsi="仿宋" w:eastAsia="仿宋" w:cs="仿宋"/>
          <w:sz w:val="24"/>
          <w:szCs w:val="24"/>
        </w:rPr>
        <w:t>说明一览表</w:t>
      </w:r>
      <w:bookmarkEnd w:id="346"/>
      <w:r>
        <w:rPr>
          <w:rFonts w:hint="eastAsia" w:ascii="仿宋" w:hAnsi="仿宋" w:eastAsia="仿宋" w:cs="仿宋"/>
          <w:sz w:val="24"/>
          <w:szCs w:val="24"/>
        </w:rPr>
        <w:t>（投标文件格式八）</w:t>
      </w:r>
      <w:bookmarkEnd w:id="347"/>
      <w:bookmarkEnd w:id="348"/>
      <w:bookmarkEnd w:id="349"/>
      <w:bookmarkEnd w:id="350"/>
      <w:bookmarkEnd w:id="351"/>
    </w:p>
    <w:p w14:paraId="57DD7D2F">
      <w:pPr>
        <w:pStyle w:val="17"/>
        <w:spacing w:line="240" w:lineRule="atLeast"/>
        <w:ind w:left="1080" w:leftChars="257" w:hanging="540"/>
        <w:rPr>
          <w:rFonts w:hint="eastAsia" w:ascii="仿宋" w:hAnsi="仿宋" w:eastAsia="仿宋" w:cs="仿宋"/>
          <w:sz w:val="24"/>
        </w:rPr>
      </w:pPr>
    </w:p>
    <w:p w14:paraId="421B3613">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包号:                      </w:t>
      </w:r>
    </w:p>
    <w:p w14:paraId="55280003">
      <w:pPr>
        <w:pStyle w:val="17"/>
        <w:spacing w:line="240" w:lineRule="atLeast"/>
        <w:ind w:left="1080" w:leftChars="257" w:hanging="540"/>
        <w:rPr>
          <w:rFonts w:hint="eastAsia" w:ascii="仿宋" w:hAnsi="仿宋" w:eastAsia="仿宋" w:cs="仿宋"/>
          <w:sz w:val="24"/>
        </w:rPr>
      </w:pPr>
    </w:p>
    <w:p w14:paraId="054997E7">
      <w:pPr>
        <w:pStyle w:val="17"/>
        <w:spacing w:line="240" w:lineRule="atLeast"/>
        <w:ind w:left="1080" w:leftChars="257" w:hanging="540"/>
        <w:rPr>
          <w:rFonts w:hint="eastAsia" w:ascii="仿宋" w:hAnsi="仿宋" w:eastAsia="仿宋" w:cs="仿宋"/>
          <w:sz w:val="24"/>
        </w:rPr>
      </w:pPr>
    </w:p>
    <w:tbl>
      <w:tblPr>
        <w:tblStyle w:val="39"/>
        <w:tblpPr w:leftFromText="180" w:rightFromText="180" w:vertAnchor="text" w:horzAnchor="page" w:tblpX="1158" w:tblpY="8"/>
        <w:tblOverlap w:val="never"/>
        <w:tblW w:w="96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616"/>
        <w:gridCol w:w="1469"/>
        <w:gridCol w:w="1322"/>
        <w:gridCol w:w="1616"/>
        <w:gridCol w:w="1352"/>
        <w:gridCol w:w="1061"/>
      </w:tblGrid>
      <w:tr w14:paraId="41FDC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1BEBEAED">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序号</w:t>
            </w:r>
          </w:p>
        </w:tc>
        <w:tc>
          <w:tcPr>
            <w:tcW w:w="1616" w:type="dxa"/>
            <w:noWrap w:val="0"/>
            <w:vAlign w:val="top"/>
          </w:tcPr>
          <w:p w14:paraId="06E13E6C">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lang w:eastAsia="zh-CN"/>
              </w:rPr>
              <w:t>服务</w:t>
            </w:r>
            <w:r>
              <w:rPr>
                <w:rFonts w:hint="eastAsia" w:ascii="仿宋" w:hAnsi="仿宋" w:eastAsia="仿宋" w:cs="仿宋"/>
                <w:sz w:val="24"/>
              </w:rPr>
              <w:t>名称</w:t>
            </w:r>
          </w:p>
        </w:tc>
        <w:tc>
          <w:tcPr>
            <w:tcW w:w="1469" w:type="dxa"/>
            <w:noWrap w:val="0"/>
            <w:vAlign w:val="top"/>
          </w:tcPr>
          <w:p w14:paraId="10F77D58">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主要规格</w:t>
            </w:r>
          </w:p>
        </w:tc>
        <w:tc>
          <w:tcPr>
            <w:tcW w:w="1322" w:type="dxa"/>
            <w:noWrap w:val="0"/>
            <w:vAlign w:val="top"/>
          </w:tcPr>
          <w:p w14:paraId="36A8951E">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数量</w:t>
            </w:r>
          </w:p>
        </w:tc>
        <w:tc>
          <w:tcPr>
            <w:tcW w:w="1616" w:type="dxa"/>
            <w:noWrap w:val="0"/>
            <w:vAlign w:val="top"/>
          </w:tcPr>
          <w:p w14:paraId="73169F66">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lang w:val="en-US" w:eastAsia="zh-CN"/>
              </w:rPr>
              <w:t>服务</w:t>
            </w:r>
            <w:r>
              <w:rPr>
                <w:rFonts w:hint="eastAsia" w:ascii="仿宋" w:hAnsi="仿宋" w:eastAsia="仿宋" w:cs="仿宋"/>
                <w:sz w:val="24"/>
              </w:rPr>
              <w:t>期</w:t>
            </w:r>
          </w:p>
        </w:tc>
        <w:tc>
          <w:tcPr>
            <w:tcW w:w="1352" w:type="dxa"/>
            <w:noWrap w:val="0"/>
            <w:vAlign w:val="top"/>
          </w:tcPr>
          <w:p w14:paraId="1D2C0384">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lang w:val="en-US" w:eastAsia="zh-CN"/>
              </w:rPr>
              <w:t>服务</w:t>
            </w:r>
            <w:r>
              <w:rPr>
                <w:rFonts w:hint="eastAsia" w:ascii="仿宋" w:hAnsi="仿宋" w:eastAsia="仿宋" w:cs="仿宋"/>
                <w:sz w:val="24"/>
              </w:rPr>
              <w:t>地点</w:t>
            </w:r>
          </w:p>
        </w:tc>
        <w:tc>
          <w:tcPr>
            <w:tcW w:w="1061" w:type="dxa"/>
            <w:noWrap w:val="0"/>
            <w:vAlign w:val="top"/>
          </w:tcPr>
          <w:p w14:paraId="3D3E2329">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其它</w:t>
            </w:r>
          </w:p>
        </w:tc>
      </w:tr>
      <w:tr w14:paraId="7BEE0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3873204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4A98305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134AC7E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3F628D7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B19A93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20339D9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10BCF61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16CA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0F7688C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7A65DE3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295D2E3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6E08BA8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7AE3967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351B75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0FBBBD8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215A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2EEB196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EABAFC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78B0FAF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2403866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1702433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58EB734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631CAC5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20BA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53EE9D9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7640093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6BFCDB4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42E1C5A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6EEAC2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5520DB6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3FA6CB0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018E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16DC048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7CB5F49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2426BCC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35435EF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1F36EC8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7765EA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6C4638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ACBD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3AE4993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6E780B0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0F0AD64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33B14E2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103762F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90D455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066E667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6B89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46EF44E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792CFD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79BD75D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0A677F0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8F3E66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5B75300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098F3DA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B71D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175" w:type="dxa"/>
            <w:noWrap w:val="0"/>
            <w:vAlign w:val="top"/>
          </w:tcPr>
          <w:p w14:paraId="4993DF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6AEBB12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15D4200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63DC6CA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63EBC8B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CB1F15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2D5F934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1720CCE9">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14F9CA5E">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23C42101">
      <w:pPr>
        <w:pStyle w:val="17"/>
        <w:spacing w:line="240" w:lineRule="atLeast"/>
        <w:ind w:left="1080" w:leftChars="257" w:hanging="540"/>
        <w:rPr>
          <w:rFonts w:hint="eastAsia" w:ascii="仿宋" w:hAnsi="仿宋" w:eastAsia="仿宋" w:cs="仿宋"/>
          <w:sz w:val="24"/>
        </w:rPr>
      </w:pPr>
    </w:p>
    <w:p w14:paraId="598E1123">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注: 各项</w:t>
      </w:r>
      <w:r>
        <w:rPr>
          <w:rFonts w:hint="eastAsia" w:ascii="仿宋" w:hAnsi="仿宋" w:eastAsia="仿宋" w:cs="仿宋"/>
          <w:sz w:val="24"/>
          <w:lang w:eastAsia="zh-CN"/>
        </w:rPr>
        <w:t>服务</w:t>
      </w:r>
      <w:r>
        <w:rPr>
          <w:rFonts w:hint="eastAsia" w:ascii="仿宋" w:hAnsi="仿宋" w:eastAsia="仿宋" w:cs="仿宋"/>
          <w:sz w:val="24"/>
        </w:rPr>
        <w:t>详细技术性能应另页描述。</w:t>
      </w:r>
    </w:p>
    <w:p w14:paraId="54939156">
      <w:pPr>
        <w:pStyle w:val="17"/>
        <w:spacing w:line="240" w:lineRule="atLeast"/>
        <w:ind w:left="1080" w:leftChars="257" w:hanging="540"/>
        <w:jc w:val="center"/>
        <w:rPr>
          <w:rFonts w:hint="eastAsia" w:ascii="仿宋" w:hAnsi="仿宋" w:eastAsia="仿宋" w:cs="仿宋"/>
          <w:sz w:val="24"/>
        </w:rPr>
      </w:pPr>
    </w:p>
    <w:p w14:paraId="2F362035">
      <w:pPr>
        <w:pStyle w:val="17"/>
        <w:spacing w:line="240" w:lineRule="atLeast"/>
        <w:ind w:left="1080" w:leftChars="257" w:hanging="540"/>
        <w:jc w:val="center"/>
        <w:rPr>
          <w:rFonts w:hint="eastAsia" w:ascii="仿宋" w:hAnsi="仿宋" w:eastAsia="仿宋" w:cs="仿宋"/>
          <w:sz w:val="24"/>
        </w:rPr>
        <w:sectPr>
          <w:footerReference r:id="rId9"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255F98B">
      <w:pPr>
        <w:pStyle w:val="3"/>
        <w:bidi w:val="0"/>
        <w:rPr>
          <w:rFonts w:hint="eastAsia" w:ascii="仿宋" w:hAnsi="仿宋" w:eastAsia="仿宋" w:cs="仿宋"/>
          <w:sz w:val="24"/>
          <w:szCs w:val="24"/>
        </w:rPr>
      </w:pPr>
      <w:bookmarkStart w:id="352" w:name="_Toc216582817"/>
      <w:bookmarkStart w:id="353" w:name="_Toc24689"/>
      <w:bookmarkStart w:id="354" w:name="_Toc22563"/>
      <w:bookmarkStart w:id="355" w:name="_Toc515647820"/>
      <w:bookmarkStart w:id="356" w:name="_Toc28959"/>
      <w:bookmarkStart w:id="357" w:name="_Toc18950"/>
      <w:r>
        <w:rPr>
          <w:rFonts w:hint="eastAsia" w:ascii="仿宋" w:hAnsi="仿宋" w:eastAsia="仿宋" w:cs="仿宋"/>
          <w:sz w:val="24"/>
          <w:szCs w:val="24"/>
        </w:rPr>
        <w:t>5   技术规格偏离表</w:t>
      </w:r>
      <w:bookmarkEnd w:id="352"/>
      <w:r>
        <w:rPr>
          <w:rFonts w:hint="eastAsia" w:ascii="仿宋" w:hAnsi="仿宋" w:eastAsia="仿宋" w:cs="仿宋"/>
          <w:sz w:val="24"/>
          <w:szCs w:val="24"/>
        </w:rPr>
        <w:t>（投标文件格式九）</w:t>
      </w:r>
      <w:bookmarkEnd w:id="353"/>
      <w:bookmarkEnd w:id="354"/>
      <w:bookmarkEnd w:id="355"/>
      <w:bookmarkEnd w:id="356"/>
      <w:bookmarkEnd w:id="357"/>
    </w:p>
    <w:p w14:paraId="36C03BEE">
      <w:pPr>
        <w:pStyle w:val="17"/>
        <w:spacing w:line="240" w:lineRule="atLeast"/>
        <w:ind w:left="1080" w:leftChars="257" w:hanging="540"/>
        <w:rPr>
          <w:rFonts w:hint="eastAsia" w:ascii="仿宋" w:hAnsi="仿宋" w:eastAsia="仿宋" w:cs="仿宋"/>
          <w:sz w:val="24"/>
        </w:rPr>
      </w:pPr>
    </w:p>
    <w:p w14:paraId="217399C3">
      <w:pPr>
        <w:pStyle w:val="17"/>
        <w:spacing w:line="240" w:lineRule="atLeast"/>
        <w:rPr>
          <w:rFonts w:hint="eastAsia" w:ascii="仿宋" w:hAnsi="仿宋" w:eastAsia="仿宋" w:cs="仿宋"/>
          <w:sz w:val="24"/>
        </w:rPr>
      </w:pPr>
      <w:r>
        <w:rPr>
          <w:rFonts w:hint="eastAsia" w:ascii="仿宋" w:hAnsi="仿宋" w:eastAsia="仿宋" w:cs="仿宋"/>
          <w:sz w:val="24"/>
        </w:rPr>
        <w:t>项目名称:                       招标编号:                 包号:</w:t>
      </w:r>
    </w:p>
    <w:p w14:paraId="154C2E5C">
      <w:pPr>
        <w:pStyle w:val="17"/>
        <w:spacing w:line="240" w:lineRule="atLeast"/>
        <w:ind w:left="1080" w:leftChars="257" w:hanging="540"/>
        <w:rPr>
          <w:rFonts w:hint="eastAsia" w:ascii="仿宋" w:hAnsi="仿宋" w:eastAsia="仿宋" w:cs="仿宋"/>
          <w:sz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39A43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center"/>
          </w:tcPr>
          <w:p w14:paraId="3FA42A86">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序号</w:t>
            </w:r>
          </w:p>
        </w:tc>
        <w:tc>
          <w:tcPr>
            <w:tcW w:w="1260" w:type="dxa"/>
            <w:noWrap w:val="0"/>
            <w:vAlign w:val="center"/>
          </w:tcPr>
          <w:p w14:paraId="5C35F07E">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lang w:eastAsia="zh-CN"/>
              </w:rPr>
              <w:t>服务</w:t>
            </w:r>
            <w:r>
              <w:rPr>
                <w:rFonts w:hint="eastAsia" w:ascii="仿宋" w:hAnsi="仿宋" w:eastAsia="仿宋" w:cs="仿宋"/>
                <w:sz w:val="24"/>
              </w:rPr>
              <w:t>名称</w:t>
            </w:r>
          </w:p>
        </w:tc>
        <w:tc>
          <w:tcPr>
            <w:tcW w:w="2340" w:type="dxa"/>
            <w:noWrap w:val="0"/>
            <w:vAlign w:val="center"/>
          </w:tcPr>
          <w:p w14:paraId="7B1D2FEE">
            <w:pPr>
              <w:pStyle w:val="17"/>
              <w:keepNext w:val="0"/>
              <w:keepLines w:val="0"/>
              <w:suppressLineNumbers w:val="0"/>
              <w:spacing w:before="0" w:beforeAutospacing="0" w:after="0" w:afterAutospacing="0" w:line="240" w:lineRule="atLeast"/>
              <w:ind w:left="269" w:leftChars="128" w:right="0"/>
              <w:jc w:val="center"/>
              <w:rPr>
                <w:rFonts w:hint="eastAsia" w:ascii="仿宋" w:hAnsi="仿宋" w:eastAsia="仿宋" w:cs="仿宋"/>
                <w:sz w:val="24"/>
              </w:rPr>
            </w:pPr>
            <w:r>
              <w:rPr>
                <w:rFonts w:hint="eastAsia" w:ascii="仿宋" w:hAnsi="仿宋" w:eastAsia="仿宋" w:cs="仿宋"/>
                <w:sz w:val="24"/>
              </w:rPr>
              <w:t>招标文件条款号</w:t>
            </w:r>
          </w:p>
        </w:tc>
        <w:tc>
          <w:tcPr>
            <w:tcW w:w="1260" w:type="dxa"/>
            <w:noWrap w:val="0"/>
            <w:vAlign w:val="center"/>
          </w:tcPr>
          <w:p w14:paraId="2AE2E53C">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招标规格</w:t>
            </w:r>
          </w:p>
        </w:tc>
        <w:tc>
          <w:tcPr>
            <w:tcW w:w="1260" w:type="dxa"/>
            <w:noWrap w:val="0"/>
            <w:vAlign w:val="center"/>
          </w:tcPr>
          <w:p w14:paraId="4F56679E">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投标规格</w:t>
            </w:r>
          </w:p>
        </w:tc>
        <w:tc>
          <w:tcPr>
            <w:tcW w:w="900" w:type="dxa"/>
            <w:noWrap w:val="0"/>
            <w:vAlign w:val="center"/>
          </w:tcPr>
          <w:p w14:paraId="7F46184F">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偏离</w:t>
            </w:r>
          </w:p>
        </w:tc>
        <w:tc>
          <w:tcPr>
            <w:tcW w:w="900" w:type="dxa"/>
            <w:noWrap w:val="0"/>
            <w:vAlign w:val="center"/>
          </w:tcPr>
          <w:p w14:paraId="588ABD93">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说明</w:t>
            </w:r>
          </w:p>
        </w:tc>
      </w:tr>
      <w:tr w14:paraId="627B6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C4BEAD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9EE665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8D73A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43DCD0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64A2E3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825B6C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F87EB1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FAAA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78D7A7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F2CDDB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3C36576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44F8B7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EB0EEC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30658B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7C2186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1C31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1CF483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6C1E4E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03BAF49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0DFABE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EE9A3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A1A150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CC862B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0BE8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E3E7DA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6E9606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19AB54E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050461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98D061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4F4ECD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2AE1C6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B3CE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AAC8FE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554271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6B55950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98621B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43C341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72C53E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574750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A0C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0C3D83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4F755E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1CC3EE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B8B98E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8C3296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4183CB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95599F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6597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D5E392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C73803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4E129A8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767ECA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28651B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B576E6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98FE31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6992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285208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04AF0B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3FD8D07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4373CE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91F06A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BEF309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31C416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7990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0D7C31A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60A67A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35C460F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26909F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21948A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64B721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CEEADD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B10D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BAA9BB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B1DDE4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EFD905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F47AB5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355345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0EDC8B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7C282F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B0D7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1371D60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035B5E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C6E125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64B5C1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1FDFDC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D830F9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A83F35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81E8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1640F6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22B508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42A0989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8316EB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A145CB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09BAD7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4F8253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8D60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29CF266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3CA071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032E19B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0B2AAF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FE6A6D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C0BABD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C1B344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BCB7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2FDB26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8D1F09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BA24A9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9B22D6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DCE642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1EBF33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418FC9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4008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74D4F9A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37B351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460A5ED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A02DC3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556734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91E806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C4568C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06A3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D22A60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7F848B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06DE19A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C49448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648B75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5EAA41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BBFC06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B941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2CCB394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D16243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2D4ED60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6F4B5C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EA35F2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F2FAD1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AAC3AA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0235624E">
      <w:pPr>
        <w:pStyle w:val="17"/>
        <w:spacing w:line="240" w:lineRule="atLeast"/>
        <w:ind w:left="1080" w:leftChars="257" w:hanging="540"/>
        <w:rPr>
          <w:rFonts w:hint="eastAsia" w:ascii="仿宋" w:hAnsi="仿宋" w:eastAsia="仿宋" w:cs="仿宋"/>
          <w:sz w:val="24"/>
        </w:rPr>
      </w:pPr>
    </w:p>
    <w:p w14:paraId="5907542E">
      <w:pPr>
        <w:pStyle w:val="17"/>
        <w:spacing w:line="240" w:lineRule="atLeast"/>
        <w:ind w:left="1080" w:leftChars="257" w:hanging="540"/>
        <w:rPr>
          <w:rFonts w:hint="eastAsia" w:ascii="仿宋" w:hAnsi="仿宋" w:eastAsia="仿宋" w:cs="仿宋"/>
          <w:sz w:val="24"/>
        </w:rPr>
      </w:pPr>
    </w:p>
    <w:p w14:paraId="2CECD90A">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5DA06CFF">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081E1C44">
      <w:pPr>
        <w:pStyle w:val="17"/>
        <w:tabs>
          <w:tab w:val="left" w:pos="5580"/>
        </w:tabs>
        <w:spacing w:line="240" w:lineRule="auto"/>
        <w:ind w:left="0" w:leftChars="0" w:firstLine="0"/>
        <w:rPr>
          <w:rFonts w:hint="eastAsia" w:ascii="仿宋" w:hAnsi="仿宋" w:eastAsia="仿宋" w:cs="仿宋"/>
          <w:sz w:val="24"/>
        </w:rPr>
      </w:pPr>
      <w:r>
        <w:rPr>
          <w:rFonts w:hint="eastAsia" w:ascii="仿宋" w:hAnsi="仿宋" w:eastAsia="仿宋" w:cs="仿宋"/>
          <w:b/>
          <w:bCs/>
          <w:sz w:val="24"/>
          <w:lang w:val="en-US" w:eastAsia="zh-CN"/>
        </w:rPr>
        <w:t>注：投标人需如实完整的填写上表，如填写不完整或填写内容与产品证明资料不符或内容与供货时提供的不一致，投标人自行承担投标无效、提供虚假材料谋取中标成交、验收不通过的风险。</w:t>
      </w:r>
      <w:r>
        <w:rPr>
          <w:rFonts w:hint="eastAsia" w:ascii="仿宋" w:hAnsi="仿宋" w:eastAsia="仿宋" w:cs="仿宋"/>
          <w:sz w:val="24"/>
          <w:u w:val="single"/>
        </w:rPr>
        <w:br w:type="page"/>
      </w:r>
    </w:p>
    <w:p w14:paraId="07D3538D">
      <w:pPr>
        <w:pStyle w:val="3"/>
        <w:bidi w:val="0"/>
        <w:rPr>
          <w:rFonts w:hint="eastAsia" w:ascii="仿宋" w:hAnsi="仿宋" w:eastAsia="仿宋" w:cs="仿宋"/>
          <w:sz w:val="24"/>
          <w:szCs w:val="24"/>
        </w:rPr>
      </w:pPr>
      <w:bookmarkStart w:id="358" w:name="_Toc216582818"/>
      <w:bookmarkStart w:id="359" w:name="_Toc24034"/>
      <w:bookmarkStart w:id="360" w:name="_Toc515647821"/>
      <w:bookmarkStart w:id="361" w:name="_Toc23"/>
      <w:bookmarkStart w:id="362" w:name="_Toc1980"/>
      <w:bookmarkStart w:id="363" w:name="_Toc7624"/>
      <w:r>
        <w:rPr>
          <w:rFonts w:hint="eastAsia" w:ascii="仿宋" w:hAnsi="仿宋" w:eastAsia="仿宋" w:cs="仿宋"/>
          <w:sz w:val="24"/>
          <w:szCs w:val="24"/>
        </w:rPr>
        <w:t>6   商务条款偏离表</w:t>
      </w:r>
      <w:bookmarkEnd w:id="358"/>
      <w:r>
        <w:rPr>
          <w:rFonts w:hint="eastAsia" w:ascii="仿宋" w:hAnsi="仿宋" w:eastAsia="仿宋" w:cs="仿宋"/>
          <w:sz w:val="24"/>
          <w:szCs w:val="24"/>
        </w:rPr>
        <w:t>（投标文件格式十）</w:t>
      </w:r>
      <w:bookmarkEnd w:id="359"/>
      <w:bookmarkEnd w:id="360"/>
      <w:bookmarkEnd w:id="361"/>
      <w:bookmarkEnd w:id="362"/>
      <w:bookmarkEnd w:id="363"/>
    </w:p>
    <w:p w14:paraId="1EB06860">
      <w:pPr>
        <w:pStyle w:val="17"/>
        <w:spacing w:line="240" w:lineRule="atLeast"/>
        <w:ind w:left="1080" w:leftChars="257" w:hanging="540"/>
        <w:rPr>
          <w:rFonts w:hint="eastAsia" w:ascii="仿宋" w:hAnsi="仿宋" w:eastAsia="仿宋" w:cs="仿宋"/>
          <w:sz w:val="24"/>
        </w:rPr>
      </w:pPr>
    </w:p>
    <w:p w14:paraId="7934A28B">
      <w:pPr>
        <w:pStyle w:val="17"/>
        <w:spacing w:line="240" w:lineRule="atLeast"/>
        <w:ind w:left="1080" w:leftChars="257" w:hanging="540"/>
        <w:rPr>
          <w:rFonts w:hint="eastAsia" w:ascii="仿宋" w:hAnsi="仿宋" w:eastAsia="仿宋" w:cs="仿宋"/>
          <w:sz w:val="24"/>
        </w:rPr>
      </w:pPr>
    </w:p>
    <w:p w14:paraId="3EBA087A">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项目名称:                      招标编号:             包号:</w:t>
      </w:r>
    </w:p>
    <w:p w14:paraId="11476CF9">
      <w:pPr>
        <w:pStyle w:val="17"/>
        <w:spacing w:line="240" w:lineRule="atLeast"/>
        <w:ind w:left="1080" w:leftChars="257" w:hanging="540"/>
        <w:rPr>
          <w:rFonts w:hint="eastAsia" w:ascii="仿宋" w:hAnsi="仿宋" w:eastAsia="仿宋" w:cs="仿宋"/>
          <w:sz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59A67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85F8393">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序号</w:t>
            </w:r>
          </w:p>
        </w:tc>
        <w:tc>
          <w:tcPr>
            <w:tcW w:w="2040" w:type="dxa"/>
            <w:noWrap w:val="0"/>
            <w:vAlign w:val="top"/>
          </w:tcPr>
          <w:p w14:paraId="080E9E47">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招标文件条款号</w:t>
            </w:r>
          </w:p>
        </w:tc>
        <w:tc>
          <w:tcPr>
            <w:tcW w:w="2520" w:type="dxa"/>
            <w:noWrap w:val="0"/>
            <w:vAlign w:val="top"/>
          </w:tcPr>
          <w:p w14:paraId="6E8B6CA7">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招标文件的商务条款</w:t>
            </w:r>
          </w:p>
        </w:tc>
        <w:tc>
          <w:tcPr>
            <w:tcW w:w="2520" w:type="dxa"/>
            <w:noWrap w:val="0"/>
            <w:vAlign w:val="top"/>
          </w:tcPr>
          <w:p w14:paraId="74D73CA3">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投标文件的商务条款</w:t>
            </w:r>
          </w:p>
        </w:tc>
        <w:tc>
          <w:tcPr>
            <w:tcW w:w="900" w:type="dxa"/>
            <w:noWrap w:val="0"/>
            <w:vAlign w:val="top"/>
          </w:tcPr>
          <w:p w14:paraId="076CC89D">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说明</w:t>
            </w:r>
          </w:p>
        </w:tc>
      </w:tr>
      <w:tr w14:paraId="1B65D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29023D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9CA956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B3E8B4F">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2520" w:type="dxa"/>
            <w:noWrap w:val="0"/>
            <w:vAlign w:val="top"/>
          </w:tcPr>
          <w:p w14:paraId="4D76804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00" w:type="dxa"/>
            <w:noWrap w:val="0"/>
            <w:vAlign w:val="top"/>
          </w:tcPr>
          <w:p w14:paraId="7231F31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1039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11A58A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18004CC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9DF04C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C30FFD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12C005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2483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38525B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1C5B736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E75049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7F67B5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BF7139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DEF3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1C9702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3AD9FA7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CF4924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08E748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CF3BD0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6C20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2B5D05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78EAB1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AC6F84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7F82F7D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33D81B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B162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1B401D7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58D8EBE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56B484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008D34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9BF988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BA86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8E6371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3B8B81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719E447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FBC1D4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D165F3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6A22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8023C4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A14B1E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4FFA90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E6EDC9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938FC8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25E1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D1615B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3566122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0F6EC9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DC8F52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3C9394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2FB4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9C52E6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23CAD7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5CCCFB8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7C3256E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31B601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A947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817E7A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57C7DA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B1A9BA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4C7FA6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612197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B3EE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A6DFE7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52A0BD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DD87F5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5339C19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36F746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EF7B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848C82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36EE31B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7CC6F64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B4E063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DE2DEA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AF87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4204FC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3D6E8CA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789E77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249FDF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845B81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B502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ADC598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15FFA76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91282E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BAE559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CBF6BF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8F2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BFA9D3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1ED486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22579A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26AB28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8023AE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389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F0738B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5B63B30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A1E114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5517E8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396170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4CA72378">
      <w:pPr>
        <w:pStyle w:val="17"/>
        <w:spacing w:line="240" w:lineRule="atLeast"/>
        <w:ind w:left="1080" w:leftChars="257" w:hanging="540"/>
        <w:rPr>
          <w:rFonts w:hint="eastAsia" w:ascii="仿宋" w:hAnsi="仿宋" w:eastAsia="仿宋" w:cs="仿宋"/>
          <w:sz w:val="24"/>
        </w:rPr>
      </w:pPr>
    </w:p>
    <w:p w14:paraId="58F0C2A2">
      <w:pPr>
        <w:pStyle w:val="17"/>
        <w:spacing w:line="240" w:lineRule="atLeast"/>
        <w:ind w:left="1080" w:leftChars="257" w:hanging="540"/>
        <w:rPr>
          <w:rFonts w:hint="eastAsia" w:ascii="仿宋" w:hAnsi="仿宋" w:eastAsia="仿宋" w:cs="仿宋"/>
          <w:sz w:val="24"/>
        </w:rPr>
      </w:pPr>
    </w:p>
    <w:p w14:paraId="26988E39">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42EDE72F">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w:t>
      </w:r>
      <w:r>
        <w:rPr>
          <w:rFonts w:hint="eastAsia" w:ascii="仿宋" w:hAnsi="仿宋" w:eastAsia="仿宋" w:cs="仿宋"/>
          <w:color w:val="auto"/>
          <w:sz w:val="24"/>
          <w:highlight w:val="none"/>
          <w:lang w:eastAsia="zh-CN"/>
        </w:rPr>
        <w:t>电子签章</w:t>
      </w:r>
      <w:r>
        <w:rPr>
          <w:rFonts w:hint="eastAsia" w:ascii="仿宋" w:hAnsi="仿宋" w:eastAsia="仿宋" w:cs="仿宋"/>
          <w:sz w:val="24"/>
        </w:rPr>
        <w:t>):</w:t>
      </w:r>
      <w:r>
        <w:rPr>
          <w:rFonts w:hint="eastAsia" w:ascii="仿宋" w:hAnsi="仿宋" w:eastAsia="仿宋" w:cs="仿宋"/>
          <w:sz w:val="24"/>
          <w:u w:val="single"/>
        </w:rPr>
        <w:tab/>
      </w:r>
    </w:p>
    <w:p w14:paraId="70208904">
      <w:pPr>
        <w:pStyle w:val="17"/>
        <w:spacing w:line="240" w:lineRule="atLeast"/>
        <w:rPr>
          <w:rFonts w:hint="eastAsia" w:ascii="仿宋" w:hAnsi="仿宋" w:eastAsia="仿宋" w:cs="仿宋"/>
          <w:sz w:val="24"/>
        </w:rPr>
      </w:pPr>
    </w:p>
    <w:p w14:paraId="38490961">
      <w:pPr>
        <w:pStyle w:val="17"/>
        <w:spacing w:line="240" w:lineRule="atLeast"/>
        <w:rPr>
          <w:rFonts w:hint="eastAsia" w:ascii="仿宋" w:hAnsi="仿宋" w:eastAsia="仿宋" w:cs="仿宋"/>
          <w:sz w:val="24"/>
        </w:rPr>
      </w:pPr>
    </w:p>
    <w:p w14:paraId="33F52D3D">
      <w:pPr>
        <w:pStyle w:val="17"/>
        <w:spacing w:line="240" w:lineRule="atLeast"/>
        <w:rPr>
          <w:rFonts w:hint="eastAsia" w:ascii="仿宋" w:hAnsi="仿宋" w:eastAsia="仿宋" w:cs="仿宋"/>
          <w:sz w:val="24"/>
        </w:rPr>
      </w:pPr>
    </w:p>
    <w:p w14:paraId="7F664537">
      <w:pPr>
        <w:pStyle w:val="17"/>
        <w:spacing w:line="240" w:lineRule="atLeast"/>
        <w:rPr>
          <w:rFonts w:hint="eastAsia" w:ascii="仿宋" w:hAnsi="仿宋" w:eastAsia="仿宋" w:cs="仿宋"/>
          <w:sz w:val="24"/>
        </w:rPr>
      </w:pPr>
    </w:p>
    <w:p w14:paraId="6B71A4E3">
      <w:pPr>
        <w:pStyle w:val="17"/>
        <w:spacing w:line="240" w:lineRule="atLeast"/>
        <w:rPr>
          <w:rFonts w:hint="eastAsia" w:ascii="仿宋" w:hAnsi="仿宋" w:eastAsia="仿宋" w:cs="仿宋"/>
          <w:sz w:val="24"/>
        </w:rPr>
      </w:pPr>
    </w:p>
    <w:p w14:paraId="37D463F5">
      <w:pPr>
        <w:pStyle w:val="3"/>
        <w:bidi w:val="0"/>
        <w:rPr>
          <w:rFonts w:hint="eastAsia" w:ascii="仿宋" w:hAnsi="仿宋" w:eastAsia="仿宋" w:cs="仿宋"/>
          <w:b/>
          <w:kern w:val="0"/>
          <w:sz w:val="24"/>
          <w:szCs w:val="24"/>
          <w:u w:val="none"/>
          <w:lang w:val="en-US" w:eastAsia="zh-CN" w:bidi="ar-SA"/>
        </w:rPr>
      </w:pPr>
      <w:bookmarkStart w:id="364" w:name="_Hlt520274911"/>
      <w:bookmarkEnd w:id="364"/>
      <w:bookmarkStart w:id="365" w:name="_Hlt520271212"/>
      <w:bookmarkEnd w:id="365"/>
      <w:bookmarkStart w:id="366" w:name="_Hlt520273973"/>
      <w:bookmarkEnd w:id="366"/>
      <w:bookmarkStart w:id="367" w:name="_Hlt520350918"/>
      <w:bookmarkEnd w:id="367"/>
      <w:bookmarkStart w:id="368" w:name="_Hlt520274393"/>
      <w:bookmarkEnd w:id="368"/>
      <w:bookmarkStart w:id="369" w:name="_Hlt520273711"/>
      <w:bookmarkEnd w:id="369"/>
      <w:bookmarkStart w:id="370" w:name="_Hlt520343000"/>
      <w:bookmarkEnd w:id="370"/>
      <w:bookmarkStart w:id="371" w:name="_Hlt520343392"/>
      <w:bookmarkEnd w:id="371"/>
      <w:bookmarkStart w:id="372" w:name="_Hlt520350957"/>
      <w:bookmarkEnd w:id="372"/>
      <w:bookmarkStart w:id="373" w:name="_Hlt520274407"/>
      <w:bookmarkEnd w:id="373"/>
      <w:bookmarkStart w:id="374" w:name="_Hlt520274065"/>
      <w:bookmarkEnd w:id="374"/>
      <w:bookmarkStart w:id="375" w:name="_Toc6324"/>
      <w:bookmarkStart w:id="376" w:name="_Toc12407"/>
      <w:bookmarkStart w:id="377" w:name="_Toc23068"/>
      <w:bookmarkStart w:id="378" w:name="_Toc19284"/>
      <w:bookmarkStart w:id="379" w:name="_Toc515647825"/>
      <w:bookmarkStart w:id="380" w:name="OLE_LINK13"/>
      <w:bookmarkStart w:id="381" w:name="OLE_LINK14"/>
      <w:r>
        <w:rPr>
          <w:rFonts w:hint="eastAsia" w:ascii="仿宋" w:hAnsi="仿宋" w:eastAsia="仿宋" w:cs="仿宋"/>
          <w:b/>
          <w:kern w:val="0"/>
          <w:sz w:val="24"/>
          <w:szCs w:val="24"/>
          <w:u w:val="none"/>
          <w:lang w:val="en-US" w:eastAsia="zh-CN" w:bidi="ar-SA"/>
        </w:rPr>
        <w:t>7 中小企业声明函</w:t>
      </w:r>
      <w:bookmarkEnd w:id="375"/>
    </w:p>
    <w:p w14:paraId="5791E865">
      <w:pPr>
        <w:pStyle w:val="4"/>
        <w:jc w:val="center"/>
        <w:rPr>
          <w:rFonts w:hint="eastAsia" w:ascii="仿宋" w:hAnsi="仿宋" w:eastAsia="仿宋" w:cs="仿宋"/>
          <w:b/>
          <w:kern w:val="0"/>
          <w:sz w:val="24"/>
          <w:szCs w:val="24"/>
          <w:u w:val="none"/>
          <w:lang w:val="en-US" w:eastAsia="zh-CN" w:bidi="ar-SA"/>
        </w:rPr>
      </w:pPr>
      <w:bookmarkStart w:id="382" w:name="_Toc13625"/>
      <w:r>
        <w:rPr>
          <w:rFonts w:hint="eastAsia" w:ascii="仿宋" w:hAnsi="仿宋" w:eastAsia="仿宋" w:cs="仿宋"/>
          <w:b/>
          <w:kern w:val="0"/>
          <w:sz w:val="24"/>
          <w:szCs w:val="24"/>
          <w:u w:val="none"/>
          <w:lang w:val="en-US" w:eastAsia="zh-CN" w:bidi="ar-SA"/>
        </w:rPr>
        <w:t>7-1、中小企业声明函（工程、服务）</w:t>
      </w:r>
      <w:bookmarkEnd w:id="382"/>
    </w:p>
    <w:p w14:paraId="2BEEA6B2">
      <w:pPr>
        <w:widowControl/>
        <w:spacing w:line="500" w:lineRule="exact"/>
        <w:ind w:firstLine="480" w:firstLineChars="200"/>
        <w:jc w:val="left"/>
        <w:rPr>
          <w:sz w:val="24"/>
        </w:rPr>
      </w:pPr>
      <w:r>
        <w:rPr>
          <w:rFonts w:ascii="仿宋" w:hAnsi="仿宋" w:eastAsia="仿宋" w:cs="仿宋"/>
          <w:color w:val="000000"/>
          <w:kern w:val="0"/>
          <w:sz w:val="24"/>
        </w:rPr>
        <w:t>本公司（联合体）郑重声明，根据《政府采购促进中小</w:t>
      </w:r>
      <w:r>
        <w:rPr>
          <w:rFonts w:hint="eastAsia" w:ascii="仿宋" w:hAnsi="仿宋" w:eastAsia="仿宋" w:cs="仿宋"/>
          <w:color w:val="000000"/>
          <w:kern w:val="0"/>
          <w:sz w:val="24"/>
        </w:rPr>
        <w:t>企业发展管理办法》（财库</w:t>
      </w:r>
      <w:r>
        <w:rPr>
          <w:rFonts w:hint="eastAsia" w:ascii="宋体" w:hAnsi="宋体" w:cs="宋体"/>
          <w:color w:val="000000"/>
          <w:kern w:val="0"/>
          <w:sz w:val="24"/>
        </w:rPr>
        <w:t>﹝</w:t>
      </w:r>
      <w:r>
        <w:rPr>
          <w:rFonts w:hint="eastAsia" w:ascii="仿宋" w:hAnsi="仿宋" w:eastAsia="仿宋" w:cs="仿宋"/>
          <w:color w:val="000000"/>
          <w:kern w:val="0"/>
          <w:sz w:val="24"/>
        </w:rPr>
        <w:t>2020</w:t>
      </w:r>
      <w:r>
        <w:rPr>
          <w:rFonts w:hint="eastAsia" w:ascii="宋体" w:hAnsi="宋体" w:cs="宋体"/>
          <w:color w:val="000000"/>
          <w:kern w:val="0"/>
          <w:sz w:val="24"/>
        </w:rPr>
        <w:t>﹞</w:t>
      </w:r>
      <w:r>
        <w:rPr>
          <w:rFonts w:hint="eastAsia" w:ascii="仿宋" w:hAnsi="仿宋" w:eastAsia="仿宋" w:cs="仿宋"/>
          <w:color w:val="000000"/>
          <w:kern w:val="0"/>
          <w:sz w:val="24"/>
        </w:rPr>
        <w:t>46 号）的规定，本公司（联合体）参加</w:t>
      </w:r>
      <w:r>
        <w:rPr>
          <w:rFonts w:hint="eastAsia" w:ascii="仿宋" w:hAnsi="仿宋" w:eastAsia="仿宋" w:cs="仿宋"/>
          <w:i/>
          <w:color w:val="000000"/>
          <w:kern w:val="0"/>
          <w:sz w:val="24"/>
          <w:u w:val="single"/>
        </w:rPr>
        <w:t>（单位名称）</w:t>
      </w:r>
      <w:r>
        <w:rPr>
          <w:rFonts w:hint="eastAsia" w:ascii="仿宋" w:hAnsi="仿宋" w:eastAsia="仿宋" w:cs="仿宋"/>
          <w:color w:val="000000"/>
          <w:kern w:val="0"/>
          <w:sz w:val="24"/>
        </w:rPr>
        <w:t>的</w:t>
      </w:r>
      <w:r>
        <w:rPr>
          <w:rFonts w:hint="eastAsia" w:ascii="仿宋" w:hAnsi="仿宋" w:eastAsia="仿宋" w:cs="仿宋"/>
          <w:i/>
          <w:color w:val="000000"/>
          <w:kern w:val="0"/>
          <w:sz w:val="24"/>
          <w:u w:val="single"/>
        </w:rPr>
        <w:t>（项目名称）</w:t>
      </w:r>
      <w:r>
        <w:rPr>
          <w:rFonts w:hint="eastAsia" w:ascii="仿宋" w:hAnsi="仿宋" w:eastAsia="仿宋" w:cs="仿宋"/>
          <w:color w:val="000000"/>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712C3130">
      <w:pPr>
        <w:widowControl/>
        <w:spacing w:line="500" w:lineRule="exact"/>
        <w:ind w:firstLine="480" w:firstLineChars="200"/>
        <w:jc w:val="left"/>
        <w:rPr>
          <w:sz w:val="24"/>
        </w:rPr>
      </w:pPr>
      <w:r>
        <w:rPr>
          <w:rFonts w:hint="eastAsia" w:ascii="仿宋" w:hAnsi="仿宋" w:eastAsia="仿宋" w:cs="仿宋"/>
          <w:color w:val="000000"/>
          <w:kern w:val="0"/>
          <w:sz w:val="24"/>
        </w:rPr>
        <w:t xml:space="preserve">1.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 小型企业、微型企业）</w:t>
      </w:r>
      <w:r>
        <w:rPr>
          <w:rFonts w:hint="eastAsia" w:ascii="仿宋" w:hAnsi="仿宋" w:eastAsia="仿宋" w:cs="仿宋"/>
          <w:color w:val="000000"/>
          <w:kern w:val="0"/>
          <w:sz w:val="24"/>
        </w:rPr>
        <w:t xml:space="preserve">； </w:t>
      </w:r>
    </w:p>
    <w:p w14:paraId="37C3C37E">
      <w:pPr>
        <w:widowControl/>
        <w:spacing w:line="500" w:lineRule="exact"/>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2.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（中型企业、小型企业、微型企业）</w:t>
      </w:r>
      <w:r>
        <w:rPr>
          <w:rFonts w:hint="eastAsia" w:ascii="仿宋" w:hAnsi="仿宋" w:eastAsia="仿宋" w:cs="仿宋"/>
          <w:color w:val="000000"/>
          <w:kern w:val="0"/>
          <w:sz w:val="24"/>
        </w:rPr>
        <w:t xml:space="preserve">； </w:t>
      </w:r>
    </w:p>
    <w:p w14:paraId="0CA2FD1B">
      <w:pPr>
        <w:widowControl/>
        <w:spacing w:line="500" w:lineRule="exact"/>
        <w:ind w:firstLine="720" w:firstLineChars="300"/>
        <w:jc w:val="left"/>
        <w:rPr>
          <w:sz w:val="24"/>
        </w:rPr>
      </w:pPr>
      <w:r>
        <w:rPr>
          <w:rFonts w:ascii="仿宋" w:hAnsi="仿宋" w:eastAsia="仿宋" w:cs="仿宋"/>
          <w:color w:val="000000"/>
          <w:kern w:val="0"/>
          <w:sz w:val="24"/>
        </w:rPr>
        <w:t>……</w:t>
      </w:r>
    </w:p>
    <w:p w14:paraId="7D1EC8DE">
      <w:pPr>
        <w:widowControl/>
        <w:spacing w:line="500" w:lineRule="exact"/>
        <w:ind w:firstLine="480" w:firstLineChars="200"/>
        <w:jc w:val="left"/>
        <w:rPr>
          <w:sz w:val="24"/>
        </w:rPr>
      </w:pPr>
      <w:r>
        <w:rPr>
          <w:rFonts w:hint="eastAsia" w:ascii="仿宋" w:hAnsi="仿宋" w:eastAsia="仿宋" w:cs="仿宋"/>
          <w:color w:val="000000"/>
          <w:kern w:val="0"/>
          <w:sz w:val="24"/>
        </w:rPr>
        <w:t>以上企业，不属于大企业的分支机构，不存在控股股东为大企业的情形，也不存在与大企业的负责人为同一人的情 形。</w:t>
      </w:r>
    </w:p>
    <w:p w14:paraId="0B29D72C">
      <w:pPr>
        <w:widowControl/>
        <w:spacing w:line="500" w:lineRule="exact"/>
        <w:ind w:firstLine="480" w:firstLineChars="200"/>
        <w:jc w:val="left"/>
        <w:rPr>
          <w:sz w:val="24"/>
        </w:rPr>
      </w:pPr>
      <w:r>
        <w:rPr>
          <w:rFonts w:hint="eastAsia" w:ascii="仿宋" w:hAnsi="仿宋" w:eastAsia="仿宋" w:cs="仿宋"/>
          <w:color w:val="000000"/>
          <w:kern w:val="0"/>
          <w:sz w:val="24"/>
        </w:rPr>
        <w:t xml:space="preserve">本企业对上述声明内容的真实性负责。如有虚假，将依法承担相应责任。 </w:t>
      </w:r>
    </w:p>
    <w:p w14:paraId="2FB890CE">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 </w:t>
      </w:r>
    </w:p>
    <w:p w14:paraId="2D9675B3">
      <w:pPr>
        <w:widowControl/>
        <w:jc w:val="center"/>
        <w:rPr>
          <w:sz w:val="24"/>
        </w:rPr>
      </w:pPr>
      <w:r>
        <w:rPr>
          <w:rFonts w:hint="eastAsia" w:ascii="仿宋" w:hAnsi="仿宋" w:eastAsia="仿宋" w:cs="仿宋"/>
          <w:color w:val="000000"/>
          <w:kern w:val="0"/>
          <w:sz w:val="24"/>
        </w:rPr>
        <w:t xml:space="preserve"> 企业名称（</w:t>
      </w:r>
      <w:r>
        <w:rPr>
          <w:rFonts w:hint="eastAsia" w:ascii="仿宋" w:hAnsi="仿宋" w:eastAsia="仿宋" w:cs="仿宋"/>
          <w:color w:val="000000"/>
          <w:kern w:val="0"/>
          <w:sz w:val="24"/>
          <w:lang w:eastAsia="zh-CN"/>
        </w:rPr>
        <w:t>电子签章</w:t>
      </w:r>
      <w:r>
        <w:rPr>
          <w:rFonts w:hint="eastAsia" w:ascii="仿宋" w:hAnsi="仿宋" w:eastAsia="仿宋" w:cs="仿宋"/>
          <w:color w:val="000000"/>
          <w:kern w:val="0"/>
          <w:sz w:val="24"/>
        </w:rPr>
        <w:t>）：</w:t>
      </w:r>
    </w:p>
    <w:p w14:paraId="6703B984">
      <w:pPr>
        <w:widowControl/>
        <w:ind w:firstLine="3600" w:firstLineChars="1500"/>
        <w:rPr>
          <w:rFonts w:ascii="仿宋" w:hAnsi="仿宋" w:eastAsia="仿宋" w:cs="仿宋"/>
          <w:color w:val="000000"/>
          <w:kern w:val="0"/>
          <w:sz w:val="24"/>
        </w:rPr>
      </w:pPr>
      <w:r>
        <w:rPr>
          <w:rFonts w:hint="eastAsia" w:ascii="仿宋" w:hAnsi="仿宋" w:eastAsia="仿宋" w:cs="仿宋"/>
          <w:color w:val="000000"/>
          <w:kern w:val="0"/>
          <w:sz w:val="24"/>
        </w:rPr>
        <w:t>日 期：</w:t>
      </w:r>
    </w:p>
    <w:p w14:paraId="1B2F24CD">
      <w:pPr>
        <w:pStyle w:val="38"/>
        <w:ind w:firstLine="0" w:firstLineChars="0"/>
        <w:rPr>
          <w:rFonts w:ascii="仿宋" w:hAnsi="仿宋" w:eastAsia="仿宋" w:cs="仿宋"/>
          <w:color w:val="000000"/>
          <w:kern w:val="0"/>
        </w:rPr>
      </w:pPr>
    </w:p>
    <w:p w14:paraId="2CC0D71A">
      <w:pPr>
        <w:pStyle w:val="38"/>
        <w:ind w:firstLine="0" w:firstLineChars="0"/>
        <w:rPr>
          <w:rFonts w:ascii="仿宋" w:hAnsi="仿宋" w:eastAsia="仿宋" w:cs="仿宋"/>
          <w:b/>
          <w:bCs/>
          <w:color w:val="000000"/>
          <w:kern w:val="0"/>
        </w:rPr>
      </w:pPr>
      <w:r>
        <w:rPr>
          <w:rFonts w:hint="eastAsia" w:ascii="仿宋" w:hAnsi="仿宋" w:eastAsia="仿宋" w:cs="仿宋"/>
          <w:b/>
          <w:bCs/>
          <w:color w:val="000000"/>
          <w:kern w:val="0"/>
        </w:rPr>
        <w:t>注：1、从业人员、营业收入、资产总额填报上一年度数据，无上一年度数据的新成立企业可不填报。</w:t>
      </w:r>
    </w:p>
    <w:p w14:paraId="613B4162">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br w:type="page"/>
      </w:r>
    </w:p>
    <w:p w14:paraId="266FA03B">
      <w:pPr>
        <w:pStyle w:val="3"/>
        <w:bidi w:val="0"/>
        <w:rPr>
          <w:rFonts w:hint="eastAsia" w:ascii="仿宋" w:hAnsi="仿宋" w:eastAsia="仿宋" w:cs="仿宋"/>
          <w:sz w:val="24"/>
          <w:szCs w:val="24"/>
          <w:lang w:val="en-US" w:eastAsia="zh-CN"/>
        </w:rPr>
      </w:pPr>
      <w:bookmarkStart w:id="383" w:name="_Toc1385"/>
      <w:r>
        <w:rPr>
          <w:rFonts w:hint="eastAsia" w:ascii="仿宋" w:hAnsi="仿宋" w:eastAsia="仿宋" w:cs="仿宋"/>
          <w:sz w:val="24"/>
          <w:szCs w:val="24"/>
          <w:lang w:val="en-US" w:eastAsia="zh-CN"/>
        </w:rPr>
        <w:t>7.2  残疾人福利性单位声明函</w:t>
      </w:r>
      <w:bookmarkEnd w:id="376"/>
      <w:bookmarkEnd w:id="377"/>
      <w:bookmarkEnd w:id="378"/>
      <w:bookmarkEnd w:id="379"/>
      <w:r>
        <w:rPr>
          <w:rFonts w:hint="eastAsia" w:ascii="仿宋" w:hAnsi="仿宋" w:eastAsia="仿宋" w:cs="仿宋"/>
          <w:sz w:val="24"/>
          <w:szCs w:val="24"/>
          <w:lang w:val="en-US" w:eastAsia="zh-CN"/>
        </w:rPr>
        <w:t>（投标文件格式十二）</w:t>
      </w:r>
      <w:bookmarkEnd w:id="383"/>
    </w:p>
    <w:bookmarkEnd w:id="380"/>
    <w:bookmarkEnd w:id="381"/>
    <w:p w14:paraId="69645907">
      <w:pPr>
        <w:spacing w:line="240" w:lineRule="atLeast"/>
        <w:ind w:left="1080" w:leftChars="257" w:hanging="540"/>
        <w:jc w:val="center"/>
        <w:rPr>
          <w:rFonts w:hint="eastAsia" w:ascii="仿宋" w:hAnsi="仿宋" w:eastAsia="仿宋" w:cs="仿宋"/>
          <w:kern w:val="0"/>
          <w:sz w:val="24"/>
          <w:szCs w:val="20"/>
        </w:rPr>
      </w:pPr>
    </w:p>
    <w:p w14:paraId="7E261E20">
      <w:pPr>
        <w:spacing w:line="240" w:lineRule="atLeast"/>
        <w:ind w:firstLine="567"/>
        <w:rPr>
          <w:rFonts w:hint="eastAsia" w:ascii="仿宋" w:hAnsi="仿宋" w:eastAsia="仿宋" w:cs="仿宋"/>
          <w:kern w:val="0"/>
          <w:sz w:val="24"/>
          <w:szCs w:val="20"/>
        </w:rPr>
      </w:pPr>
      <w:r>
        <w:rPr>
          <w:rFonts w:hint="eastAsia" w:ascii="仿宋" w:hAnsi="仿宋" w:eastAsia="仿宋" w:cs="仿宋"/>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01F3AD33">
      <w:pPr>
        <w:spacing w:line="240" w:lineRule="atLeast"/>
        <w:ind w:left="1080" w:leftChars="257" w:hanging="540"/>
        <w:rPr>
          <w:rFonts w:hint="eastAsia" w:ascii="仿宋" w:hAnsi="仿宋" w:eastAsia="仿宋" w:cs="仿宋"/>
          <w:kern w:val="0"/>
          <w:sz w:val="24"/>
          <w:szCs w:val="20"/>
        </w:rPr>
      </w:pPr>
      <w:r>
        <w:rPr>
          <w:rFonts w:hint="eastAsia" w:ascii="仿宋" w:hAnsi="仿宋" w:eastAsia="仿宋" w:cs="仿宋"/>
          <w:kern w:val="0"/>
          <w:sz w:val="24"/>
          <w:szCs w:val="20"/>
        </w:rPr>
        <w:t>本单位对上述声明的真实性负责。如有虚假，将依法承担相应责任。</w:t>
      </w:r>
    </w:p>
    <w:p w14:paraId="12819B4E">
      <w:pPr>
        <w:spacing w:line="240" w:lineRule="atLeast"/>
        <w:ind w:left="1080" w:leftChars="257" w:hanging="540"/>
        <w:jc w:val="center"/>
        <w:rPr>
          <w:rFonts w:hint="eastAsia" w:ascii="仿宋" w:hAnsi="仿宋" w:eastAsia="仿宋" w:cs="仿宋"/>
          <w:kern w:val="0"/>
          <w:sz w:val="24"/>
          <w:szCs w:val="20"/>
        </w:rPr>
      </w:pPr>
    </w:p>
    <w:p w14:paraId="63F2B69A">
      <w:pPr>
        <w:spacing w:line="240" w:lineRule="atLeast"/>
        <w:ind w:left="1080" w:leftChars="257" w:hanging="540"/>
        <w:jc w:val="center"/>
        <w:rPr>
          <w:rFonts w:hint="eastAsia" w:ascii="仿宋" w:hAnsi="仿宋" w:eastAsia="仿宋" w:cs="仿宋"/>
          <w:kern w:val="0"/>
          <w:sz w:val="24"/>
          <w:szCs w:val="20"/>
        </w:rPr>
      </w:pPr>
    </w:p>
    <w:p w14:paraId="779E9AB9">
      <w:pPr>
        <w:spacing w:line="240" w:lineRule="atLeast"/>
        <w:ind w:left="1080" w:leftChars="257" w:hanging="540"/>
        <w:jc w:val="center"/>
        <w:rPr>
          <w:rFonts w:hint="eastAsia" w:ascii="仿宋" w:hAnsi="仿宋" w:eastAsia="仿宋" w:cs="仿宋"/>
          <w:kern w:val="0"/>
          <w:sz w:val="24"/>
          <w:szCs w:val="20"/>
        </w:rPr>
      </w:pPr>
      <w:r>
        <w:rPr>
          <w:rFonts w:hint="eastAsia" w:ascii="仿宋" w:hAnsi="仿宋" w:eastAsia="仿宋" w:cs="仿宋"/>
          <w:kern w:val="0"/>
          <w:sz w:val="24"/>
          <w:szCs w:val="20"/>
        </w:rPr>
        <w:t xml:space="preserve">              残疾人福利性单位名称（电子签章）：______________</w:t>
      </w:r>
    </w:p>
    <w:p w14:paraId="1879D553">
      <w:pPr>
        <w:spacing w:line="240" w:lineRule="atLeast"/>
        <w:ind w:left="1080" w:leftChars="257" w:hanging="540"/>
        <w:jc w:val="center"/>
        <w:rPr>
          <w:rFonts w:hint="eastAsia" w:ascii="仿宋" w:hAnsi="仿宋" w:eastAsia="仿宋" w:cs="仿宋"/>
          <w:kern w:val="0"/>
          <w:sz w:val="24"/>
          <w:szCs w:val="20"/>
        </w:rPr>
      </w:pPr>
      <w:r>
        <w:rPr>
          <w:rFonts w:hint="eastAsia" w:ascii="仿宋" w:hAnsi="仿宋" w:eastAsia="仿宋" w:cs="仿宋"/>
          <w:kern w:val="0"/>
          <w:sz w:val="24"/>
          <w:szCs w:val="20"/>
        </w:rPr>
        <w:t xml:space="preserve">  </w:t>
      </w:r>
      <w:r>
        <w:rPr>
          <w:rFonts w:hint="eastAsia" w:ascii="仿宋" w:hAnsi="仿宋" w:eastAsia="仿宋" w:cs="仿宋"/>
          <w:kern w:val="0"/>
          <w:sz w:val="24"/>
          <w:szCs w:val="20"/>
          <w:u w:val="single" w:color="FFFFFF"/>
        </w:rPr>
        <w:t xml:space="preserve">       </w:t>
      </w:r>
      <w:r>
        <w:rPr>
          <w:rFonts w:hint="eastAsia" w:ascii="仿宋" w:hAnsi="仿宋" w:eastAsia="仿宋" w:cs="仿宋"/>
          <w:kern w:val="0"/>
          <w:sz w:val="24"/>
          <w:szCs w:val="20"/>
        </w:rPr>
        <w:t>日  期：_____________________________________________</w:t>
      </w:r>
    </w:p>
    <w:p w14:paraId="5F18D3A1">
      <w:pPr>
        <w:spacing w:line="240" w:lineRule="atLeast"/>
        <w:ind w:left="1080" w:leftChars="257" w:hanging="540"/>
        <w:jc w:val="center"/>
        <w:rPr>
          <w:rFonts w:hint="eastAsia" w:ascii="仿宋" w:hAnsi="仿宋" w:eastAsia="仿宋" w:cs="仿宋"/>
          <w:b/>
          <w:kern w:val="0"/>
          <w:sz w:val="24"/>
          <w:szCs w:val="20"/>
        </w:rPr>
      </w:pPr>
    </w:p>
    <w:p w14:paraId="00E0D7BF">
      <w:pPr>
        <w:spacing w:line="240" w:lineRule="atLeast"/>
        <w:ind w:left="1080" w:leftChars="257" w:hanging="540"/>
        <w:jc w:val="center"/>
        <w:rPr>
          <w:rFonts w:hint="eastAsia" w:ascii="仿宋" w:hAnsi="仿宋" w:eastAsia="仿宋" w:cs="仿宋"/>
          <w:b/>
          <w:kern w:val="0"/>
          <w:sz w:val="24"/>
          <w:szCs w:val="20"/>
        </w:rPr>
      </w:pPr>
    </w:p>
    <w:p w14:paraId="2694EEB1">
      <w:pPr>
        <w:spacing w:line="240" w:lineRule="atLeast"/>
        <w:ind w:left="1080" w:leftChars="257" w:hanging="540"/>
        <w:jc w:val="center"/>
        <w:rPr>
          <w:rFonts w:hint="eastAsia" w:ascii="仿宋" w:hAnsi="仿宋" w:eastAsia="仿宋" w:cs="仿宋"/>
          <w:b/>
          <w:kern w:val="0"/>
          <w:sz w:val="24"/>
          <w:szCs w:val="20"/>
        </w:rPr>
      </w:pPr>
    </w:p>
    <w:p w14:paraId="236A1441">
      <w:pPr>
        <w:spacing w:line="240" w:lineRule="atLeast"/>
        <w:ind w:left="1080" w:leftChars="257" w:hanging="540"/>
        <w:jc w:val="center"/>
        <w:rPr>
          <w:rFonts w:hint="eastAsia" w:ascii="仿宋" w:hAnsi="仿宋" w:eastAsia="仿宋" w:cs="仿宋"/>
          <w:b/>
          <w:kern w:val="0"/>
          <w:sz w:val="24"/>
          <w:szCs w:val="20"/>
        </w:rPr>
      </w:pPr>
    </w:p>
    <w:p w14:paraId="5A02A05E">
      <w:pPr>
        <w:spacing w:line="240" w:lineRule="atLeast"/>
        <w:ind w:left="1080" w:leftChars="257" w:hanging="540"/>
        <w:jc w:val="center"/>
        <w:rPr>
          <w:rFonts w:hint="eastAsia" w:ascii="仿宋" w:hAnsi="仿宋" w:eastAsia="仿宋" w:cs="仿宋"/>
          <w:b/>
          <w:kern w:val="0"/>
          <w:sz w:val="24"/>
          <w:szCs w:val="20"/>
        </w:rPr>
      </w:pPr>
    </w:p>
    <w:p w14:paraId="24AA11D7">
      <w:pPr>
        <w:spacing w:line="240" w:lineRule="atLeast"/>
        <w:ind w:left="1080" w:leftChars="257" w:hanging="540"/>
        <w:jc w:val="center"/>
        <w:rPr>
          <w:rFonts w:hint="eastAsia" w:ascii="仿宋" w:hAnsi="仿宋" w:eastAsia="仿宋" w:cs="仿宋"/>
          <w:b/>
          <w:kern w:val="0"/>
          <w:sz w:val="24"/>
          <w:szCs w:val="20"/>
        </w:rPr>
      </w:pPr>
    </w:p>
    <w:p w14:paraId="24009BCE">
      <w:pPr>
        <w:spacing w:line="240" w:lineRule="atLeast"/>
        <w:ind w:left="1080" w:leftChars="257" w:hanging="540"/>
        <w:jc w:val="center"/>
        <w:rPr>
          <w:rFonts w:hint="eastAsia" w:ascii="仿宋" w:hAnsi="仿宋" w:eastAsia="仿宋" w:cs="仿宋"/>
          <w:b/>
          <w:kern w:val="0"/>
          <w:sz w:val="24"/>
          <w:szCs w:val="20"/>
        </w:rPr>
      </w:pPr>
    </w:p>
    <w:p w14:paraId="1B71E36C">
      <w:pPr>
        <w:spacing w:line="240" w:lineRule="atLeast"/>
        <w:ind w:left="1080" w:leftChars="257" w:hanging="540"/>
        <w:jc w:val="center"/>
        <w:rPr>
          <w:rFonts w:hint="eastAsia" w:ascii="仿宋" w:hAnsi="仿宋" w:eastAsia="仿宋" w:cs="仿宋"/>
          <w:b/>
          <w:kern w:val="0"/>
          <w:sz w:val="24"/>
          <w:szCs w:val="20"/>
        </w:rPr>
      </w:pPr>
    </w:p>
    <w:p w14:paraId="0B65AD5A">
      <w:pPr>
        <w:pStyle w:val="12"/>
        <w:rPr>
          <w:rFonts w:hint="eastAsia"/>
        </w:rPr>
      </w:pPr>
    </w:p>
    <w:p w14:paraId="194B976F">
      <w:pPr>
        <w:spacing w:line="240" w:lineRule="atLeast"/>
        <w:ind w:left="1080" w:leftChars="257" w:hanging="540"/>
        <w:jc w:val="center"/>
        <w:rPr>
          <w:rFonts w:hint="eastAsia" w:ascii="仿宋" w:hAnsi="仿宋" w:eastAsia="仿宋" w:cs="仿宋"/>
          <w:b/>
          <w:kern w:val="0"/>
          <w:sz w:val="24"/>
          <w:szCs w:val="20"/>
        </w:rPr>
      </w:pPr>
    </w:p>
    <w:p w14:paraId="546E5608">
      <w:pPr>
        <w:spacing w:line="240" w:lineRule="atLeast"/>
        <w:ind w:left="1080" w:leftChars="257" w:hanging="540"/>
        <w:jc w:val="center"/>
        <w:rPr>
          <w:rFonts w:hint="eastAsia" w:ascii="仿宋" w:hAnsi="仿宋" w:eastAsia="仿宋" w:cs="仿宋"/>
          <w:b/>
          <w:kern w:val="0"/>
          <w:sz w:val="24"/>
          <w:szCs w:val="20"/>
        </w:rPr>
      </w:pPr>
    </w:p>
    <w:p w14:paraId="20AD207E">
      <w:pPr>
        <w:spacing w:line="240" w:lineRule="atLeast"/>
        <w:ind w:left="1080" w:leftChars="257" w:hanging="540"/>
        <w:jc w:val="center"/>
        <w:rPr>
          <w:rFonts w:hint="eastAsia" w:ascii="仿宋" w:hAnsi="仿宋" w:eastAsia="仿宋" w:cs="仿宋"/>
          <w:b/>
          <w:kern w:val="0"/>
          <w:sz w:val="24"/>
          <w:szCs w:val="20"/>
        </w:rPr>
      </w:pPr>
    </w:p>
    <w:p w14:paraId="74CCDDF9">
      <w:pPr>
        <w:spacing w:line="240" w:lineRule="atLeast"/>
        <w:ind w:left="1080" w:leftChars="257" w:hanging="540"/>
        <w:jc w:val="center"/>
        <w:rPr>
          <w:rFonts w:hint="eastAsia" w:ascii="仿宋" w:hAnsi="仿宋" w:eastAsia="仿宋" w:cs="仿宋"/>
          <w:b/>
          <w:kern w:val="0"/>
          <w:sz w:val="24"/>
          <w:szCs w:val="20"/>
        </w:rPr>
      </w:pPr>
    </w:p>
    <w:p w14:paraId="32623087">
      <w:pPr>
        <w:spacing w:line="240" w:lineRule="atLeast"/>
        <w:ind w:left="1080" w:leftChars="257" w:hanging="540"/>
        <w:jc w:val="center"/>
        <w:rPr>
          <w:rFonts w:hint="eastAsia" w:ascii="仿宋" w:hAnsi="仿宋" w:eastAsia="仿宋" w:cs="仿宋"/>
          <w:b/>
          <w:kern w:val="0"/>
          <w:sz w:val="24"/>
          <w:szCs w:val="20"/>
        </w:rPr>
      </w:pPr>
    </w:p>
    <w:p w14:paraId="1102110B">
      <w:pPr>
        <w:spacing w:line="240" w:lineRule="atLeast"/>
        <w:ind w:left="1080" w:leftChars="257" w:hanging="540"/>
        <w:jc w:val="center"/>
        <w:rPr>
          <w:rFonts w:hint="eastAsia" w:ascii="仿宋" w:hAnsi="仿宋" w:eastAsia="仿宋" w:cs="仿宋"/>
          <w:b/>
          <w:kern w:val="0"/>
          <w:sz w:val="24"/>
          <w:szCs w:val="20"/>
        </w:rPr>
      </w:pPr>
    </w:p>
    <w:p w14:paraId="1BC23E82">
      <w:pPr>
        <w:spacing w:line="240" w:lineRule="atLeast"/>
        <w:ind w:left="1080" w:leftChars="257" w:hanging="540"/>
        <w:jc w:val="center"/>
        <w:rPr>
          <w:rFonts w:hint="eastAsia" w:ascii="仿宋" w:hAnsi="仿宋" w:eastAsia="仿宋" w:cs="仿宋"/>
          <w:b/>
          <w:kern w:val="0"/>
          <w:sz w:val="24"/>
          <w:szCs w:val="20"/>
        </w:rPr>
      </w:pPr>
    </w:p>
    <w:p w14:paraId="488FF376">
      <w:pPr>
        <w:spacing w:line="240" w:lineRule="atLeast"/>
        <w:ind w:left="1080" w:leftChars="257" w:hanging="540"/>
        <w:jc w:val="center"/>
        <w:rPr>
          <w:rFonts w:hint="eastAsia" w:ascii="仿宋" w:hAnsi="仿宋" w:eastAsia="仿宋" w:cs="仿宋"/>
          <w:b/>
          <w:kern w:val="0"/>
          <w:sz w:val="24"/>
          <w:szCs w:val="20"/>
        </w:rPr>
      </w:pPr>
    </w:p>
    <w:p w14:paraId="0636383B">
      <w:pPr>
        <w:spacing w:line="240" w:lineRule="atLeast"/>
        <w:ind w:left="1080" w:leftChars="257" w:hanging="540"/>
        <w:jc w:val="center"/>
        <w:rPr>
          <w:rFonts w:hint="eastAsia" w:ascii="仿宋" w:hAnsi="仿宋" w:eastAsia="仿宋" w:cs="仿宋"/>
          <w:b/>
          <w:kern w:val="0"/>
          <w:sz w:val="24"/>
          <w:szCs w:val="20"/>
        </w:rPr>
      </w:pPr>
    </w:p>
    <w:p w14:paraId="048A41E4">
      <w:pPr>
        <w:spacing w:line="240" w:lineRule="atLeast"/>
        <w:ind w:left="1080" w:leftChars="257" w:hanging="540"/>
        <w:jc w:val="center"/>
        <w:rPr>
          <w:rFonts w:hint="eastAsia" w:ascii="仿宋" w:hAnsi="仿宋" w:eastAsia="仿宋" w:cs="仿宋"/>
          <w:b/>
          <w:kern w:val="0"/>
          <w:sz w:val="24"/>
          <w:szCs w:val="20"/>
        </w:rPr>
      </w:pPr>
    </w:p>
    <w:p w14:paraId="10574E7E">
      <w:pPr>
        <w:spacing w:line="240" w:lineRule="atLeast"/>
        <w:ind w:left="1080" w:leftChars="257" w:hanging="540"/>
        <w:jc w:val="center"/>
        <w:rPr>
          <w:rFonts w:hint="eastAsia" w:ascii="仿宋" w:hAnsi="仿宋" w:eastAsia="仿宋" w:cs="仿宋"/>
          <w:b/>
          <w:kern w:val="0"/>
          <w:sz w:val="24"/>
          <w:szCs w:val="20"/>
        </w:rPr>
      </w:pPr>
    </w:p>
    <w:p w14:paraId="0F0F6789">
      <w:pPr>
        <w:spacing w:line="240" w:lineRule="atLeast"/>
        <w:ind w:left="1080" w:leftChars="257" w:hanging="540"/>
        <w:jc w:val="center"/>
        <w:rPr>
          <w:rFonts w:hint="eastAsia" w:ascii="仿宋" w:hAnsi="仿宋" w:eastAsia="仿宋" w:cs="仿宋"/>
          <w:b/>
          <w:kern w:val="0"/>
          <w:sz w:val="24"/>
          <w:szCs w:val="20"/>
        </w:rPr>
      </w:pPr>
    </w:p>
    <w:p w14:paraId="5D08135E">
      <w:pPr>
        <w:spacing w:line="240" w:lineRule="atLeast"/>
        <w:ind w:left="1080" w:leftChars="257" w:hanging="540"/>
        <w:jc w:val="center"/>
        <w:rPr>
          <w:rFonts w:hint="eastAsia" w:ascii="仿宋" w:hAnsi="仿宋" w:eastAsia="仿宋" w:cs="仿宋"/>
          <w:b/>
          <w:kern w:val="0"/>
          <w:sz w:val="24"/>
          <w:szCs w:val="20"/>
        </w:rPr>
      </w:pPr>
    </w:p>
    <w:p w14:paraId="1CB4B8A6">
      <w:pPr>
        <w:spacing w:line="240" w:lineRule="atLeast"/>
        <w:ind w:left="1080" w:leftChars="257" w:hanging="540"/>
        <w:jc w:val="center"/>
        <w:rPr>
          <w:rFonts w:hint="eastAsia" w:ascii="仿宋" w:hAnsi="仿宋" w:eastAsia="仿宋" w:cs="仿宋"/>
          <w:b/>
          <w:kern w:val="0"/>
          <w:sz w:val="24"/>
          <w:szCs w:val="20"/>
        </w:rPr>
      </w:pPr>
    </w:p>
    <w:p w14:paraId="09553C77">
      <w:pPr>
        <w:spacing w:line="240" w:lineRule="atLeast"/>
        <w:ind w:left="1080" w:leftChars="257" w:hanging="540"/>
        <w:jc w:val="center"/>
        <w:rPr>
          <w:rFonts w:hint="eastAsia" w:ascii="仿宋" w:hAnsi="仿宋" w:eastAsia="仿宋" w:cs="仿宋"/>
          <w:b/>
          <w:kern w:val="0"/>
          <w:sz w:val="24"/>
          <w:szCs w:val="20"/>
        </w:rPr>
      </w:pPr>
    </w:p>
    <w:p w14:paraId="284CE0C6">
      <w:pPr>
        <w:spacing w:line="240" w:lineRule="atLeast"/>
        <w:ind w:left="1080" w:leftChars="257" w:hanging="540"/>
        <w:jc w:val="center"/>
        <w:rPr>
          <w:rFonts w:hint="eastAsia" w:ascii="仿宋" w:hAnsi="仿宋" w:eastAsia="仿宋" w:cs="仿宋"/>
          <w:b/>
          <w:kern w:val="0"/>
          <w:sz w:val="24"/>
          <w:szCs w:val="20"/>
        </w:rPr>
      </w:pPr>
    </w:p>
    <w:p w14:paraId="1647D4DC">
      <w:pPr>
        <w:spacing w:line="240" w:lineRule="atLeast"/>
        <w:ind w:left="1080" w:leftChars="257" w:hanging="540"/>
        <w:jc w:val="center"/>
        <w:rPr>
          <w:rFonts w:hint="eastAsia" w:ascii="仿宋" w:hAnsi="仿宋" w:eastAsia="仿宋" w:cs="仿宋"/>
          <w:b/>
          <w:kern w:val="0"/>
          <w:sz w:val="24"/>
          <w:szCs w:val="20"/>
        </w:rPr>
      </w:pPr>
    </w:p>
    <w:p w14:paraId="75F38774">
      <w:pPr>
        <w:spacing w:line="240" w:lineRule="atLeast"/>
        <w:ind w:left="1080" w:leftChars="257" w:hanging="540"/>
        <w:jc w:val="center"/>
        <w:rPr>
          <w:rFonts w:hint="eastAsia" w:ascii="仿宋" w:hAnsi="仿宋" w:eastAsia="仿宋" w:cs="仿宋"/>
          <w:b/>
          <w:kern w:val="0"/>
          <w:sz w:val="24"/>
          <w:szCs w:val="20"/>
        </w:rPr>
      </w:pPr>
    </w:p>
    <w:p w14:paraId="01018775">
      <w:pPr>
        <w:spacing w:line="240" w:lineRule="atLeast"/>
        <w:ind w:left="1080" w:leftChars="257" w:hanging="540"/>
        <w:jc w:val="center"/>
        <w:rPr>
          <w:rFonts w:hint="eastAsia" w:ascii="仿宋" w:hAnsi="仿宋" w:eastAsia="仿宋" w:cs="仿宋"/>
          <w:b/>
          <w:kern w:val="0"/>
          <w:sz w:val="24"/>
          <w:szCs w:val="20"/>
        </w:rPr>
      </w:pPr>
    </w:p>
    <w:p w14:paraId="1100754D">
      <w:pPr>
        <w:spacing w:line="240" w:lineRule="atLeast"/>
        <w:ind w:left="1080" w:leftChars="257" w:hanging="540"/>
        <w:jc w:val="center"/>
        <w:rPr>
          <w:rFonts w:hint="eastAsia" w:ascii="仿宋" w:hAnsi="仿宋" w:eastAsia="仿宋" w:cs="仿宋"/>
          <w:b/>
          <w:kern w:val="0"/>
          <w:sz w:val="24"/>
          <w:szCs w:val="20"/>
        </w:rPr>
      </w:pPr>
    </w:p>
    <w:p w14:paraId="60672317">
      <w:pPr>
        <w:spacing w:line="240" w:lineRule="atLeast"/>
        <w:ind w:left="1080" w:leftChars="257" w:hanging="540"/>
        <w:jc w:val="center"/>
        <w:rPr>
          <w:rFonts w:hint="eastAsia" w:ascii="仿宋" w:hAnsi="仿宋" w:eastAsia="仿宋" w:cs="仿宋"/>
          <w:b/>
          <w:kern w:val="0"/>
          <w:sz w:val="24"/>
          <w:szCs w:val="20"/>
        </w:rPr>
      </w:pPr>
    </w:p>
    <w:p w14:paraId="54B239A2">
      <w:pPr>
        <w:spacing w:line="240" w:lineRule="atLeast"/>
        <w:ind w:left="1080" w:leftChars="257" w:hanging="540"/>
        <w:jc w:val="center"/>
        <w:rPr>
          <w:rFonts w:hint="eastAsia" w:ascii="仿宋" w:hAnsi="仿宋" w:eastAsia="仿宋" w:cs="仿宋"/>
          <w:b/>
          <w:kern w:val="0"/>
          <w:sz w:val="24"/>
          <w:szCs w:val="20"/>
        </w:rPr>
      </w:pPr>
    </w:p>
    <w:p w14:paraId="2315AB26">
      <w:pPr>
        <w:spacing w:line="240" w:lineRule="atLeast"/>
        <w:ind w:left="1080" w:leftChars="257" w:hanging="540"/>
        <w:jc w:val="center"/>
        <w:rPr>
          <w:rFonts w:hint="eastAsia" w:ascii="仿宋" w:hAnsi="仿宋" w:eastAsia="仿宋" w:cs="仿宋"/>
          <w:b/>
          <w:kern w:val="0"/>
          <w:sz w:val="24"/>
          <w:szCs w:val="20"/>
        </w:rPr>
      </w:pPr>
    </w:p>
    <w:p w14:paraId="302FC73E">
      <w:pPr>
        <w:spacing w:line="240" w:lineRule="atLeast"/>
        <w:ind w:left="1080" w:leftChars="257" w:hanging="540"/>
        <w:jc w:val="center"/>
        <w:rPr>
          <w:rFonts w:hint="eastAsia" w:ascii="仿宋" w:hAnsi="仿宋" w:eastAsia="仿宋" w:cs="仿宋"/>
          <w:b/>
          <w:kern w:val="0"/>
          <w:sz w:val="24"/>
          <w:szCs w:val="20"/>
        </w:rPr>
      </w:pPr>
    </w:p>
    <w:p w14:paraId="3DD41B2F">
      <w:pPr>
        <w:pStyle w:val="3"/>
        <w:spacing w:before="0" w:line="240" w:lineRule="atLeast"/>
        <w:ind w:left="1080" w:leftChars="257" w:hanging="540"/>
        <w:rPr>
          <w:rFonts w:hint="eastAsia" w:ascii="仿宋" w:hAnsi="仿宋" w:eastAsia="仿宋" w:cs="仿宋"/>
          <w:sz w:val="24"/>
          <w:lang w:eastAsia="zh-CN"/>
        </w:rPr>
      </w:pPr>
      <w:bookmarkStart w:id="384" w:name="_Toc30795"/>
      <w:bookmarkStart w:id="385" w:name="_Toc31678"/>
      <w:bookmarkStart w:id="386" w:name="_Toc515647827"/>
      <w:bookmarkStart w:id="387" w:name="_Toc28099"/>
      <w:bookmarkStart w:id="388" w:name="_Toc15759"/>
      <w:r>
        <w:rPr>
          <w:rFonts w:hint="eastAsia" w:ascii="仿宋" w:hAnsi="仿宋" w:eastAsia="仿宋" w:cs="仿宋"/>
          <w:sz w:val="24"/>
        </w:rPr>
        <w:t>8   投标人关联单位的说明</w:t>
      </w:r>
      <w:bookmarkEnd w:id="384"/>
      <w:bookmarkEnd w:id="385"/>
      <w:bookmarkEnd w:id="386"/>
      <w:bookmarkEnd w:id="387"/>
      <w:r>
        <w:rPr>
          <w:rFonts w:hint="eastAsia" w:ascii="仿宋" w:hAnsi="仿宋" w:eastAsia="仿宋" w:cs="仿宋"/>
          <w:sz w:val="24"/>
          <w:lang w:eastAsia="zh-CN"/>
        </w:rPr>
        <w:t>（</w:t>
      </w:r>
      <w:r>
        <w:rPr>
          <w:rFonts w:hint="eastAsia" w:ascii="仿宋" w:hAnsi="仿宋" w:eastAsia="仿宋" w:cs="仿宋"/>
          <w:sz w:val="24"/>
          <w:lang w:val="en-US" w:eastAsia="zh-CN"/>
        </w:rPr>
        <w:t>格式自拟</w:t>
      </w:r>
      <w:r>
        <w:rPr>
          <w:rFonts w:hint="eastAsia" w:ascii="仿宋" w:hAnsi="仿宋" w:eastAsia="仿宋" w:cs="仿宋"/>
          <w:sz w:val="24"/>
          <w:lang w:eastAsia="zh-CN"/>
        </w:rPr>
        <w:t>）</w:t>
      </w:r>
      <w:bookmarkEnd w:id="388"/>
    </w:p>
    <w:p w14:paraId="16A08970">
      <w:pPr>
        <w:pStyle w:val="9"/>
        <w:jc w:val="center"/>
        <w:rPr>
          <w:rFonts w:hint="eastAsia" w:ascii="仿宋" w:hAnsi="仿宋" w:eastAsia="仿宋" w:cs="仿宋"/>
        </w:rPr>
      </w:pPr>
    </w:p>
    <w:p w14:paraId="6D76D4C8">
      <w:pPr>
        <w:pStyle w:val="9"/>
        <w:ind w:firstLine="480" w:firstLineChars="200"/>
        <w:rPr>
          <w:rFonts w:hint="eastAsia" w:ascii="仿宋" w:hAnsi="仿宋" w:eastAsia="仿宋" w:cs="仿宋"/>
        </w:rPr>
      </w:pPr>
      <w:r>
        <w:rPr>
          <w:rFonts w:hint="eastAsia" w:ascii="仿宋" w:hAnsi="仿宋" w:eastAsia="仿宋" w:cs="仿宋"/>
        </w:rPr>
        <w:t>说明：投标人应当如实披露与本单位存在下列关联关系的单位名称：</w:t>
      </w:r>
    </w:p>
    <w:p w14:paraId="0A03F6D4">
      <w:pPr>
        <w:pStyle w:val="9"/>
        <w:ind w:firstLine="960" w:firstLineChars="400"/>
        <w:rPr>
          <w:rFonts w:hint="eastAsia" w:ascii="仿宋" w:hAnsi="仿宋" w:eastAsia="仿宋" w:cs="仿宋"/>
          <w:lang w:eastAsia="zh-CN"/>
        </w:rPr>
      </w:pPr>
      <w:r>
        <w:rPr>
          <w:rFonts w:hint="eastAsia" w:ascii="仿宋" w:hAnsi="仿宋" w:eastAsia="仿宋" w:cs="仿宋"/>
        </w:rPr>
        <w:t>（1）与投标人单位负责人为同一人的其他单位；</w:t>
      </w:r>
    </w:p>
    <w:p w14:paraId="794963A3">
      <w:pPr>
        <w:pStyle w:val="9"/>
        <w:ind w:firstLine="480" w:firstLineChars="200"/>
        <w:rPr>
          <w:rFonts w:hint="eastAsia" w:ascii="仿宋" w:hAnsi="仿宋" w:eastAsia="仿宋" w:cs="仿宋"/>
        </w:rPr>
      </w:pP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（2）与投标人存在直接控股、管理关系的其他单位。</w:t>
      </w:r>
    </w:p>
    <w:p w14:paraId="7E3A75FC">
      <w:pPr>
        <w:pStyle w:val="9"/>
        <w:ind w:left="0" w:leftChars="0" w:firstLine="0" w:firstLineChars="0"/>
        <w:rPr>
          <w:rFonts w:hint="eastAsia" w:ascii="仿宋" w:hAnsi="仿宋" w:eastAsia="仿宋" w:cs="仿宋"/>
          <w:b/>
          <w:kern w:val="0"/>
          <w:sz w:val="24"/>
          <w:szCs w:val="20"/>
        </w:rPr>
      </w:pPr>
      <w:r>
        <w:rPr>
          <w:rFonts w:hint="eastAsia" w:ascii="仿宋" w:hAnsi="仿宋" w:eastAsia="仿宋" w:cs="仿宋"/>
          <w:b/>
          <w:kern w:val="0"/>
          <w:sz w:val="24"/>
          <w:szCs w:val="20"/>
        </w:rPr>
        <w:br w:type="page"/>
      </w:r>
    </w:p>
    <w:p w14:paraId="5E9C3A1A">
      <w:pPr>
        <w:pStyle w:val="3"/>
        <w:bidi w:val="0"/>
        <w:rPr>
          <w:rFonts w:hint="eastAsia" w:ascii="仿宋" w:hAnsi="仿宋" w:eastAsia="仿宋" w:cs="仿宋"/>
        </w:rPr>
      </w:pPr>
      <w:bookmarkStart w:id="389" w:name="_Toc3369"/>
      <w:bookmarkStart w:id="390" w:name="_Toc17333"/>
      <w:bookmarkStart w:id="391" w:name="_Toc6436"/>
      <w:bookmarkStart w:id="392" w:name="_Toc7414"/>
      <w:bookmarkStart w:id="393" w:name="_Toc515647828"/>
      <w:r>
        <w:rPr>
          <w:rFonts w:hint="eastAsia" w:ascii="仿宋" w:hAnsi="仿宋" w:eastAsia="仿宋" w:cs="仿宋"/>
          <w:sz w:val="24"/>
          <w:szCs w:val="24"/>
        </w:rPr>
        <w:t>9  投标文件还应包括投标人须知第10条的所有技术文件</w:t>
      </w:r>
      <w:bookmarkEnd w:id="389"/>
      <w:bookmarkEnd w:id="390"/>
      <w:bookmarkEnd w:id="391"/>
      <w:bookmarkEnd w:id="392"/>
      <w:bookmarkEnd w:id="393"/>
    </w:p>
    <w:p w14:paraId="158F7B05">
      <w:pPr>
        <w:pStyle w:val="38"/>
        <w:rPr>
          <w:rFonts w:hint="eastAsia" w:ascii="仿宋" w:hAnsi="仿宋" w:eastAsia="仿宋" w:cs="仿宋"/>
          <w:color w:val="auto"/>
          <w:sz w:val="24"/>
          <w:highlight w:val="none"/>
        </w:rPr>
      </w:pPr>
    </w:p>
    <w:p w14:paraId="608ED2BC">
      <w:pPr>
        <w:rPr>
          <w:rFonts w:hint="eastAsia" w:ascii="仿宋" w:hAnsi="仿宋" w:eastAsia="仿宋" w:cs="仿宋"/>
          <w:b/>
          <w:bCs/>
          <w:color w:val="auto"/>
          <w:kern w:val="0"/>
          <w:sz w:val="56"/>
          <w:szCs w:val="56"/>
          <w:highlight w:val="none"/>
          <w:lang w:eastAsia="zh-CN"/>
        </w:rPr>
      </w:pPr>
      <w:r>
        <w:rPr>
          <w:rFonts w:hint="eastAsia" w:ascii="仿宋" w:hAnsi="仿宋" w:eastAsia="仿宋" w:cs="仿宋"/>
          <w:b/>
          <w:bCs/>
          <w:color w:val="auto"/>
          <w:kern w:val="0"/>
          <w:sz w:val="56"/>
          <w:szCs w:val="56"/>
          <w:highlight w:val="none"/>
          <w:lang w:eastAsia="zh-CN"/>
        </w:rPr>
        <w:br w:type="page"/>
      </w:r>
    </w:p>
    <w:p w14:paraId="3CFEC6AB">
      <w:pPr>
        <w:pStyle w:val="27"/>
        <w:jc w:val="center"/>
        <w:rPr>
          <w:rFonts w:hint="eastAsia" w:ascii="仿宋" w:hAnsi="仿宋" w:eastAsia="仿宋" w:cs="仿宋"/>
          <w:b/>
          <w:bCs/>
          <w:color w:val="auto"/>
          <w:kern w:val="0"/>
          <w:sz w:val="44"/>
          <w:szCs w:val="44"/>
          <w:highlight w:val="none"/>
        </w:rPr>
      </w:pPr>
      <w:r>
        <w:rPr>
          <w:rFonts w:hint="eastAsia" w:ascii="仿宋" w:hAnsi="仿宋" w:eastAsia="仿宋" w:cs="仿宋"/>
          <w:b/>
          <w:bCs/>
          <w:color w:val="auto"/>
          <w:kern w:val="0"/>
          <w:sz w:val="56"/>
          <w:szCs w:val="56"/>
          <w:highlight w:val="none"/>
          <w:lang w:eastAsia="zh-CN"/>
        </w:rPr>
        <w:t>莎车县促进各民族交往交流交融（浦莎乐巴扎）项目</w:t>
      </w:r>
    </w:p>
    <w:p w14:paraId="17056BF6">
      <w:pPr>
        <w:pStyle w:val="27"/>
        <w:rPr>
          <w:rFonts w:hint="eastAsia" w:ascii="仿宋" w:hAnsi="仿宋" w:eastAsia="仿宋" w:cs="仿宋"/>
          <w:b/>
          <w:bCs/>
          <w:color w:val="auto"/>
          <w:kern w:val="0"/>
          <w:sz w:val="44"/>
          <w:szCs w:val="44"/>
          <w:highlight w:val="none"/>
        </w:rPr>
      </w:pPr>
    </w:p>
    <w:p w14:paraId="7089971D">
      <w:pPr>
        <w:bidi w:val="0"/>
        <w:rPr>
          <w:rFonts w:hint="eastAsia" w:ascii="仿宋" w:hAnsi="仿宋" w:eastAsia="仿宋" w:cs="仿宋"/>
          <w:color w:val="auto"/>
          <w:highlight w:val="none"/>
        </w:rPr>
      </w:pPr>
    </w:p>
    <w:p w14:paraId="2A2D45F6">
      <w:pPr>
        <w:pStyle w:val="27"/>
        <w:rPr>
          <w:rFonts w:hint="eastAsia" w:ascii="仿宋" w:hAnsi="仿宋" w:eastAsia="仿宋" w:cs="仿宋"/>
          <w:b/>
          <w:bCs/>
          <w:color w:val="auto"/>
          <w:kern w:val="0"/>
          <w:sz w:val="44"/>
          <w:szCs w:val="44"/>
          <w:highlight w:val="none"/>
        </w:rPr>
      </w:pPr>
    </w:p>
    <w:p w14:paraId="226A7C76">
      <w:pPr>
        <w:pStyle w:val="27"/>
        <w:rPr>
          <w:rFonts w:hint="eastAsia" w:ascii="仿宋" w:hAnsi="仿宋" w:eastAsia="仿宋" w:cs="仿宋"/>
          <w:b/>
          <w:bCs/>
          <w:color w:val="auto"/>
          <w:kern w:val="0"/>
          <w:sz w:val="44"/>
          <w:szCs w:val="44"/>
          <w:highlight w:val="none"/>
        </w:rPr>
      </w:pPr>
    </w:p>
    <w:p w14:paraId="17A53C77">
      <w:pPr>
        <w:pStyle w:val="27"/>
        <w:rPr>
          <w:rFonts w:hint="eastAsia" w:ascii="仿宋" w:hAnsi="仿宋" w:eastAsia="仿宋" w:cs="仿宋"/>
          <w:b/>
          <w:bCs/>
          <w:color w:val="auto"/>
          <w:kern w:val="0"/>
          <w:sz w:val="44"/>
          <w:szCs w:val="44"/>
          <w:highlight w:val="none"/>
        </w:rPr>
      </w:pPr>
    </w:p>
    <w:p w14:paraId="2F7777BD">
      <w:pPr>
        <w:spacing w:line="240" w:lineRule="atLeast"/>
        <w:ind w:left="1080" w:leftChars="257" w:hanging="540"/>
        <w:jc w:val="center"/>
        <w:rPr>
          <w:rFonts w:hint="eastAsia" w:ascii="仿宋" w:hAnsi="仿宋" w:eastAsia="仿宋" w:cs="仿宋"/>
          <w:b/>
          <w:bCs/>
          <w:color w:val="auto"/>
          <w:kern w:val="0"/>
          <w:sz w:val="48"/>
          <w:szCs w:val="48"/>
          <w:highlight w:val="none"/>
        </w:rPr>
      </w:pPr>
      <w:r>
        <w:rPr>
          <w:rFonts w:hint="eastAsia" w:ascii="仿宋" w:hAnsi="仿宋" w:eastAsia="仿宋" w:cs="仿宋"/>
          <w:b/>
          <w:bCs/>
          <w:color w:val="auto"/>
          <w:kern w:val="0"/>
          <w:sz w:val="48"/>
          <w:szCs w:val="48"/>
          <w:highlight w:val="none"/>
        </w:rPr>
        <w:t>招标文件（</w:t>
      </w:r>
      <w:r>
        <w:rPr>
          <w:rFonts w:hint="eastAsia" w:ascii="仿宋" w:hAnsi="仿宋" w:eastAsia="仿宋" w:cs="仿宋"/>
          <w:b/>
          <w:color w:val="auto"/>
          <w:sz w:val="48"/>
          <w:szCs w:val="48"/>
          <w:highlight w:val="none"/>
        </w:rPr>
        <w:t>第</w:t>
      </w:r>
      <w:r>
        <w:rPr>
          <w:rFonts w:hint="eastAsia" w:ascii="仿宋" w:hAnsi="仿宋" w:eastAsia="仿宋" w:cs="仿宋"/>
          <w:b/>
          <w:color w:val="auto"/>
          <w:sz w:val="48"/>
          <w:szCs w:val="48"/>
          <w:highlight w:val="none"/>
          <w:lang w:eastAsia="zh-CN"/>
        </w:rPr>
        <w:t>二</w:t>
      </w:r>
      <w:r>
        <w:rPr>
          <w:rFonts w:hint="eastAsia" w:ascii="仿宋" w:hAnsi="仿宋" w:eastAsia="仿宋" w:cs="仿宋"/>
          <w:b/>
          <w:color w:val="auto"/>
          <w:sz w:val="48"/>
          <w:szCs w:val="48"/>
          <w:highlight w:val="none"/>
        </w:rPr>
        <w:t>册</w:t>
      </w:r>
      <w:r>
        <w:rPr>
          <w:rFonts w:hint="eastAsia" w:ascii="仿宋" w:hAnsi="仿宋" w:eastAsia="仿宋" w:cs="仿宋"/>
          <w:b/>
          <w:bCs/>
          <w:color w:val="auto"/>
          <w:kern w:val="0"/>
          <w:sz w:val="48"/>
          <w:szCs w:val="48"/>
          <w:highlight w:val="none"/>
        </w:rPr>
        <w:t>）</w:t>
      </w:r>
    </w:p>
    <w:p w14:paraId="581530C9">
      <w:pPr>
        <w:pStyle w:val="38"/>
        <w:rPr>
          <w:rFonts w:hint="eastAsia" w:ascii="仿宋" w:hAnsi="仿宋" w:eastAsia="仿宋" w:cs="仿宋"/>
          <w:color w:val="auto"/>
          <w:highlight w:val="none"/>
        </w:rPr>
      </w:pPr>
    </w:p>
    <w:p w14:paraId="056C4DE9">
      <w:pPr>
        <w:rPr>
          <w:rFonts w:hint="eastAsia" w:ascii="仿宋" w:hAnsi="仿宋" w:eastAsia="仿宋" w:cs="仿宋"/>
          <w:color w:val="auto"/>
          <w:highlight w:val="none"/>
        </w:rPr>
      </w:pPr>
    </w:p>
    <w:p w14:paraId="15412431">
      <w:pPr>
        <w:pStyle w:val="38"/>
        <w:rPr>
          <w:rFonts w:hint="eastAsia" w:ascii="仿宋" w:hAnsi="仿宋" w:eastAsia="仿宋" w:cs="仿宋"/>
          <w:color w:val="auto"/>
          <w:highlight w:val="none"/>
        </w:rPr>
      </w:pPr>
    </w:p>
    <w:p w14:paraId="60E459D7">
      <w:pPr>
        <w:pStyle w:val="38"/>
        <w:rPr>
          <w:rFonts w:hint="eastAsia" w:ascii="仿宋" w:hAnsi="仿宋" w:eastAsia="仿宋" w:cs="仿宋"/>
          <w:color w:val="auto"/>
          <w:highlight w:val="none"/>
        </w:rPr>
      </w:pPr>
    </w:p>
    <w:p w14:paraId="221B2A8C">
      <w:pPr>
        <w:pStyle w:val="38"/>
        <w:spacing w:line="240" w:lineRule="auto"/>
        <w:ind w:firstLine="0" w:firstLineChars="0"/>
        <w:rPr>
          <w:rFonts w:hint="eastAsia" w:ascii="仿宋" w:hAnsi="仿宋" w:eastAsia="仿宋" w:cs="仿宋"/>
          <w:color w:val="auto"/>
          <w:highlight w:val="none"/>
        </w:rPr>
      </w:pPr>
    </w:p>
    <w:p w14:paraId="6358DA19">
      <w:pPr>
        <w:pStyle w:val="38"/>
        <w:rPr>
          <w:rFonts w:hint="eastAsia" w:ascii="仿宋" w:hAnsi="仿宋" w:eastAsia="仿宋" w:cs="仿宋"/>
          <w:color w:val="auto"/>
          <w:highlight w:val="none"/>
        </w:rPr>
      </w:pPr>
    </w:p>
    <w:p w14:paraId="43A11C8C">
      <w:pPr>
        <w:pStyle w:val="38"/>
        <w:rPr>
          <w:rFonts w:hint="eastAsia" w:ascii="仿宋" w:hAnsi="仿宋" w:eastAsia="仿宋" w:cs="仿宋"/>
          <w:color w:val="auto"/>
          <w:highlight w:val="none"/>
        </w:rPr>
      </w:pPr>
    </w:p>
    <w:p w14:paraId="4703F7FB">
      <w:pPr>
        <w:pStyle w:val="38"/>
        <w:rPr>
          <w:rFonts w:hint="eastAsia" w:ascii="仿宋" w:hAnsi="仿宋" w:eastAsia="仿宋" w:cs="仿宋"/>
          <w:color w:val="auto"/>
          <w:highlight w:val="none"/>
        </w:rPr>
      </w:pPr>
    </w:p>
    <w:p w14:paraId="5A5B8807">
      <w:pPr>
        <w:pStyle w:val="38"/>
        <w:rPr>
          <w:rFonts w:hint="eastAsia" w:ascii="仿宋" w:hAnsi="仿宋" w:eastAsia="仿宋" w:cs="仿宋"/>
          <w:color w:val="auto"/>
          <w:highlight w:val="none"/>
        </w:rPr>
      </w:pPr>
    </w:p>
    <w:p w14:paraId="20B82653">
      <w:pPr>
        <w:pStyle w:val="38"/>
        <w:rPr>
          <w:rFonts w:hint="eastAsia" w:ascii="仿宋" w:hAnsi="仿宋" w:eastAsia="仿宋" w:cs="仿宋"/>
          <w:color w:val="auto"/>
          <w:highlight w:val="none"/>
        </w:rPr>
      </w:pPr>
    </w:p>
    <w:p w14:paraId="2503EDE9">
      <w:pPr>
        <w:pStyle w:val="38"/>
        <w:rPr>
          <w:rFonts w:hint="eastAsia" w:ascii="仿宋" w:hAnsi="仿宋" w:eastAsia="仿宋" w:cs="仿宋"/>
          <w:color w:val="auto"/>
          <w:highlight w:val="none"/>
        </w:rPr>
      </w:pPr>
    </w:p>
    <w:p w14:paraId="567CA5D8">
      <w:pPr>
        <w:pStyle w:val="38"/>
        <w:rPr>
          <w:rFonts w:hint="eastAsia" w:ascii="仿宋" w:hAnsi="仿宋" w:eastAsia="仿宋" w:cs="仿宋"/>
          <w:color w:val="auto"/>
          <w:highlight w:val="none"/>
        </w:rPr>
      </w:pPr>
    </w:p>
    <w:tbl>
      <w:tblPr>
        <w:tblStyle w:val="4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52"/>
        <w:gridCol w:w="6476"/>
      </w:tblGrid>
      <w:tr w14:paraId="7E2A6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76F6BD90">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采购代理机构：</w:t>
            </w:r>
          </w:p>
        </w:tc>
        <w:tc>
          <w:tcPr>
            <w:tcW w:w="6476" w:type="dxa"/>
            <w:noWrap w:val="0"/>
            <w:vAlign w:val="top"/>
          </w:tcPr>
          <w:p w14:paraId="5498A7F1">
            <w:pPr>
              <w:pStyle w:val="38"/>
              <w:keepNext w:val="0"/>
              <w:keepLines w:val="0"/>
              <w:suppressLineNumbers w:val="0"/>
              <w:spacing w:before="0" w:beforeAutospacing="0" w:after="0" w:afterAutospacing="0"/>
              <w:ind w:left="0" w:leftChars="0" w:right="0" w:firstLine="0" w:firstLineChars="0"/>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新疆华嵘印橡项目管理咨询有限公司</w:t>
            </w:r>
          </w:p>
        </w:tc>
      </w:tr>
      <w:tr w14:paraId="36746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2110639F">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发出日期：</w:t>
            </w:r>
          </w:p>
        </w:tc>
        <w:tc>
          <w:tcPr>
            <w:tcW w:w="6476" w:type="dxa"/>
            <w:noWrap w:val="0"/>
            <w:vAlign w:val="top"/>
          </w:tcPr>
          <w:p w14:paraId="632BF80A">
            <w:pPr>
              <w:keepNext w:val="0"/>
              <w:keepLines w:val="0"/>
              <w:suppressLineNumbers w:val="0"/>
              <w:bidi w:val="0"/>
              <w:spacing w:before="0" w:beforeAutospacing="0" w:after="0" w:afterAutospacing="0"/>
              <w:ind w:left="0" w:right="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二〇二五年四月</w:t>
            </w:r>
          </w:p>
        </w:tc>
      </w:tr>
    </w:tbl>
    <w:p w14:paraId="76567684">
      <w:pPr>
        <w:pStyle w:val="2"/>
        <w:bidi w:val="0"/>
        <w:rPr>
          <w:rFonts w:hint="eastAsia" w:ascii="仿宋" w:hAnsi="仿宋" w:eastAsia="仿宋" w:cs="仿宋"/>
          <w:color w:val="auto"/>
          <w:highlight w:val="none"/>
        </w:rPr>
      </w:pPr>
      <w:bookmarkStart w:id="394" w:name="_Toc515647829"/>
      <w:bookmarkStart w:id="395" w:name="_Toc507399902"/>
      <w:bookmarkStart w:id="396" w:name="_Toc16370"/>
      <w:bookmarkStart w:id="397" w:name="_Toc216582822"/>
      <w:bookmarkStart w:id="398" w:name="_Toc219175634"/>
      <w:bookmarkStart w:id="399" w:name="_Toc218935350"/>
      <w:bookmarkStart w:id="400" w:name="_Toc28765"/>
      <w:r>
        <w:rPr>
          <w:rFonts w:hint="eastAsia" w:ascii="仿宋" w:hAnsi="仿宋" w:eastAsia="仿宋" w:cs="仿宋"/>
          <w:color w:val="auto"/>
          <w:highlight w:val="none"/>
          <w:lang w:eastAsia="zh-CN"/>
        </w:rPr>
        <w:br w:type="page"/>
      </w:r>
      <w:bookmarkStart w:id="401" w:name="_Toc8105"/>
      <w:r>
        <w:rPr>
          <w:rStyle w:val="48"/>
          <w:rFonts w:hint="eastAsia" w:ascii="仿宋" w:hAnsi="仿宋" w:eastAsia="仿宋" w:cs="仿宋"/>
          <w:b/>
          <w:bCs/>
          <w:sz w:val="32"/>
          <w:szCs w:val="32"/>
          <w:lang w:eastAsia="zh-CN"/>
        </w:rPr>
        <w:t>第</w:t>
      </w:r>
      <w:r>
        <w:rPr>
          <w:rStyle w:val="48"/>
          <w:rFonts w:hint="eastAsia" w:ascii="仿宋" w:hAnsi="仿宋" w:eastAsia="仿宋" w:cs="仿宋"/>
          <w:b/>
          <w:bCs/>
          <w:sz w:val="32"/>
          <w:szCs w:val="32"/>
          <w:lang w:val="en-US" w:eastAsia="zh-CN"/>
        </w:rPr>
        <w:t xml:space="preserve">3章  </w:t>
      </w:r>
      <w:r>
        <w:rPr>
          <w:rStyle w:val="48"/>
          <w:rFonts w:hint="eastAsia" w:ascii="仿宋" w:hAnsi="仿宋" w:eastAsia="仿宋" w:cs="仿宋"/>
          <w:b/>
          <w:bCs/>
          <w:sz w:val="32"/>
          <w:szCs w:val="32"/>
        </w:rPr>
        <w:t>投标邀请</w:t>
      </w:r>
      <w:bookmarkEnd w:id="394"/>
      <w:bookmarkEnd w:id="395"/>
      <w:bookmarkEnd w:id="396"/>
      <w:bookmarkEnd w:id="397"/>
      <w:bookmarkEnd w:id="398"/>
      <w:bookmarkEnd w:id="399"/>
      <w:bookmarkEnd w:id="400"/>
      <w:bookmarkEnd w:id="401"/>
    </w:p>
    <w:p w14:paraId="2B250C0B">
      <w:pPr>
        <w:rPr>
          <w:rFonts w:hint="eastAsia" w:ascii="仿宋" w:hAnsi="仿宋" w:eastAsia="仿宋" w:cs="仿宋"/>
          <w:color w:val="auto"/>
          <w:highlight w:val="none"/>
        </w:rPr>
      </w:pPr>
    </w:p>
    <w:p w14:paraId="549F03B2">
      <w:pPr>
        <w:pStyle w:val="2"/>
        <w:tabs>
          <w:tab w:val="left" w:pos="0"/>
          <w:tab w:val="left" w:pos="3165"/>
          <w:tab w:val="center" w:pos="4153"/>
        </w:tabs>
        <w:autoSpaceDE w:val="0"/>
        <w:autoSpaceDN w:val="0"/>
        <w:adjustRightInd w:val="0"/>
        <w:spacing w:before="0" w:after="0"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 xml:space="preserve">    </w:t>
      </w:r>
      <w:bookmarkStart w:id="402" w:name="_Toc28359001"/>
      <w:bookmarkStart w:id="403" w:name="_Toc35393789"/>
      <w:bookmarkStart w:id="404" w:name="_Toc17543"/>
      <w:r>
        <w:rPr>
          <w:rFonts w:hint="eastAsia" w:ascii="仿宋" w:hAnsi="仿宋" w:eastAsia="仿宋" w:cs="仿宋"/>
          <w:color w:val="auto"/>
          <w:highlight w:val="none"/>
          <w:lang w:eastAsia="zh-CN"/>
        </w:rPr>
        <w:t xml:space="preserve"> </w:t>
      </w:r>
      <w:bookmarkStart w:id="405" w:name="_Toc26609"/>
      <w:r>
        <w:rPr>
          <w:rFonts w:hint="eastAsia" w:ascii="仿宋" w:hAnsi="仿宋" w:eastAsia="仿宋" w:cs="仿宋"/>
          <w:color w:val="auto"/>
          <w:highlight w:val="none"/>
          <w:lang w:eastAsia="zh-CN"/>
        </w:rPr>
        <w:t>莎车县促进各民族交往交流交融（浦莎乐巴扎）项目</w:t>
      </w:r>
      <w:r>
        <w:rPr>
          <w:rFonts w:hint="eastAsia" w:ascii="仿宋" w:hAnsi="仿宋" w:eastAsia="仿宋" w:cs="仿宋"/>
          <w:color w:val="auto"/>
          <w:highlight w:val="none"/>
        </w:rPr>
        <w:t>招标公告</w:t>
      </w:r>
      <w:bookmarkEnd w:id="402"/>
      <w:bookmarkEnd w:id="403"/>
      <w:bookmarkEnd w:id="404"/>
      <w:bookmarkEnd w:id="405"/>
    </w:p>
    <w:p w14:paraId="08B36409">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1AC60A5A">
      <w:pPr>
        <w:pBdr>
          <w:top w:val="single" w:color="auto" w:sz="4" w:space="1"/>
          <w:left w:val="single" w:color="auto" w:sz="4" w:space="4"/>
          <w:bottom w:val="single" w:color="auto" w:sz="4" w:space="1"/>
          <w:right w:val="single" w:color="auto" w:sz="4" w:space="4"/>
        </w:pBdr>
        <w:ind w:firstLine="480" w:firstLineChars="2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莎车县促进各民族交往交流交融（浦莎乐巴扎）项目</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招标项目的潜在投标人应在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政采云平台</w:t>
      </w:r>
      <w:r>
        <w:rPr>
          <w:rFonts w:hint="eastAsia" w:ascii="仿宋" w:hAnsi="仿宋" w:eastAsia="仿宋" w:cs="仿宋"/>
          <w:color w:val="auto"/>
          <w:sz w:val="24"/>
          <w:szCs w:val="24"/>
          <w:highlight w:val="none"/>
          <w:u w:val="single"/>
          <w:lang w:val="en-US" w:eastAsia="zh-CN"/>
        </w:rPr>
        <w:t xml:space="preserve">线上下载 </w:t>
      </w:r>
      <w:r>
        <w:rPr>
          <w:rFonts w:hint="eastAsia" w:ascii="仿宋" w:hAnsi="仿宋" w:eastAsia="仿宋" w:cs="仿宋"/>
          <w:color w:val="auto"/>
          <w:sz w:val="24"/>
          <w:szCs w:val="24"/>
          <w:highlight w:val="none"/>
          <w:lang w:eastAsia="zh-CN"/>
        </w:rPr>
        <w:t>（供应商登陆政采云平台http://www.zcygov.cn/，在线申请获取采购文件（登录政府采购云平台 → 项目采购 → 获取采购文件 → 申请，如有操作性问题，可与政采云在线客服进行咨询，咨询电话：95763）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获取招标文件，并于</w:t>
      </w:r>
      <w:r>
        <w:rPr>
          <w:rFonts w:hint="eastAsia" w:ascii="仿宋" w:hAnsi="仿宋" w:eastAsia="仿宋" w:cs="仿宋"/>
          <w:bCs/>
          <w:color w:val="auto"/>
          <w:sz w:val="24"/>
          <w:szCs w:val="24"/>
          <w:highlight w:val="none"/>
          <w:u w:val="single"/>
          <w:lang w:val="en-US" w:eastAsia="zh-CN"/>
        </w:rPr>
        <w:t>2025年5月7日11点00分</w:t>
      </w:r>
      <w:r>
        <w:rPr>
          <w:rFonts w:hint="eastAsia" w:ascii="仿宋" w:hAnsi="仿宋" w:eastAsia="仿宋" w:cs="仿宋"/>
          <w:color w:val="auto"/>
          <w:sz w:val="24"/>
          <w:szCs w:val="24"/>
          <w:highlight w:val="none"/>
          <w:u w:val="single"/>
          <w:shd w:val="clear" w:color="auto" w:fill="auto"/>
          <w:lang w:val="en-US" w:eastAsia="zh-CN"/>
        </w:rPr>
        <w:t>（北京时间）</w:t>
      </w:r>
      <w:r>
        <w:rPr>
          <w:rFonts w:hint="eastAsia" w:ascii="仿宋" w:hAnsi="仿宋" w:eastAsia="仿宋" w:cs="仿宋"/>
          <w:bCs/>
          <w:color w:val="auto"/>
          <w:sz w:val="24"/>
          <w:szCs w:val="24"/>
          <w:highlight w:val="none"/>
        </w:rPr>
        <w:t>前递交投标文件</w:t>
      </w:r>
      <w:r>
        <w:rPr>
          <w:rFonts w:hint="eastAsia" w:ascii="仿宋" w:hAnsi="仿宋" w:eastAsia="仿宋" w:cs="仿宋"/>
          <w:color w:val="auto"/>
          <w:sz w:val="24"/>
          <w:szCs w:val="24"/>
          <w:highlight w:val="none"/>
        </w:rPr>
        <w:t>。</w:t>
      </w:r>
    </w:p>
    <w:p w14:paraId="68E3570E">
      <w:pPr>
        <w:rPr>
          <w:rFonts w:hint="eastAsia" w:ascii="仿宋" w:hAnsi="仿宋" w:eastAsia="仿宋" w:cs="仿宋"/>
          <w:color w:val="auto"/>
          <w:sz w:val="24"/>
          <w:szCs w:val="24"/>
          <w:highlight w:val="none"/>
        </w:rPr>
      </w:pPr>
    </w:p>
    <w:p w14:paraId="2AEB237A">
      <w:pPr>
        <w:pStyle w:val="3"/>
        <w:spacing w:line="360" w:lineRule="auto"/>
        <w:jc w:val="left"/>
        <w:rPr>
          <w:rFonts w:hint="eastAsia" w:ascii="仿宋" w:hAnsi="仿宋" w:eastAsia="仿宋" w:cs="仿宋"/>
          <w:b w:val="0"/>
          <w:color w:val="auto"/>
          <w:sz w:val="24"/>
          <w:szCs w:val="24"/>
          <w:highlight w:val="none"/>
        </w:rPr>
      </w:pPr>
      <w:bookmarkStart w:id="406" w:name="_Toc17583"/>
      <w:bookmarkStart w:id="407" w:name="_Toc28359079"/>
      <w:bookmarkStart w:id="408" w:name="_Toc28359002"/>
      <w:bookmarkStart w:id="409" w:name="_Toc19710"/>
      <w:bookmarkStart w:id="410" w:name="_Toc35393621"/>
      <w:bookmarkStart w:id="411" w:name="_Toc35393790"/>
      <w:bookmarkStart w:id="412" w:name="_Hlk24379207"/>
      <w:r>
        <w:rPr>
          <w:rFonts w:hint="eastAsia" w:ascii="仿宋" w:hAnsi="仿宋" w:eastAsia="仿宋" w:cs="仿宋"/>
          <w:b w:val="0"/>
          <w:color w:val="auto"/>
          <w:sz w:val="24"/>
          <w:szCs w:val="24"/>
          <w:highlight w:val="none"/>
        </w:rPr>
        <w:t>一、项目基本情况</w:t>
      </w:r>
      <w:bookmarkEnd w:id="406"/>
      <w:bookmarkEnd w:id="407"/>
      <w:bookmarkEnd w:id="408"/>
      <w:bookmarkEnd w:id="409"/>
      <w:bookmarkEnd w:id="410"/>
      <w:bookmarkEnd w:id="411"/>
    </w:p>
    <w:p w14:paraId="27F0AE9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HRYX (SCCGGK)2025-002</w:t>
      </w:r>
      <w:r>
        <w:rPr>
          <w:rFonts w:hint="eastAsia" w:ascii="仿宋" w:hAnsi="仿宋" w:eastAsia="仿宋" w:cs="Times New Roman"/>
          <w:b w:val="0"/>
          <w:color w:val="auto"/>
          <w:kern w:val="2"/>
          <w:sz w:val="24"/>
          <w:szCs w:val="24"/>
          <w:highlight w:val="none"/>
          <w:u w:val="none"/>
          <w:lang w:val="en-US" w:eastAsia="zh-CN"/>
        </w:rPr>
        <w:t xml:space="preserve"> </w:t>
      </w:r>
    </w:p>
    <w:p w14:paraId="6BA6BC4F">
      <w:pPr>
        <w:keepNext w:val="0"/>
        <w:keepLines w:val="0"/>
        <w:pageBreakBefore w:val="0"/>
        <w:kinsoku/>
        <w:wordWrap/>
        <w:overflowPunct/>
        <w:topLinePunct w:val="0"/>
        <w:autoSpaceDE/>
        <w:autoSpaceDN/>
        <w:bidi w:val="0"/>
        <w:adjustRightInd/>
        <w:snapToGrid/>
        <w:spacing w:before="75" w:after="75" w:line="360" w:lineRule="auto"/>
        <w:ind w:firstLine="480" w:firstLineChars="200"/>
        <w:jc w:val="both"/>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仿宋"/>
          <w:color w:val="auto"/>
          <w:sz w:val="24"/>
          <w:szCs w:val="24"/>
          <w:highlight w:val="none"/>
        </w:rPr>
        <w:t>项目名称：</w:t>
      </w:r>
      <w:bookmarkEnd w:id="412"/>
      <w:bookmarkStart w:id="413" w:name="_Toc35393622"/>
      <w:bookmarkStart w:id="414" w:name="_Toc11609"/>
      <w:bookmarkStart w:id="415" w:name="_Toc35393791"/>
      <w:bookmarkStart w:id="416" w:name="_Toc28359080"/>
      <w:bookmarkStart w:id="417" w:name="_Toc28359003"/>
      <w:r>
        <w:rPr>
          <w:rFonts w:hint="eastAsia" w:ascii="仿宋" w:hAnsi="仿宋" w:eastAsia="仿宋" w:cs="Times New Roman"/>
          <w:kern w:val="2"/>
          <w:sz w:val="24"/>
          <w:szCs w:val="24"/>
          <w:highlight w:val="none"/>
          <w:u w:val="none"/>
          <w:lang w:val="en-US" w:eastAsia="zh-CN" w:bidi="ar-SA"/>
        </w:rPr>
        <w:t>莎车县促进各民族交往交流交融（浦莎乐巴扎）项目</w:t>
      </w:r>
    </w:p>
    <w:p w14:paraId="504E3A92">
      <w:pPr>
        <w:spacing w:line="48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200.00万元</w:t>
      </w:r>
    </w:p>
    <w:p w14:paraId="266FE2F0">
      <w:pPr>
        <w:pStyle w:val="38"/>
        <w:spacing w:line="480" w:lineRule="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none"/>
        </w:rPr>
        <w:t>最高限价：</w:t>
      </w:r>
      <w:r>
        <w:rPr>
          <w:rFonts w:hint="eastAsia" w:ascii="仿宋" w:hAnsi="仿宋" w:eastAsia="仿宋" w:cs="仿宋"/>
          <w:color w:val="auto"/>
          <w:sz w:val="24"/>
          <w:szCs w:val="24"/>
          <w:highlight w:val="none"/>
          <w:lang w:val="en-US" w:eastAsia="zh-CN"/>
        </w:rPr>
        <w:t>200.00万元</w:t>
      </w:r>
    </w:p>
    <w:p w14:paraId="4BB519BF">
      <w:pPr>
        <w:keepNext w:val="0"/>
        <w:keepLines w:val="0"/>
        <w:widowControl/>
        <w:suppressLineNumbers w:val="0"/>
        <w:spacing w:before="75" w:beforeAutospacing="0" w:after="75" w:afterAutospacing="0" w:line="360" w:lineRule="auto"/>
        <w:ind w:left="0" w:right="0" w:firstLine="240" w:firstLineChars="100"/>
        <w:rPr>
          <w:rFonts w:hint="default"/>
          <w:lang w:val="en-US" w:eastAsia="zh-CN"/>
        </w:rPr>
      </w:pPr>
      <w:r>
        <w:rPr>
          <w:rFonts w:hint="eastAsia" w:ascii="仿宋" w:hAnsi="仿宋" w:eastAsia="仿宋" w:cs="仿宋"/>
          <w:color w:val="auto"/>
          <w:sz w:val="24"/>
          <w:szCs w:val="24"/>
          <w:highlight w:val="none"/>
        </w:rPr>
        <w:t>采购需求：</w:t>
      </w:r>
      <w:r>
        <w:rPr>
          <w:rFonts w:hint="eastAsia" w:ascii="仿宋" w:hAnsi="仿宋" w:eastAsia="仿宋" w:cs="仿宋"/>
          <w:sz w:val="24"/>
          <w:szCs w:val="32"/>
        </w:rPr>
        <w:t>采购一批上海浦东美食文化交流活动保障服务，主要对活动策划、执行、人员交通食宿等进行服务保障</w:t>
      </w:r>
    </w:p>
    <w:p w14:paraId="084A3D72">
      <w:pPr>
        <w:pStyle w:val="9"/>
        <w:ind w:left="0" w:leftChars="0" w:firstLine="0" w:firstLineChars="0"/>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 xml:space="preserve">        </w:t>
      </w:r>
    </w:p>
    <w:p w14:paraId="1134F7BD">
      <w:pPr>
        <w:spacing w:line="480" w:lineRule="auto"/>
        <w:ind w:firstLine="480" w:firstLineChars="200"/>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合同履行期限：</w:t>
      </w:r>
      <w:r>
        <w:rPr>
          <w:rFonts w:hint="eastAsia" w:ascii="仿宋" w:hAnsi="仿宋" w:eastAsia="仿宋" w:cs="仿宋"/>
          <w:color w:val="auto"/>
          <w:kern w:val="2"/>
          <w:sz w:val="24"/>
          <w:szCs w:val="24"/>
          <w:highlight w:val="none"/>
          <w:lang w:val="en-US" w:eastAsia="zh-CN" w:bidi="ar"/>
        </w:rPr>
        <w:t>2025年5月至10月底（具体以签订合同为准）</w:t>
      </w:r>
    </w:p>
    <w:p w14:paraId="216A2E7F">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w:t>
      </w:r>
      <w:r>
        <w:rPr>
          <w:rFonts w:hint="eastAsia" w:ascii="仿宋" w:hAnsi="仿宋" w:eastAsia="仿宋" w:cs="仿宋"/>
          <w:color w:val="auto"/>
          <w:sz w:val="24"/>
          <w:szCs w:val="24"/>
          <w:highlight w:val="none"/>
          <w:lang w:eastAsia="zh-CN"/>
        </w:rPr>
        <w:t>不</w:t>
      </w:r>
      <w:r>
        <w:rPr>
          <w:rFonts w:hint="eastAsia" w:ascii="仿宋" w:hAnsi="仿宋" w:eastAsia="仿宋" w:cs="仿宋"/>
          <w:color w:val="auto"/>
          <w:sz w:val="24"/>
          <w:szCs w:val="24"/>
          <w:highlight w:val="none"/>
        </w:rPr>
        <w:t>接受联合体投标。</w:t>
      </w:r>
    </w:p>
    <w:p w14:paraId="4EF3DF31">
      <w:pPr>
        <w:pStyle w:val="3"/>
        <w:spacing w:line="360" w:lineRule="auto"/>
        <w:jc w:val="left"/>
        <w:rPr>
          <w:rFonts w:hint="eastAsia" w:ascii="仿宋" w:hAnsi="仿宋" w:eastAsia="仿宋" w:cs="仿宋"/>
          <w:b w:val="0"/>
          <w:color w:val="auto"/>
          <w:sz w:val="24"/>
          <w:szCs w:val="24"/>
          <w:highlight w:val="none"/>
          <w:lang w:val="en-US" w:eastAsia="zh-CN"/>
        </w:rPr>
      </w:pPr>
      <w:bookmarkStart w:id="418" w:name="_Toc12004"/>
      <w:r>
        <w:rPr>
          <w:rFonts w:hint="eastAsia" w:ascii="仿宋" w:hAnsi="仿宋" w:eastAsia="仿宋" w:cs="仿宋"/>
          <w:b w:val="0"/>
          <w:color w:val="auto"/>
          <w:sz w:val="24"/>
          <w:szCs w:val="24"/>
          <w:highlight w:val="none"/>
        </w:rPr>
        <w:t>二、申请人的资格要求：</w:t>
      </w:r>
      <w:bookmarkEnd w:id="413"/>
      <w:bookmarkEnd w:id="414"/>
      <w:bookmarkEnd w:id="415"/>
      <w:bookmarkEnd w:id="416"/>
      <w:bookmarkEnd w:id="417"/>
      <w:bookmarkEnd w:id="418"/>
      <w:r>
        <w:rPr>
          <w:rFonts w:hint="eastAsia" w:ascii="仿宋" w:hAnsi="仿宋" w:eastAsia="仿宋" w:cs="仿宋"/>
          <w:b w:val="0"/>
          <w:color w:val="auto"/>
          <w:sz w:val="24"/>
          <w:szCs w:val="24"/>
          <w:highlight w:val="none"/>
          <w:lang w:val="en-US" w:eastAsia="zh-CN"/>
        </w:rPr>
        <w:t xml:space="preserve"> </w:t>
      </w:r>
    </w:p>
    <w:p w14:paraId="491B0E77">
      <w:pPr>
        <w:spacing w:line="360" w:lineRule="auto"/>
        <w:ind w:firstLine="480" w:firstLineChars="200"/>
        <w:rPr>
          <w:rFonts w:hint="eastAsia" w:ascii="仿宋" w:hAnsi="仿宋" w:eastAsia="仿宋" w:cs="仿宋"/>
          <w:color w:val="auto"/>
          <w:sz w:val="24"/>
          <w:szCs w:val="24"/>
          <w:highlight w:val="none"/>
        </w:rPr>
      </w:pPr>
      <w:bookmarkStart w:id="419" w:name="_Toc35393623"/>
      <w:bookmarkStart w:id="420" w:name="_Toc28359004"/>
      <w:bookmarkStart w:id="421" w:name="_Toc35393792"/>
      <w:bookmarkStart w:id="422" w:name="_Toc28359081"/>
      <w:r>
        <w:rPr>
          <w:rFonts w:hint="eastAsia" w:ascii="仿宋" w:hAnsi="仿宋" w:eastAsia="仿宋" w:cs="仿宋"/>
          <w:color w:val="auto"/>
          <w:sz w:val="24"/>
          <w:szCs w:val="24"/>
          <w:highlight w:val="none"/>
        </w:rPr>
        <w:t>1.满足《中华人民共和国政府采购法》第二十二条规定，</w:t>
      </w:r>
      <w:r>
        <w:rPr>
          <w:rFonts w:hint="eastAsia" w:ascii="仿宋" w:hAnsi="仿宋" w:eastAsia="仿宋" w:cs="仿宋"/>
          <w:color w:val="auto"/>
          <w:sz w:val="24"/>
          <w:szCs w:val="24"/>
          <w:highlight w:val="none"/>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w:t>
      </w:r>
    </w:p>
    <w:p w14:paraId="34AC6EB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2.落实政府采购政策需满足的资格要求：</w:t>
      </w:r>
    </w:p>
    <w:p w14:paraId="718A68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（1）采购政策  </w:t>
      </w:r>
    </w:p>
    <w:p w14:paraId="1D26C04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政府采购应当优先采购本国货物、工程和服务，并执行节能产品、环境标志产品、中小企业、残疾人福利性单位、监狱企业、商品外包装等适宜本项目的政府采购政策。  </w:t>
      </w:r>
    </w:p>
    <w:p w14:paraId="1C32AB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（2）政策依据  </w:t>
      </w:r>
    </w:p>
    <w:p w14:paraId="39EDB9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1）财政部、国家发展改革委、生态环境部、市场监管总局《关于调整优化节能产品、环境标志产品政府采购执行机制的通知》（财库[2019]9号文）；  </w:t>
      </w:r>
    </w:p>
    <w:p w14:paraId="79738C4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2）财政部、生态环境部《关于印发环境标志产品政府采购品目清单的通知》（财库[2019]18号文）；  </w:t>
      </w:r>
    </w:p>
    <w:p w14:paraId="5C2AD04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3）财政部、发展改革委《关于印发节能产品政府采购品目清单的通知》（财库[2019]19号文）； </w:t>
      </w:r>
    </w:p>
    <w:p w14:paraId="4A9CB40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4）市场监管总局《市场监管总局关于发布参与实施政府采购节能产品、环境标志产品认证机构名录的公告》（2019年第16号）；  </w:t>
      </w:r>
    </w:p>
    <w:p w14:paraId="2671F42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5）财政部、工业和信息化部《关于印发《政府采购促进中小企业发展管理办法》的通知》（财库[2020]46号文）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关于进一步加大政府采购支持中小企业力度的通知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财库[2022]19号文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p w14:paraId="6D2802D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6）财政部、民政部、中国残疾人联合会《关于促进残疾人就业政府采购政策的通知》（财库[2017]141号）；  </w:t>
      </w:r>
    </w:p>
    <w:p w14:paraId="1A13A8B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7）财政部、司法部《关于政府采购支持监狱企业发展有关问题的通知》（财库[2014]68号文）； </w:t>
      </w:r>
    </w:p>
    <w:p w14:paraId="6280049F">
      <w:pPr>
        <w:numPr>
          <w:ilvl w:val="0"/>
          <w:numId w:val="7"/>
        </w:num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财政部、生态环境部、国家邮政局《关于印发《商品包装政府采购需求标准（试行）》、《快递包装政府采购需求标准（试行）》的通知》（财办库〔2020〕123号）。</w:t>
      </w:r>
    </w:p>
    <w:p w14:paraId="219C6D85">
      <w:pPr>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3.本项目的资格要求：</w:t>
      </w:r>
    </w:p>
    <w:p w14:paraId="6DDDA6AE">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bookmarkStart w:id="423" w:name="_Toc30008"/>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7C1FB19C">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2、法定代表人身份证明或法定代表人授权委托书及被授权人身份证；</w:t>
      </w:r>
    </w:p>
    <w:p w14:paraId="3A69534A">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3、近期（投标截止日期前六个月内任意一个月）依法缴纳社会保障金的缴费证明或银行出具的“银行电子缴纳社会保障金付款凭证”（新成立公司提供相关证明文件）；</w:t>
      </w:r>
    </w:p>
    <w:p w14:paraId="3598F183">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56950053">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5、具有良好的商业信誉和健全的财务会计制度(2023年或2024年的年度财务审计报告书，2025年成立公司提供银行资信证明)；</w:t>
      </w:r>
    </w:p>
    <w:p w14:paraId="4FF5C15F">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034F45C2">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7、参加政府采购活动前3年内在经营活动中没有重大违法记录的书面声明；</w:t>
      </w:r>
    </w:p>
    <w:p w14:paraId="2BCC598B">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8、具有履行合同所必需的设备和专业技术能力的证明材料；</w:t>
      </w:r>
    </w:p>
    <w:p w14:paraId="7EDB02AD">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9、提供针对本次项目《反商业贿赂承诺书》；</w:t>
      </w:r>
    </w:p>
    <w:p w14:paraId="36DD177A">
      <w:pPr>
        <w:tabs>
          <w:tab w:val="left" w:pos="5580"/>
        </w:tabs>
        <w:spacing w:line="360" w:lineRule="auto"/>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10、本项目不接受联合体；</w:t>
      </w:r>
    </w:p>
    <w:p w14:paraId="681E50A9">
      <w:pPr>
        <w:pStyle w:val="9"/>
        <w:rPr>
          <w:rFonts w:hint="eastAsia"/>
          <w:lang w:val="en-US" w:eastAsia="zh-CN"/>
        </w:rPr>
      </w:pPr>
    </w:p>
    <w:p w14:paraId="63AFDCDE">
      <w:pPr>
        <w:pStyle w:val="3"/>
        <w:spacing w:line="360" w:lineRule="auto"/>
        <w:jc w:val="left"/>
        <w:rPr>
          <w:rFonts w:hint="eastAsia" w:ascii="仿宋" w:hAnsi="仿宋" w:eastAsia="仿宋" w:cs="仿宋"/>
          <w:b w:val="0"/>
          <w:color w:val="auto"/>
          <w:sz w:val="24"/>
          <w:szCs w:val="24"/>
          <w:highlight w:val="none"/>
        </w:rPr>
      </w:pPr>
      <w:bookmarkStart w:id="424" w:name="_Toc19311"/>
      <w:r>
        <w:rPr>
          <w:rFonts w:hint="eastAsia" w:ascii="仿宋" w:hAnsi="仿宋" w:eastAsia="仿宋" w:cs="仿宋"/>
          <w:b w:val="0"/>
          <w:color w:val="auto"/>
          <w:sz w:val="24"/>
          <w:szCs w:val="24"/>
          <w:highlight w:val="none"/>
        </w:rPr>
        <w:t>三、获取招标文件</w:t>
      </w:r>
      <w:bookmarkEnd w:id="419"/>
      <w:bookmarkEnd w:id="420"/>
      <w:bookmarkEnd w:id="421"/>
      <w:bookmarkEnd w:id="422"/>
      <w:bookmarkEnd w:id="423"/>
      <w:bookmarkEnd w:id="424"/>
    </w:p>
    <w:p w14:paraId="1E660F95">
      <w:pP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shd w:val="clear" w:color="auto" w:fill="auto"/>
          <w:lang w:val="en-US" w:eastAsia="zh-CN"/>
        </w:rPr>
        <w:t>2025年4月11日至2025年4月18日</w:t>
      </w:r>
      <w:r>
        <w:rPr>
          <w:rFonts w:hint="eastAsia" w:ascii="仿宋" w:hAnsi="仿宋" w:eastAsia="仿宋" w:cs="仿宋"/>
          <w:color w:val="auto"/>
          <w:sz w:val="24"/>
          <w:szCs w:val="24"/>
          <w:highlight w:val="none"/>
          <w:shd w:val="clear" w:color="auto" w:fill="auto"/>
        </w:rPr>
        <w:t>，每天</w:t>
      </w:r>
      <w:r>
        <w:rPr>
          <w:rFonts w:hint="eastAsia" w:ascii="仿宋" w:hAnsi="仿宋" w:eastAsia="仿宋" w:cs="仿宋"/>
          <w:color w:val="auto"/>
          <w:sz w:val="24"/>
          <w:szCs w:val="24"/>
          <w:highlight w:val="none"/>
          <w:u w:val="single"/>
          <w:shd w:val="clear" w:color="auto" w:fill="auto"/>
          <w:lang w:val="en-US" w:eastAsia="zh-CN"/>
        </w:rPr>
        <w:t>00:00</w:t>
      </w:r>
      <w:r>
        <w:rPr>
          <w:rFonts w:hint="eastAsia" w:ascii="仿宋" w:hAnsi="仿宋" w:eastAsia="仿宋" w:cs="仿宋"/>
          <w:color w:val="auto"/>
          <w:sz w:val="24"/>
          <w:szCs w:val="24"/>
          <w:highlight w:val="none"/>
          <w:shd w:val="clear" w:color="auto" w:fill="auto"/>
        </w:rPr>
        <w:t>至</w:t>
      </w:r>
      <w:r>
        <w:rPr>
          <w:rFonts w:hint="eastAsia" w:ascii="仿宋" w:hAnsi="仿宋" w:eastAsia="仿宋" w:cs="仿宋"/>
          <w:color w:val="auto"/>
          <w:sz w:val="24"/>
          <w:szCs w:val="24"/>
          <w:highlight w:val="none"/>
          <w:shd w:val="clear" w:color="auto" w:fill="auto"/>
          <w:lang w:val="en-US" w:eastAsia="zh-CN"/>
        </w:rPr>
        <w:t>23</w:t>
      </w:r>
      <w:r>
        <w:rPr>
          <w:rFonts w:hint="eastAsia" w:ascii="仿宋" w:hAnsi="仿宋" w:eastAsia="仿宋" w:cs="仿宋"/>
          <w:color w:val="auto"/>
          <w:sz w:val="24"/>
          <w:szCs w:val="24"/>
          <w:highlight w:val="none"/>
          <w:u w:val="single"/>
          <w:shd w:val="clear" w:color="auto" w:fill="auto"/>
          <w:lang w:val="en-US" w:eastAsia="zh-CN"/>
        </w:rPr>
        <w:t>:59</w:t>
      </w:r>
      <w:r>
        <w:rPr>
          <w:rFonts w:hint="eastAsia" w:ascii="仿宋" w:hAnsi="仿宋" w:eastAsia="仿宋" w:cs="仿宋"/>
          <w:color w:val="auto"/>
          <w:sz w:val="24"/>
          <w:szCs w:val="24"/>
          <w:highlight w:val="none"/>
        </w:rPr>
        <w:t>（北京时间，法定节假日除外）</w:t>
      </w:r>
    </w:p>
    <w:p w14:paraId="61E2B3F6">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地点：政采云平台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http://www.zcygov.cn/</w:t>
      </w:r>
      <w:r>
        <w:rPr>
          <w:rFonts w:hint="eastAsia" w:ascii="仿宋" w:hAnsi="仿宋" w:eastAsia="仿宋" w:cs="仿宋"/>
          <w:color w:val="auto"/>
          <w:sz w:val="24"/>
          <w:szCs w:val="24"/>
          <w:highlight w:val="none"/>
          <w:lang w:eastAsia="zh-CN"/>
        </w:rPr>
        <w:t>）</w:t>
      </w:r>
    </w:p>
    <w:p w14:paraId="518BBDA5">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color w:val="auto"/>
          <w:kern w:val="0"/>
          <w:sz w:val="24"/>
          <w:szCs w:val="24"/>
          <w:highlight w:val="none"/>
          <w:lang w:val="en-US" w:eastAsia="zh-CN" w:bidi="ar-SA"/>
        </w:rPr>
        <w:t>获取招标文</w:t>
      </w:r>
      <w:r>
        <w:rPr>
          <w:rFonts w:hint="eastAsia" w:ascii="仿宋" w:hAnsi="仿宋" w:eastAsia="仿宋" w:cs="仿宋"/>
          <w:color w:val="auto"/>
          <w:sz w:val="24"/>
          <w:szCs w:val="24"/>
          <w:highlight w:val="none"/>
          <w:lang w:val="en-US" w:eastAsia="zh-CN"/>
        </w:rPr>
        <w:t>件</w:t>
      </w: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val="en-US" w:eastAsia="zh-CN"/>
        </w:rPr>
        <w:t>线上获取</w:t>
      </w:r>
    </w:p>
    <w:p w14:paraId="71BE6E25">
      <w:pPr>
        <w:pStyle w:val="3"/>
        <w:spacing w:line="360" w:lineRule="auto"/>
        <w:jc w:val="left"/>
        <w:rPr>
          <w:rFonts w:hint="eastAsia" w:ascii="仿宋" w:hAnsi="仿宋" w:eastAsia="仿宋" w:cs="仿宋"/>
          <w:b w:val="0"/>
          <w:color w:val="auto"/>
          <w:sz w:val="24"/>
          <w:szCs w:val="24"/>
          <w:highlight w:val="none"/>
        </w:rPr>
      </w:pPr>
      <w:bookmarkStart w:id="425" w:name="_Toc28359082"/>
      <w:bookmarkStart w:id="426" w:name="_Toc28359005"/>
      <w:bookmarkStart w:id="427" w:name="_Toc35393624"/>
      <w:bookmarkStart w:id="428" w:name="_Toc8247"/>
      <w:bookmarkStart w:id="429" w:name="_Toc3835"/>
      <w:bookmarkStart w:id="430" w:name="_Toc35393793"/>
      <w:r>
        <w:rPr>
          <w:rFonts w:hint="eastAsia" w:ascii="仿宋" w:hAnsi="仿宋" w:eastAsia="仿宋" w:cs="仿宋"/>
          <w:b w:val="0"/>
          <w:color w:val="auto"/>
          <w:sz w:val="24"/>
          <w:szCs w:val="24"/>
          <w:highlight w:val="none"/>
        </w:rPr>
        <w:t>四、提交投标文件</w:t>
      </w:r>
      <w:bookmarkEnd w:id="425"/>
      <w:bookmarkEnd w:id="426"/>
      <w:r>
        <w:rPr>
          <w:rFonts w:hint="eastAsia" w:ascii="仿宋" w:hAnsi="仿宋" w:eastAsia="仿宋" w:cs="仿宋"/>
          <w:b w:val="0"/>
          <w:color w:val="auto"/>
          <w:sz w:val="24"/>
          <w:szCs w:val="24"/>
          <w:highlight w:val="none"/>
        </w:rPr>
        <w:t>截止时间、开标时间和地点</w:t>
      </w:r>
      <w:bookmarkEnd w:id="427"/>
      <w:bookmarkEnd w:id="428"/>
      <w:bookmarkEnd w:id="429"/>
      <w:bookmarkEnd w:id="430"/>
    </w:p>
    <w:p w14:paraId="7FADBEED">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lang w:val="en-US" w:eastAsia="zh-CN"/>
        </w:rPr>
        <w:t>开标时间：2025年5月7日11点00分（北京时间）</w:t>
      </w:r>
    </w:p>
    <w:p w14:paraId="31A608BF">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地  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政采云平台http://www.zcygov.cn/</w:t>
      </w:r>
    </w:p>
    <w:p w14:paraId="3C6766A0">
      <w:pPr>
        <w:pStyle w:val="3"/>
        <w:spacing w:line="360" w:lineRule="auto"/>
        <w:jc w:val="left"/>
        <w:rPr>
          <w:rFonts w:hint="eastAsia" w:ascii="仿宋" w:hAnsi="仿宋" w:eastAsia="仿宋" w:cs="仿宋"/>
          <w:b w:val="0"/>
          <w:color w:val="auto"/>
          <w:sz w:val="24"/>
          <w:szCs w:val="24"/>
          <w:highlight w:val="none"/>
          <w:lang w:val="en-US" w:eastAsia="zh-CN"/>
        </w:rPr>
      </w:pPr>
      <w:bookmarkStart w:id="431" w:name="_Toc28359084"/>
      <w:bookmarkStart w:id="432" w:name="_Toc35393794"/>
      <w:bookmarkStart w:id="433" w:name="_Toc35393625"/>
      <w:bookmarkStart w:id="434" w:name="_Toc14521"/>
      <w:bookmarkStart w:id="435" w:name="_Toc28359007"/>
      <w:r>
        <w:rPr>
          <w:rFonts w:hint="eastAsia" w:ascii="仿宋" w:hAnsi="仿宋" w:eastAsia="仿宋" w:cs="仿宋"/>
          <w:b w:val="0"/>
          <w:color w:val="auto"/>
          <w:sz w:val="24"/>
          <w:szCs w:val="24"/>
          <w:highlight w:val="none"/>
          <w:lang w:val="en-US" w:eastAsia="zh-CN"/>
        </w:rPr>
        <w:t>五、公告期限</w:t>
      </w:r>
      <w:bookmarkEnd w:id="431"/>
      <w:bookmarkEnd w:id="432"/>
      <w:bookmarkEnd w:id="433"/>
      <w:bookmarkEnd w:id="434"/>
      <w:bookmarkEnd w:id="435"/>
    </w:p>
    <w:p w14:paraId="0F29DE6B">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38762F6A">
      <w:pPr>
        <w:pStyle w:val="3"/>
        <w:numPr>
          <w:ilvl w:val="0"/>
          <w:numId w:val="8"/>
        </w:numPr>
        <w:spacing w:line="360" w:lineRule="auto"/>
        <w:jc w:val="left"/>
        <w:rPr>
          <w:rFonts w:hint="eastAsia" w:ascii="仿宋" w:hAnsi="仿宋" w:eastAsia="仿宋" w:cs="仿宋"/>
          <w:b w:val="0"/>
          <w:color w:val="auto"/>
          <w:sz w:val="24"/>
          <w:szCs w:val="24"/>
          <w:highlight w:val="none"/>
        </w:rPr>
      </w:pPr>
      <w:bookmarkStart w:id="436" w:name="_Toc35393795"/>
      <w:bookmarkStart w:id="437" w:name="_Toc35393626"/>
      <w:bookmarkStart w:id="438" w:name="_Toc7953"/>
      <w:bookmarkStart w:id="439" w:name="_Toc24201"/>
      <w:r>
        <w:rPr>
          <w:rFonts w:hint="eastAsia" w:ascii="仿宋" w:hAnsi="仿宋" w:eastAsia="仿宋" w:cs="仿宋"/>
          <w:b w:val="0"/>
          <w:color w:val="auto"/>
          <w:sz w:val="24"/>
          <w:szCs w:val="24"/>
          <w:highlight w:val="none"/>
        </w:rPr>
        <w:t>其他补充事宜</w:t>
      </w:r>
      <w:bookmarkEnd w:id="436"/>
      <w:bookmarkEnd w:id="437"/>
      <w:bookmarkEnd w:id="438"/>
      <w:bookmarkEnd w:id="439"/>
    </w:p>
    <w:p w14:paraId="549245EA">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62EDC358">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030BCDA1">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5F7C1143">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64EBC9C1">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5.供应商在开标时须使用制作加密电子投标文件所使用的CA锁及电脑，电脑须提前配置好浏览器（建议使用谷歌浏览器），以便开标时解锁。</w:t>
      </w:r>
    </w:p>
    <w:p w14:paraId="79B9B834">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6.投标保证金缴纳及确认时间：凡拟参加本次招标项目的供应商，必须在开标前将投标保证金汇入指定账户。投标保证金汇款凭证上用途栏应注明:招标项目名称+投标保证金。</w:t>
      </w:r>
    </w:p>
    <w:p w14:paraId="7CACF67E">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3BD55084">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p w14:paraId="29E92EB1">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p>
    <w:p w14:paraId="0243656F">
      <w:pPr>
        <w:pStyle w:val="38"/>
        <w:keepNext w:val="0"/>
        <w:keepLines w:val="0"/>
        <w:pageBreakBefore w:val="0"/>
        <w:widowControl w:val="0"/>
        <w:kinsoku/>
        <w:wordWrap/>
        <w:overflowPunct/>
        <w:topLinePunct w:val="0"/>
        <w:autoSpaceDE/>
        <w:autoSpaceDN/>
        <w:bidi w:val="0"/>
        <w:adjustRightInd/>
        <w:snapToGrid/>
        <w:spacing w:line="324" w:lineRule="auto"/>
        <w:ind w:left="0" w:leftChars="0" w:firstLine="482" w:firstLineChars="200"/>
        <w:textAlignment w:val="auto"/>
        <w:rPr>
          <w:rFonts w:hint="eastAsia" w:ascii="仿宋" w:hAnsi="仿宋" w:eastAsia="仿宋" w:cs="仿宋"/>
          <w:b/>
          <w:bCs/>
          <w:color w:val="auto"/>
          <w:kern w:val="0"/>
          <w:sz w:val="24"/>
          <w:szCs w:val="24"/>
          <w:highlight w:val="none"/>
          <w:lang w:val="en-US" w:eastAsia="zh-CN"/>
        </w:rPr>
      </w:pPr>
      <w:bookmarkStart w:id="440" w:name="_Toc28359085"/>
      <w:bookmarkStart w:id="441" w:name="_Toc35393796"/>
      <w:bookmarkStart w:id="442" w:name="_Toc35393627"/>
      <w:bookmarkStart w:id="443" w:name="_Toc19443"/>
      <w:bookmarkStart w:id="444" w:name="_Toc28359008"/>
    </w:p>
    <w:p w14:paraId="64EBEE5B">
      <w:pPr>
        <w:pStyle w:val="38"/>
        <w:keepNext w:val="0"/>
        <w:keepLines w:val="0"/>
        <w:pageBreakBefore w:val="0"/>
        <w:widowControl w:val="0"/>
        <w:kinsoku/>
        <w:wordWrap/>
        <w:overflowPunct/>
        <w:topLinePunct w:val="0"/>
        <w:autoSpaceDE/>
        <w:autoSpaceDN/>
        <w:bidi w:val="0"/>
        <w:adjustRightInd/>
        <w:snapToGrid/>
        <w:spacing w:line="324" w:lineRule="auto"/>
        <w:ind w:left="0" w:leftChars="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特别提示：</w:t>
      </w:r>
    </w:p>
    <w:p w14:paraId="67060CE3">
      <w:pPr>
        <w:pStyle w:val="38"/>
        <w:ind w:left="0" w:leftChars="0" w:firstLine="482" w:firstLineChars="200"/>
        <w:rPr>
          <w:rFonts w:hint="eastAsia" w:ascii="仿宋" w:hAnsi="仿宋" w:eastAsia="仿宋" w:cs="仿宋"/>
          <w:b/>
          <w:bCs/>
          <w:kern w:val="0"/>
          <w:sz w:val="24"/>
          <w:szCs w:val="24"/>
          <w:lang w:val="en-US" w:eastAsia="zh-CN"/>
        </w:rPr>
      </w:pPr>
      <w:r>
        <w:rPr>
          <w:rFonts w:hint="eastAsia" w:ascii="仿宋" w:hAnsi="仿宋" w:eastAsia="仿宋" w:cs="仿宋"/>
          <w:b/>
          <w:bCs/>
          <w:kern w:val="0"/>
          <w:sz w:val="24"/>
          <w:szCs w:val="24"/>
          <w:lang w:val="en-US" w:eastAsia="zh-CN"/>
        </w:rPr>
        <w:t>1、采购限额标准以上，200万元以下的货物和服务采购项目、400万元以下的工程采购项目，适宜由中小企业提供的，采购人应当专门面向中小企业采购。</w:t>
      </w:r>
    </w:p>
    <w:p w14:paraId="4B069CA5">
      <w:pPr>
        <w:pStyle w:val="38"/>
        <w:ind w:left="0" w:leftChars="0" w:firstLine="482" w:firstLineChars="200"/>
        <w:rPr>
          <w:rFonts w:hint="eastAsia" w:ascii="仿宋" w:hAnsi="仿宋" w:eastAsia="仿宋" w:cs="仿宋"/>
          <w:b/>
          <w:bCs/>
          <w:kern w:val="0"/>
          <w:sz w:val="24"/>
          <w:szCs w:val="24"/>
          <w:lang w:val="en-US" w:eastAsia="zh-CN"/>
        </w:rPr>
      </w:pPr>
      <w:r>
        <w:rPr>
          <w:rFonts w:hint="eastAsia" w:ascii="仿宋" w:hAnsi="仿宋" w:eastAsia="仿宋" w:cs="仿宋"/>
          <w:b/>
          <w:bCs/>
          <w:kern w:val="0"/>
          <w:sz w:val="24"/>
          <w:szCs w:val="24"/>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p>
    <w:p w14:paraId="7E58802F">
      <w:pPr>
        <w:pStyle w:val="38"/>
        <w:ind w:left="0" w:leftChars="0" w:firstLine="482" w:firstLineChars="200"/>
        <w:rPr>
          <w:rFonts w:hint="eastAsia" w:ascii="仿宋" w:hAnsi="仿宋" w:eastAsia="仿宋" w:cs="仿宋"/>
          <w:b/>
          <w:bCs/>
          <w:kern w:val="0"/>
          <w:sz w:val="24"/>
          <w:szCs w:val="24"/>
          <w:highlight w:val="none"/>
          <w:lang w:val="en-US" w:eastAsia="zh-CN"/>
        </w:rPr>
      </w:pPr>
      <w:r>
        <w:rPr>
          <w:rFonts w:hint="eastAsia" w:ascii="仿宋" w:hAnsi="仿宋" w:eastAsia="仿宋" w:cs="仿宋"/>
          <w:b/>
          <w:bCs/>
          <w:kern w:val="0"/>
          <w:sz w:val="24"/>
          <w:szCs w:val="24"/>
          <w:lang w:val="en-US" w:eastAsia="zh-CN"/>
        </w:rPr>
        <w:t>3、</w:t>
      </w:r>
      <w:r>
        <w:rPr>
          <w:rFonts w:hint="eastAsia" w:ascii="仿宋" w:hAnsi="仿宋" w:eastAsia="仿宋" w:cs="仿宋"/>
          <w:b/>
          <w:bCs/>
          <w:kern w:val="0"/>
          <w:sz w:val="24"/>
          <w:szCs w:val="24"/>
          <w:highlight w:val="none"/>
          <w:lang w:val="en-US" w:eastAsia="zh-CN"/>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F99809F">
      <w:pPr>
        <w:pStyle w:val="38"/>
        <w:ind w:left="0" w:leftChars="0" w:firstLine="482" w:firstLineChars="200"/>
        <w:rPr>
          <w:rFonts w:hint="eastAsia" w:ascii="仿宋" w:hAnsi="仿宋" w:eastAsia="仿宋" w:cs="仿宋"/>
          <w:b w:val="0"/>
          <w:color w:val="auto"/>
          <w:sz w:val="24"/>
          <w:szCs w:val="24"/>
          <w:highlight w:val="none"/>
          <w:lang w:val="en-US" w:eastAsia="zh-CN"/>
        </w:rPr>
      </w:pPr>
      <w:r>
        <w:rPr>
          <w:rFonts w:hint="eastAsia" w:ascii="仿宋" w:hAnsi="仿宋" w:eastAsia="仿宋" w:cs="仿宋"/>
          <w:b/>
          <w:bCs/>
          <w:kern w:val="0"/>
          <w:sz w:val="24"/>
          <w:szCs w:val="24"/>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81BCCD3">
      <w:pPr>
        <w:pStyle w:val="33"/>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atLeast"/>
        <w:ind w:left="0" w:right="0" w:firstLine="0"/>
        <w:jc w:val="both"/>
        <w:textAlignment w:val="auto"/>
        <w:outlineLvl w:val="1"/>
        <w:rPr>
          <w:rFonts w:hint="eastAsia" w:ascii="仿宋" w:hAnsi="仿宋" w:eastAsia="仿宋" w:cs="仿宋"/>
          <w:color w:val="auto"/>
          <w:kern w:val="2"/>
          <w:sz w:val="24"/>
          <w:szCs w:val="24"/>
          <w:lang w:val="en-US" w:eastAsia="zh-CN" w:bidi="ar-SA"/>
        </w:rPr>
      </w:pPr>
      <w:bookmarkStart w:id="445" w:name="_Toc17261"/>
      <w:r>
        <w:rPr>
          <w:rFonts w:hint="eastAsia" w:ascii="仿宋" w:hAnsi="仿宋" w:eastAsia="仿宋" w:cs="仿宋"/>
          <w:b w:val="0"/>
          <w:color w:val="auto"/>
          <w:sz w:val="24"/>
          <w:szCs w:val="24"/>
          <w:highlight w:val="none"/>
          <w:lang w:val="en-US" w:eastAsia="zh-CN"/>
        </w:rPr>
        <w:t>七、</w:t>
      </w:r>
      <w:bookmarkEnd w:id="440"/>
      <w:bookmarkEnd w:id="441"/>
      <w:bookmarkEnd w:id="442"/>
      <w:bookmarkEnd w:id="443"/>
      <w:bookmarkEnd w:id="444"/>
      <w:bookmarkStart w:id="446" w:name="_Toc8945"/>
      <w:r>
        <w:rPr>
          <w:rFonts w:hint="eastAsia" w:ascii="仿宋" w:hAnsi="仿宋" w:eastAsia="仿宋" w:cs="仿宋"/>
          <w:color w:val="auto"/>
          <w:kern w:val="2"/>
          <w:sz w:val="24"/>
          <w:szCs w:val="24"/>
          <w:lang w:val="en-US" w:eastAsia="zh-CN" w:bidi="ar-SA"/>
        </w:rPr>
        <w:t>凡对本次招标提出询问，请按以下方式联系</w:t>
      </w:r>
      <w:bookmarkEnd w:id="445"/>
      <w:bookmarkEnd w:id="446"/>
    </w:p>
    <w:p w14:paraId="6A19FD33">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1.采购人信息</w:t>
      </w:r>
    </w:p>
    <w:p w14:paraId="437D9A2C">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kern w:val="2"/>
          <w:sz w:val="24"/>
          <w:szCs w:val="24"/>
          <w:u w:val="none"/>
          <w:lang w:val="en-US" w:eastAsia="zh-CN" w:bidi="ar-SA"/>
        </w:rPr>
      </w:pPr>
      <w:r>
        <w:rPr>
          <w:rFonts w:hint="eastAsia" w:ascii="仿宋" w:hAnsi="仿宋" w:eastAsia="仿宋" w:cs="仿宋"/>
          <w:color w:val="auto"/>
          <w:kern w:val="2"/>
          <w:sz w:val="24"/>
          <w:szCs w:val="24"/>
          <w:lang w:val="en-US" w:eastAsia="zh-CN" w:bidi="ar-SA"/>
        </w:rPr>
        <w:t>采购单位：</w:t>
      </w:r>
      <w:r>
        <w:rPr>
          <w:rFonts w:hint="eastAsia" w:ascii="仿宋" w:hAnsi="仿宋" w:eastAsia="仿宋" w:cs="仿宋"/>
          <w:b w:val="0"/>
          <w:bCs w:val="0"/>
          <w:i w:val="0"/>
          <w:iCs w:val="0"/>
          <w:caps w:val="0"/>
          <w:color w:val="auto"/>
          <w:spacing w:val="0"/>
          <w:kern w:val="2"/>
          <w:sz w:val="24"/>
          <w:szCs w:val="24"/>
          <w:u w:val="single"/>
          <w:shd w:val="clear" w:fill="auto"/>
          <w:lang w:eastAsia="zh-CN"/>
        </w:rPr>
        <w:t>莎车县文化体育广播电视和旅游局</w:t>
      </w:r>
      <w:r>
        <w:rPr>
          <w:rFonts w:hint="eastAsia" w:ascii="仿宋" w:hAnsi="仿宋" w:eastAsia="仿宋" w:cs="仿宋"/>
          <w:kern w:val="2"/>
          <w:sz w:val="24"/>
          <w:szCs w:val="24"/>
          <w:u w:val="none"/>
          <w:lang w:val="en-US" w:eastAsia="zh-CN" w:bidi="ar-SA"/>
        </w:rPr>
        <w:t xml:space="preserve"> </w:t>
      </w:r>
    </w:p>
    <w:p w14:paraId="4755BB12">
      <w:pPr>
        <w:spacing w:line="360" w:lineRule="auto"/>
        <w:ind w:firstLine="480" w:firstLineChars="200"/>
        <w:rPr>
          <w:rFonts w:hint="eastAsia"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w:t>
      </w:r>
      <w:r>
        <w:rPr>
          <w:rFonts w:hint="eastAsia" w:ascii="仿宋" w:hAnsi="仿宋" w:eastAsia="仿宋" w:cs="仿宋"/>
          <w:b w:val="0"/>
          <w:bCs w:val="0"/>
          <w:i w:val="0"/>
          <w:iCs w:val="0"/>
          <w:caps w:val="0"/>
          <w:color w:val="auto"/>
          <w:spacing w:val="0"/>
          <w:kern w:val="2"/>
          <w:sz w:val="24"/>
          <w:szCs w:val="24"/>
          <w:highlight w:val="none"/>
          <w:u w:val="single"/>
          <w:shd w:val="clear" w:fill="auto"/>
          <w:lang w:eastAsia="zh-CN"/>
        </w:rPr>
        <w:t>王瑶</w:t>
      </w:r>
      <w:r>
        <w:rPr>
          <w:rFonts w:hint="eastAsia" w:ascii="仿宋" w:hAnsi="仿宋" w:eastAsia="仿宋" w:cs="仿宋"/>
          <w:b w:val="0"/>
          <w:bCs w:val="0"/>
          <w:i w:val="0"/>
          <w:iCs w:val="0"/>
          <w:caps w:val="0"/>
          <w:color w:val="auto"/>
          <w:spacing w:val="0"/>
          <w:kern w:val="2"/>
          <w:sz w:val="24"/>
          <w:szCs w:val="24"/>
          <w:highlight w:val="none"/>
          <w:u w:val="single"/>
          <w:shd w:val="clear" w:fill="auto"/>
        </w:rPr>
        <w:t xml:space="preserve">  </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76235529">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联系电话：</w:t>
      </w:r>
      <w:r>
        <w:rPr>
          <w:rFonts w:hint="eastAsia" w:ascii="仿宋" w:hAnsi="仿宋" w:eastAsia="仿宋" w:cs="仿宋"/>
          <w:b w:val="0"/>
          <w:bCs w:val="0"/>
          <w:i w:val="0"/>
          <w:iCs w:val="0"/>
          <w:caps w:val="0"/>
          <w:color w:val="auto"/>
          <w:spacing w:val="0"/>
          <w:kern w:val="2"/>
          <w:sz w:val="24"/>
          <w:szCs w:val="24"/>
          <w:u w:val="single"/>
          <w:shd w:val="clear" w:fill="auto"/>
          <w:lang w:val="en-US" w:eastAsia="zh-CN"/>
        </w:rPr>
        <w:t xml:space="preserve"> 15569157575 </w:t>
      </w:r>
    </w:p>
    <w:p w14:paraId="7041D1B1">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2.采购代理机构信息</w:t>
      </w:r>
    </w:p>
    <w:p w14:paraId="084DC2FD">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kern w:val="2"/>
          <w:sz w:val="24"/>
          <w:szCs w:val="24"/>
          <w:u w:val="single"/>
          <w:lang w:val="en-US" w:eastAsia="zh-CN" w:bidi="ar-SA"/>
        </w:rPr>
      </w:pPr>
      <w:r>
        <w:rPr>
          <w:rFonts w:hint="eastAsia" w:ascii="仿宋" w:hAnsi="仿宋" w:eastAsia="仿宋" w:cs="仿宋"/>
          <w:color w:val="auto"/>
          <w:kern w:val="2"/>
          <w:sz w:val="24"/>
          <w:szCs w:val="24"/>
          <w:lang w:val="en-US" w:eastAsia="zh-CN" w:bidi="ar-SA"/>
        </w:rPr>
        <w:t>代理机构：</w:t>
      </w:r>
      <w:r>
        <w:rPr>
          <w:rFonts w:hint="eastAsia" w:ascii="仿宋" w:hAnsi="仿宋" w:eastAsia="仿宋" w:cs="仿宋"/>
          <w:b w:val="0"/>
          <w:bCs w:val="0"/>
          <w:i w:val="0"/>
          <w:iCs w:val="0"/>
          <w:caps w:val="0"/>
          <w:color w:val="auto"/>
          <w:spacing w:val="0"/>
          <w:kern w:val="2"/>
          <w:sz w:val="24"/>
          <w:szCs w:val="24"/>
          <w:u w:val="single"/>
          <w:shd w:val="clear" w:fill="auto"/>
          <w:lang w:eastAsia="zh-CN"/>
        </w:rPr>
        <w:t>新疆华嵘印橡项目管理咨询有限公司</w:t>
      </w:r>
    </w:p>
    <w:p w14:paraId="6D8E53DF">
      <w:pPr>
        <w:pStyle w:val="34"/>
        <w:spacing w:line="360" w:lineRule="auto"/>
        <w:ind w:left="0" w:leftChars="0" w:firstLine="480" w:firstLineChars="200"/>
        <w:rPr>
          <w:rFonts w:hint="eastAsia" w:ascii="仿宋" w:hAnsi="仿宋" w:eastAsia="仿宋" w:cs="仿宋"/>
          <w:highlight w:val="yellow"/>
          <w:lang w:val="en-US" w:eastAsia="zh-CN"/>
        </w:rPr>
      </w:pPr>
      <w:r>
        <w:rPr>
          <w:rFonts w:hint="eastAsia" w:ascii="仿宋" w:hAnsi="仿宋" w:eastAsia="仿宋" w:cs="仿宋"/>
          <w:kern w:val="2"/>
          <w:sz w:val="24"/>
          <w:szCs w:val="24"/>
          <w:u w:val="none"/>
          <w:lang w:val="en-US" w:eastAsia="zh-CN" w:bidi="ar-SA"/>
        </w:rPr>
        <w:t>联系地址</w:t>
      </w:r>
      <w:r>
        <w:rPr>
          <w:rFonts w:hint="eastAsia" w:ascii="仿宋" w:hAnsi="仿宋" w:eastAsia="仿宋" w:cs="仿宋"/>
          <w:lang w:val="en-US" w:eastAsia="zh-CN"/>
        </w:rPr>
        <w:t>：</w:t>
      </w:r>
      <w:r>
        <w:rPr>
          <w:rFonts w:hint="eastAsia" w:ascii="仿宋" w:hAnsi="仿宋" w:eastAsia="仿宋" w:cs="仿宋"/>
          <w:sz w:val="24"/>
          <w:u w:val="single"/>
          <w:lang w:eastAsia="zh-CN"/>
        </w:rPr>
        <w:t>莎车希望小区保障性住房小区 17 号楼一单元 215 号</w:t>
      </w:r>
    </w:p>
    <w:p w14:paraId="3B2DCFE7">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kern w:val="2"/>
          <w:sz w:val="24"/>
          <w:szCs w:val="24"/>
          <w:u w:val="none"/>
          <w:lang w:val="en-US" w:eastAsia="zh-CN" w:bidi="ar-SA"/>
        </w:rPr>
      </w:pPr>
      <w:r>
        <w:rPr>
          <w:rFonts w:hint="eastAsia" w:ascii="仿宋" w:hAnsi="仿宋" w:eastAsia="仿宋" w:cs="仿宋"/>
          <w:color w:val="auto"/>
          <w:kern w:val="2"/>
          <w:sz w:val="24"/>
          <w:szCs w:val="24"/>
          <w:lang w:val="en-US" w:eastAsia="zh-CN" w:bidi="ar-SA"/>
        </w:rPr>
        <w:t>联 系 人</w:t>
      </w:r>
      <w:r>
        <w:rPr>
          <w:rFonts w:hint="eastAsia" w:ascii="仿宋" w:hAnsi="仿宋" w:eastAsia="仿宋" w:cs="仿宋"/>
          <w:b w:val="0"/>
          <w:bCs w:val="0"/>
          <w:i w:val="0"/>
          <w:iCs w:val="0"/>
          <w:caps w:val="0"/>
          <w:color w:val="auto"/>
          <w:spacing w:val="0"/>
          <w:kern w:val="2"/>
          <w:sz w:val="24"/>
          <w:szCs w:val="24"/>
          <w:u w:val="none"/>
          <w:shd w:val="clear" w:fill="auto"/>
          <w:lang w:val="en-US" w:eastAsia="zh-CN"/>
        </w:rPr>
        <w:t>:</w:t>
      </w:r>
      <w:r>
        <w:rPr>
          <w:rFonts w:hint="eastAsia" w:ascii="仿宋" w:hAnsi="仿宋" w:eastAsia="仿宋" w:cs="仿宋"/>
          <w:b w:val="0"/>
          <w:bCs w:val="0"/>
          <w:i w:val="0"/>
          <w:iCs w:val="0"/>
          <w:caps w:val="0"/>
          <w:color w:val="auto"/>
          <w:spacing w:val="0"/>
          <w:kern w:val="2"/>
          <w:sz w:val="24"/>
          <w:szCs w:val="24"/>
          <w:u w:val="single"/>
          <w:shd w:val="clear" w:fill="auto"/>
          <w:lang w:val="en-US" w:eastAsia="zh-CN"/>
        </w:rPr>
        <w:t xml:space="preserve">     彭鹤玲       </w:t>
      </w:r>
      <w:r>
        <w:rPr>
          <w:rFonts w:hint="eastAsia" w:ascii="仿宋" w:hAnsi="仿宋" w:eastAsia="仿宋" w:cs="仿宋"/>
          <w:kern w:val="2"/>
          <w:sz w:val="24"/>
          <w:szCs w:val="24"/>
          <w:u w:val="none"/>
          <w:lang w:val="en-US" w:eastAsia="zh-CN" w:bidi="ar-SA"/>
        </w:rPr>
        <w:t xml:space="preserve">         </w:t>
      </w:r>
    </w:p>
    <w:p w14:paraId="1D00C6D2">
      <w:pPr>
        <w:pStyle w:val="33"/>
        <w:keepNext w:val="0"/>
        <w:keepLines w:val="0"/>
        <w:widowControl/>
        <w:suppressLineNumbers w:val="0"/>
        <w:spacing w:before="75" w:beforeAutospacing="0" w:after="75" w:afterAutospacing="0" w:line="360" w:lineRule="auto"/>
        <w:ind w:left="0" w:right="0" w:firstLine="420"/>
        <w:rPr>
          <w:rFonts w:hint="eastAsia" w:ascii="仿宋" w:hAnsi="仿宋" w:eastAsia="仿宋" w:cs="仿宋"/>
        </w:rPr>
      </w:pPr>
      <w:r>
        <w:rPr>
          <w:rFonts w:hint="eastAsia" w:ascii="仿宋" w:hAnsi="仿宋" w:eastAsia="仿宋" w:cs="仿宋"/>
          <w:color w:val="auto"/>
          <w:kern w:val="2"/>
          <w:sz w:val="24"/>
          <w:szCs w:val="24"/>
          <w:lang w:val="en-US" w:eastAsia="zh-CN" w:bidi="ar-SA"/>
        </w:rPr>
        <w:t>联系电话</w:t>
      </w:r>
      <w:r>
        <w:rPr>
          <w:rFonts w:hint="eastAsia" w:ascii="仿宋" w:hAnsi="仿宋" w:eastAsia="仿宋" w:cs="仿宋"/>
          <w:b w:val="0"/>
          <w:bCs w:val="0"/>
          <w:i w:val="0"/>
          <w:iCs w:val="0"/>
          <w:caps w:val="0"/>
          <w:color w:val="auto"/>
          <w:spacing w:val="0"/>
          <w:kern w:val="2"/>
          <w:sz w:val="24"/>
          <w:szCs w:val="24"/>
          <w:u w:val="none"/>
          <w:shd w:val="clear" w:fill="auto"/>
          <w:lang w:val="en-US" w:eastAsia="zh-CN"/>
        </w:rPr>
        <w:t>：</w:t>
      </w:r>
      <w:r>
        <w:rPr>
          <w:rFonts w:hint="eastAsia" w:ascii="仿宋" w:hAnsi="仿宋" w:eastAsia="仿宋" w:cs="仿宋"/>
          <w:b w:val="0"/>
          <w:bCs w:val="0"/>
          <w:i w:val="0"/>
          <w:iCs w:val="0"/>
          <w:caps w:val="0"/>
          <w:color w:val="auto"/>
          <w:spacing w:val="0"/>
          <w:kern w:val="2"/>
          <w:sz w:val="24"/>
          <w:szCs w:val="24"/>
          <w:u w:val="single"/>
          <w:shd w:val="clear" w:fill="auto"/>
          <w:lang w:val="en-US" w:eastAsia="zh-CN"/>
        </w:rPr>
        <w:t xml:space="preserve">  18399604428   </w:t>
      </w:r>
      <w:r>
        <w:rPr>
          <w:rFonts w:hint="eastAsia" w:ascii="仿宋" w:hAnsi="仿宋" w:eastAsia="仿宋" w:cs="仿宋"/>
          <w:kern w:val="2"/>
          <w:sz w:val="24"/>
          <w:szCs w:val="24"/>
          <w:u w:val="none"/>
          <w:lang w:val="en-US" w:eastAsia="zh-CN" w:bidi="ar-SA"/>
        </w:rPr>
        <w:t xml:space="preserve">       </w:t>
      </w:r>
    </w:p>
    <w:p w14:paraId="4040A030">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.同级政府采购监督管理部门</w:t>
      </w:r>
    </w:p>
    <w:p w14:paraId="24D6D70C">
      <w:pP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名 称：</w:t>
      </w:r>
      <w:r>
        <w:rPr>
          <w:rFonts w:hint="eastAsia" w:ascii="仿宋" w:hAnsi="仿宋" w:eastAsia="仿宋" w:cs="仿宋"/>
          <w:sz w:val="24"/>
          <w:u w:val="single"/>
        </w:rPr>
        <w:t>莎车县财政局采购办</w:t>
      </w:r>
    </w:p>
    <w:p w14:paraId="6E3EB010">
      <w:pPr>
        <w:spacing w:line="360"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rPr>
        <w:t>联系人：</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丁洪 </w:t>
      </w:r>
      <w:r>
        <w:rPr>
          <w:rFonts w:hint="eastAsia" w:ascii="仿宋" w:hAnsi="仿宋" w:eastAsia="仿宋" w:cs="仿宋"/>
          <w:sz w:val="24"/>
          <w:u w:val="single"/>
          <w:lang w:val="en-US" w:eastAsia="zh-CN"/>
        </w:rPr>
        <w:t xml:space="preserve">        </w:t>
      </w:r>
    </w:p>
    <w:p w14:paraId="09595874">
      <w:pPr>
        <w:spacing w:line="360" w:lineRule="auto"/>
        <w:ind w:firstLine="480" w:firstLineChars="200"/>
        <w:rPr>
          <w:rFonts w:hint="eastAsia" w:ascii="仿宋" w:hAnsi="仿宋" w:eastAsia="仿宋" w:cs="仿宋"/>
          <w:b w:val="0"/>
          <w:kern w:val="2"/>
          <w:sz w:val="24"/>
          <w:szCs w:val="24"/>
          <w:lang w:val="en-US" w:eastAsia="zh-CN" w:bidi="ar-SA"/>
        </w:rPr>
        <w:sectPr>
          <w:headerReference r:id="rId10" w:type="default"/>
          <w:pgSz w:w="11906" w:h="16838"/>
          <w:pgMar w:top="1440" w:right="1797" w:bottom="1440" w:left="1797" w:header="851" w:footer="992" w:gutter="0"/>
          <w:pgNumType w:fmt="decimal"/>
          <w:cols w:space="720" w:num="1"/>
          <w:docGrid w:linePitch="312" w:charSpace="0"/>
        </w:sectPr>
      </w:pPr>
      <w:r>
        <w:rPr>
          <w:rFonts w:hint="eastAsia" w:ascii="仿宋" w:hAnsi="仿宋" w:eastAsia="仿宋" w:cs="仿宋"/>
          <w:b w:val="0"/>
          <w:kern w:val="2"/>
          <w:sz w:val="24"/>
          <w:szCs w:val="24"/>
          <w:lang w:val="en-US" w:eastAsia="zh-CN" w:bidi="ar-SA"/>
        </w:rPr>
        <w:t>联系方式：</w:t>
      </w:r>
      <w:r>
        <w:rPr>
          <w:rFonts w:hint="eastAsia" w:ascii="仿宋" w:hAnsi="仿宋" w:eastAsia="仿宋" w:cs="仿宋"/>
          <w:b w:val="0"/>
          <w:kern w:val="2"/>
          <w:sz w:val="24"/>
          <w:szCs w:val="24"/>
          <w:u w:val="single"/>
          <w:lang w:val="en-US" w:eastAsia="zh-CN" w:bidi="ar-SA"/>
        </w:rPr>
        <w:t xml:space="preserve"> 0998-8512578  </w:t>
      </w:r>
    </w:p>
    <w:p w14:paraId="4CD88A1C">
      <w:pPr>
        <w:pStyle w:val="2"/>
        <w:bidi w:val="0"/>
        <w:spacing w:line="360" w:lineRule="auto"/>
        <w:rPr>
          <w:rFonts w:hint="eastAsia" w:ascii="仿宋" w:hAnsi="仿宋" w:eastAsia="仿宋" w:cs="仿宋"/>
          <w:b/>
          <w:color w:val="auto"/>
          <w:highlight w:val="none"/>
          <w:lang w:eastAsia="zh-CN"/>
        </w:rPr>
      </w:pPr>
      <w:bookmarkStart w:id="447" w:name="_Toc4980"/>
      <w:r>
        <w:rPr>
          <w:rFonts w:hint="eastAsia" w:ascii="仿宋" w:hAnsi="仿宋" w:eastAsia="仿宋" w:cs="仿宋"/>
          <w:b/>
          <w:color w:val="auto"/>
          <w:highlight w:val="none"/>
          <w:lang w:val="en-US" w:eastAsia="zh-CN"/>
        </w:rPr>
        <w:t>第4章 投标人须知资料表</w:t>
      </w:r>
      <w:bookmarkEnd w:id="447"/>
    </w:p>
    <w:p w14:paraId="68DD2DD3">
      <w:pPr>
        <w:spacing w:line="240" w:lineRule="atLeas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本表是本招标项目的具体资料，是对投标人须知的具体补充和修改，如有矛盾，应以本资料表为准。</w:t>
      </w:r>
    </w:p>
    <w:tbl>
      <w:tblPr>
        <w:tblStyle w:val="3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81"/>
        <w:gridCol w:w="7604"/>
      </w:tblGrid>
      <w:tr w14:paraId="0AFD74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3E63C566">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条款号</w:t>
            </w:r>
          </w:p>
        </w:tc>
        <w:tc>
          <w:tcPr>
            <w:tcW w:w="7604" w:type="dxa"/>
            <w:noWrap w:val="0"/>
            <w:vAlign w:val="center"/>
          </w:tcPr>
          <w:p w14:paraId="424DD04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内      容</w:t>
            </w:r>
          </w:p>
        </w:tc>
      </w:tr>
      <w:tr w14:paraId="31B270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05" w:hRule="atLeast"/>
        </w:trPr>
        <w:tc>
          <w:tcPr>
            <w:tcW w:w="1381" w:type="dxa"/>
            <w:noWrap w:val="0"/>
            <w:vAlign w:val="center"/>
          </w:tcPr>
          <w:p w14:paraId="45AF4893">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7604" w:type="dxa"/>
            <w:noWrap w:val="0"/>
            <w:vAlign w:val="center"/>
          </w:tcPr>
          <w:p w14:paraId="119179C4">
            <w:pPr>
              <w:pStyle w:val="33"/>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none"/>
                <w:lang w:val="en-US" w:eastAsia="zh-CN" w:bidi="ar-SA"/>
              </w:rPr>
            </w:pPr>
            <w:r>
              <w:rPr>
                <w:rFonts w:hint="eastAsia" w:ascii="仿宋" w:hAnsi="仿宋" w:eastAsia="仿宋" w:cs="Times New Roman"/>
                <w:color w:val="auto"/>
                <w:kern w:val="2"/>
                <w:sz w:val="24"/>
                <w:szCs w:val="24"/>
                <w:u w:val="none"/>
                <w:lang w:val="en-US" w:eastAsia="zh-CN" w:bidi="ar-SA"/>
              </w:rPr>
              <w:t>采购单位</w:t>
            </w:r>
            <w:r>
              <w:rPr>
                <w:rFonts w:hint="eastAsia" w:ascii="仿宋" w:hAnsi="仿宋" w:eastAsia="仿宋" w:cs="Times New Roman"/>
                <w:kern w:val="2"/>
                <w:sz w:val="24"/>
                <w:szCs w:val="24"/>
                <w:u w:val="none"/>
                <w:lang w:val="en-US" w:eastAsia="zh-CN" w:bidi="ar-SA"/>
              </w:rPr>
              <w:t>：</w:t>
            </w:r>
            <w:r>
              <w:rPr>
                <w:rFonts w:hint="eastAsia" w:ascii="仿宋" w:hAnsi="仿宋" w:eastAsia="仿宋" w:cs="仿宋"/>
                <w:b w:val="0"/>
                <w:bCs w:val="0"/>
                <w:i w:val="0"/>
                <w:iCs w:val="0"/>
                <w:caps w:val="0"/>
                <w:color w:val="auto"/>
                <w:spacing w:val="0"/>
                <w:kern w:val="2"/>
                <w:sz w:val="24"/>
                <w:szCs w:val="24"/>
                <w:highlight w:val="none"/>
                <w:u w:val="single"/>
                <w:shd w:val="clear"/>
                <w:lang w:val="en-US" w:eastAsia="zh-CN" w:bidi="ar-SA"/>
              </w:rPr>
              <w:t>莎车县文化体育广播电视和旅游局</w:t>
            </w:r>
            <w:r>
              <w:rPr>
                <w:rFonts w:hint="eastAsia" w:ascii="仿宋" w:hAnsi="仿宋" w:eastAsia="仿宋" w:cs="Times New Roman"/>
                <w:kern w:val="2"/>
                <w:sz w:val="24"/>
                <w:szCs w:val="24"/>
                <w:u w:val="none"/>
                <w:lang w:val="en-US" w:eastAsia="zh-CN" w:bidi="ar-SA"/>
              </w:rPr>
              <w:t xml:space="preserve"> </w:t>
            </w:r>
          </w:p>
          <w:p w14:paraId="6558E403">
            <w:pPr>
              <w:keepNext w:val="0"/>
              <w:keepLines w:val="0"/>
              <w:suppressLineNumbers w:val="0"/>
              <w:spacing w:before="0" w:beforeAutospacing="0" w:after="0" w:afterAutospacing="0" w:line="240" w:lineRule="atLeast"/>
              <w:ind w:left="0" w:right="0" w:firstLine="0" w:firstLineChars="0"/>
              <w:rPr>
                <w:rFonts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w:t>
            </w:r>
            <w:r>
              <w:rPr>
                <w:rFonts w:hint="eastAsia" w:ascii="仿宋" w:hAnsi="仿宋" w:eastAsia="仿宋" w:cs="仿宋"/>
                <w:b w:val="0"/>
                <w:bCs w:val="0"/>
                <w:i w:val="0"/>
                <w:iCs w:val="0"/>
                <w:caps w:val="0"/>
                <w:spacing w:val="0"/>
                <w:kern w:val="2"/>
                <w:sz w:val="24"/>
                <w:szCs w:val="24"/>
                <w:highlight w:val="none"/>
                <w:u w:val="single"/>
                <w:shd w:val="clear"/>
                <w:lang w:eastAsia="zh-CN"/>
              </w:rPr>
              <w:t>王瑶</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2AF809D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sz w:val="24"/>
              </w:rPr>
              <w:t>联系电话：</w:t>
            </w:r>
            <w:r>
              <w:rPr>
                <w:rFonts w:hint="eastAsia" w:ascii="仿宋" w:hAnsi="仿宋" w:eastAsia="仿宋" w:cs="仿宋"/>
                <w:sz w:val="24"/>
                <w:u w:val="single"/>
              </w:rPr>
              <w:t xml:space="preserve"> </w:t>
            </w:r>
            <w:r>
              <w:rPr>
                <w:rFonts w:hint="eastAsia" w:ascii="仿宋" w:hAnsi="仿宋" w:eastAsia="仿宋" w:cs="仿宋"/>
                <w:sz w:val="24"/>
                <w:highlight w:val="none"/>
                <w:u w:val="single"/>
                <w:lang w:eastAsia="zh-CN"/>
              </w:rPr>
              <w:t>15569157575</w:t>
            </w:r>
            <w:r>
              <w:rPr>
                <w:rFonts w:hint="eastAsia" w:ascii="仿宋" w:hAnsi="仿宋" w:eastAsia="仿宋" w:cs="仿宋"/>
                <w:sz w:val="24"/>
              </w:rPr>
              <w:t xml:space="preserve"> </w:t>
            </w:r>
          </w:p>
        </w:tc>
      </w:tr>
      <w:tr w14:paraId="3B36A7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2773C9D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7604" w:type="dxa"/>
            <w:noWrap w:val="0"/>
            <w:vAlign w:val="center"/>
          </w:tcPr>
          <w:p w14:paraId="36CA6614">
            <w:pPr>
              <w:pStyle w:val="33"/>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single"/>
                <w:lang w:val="en-US" w:eastAsia="zh-CN" w:bidi="ar-SA"/>
              </w:rPr>
            </w:pPr>
            <w:r>
              <w:rPr>
                <w:rFonts w:hint="eastAsia" w:ascii="仿宋" w:hAnsi="仿宋" w:eastAsia="仿宋" w:cs="Times New Roman"/>
                <w:color w:val="auto"/>
                <w:kern w:val="2"/>
                <w:sz w:val="24"/>
                <w:szCs w:val="24"/>
                <w:u w:val="none"/>
                <w:lang w:val="en-US" w:eastAsia="zh-CN" w:bidi="ar-SA"/>
              </w:rPr>
              <w:t>代理机构：</w:t>
            </w:r>
            <w:r>
              <w:rPr>
                <w:rFonts w:hint="eastAsia" w:ascii="仿宋" w:hAnsi="仿宋" w:eastAsia="仿宋" w:cs="仿宋"/>
                <w:b w:val="0"/>
                <w:bCs w:val="0"/>
                <w:i w:val="0"/>
                <w:iCs w:val="0"/>
                <w:caps w:val="0"/>
                <w:color w:val="auto"/>
                <w:spacing w:val="0"/>
                <w:kern w:val="2"/>
                <w:sz w:val="24"/>
                <w:szCs w:val="24"/>
                <w:highlight w:val="none"/>
                <w:u w:val="single"/>
                <w:shd w:val="clear"/>
                <w:lang w:val="en-US" w:eastAsia="zh-CN" w:bidi="ar-SA"/>
              </w:rPr>
              <w:t>新疆华嵘印橡项目管理咨询有限公司</w:t>
            </w:r>
          </w:p>
          <w:p w14:paraId="36C5B943">
            <w:pPr>
              <w:pStyle w:val="33"/>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none"/>
                <w:lang w:val="en-US" w:eastAsia="zh-CN" w:bidi="ar-SA"/>
              </w:rPr>
            </w:pPr>
            <w:r>
              <w:rPr>
                <w:rFonts w:hint="eastAsia" w:ascii="仿宋" w:hAnsi="仿宋" w:eastAsia="仿宋" w:cs="Times New Roman"/>
                <w:color w:val="auto"/>
                <w:kern w:val="2"/>
                <w:sz w:val="24"/>
                <w:szCs w:val="24"/>
                <w:u w:val="none"/>
                <w:lang w:val="en-US" w:eastAsia="zh-CN" w:bidi="ar-SA"/>
              </w:rPr>
              <w:t>联 系 人:</w:t>
            </w:r>
            <w:r>
              <w:rPr>
                <w:rFonts w:hint="eastAsia" w:ascii="仿宋" w:hAnsi="仿宋" w:eastAsia="仿宋" w:cs="仿宋"/>
                <w:b w:val="0"/>
                <w:bCs w:val="0"/>
                <w:i w:val="0"/>
                <w:iCs w:val="0"/>
                <w:caps w:val="0"/>
                <w:color w:val="auto"/>
                <w:spacing w:val="0"/>
                <w:kern w:val="2"/>
                <w:sz w:val="24"/>
                <w:szCs w:val="24"/>
                <w:highlight w:val="none"/>
                <w:u w:val="single"/>
                <w:shd w:val="clear"/>
                <w:lang w:val="en-US" w:eastAsia="zh-CN" w:bidi="ar-SA"/>
              </w:rPr>
              <w:t xml:space="preserve">    彭鹤玲      </w:t>
            </w:r>
            <w:r>
              <w:rPr>
                <w:rFonts w:hint="eastAsia" w:ascii="仿宋" w:hAnsi="仿宋" w:eastAsia="仿宋" w:cs="Times New Roman"/>
                <w:kern w:val="2"/>
                <w:sz w:val="24"/>
                <w:szCs w:val="24"/>
                <w:u w:val="none"/>
                <w:lang w:val="en-US" w:eastAsia="zh-CN" w:bidi="ar-SA"/>
              </w:rPr>
              <w:t xml:space="preserve">         </w:t>
            </w:r>
          </w:p>
          <w:p w14:paraId="3B593BD2">
            <w:pPr>
              <w:keepNext w:val="0"/>
              <w:keepLines w:val="0"/>
              <w:suppressLineNumbers w:val="0"/>
              <w:spacing w:before="0" w:beforeAutospacing="0" w:after="0" w:afterAutospacing="0" w:line="240" w:lineRule="auto"/>
              <w:ind w:left="0" w:right="0"/>
              <w:rPr>
                <w:rFonts w:hint="eastAsia" w:ascii="仿宋" w:hAnsi="仿宋" w:eastAsia="仿宋" w:cs="仿宋"/>
                <w:color w:val="auto"/>
                <w:sz w:val="24"/>
                <w:highlight w:val="none"/>
                <w:lang w:val="en-US"/>
              </w:rPr>
            </w:pPr>
            <w:r>
              <w:rPr>
                <w:rFonts w:hint="eastAsia" w:ascii="仿宋" w:hAnsi="仿宋" w:eastAsia="仿宋" w:cs="Times New Roman"/>
                <w:kern w:val="2"/>
                <w:sz w:val="24"/>
                <w:szCs w:val="24"/>
                <w:u w:val="none"/>
                <w:lang w:val="en-US" w:eastAsia="zh-CN" w:bidi="ar-SA"/>
              </w:rPr>
              <w:t>联系电话：</w:t>
            </w:r>
            <w:r>
              <w:rPr>
                <w:rFonts w:hint="eastAsia" w:ascii="仿宋" w:hAnsi="仿宋" w:eastAsia="仿宋" w:cs="Times New Roman"/>
                <w:kern w:val="2"/>
                <w:sz w:val="24"/>
                <w:szCs w:val="24"/>
                <w:u w:val="single"/>
                <w:lang w:val="en-US" w:eastAsia="zh-CN" w:bidi="ar-SA"/>
              </w:rPr>
              <w:t xml:space="preserve"> 18399604428 </w:t>
            </w:r>
            <w:r>
              <w:rPr>
                <w:rFonts w:hint="eastAsia" w:ascii="仿宋" w:hAnsi="仿宋" w:eastAsia="仿宋" w:cs="Times New Roman"/>
                <w:kern w:val="2"/>
                <w:sz w:val="24"/>
                <w:szCs w:val="24"/>
                <w:u w:val="none"/>
                <w:lang w:val="en-US" w:eastAsia="zh-CN" w:bidi="ar-SA"/>
              </w:rPr>
              <w:t xml:space="preserve"> </w:t>
            </w:r>
            <w:r>
              <w:rPr>
                <w:rFonts w:hint="eastAsia" w:ascii="仿宋" w:hAnsi="仿宋" w:eastAsia="仿宋" w:cs="仿宋"/>
                <w:sz w:val="24"/>
              </w:rPr>
              <w:t xml:space="preserve"> </w:t>
            </w:r>
          </w:p>
        </w:tc>
      </w:tr>
      <w:tr w14:paraId="35A5DD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1CE47F9C">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1.3.4</w:t>
            </w:r>
          </w:p>
        </w:tc>
        <w:tc>
          <w:tcPr>
            <w:tcW w:w="7604" w:type="dxa"/>
            <w:noWrap w:val="0"/>
            <w:vAlign w:val="center"/>
          </w:tcPr>
          <w:p w14:paraId="40E9B33B">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合格投标人的资格要求：</w:t>
            </w:r>
          </w:p>
          <w:p w14:paraId="6A2EA340">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r>
              <w:rPr>
                <w:rFonts w:hint="eastAsia" w:ascii="仿宋" w:hAnsi="仿宋" w:eastAsia="仿宋" w:cs="仿宋"/>
                <w:color w:val="auto"/>
                <w:sz w:val="24"/>
                <w:highlight w:val="none"/>
              </w:rPr>
              <w:t>；</w:t>
            </w:r>
          </w:p>
          <w:p w14:paraId="634CB40A">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2、法定代表人身份证明或法定代表人授权委托书及被授权人身份证；</w:t>
            </w:r>
          </w:p>
          <w:p w14:paraId="0AD6555C">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3、近期（投标截止日期前六个月内任意一个月）依法缴纳社会保障金的缴费证明或银行出具的“银行电子缴纳社会保障金付款凭证”（新成立公司提供相关证明文件）；</w:t>
            </w:r>
          </w:p>
          <w:p w14:paraId="655749BA">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6B838AE7">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5、具有良好的商业信誉和健全的财务会计制度(2023年或2024年的年度财务审计报告书，2025年成立公司提供银行资信证明)；</w:t>
            </w:r>
          </w:p>
          <w:p w14:paraId="5DA7E4BB">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069A9A31">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7、参加政府采购活动前3年内在经营活动中没有重大违法记录的书面声明；</w:t>
            </w:r>
          </w:p>
          <w:p w14:paraId="59DBD05D">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8、具有履行合同所必需的设备和专业技术能力的证明材料；</w:t>
            </w:r>
          </w:p>
          <w:p w14:paraId="39A86DCD">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9、提供针对本次项目《反商业贿赂承诺书》；</w:t>
            </w:r>
          </w:p>
          <w:p w14:paraId="7E7C3232">
            <w:pPr>
              <w:keepNext w:val="0"/>
              <w:keepLines w:val="0"/>
              <w:suppressLineNumbers w:val="0"/>
              <w:tabs>
                <w:tab w:val="left" w:pos="5580"/>
              </w:tabs>
              <w:spacing w:before="0" w:beforeAutospacing="0" w:after="0" w:afterAutospacing="0" w:line="360" w:lineRule="auto"/>
              <w:ind w:left="0" w:right="0"/>
              <w:rPr>
                <w:rFonts w:hint="eastAsia" w:ascii="仿宋" w:hAnsi="仿宋" w:eastAsia="仿宋" w:cs="仿宋"/>
                <w:lang w:val="en-US" w:eastAsia="zh-CN"/>
              </w:rPr>
            </w:pPr>
            <w:r>
              <w:rPr>
                <w:rFonts w:hint="eastAsia" w:ascii="仿宋" w:hAnsi="仿宋" w:eastAsia="仿宋" w:cs="仿宋"/>
                <w:color w:val="auto"/>
                <w:sz w:val="24"/>
                <w:highlight w:val="none"/>
                <w:lang w:val="en-US" w:eastAsia="zh-CN"/>
              </w:rPr>
              <w:t>10、本项目不接受联合体。</w:t>
            </w:r>
          </w:p>
        </w:tc>
      </w:tr>
      <w:tr w14:paraId="6FA904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6" w:hRule="atLeast"/>
        </w:trPr>
        <w:tc>
          <w:tcPr>
            <w:tcW w:w="1381" w:type="dxa"/>
            <w:noWrap w:val="0"/>
            <w:vAlign w:val="center"/>
          </w:tcPr>
          <w:p w14:paraId="749BFD4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1.3.5   </w:t>
            </w:r>
          </w:p>
        </w:tc>
        <w:tc>
          <w:tcPr>
            <w:tcW w:w="7604" w:type="dxa"/>
            <w:noWrap w:val="0"/>
            <w:vAlign w:val="center"/>
          </w:tcPr>
          <w:p w14:paraId="513F99E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是否允许采购进口产品：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否</w:t>
            </w:r>
          </w:p>
        </w:tc>
      </w:tr>
      <w:tr w14:paraId="4F58D9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381" w:type="dxa"/>
            <w:noWrap w:val="0"/>
            <w:vAlign w:val="center"/>
          </w:tcPr>
          <w:p w14:paraId="280DF90C">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1.3.6</w:t>
            </w:r>
          </w:p>
        </w:tc>
        <w:tc>
          <w:tcPr>
            <w:tcW w:w="7604" w:type="dxa"/>
            <w:noWrap w:val="0"/>
            <w:vAlign w:val="center"/>
          </w:tcPr>
          <w:p w14:paraId="24506A64">
            <w:pPr>
              <w:pStyle w:val="27"/>
              <w:rPr>
                <w:rFonts w:hint="default" w:ascii="仿宋" w:hAnsi="仿宋" w:eastAsia="仿宋" w:cs="仿宋"/>
                <w:color w:val="auto"/>
                <w:highlight w:val="none"/>
                <w:lang w:val="en-US"/>
              </w:rPr>
            </w:pPr>
            <w:r>
              <w:rPr>
                <w:rFonts w:hint="eastAsia" w:ascii="仿宋" w:hAnsi="仿宋" w:eastAsia="仿宋" w:cs="仿宋"/>
                <w:color w:val="auto"/>
                <w:sz w:val="24"/>
                <w:highlight w:val="none"/>
              </w:rPr>
              <w:t>是否为专门面向中小企业采购：</w:t>
            </w:r>
            <w:r>
              <w:rPr>
                <w:rFonts w:hint="eastAsia" w:ascii="仿宋" w:hAnsi="仿宋" w:eastAsia="仿宋" w:cs="仿宋"/>
                <w:color w:val="auto"/>
                <w:sz w:val="24"/>
                <w:highlight w:val="none"/>
                <w:u w:val="single"/>
                <w:lang w:val="en-US" w:eastAsia="zh-CN"/>
              </w:rPr>
              <w:t xml:space="preserve"> 是 </w:t>
            </w:r>
          </w:p>
        </w:tc>
      </w:tr>
      <w:tr w14:paraId="33EE64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381" w:type="dxa"/>
            <w:noWrap w:val="0"/>
            <w:vAlign w:val="center"/>
          </w:tcPr>
          <w:p w14:paraId="6C198987">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7604" w:type="dxa"/>
            <w:noWrap w:val="0"/>
            <w:vAlign w:val="center"/>
          </w:tcPr>
          <w:p w14:paraId="65CACE18">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是否允许联合体投标：</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否</w:t>
            </w:r>
          </w:p>
        </w:tc>
      </w:tr>
      <w:tr w14:paraId="1356A2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381" w:type="dxa"/>
            <w:noWrap w:val="0"/>
            <w:vAlign w:val="center"/>
          </w:tcPr>
          <w:p w14:paraId="4C149F7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1.4.8</w:t>
            </w:r>
          </w:p>
        </w:tc>
        <w:tc>
          <w:tcPr>
            <w:tcW w:w="7604" w:type="dxa"/>
            <w:noWrap w:val="0"/>
            <w:vAlign w:val="center"/>
          </w:tcPr>
          <w:p w14:paraId="6C2C0485">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联合体的其他资格要求：</w:t>
            </w:r>
            <w:r>
              <w:rPr>
                <w:rFonts w:hint="eastAsia" w:ascii="仿宋" w:hAnsi="仿宋" w:eastAsia="仿宋" w:cs="仿宋"/>
                <w:color w:val="auto"/>
                <w:sz w:val="24"/>
                <w:highlight w:val="none"/>
                <w:lang w:eastAsia="zh-CN"/>
              </w:rPr>
              <w:t>无</w:t>
            </w:r>
          </w:p>
        </w:tc>
      </w:tr>
      <w:tr w14:paraId="463651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381" w:type="dxa"/>
            <w:noWrap w:val="0"/>
            <w:vAlign w:val="center"/>
          </w:tcPr>
          <w:p w14:paraId="2A4BF635">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p>
        </w:tc>
        <w:tc>
          <w:tcPr>
            <w:tcW w:w="7604" w:type="dxa"/>
            <w:noWrap w:val="0"/>
            <w:vAlign w:val="center"/>
          </w:tcPr>
          <w:p w14:paraId="2A258C3C">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项目预算金额：</w:t>
            </w:r>
            <w:r>
              <w:rPr>
                <w:rFonts w:hint="eastAsia" w:ascii="仿宋" w:hAnsi="仿宋" w:eastAsia="仿宋" w:cs="仿宋"/>
                <w:color w:val="auto"/>
                <w:sz w:val="24"/>
                <w:szCs w:val="24"/>
                <w:highlight w:val="none"/>
                <w:lang w:val="en-US" w:eastAsia="zh-CN"/>
              </w:rPr>
              <w:t>200.00万元</w:t>
            </w:r>
          </w:p>
        </w:tc>
      </w:tr>
      <w:tr w14:paraId="6DD7C1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3CBAA12E">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12.1</w:t>
            </w:r>
          </w:p>
        </w:tc>
        <w:tc>
          <w:tcPr>
            <w:tcW w:w="7604" w:type="dxa"/>
            <w:noWrap w:val="0"/>
            <w:vAlign w:val="center"/>
          </w:tcPr>
          <w:p w14:paraId="79341EAB">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保证金形式：</w:t>
            </w:r>
            <w:r>
              <w:rPr>
                <w:rFonts w:hint="eastAsia" w:ascii="仿宋" w:hAnsi="仿宋" w:eastAsia="仿宋" w:cs="仿宋"/>
                <w:b/>
                <w:bCs/>
                <w:iCs/>
                <w:sz w:val="24"/>
              </w:rPr>
              <w:t>☑保函  ☑电汇  ☑支票</w:t>
            </w:r>
            <w:r>
              <w:rPr>
                <w:rFonts w:hint="eastAsia" w:ascii="仿宋" w:hAnsi="仿宋" w:eastAsia="仿宋" w:cs="仿宋"/>
                <w:b/>
                <w:bCs/>
                <w:iCs/>
                <w:sz w:val="24"/>
                <w:lang w:val="en-US" w:eastAsia="zh-CN"/>
              </w:rPr>
              <w:t xml:space="preserve"> </w:t>
            </w:r>
            <w:r>
              <w:rPr>
                <w:rFonts w:hint="eastAsia" w:ascii="仿宋" w:hAnsi="仿宋" w:eastAsia="仿宋" w:cs="仿宋"/>
                <w:b/>
                <w:bCs/>
                <w:iCs/>
                <w:sz w:val="24"/>
              </w:rPr>
              <w:t xml:space="preserve">☑企业账户网银汇款 </w:t>
            </w:r>
          </w:p>
          <w:p w14:paraId="671C62F3">
            <w:pPr>
              <w:keepNext w:val="0"/>
              <w:keepLines w:val="0"/>
              <w:suppressLineNumbers w:val="0"/>
              <w:spacing w:before="0" w:beforeAutospacing="0" w:after="0" w:afterAutospacing="0" w:line="240" w:lineRule="atLeast"/>
              <w:ind w:left="0" w:right="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highlight w:val="none"/>
                <w:lang w:val="en-US" w:eastAsia="zh-CN"/>
              </w:rPr>
              <w:t>保证金金额：4</w:t>
            </w:r>
            <w:r>
              <w:rPr>
                <w:rFonts w:hint="eastAsia" w:ascii="仿宋" w:hAnsi="仿宋" w:eastAsia="仿宋" w:cs="仿宋"/>
                <w:b/>
                <w:bCs/>
                <w:color w:val="auto"/>
                <w:sz w:val="24"/>
                <w:szCs w:val="24"/>
                <w:highlight w:val="none"/>
                <w:lang w:val="en-US" w:eastAsia="zh-CN"/>
              </w:rPr>
              <w:t>0000.00元（大写：肆万元整）</w:t>
            </w:r>
          </w:p>
          <w:p w14:paraId="3BCF1AB2">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保证金收款人：新疆华嵘印橡项目管理咨询有限公司</w:t>
            </w:r>
          </w:p>
          <w:p w14:paraId="10F30A12">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账户名：新疆华嵘印橡项目管理咨询有限公司</w:t>
            </w:r>
          </w:p>
          <w:p w14:paraId="50AE6945">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账  号：3012341609200108811</w:t>
            </w:r>
          </w:p>
          <w:p w14:paraId="36FA0177">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 xml:space="preserve">开户行：中国工商银行股份有限公司疏附人民北路支行 </w:t>
            </w:r>
          </w:p>
          <w:p w14:paraId="7440B277">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行号：102894200019</w:t>
            </w:r>
          </w:p>
          <w:p w14:paraId="3AE6E04C">
            <w:pPr>
              <w:keepNext w:val="0"/>
              <w:keepLines w:val="0"/>
              <w:suppressLineNumbers w:val="0"/>
              <w:spacing w:before="0" w:beforeAutospacing="0" w:after="0" w:afterAutospacing="0" w:line="400" w:lineRule="exact"/>
              <w:ind w:left="0" w:right="0"/>
              <w:rPr>
                <w:rFonts w:hint="default" w:ascii="仿宋" w:hAnsi="仿宋" w:eastAsia="仿宋" w:cs="仿宋"/>
                <w:b/>
                <w:bCs/>
                <w:iCs/>
                <w:sz w:val="24"/>
                <w:lang w:val="en-US" w:eastAsia="zh-CN"/>
              </w:rPr>
            </w:pPr>
            <w:r>
              <w:rPr>
                <w:rFonts w:hint="eastAsia" w:ascii="仿宋" w:hAnsi="仿宋" w:eastAsia="仿宋" w:cs="仿宋"/>
                <w:b/>
                <w:bCs/>
                <w:iCs/>
                <w:sz w:val="24"/>
                <w:lang w:val="en-US" w:eastAsia="zh-CN"/>
              </w:rPr>
              <w:t>联系电话：18399604428</w:t>
            </w:r>
          </w:p>
          <w:p w14:paraId="5FDF80DE">
            <w:pPr>
              <w:keepNext w:val="0"/>
              <w:keepLines w:val="0"/>
              <w:suppressLineNumbers w:val="0"/>
              <w:spacing w:before="0" w:beforeAutospacing="0" w:after="0" w:afterAutospacing="0" w:line="400" w:lineRule="exact"/>
              <w:ind w:left="0" w:right="0"/>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打款时注明投标保证金项目名称</w:t>
            </w:r>
          </w:p>
          <w:p w14:paraId="02946FB9">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yellow"/>
                <w:lang w:val="en-US" w:eastAsia="zh-CN"/>
              </w:rPr>
            </w:pPr>
            <w:r>
              <w:rPr>
                <w:rFonts w:hint="eastAsia" w:ascii="仿宋" w:hAnsi="仿宋" w:eastAsia="仿宋" w:cs="仿宋"/>
                <w:color w:val="auto"/>
                <w:sz w:val="24"/>
                <w:highlight w:val="none"/>
                <w:lang w:val="en-US" w:eastAsia="zh-CN"/>
              </w:rPr>
              <w:t>到账截止时间：2025年5月7日11点00分（北京时间）</w:t>
            </w:r>
          </w:p>
          <w:p w14:paraId="17520678">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注：1.《中华人民共和国政府采购法实施条例》第三十三条：招标文件</w:t>
            </w:r>
          </w:p>
          <w:p w14:paraId="37DDAF4A">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要求投标人提交投标保证金的，投标保证金不得超过采购项目预算金额</w:t>
            </w:r>
          </w:p>
          <w:p w14:paraId="128614C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的 2%。投标保证金应当以支票、汇票、本票或者金融机构、担保机构出</w:t>
            </w:r>
          </w:p>
          <w:p w14:paraId="1CA3D69A">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具的保函等非现金形式提交。投标人未按照招标文件要求提交投标保证</w:t>
            </w:r>
          </w:p>
          <w:p w14:paraId="3D7F35CC">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金的，投标无效。</w:t>
            </w:r>
          </w:p>
          <w:p w14:paraId="463CF193">
            <w:pPr>
              <w:keepNext w:val="0"/>
              <w:keepLines w:val="0"/>
              <w:suppressLineNumbers w:val="0"/>
              <w:spacing w:before="0" w:beforeAutospacing="0" w:after="0" w:afterAutospacing="0" w:line="240" w:lineRule="atLeast"/>
              <w:ind w:left="0" w:right="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2.根据《关于在政府采购活动中进一步推动开展信用担保工作的通</w:t>
            </w:r>
          </w:p>
          <w:p w14:paraId="0221522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知》，鼓励使用电子保函。</w:t>
            </w:r>
          </w:p>
          <w:p w14:paraId="646268FD">
            <w:pPr>
              <w:keepNext w:val="0"/>
              <w:keepLines w:val="0"/>
              <w:suppressLineNumbers w:val="0"/>
              <w:spacing w:before="0" w:beforeAutospacing="0" w:after="0" w:afterAutospacing="0" w:line="240" w:lineRule="atLeast"/>
              <w:ind w:left="0" w:right="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3.使用保函的，保函的有效期不得低于投标有效期。</w:t>
            </w:r>
          </w:p>
          <w:p w14:paraId="72E2DDE4">
            <w:pPr>
              <w:keepNext w:val="0"/>
              <w:keepLines w:val="0"/>
              <w:suppressLineNumbers w:val="0"/>
              <w:spacing w:before="0" w:beforeAutospacing="0" w:after="0" w:afterAutospacing="0" w:line="240" w:lineRule="atLeast"/>
              <w:ind w:left="0" w:right="0" w:firstLine="480" w:firstLineChars="200"/>
              <w:rPr>
                <w:rFonts w:hint="eastAsia" w:ascii="仿宋" w:hAnsi="仿宋" w:eastAsia="仿宋" w:cs="仿宋"/>
                <w:i/>
                <w:color w:val="auto"/>
                <w:sz w:val="24"/>
                <w:highlight w:val="none"/>
                <w:lang w:val="en-US" w:eastAsia="zh-CN"/>
              </w:rPr>
            </w:pPr>
            <w:r>
              <w:rPr>
                <w:rFonts w:hint="eastAsia" w:ascii="仿宋" w:hAnsi="仿宋" w:eastAsia="仿宋" w:cs="仿宋"/>
                <w:color w:val="auto"/>
                <w:sz w:val="24"/>
                <w:highlight w:val="none"/>
                <w:lang w:val="en-US" w:eastAsia="zh-CN"/>
              </w:rPr>
              <w:t>4.退还保证金：开评标结束后，根据</w:t>
            </w:r>
            <w:r>
              <w:rPr>
                <w:rFonts w:hint="eastAsia" w:ascii="仿宋" w:hAnsi="仿宋" w:eastAsia="仿宋" w:cs="仿宋"/>
                <w:color w:val="auto"/>
                <w:sz w:val="24"/>
                <w:highlight w:val="none"/>
              </w:rPr>
              <w:t xml:space="preserve">《政府采购货物和服务招标投标管理办法》（财政部第 </w:t>
            </w:r>
            <w:r>
              <w:rPr>
                <w:rFonts w:hint="eastAsia" w:ascii="仿宋" w:hAnsi="仿宋" w:eastAsia="仿宋" w:cs="仿宋"/>
                <w:color w:val="auto"/>
                <w:sz w:val="24"/>
                <w:highlight w:val="none"/>
                <w:lang w:val="en-US" w:eastAsia="zh-CN"/>
              </w:rPr>
              <w:t>87</w:t>
            </w:r>
            <w:r>
              <w:rPr>
                <w:rFonts w:hint="eastAsia" w:ascii="仿宋" w:hAnsi="仿宋" w:eastAsia="仿宋" w:cs="仿宋"/>
                <w:color w:val="auto"/>
                <w:sz w:val="24"/>
                <w:highlight w:val="none"/>
              </w:rPr>
              <w:t xml:space="preserve"> 号令）</w:t>
            </w:r>
            <w:r>
              <w:rPr>
                <w:rFonts w:hint="eastAsia" w:ascii="仿宋" w:hAnsi="仿宋" w:eastAsia="仿宋" w:cs="仿宋"/>
                <w:color w:val="auto"/>
                <w:sz w:val="24"/>
                <w:highlight w:val="none"/>
                <w:lang w:val="en-US" w:eastAsia="zh-CN"/>
              </w:rPr>
              <w:t>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或者转为中标人的履约保证金。</w:t>
            </w:r>
          </w:p>
        </w:tc>
      </w:tr>
      <w:tr w14:paraId="400395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1381" w:type="dxa"/>
            <w:noWrap w:val="0"/>
            <w:vAlign w:val="center"/>
          </w:tcPr>
          <w:p w14:paraId="32208089">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p>
        </w:tc>
        <w:tc>
          <w:tcPr>
            <w:tcW w:w="7604" w:type="dxa"/>
            <w:noWrap w:val="0"/>
            <w:vAlign w:val="center"/>
          </w:tcPr>
          <w:p w14:paraId="7CB99129">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投标有效期：</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日历日</w:t>
            </w:r>
          </w:p>
        </w:tc>
      </w:tr>
      <w:tr w14:paraId="22FD7F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1381" w:type="dxa"/>
            <w:noWrap w:val="0"/>
            <w:vAlign w:val="center"/>
          </w:tcPr>
          <w:p w14:paraId="047B94C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14.1</w:t>
            </w:r>
          </w:p>
        </w:tc>
        <w:tc>
          <w:tcPr>
            <w:tcW w:w="7604" w:type="dxa"/>
            <w:noWrap w:val="0"/>
            <w:vAlign w:val="center"/>
          </w:tcPr>
          <w:p w14:paraId="6E8BC471">
            <w:pPr>
              <w:keepNext w:val="0"/>
              <w:keepLines w:val="0"/>
              <w:suppressLineNumbers w:val="0"/>
              <w:spacing w:before="0" w:beforeAutospacing="0" w:after="0" w:afterAutospacing="0" w:line="240" w:lineRule="atLeast"/>
              <w:ind w:left="0" w:right="0"/>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 xml:space="preserve">投标文件包括： </w:t>
            </w:r>
          </w:p>
          <w:p w14:paraId="0743C38A">
            <w:pPr>
              <w:keepNext w:val="0"/>
              <w:keepLines w:val="0"/>
              <w:suppressLineNumbers w:val="0"/>
              <w:spacing w:before="0" w:beforeAutospacing="0" w:after="0" w:afterAutospacing="0" w:line="240" w:lineRule="atLeast"/>
              <w:ind w:left="0" w:right="0"/>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 xml:space="preserve">1、加密的电子投标文件，在投标截止时间前通过新疆维吾尔自治区政府采购网上传； </w:t>
            </w:r>
          </w:p>
          <w:p w14:paraId="107A2419">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备注：因投标人自身原因导致解密失败的，将导致其投标被拒绝且投标文件被退回；但因网上招标系统故障导致所有投标人均解密失败时，使用投标人未加密的电子投标文件进行开评标。未按照招标代理要求及时提供未加密电子投标文件导致解密失败的，由投标人自行承担责任，默认解密时长为：30分钟。</w:t>
            </w:r>
          </w:p>
        </w:tc>
      </w:tr>
      <w:tr w14:paraId="6C60AA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1381" w:type="dxa"/>
            <w:noWrap w:val="0"/>
            <w:vAlign w:val="center"/>
          </w:tcPr>
          <w:p w14:paraId="1AE470C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p>
        </w:tc>
        <w:tc>
          <w:tcPr>
            <w:tcW w:w="7604" w:type="dxa"/>
            <w:noWrap w:val="0"/>
            <w:vAlign w:val="center"/>
          </w:tcPr>
          <w:p w14:paraId="7006A6E4">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投标截止时间：</w:t>
            </w:r>
            <w:r>
              <w:rPr>
                <w:rFonts w:hint="eastAsia" w:ascii="仿宋" w:hAnsi="仿宋" w:eastAsia="仿宋" w:cs="仿宋"/>
                <w:color w:val="auto"/>
                <w:sz w:val="24"/>
                <w:szCs w:val="24"/>
                <w:highlight w:val="none"/>
                <w:u w:val="single"/>
                <w:lang w:val="en-US" w:eastAsia="zh-CN"/>
              </w:rPr>
              <w:t>2025年5月7日11点00分（北京时间）</w:t>
            </w:r>
          </w:p>
        </w:tc>
      </w:tr>
      <w:tr w14:paraId="1A47AC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64C0F891">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p>
        </w:tc>
        <w:tc>
          <w:tcPr>
            <w:tcW w:w="7604" w:type="dxa"/>
            <w:noWrap w:val="0"/>
            <w:vAlign w:val="center"/>
          </w:tcPr>
          <w:p w14:paraId="50F715EE">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开标时间：</w:t>
            </w:r>
            <w:r>
              <w:rPr>
                <w:rFonts w:hint="eastAsia" w:ascii="仿宋" w:hAnsi="仿宋" w:eastAsia="仿宋" w:cs="仿宋"/>
                <w:color w:val="auto"/>
                <w:sz w:val="24"/>
                <w:szCs w:val="24"/>
                <w:highlight w:val="none"/>
                <w:u w:val="single"/>
                <w:lang w:val="en-US" w:eastAsia="zh-CN"/>
              </w:rPr>
              <w:t>2025年5月7日11点00分（北京时间）</w:t>
            </w:r>
          </w:p>
          <w:p w14:paraId="4770607B">
            <w:pPr>
              <w:keepNext w:val="0"/>
              <w:keepLines w:val="0"/>
              <w:suppressLineNumbers w:val="0"/>
              <w:spacing w:before="0" w:beforeAutospacing="0" w:after="0" w:afterAutospacing="0" w:line="240" w:lineRule="atLeast"/>
              <w:ind w:left="0" w:right="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开标地点：</w:t>
            </w:r>
            <w:r>
              <w:rPr>
                <w:rFonts w:hint="eastAsia" w:ascii="仿宋" w:hAnsi="仿宋" w:eastAsia="仿宋" w:cs="仿宋"/>
                <w:color w:val="auto"/>
                <w:sz w:val="24"/>
                <w:highlight w:val="none"/>
                <w:u w:val="single"/>
                <w:lang w:val="en-US" w:eastAsia="zh-CN"/>
              </w:rPr>
              <w:t>政采云平台</w:t>
            </w:r>
          </w:p>
        </w:tc>
      </w:tr>
      <w:tr w14:paraId="7AD7A8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8" w:hRule="atLeast"/>
        </w:trPr>
        <w:tc>
          <w:tcPr>
            <w:tcW w:w="1381" w:type="dxa"/>
            <w:noWrap w:val="0"/>
            <w:vAlign w:val="center"/>
          </w:tcPr>
          <w:p w14:paraId="08486B0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7604" w:type="dxa"/>
            <w:noWrap w:val="0"/>
            <w:vAlign w:val="center"/>
          </w:tcPr>
          <w:p w14:paraId="5A12593E">
            <w:pPr>
              <w:keepNext w:val="0"/>
              <w:keepLines w:val="0"/>
              <w:suppressLineNumbers w:val="0"/>
              <w:spacing w:before="0" w:beforeAutospacing="0" w:after="0" w:afterAutospacing="0" w:line="240" w:lineRule="atLeast"/>
              <w:ind w:left="0" w:right="0"/>
              <w:rPr>
                <w:rFonts w:hint="eastAsia" w:ascii="仿宋" w:hAnsi="仿宋" w:eastAsia="仿宋" w:cs="仿宋"/>
                <w:i/>
                <w:color w:val="auto"/>
                <w:sz w:val="24"/>
                <w:highlight w:val="none"/>
              </w:rPr>
            </w:pPr>
            <w:r>
              <w:rPr>
                <w:rFonts w:hint="eastAsia" w:ascii="仿宋" w:hAnsi="仿宋" w:eastAsia="仿宋" w:cs="仿宋"/>
                <w:color w:val="auto"/>
                <w:sz w:val="24"/>
                <w:highlight w:val="none"/>
              </w:rPr>
              <w:t>评标方法：适用</w:t>
            </w:r>
            <w:r>
              <w:rPr>
                <w:rFonts w:hint="eastAsia" w:ascii="仿宋" w:hAnsi="仿宋" w:eastAsia="仿宋" w:cs="仿宋"/>
                <w:color w:val="auto"/>
                <w:sz w:val="24"/>
                <w:highlight w:val="none"/>
                <w:u w:val="single"/>
              </w:rPr>
              <w:t>　中华人民共和国财政部令第87号--政府采购货物和服务招标投标管理办法第五十五条综合评分法　　</w:t>
            </w:r>
            <w:r>
              <w:rPr>
                <w:rFonts w:hint="eastAsia" w:ascii="仿宋" w:hAnsi="仿宋" w:eastAsia="仿宋" w:cs="仿宋"/>
                <w:color w:val="auto"/>
                <w:sz w:val="24"/>
                <w:highlight w:val="none"/>
              </w:rPr>
              <w:t>　　　　　</w:t>
            </w:r>
          </w:p>
        </w:tc>
      </w:tr>
      <w:tr w14:paraId="70EFE8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3CEE00C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604" w:type="dxa"/>
            <w:noWrap w:val="0"/>
            <w:vAlign w:val="center"/>
          </w:tcPr>
          <w:p w14:paraId="649525CB">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推荐中标候选供应商的数量：</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eastAsia="zh-CN"/>
              </w:rPr>
              <w:t>三名</w:t>
            </w:r>
            <w:r>
              <w:rPr>
                <w:rFonts w:hint="eastAsia" w:ascii="仿宋" w:hAnsi="仿宋" w:eastAsia="仿宋" w:cs="仿宋"/>
                <w:color w:val="auto"/>
                <w:sz w:val="24"/>
                <w:highlight w:val="none"/>
                <w:u w:val="single"/>
              </w:rPr>
              <w:t xml:space="preserve">   　　</w:t>
            </w:r>
          </w:p>
        </w:tc>
      </w:tr>
      <w:tr w14:paraId="5BBACD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6" w:hRule="atLeast"/>
        </w:trPr>
        <w:tc>
          <w:tcPr>
            <w:tcW w:w="1381" w:type="dxa"/>
            <w:noWrap w:val="0"/>
            <w:vAlign w:val="center"/>
          </w:tcPr>
          <w:p w14:paraId="455B49D4">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604" w:type="dxa"/>
            <w:noWrap w:val="0"/>
            <w:vAlign w:val="center"/>
          </w:tcPr>
          <w:p w14:paraId="5625D7EF">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招标人是否委托评标委员会直接确定中标人：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21A29B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trPr>
        <w:tc>
          <w:tcPr>
            <w:tcW w:w="1381" w:type="dxa"/>
            <w:noWrap w:val="0"/>
            <w:vAlign w:val="center"/>
          </w:tcPr>
          <w:p w14:paraId="78452178">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w:t>
            </w:r>
          </w:p>
        </w:tc>
        <w:tc>
          <w:tcPr>
            <w:tcW w:w="7604" w:type="dxa"/>
            <w:noWrap w:val="0"/>
            <w:vAlign w:val="center"/>
          </w:tcPr>
          <w:p w14:paraId="1BF18841">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代理服务费：代理服务费：按照发改价格【2015】299 号文件规定，100万-300万按照中标价格的0.9%计取。（由中标单位支付）。</w:t>
            </w:r>
          </w:p>
          <w:p w14:paraId="78CAD470">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支付形式：对公转账                              </w:t>
            </w:r>
          </w:p>
          <w:p w14:paraId="4B719835">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支付时间：领取中标通知书时由中标方支付一次性支付</w:t>
            </w:r>
          </w:p>
        </w:tc>
      </w:tr>
      <w:tr w14:paraId="6AEEFD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7" w:hRule="atLeast"/>
        </w:trPr>
        <w:tc>
          <w:tcPr>
            <w:tcW w:w="1381" w:type="dxa"/>
            <w:noWrap w:val="0"/>
            <w:vAlign w:val="center"/>
          </w:tcPr>
          <w:p w14:paraId="24C520D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33.1</w:t>
            </w:r>
          </w:p>
        </w:tc>
        <w:tc>
          <w:tcPr>
            <w:tcW w:w="7604" w:type="dxa"/>
            <w:noWrap w:val="0"/>
            <w:vAlign w:val="center"/>
          </w:tcPr>
          <w:p w14:paraId="21B12C58">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本项目是否属于信用担保试点范围：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是</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663F02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7716282A">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33.2</w:t>
            </w:r>
          </w:p>
        </w:tc>
        <w:tc>
          <w:tcPr>
            <w:tcW w:w="7604" w:type="dxa"/>
            <w:noWrap w:val="0"/>
            <w:vAlign w:val="center"/>
          </w:tcPr>
          <w:p w14:paraId="67C2C9F7">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政府采购专业担保机构：</w:t>
            </w:r>
          </w:p>
          <w:p w14:paraId="544F85F3">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信用担保专业的担保机构：莎车县宏远融资担保有限责任公司 </w:t>
            </w:r>
          </w:p>
          <w:p w14:paraId="1AB23EC4">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联系人：王升 </w:t>
            </w:r>
          </w:p>
          <w:p w14:paraId="7CD4FA94">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联系电话：18699899296</w:t>
            </w:r>
          </w:p>
          <w:p w14:paraId="14853976">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地址：莎车县新城路16号</w:t>
            </w:r>
          </w:p>
          <w:p w14:paraId="34706DD7">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邮箱：245462334@qq.com</w:t>
            </w:r>
          </w:p>
          <w:p w14:paraId="15305415">
            <w:pPr>
              <w:keepNext w:val="0"/>
              <w:keepLines w:val="0"/>
              <w:suppressLineNumbers w:val="0"/>
              <w:spacing w:before="0" w:beforeAutospacing="0" w:after="0" w:afterAutospacing="0" w:line="240" w:lineRule="atLeast"/>
              <w:ind w:left="0" w:right="0"/>
              <w:rPr>
                <w:rFonts w:hint="eastAsia" w:ascii="仿宋" w:hAnsi="仿宋" w:eastAsia="仿宋" w:cs="仿宋"/>
                <w:lang w:eastAsia="zh-CN"/>
              </w:rPr>
            </w:pPr>
            <w:r>
              <w:rPr>
                <w:rFonts w:hint="eastAsia" w:ascii="仿宋" w:hAnsi="仿宋" w:eastAsia="仿宋" w:cs="仿宋"/>
                <w:color w:val="auto"/>
                <w:kern w:val="0"/>
                <w:sz w:val="24"/>
                <w:szCs w:val="24"/>
                <w:highlight w:val="none"/>
                <w:lang w:val="en-US" w:eastAsia="zh-CN" w:bidi="ar-SA"/>
              </w:rPr>
              <w:t>注：“以上担保机构只是给投标商多一个选择，最终选择哪个机构由投标单位自己决定，不论选择哪个合法的担保机构，不影响正常项目投标。”</w:t>
            </w:r>
          </w:p>
        </w:tc>
      </w:tr>
      <w:tr w14:paraId="282191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001276B0">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34.3</w:t>
            </w:r>
          </w:p>
        </w:tc>
        <w:tc>
          <w:tcPr>
            <w:tcW w:w="7604" w:type="dxa"/>
            <w:noWrap w:val="0"/>
            <w:vAlign w:val="center"/>
          </w:tcPr>
          <w:p w14:paraId="1CFCEFD1">
            <w:pPr>
              <w:keepNext w:val="0"/>
              <w:keepLines w:val="0"/>
              <w:suppressLineNumbers w:val="0"/>
              <w:spacing w:before="0" w:beforeAutospacing="0" w:after="0" w:afterAutospacing="0" w:line="240" w:lineRule="atLeast"/>
              <w:ind w:left="710" w:leftChars="-23" w:right="0" w:hanging="758" w:hangingChars="316"/>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反腐倡廉监督电话：0998-</w:t>
            </w:r>
            <w:r>
              <w:rPr>
                <w:rFonts w:hint="eastAsia" w:ascii="仿宋" w:hAnsi="仿宋" w:eastAsia="仿宋" w:cs="仿宋"/>
                <w:color w:val="auto"/>
                <w:sz w:val="24"/>
                <w:highlight w:val="none"/>
                <w:lang w:val="en-US" w:eastAsia="zh-CN"/>
              </w:rPr>
              <w:t>8512578</w:t>
            </w:r>
          </w:p>
        </w:tc>
      </w:tr>
      <w:tr w14:paraId="3A5D22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11646F30">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36.3</w:t>
            </w:r>
          </w:p>
        </w:tc>
        <w:tc>
          <w:tcPr>
            <w:tcW w:w="7604" w:type="dxa"/>
            <w:noWrap w:val="0"/>
            <w:vAlign w:val="center"/>
          </w:tcPr>
          <w:p w14:paraId="18495F40">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质疑函</w:t>
            </w:r>
            <w:r>
              <w:rPr>
                <w:rFonts w:hint="eastAsia" w:ascii="仿宋" w:hAnsi="仿宋" w:eastAsia="仿宋" w:cs="仿宋"/>
                <w:color w:val="auto"/>
                <w:sz w:val="24"/>
                <w:highlight w:val="none"/>
              </w:rPr>
              <w:t>接收部门：</w:t>
            </w:r>
            <w:r>
              <w:rPr>
                <w:rFonts w:hint="eastAsia" w:ascii="仿宋" w:hAnsi="仿宋" w:eastAsia="仿宋" w:cs="仿宋"/>
                <w:color w:val="auto"/>
                <w:sz w:val="24"/>
                <w:highlight w:val="none"/>
                <w:u w:val="single"/>
                <w:lang w:eastAsia="zh-CN"/>
              </w:rPr>
              <w:t>新疆华嵘印橡项目管理咨询有限公司招标部</w:t>
            </w:r>
          </w:p>
          <w:p w14:paraId="3CC6BDDB">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lang w:val="en-US" w:eastAsia="zh-CN"/>
              </w:rPr>
              <w:t xml:space="preserve">18399604428   </w:t>
            </w:r>
            <w:r>
              <w:rPr>
                <w:rFonts w:hint="eastAsia" w:ascii="仿宋" w:hAnsi="仿宋" w:eastAsia="仿宋" w:cs="仿宋"/>
                <w:color w:val="auto"/>
                <w:sz w:val="24"/>
                <w:highlight w:val="none"/>
                <w:lang w:val="en-US" w:eastAsia="zh-CN"/>
              </w:rPr>
              <w:t xml:space="preserve">    递交形式：</w:t>
            </w:r>
            <w:r>
              <w:rPr>
                <w:rFonts w:hint="eastAsia" w:ascii="仿宋" w:hAnsi="仿宋" w:eastAsia="仿宋" w:cs="仿宋"/>
                <w:color w:val="auto"/>
                <w:sz w:val="24"/>
                <w:highlight w:val="none"/>
                <w:u w:val="single"/>
                <w:lang w:val="en-US" w:eastAsia="zh-CN"/>
              </w:rPr>
              <w:t>书面形式</w:t>
            </w:r>
          </w:p>
          <w:p w14:paraId="0C70D39E">
            <w:pPr>
              <w:keepNext w:val="0"/>
              <w:keepLines w:val="0"/>
              <w:pageBreakBefore w:val="0"/>
              <w:suppressLineNumbers w:val="0"/>
              <w:kinsoku/>
              <w:wordWrap/>
              <w:overflowPunct/>
              <w:topLinePunct w:val="0"/>
              <w:autoSpaceDE/>
              <w:autoSpaceDN/>
              <w:bidi w:val="0"/>
              <w:adjustRightInd/>
              <w:spacing w:before="0" w:beforeAutospacing="0" w:after="0" w:afterAutospacing="0" w:line="348" w:lineRule="auto"/>
              <w:ind w:left="0" w:right="0"/>
              <w:textAlignment w:val="auto"/>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通讯地址</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single"/>
                <w:lang w:val="en-US" w:eastAsia="zh-CN"/>
              </w:rPr>
              <w:t>莎车希望小区保障性住房小区 17 号楼一单元 215 号</w:t>
            </w:r>
          </w:p>
        </w:tc>
      </w:tr>
      <w:tr w14:paraId="6F59B3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0B81F78F">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36.10</w:t>
            </w:r>
          </w:p>
        </w:tc>
        <w:tc>
          <w:tcPr>
            <w:tcW w:w="7604" w:type="dxa"/>
            <w:noWrap w:val="0"/>
            <w:vAlign w:val="center"/>
          </w:tcPr>
          <w:p w14:paraId="3E6516AF">
            <w:pPr>
              <w:keepNext w:val="0"/>
              <w:keepLines w:val="0"/>
              <w:pageBreakBefore w:val="0"/>
              <w:suppressLineNumbers w:val="0"/>
              <w:kinsoku/>
              <w:wordWrap/>
              <w:overflowPunct/>
              <w:topLinePunct w:val="0"/>
              <w:autoSpaceDE/>
              <w:autoSpaceDN/>
              <w:bidi w:val="0"/>
              <w:adjustRightInd/>
              <w:spacing w:before="0" w:beforeAutospacing="0" w:after="0" w:afterAutospacing="0" w:line="348" w:lineRule="auto"/>
              <w:ind w:left="0" w:right="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受理投诉的方式、联系部门、联系电话和通讯地址等信息</w:t>
            </w:r>
            <w:r>
              <w:rPr>
                <w:rFonts w:hint="eastAsia" w:ascii="仿宋" w:hAnsi="仿宋" w:eastAsia="仿宋" w:cs="仿宋"/>
                <w:color w:val="auto"/>
                <w:sz w:val="24"/>
                <w:highlight w:val="none"/>
                <w:lang w:eastAsia="zh-CN"/>
              </w:rPr>
              <w:t>请在新疆政府采购网“政府采购投诉联系方式”模块查询。</w:t>
            </w:r>
          </w:p>
        </w:tc>
      </w:tr>
      <w:tr w14:paraId="6B026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1" w:hRule="atLeast"/>
        </w:trPr>
        <w:tc>
          <w:tcPr>
            <w:tcW w:w="8985" w:type="dxa"/>
            <w:gridSpan w:val="2"/>
            <w:tcBorders>
              <w:top w:val="single" w:color="auto" w:sz="12" w:space="0"/>
              <w:left w:val="single" w:color="auto" w:sz="12" w:space="0"/>
              <w:bottom w:val="single" w:color="auto" w:sz="12" w:space="0"/>
              <w:right w:val="single" w:color="auto" w:sz="12" w:space="0"/>
            </w:tcBorders>
            <w:noWrap w:val="0"/>
            <w:vAlign w:val="center"/>
          </w:tcPr>
          <w:p w14:paraId="263CA6D9">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适用于本投标人须知的额外增加的变动：</w:t>
            </w:r>
          </w:p>
        </w:tc>
      </w:tr>
      <w:tr w14:paraId="734893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95" w:hRule="atLeast"/>
        </w:trPr>
        <w:tc>
          <w:tcPr>
            <w:tcW w:w="1381" w:type="dxa"/>
            <w:noWrap w:val="0"/>
            <w:vAlign w:val="center"/>
          </w:tcPr>
          <w:p w14:paraId="2C82897E">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7604" w:type="dxa"/>
            <w:noWrap w:val="0"/>
            <w:vAlign w:val="center"/>
          </w:tcPr>
          <w:p w14:paraId="43C9B3E4">
            <w:pPr>
              <w:keepNext w:val="0"/>
              <w:keepLines w:val="0"/>
              <w:suppressLineNumbers w:val="0"/>
              <w:tabs>
                <w:tab w:val="left" w:pos="5580"/>
              </w:tabs>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投标人提供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2023年或2024年的年度财务审计报告书</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 xml:space="preserve">2025年成立公司提供银行资信证明。 </w:t>
            </w:r>
            <w:r>
              <w:rPr>
                <w:rFonts w:hint="eastAsia" w:ascii="仿宋" w:hAnsi="仿宋" w:eastAsia="仿宋" w:cs="仿宋"/>
                <w:color w:val="auto"/>
                <w:sz w:val="24"/>
                <w:highlight w:val="none"/>
              </w:rPr>
              <w:t>证明具有良好的商业信誉和健全的财务会计制度</w:t>
            </w:r>
          </w:p>
        </w:tc>
      </w:tr>
      <w:tr w14:paraId="1D1771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97" w:hRule="atLeast"/>
        </w:trPr>
        <w:tc>
          <w:tcPr>
            <w:tcW w:w="1381" w:type="dxa"/>
            <w:noWrap w:val="0"/>
            <w:vAlign w:val="center"/>
          </w:tcPr>
          <w:p w14:paraId="6320753D">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rPr>
            </w:pPr>
          </w:p>
          <w:p w14:paraId="7D8ABD6E">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604" w:type="dxa"/>
            <w:noWrap w:val="0"/>
            <w:vAlign w:val="center"/>
          </w:tcPr>
          <w:p w14:paraId="69B27C2C">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提供投标人的最近</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eastAsia="zh-CN"/>
              </w:rPr>
              <w:t>一</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个月</w:t>
            </w:r>
            <w:r>
              <w:rPr>
                <w:rFonts w:hint="eastAsia" w:ascii="仿宋" w:hAnsi="仿宋" w:eastAsia="仿宋" w:cs="仿宋"/>
                <w:color w:val="auto"/>
                <w:sz w:val="24"/>
                <w:highlight w:val="none"/>
                <w:lang w:eastAsia="zh-CN"/>
              </w:rPr>
              <w:t>连续</w:t>
            </w:r>
            <w:r>
              <w:rPr>
                <w:rFonts w:hint="eastAsia" w:ascii="仿宋" w:hAnsi="仿宋" w:eastAsia="仿宋" w:cs="仿宋"/>
                <w:color w:val="auto"/>
                <w:sz w:val="24"/>
                <w:highlight w:val="none"/>
              </w:rPr>
              <w:t>的社保缴纳记录；</w:t>
            </w:r>
          </w:p>
          <w:p w14:paraId="2E8903CE">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在法规范围内不需提供的，应做书面说明和</w:t>
            </w:r>
            <w:r>
              <w:rPr>
                <w:rFonts w:hint="eastAsia" w:ascii="仿宋" w:hAnsi="仿宋" w:eastAsia="仿宋" w:cs="仿宋"/>
                <w:color w:val="auto"/>
                <w:sz w:val="24"/>
                <w:highlight w:val="none"/>
                <w:lang w:eastAsia="zh-CN"/>
              </w:rPr>
              <w:t>提供</w:t>
            </w:r>
            <w:r>
              <w:rPr>
                <w:rFonts w:hint="eastAsia" w:ascii="仿宋" w:hAnsi="仿宋" w:eastAsia="仿宋" w:cs="仿宋"/>
                <w:color w:val="auto"/>
                <w:sz w:val="24"/>
                <w:highlight w:val="none"/>
              </w:rPr>
              <w:t>证明文件。</w:t>
            </w:r>
          </w:p>
        </w:tc>
      </w:tr>
      <w:tr w14:paraId="1919C3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1" w:hRule="atLeast"/>
        </w:trPr>
        <w:tc>
          <w:tcPr>
            <w:tcW w:w="1381" w:type="dxa"/>
            <w:noWrap w:val="0"/>
            <w:vAlign w:val="center"/>
          </w:tcPr>
          <w:p w14:paraId="1BAEF3DF">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7604" w:type="dxa"/>
            <w:noWrap w:val="0"/>
            <w:vAlign w:val="center"/>
          </w:tcPr>
          <w:p w14:paraId="64A4A1EE">
            <w:pPr>
              <w:keepNext w:val="0"/>
              <w:keepLines w:val="0"/>
              <w:suppressLineNumbers w:val="0"/>
              <w:spacing w:before="0" w:beforeAutospacing="0" w:after="0" w:afterAutospacing="0"/>
              <w:ind w:left="0" w:right="0"/>
              <w:jc w:val="left"/>
              <w:rPr>
                <w:rFonts w:hint="eastAsia"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付款要求：</w:t>
            </w:r>
            <w:r>
              <w:rPr>
                <w:rFonts w:hint="eastAsia" w:ascii="仿宋" w:hAnsi="仿宋" w:eastAsia="仿宋" w:cs="仿宋"/>
                <w:color w:val="auto"/>
                <w:sz w:val="24"/>
                <w:highlight w:val="none"/>
                <w:lang w:val="en-US" w:eastAsia="zh-CN"/>
              </w:rPr>
              <w:t>乙方缴纳合同价5%履约保证金后签订合同，签订合同后支付合同价30%服务款，项目完成60%后支付合同价30%服务款，项目完成80%后支付合同价20%服务款，项目完成验收后支付合同价20%服务款，5%履约保证金一次性无息退还乙方。</w:t>
            </w:r>
          </w:p>
          <w:p w14:paraId="6FA2C4A2">
            <w:pPr>
              <w:keepNext w:val="0"/>
              <w:keepLines w:val="0"/>
              <w:widowControl/>
              <w:suppressLineNumbers w:val="0"/>
              <w:spacing w:before="0" w:beforeAutospacing="0" w:after="0" w:afterAutospacing="0"/>
              <w:ind w:left="0" w:right="0"/>
              <w:jc w:val="left"/>
              <w:rPr>
                <w:rFonts w:hint="eastAsia" w:ascii="仿宋" w:hAnsi="仿宋" w:eastAsia="仿宋" w:cs="仿宋"/>
                <w:color w:val="auto"/>
                <w:highlight w:val="none"/>
                <w:lang w:eastAsia="zh-CN"/>
              </w:rPr>
            </w:pPr>
            <w:r>
              <w:rPr>
                <w:rFonts w:hint="eastAsia" w:ascii="仿宋" w:hAnsi="仿宋" w:eastAsia="仿宋" w:cs="仿宋"/>
                <w:b w:val="0"/>
                <w:bCs/>
                <w:color w:val="auto"/>
                <w:sz w:val="24"/>
                <w:szCs w:val="24"/>
                <w:highlight w:val="none"/>
                <w:u w:val="none"/>
                <w:lang w:val="en-US" w:eastAsia="zh-CN"/>
              </w:rPr>
              <w:t>付款方式：</w:t>
            </w:r>
            <w:r>
              <w:rPr>
                <w:rFonts w:ascii="仿宋" w:hAnsi="仿宋" w:eastAsia="仿宋" w:cs="仿宋"/>
                <w:color w:val="000000"/>
                <w:kern w:val="0"/>
                <w:sz w:val="24"/>
                <w:szCs w:val="24"/>
                <w:lang w:val="en-US" w:eastAsia="zh-CN" w:bidi="ar"/>
              </w:rPr>
              <w:t>汇票/电汇/支票</w:t>
            </w:r>
          </w:p>
        </w:tc>
      </w:tr>
      <w:tr w14:paraId="5F721B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3" w:hRule="atLeast"/>
        </w:trPr>
        <w:tc>
          <w:tcPr>
            <w:tcW w:w="1381" w:type="dxa"/>
            <w:noWrap w:val="0"/>
            <w:vAlign w:val="center"/>
          </w:tcPr>
          <w:p w14:paraId="490CF2C1">
            <w:pPr>
              <w:keepNext w:val="0"/>
              <w:keepLines w:val="0"/>
              <w:suppressLineNumbers w:val="0"/>
              <w:spacing w:before="0" w:beforeAutospacing="0" w:after="0" w:afterAutospacing="0" w:line="240" w:lineRule="atLeast"/>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7604" w:type="dxa"/>
            <w:noWrap w:val="0"/>
            <w:vAlign w:val="center"/>
          </w:tcPr>
          <w:p w14:paraId="06607F4D">
            <w:pPr>
              <w:keepNext w:val="0"/>
              <w:keepLines w:val="0"/>
              <w:widowControl/>
              <w:suppressLineNumbers w:val="0"/>
              <w:spacing w:before="0" w:beforeAutospacing="0" w:after="0" w:afterAutospacing="0"/>
              <w:ind w:left="0" w:right="0"/>
              <w:jc w:val="left"/>
              <w:rPr>
                <w:rFonts w:ascii="仿宋" w:hAnsi="仿宋" w:eastAsia="仿宋" w:cs="仿宋"/>
                <w:sz w:val="24"/>
                <w:highlight w:val="none"/>
              </w:rPr>
            </w:pPr>
            <w:r>
              <w:rPr>
                <w:rFonts w:hint="eastAsia" w:ascii="仿宋" w:hAnsi="仿宋" w:eastAsia="仿宋" w:cs="仿宋"/>
                <w:sz w:val="24"/>
                <w:highlight w:val="none"/>
              </w:rPr>
              <w:t>服务期及服务地点</w:t>
            </w:r>
          </w:p>
          <w:p w14:paraId="1F9984C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2"/>
                <w:sz w:val="24"/>
                <w:szCs w:val="24"/>
                <w:highlight w:val="yellow"/>
                <w:lang w:val="en-US" w:eastAsia="zh-CN" w:bidi="ar"/>
              </w:rPr>
            </w:pPr>
            <w:r>
              <w:rPr>
                <w:rFonts w:hint="eastAsia" w:ascii="仿宋" w:hAnsi="仿宋" w:eastAsia="仿宋" w:cs="仿宋"/>
                <w:sz w:val="24"/>
                <w:highlight w:val="none"/>
              </w:rPr>
              <w:t>服务期：</w:t>
            </w:r>
            <w:r>
              <w:rPr>
                <w:rFonts w:hint="eastAsia" w:ascii="仿宋" w:hAnsi="仿宋" w:eastAsia="仿宋" w:cs="仿宋"/>
                <w:color w:val="auto"/>
                <w:kern w:val="2"/>
                <w:sz w:val="24"/>
                <w:szCs w:val="24"/>
                <w:highlight w:val="none"/>
                <w:lang w:val="en-US" w:eastAsia="zh-CN" w:bidi="ar"/>
              </w:rPr>
              <w:t>2025年5月至10月底（具体以签订合同为准）。</w:t>
            </w:r>
          </w:p>
          <w:p w14:paraId="1AA2AA7F">
            <w:pPr>
              <w:keepNext w:val="0"/>
              <w:keepLines w:val="0"/>
              <w:suppressLineNumbers w:val="0"/>
              <w:spacing w:before="0" w:beforeAutospacing="0" w:after="0" w:afterAutospacing="0" w:line="360" w:lineRule="auto"/>
              <w:ind w:left="0" w:right="0"/>
              <w:jc w:val="left"/>
              <w:rPr>
                <w:rFonts w:hint="default" w:ascii="仿宋" w:hAnsi="仿宋" w:eastAsia="仿宋" w:cs="仿宋"/>
                <w:color w:val="auto"/>
                <w:sz w:val="24"/>
                <w:highlight w:val="none"/>
                <w:lang w:val="en-US" w:eastAsia="zh-CN"/>
              </w:rPr>
            </w:pPr>
            <w:r>
              <w:rPr>
                <w:rFonts w:hint="eastAsia" w:ascii="仿宋" w:hAnsi="仿宋" w:eastAsia="仿宋" w:cs="仿宋"/>
                <w:color w:val="auto"/>
                <w:kern w:val="2"/>
                <w:sz w:val="24"/>
                <w:szCs w:val="24"/>
                <w:lang w:val="en-US" w:eastAsia="zh-CN" w:bidi="ar"/>
              </w:rPr>
              <w:t>服务地点：</w:t>
            </w:r>
            <w:r>
              <w:rPr>
                <w:rFonts w:hint="eastAsia" w:ascii="仿宋" w:hAnsi="仿宋" w:eastAsia="仿宋" w:cs="仿宋"/>
                <w:sz w:val="24"/>
                <w:szCs w:val="32"/>
              </w:rPr>
              <w:t>上海市浦东新区</w:t>
            </w:r>
            <w:r>
              <w:rPr>
                <w:rFonts w:hint="eastAsia" w:ascii="仿宋" w:hAnsi="仿宋" w:eastAsia="仿宋" w:cs="仿宋"/>
                <w:sz w:val="24"/>
                <w:szCs w:val="32"/>
                <w:lang w:val="en-US" w:eastAsia="zh-CN"/>
              </w:rPr>
              <w:t>周浦镇</w:t>
            </w:r>
            <w:r>
              <w:rPr>
                <w:rFonts w:hint="eastAsia" w:ascii="仿宋" w:hAnsi="仿宋" w:eastAsia="仿宋" w:cs="仿宋"/>
                <w:sz w:val="24"/>
                <w:highlight w:val="none"/>
                <w:lang w:val="en-US" w:eastAsia="zh-CN"/>
              </w:rPr>
              <w:t>。</w:t>
            </w:r>
          </w:p>
        </w:tc>
      </w:tr>
      <w:tr w14:paraId="71B711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8" w:hRule="atLeast"/>
        </w:trPr>
        <w:tc>
          <w:tcPr>
            <w:tcW w:w="1381" w:type="dxa"/>
            <w:noWrap w:val="0"/>
            <w:vAlign w:val="top"/>
          </w:tcPr>
          <w:p w14:paraId="246A84FF">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1D930C5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50E9331F">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7604" w:type="dxa"/>
            <w:noWrap w:val="0"/>
            <w:vAlign w:val="center"/>
          </w:tcPr>
          <w:p w14:paraId="5FF2CF8E">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7777983B">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2.本项目实行网上投标，采用电子投标文件(供应商须使用CA加密设备通过政采云电子投标客户端制作投标文件)。若供应商参与投标，自行承担投标一切费用。</w:t>
            </w:r>
          </w:p>
          <w:p w14:paraId="29838695">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7407AD7F">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A7E9624">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5.供应商在开标时须使用制作加密电子投标文件所使用的CA锁及电脑，电脑须提前配置好浏览器（建议使用谷歌浏览器），以便开标时解锁。</w:t>
            </w:r>
          </w:p>
          <w:p w14:paraId="71733054">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6.投标保证金缴纳及确认时间：凡拟参加本次招标项目的供应商，必须在开标前将投标保证金汇入指定账户。投标保证金汇款凭证上用途栏应注明:招标项目名称+投标保证金。</w:t>
            </w:r>
          </w:p>
          <w:p w14:paraId="6EE3C55D">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2DB3F0FA">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tc>
      </w:tr>
      <w:tr w14:paraId="08872D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top"/>
          </w:tcPr>
          <w:p w14:paraId="3468D85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7D8AECB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071B84C6">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5C1F91F4">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6AFD686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5D2901A5">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3D62615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5A8EF269">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7604" w:type="dxa"/>
            <w:noWrap w:val="0"/>
            <w:vAlign w:val="center"/>
          </w:tcPr>
          <w:p w14:paraId="49D1A34E">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1.请投标单位提前自学线上开标流程；投标截止时间当天，请投标人自备电脑及CA锁进行投标文件解密以及操作投标事项，投标人应提前调试好在线参标电脑的各项配置。 </w:t>
            </w:r>
          </w:p>
          <w:p w14:paraId="5F0B4B6E">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2.本项目投标前上传电子版投标文件，如电子开标完成后采购人需要提供纸质版的投标文件，投标单位须出具相应份数的与电子投标文件一致的纸质投标文件。 </w:t>
            </w:r>
          </w:p>
          <w:p w14:paraId="03CEC34B">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3.投标人对招标文件中采购清单、技术需求、商务条件等如有疑义，应当及时提出，否则视为充分理解招标文件各项要求。 </w:t>
            </w:r>
          </w:p>
          <w:p w14:paraId="40BE642C">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4.本次采用政府采购云平台线上招标、投标，请各潜在投标人及时办理CA锁和学习政府采购云平台线上投标相关知识。在政府采购云平台登录后，进行下载招标文件。请各投标人获取招标文件后及时关注云平台答疑文件获取栏目。具体相关事宜见政府采购云平台。 </w:t>
            </w:r>
          </w:p>
          <w:p w14:paraId="4E3342B3">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5.本项目采用资格后审，请投标人仔细阅读招标文件和各项要求， 制作文件及相关资料过程中，若因投标人资格条件不符、提供资料 不全等原因导致投标文件予以退还，责任自负。 </w:t>
            </w:r>
          </w:p>
          <w:p w14:paraId="03071B66">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6.招标文件中如有内容冲突的地方，以投标须知要求为准。</w:t>
            </w:r>
          </w:p>
        </w:tc>
      </w:tr>
      <w:tr w14:paraId="2920EE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03991894">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7604" w:type="dxa"/>
            <w:noWrap w:val="0"/>
            <w:vAlign w:val="center"/>
          </w:tcPr>
          <w:p w14:paraId="00CE0229">
            <w:pPr>
              <w:pStyle w:val="33"/>
              <w:keepNext w:val="0"/>
              <w:keepLines w:val="0"/>
              <w:widowControl/>
              <w:suppressLineNumbers w:val="0"/>
              <w:spacing w:line="420" w:lineRule="atLeast"/>
              <w:ind w:left="0" w:firstLine="42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中小企业划型标准规定</w:t>
            </w:r>
          </w:p>
          <w:p w14:paraId="066974B6">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一、根据《中华人民共和国中小企业促进法》和《国务院关于进一步促进中小企业发展的若干意见》(（国发〔2009〕[2009]36号)，制定本规定。</w:t>
            </w:r>
          </w:p>
          <w:p w14:paraId="67E31D42">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二、中小企业划分为中型、小型、微型三种类型，具体标准根据企业从业人员、营业收入、资产总额等指标，结合行业特点制定。</w:t>
            </w:r>
          </w:p>
          <w:p w14:paraId="19CC6325">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9D83BF3">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四、各行业划型标准为：</w:t>
            </w:r>
          </w:p>
          <w:p w14:paraId="3DC06C38">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（一）农、林、牧、渔业。营业收入20000万元以下的为中小微型企业。其中，营业收入500万元及以上的为中型企业，营业收入50万元及以上的为小型企业，营业收入50万元以下的为微型企业。</w:t>
            </w:r>
          </w:p>
          <w:p w14:paraId="53B411A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461EAD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179F4E3">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B653071">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A55C00">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B014ADD">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5A5949E">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7808DF0">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C0FE816">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72EE21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8C8FE3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9BEF870">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5A3AB3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48129E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1CD73CB">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（十六）其他未列明行业。从业人员300人以下的为中小微型企业。其中，从业人员100人及以上的为中型企业；从业人员10人及以上的为小型企业；从业人员10人以下的为微型企业。</w:t>
            </w:r>
          </w:p>
          <w:p w14:paraId="2A2EB883">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五、企业类型的划分以统计部门的统计数据为依据。</w:t>
            </w:r>
          </w:p>
          <w:p w14:paraId="5E640072">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六、本规定适用于在中华人民共和国境内依法设立的各类所有制和各种组织形式的企业。个体工商户和本规定以外的行业，参照本规定进行划型。</w:t>
            </w:r>
          </w:p>
          <w:p w14:paraId="44222D36">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14:paraId="7246D80C">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八、本规定由工业和信息化部、国家统计局会同有关部门根据《国民经济行业分类》修订情况和企业发展变化情况适时修订。</w:t>
            </w:r>
          </w:p>
          <w:p w14:paraId="6D636B6F">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九、本规定由工业和信息化部、国家统计局会同有关部门负责解释。</w:t>
            </w:r>
          </w:p>
          <w:p w14:paraId="69FFC7EF">
            <w:pPr>
              <w:pStyle w:val="33"/>
              <w:keepNext w:val="0"/>
              <w:keepLines w:val="0"/>
              <w:widowControl/>
              <w:suppressLineNumbers w:val="0"/>
              <w:spacing w:line="420" w:lineRule="atLeast"/>
              <w:rPr>
                <w:rFonts w:hint="eastAsia" w:ascii="仿宋" w:hAnsi="仿宋" w:eastAsia="仿宋" w:cs="仿宋"/>
                <w:color w:val="auto"/>
                <w:sz w:val="24"/>
                <w:highlight w:val="none"/>
                <w:lang w:eastAsia="zh-CN"/>
              </w:rPr>
            </w:pPr>
            <w:r>
              <w:rPr>
                <w:rFonts w:hint="eastAsia" w:ascii="仿宋" w:hAnsi="仿宋" w:eastAsia="仿宋" w:cs="仿宋"/>
                <w:color w:val="auto"/>
                <w:kern w:val="2"/>
                <w:sz w:val="24"/>
                <w:szCs w:val="24"/>
                <w:highlight w:val="none"/>
                <w:lang w:val="en-US" w:eastAsia="zh-CN" w:bidi="ar-SA"/>
              </w:rPr>
              <w:t>十、本规定自发布之日起执行，原国家经贸委、原国家计委、财政部和国家统计局2003年颁布的《中小企业标准暂行规定》同时废止。</w:t>
            </w:r>
          </w:p>
        </w:tc>
      </w:tr>
      <w:tr w14:paraId="701A12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1F5F4E7E">
            <w:pPr>
              <w:keepNext w:val="0"/>
              <w:keepLines w:val="0"/>
              <w:suppressLineNumbers w:val="0"/>
              <w:spacing w:before="0" w:beforeAutospacing="0" w:after="0" w:afterAutospacing="0" w:line="240" w:lineRule="atLeast"/>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7604" w:type="dxa"/>
            <w:noWrap w:val="0"/>
            <w:vAlign w:val="center"/>
          </w:tcPr>
          <w:p w14:paraId="3FF0EE9F">
            <w:pPr>
              <w:pStyle w:val="33"/>
              <w:keepNext w:val="0"/>
              <w:keepLines w:val="0"/>
              <w:widowControl/>
              <w:suppressLineNumbers w:val="0"/>
              <w:spacing w:line="420" w:lineRule="atLeast"/>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标的所属行业：</w:t>
            </w:r>
            <w:r>
              <w:rPr>
                <w:rFonts w:hint="eastAsia" w:ascii="仿宋" w:hAnsi="仿宋" w:eastAsia="仿宋" w:cs="仿宋"/>
                <w:color w:val="auto"/>
                <w:kern w:val="2"/>
                <w:sz w:val="24"/>
                <w:szCs w:val="24"/>
                <w:highlight w:val="none"/>
                <w:lang w:val="en-US" w:eastAsia="zh-CN" w:bidi="ar-SA"/>
              </w:rPr>
              <w:t>租赁和商务服务业</w:t>
            </w:r>
          </w:p>
        </w:tc>
      </w:tr>
    </w:tbl>
    <w:p w14:paraId="3484A6CB">
      <w:pPr>
        <w:spacing w:line="240" w:lineRule="atLeast"/>
        <w:ind w:left="1080" w:leftChars="257" w:hanging="540"/>
        <w:rPr>
          <w:rFonts w:hint="eastAsia" w:ascii="仿宋" w:hAnsi="仿宋" w:eastAsia="仿宋" w:cs="仿宋"/>
          <w:color w:val="auto"/>
          <w:sz w:val="24"/>
          <w:highlight w:val="none"/>
        </w:rPr>
        <w:sectPr>
          <w:headerReference r:id="rId11" w:type="default"/>
          <w:footerReference r:id="rId12" w:type="default"/>
          <w:pgSz w:w="11906" w:h="16838"/>
          <w:pgMar w:top="1440" w:right="1489" w:bottom="1440" w:left="1377" w:header="851" w:footer="992" w:gutter="0"/>
          <w:pgBorders>
            <w:top w:val="none" w:sz="0" w:space="0"/>
            <w:left w:val="none" w:sz="0" w:space="0"/>
            <w:bottom w:val="none" w:sz="0" w:space="0"/>
            <w:right w:val="none" w:sz="0" w:space="0"/>
          </w:pgBorders>
          <w:pgNumType w:fmt="decimal"/>
          <w:cols w:space="720" w:num="1"/>
          <w:docGrid w:linePitch="312" w:charSpace="0"/>
        </w:sectPr>
      </w:pPr>
    </w:p>
    <w:p w14:paraId="2B8C71C1">
      <w:pPr>
        <w:tabs>
          <w:tab w:val="left" w:pos="10290"/>
        </w:tabs>
        <w:jc w:val="center"/>
        <w:rPr>
          <w:rFonts w:hint="eastAsia" w:ascii="仿宋" w:hAnsi="仿宋" w:eastAsia="仿宋" w:cs="仿宋"/>
          <w:b/>
          <w:color w:val="auto"/>
          <w:kern w:val="0"/>
          <w:sz w:val="32"/>
          <w:szCs w:val="32"/>
          <w:highlight w:val="none"/>
        </w:rPr>
      </w:pPr>
      <w:bookmarkStart w:id="448" w:name="_Toc218935351"/>
      <w:bookmarkStart w:id="449" w:name="_Toc216582811"/>
      <w:bookmarkStart w:id="450" w:name="_Toc216513787"/>
      <w:bookmarkStart w:id="451" w:name="_Toc219175635"/>
      <w:r>
        <w:rPr>
          <w:rFonts w:hint="eastAsia" w:ascii="仿宋" w:hAnsi="仿宋" w:eastAsia="仿宋" w:cs="仿宋"/>
          <w:b/>
          <w:color w:val="auto"/>
          <w:kern w:val="0"/>
          <w:sz w:val="32"/>
          <w:szCs w:val="32"/>
          <w:highlight w:val="none"/>
        </w:rPr>
        <w:t>资格审查表</w:t>
      </w:r>
    </w:p>
    <w:tbl>
      <w:tblPr>
        <w:tblStyle w:val="39"/>
        <w:tblpPr w:leftFromText="180" w:rightFromText="180" w:vertAnchor="text" w:horzAnchor="page" w:tblpX="1208" w:tblpY="60"/>
        <w:tblOverlap w:val="never"/>
        <w:tblW w:w="14357" w:type="dxa"/>
        <w:jc w:val="center"/>
        <w:tblLayout w:type="fixed"/>
        <w:tblCellMar>
          <w:top w:w="0" w:type="dxa"/>
          <w:left w:w="108" w:type="dxa"/>
          <w:bottom w:w="0" w:type="dxa"/>
          <w:right w:w="108" w:type="dxa"/>
        </w:tblCellMar>
      </w:tblPr>
      <w:tblGrid>
        <w:gridCol w:w="645"/>
        <w:gridCol w:w="1895"/>
        <w:gridCol w:w="800"/>
        <w:gridCol w:w="1125"/>
        <w:gridCol w:w="1638"/>
        <w:gridCol w:w="1187"/>
        <w:gridCol w:w="3350"/>
        <w:gridCol w:w="1213"/>
        <w:gridCol w:w="867"/>
        <w:gridCol w:w="880"/>
        <w:gridCol w:w="757"/>
      </w:tblGrid>
      <w:tr w14:paraId="4FDBEC2D">
        <w:tblPrEx>
          <w:tblCellMar>
            <w:top w:w="0" w:type="dxa"/>
            <w:left w:w="108" w:type="dxa"/>
            <w:bottom w:w="0" w:type="dxa"/>
            <w:right w:w="108" w:type="dxa"/>
          </w:tblCellMar>
        </w:tblPrEx>
        <w:trPr>
          <w:trHeight w:val="554" w:hRule="atLeast"/>
          <w:jc w:val="center"/>
        </w:trPr>
        <w:tc>
          <w:tcPr>
            <w:tcW w:w="645" w:type="dxa"/>
            <w:vMerge w:val="restart"/>
            <w:tcBorders>
              <w:top w:val="single" w:color="auto" w:sz="4" w:space="0"/>
              <w:left w:val="single" w:color="auto" w:sz="4" w:space="0"/>
              <w:bottom w:val="single" w:color="auto" w:sz="4" w:space="0"/>
              <w:right w:val="single" w:color="auto" w:sz="4" w:space="0"/>
            </w:tcBorders>
            <w:vAlign w:val="center"/>
          </w:tcPr>
          <w:p w14:paraId="38504904">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投标人名称</w:t>
            </w:r>
          </w:p>
        </w:tc>
        <w:tc>
          <w:tcPr>
            <w:tcW w:w="12955" w:type="dxa"/>
            <w:gridSpan w:val="9"/>
            <w:tcBorders>
              <w:top w:val="single" w:color="auto" w:sz="4" w:space="0"/>
              <w:left w:val="nil"/>
              <w:bottom w:val="single" w:color="auto" w:sz="4" w:space="0"/>
              <w:right w:val="single" w:color="auto" w:sz="4" w:space="0"/>
            </w:tcBorders>
            <w:vAlign w:val="center"/>
          </w:tcPr>
          <w:p w14:paraId="451C0C16">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审查内容</w:t>
            </w:r>
          </w:p>
        </w:tc>
        <w:tc>
          <w:tcPr>
            <w:tcW w:w="757" w:type="dxa"/>
            <w:tcBorders>
              <w:top w:val="single" w:color="auto" w:sz="4" w:space="0"/>
              <w:left w:val="nil"/>
              <w:bottom w:val="single" w:color="auto" w:sz="4" w:space="0"/>
              <w:right w:val="single" w:color="auto" w:sz="4" w:space="0"/>
            </w:tcBorders>
            <w:vAlign w:val="center"/>
          </w:tcPr>
          <w:p w14:paraId="23656BCF">
            <w:pPr>
              <w:keepNext w:val="0"/>
              <w:keepLines w:val="0"/>
              <w:suppressLineNumbers w:val="0"/>
              <w:spacing w:before="0" w:beforeAutospacing="0" w:after="0" w:afterAutospacing="0"/>
              <w:ind w:left="0" w:right="0"/>
              <w:rPr>
                <w:rFonts w:hint="eastAsia" w:ascii="仿宋" w:hAnsi="仿宋" w:eastAsia="仿宋" w:cs="仿宋"/>
                <w:sz w:val="24"/>
                <w:lang w:eastAsia="zh-CN"/>
              </w:rPr>
            </w:pPr>
            <w:r>
              <w:rPr>
                <w:rFonts w:hint="eastAsia" w:ascii="仿宋" w:hAnsi="仿宋" w:eastAsia="仿宋" w:cs="仿宋"/>
                <w:sz w:val="24"/>
                <w:lang w:eastAsia="zh-CN"/>
              </w:rPr>
              <w:t>结论</w:t>
            </w:r>
          </w:p>
        </w:tc>
      </w:tr>
      <w:tr w14:paraId="2AB56337">
        <w:tblPrEx>
          <w:tblCellMar>
            <w:top w:w="0" w:type="dxa"/>
            <w:left w:w="108" w:type="dxa"/>
            <w:bottom w:w="0" w:type="dxa"/>
            <w:right w:w="108" w:type="dxa"/>
          </w:tblCellMar>
        </w:tblPrEx>
        <w:trPr>
          <w:trHeight w:val="6513"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647B2F4D">
            <w:pPr>
              <w:keepNext w:val="0"/>
              <w:keepLines w:val="0"/>
              <w:suppressLineNumbers w:val="0"/>
              <w:spacing w:before="0" w:beforeAutospacing="0" w:after="0" w:afterAutospacing="0"/>
              <w:ind w:left="0" w:right="0"/>
              <w:rPr>
                <w:rFonts w:hint="eastAsia" w:ascii="仿宋" w:hAnsi="仿宋" w:eastAsia="仿宋" w:cs="仿宋"/>
                <w:sz w:val="24"/>
                <w:lang w:eastAsia="zh-CN"/>
              </w:rPr>
            </w:pPr>
          </w:p>
        </w:tc>
        <w:tc>
          <w:tcPr>
            <w:tcW w:w="1895" w:type="dxa"/>
            <w:tcBorders>
              <w:top w:val="nil"/>
              <w:left w:val="nil"/>
              <w:bottom w:val="single" w:color="auto" w:sz="4" w:space="0"/>
              <w:right w:val="single" w:color="auto" w:sz="4" w:space="0"/>
            </w:tcBorders>
            <w:vAlign w:val="center"/>
          </w:tcPr>
          <w:p w14:paraId="0F3823F1">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tc>
        <w:tc>
          <w:tcPr>
            <w:tcW w:w="800" w:type="dxa"/>
            <w:tcBorders>
              <w:top w:val="nil"/>
              <w:left w:val="nil"/>
              <w:bottom w:val="single" w:color="auto" w:sz="4" w:space="0"/>
              <w:right w:val="single" w:color="auto" w:sz="4" w:space="0"/>
            </w:tcBorders>
            <w:vAlign w:val="center"/>
          </w:tcPr>
          <w:p w14:paraId="0F7AA56A">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val="en-US" w:eastAsia="zh-CN"/>
              </w:rPr>
              <w:t>法定代表人身份证明或法定代表人授权委托书及被授权人身份证；</w:t>
            </w:r>
          </w:p>
        </w:tc>
        <w:tc>
          <w:tcPr>
            <w:tcW w:w="1125" w:type="dxa"/>
            <w:tcBorders>
              <w:top w:val="nil"/>
              <w:left w:val="nil"/>
              <w:bottom w:val="single" w:color="auto" w:sz="4" w:space="0"/>
              <w:right w:val="single" w:color="auto" w:sz="4" w:space="0"/>
            </w:tcBorders>
            <w:vAlign w:val="center"/>
          </w:tcPr>
          <w:p w14:paraId="7F7AF4D4">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近期（投标截止日期前六个月内任意一个月）依法缴纳社会保障金的缴费证明或银行出具的“银行电子缴纳社会保障金付款凭证”（新成立公司提供相关证明文件）；</w:t>
            </w:r>
          </w:p>
        </w:tc>
        <w:tc>
          <w:tcPr>
            <w:tcW w:w="1638" w:type="dxa"/>
            <w:tcBorders>
              <w:top w:val="nil"/>
              <w:left w:val="nil"/>
              <w:bottom w:val="single" w:color="auto" w:sz="4" w:space="0"/>
              <w:right w:val="single" w:color="auto" w:sz="4" w:space="0"/>
            </w:tcBorders>
            <w:vAlign w:val="center"/>
          </w:tcPr>
          <w:p w14:paraId="64DA79A1">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tc>
        <w:tc>
          <w:tcPr>
            <w:tcW w:w="1187" w:type="dxa"/>
            <w:tcBorders>
              <w:top w:val="nil"/>
              <w:left w:val="nil"/>
              <w:bottom w:val="single" w:color="auto" w:sz="4" w:space="0"/>
              <w:right w:val="single" w:color="auto" w:sz="4" w:space="0"/>
            </w:tcBorders>
            <w:vAlign w:val="center"/>
          </w:tcPr>
          <w:p w14:paraId="23319FFC">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val="en-US" w:eastAsia="zh-CN"/>
              </w:rPr>
              <w:t>具有良好的商业信誉和健全的财务会计制度(2023年或2024年的年度财务审计报告书，2025年成立公司提供银行资信证明)；</w:t>
            </w:r>
          </w:p>
        </w:tc>
        <w:tc>
          <w:tcPr>
            <w:tcW w:w="3350" w:type="dxa"/>
            <w:tcBorders>
              <w:top w:val="nil"/>
              <w:left w:val="nil"/>
              <w:bottom w:val="single" w:color="auto" w:sz="4" w:space="0"/>
              <w:right w:val="single" w:color="auto" w:sz="4" w:space="0"/>
            </w:tcBorders>
            <w:vAlign w:val="center"/>
          </w:tcPr>
          <w:p w14:paraId="79BAEF59">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val="en-US"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tc>
        <w:tc>
          <w:tcPr>
            <w:tcW w:w="1213" w:type="dxa"/>
            <w:tcBorders>
              <w:top w:val="nil"/>
              <w:left w:val="nil"/>
              <w:bottom w:val="single" w:color="auto" w:sz="4" w:space="0"/>
              <w:right w:val="single" w:color="auto" w:sz="4" w:space="0"/>
            </w:tcBorders>
            <w:vAlign w:val="center"/>
          </w:tcPr>
          <w:p w14:paraId="0A71EC8F">
            <w:pPr>
              <w:keepNext w:val="0"/>
              <w:keepLines w:val="0"/>
              <w:suppressLineNumbers w:val="0"/>
              <w:spacing w:before="0" w:beforeAutospacing="0" w:after="0" w:afterAutospacing="0"/>
              <w:ind w:left="0" w:right="0"/>
              <w:jc w:val="center"/>
              <w:rPr>
                <w:rFonts w:hint="default" w:ascii="仿宋" w:hAnsi="仿宋" w:eastAsia="仿宋" w:cs="仿宋"/>
                <w:sz w:val="24"/>
                <w:lang w:val="en-US" w:eastAsia="zh-CN"/>
              </w:rPr>
            </w:pPr>
            <w:r>
              <w:rPr>
                <w:rFonts w:hint="eastAsia" w:ascii="仿宋" w:hAnsi="仿宋" w:eastAsia="仿宋" w:cs="仿宋"/>
                <w:sz w:val="24"/>
                <w:lang w:val="en-US" w:eastAsia="zh-CN"/>
              </w:rPr>
              <w:t>参加政府采购活动前3年内在经营活动中没有重大违法记录的书面声明</w:t>
            </w:r>
          </w:p>
        </w:tc>
        <w:tc>
          <w:tcPr>
            <w:tcW w:w="867" w:type="dxa"/>
            <w:tcBorders>
              <w:top w:val="nil"/>
              <w:left w:val="nil"/>
              <w:bottom w:val="single" w:color="auto" w:sz="4" w:space="0"/>
              <w:right w:val="single" w:color="auto" w:sz="4" w:space="0"/>
            </w:tcBorders>
            <w:vAlign w:val="center"/>
          </w:tcPr>
          <w:p w14:paraId="38517C2D">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val="en-US" w:eastAsia="zh-CN"/>
              </w:rPr>
              <w:t>具有履行合同所必需的设备和专业技术能力的证明材料；</w:t>
            </w:r>
          </w:p>
        </w:tc>
        <w:tc>
          <w:tcPr>
            <w:tcW w:w="880" w:type="dxa"/>
            <w:tcBorders>
              <w:top w:val="nil"/>
              <w:left w:val="nil"/>
              <w:bottom w:val="single" w:color="auto" w:sz="4" w:space="0"/>
              <w:right w:val="single" w:color="auto" w:sz="4" w:space="0"/>
            </w:tcBorders>
            <w:vAlign w:val="center"/>
          </w:tcPr>
          <w:p w14:paraId="0C93B2F9">
            <w:pPr>
              <w:keepNext w:val="0"/>
              <w:keepLines w:val="0"/>
              <w:suppressLineNumbers w:val="0"/>
              <w:spacing w:before="0" w:beforeAutospacing="0" w:after="0" w:afterAutospacing="0"/>
              <w:ind w:left="0" w:right="0"/>
              <w:jc w:val="center"/>
              <w:rPr>
                <w:rFonts w:hint="eastAsia" w:ascii="仿宋" w:hAnsi="仿宋" w:eastAsia="仿宋" w:cs="仿宋"/>
                <w:sz w:val="24"/>
                <w:lang w:val="en-US" w:eastAsia="zh-CN"/>
              </w:rPr>
            </w:pPr>
            <w:r>
              <w:rPr>
                <w:rFonts w:hint="eastAsia" w:ascii="仿宋" w:hAnsi="仿宋" w:eastAsia="仿宋" w:cs="仿宋"/>
                <w:sz w:val="24"/>
                <w:lang w:val="en-US" w:eastAsia="zh-CN"/>
              </w:rPr>
              <w:t>提供针对本次项目《反商业贿赂承诺书》；</w:t>
            </w:r>
          </w:p>
        </w:tc>
        <w:tc>
          <w:tcPr>
            <w:tcW w:w="757" w:type="dxa"/>
            <w:tcBorders>
              <w:top w:val="nil"/>
              <w:left w:val="nil"/>
              <w:bottom w:val="single" w:color="auto" w:sz="4" w:space="0"/>
              <w:right w:val="single" w:color="auto" w:sz="4" w:space="0"/>
            </w:tcBorders>
            <w:vAlign w:val="center"/>
          </w:tcPr>
          <w:p w14:paraId="4F90EF82">
            <w:pPr>
              <w:keepNext w:val="0"/>
              <w:keepLines w:val="0"/>
              <w:suppressLineNumbers w:val="0"/>
              <w:spacing w:before="0" w:beforeAutospacing="0" w:after="0" w:afterAutospacing="0"/>
              <w:ind w:left="0" w:right="0"/>
              <w:jc w:val="center"/>
              <w:rPr>
                <w:rFonts w:hint="eastAsia" w:ascii="仿宋" w:hAnsi="仿宋" w:eastAsia="仿宋" w:cs="仿宋"/>
                <w:sz w:val="24"/>
                <w:lang w:val="en-US" w:eastAsia="zh-CN"/>
              </w:rPr>
            </w:pPr>
          </w:p>
        </w:tc>
      </w:tr>
    </w:tbl>
    <w:p w14:paraId="5EE3AFE4">
      <w:pPr>
        <w:pStyle w:val="9"/>
        <w:rPr>
          <w:rFonts w:hint="eastAsia"/>
        </w:rPr>
        <w:sectPr>
          <w:pgSz w:w="16840" w:h="11910" w:orient="landscape"/>
          <w:pgMar w:top="1440" w:right="1800" w:bottom="1440" w:left="1800" w:header="0" w:footer="993" w:gutter="0"/>
          <w:pgBorders>
            <w:top w:val="none" w:sz="0" w:space="0"/>
            <w:left w:val="none" w:sz="0" w:space="0"/>
            <w:bottom w:val="none" w:sz="0" w:space="0"/>
            <w:right w:val="none" w:sz="0" w:space="0"/>
          </w:pgBorders>
          <w:pgNumType w:fmt="decimal"/>
          <w:cols w:space="720" w:num="1"/>
        </w:sectPr>
      </w:pPr>
    </w:p>
    <w:bookmarkEnd w:id="448"/>
    <w:bookmarkEnd w:id="449"/>
    <w:bookmarkEnd w:id="450"/>
    <w:bookmarkEnd w:id="451"/>
    <w:p w14:paraId="56E4BDCD">
      <w:pPr>
        <w:pStyle w:val="2"/>
      </w:pPr>
      <w:bookmarkStart w:id="452" w:name="_Toc25145"/>
      <w:bookmarkStart w:id="453" w:name="_Toc9003"/>
      <w:r>
        <w:rPr>
          <w:rFonts w:hint="eastAsia"/>
        </w:rPr>
        <w:t>第5章  项目服务需求</w:t>
      </w:r>
      <w:bookmarkEnd w:id="452"/>
      <w:bookmarkEnd w:id="453"/>
    </w:p>
    <w:p w14:paraId="467323BD">
      <w:pPr>
        <w:pStyle w:val="38"/>
        <w:ind w:firstLine="0" w:firstLineChars="0"/>
        <w:rPr>
          <w:rFonts w:hint="eastAsia" w:ascii="仿宋" w:hAnsi="仿宋" w:eastAsia="仿宋"/>
          <w:b/>
          <w:bCs/>
          <w:highlight w:val="none"/>
          <w:lang w:eastAsia="zh-CN"/>
        </w:rPr>
      </w:pPr>
      <w:r>
        <w:rPr>
          <w:rFonts w:hint="eastAsia" w:ascii="仿宋" w:hAnsi="仿宋" w:eastAsia="仿宋"/>
          <w:b/>
          <w:bCs/>
          <w:highlight w:val="none"/>
        </w:rPr>
        <w:t>项目名称：</w:t>
      </w:r>
      <w:r>
        <w:rPr>
          <w:rFonts w:hint="eastAsia" w:ascii="仿宋" w:hAnsi="仿宋" w:eastAsia="仿宋"/>
          <w:b/>
          <w:bCs/>
          <w:highlight w:val="none"/>
          <w:lang w:eastAsia="zh-CN"/>
        </w:rPr>
        <w:t>莎车县促进各民族交往交流交融（浦莎乐巴扎）项目</w:t>
      </w:r>
    </w:p>
    <w:p w14:paraId="0875A155">
      <w:pPr>
        <w:pStyle w:val="38"/>
        <w:ind w:firstLine="0" w:firstLineChars="0"/>
        <w:rPr>
          <w:rFonts w:hint="eastAsia" w:ascii="仿宋" w:hAnsi="仿宋" w:eastAsia="仿宋"/>
          <w:b/>
          <w:bCs/>
          <w:highlight w:val="none"/>
          <w:lang w:eastAsia="zh-CN"/>
        </w:rPr>
      </w:pPr>
      <w:r>
        <w:rPr>
          <w:rFonts w:hint="eastAsia" w:ascii="仿宋" w:hAnsi="仿宋" w:eastAsia="仿宋"/>
          <w:b/>
          <w:bCs/>
          <w:highlight w:val="none"/>
        </w:rPr>
        <w:t>项目编号：HRYX(SCCGGK)</w:t>
      </w:r>
      <w:r>
        <w:rPr>
          <w:rFonts w:hint="eastAsia" w:ascii="仿宋" w:hAnsi="仿宋" w:eastAsia="仿宋"/>
          <w:b/>
          <w:bCs/>
          <w:highlight w:val="none"/>
          <w:lang w:eastAsia="zh-CN"/>
        </w:rPr>
        <w:t>2025</w:t>
      </w:r>
      <w:r>
        <w:rPr>
          <w:rFonts w:hint="eastAsia" w:ascii="仿宋" w:hAnsi="仿宋" w:eastAsia="仿宋"/>
          <w:b/>
          <w:bCs/>
          <w:highlight w:val="none"/>
        </w:rPr>
        <w:t>-00</w:t>
      </w:r>
      <w:r>
        <w:rPr>
          <w:rFonts w:hint="eastAsia" w:ascii="仿宋" w:hAnsi="仿宋" w:eastAsia="仿宋"/>
          <w:b/>
          <w:bCs/>
          <w:highlight w:val="none"/>
          <w:lang w:val="en-US" w:eastAsia="zh-CN"/>
        </w:rPr>
        <w:t>2</w:t>
      </w:r>
    </w:p>
    <w:p w14:paraId="1B4074F3">
      <w:pPr>
        <w:pStyle w:val="38"/>
        <w:ind w:firstLine="0" w:firstLineChars="0"/>
        <w:rPr>
          <w:b/>
          <w:bCs/>
          <w:highlight w:val="none"/>
        </w:rPr>
      </w:pPr>
      <w:r>
        <w:rPr>
          <w:rFonts w:hint="eastAsia" w:ascii="仿宋" w:hAnsi="仿宋" w:eastAsia="仿宋"/>
          <w:b/>
          <w:bCs/>
          <w:highlight w:val="none"/>
        </w:rPr>
        <w:t>项目投资总额200万元，项目资金来源为援疆资金</w:t>
      </w:r>
      <w:r>
        <w:rPr>
          <w:rFonts w:hint="eastAsia"/>
          <w:b/>
          <w:bCs/>
          <w:highlight w:val="none"/>
        </w:rPr>
        <w:t>。</w:t>
      </w:r>
    </w:p>
    <w:p w14:paraId="60264746">
      <w:pPr>
        <w:pStyle w:val="38"/>
        <w:ind w:firstLine="0" w:firstLineChars="0"/>
        <w:rPr>
          <w:rFonts w:ascii="仿宋" w:hAnsi="仿宋" w:eastAsia="仿宋" w:cs="仿宋"/>
          <w:sz w:val="22"/>
          <w:szCs w:val="22"/>
          <w:highlight w:val="none"/>
        </w:rPr>
      </w:pPr>
      <w:r>
        <w:rPr>
          <w:rFonts w:hint="eastAsia" w:ascii="仿宋" w:hAnsi="仿宋" w:eastAsia="仿宋" w:cs="仿宋"/>
          <w:b/>
          <w:bCs/>
          <w:highlight w:val="none"/>
        </w:rPr>
        <w:t>投标企业资格要求：按照须知表内要求。</w:t>
      </w:r>
    </w:p>
    <w:p w14:paraId="00A828B3">
      <w:pPr>
        <w:spacing w:line="360" w:lineRule="auto"/>
        <w:jc w:val="left"/>
        <w:rPr>
          <w:rFonts w:ascii="仿宋" w:hAnsi="仿宋" w:eastAsia="仿宋" w:cs="仿宋"/>
          <w:b/>
          <w:bCs/>
          <w:sz w:val="28"/>
          <w:szCs w:val="36"/>
        </w:rPr>
      </w:pPr>
      <w:r>
        <w:rPr>
          <w:rFonts w:hint="eastAsia" w:ascii="仿宋" w:hAnsi="仿宋" w:eastAsia="仿宋" w:cs="仿宋"/>
          <w:b/>
          <w:bCs/>
        </w:rPr>
        <w:t>一、</w:t>
      </w:r>
      <w:r>
        <w:rPr>
          <w:rFonts w:hint="eastAsia" w:ascii="仿宋" w:hAnsi="仿宋" w:eastAsia="仿宋" w:cs="仿宋"/>
          <w:b/>
          <w:bCs/>
          <w:sz w:val="28"/>
          <w:szCs w:val="36"/>
        </w:rPr>
        <w:t>项目概括：</w:t>
      </w:r>
    </w:p>
    <w:p w14:paraId="536C273D">
      <w:pPr>
        <w:spacing w:line="360" w:lineRule="auto"/>
        <w:ind w:firstLine="281" w:firstLineChars="100"/>
        <w:jc w:val="left"/>
        <w:rPr>
          <w:rFonts w:hint="eastAsia" w:ascii="仿宋" w:hAnsi="仿宋" w:eastAsia="仿宋" w:cs="仿宋"/>
          <w:b/>
          <w:bCs/>
          <w:sz w:val="28"/>
          <w:szCs w:val="28"/>
        </w:rPr>
      </w:pPr>
      <w:r>
        <w:rPr>
          <w:rFonts w:hint="eastAsia" w:ascii="仿宋" w:hAnsi="仿宋" w:eastAsia="仿宋" w:cs="仿宋"/>
          <w:b/>
          <w:bCs/>
          <w:sz w:val="28"/>
          <w:szCs w:val="28"/>
        </w:rPr>
        <w:t>一）、招标内容</w:t>
      </w:r>
    </w:p>
    <w:p w14:paraId="61EFAF3C">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采购一批上海浦东美食文化交流活动保障服务，主要对活动策划、执行、人员交通食宿等进行服务保障，预算资金200万元。</w:t>
      </w:r>
    </w:p>
    <w:p w14:paraId="3D99F151">
      <w:pPr>
        <w:spacing w:line="360" w:lineRule="auto"/>
        <w:ind w:firstLine="281" w:firstLineChars="100"/>
        <w:jc w:val="left"/>
        <w:rPr>
          <w:rFonts w:hint="eastAsia" w:ascii="仿宋" w:hAnsi="仿宋" w:eastAsia="仿宋" w:cs="仿宋"/>
          <w:b/>
          <w:bCs/>
          <w:sz w:val="28"/>
          <w:szCs w:val="28"/>
        </w:rPr>
      </w:pPr>
      <w:r>
        <w:rPr>
          <w:rFonts w:hint="eastAsia" w:ascii="仿宋" w:hAnsi="仿宋" w:eastAsia="仿宋" w:cs="仿宋"/>
          <w:b/>
          <w:bCs/>
          <w:sz w:val="28"/>
          <w:szCs w:val="28"/>
        </w:rPr>
        <w:t>二）、招标要求</w:t>
      </w:r>
    </w:p>
    <w:p w14:paraId="3386FCC2">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（一）活动主题</w:t>
      </w:r>
    </w:p>
    <w:p w14:paraId="4B4F4167">
      <w:pPr>
        <w:spacing w:line="360" w:lineRule="auto"/>
        <w:ind w:firstLine="560" w:firstLineChars="200"/>
        <w:jc w:val="left"/>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rPr>
        <w:t>浦·莎乐</w:t>
      </w:r>
      <w:r>
        <w:rPr>
          <w:rFonts w:hint="eastAsia" w:ascii="仿宋" w:hAnsi="仿宋" w:eastAsia="仿宋" w:cs="仿宋"/>
          <w:sz w:val="28"/>
          <w:szCs w:val="28"/>
          <w:highlight w:val="none"/>
          <w:lang w:val="en-US" w:eastAsia="zh-CN"/>
        </w:rPr>
        <w:t>巴扎</w:t>
      </w: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5年</w:t>
      </w:r>
      <w:r>
        <w:rPr>
          <w:rFonts w:hint="eastAsia" w:ascii="仿宋" w:hAnsi="仿宋" w:eastAsia="仿宋" w:cs="仿宋"/>
          <w:sz w:val="28"/>
          <w:szCs w:val="28"/>
          <w:highlight w:val="none"/>
          <w:lang w:eastAsia="zh-CN"/>
        </w:rPr>
        <w:t>第二届</w:t>
      </w:r>
      <w:r>
        <w:rPr>
          <w:rFonts w:hint="eastAsia" w:ascii="仿宋" w:hAnsi="仿宋" w:eastAsia="仿宋" w:cs="仿宋"/>
          <w:sz w:val="28"/>
          <w:szCs w:val="28"/>
          <w:highlight w:val="none"/>
        </w:rPr>
        <w:t>美韵莎车美食文化节</w:t>
      </w:r>
      <w:r>
        <w:rPr>
          <w:rFonts w:hint="eastAsia" w:ascii="仿宋" w:hAnsi="仿宋" w:eastAsia="仿宋" w:cs="仿宋"/>
          <w:sz w:val="28"/>
          <w:szCs w:val="28"/>
          <w:highlight w:val="none"/>
          <w:lang w:eastAsia="zh-CN"/>
        </w:rPr>
        <w:t>（暂定）</w:t>
      </w:r>
    </w:p>
    <w:p w14:paraId="59DACB5F">
      <w:pPr>
        <w:spacing w:line="360" w:lineRule="auto"/>
        <w:ind w:firstLine="560" w:firstLineChars="2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（二）活动时间</w:t>
      </w:r>
    </w:p>
    <w:p w14:paraId="7723E3F4">
      <w:pPr>
        <w:spacing w:line="360" w:lineRule="auto"/>
        <w:ind w:firstLine="560" w:firstLineChars="2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8</w:t>
      </w:r>
      <w:r>
        <w:rPr>
          <w:rFonts w:hint="eastAsia" w:ascii="仿宋" w:hAnsi="仿宋" w:eastAsia="仿宋" w:cs="仿宋"/>
          <w:sz w:val="28"/>
          <w:szCs w:val="28"/>
          <w:highlight w:val="none"/>
        </w:rPr>
        <w:t>月，为期5天</w:t>
      </w:r>
      <w:r>
        <w:rPr>
          <w:rFonts w:hint="eastAsia" w:ascii="仿宋" w:hAnsi="仿宋" w:eastAsia="仿宋" w:cs="仿宋"/>
          <w:sz w:val="28"/>
          <w:szCs w:val="28"/>
          <w:highlight w:val="none"/>
          <w:lang w:eastAsia="zh-CN"/>
        </w:rPr>
        <w:t>（实际时间以甲方确定为准）</w:t>
      </w:r>
      <w:r>
        <w:rPr>
          <w:rFonts w:hint="eastAsia" w:ascii="仿宋" w:hAnsi="仿宋" w:eastAsia="仿宋" w:cs="仿宋"/>
          <w:sz w:val="28"/>
          <w:szCs w:val="28"/>
          <w:highlight w:val="none"/>
        </w:rPr>
        <w:t>。</w:t>
      </w:r>
    </w:p>
    <w:p w14:paraId="0C5B8E43">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（三）活动地点</w:t>
      </w:r>
    </w:p>
    <w:p w14:paraId="7F051E7C">
      <w:pPr>
        <w:spacing w:line="360" w:lineRule="auto"/>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上海市浦东新区</w:t>
      </w:r>
      <w:r>
        <w:rPr>
          <w:rFonts w:hint="eastAsia" w:ascii="仿宋" w:hAnsi="仿宋" w:eastAsia="仿宋" w:cs="仿宋"/>
          <w:sz w:val="28"/>
          <w:szCs w:val="28"/>
          <w:lang w:val="en-US" w:eastAsia="zh-CN"/>
        </w:rPr>
        <w:t>周浦镇</w:t>
      </w:r>
    </w:p>
    <w:p w14:paraId="2290E7CE">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（四）活动内容</w:t>
      </w:r>
    </w:p>
    <w:p w14:paraId="19428B29">
      <w:pPr>
        <w:spacing w:line="360" w:lineRule="auto"/>
        <w:ind w:firstLine="560" w:firstLineChars="200"/>
        <w:jc w:val="left"/>
        <w:rPr>
          <w:rFonts w:hint="eastAsia" w:ascii="仿宋" w:hAnsi="仿宋" w:eastAsia="仿宋" w:cs="仿宋"/>
          <w:sz w:val="28"/>
          <w:szCs w:val="28"/>
          <w:highlight w:val="none"/>
        </w:rPr>
      </w:pPr>
      <w:r>
        <w:rPr>
          <w:rFonts w:hint="eastAsia" w:ascii="仿宋" w:hAnsi="仿宋" w:eastAsia="仿宋" w:cs="仿宋"/>
          <w:sz w:val="28"/>
          <w:szCs w:val="28"/>
        </w:rPr>
        <w:t>打造沉浸式集市一处，市集功能区分别为:</w:t>
      </w:r>
      <w:r>
        <w:rPr>
          <w:rFonts w:hint="eastAsia" w:ascii="仿宋" w:hAnsi="仿宋" w:eastAsia="仿宋" w:cs="仿宋"/>
          <w:sz w:val="28"/>
          <w:szCs w:val="28"/>
          <w:lang w:val="en-US" w:eastAsia="zh-CN"/>
        </w:rPr>
        <w:t xml:space="preserve"> 舞台区</w:t>
      </w:r>
      <w:r>
        <w:rPr>
          <w:rFonts w:hint="eastAsia" w:ascii="仿宋" w:hAnsi="仿宋" w:eastAsia="仿宋" w:cs="仿宋"/>
          <w:sz w:val="28"/>
          <w:szCs w:val="28"/>
        </w:rPr>
        <w:t>、</w:t>
      </w:r>
      <w:r>
        <w:rPr>
          <w:rFonts w:hint="eastAsia" w:ascii="仿宋" w:hAnsi="仿宋" w:eastAsia="仿宋" w:cs="仿宋"/>
          <w:sz w:val="28"/>
          <w:szCs w:val="28"/>
          <w:lang w:val="en-US" w:eastAsia="zh-CN"/>
        </w:rPr>
        <w:t>巡演区、</w:t>
      </w:r>
      <w:r>
        <w:rPr>
          <w:rFonts w:hint="eastAsia" w:ascii="仿宋" w:hAnsi="仿宋" w:eastAsia="仿宋" w:cs="仿宋"/>
          <w:sz w:val="28"/>
          <w:szCs w:val="28"/>
        </w:rPr>
        <w:t>摊位区、</w:t>
      </w:r>
      <w:r>
        <w:rPr>
          <w:rFonts w:hint="eastAsia" w:ascii="仿宋" w:hAnsi="仿宋" w:eastAsia="仿宋" w:cs="仿宋"/>
          <w:sz w:val="28"/>
          <w:szCs w:val="28"/>
          <w:lang w:val="en-US" w:eastAsia="zh-CN"/>
        </w:rPr>
        <w:t>打卡</w:t>
      </w:r>
      <w:r>
        <w:rPr>
          <w:rFonts w:hint="eastAsia" w:ascii="仿宋" w:hAnsi="仿宋" w:eastAsia="仿宋" w:cs="仿宋"/>
          <w:sz w:val="28"/>
          <w:szCs w:val="28"/>
        </w:rPr>
        <w:t>区。其中：</w:t>
      </w:r>
      <w:r>
        <w:rPr>
          <w:rFonts w:hint="eastAsia" w:ascii="仿宋" w:hAnsi="仿宋" w:eastAsia="仿宋" w:cs="仿宋"/>
          <w:sz w:val="28"/>
          <w:szCs w:val="28"/>
          <w:highlight w:val="none"/>
        </w:rPr>
        <w:t>（具体展出形式及内容需与甲方沟通确定后实施）</w:t>
      </w:r>
    </w:p>
    <w:p w14:paraId="542C92BA">
      <w:pPr>
        <w:spacing w:line="360" w:lineRule="auto"/>
        <w:ind w:firstLine="562" w:firstLineChars="200"/>
        <w:jc w:val="left"/>
        <w:rPr>
          <w:rFonts w:hint="eastAsia" w:ascii="仿宋" w:hAnsi="仿宋" w:eastAsia="仿宋" w:cs="仿宋"/>
          <w:sz w:val="28"/>
          <w:szCs w:val="28"/>
        </w:rPr>
      </w:pPr>
      <w:r>
        <w:rPr>
          <w:rFonts w:hint="eastAsia" w:ascii="仿宋" w:hAnsi="仿宋" w:eastAsia="仿宋" w:cs="仿宋"/>
          <w:b/>
          <w:bCs/>
          <w:sz w:val="28"/>
          <w:szCs w:val="28"/>
          <w:lang w:val="en-US" w:eastAsia="zh-CN"/>
        </w:rPr>
        <w:t>舞台区</w:t>
      </w:r>
      <w:r>
        <w:rPr>
          <w:rFonts w:hint="eastAsia" w:ascii="仿宋" w:hAnsi="仿宋" w:eastAsia="仿宋" w:cs="仿宋"/>
          <w:b/>
          <w:bCs/>
          <w:sz w:val="28"/>
          <w:szCs w:val="28"/>
        </w:rPr>
        <w:t>:</w:t>
      </w:r>
      <w:r>
        <w:rPr>
          <w:rFonts w:hint="eastAsia" w:ascii="仿宋" w:hAnsi="仿宋" w:eastAsia="仿宋" w:cs="仿宋"/>
          <w:b/>
          <w:bCs/>
          <w:sz w:val="28"/>
          <w:szCs w:val="28"/>
          <w:lang w:val="en-US" w:eastAsia="zh-CN"/>
        </w:rPr>
        <w:t xml:space="preserve"> </w:t>
      </w:r>
      <w:r>
        <w:rPr>
          <w:rFonts w:hint="eastAsia" w:ascii="仿宋" w:hAnsi="仿宋" w:eastAsia="仿宋" w:cs="仿宋"/>
          <w:sz w:val="28"/>
          <w:szCs w:val="28"/>
        </w:rPr>
        <w:t>作</w:t>
      </w:r>
      <w:r>
        <w:rPr>
          <w:rFonts w:hint="eastAsia" w:ascii="仿宋" w:hAnsi="仿宋" w:eastAsia="仿宋" w:cs="仿宋"/>
          <w:sz w:val="28"/>
          <w:szCs w:val="28"/>
          <w:lang w:val="en-US" w:eastAsia="zh-CN"/>
        </w:rPr>
        <w:t>开幕仪式</w:t>
      </w:r>
      <w:r>
        <w:rPr>
          <w:rFonts w:hint="eastAsia" w:ascii="仿宋" w:hAnsi="仿宋" w:eastAsia="仿宋" w:cs="仿宋"/>
          <w:sz w:val="28"/>
          <w:szCs w:val="28"/>
        </w:rPr>
        <w:t>、</w:t>
      </w:r>
      <w:r>
        <w:rPr>
          <w:rFonts w:hint="eastAsia" w:ascii="仿宋" w:hAnsi="仿宋" w:eastAsia="仿宋" w:cs="仿宋"/>
          <w:sz w:val="28"/>
          <w:szCs w:val="28"/>
          <w:lang w:val="en-US" w:eastAsia="zh-CN"/>
        </w:rPr>
        <w:t>每日表演</w:t>
      </w:r>
      <w:r>
        <w:rPr>
          <w:rFonts w:hint="eastAsia" w:ascii="仿宋" w:hAnsi="仿宋" w:eastAsia="仿宋" w:cs="仿宋"/>
          <w:sz w:val="28"/>
          <w:szCs w:val="28"/>
        </w:rPr>
        <w:t>等;</w:t>
      </w:r>
    </w:p>
    <w:p w14:paraId="3F4CF7FF">
      <w:pPr>
        <w:pStyle w:val="9"/>
        <w:ind w:left="0" w:leftChars="0" w:firstLine="562" w:firstLineChars="200"/>
        <w:rPr>
          <w:rFonts w:hint="eastAsia" w:ascii="仿宋" w:hAnsi="仿宋" w:eastAsia="仿宋" w:cs="仿宋"/>
          <w:sz w:val="28"/>
          <w:szCs w:val="28"/>
          <w:lang w:val="en-US" w:eastAsia="zh-CN"/>
        </w:rPr>
      </w:pPr>
      <w:r>
        <w:rPr>
          <w:rFonts w:hint="eastAsia" w:ascii="仿宋" w:hAnsi="仿宋" w:eastAsia="仿宋" w:cs="仿宋"/>
          <w:b/>
          <w:bCs/>
          <w:kern w:val="2"/>
          <w:sz w:val="28"/>
          <w:szCs w:val="28"/>
          <w:lang w:val="en-US" w:eastAsia="zh-CN" w:bidi="ar-SA"/>
        </w:rPr>
        <w:t>巡演区：</w:t>
      </w:r>
      <w:r>
        <w:rPr>
          <w:rFonts w:hint="eastAsia" w:ascii="仿宋" w:hAnsi="仿宋" w:eastAsia="仿宋" w:cs="仿宋"/>
          <w:sz w:val="28"/>
          <w:szCs w:val="28"/>
          <w:lang w:val="en-US" w:eastAsia="zh-CN"/>
        </w:rPr>
        <w:t>作开市仪式、舞队快闪等；</w:t>
      </w:r>
    </w:p>
    <w:p w14:paraId="4E8AEB0F">
      <w:pPr>
        <w:rPr>
          <w:rFonts w:hint="eastAsia"/>
          <w:lang w:val="en-US" w:eastAsia="zh-CN"/>
        </w:rPr>
      </w:pPr>
    </w:p>
    <w:p w14:paraId="38EB992C">
      <w:pPr>
        <w:spacing w:line="360" w:lineRule="auto"/>
        <w:ind w:firstLine="562" w:firstLineChars="200"/>
        <w:jc w:val="left"/>
        <w:rPr>
          <w:rFonts w:hint="eastAsia" w:ascii="仿宋" w:hAnsi="仿宋" w:eastAsia="仿宋" w:cs="仿宋"/>
          <w:sz w:val="28"/>
          <w:szCs w:val="28"/>
        </w:rPr>
      </w:pPr>
      <w:r>
        <w:rPr>
          <w:rFonts w:hint="eastAsia" w:ascii="仿宋" w:hAnsi="仿宋" w:eastAsia="仿宋" w:cs="仿宋"/>
          <w:b/>
          <w:bCs/>
          <w:sz w:val="28"/>
          <w:szCs w:val="28"/>
        </w:rPr>
        <w:t>摊位区:</w:t>
      </w:r>
      <w:r>
        <w:rPr>
          <w:rFonts w:hint="eastAsia" w:ascii="仿宋" w:hAnsi="仿宋" w:eastAsia="仿宋" w:cs="仿宋"/>
          <w:b/>
          <w:bCs/>
          <w:sz w:val="28"/>
          <w:szCs w:val="28"/>
          <w:lang w:val="en-US" w:eastAsia="zh-CN"/>
        </w:rPr>
        <w:t xml:space="preserve"> </w:t>
      </w:r>
      <w:r>
        <w:rPr>
          <w:rFonts w:hint="eastAsia" w:ascii="仿宋" w:hAnsi="仿宋" w:eastAsia="仿宋" w:cs="仿宋"/>
          <w:sz w:val="28"/>
          <w:szCs w:val="28"/>
        </w:rPr>
        <w:t>含美食摊位等;</w:t>
      </w:r>
    </w:p>
    <w:p w14:paraId="23D7F484">
      <w:pPr>
        <w:spacing w:line="360" w:lineRule="auto"/>
        <w:ind w:firstLine="562" w:firstLineChars="200"/>
        <w:jc w:val="left"/>
        <w:rPr>
          <w:rFonts w:hint="eastAsia" w:ascii="仿宋" w:hAnsi="仿宋" w:eastAsia="仿宋" w:cs="仿宋"/>
          <w:sz w:val="28"/>
          <w:szCs w:val="28"/>
        </w:rPr>
      </w:pPr>
      <w:r>
        <w:rPr>
          <w:rFonts w:hint="eastAsia" w:ascii="仿宋" w:hAnsi="仿宋" w:eastAsia="仿宋" w:cs="仿宋"/>
          <w:b/>
          <w:bCs/>
          <w:sz w:val="28"/>
          <w:szCs w:val="28"/>
          <w:lang w:val="en-US" w:eastAsia="zh-CN"/>
        </w:rPr>
        <w:t>打卡</w:t>
      </w:r>
      <w:r>
        <w:rPr>
          <w:rFonts w:hint="eastAsia" w:ascii="仿宋" w:hAnsi="仿宋" w:eastAsia="仿宋" w:cs="仿宋"/>
          <w:b/>
          <w:bCs/>
          <w:sz w:val="28"/>
          <w:szCs w:val="28"/>
        </w:rPr>
        <w:t>区:</w:t>
      </w:r>
      <w:r>
        <w:rPr>
          <w:rFonts w:hint="eastAsia" w:ascii="仿宋" w:hAnsi="仿宋" w:eastAsia="仿宋" w:cs="仿宋"/>
          <w:b w:val="0"/>
          <w:bCs w:val="0"/>
          <w:sz w:val="28"/>
          <w:szCs w:val="28"/>
          <w:lang w:val="en-US" w:eastAsia="zh-CN"/>
        </w:rPr>
        <w:t xml:space="preserve"> 设置莎车及周浦人文打卡点</w:t>
      </w:r>
      <w:r>
        <w:rPr>
          <w:rFonts w:hint="eastAsia" w:ascii="仿宋" w:hAnsi="仿宋" w:eastAsia="仿宋" w:cs="仿宋"/>
          <w:sz w:val="28"/>
          <w:szCs w:val="28"/>
        </w:rPr>
        <w:t>。</w:t>
      </w:r>
    </w:p>
    <w:p w14:paraId="7BF2FB4C">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（五）摊位布置</w:t>
      </w:r>
    </w:p>
    <w:p w14:paraId="2578D7A5">
      <w:pPr>
        <w:spacing w:line="360" w:lineRule="auto"/>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市集计划</w:t>
      </w:r>
      <w:r>
        <w:rPr>
          <w:rFonts w:hint="eastAsia" w:ascii="仿宋" w:hAnsi="仿宋" w:eastAsia="仿宋" w:cs="仿宋"/>
          <w:sz w:val="28"/>
          <w:szCs w:val="28"/>
          <w:lang w:val="en-US" w:eastAsia="zh-CN"/>
        </w:rPr>
        <w:t>使用周浦镇不少于约1600</w:t>
      </w:r>
      <w:r>
        <w:rPr>
          <w:rFonts w:hint="eastAsia" w:ascii="仿宋" w:hAnsi="仿宋" w:eastAsia="仿宋" w:cs="仿宋"/>
          <w:sz w:val="28"/>
          <w:szCs w:val="28"/>
        </w:rPr>
        <w:t>平方米面积,展位具体要求如下：</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尺寸待定）</w:t>
      </w:r>
    </w:p>
    <w:p w14:paraId="50AAE660">
      <w:pPr>
        <w:spacing w:line="360" w:lineRule="auto"/>
        <w:ind w:firstLine="560" w:firstLineChars="200"/>
        <w:jc w:val="left"/>
        <w:rPr>
          <w:rFonts w:hint="eastAsia" w:ascii="仿宋" w:hAnsi="仿宋" w:eastAsia="仿宋" w:cs="仿宋"/>
          <w:color w:val="auto"/>
          <w:sz w:val="28"/>
          <w:szCs w:val="28"/>
          <w:u w:val="none"/>
          <w:lang w:eastAsia="zh-CN"/>
        </w:rPr>
      </w:pPr>
      <w:r>
        <w:rPr>
          <w:rFonts w:hint="eastAsia" w:ascii="仿宋" w:hAnsi="仿宋" w:eastAsia="仿宋" w:cs="仿宋"/>
          <w:sz w:val="28"/>
          <w:szCs w:val="28"/>
        </w:rPr>
        <w:t>1、门头：使用</w:t>
      </w:r>
      <w:r>
        <w:rPr>
          <w:rFonts w:hint="eastAsia" w:ascii="仿宋" w:hAnsi="仿宋" w:eastAsia="仿宋" w:cs="仿宋"/>
          <w:sz w:val="28"/>
          <w:szCs w:val="28"/>
          <w:lang w:val="en-US" w:eastAsia="zh-CN"/>
        </w:rPr>
        <w:t>莎车老城</w:t>
      </w:r>
      <w:r>
        <w:rPr>
          <w:rFonts w:hint="eastAsia" w:ascii="仿宋" w:hAnsi="仿宋" w:eastAsia="仿宋" w:cs="仿宋"/>
          <w:sz w:val="28"/>
          <w:szCs w:val="28"/>
        </w:rPr>
        <w:t>城门形</w:t>
      </w:r>
      <w:r>
        <w:rPr>
          <w:rFonts w:hint="eastAsia" w:ascii="仿宋" w:hAnsi="仿宋" w:eastAsia="仿宋" w:cs="仿宋"/>
          <w:color w:val="auto"/>
          <w:sz w:val="28"/>
          <w:szCs w:val="28"/>
          <w:u w:val="none"/>
        </w:rPr>
        <w:t>状</w:t>
      </w:r>
      <w:r>
        <w:rPr>
          <w:rFonts w:hint="eastAsia" w:ascii="仿宋" w:hAnsi="仿宋" w:eastAsia="仿宋" w:cs="仿宋"/>
          <w:color w:val="auto"/>
          <w:sz w:val="28"/>
          <w:szCs w:val="28"/>
          <w:u w:val="none"/>
          <w:lang w:eastAsia="zh-CN"/>
        </w:rPr>
        <w:t>，</w:t>
      </w:r>
      <w:r>
        <w:rPr>
          <w:rFonts w:hint="eastAsia" w:ascii="仿宋" w:hAnsi="仿宋" w:eastAsia="仿宋" w:cs="仿宋"/>
          <w:color w:val="auto"/>
          <w:sz w:val="28"/>
          <w:szCs w:val="28"/>
          <w:u w:val="none"/>
          <w:lang w:val="en-US" w:eastAsia="zh-CN"/>
        </w:rPr>
        <w:t>总长度不低于12m</w:t>
      </w:r>
      <w:r>
        <w:rPr>
          <w:rFonts w:hint="eastAsia" w:ascii="仿宋" w:hAnsi="仿宋" w:eastAsia="仿宋" w:cs="仿宋"/>
          <w:color w:val="auto"/>
          <w:sz w:val="28"/>
          <w:szCs w:val="28"/>
          <w:u w:val="none"/>
          <w:lang w:eastAsia="zh-CN"/>
        </w:rPr>
        <w:t>；</w:t>
      </w:r>
    </w:p>
    <w:p w14:paraId="00667685">
      <w:p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2、</w:t>
      </w:r>
      <w:r>
        <w:rPr>
          <w:rFonts w:hint="eastAsia" w:ascii="仿宋" w:hAnsi="仿宋" w:eastAsia="仿宋" w:cs="仿宋"/>
          <w:color w:val="auto"/>
          <w:sz w:val="28"/>
          <w:szCs w:val="28"/>
          <w:u w:val="none"/>
          <w:lang w:val="en-US" w:eastAsia="zh-CN"/>
        </w:rPr>
        <w:t>美食</w:t>
      </w:r>
      <w:r>
        <w:rPr>
          <w:rFonts w:hint="eastAsia" w:ascii="仿宋" w:hAnsi="仿宋" w:eastAsia="仿宋" w:cs="仿宋"/>
          <w:color w:val="auto"/>
          <w:sz w:val="28"/>
          <w:szCs w:val="28"/>
          <w:u w:val="none"/>
        </w:rPr>
        <w:t>摊位:尺寸不低于</w:t>
      </w:r>
      <w:r>
        <w:rPr>
          <w:rFonts w:hint="eastAsia" w:ascii="仿宋" w:hAnsi="仿宋" w:eastAsia="仿宋" w:cs="仿宋"/>
          <w:color w:val="auto"/>
          <w:sz w:val="28"/>
          <w:szCs w:val="28"/>
          <w:u w:val="none"/>
          <w:lang w:val="en-US" w:eastAsia="zh-CN"/>
        </w:rPr>
        <w:t>3</w:t>
      </w:r>
      <w:r>
        <w:rPr>
          <w:rFonts w:hint="eastAsia" w:ascii="仿宋" w:hAnsi="仿宋" w:eastAsia="仿宋" w:cs="仿宋"/>
          <w:color w:val="auto"/>
          <w:sz w:val="28"/>
          <w:szCs w:val="28"/>
          <w:u w:val="none"/>
        </w:rPr>
        <w:t>m*</w:t>
      </w:r>
      <w:r>
        <w:rPr>
          <w:rFonts w:hint="eastAsia" w:ascii="仿宋" w:hAnsi="仿宋" w:eastAsia="仿宋" w:cs="仿宋"/>
          <w:color w:val="auto"/>
          <w:sz w:val="28"/>
          <w:szCs w:val="28"/>
          <w:u w:val="none"/>
          <w:lang w:val="en-US" w:eastAsia="zh-CN"/>
        </w:rPr>
        <w:t>3</w:t>
      </w:r>
      <w:r>
        <w:rPr>
          <w:rFonts w:hint="eastAsia" w:ascii="仿宋" w:hAnsi="仿宋" w:eastAsia="仿宋" w:cs="仿宋"/>
          <w:color w:val="auto"/>
          <w:sz w:val="28"/>
          <w:szCs w:val="28"/>
          <w:u w:val="none"/>
        </w:rPr>
        <w:t>m。</w:t>
      </w:r>
    </w:p>
    <w:p w14:paraId="0D27BBDB">
      <w:p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3、</w:t>
      </w:r>
      <w:r>
        <w:rPr>
          <w:rFonts w:hint="eastAsia" w:ascii="仿宋" w:hAnsi="仿宋" w:eastAsia="仿宋" w:cs="仿宋"/>
          <w:color w:val="auto"/>
          <w:sz w:val="28"/>
          <w:szCs w:val="28"/>
          <w:u w:val="none"/>
          <w:lang w:val="en-US" w:eastAsia="zh-CN"/>
        </w:rPr>
        <w:t>人文</w:t>
      </w:r>
      <w:r>
        <w:rPr>
          <w:rFonts w:hint="eastAsia" w:ascii="仿宋" w:hAnsi="仿宋" w:eastAsia="仿宋" w:cs="仿宋"/>
          <w:color w:val="auto"/>
          <w:sz w:val="28"/>
          <w:szCs w:val="28"/>
          <w:u w:val="none"/>
        </w:rPr>
        <w:t>打卡区：直径不小于</w:t>
      </w:r>
      <w:r>
        <w:rPr>
          <w:rFonts w:hint="eastAsia" w:ascii="仿宋" w:hAnsi="仿宋" w:eastAsia="仿宋" w:cs="仿宋"/>
          <w:color w:val="auto"/>
          <w:sz w:val="28"/>
          <w:szCs w:val="28"/>
          <w:u w:val="none"/>
          <w:lang w:val="en-US" w:eastAsia="zh-CN"/>
        </w:rPr>
        <w:t>4</w:t>
      </w:r>
      <w:r>
        <w:rPr>
          <w:rFonts w:hint="eastAsia" w:ascii="仿宋" w:hAnsi="仿宋" w:eastAsia="仿宋" w:cs="仿宋"/>
          <w:color w:val="auto"/>
          <w:sz w:val="28"/>
          <w:szCs w:val="28"/>
          <w:u w:val="none"/>
        </w:rPr>
        <w:t>m。</w:t>
      </w:r>
    </w:p>
    <w:p w14:paraId="4BF1BA8D">
      <w:p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lang w:val="en-US" w:eastAsia="zh-CN"/>
        </w:rPr>
        <w:t>4</w:t>
      </w:r>
      <w:r>
        <w:rPr>
          <w:rFonts w:hint="eastAsia" w:ascii="仿宋" w:hAnsi="仿宋" w:eastAsia="仿宋" w:cs="仿宋"/>
          <w:color w:val="auto"/>
          <w:sz w:val="28"/>
          <w:szCs w:val="28"/>
          <w:u w:val="none"/>
        </w:rPr>
        <w:t>、舞台</w:t>
      </w:r>
      <w:r>
        <w:rPr>
          <w:rFonts w:hint="eastAsia" w:ascii="仿宋" w:hAnsi="仿宋" w:eastAsia="仿宋" w:cs="仿宋"/>
          <w:color w:val="auto"/>
          <w:sz w:val="28"/>
          <w:szCs w:val="28"/>
          <w:u w:val="none"/>
          <w:lang w:val="en-US" w:eastAsia="zh-CN"/>
        </w:rPr>
        <w:t>区</w:t>
      </w:r>
      <w:r>
        <w:rPr>
          <w:rFonts w:hint="eastAsia" w:ascii="仿宋" w:hAnsi="仿宋" w:eastAsia="仿宋" w:cs="仿宋"/>
          <w:color w:val="auto"/>
          <w:sz w:val="28"/>
          <w:szCs w:val="28"/>
          <w:u w:val="none"/>
        </w:rPr>
        <w:t>：尺寸不低于1</w:t>
      </w:r>
      <w:r>
        <w:rPr>
          <w:rFonts w:hint="eastAsia" w:ascii="仿宋" w:hAnsi="仿宋" w:eastAsia="仿宋" w:cs="仿宋"/>
          <w:color w:val="auto"/>
          <w:sz w:val="28"/>
          <w:szCs w:val="28"/>
          <w:u w:val="none"/>
          <w:lang w:val="en-US" w:eastAsia="zh-CN"/>
        </w:rPr>
        <w:t>8</w:t>
      </w:r>
      <w:r>
        <w:rPr>
          <w:rFonts w:hint="eastAsia" w:ascii="仿宋" w:hAnsi="仿宋" w:eastAsia="仿宋" w:cs="仿宋"/>
          <w:color w:val="auto"/>
          <w:sz w:val="28"/>
          <w:szCs w:val="28"/>
          <w:u w:val="none"/>
        </w:rPr>
        <w:t>m*</w:t>
      </w:r>
      <w:r>
        <w:rPr>
          <w:rFonts w:hint="eastAsia" w:ascii="仿宋" w:hAnsi="仿宋" w:eastAsia="仿宋" w:cs="仿宋"/>
          <w:color w:val="auto"/>
          <w:sz w:val="28"/>
          <w:szCs w:val="28"/>
          <w:u w:val="none"/>
          <w:lang w:val="en-US" w:eastAsia="zh-CN"/>
        </w:rPr>
        <w:t>10</w:t>
      </w:r>
      <w:r>
        <w:rPr>
          <w:rFonts w:hint="eastAsia" w:ascii="仿宋" w:hAnsi="仿宋" w:eastAsia="仿宋" w:cs="仿宋"/>
          <w:color w:val="auto"/>
          <w:sz w:val="28"/>
          <w:szCs w:val="28"/>
          <w:u w:val="none"/>
        </w:rPr>
        <w:t>m。</w:t>
      </w:r>
    </w:p>
    <w:p w14:paraId="648A075B">
      <w:pPr>
        <w:pStyle w:val="9"/>
        <w:ind w:firstLine="560" w:firstLineChars="200"/>
        <w:rPr>
          <w:rFonts w:hint="eastAsia" w:ascii="仿宋" w:hAnsi="仿宋" w:eastAsia="仿宋" w:cs="仿宋"/>
          <w:sz w:val="28"/>
          <w:szCs w:val="28"/>
          <w:lang w:val="en-US" w:eastAsia="zh-CN"/>
        </w:rPr>
      </w:pPr>
      <w:r>
        <w:rPr>
          <w:rFonts w:hint="eastAsia" w:ascii="仿宋" w:hAnsi="仿宋" w:eastAsia="仿宋" w:cs="仿宋"/>
          <w:color w:val="auto"/>
          <w:sz w:val="28"/>
          <w:szCs w:val="28"/>
          <w:u w:val="none"/>
          <w:lang w:val="en-US" w:eastAsia="zh-CN"/>
        </w:rPr>
        <w:t>5、巡演区：尺寸不低于12m*10m。</w:t>
      </w:r>
    </w:p>
    <w:p w14:paraId="11F064CD">
      <w:pPr>
        <w:spacing w:line="360" w:lineRule="auto"/>
        <w:ind w:firstLine="560" w:firstLineChars="200"/>
        <w:jc w:val="left"/>
        <w:rPr>
          <w:rFonts w:hint="eastAsia" w:ascii="仿宋" w:hAnsi="仿宋" w:eastAsia="仿宋" w:cs="仿宋"/>
          <w:color w:val="auto"/>
          <w:sz w:val="28"/>
          <w:szCs w:val="28"/>
          <w:u w:val="none"/>
          <w:lang w:val="en-US" w:eastAsia="zh-CN"/>
        </w:rPr>
      </w:pPr>
      <w:r>
        <w:rPr>
          <w:rFonts w:hint="eastAsia" w:ascii="仿宋" w:hAnsi="仿宋" w:eastAsia="仿宋" w:cs="仿宋"/>
          <w:color w:val="auto"/>
          <w:sz w:val="28"/>
          <w:szCs w:val="28"/>
          <w:u w:val="none"/>
        </w:rPr>
        <w:t>（六）</w:t>
      </w:r>
      <w:r>
        <w:rPr>
          <w:rFonts w:hint="eastAsia" w:ascii="仿宋" w:hAnsi="仿宋" w:eastAsia="仿宋" w:cs="仿宋"/>
          <w:color w:val="auto"/>
          <w:sz w:val="28"/>
          <w:szCs w:val="28"/>
          <w:u w:val="none"/>
          <w:lang w:val="en-US" w:eastAsia="zh-CN"/>
        </w:rPr>
        <w:t>点位</w:t>
      </w:r>
      <w:r>
        <w:rPr>
          <w:rFonts w:hint="eastAsia" w:ascii="仿宋" w:hAnsi="仿宋" w:eastAsia="仿宋" w:cs="仿宋"/>
          <w:color w:val="auto"/>
          <w:sz w:val="28"/>
          <w:szCs w:val="28"/>
          <w:u w:val="none"/>
        </w:rPr>
        <w:t>数量</w:t>
      </w:r>
      <w:r>
        <w:rPr>
          <w:rFonts w:hint="eastAsia" w:ascii="仿宋" w:hAnsi="仿宋" w:eastAsia="仿宋" w:cs="仿宋"/>
          <w:color w:val="auto"/>
          <w:sz w:val="28"/>
          <w:szCs w:val="28"/>
          <w:u w:val="none"/>
          <w:lang w:eastAsia="zh-CN"/>
        </w:rPr>
        <w:t>（</w:t>
      </w:r>
      <w:r>
        <w:rPr>
          <w:rFonts w:hint="eastAsia" w:ascii="仿宋" w:hAnsi="仿宋" w:eastAsia="仿宋" w:cs="仿宋"/>
          <w:color w:val="auto"/>
          <w:sz w:val="28"/>
          <w:szCs w:val="28"/>
          <w:u w:val="none"/>
          <w:lang w:val="en-US" w:eastAsia="zh-CN"/>
        </w:rPr>
        <w:t>数量待定）</w:t>
      </w:r>
    </w:p>
    <w:p w14:paraId="727505C3">
      <w:p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1.</w:t>
      </w:r>
      <w:r>
        <w:rPr>
          <w:rFonts w:hint="eastAsia" w:ascii="仿宋" w:hAnsi="仿宋" w:eastAsia="仿宋" w:cs="仿宋"/>
          <w:color w:val="auto"/>
          <w:sz w:val="28"/>
          <w:szCs w:val="28"/>
          <w:u w:val="none"/>
          <w:lang w:val="en-US" w:eastAsia="zh-CN"/>
        </w:rPr>
        <w:t>美食</w:t>
      </w:r>
      <w:r>
        <w:rPr>
          <w:rFonts w:hint="eastAsia" w:ascii="仿宋" w:hAnsi="仿宋" w:eastAsia="仿宋" w:cs="仿宋"/>
          <w:color w:val="auto"/>
          <w:sz w:val="28"/>
          <w:szCs w:val="28"/>
          <w:u w:val="none"/>
        </w:rPr>
        <w:t>摊位</w:t>
      </w:r>
      <w:r>
        <w:rPr>
          <w:rFonts w:hint="eastAsia" w:ascii="仿宋" w:hAnsi="仿宋" w:eastAsia="仿宋" w:cs="仿宋"/>
          <w:color w:val="auto"/>
          <w:sz w:val="28"/>
          <w:szCs w:val="28"/>
          <w:u w:val="none"/>
          <w:lang w:val="en-US" w:eastAsia="zh-CN"/>
        </w:rPr>
        <w:t>不少于25</w:t>
      </w:r>
      <w:r>
        <w:rPr>
          <w:rFonts w:hint="eastAsia" w:ascii="仿宋" w:hAnsi="仿宋" w:eastAsia="仿宋" w:cs="仿宋"/>
          <w:color w:val="auto"/>
          <w:sz w:val="28"/>
          <w:szCs w:val="28"/>
          <w:u w:val="none"/>
        </w:rPr>
        <w:t>个。</w:t>
      </w:r>
    </w:p>
    <w:p w14:paraId="178A26CF">
      <w:p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2.</w:t>
      </w:r>
      <w:r>
        <w:rPr>
          <w:rFonts w:hint="eastAsia" w:ascii="仿宋" w:hAnsi="仿宋" w:eastAsia="仿宋" w:cs="仿宋"/>
          <w:color w:val="auto"/>
          <w:sz w:val="28"/>
          <w:szCs w:val="28"/>
          <w:u w:val="none"/>
          <w:lang w:val="en-US" w:eastAsia="zh-CN"/>
        </w:rPr>
        <w:t>人文</w:t>
      </w:r>
      <w:r>
        <w:rPr>
          <w:rFonts w:hint="eastAsia" w:ascii="仿宋" w:hAnsi="仿宋" w:eastAsia="仿宋" w:cs="仿宋"/>
          <w:color w:val="auto"/>
          <w:sz w:val="28"/>
          <w:szCs w:val="28"/>
          <w:u w:val="none"/>
        </w:rPr>
        <w:t>打卡</w:t>
      </w:r>
      <w:r>
        <w:rPr>
          <w:rFonts w:hint="eastAsia" w:ascii="仿宋" w:hAnsi="仿宋" w:eastAsia="仿宋" w:cs="仿宋"/>
          <w:color w:val="auto"/>
          <w:sz w:val="28"/>
          <w:szCs w:val="28"/>
          <w:u w:val="none"/>
          <w:lang w:val="en-US" w:eastAsia="zh-CN"/>
        </w:rPr>
        <w:t>区不少于2</w:t>
      </w:r>
      <w:r>
        <w:rPr>
          <w:rFonts w:hint="eastAsia" w:ascii="仿宋" w:hAnsi="仿宋" w:eastAsia="仿宋" w:cs="仿宋"/>
          <w:color w:val="auto"/>
          <w:sz w:val="28"/>
          <w:szCs w:val="28"/>
          <w:u w:val="none"/>
        </w:rPr>
        <w:t>个。</w:t>
      </w:r>
    </w:p>
    <w:p w14:paraId="73A70370">
      <w:pPr>
        <w:spacing w:line="360" w:lineRule="auto"/>
        <w:ind w:firstLine="560" w:firstLineChars="200"/>
        <w:jc w:val="left"/>
        <w:rPr>
          <w:rFonts w:hint="eastAsia" w:ascii="仿宋" w:hAnsi="仿宋" w:eastAsia="仿宋" w:cs="仿宋"/>
          <w:color w:val="auto"/>
          <w:sz w:val="28"/>
          <w:szCs w:val="28"/>
          <w:u w:val="none"/>
          <w:lang w:val="en-US" w:eastAsia="zh-CN"/>
        </w:rPr>
      </w:pPr>
      <w:r>
        <w:rPr>
          <w:rFonts w:hint="eastAsia" w:ascii="仿宋" w:hAnsi="仿宋" w:eastAsia="仿宋" w:cs="仿宋"/>
          <w:color w:val="auto"/>
          <w:sz w:val="28"/>
          <w:szCs w:val="28"/>
          <w:u w:val="none"/>
          <w:lang w:val="en-US" w:eastAsia="zh-CN"/>
        </w:rPr>
        <w:t>3</w:t>
      </w:r>
      <w:r>
        <w:rPr>
          <w:rFonts w:hint="eastAsia" w:ascii="仿宋" w:hAnsi="仿宋" w:eastAsia="仿宋" w:cs="仿宋"/>
          <w:color w:val="auto"/>
          <w:sz w:val="28"/>
          <w:szCs w:val="28"/>
          <w:u w:val="none"/>
        </w:rPr>
        <w:t>.</w:t>
      </w:r>
      <w:r>
        <w:rPr>
          <w:rFonts w:hint="eastAsia" w:ascii="仿宋" w:hAnsi="仿宋" w:eastAsia="仿宋" w:cs="仿宋"/>
          <w:color w:val="auto"/>
          <w:sz w:val="28"/>
          <w:szCs w:val="28"/>
          <w:u w:val="none"/>
          <w:lang w:val="en-US" w:eastAsia="zh-CN"/>
        </w:rPr>
        <w:t>休息区不少于4个。</w:t>
      </w:r>
    </w:p>
    <w:p w14:paraId="00BE0700">
      <w:pPr>
        <w:numPr>
          <w:ilvl w:val="-1"/>
          <w:numId w:val="0"/>
        </w:num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lang w:val="en-US" w:eastAsia="zh-CN"/>
        </w:rPr>
        <w:t>4.舞台区不少于1个</w:t>
      </w:r>
      <w:r>
        <w:rPr>
          <w:rFonts w:hint="eastAsia" w:ascii="仿宋" w:hAnsi="仿宋" w:eastAsia="仿宋" w:cs="仿宋"/>
          <w:color w:val="auto"/>
          <w:sz w:val="28"/>
          <w:szCs w:val="28"/>
          <w:u w:val="none"/>
        </w:rPr>
        <w:t>。</w:t>
      </w:r>
    </w:p>
    <w:p w14:paraId="2FA261D6">
      <w:pPr>
        <w:numPr>
          <w:ilvl w:val="-1"/>
          <w:numId w:val="0"/>
        </w:numPr>
        <w:spacing w:line="360" w:lineRule="auto"/>
        <w:ind w:firstLine="560" w:firstLineChars="200"/>
        <w:jc w:val="left"/>
        <w:rPr>
          <w:rFonts w:hint="eastAsia" w:ascii="仿宋" w:hAnsi="仿宋" w:eastAsia="仿宋" w:cs="仿宋"/>
          <w:color w:val="auto"/>
          <w:sz w:val="28"/>
          <w:szCs w:val="28"/>
          <w:u w:val="none"/>
        </w:rPr>
      </w:pPr>
      <w:r>
        <w:rPr>
          <w:rFonts w:hint="eastAsia" w:ascii="仿宋" w:hAnsi="仿宋" w:eastAsia="仿宋" w:cs="仿宋"/>
          <w:color w:val="auto"/>
          <w:sz w:val="28"/>
          <w:szCs w:val="28"/>
          <w:u w:val="none"/>
          <w:lang w:val="en-US" w:eastAsia="zh-CN"/>
        </w:rPr>
        <w:t>5.巡演区不少于1个。</w:t>
      </w:r>
    </w:p>
    <w:p w14:paraId="27AF8644">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（七）成果要求</w:t>
      </w:r>
    </w:p>
    <w:p w14:paraId="57B50117">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1、活动结束后，乙方需将本次活动的影像资料、宣传报道以及现场执行情况（电子版、纸质版各一份）报送至甲方进行审核备案。</w:t>
      </w:r>
    </w:p>
    <w:p w14:paraId="6360B7EB">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2、提供本</w:t>
      </w:r>
      <w:r>
        <w:rPr>
          <w:rFonts w:hint="eastAsia" w:ascii="仿宋" w:hAnsi="仿宋" w:eastAsia="仿宋" w:cs="仿宋"/>
          <w:sz w:val="28"/>
          <w:szCs w:val="28"/>
          <w:lang w:eastAsia="zh-CN"/>
        </w:rPr>
        <w:t>项目各项资金</w:t>
      </w:r>
      <w:r>
        <w:rPr>
          <w:rFonts w:hint="eastAsia" w:ascii="仿宋" w:hAnsi="仿宋" w:eastAsia="仿宋" w:cs="仿宋"/>
          <w:sz w:val="28"/>
          <w:szCs w:val="28"/>
        </w:rPr>
        <w:t>支出明细。</w:t>
      </w:r>
    </w:p>
    <w:p w14:paraId="26AFAF86">
      <w:pPr>
        <w:spacing w:line="360" w:lineRule="auto"/>
        <w:ind w:left="559" w:leftChars="266" w:firstLine="0" w:firstLineChars="0"/>
        <w:jc w:val="left"/>
        <w:rPr>
          <w:rFonts w:hint="eastAsia" w:ascii="仿宋" w:hAnsi="仿宋" w:eastAsia="仿宋" w:cs="仿宋"/>
          <w:sz w:val="28"/>
          <w:szCs w:val="28"/>
        </w:rPr>
      </w:pPr>
      <w:r>
        <w:rPr>
          <w:rFonts w:hint="eastAsia" w:ascii="仿宋" w:hAnsi="仿宋" w:eastAsia="仿宋" w:cs="仿宋"/>
          <w:sz w:val="28"/>
          <w:szCs w:val="28"/>
        </w:rPr>
        <w:t>（八）投标方责任</w:t>
      </w:r>
    </w:p>
    <w:p w14:paraId="54F4F618">
      <w:pPr>
        <w:spacing w:line="360" w:lineRule="auto"/>
        <w:ind w:left="559" w:leftChars="266" w:firstLine="0" w:firstLineChars="0"/>
        <w:jc w:val="left"/>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乙方需根据活动内容制定细化实施方案，经甲方审核通过后方可进行实施。</w:t>
      </w:r>
    </w:p>
    <w:p w14:paraId="545E993F">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、完成活动场地审批、租赁以及其他需协调事宜，保障此次活动场地使用的所有需求。</w:t>
      </w:r>
    </w:p>
    <w:p w14:paraId="6C06DAC6">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、完成活动场地布置，包含摊位、舞台、灯光音响屏幕等，场地布置内容样式需与甲方沟通确认后实施。</w:t>
      </w:r>
    </w:p>
    <w:p w14:paraId="161F7484">
      <w:pPr>
        <w:spacing w:line="360" w:lineRule="auto"/>
        <w:ind w:firstLine="560" w:firstLineChars="200"/>
        <w:jc w:val="left"/>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lang w:val="en-US" w:eastAsia="zh-CN"/>
        </w:rPr>
        <w:t>4</w:t>
      </w:r>
      <w:r>
        <w:rPr>
          <w:rFonts w:hint="eastAsia" w:ascii="仿宋" w:hAnsi="仿宋" w:eastAsia="仿宋" w:cs="仿宋"/>
          <w:sz w:val="28"/>
          <w:szCs w:val="28"/>
          <w:highlight w:val="none"/>
        </w:rPr>
        <w:t>、</w:t>
      </w:r>
      <w:r>
        <w:rPr>
          <w:rFonts w:hint="eastAsia" w:ascii="仿宋" w:hAnsi="仿宋" w:eastAsia="仿宋" w:cs="仿宋"/>
          <w:sz w:val="28"/>
          <w:szCs w:val="28"/>
          <w:highlight w:val="none"/>
          <w:lang w:eastAsia="zh-CN"/>
        </w:rPr>
        <w:t>完成美食展位招商入驻工作（含展位补贴），对参展招商企业人员食宿差旅进行保障，保障美食展位正常运营。</w:t>
      </w:r>
    </w:p>
    <w:p w14:paraId="6F3D5C2C">
      <w:pPr>
        <w:spacing w:line="360" w:lineRule="auto"/>
        <w:ind w:firstLine="560" w:firstLineChars="200"/>
        <w:jc w:val="left"/>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承担5名甲方工作人员、宣传报导人员差旅食宿费用</w:t>
      </w:r>
    </w:p>
    <w:p w14:paraId="04152DBC">
      <w:pPr>
        <w:spacing w:line="360" w:lineRule="auto"/>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6、承担莎车方专业院团赴上海表演费用。</w:t>
      </w:r>
    </w:p>
    <w:p w14:paraId="3E027E0C">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、完成整场活动串线、互动、控场协调，保证活动实施顺畅无误。</w:t>
      </w:r>
    </w:p>
    <w:p w14:paraId="1060D30D">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z w:val="28"/>
          <w:szCs w:val="28"/>
        </w:rPr>
        <w:t>、配合完成活动所在地出席领导协调工作。</w:t>
      </w:r>
    </w:p>
    <w:p w14:paraId="0546B68A">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、负责完成社会媒体、官方媒体（包含央视媒体）邀请报道工作，提升线上线下传播度，吸引用户关注并参与。</w:t>
      </w:r>
    </w:p>
    <w:p w14:paraId="626C640C">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、其他要求</w:t>
      </w:r>
    </w:p>
    <w:p w14:paraId="15BE3157">
      <w:pPr>
        <w:spacing w:line="360" w:lineRule="auto"/>
        <w:ind w:firstLine="560" w:firstLineChars="200"/>
        <w:jc w:val="left"/>
        <w:rPr>
          <w:rFonts w:hint="eastAsia" w:ascii="仿宋" w:hAnsi="仿宋" w:eastAsia="仿宋" w:cs="仿宋"/>
          <w:sz w:val="28"/>
          <w:szCs w:val="28"/>
          <w:highlight w:val="green"/>
        </w:rPr>
      </w:pPr>
      <w:r>
        <w:rPr>
          <w:rFonts w:hint="eastAsia" w:ascii="仿宋" w:hAnsi="仿宋" w:eastAsia="仿宋" w:cs="仿宋"/>
          <w:sz w:val="28"/>
          <w:szCs w:val="28"/>
        </w:rPr>
        <w:t>（1）保障食品保鲜：负责现场冷柜、冰箱、仓库等协调，确保莎车本地食材、参展产品新鲜无损。</w:t>
      </w:r>
    </w:p>
    <w:p w14:paraId="63FD2B19">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（2）负责活动现场安保：确保人群疏散，维护现场秩序。</w:t>
      </w:r>
    </w:p>
    <w:p w14:paraId="6B55666D">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（3）保洁：负责每日场地打扫及结束后的垃圾清运工作。</w:t>
      </w:r>
    </w:p>
    <w:p w14:paraId="13045252">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（4）医疗：保障活动现场医疗安全等。</w:t>
      </w:r>
    </w:p>
    <w:p w14:paraId="4101F703">
      <w:pPr>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（5）消防：保障活动现场消防安全设施设备齐全，所有摊铺均需满足消防防火要求，另查清场地的安全通道状况，落实场地的消防预案，同时在现场安置灭火器材，保障此次活动整体消防安全措施落实。</w:t>
      </w:r>
    </w:p>
    <w:p w14:paraId="1B8FB159">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（7）电力：保障活动现场电力供应。</w:t>
      </w:r>
    </w:p>
    <w:p w14:paraId="6CF95184">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（8）防暑降温：做好现场防暑降温工作。</w:t>
      </w:r>
    </w:p>
    <w:p w14:paraId="60AE9E7D">
      <w:pPr>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（9）其他应急</w:t>
      </w:r>
      <w:r>
        <w:rPr>
          <w:rFonts w:hint="eastAsia" w:ascii="仿宋" w:hAnsi="仿宋" w:eastAsia="仿宋" w:cs="仿宋"/>
          <w:sz w:val="28"/>
          <w:szCs w:val="28"/>
          <w:lang w:val="en-US" w:eastAsia="zh-CN"/>
        </w:rPr>
        <w:t>处理</w:t>
      </w:r>
      <w:r>
        <w:rPr>
          <w:rFonts w:hint="eastAsia" w:ascii="仿宋" w:hAnsi="仿宋" w:eastAsia="仿宋" w:cs="仿宋"/>
          <w:sz w:val="28"/>
          <w:szCs w:val="28"/>
        </w:rPr>
        <w:t>：做好防预突发天气等事件的应对处理措施。</w:t>
      </w:r>
    </w:p>
    <w:p w14:paraId="0907552A">
      <w:pPr>
        <w:spacing w:line="360" w:lineRule="auto"/>
        <w:ind w:firstLine="562" w:firstLineChars="200"/>
        <w:jc w:val="left"/>
        <w:rPr>
          <w:rFonts w:hint="eastAsia" w:ascii="仿宋" w:hAnsi="仿宋" w:eastAsia="仿宋" w:cs="仿宋"/>
          <w:b/>
          <w:bCs/>
          <w:sz w:val="28"/>
          <w:szCs w:val="28"/>
        </w:rPr>
      </w:pPr>
      <w:r>
        <w:rPr>
          <w:rFonts w:hint="eastAsia" w:ascii="仿宋" w:hAnsi="仿宋" w:eastAsia="仿宋" w:cs="仿宋"/>
          <w:b/>
          <w:bCs/>
          <w:sz w:val="28"/>
          <w:szCs w:val="28"/>
        </w:rPr>
        <w:t>三）、约定支付方式</w:t>
      </w:r>
    </w:p>
    <w:p w14:paraId="7B49FD44">
      <w:pPr>
        <w:rPr>
          <w:rFonts w:hint="eastAsia" w:ascii="仿宋" w:hAnsi="仿宋" w:eastAsia="仿宋" w:cs="仿宋"/>
          <w:sz w:val="28"/>
          <w:szCs w:val="28"/>
        </w:rPr>
      </w:pPr>
      <w:r>
        <w:rPr>
          <w:rFonts w:hint="eastAsia" w:ascii="仿宋" w:hAnsi="仿宋" w:eastAsia="仿宋" w:cs="仿宋"/>
          <w:sz w:val="28"/>
          <w:szCs w:val="28"/>
        </w:rPr>
        <w:t>乙方缴纳合同价5%履约保证金后签订合同，签订合同后支付合同价30%服务款，项目完成60%后支付合同价30%服务款，项目完成80%后支付合同价20%服务款，项目完成验收后支付合同价20%服务款，5%履约保证金一次性无息退还乙方。</w:t>
      </w:r>
      <w:r>
        <w:rPr>
          <w:rFonts w:hint="eastAsia" w:ascii="仿宋" w:hAnsi="仿宋" w:eastAsia="仿宋" w:cs="仿宋"/>
          <w:sz w:val="28"/>
          <w:szCs w:val="28"/>
        </w:rPr>
        <w:br w:type="textWrapping"/>
      </w:r>
    </w:p>
    <w:p w14:paraId="25321C5F">
      <w:pPr>
        <w:rPr>
          <w:rFonts w:hint="eastAsia" w:ascii="仿宋" w:hAnsi="仿宋" w:eastAsia="仿宋" w:cs="仿宋"/>
          <w:b/>
          <w:bCs/>
          <w:sz w:val="28"/>
          <w:szCs w:val="28"/>
          <w:lang w:val="en-US" w:eastAsia="zh-CN"/>
        </w:rPr>
      </w:pPr>
      <w:r>
        <w:rPr>
          <w:rFonts w:hint="eastAsia" w:ascii="仿宋" w:hAnsi="仿宋" w:eastAsia="仿宋" w:cs="仿宋"/>
          <w:sz w:val="28"/>
          <w:szCs w:val="28"/>
          <w:lang w:val="en-US" w:eastAsia="zh-CN"/>
        </w:rPr>
        <w:t>*</w:t>
      </w:r>
      <w:r>
        <w:rPr>
          <w:rFonts w:hint="eastAsia" w:ascii="仿宋" w:hAnsi="仿宋" w:eastAsia="仿宋" w:cs="仿宋"/>
          <w:b/>
          <w:bCs/>
          <w:sz w:val="28"/>
          <w:szCs w:val="28"/>
          <w:lang w:eastAsia="zh-CN"/>
        </w:rPr>
        <w:t>注：上述技术参数均为实质性响应条款</w:t>
      </w:r>
    </w:p>
    <w:p w14:paraId="3FDBE1DB">
      <w:pPr>
        <w:spacing w:line="360" w:lineRule="auto"/>
        <w:ind w:firstLine="560" w:firstLineChars="200"/>
        <w:jc w:val="left"/>
        <w:rPr>
          <w:rFonts w:hint="eastAsia" w:ascii="仿宋" w:hAnsi="仿宋" w:eastAsia="仿宋" w:cs="仿宋"/>
          <w:sz w:val="28"/>
          <w:szCs w:val="28"/>
        </w:rPr>
        <w:sectPr>
          <w:footerReference r:id="rId13" w:type="default"/>
          <w:pgSz w:w="11910" w:h="16840"/>
          <w:pgMar w:top="1440" w:right="1797" w:bottom="1440" w:left="1797" w:header="0" w:footer="913" w:gutter="0"/>
          <w:pgBorders>
            <w:top w:val="none" w:sz="0" w:space="0"/>
            <w:left w:val="none" w:sz="0" w:space="0"/>
            <w:bottom w:val="none" w:sz="0" w:space="0"/>
            <w:right w:val="none" w:sz="0" w:space="0"/>
          </w:pgBorders>
          <w:pgNumType w:fmt="decimal"/>
          <w:cols w:space="720" w:num="1"/>
        </w:sectPr>
      </w:pPr>
    </w:p>
    <w:p w14:paraId="6082CDC8">
      <w:pPr>
        <w:rPr>
          <w:rFonts w:hint="eastAsia" w:ascii="仿宋" w:hAnsi="仿宋" w:eastAsia="仿宋" w:cs="仿宋"/>
          <w:sz w:val="20"/>
          <w:szCs w:val="22"/>
          <w:lang w:val="en-US" w:eastAsia="zh-CN"/>
        </w:rPr>
      </w:pPr>
    </w:p>
    <w:p w14:paraId="5DDD9446">
      <w:pPr>
        <w:pStyle w:val="2"/>
        <w:bidi w:val="0"/>
        <w:rPr>
          <w:rFonts w:hint="eastAsia" w:ascii="仿宋" w:hAnsi="仿宋" w:eastAsia="仿宋" w:cs="仿宋"/>
          <w:sz w:val="28"/>
          <w:szCs w:val="18"/>
          <w:lang w:val="en-US" w:eastAsia="zh-CN"/>
        </w:rPr>
      </w:pPr>
      <w:bookmarkStart w:id="454" w:name="_Toc18572"/>
      <w:r>
        <w:rPr>
          <w:rFonts w:hint="eastAsia" w:ascii="仿宋" w:hAnsi="仿宋" w:eastAsia="仿宋" w:cs="仿宋"/>
          <w:sz w:val="28"/>
          <w:szCs w:val="18"/>
          <w:lang w:val="en-US" w:eastAsia="zh-CN"/>
        </w:rPr>
        <w:t xml:space="preserve">第6章  </w:t>
      </w:r>
      <w:bookmarkStart w:id="455" w:name="_Toc32647"/>
      <w:bookmarkStart w:id="456" w:name="_Toc507399907"/>
      <w:bookmarkStart w:id="457" w:name="_Toc515647832"/>
      <w:bookmarkStart w:id="458" w:name="_Toc7971"/>
      <w:r>
        <w:rPr>
          <w:rFonts w:hint="eastAsia" w:ascii="仿宋" w:hAnsi="仿宋" w:eastAsia="仿宋" w:cs="仿宋"/>
          <w:sz w:val="28"/>
          <w:szCs w:val="18"/>
          <w:lang w:val="en-US" w:eastAsia="zh-CN"/>
        </w:rPr>
        <w:t>评标方法和标准</w:t>
      </w:r>
      <w:bookmarkEnd w:id="454"/>
      <w:bookmarkEnd w:id="455"/>
      <w:bookmarkEnd w:id="456"/>
      <w:bookmarkEnd w:id="457"/>
      <w:bookmarkEnd w:id="458"/>
    </w:p>
    <w:p w14:paraId="4C4955AD">
      <w:pPr>
        <w:pStyle w:val="12"/>
        <w:tabs>
          <w:tab w:val="clear" w:pos="567"/>
        </w:tabs>
        <w:spacing w:before="0" w:line="240" w:lineRule="auto"/>
        <w:ind w:firstLine="540" w:firstLineChars="225"/>
        <w:rPr>
          <w:rFonts w:hint="eastAsia" w:ascii="仿宋" w:hAnsi="仿宋" w:eastAsia="仿宋" w:cs="仿宋"/>
          <w:color w:val="auto"/>
          <w:sz w:val="24"/>
          <w:szCs w:val="24"/>
          <w:highlight w:val="none"/>
        </w:rPr>
      </w:pPr>
    </w:p>
    <w:p w14:paraId="0C5EAB72">
      <w:pPr>
        <w:pStyle w:val="12"/>
        <w:tabs>
          <w:tab w:val="clear" w:pos="567"/>
        </w:tabs>
        <w:spacing w:before="0" w:line="240" w:lineRule="auto"/>
        <w:ind w:firstLine="540" w:firstLineChars="22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本项目将按照招标文件第一章投标人须知中“五 开标及评标”、“六 确定中标”及本章的规定评标。</w:t>
      </w:r>
    </w:p>
    <w:p w14:paraId="1F2D1AE3">
      <w:pPr>
        <w:pStyle w:val="93"/>
        <w:numPr>
          <w:ilvl w:val="1"/>
          <w:numId w:val="9"/>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59" w:name="_Toc12319"/>
      <w:r>
        <w:rPr>
          <w:rFonts w:hint="eastAsia" w:ascii="仿宋" w:hAnsi="仿宋" w:eastAsia="仿宋" w:cs="仿宋"/>
          <w:color w:val="auto"/>
          <w:sz w:val="24"/>
          <w:szCs w:val="24"/>
          <w:highlight w:val="none"/>
        </w:rPr>
        <w:t>总则</w:t>
      </w:r>
      <w:bookmarkEnd w:id="459"/>
    </w:p>
    <w:p w14:paraId="074EBF23">
      <w:pPr>
        <w:pStyle w:val="12"/>
        <w:spacing w:before="11" w:line="240" w:lineRule="auto"/>
        <w:rPr>
          <w:rFonts w:hint="eastAsia" w:ascii="仿宋" w:hAnsi="仿宋" w:eastAsia="仿宋" w:cs="仿宋"/>
          <w:b/>
          <w:color w:val="auto"/>
          <w:sz w:val="24"/>
          <w:szCs w:val="24"/>
          <w:highlight w:val="none"/>
        </w:rPr>
      </w:pPr>
    </w:p>
    <w:p w14:paraId="212E2A27">
      <w:pPr>
        <w:pStyle w:val="87"/>
        <w:numPr>
          <w:ilvl w:val="2"/>
          <w:numId w:val="9"/>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根据《中华人民共和国政府采购法》和《政府采购货物和服务招标投标管理办法》（财政部第 </w:t>
      </w:r>
      <w:r>
        <w:rPr>
          <w:rFonts w:hint="eastAsia" w:ascii="仿宋" w:hAnsi="仿宋" w:eastAsia="仿宋" w:cs="仿宋"/>
          <w:color w:val="auto"/>
          <w:sz w:val="24"/>
          <w:szCs w:val="24"/>
          <w:highlight w:val="none"/>
          <w:lang w:val="en-US" w:eastAsia="zh-CN"/>
        </w:rPr>
        <w:t>87</w:t>
      </w:r>
      <w:r>
        <w:rPr>
          <w:rFonts w:hint="eastAsia" w:ascii="仿宋" w:hAnsi="仿宋" w:eastAsia="仿宋" w:cs="仿宋"/>
          <w:color w:val="auto"/>
          <w:sz w:val="24"/>
          <w:szCs w:val="24"/>
          <w:highlight w:val="none"/>
        </w:rPr>
        <w:t xml:space="preserve"> 号令）等法律规章，结合采购项目特点制定本评标办法。</w:t>
      </w:r>
    </w:p>
    <w:p w14:paraId="76336BE9">
      <w:pPr>
        <w:pStyle w:val="87"/>
        <w:numPr>
          <w:ilvl w:val="2"/>
          <w:numId w:val="9"/>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评标工作由招标代理机构负责组织，具体评标事务由招标代理机构依法组建的评标委员会负责。评标委员会由采购人代表和有关技术、经济等方面的专家组成；</w:t>
      </w:r>
    </w:p>
    <w:p w14:paraId="799393C0">
      <w:pPr>
        <w:pStyle w:val="87"/>
        <w:numPr>
          <w:ilvl w:val="2"/>
          <w:numId w:val="9"/>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评标工作应遵循公平、公正、科学及择优的原则，并以相同的评标程序和标准对待所有的投标人；</w:t>
      </w:r>
    </w:p>
    <w:p w14:paraId="4E75248D">
      <w:pPr>
        <w:pStyle w:val="87"/>
        <w:numPr>
          <w:ilvl w:val="2"/>
          <w:numId w:val="9"/>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评标委员会按照招标文件规定的评标方法和标准进行评标，并独立履行下列职责：</w:t>
      </w:r>
    </w:p>
    <w:p w14:paraId="56CF8B8F">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1.4.1</w:t>
      </w:r>
      <w:r>
        <w:rPr>
          <w:rFonts w:hint="eastAsia" w:ascii="仿宋" w:hAnsi="仿宋" w:eastAsia="仿宋" w:cs="仿宋"/>
          <w:color w:val="auto"/>
          <w:sz w:val="24"/>
          <w:szCs w:val="24"/>
          <w:highlight w:val="none"/>
        </w:rPr>
        <w:t>审查投标文件是否符合招标文件要求，并做出评价；</w:t>
      </w:r>
    </w:p>
    <w:p w14:paraId="1F4BD61F">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1.4.2</w:t>
      </w:r>
      <w:r>
        <w:rPr>
          <w:rFonts w:hint="eastAsia" w:ascii="仿宋" w:hAnsi="仿宋" w:eastAsia="仿宋" w:cs="仿宋"/>
          <w:color w:val="auto"/>
          <w:sz w:val="24"/>
          <w:szCs w:val="24"/>
          <w:highlight w:val="none"/>
        </w:rPr>
        <w:t>要求投标供应商对投标文件有关事项做出解释或者澄清；</w:t>
      </w:r>
    </w:p>
    <w:p w14:paraId="67BE47F9">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1.4.3</w:t>
      </w:r>
      <w:r>
        <w:rPr>
          <w:rFonts w:hint="eastAsia" w:ascii="仿宋" w:hAnsi="仿宋" w:eastAsia="仿宋" w:cs="仿宋"/>
          <w:color w:val="auto"/>
          <w:sz w:val="24"/>
          <w:szCs w:val="24"/>
          <w:highlight w:val="none"/>
        </w:rPr>
        <w:t>推荐中标候选供应商名单，或者受采购人委托按照事先确定的办法直接确定中标供应商；</w:t>
      </w:r>
    </w:p>
    <w:p w14:paraId="68A677B9">
      <w:pPr>
        <w:pStyle w:val="87"/>
        <w:numPr>
          <w:ilvl w:val="2"/>
          <w:numId w:val="9"/>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向招标采购单位或者有关部门报告非法干预评标工作的行为。</w:t>
      </w:r>
    </w:p>
    <w:p w14:paraId="6309D76A">
      <w:pPr>
        <w:pStyle w:val="93"/>
        <w:numPr>
          <w:ilvl w:val="1"/>
          <w:numId w:val="9"/>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lang w:val="en-US" w:eastAsia="zh-CN"/>
        </w:rPr>
      </w:pPr>
      <w:bookmarkStart w:id="460" w:name="_Toc12918"/>
      <w:r>
        <w:rPr>
          <w:rFonts w:hint="eastAsia" w:ascii="仿宋" w:hAnsi="仿宋" w:eastAsia="仿宋" w:cs="仿宋"/>
          <w:color w:val="auto"/>
          <w:sz w:val="24"/>
          <w:szCs w:val="24"/>
          <w:highlight w:val="none"/>
          <w:lang w:val="en-US" w:eastAsia="zh-CN"/>
        </w:rPr>
        <w:t>开标程序</w:t>
      </w:r>
      <w:bookmarkEnd w:id="460"/>
    </w:p>
    <w:p w14:paraId="5C229032">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采购人和采购代理机构将按</w:t>
      </w:r>
      <w:r>
        <w:rPr>
          <w:rFonts w:hint="eastAsia" w:ascii="仿宋" w:hAnsi="仿宋" w:eastAsia="仿宋" w:cs="仿宋"/>
          <w:color w:val="auto"/>
          <w:sz w:val="24"/>
          <w:szCs w:val="24"/>
          <w:highlight w:val="none"/>
          <w:u w:val="single"/>
        </w:rPr>
        <w:t>投标人须知资料表</w:t>
      </w:r>
      <w:r>
        <w:rPr>
          <w:rFonts w:hint="eastAsia" w:ascii="仿宋" w:hAnsi="仿宋" w:eastAsia="仿宋" w:cs="仿宋"/>
          <w:color w:val="auto"/>
          <w:sz w:val="24"/>
          <w:szCs w:val="24"/>
          <w:highlight w:val="none"/>
        </w:rPr>
        <w:t>中规定的开标时间和地点组织公开开标。</w:t>
      </w:r>
    </w:p>
    <w:p w14:paraId="5A49F93E">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在开标前，工作人员收取所有参会人员的手机，主持人宣读开标纪律。</w:t>
      </w:r>
    </w:p>
    <w:p w14:paraId="6EB4AEB0">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在线签收投标文件，投标人不足3家的，不得开标。</w:t>
      </w:r>
    </w:p>
    <w:p w14:paraId="72B12397">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投标人解密投标文件，解密时长为30分钟，供应商应使用与加密时使用的同一把CA锁进行解密操作，如出现非供应商自身原因造成的无法解密，</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采购代理机构使用备用投标文件进行解密操作。</w:t>
      </w:r>
    </w:p>
    <w:p w14:paraId="7D6CB91B">
      <w:pPr>
        <w:pStyle w:val="87"/>
        <w:numPr>
          <w:ilvl w:val="0"/>
          <w:numId w:val="0"/>
        </w:numPr>
        <w:spacing w:line="24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组织评审委员会以不记名投票的形式选定评审委员会主任，并宣读评标会纪律，对评标委员会进行通讯工具管制及宣读相关法律法规。</w:t>
      </w:r>
    </w:p>
    <w:p w14:paraId="76414C64">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）由代理公司工作人员开启报价文件并由供应商代表在线CA签字确认，报价确认时段限制为10分钟，由评审委员会进行报价评审及政策价格认定。</w:t>
      </w:r>
    </w:p>
    <w:p w14:paraId="6DFDC0E2">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）采购人或采购代理机构将对开标过程进行记录，由参加开标的各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代表和相关工作人员签字确认，并存档备查。</w:t>
      </w:r>
    </w:p>
    <w:p w14:paraId="33B16E4C">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代表对开标过程和开标记录有疑义，以及认为采购人、采购代理机构相关工作人员有需要回避的情形的，应当场提出询问或者回避申请。投标人未参加开标的，视同认可开标结果。</w:t>
      </w:r>
    </w:p>
    <w:p w14:paraId="7B734959">
      <w:pPr>
        <w:pStyle w:val="93"/>
        <w:numPr>
          <w:ilvl w:val="1"/>
          <w:numId w:val="9"/>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61" w:name="_Toc9774"/>
      <w:r>
        <w:rPr>
          <w:rFonts w:hint="eastAsia" w:ascii="仿宋" w:hAnsi="仿宋" w:eastAsia="仿宋" w:cs="仿宋"/>
          <w:color w:val="auto"/>
          <w:sz w:val="24"/>
          <w:szCs w:val="24"/>
          <w:highlight w:val="none"/>
        </w:rPr>
        <w:t>评标</w:t>
      </w:r>
      <w:r>
        <w:rPr>
          <w:rFonts w:hint="eastAsia" w:ascii="仿宋" w:hAnsi="仿宋" w:eastAsia="仿宋" w:cs="仿宋"/>
          <w:color w:val="auto"/>
          <w:sz w:val="24"/>
          <w:szCs w:val="24"/>
          <w:highlight w:val="none"/>
          <w:lang w:eastAsia="zh-CN"/>
        </w:rPr>
        <w:t>程序</w:t>
      </w:r>
      <w:bookmarkEnd w:id="461"/>
    </w:p>
    <w:p w14:paraId="3FB6F7C8">
      <w:pPr>
        <w:pStyle w:val="87"/>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（1）在政采云平台上随机抽取</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名评标委员会</w:t>
      </w:r>
      <w:r>
        <w:rPr>
          <w:rFonts w:hint="eastAsia" w:ascii="仿宋" w:hAnsi="仿宋" w:eastAsia="仿宋" w:cs="仿宋"/>
          <w:color w:val="auto"/>
          <w:sz w:val="24"/>
          <w:szCs w:val="24"/>
          <w:highlight w:val="none"/>
          <w:lang w:eastAsia="zh-CN"/>
        </w:rPr>
        <w:t>成员，</w:t>
      </w:r>
      <w:r>
        <w:rPr>
          <w:rFonts w:hint="eastAsia" w:ascii="仿宋" w:hAnsi="仿宋" w:eastAsia="仿宋" w:cs="仿宋"/>
          <w:color w:val="auto"/>
          <w:sz w:val="24"/>
          <w:szCs w:val="24"/>
          <w:highlight w:val="none"/>
        </w:rPr>
        <w:t>负责评标工作。</w:t>
      </w:r>
    </w:p>
    <w:p w14:paraId="6B5FAE6F">
      <w:pPr>
        <w:pStyle w:val="87"/>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（2）评标前，</w:t>
      </w:r>
      <w:r>
        <w:rPr>
          <w:rFonts w:hint="eastAsia" w:ascii="仿宋" w:hAnsi="仿宋" w:eastAsia="仿宋" w:cs="仿宋"/>
          <w:color w:val="auto"/>
          <w:sz w:val="24"/>
          <w:szCs w:val="24"/>
          <w:highlight w:val="none"/>
          <w:lang w:val="en-US" w:eastAsia="zh-CN"/>
        </w:rPr>
        <w:t>核对评审专家身份和采购人代表授权函，采购人和采购代理机构将对评审专家在政府采购活动中职责履行情况予以记录，并及时将有关违法违规行为向财政部门报告。</w:t>
      </w:r>
    </w:p>
    <w:p w14:paraId="0A9C1FFA">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（3）通讯工具管理：专家老师将通讯工具调制成静音状态，交予代理机构统一保管。</w:t>
      </w:r>
    </w:p>
    <w:p w14:paraId="7CBCE312">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（4）组织评标委员会推选评标组长，宣布评标委员会成员姓名、工作单位、职称，以举手表决的方式选取。</w:t>
      </w:r>
    </w:p>
    <w:p w14:paraId="6DC9DD43">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（5）采购人和采购代理机构，评标委员会成员要严格遵守政府采购相关法律制度，依法履行各自职责，公正、客观、审慎地组织和参与评审工作；</w:t>
      </w:r>
    </w:p>
    <w:p w14:paraId="746B362D">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（6）评审委员会成员要依法独立评审，并对评审意见承担个人责任；</w:t>
      </w:r>
    </w:p>
    <w:p w14:paraId="5B49FB19">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666A2B13">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（8）采购人、采购代理机构和评审委员会在评审工作中，要依法相互监督和制约，并自觉接受各级财政部门的监督；</w:t>
      </w:r>
    </w:p>
    <w:p w14:paraId="2136E643">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（9）评审委员会要根据政府采购法律法规和采购文件所载明的评审方法、标准进行评审。</w:t>
      </w:r>
    </w:p>
    <w:p w14:paraId="08AB9400">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（10）评审专家如有以下情形，应当回避：</w:t>
      </w:r>
    </w:p>
    <w:p w14:paraId="02E2B934">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1、参加采购活动前三年内，与供应商存在劳动关系，或者担任过供应商的董事、监事，或者是供应商的控股股东或者实际控制人；</w:t>
      </w:r>
    </w:p>
    <w:p w14:paraId="0440385D">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2、与供应商的法定代表人或者负责人有夫妻、直系血亲、三代以内旁系血亲或者近姻亲关系；</w:t>
      </w:r>
    </w:p>
    <w:p w14:paraId="4903D333">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3、与供应商有其他可能影响政府采购活动公平、公正进行的关系。</w:t>
      </w:r>
    </w:p>
    <w:p w14:paraId="7C19ECE4">
      <w:pPr>
        <w:pStyle w:val="87"/>
        <w:numPr>
          <w:ilvl w:val="0"/>
          <w:numId w:val="0"/>
        </w:numPr>
        <w:spacing w:line="240" w:lineRule="auto"/>
        <w:ind w:left="420" w:leftChars="0"/>
        <w:rPr>
          <w:rFonts w:hint="eastAsia" w:ascii="仿宋" w:hAnsi="仿宋" w:eastAsia="仿宋" w:cs="仿宋"/>
          <w:color w:val="auto"/>
          <w:sz w:val="24"/>
          <w:szCs w:val="24"/>
          <w:highlight w:val="none"/>
          <w:lang w:eastAsia="zh-CN"/>
        </w:rPr>
      </w:pPr>
    </w:p>
    <w:p w14:paraId="22B6E51F">
      <w:pPr>
        <w:pStyle w:val="29"/>
        <w:bidi w:val="0"/>
        <w:ind w:left="0" w:leftChars="0" w:firstLine="482"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评标专家在政府采购活动中承担以下义务：</w:t>
      </w:r>
    </w:p>
    <w:p w14:paraId="6988213E">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①遵纪守法，客观、公正、廉洁地履行职责；</w:t>
      </w:r>
    </w:p>
    <w:p w14:paraId="005E2080">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14:paraId="3EC1B10D">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③保守秘密。不得透露采购文件咨询情况，不得泄漏供应商的投标文件及知悉的商业秘密，不得向供应商透露评审情况；</w:t>
      </w:r>
    </w:p>
    <w:p w14:paraId="18562D03">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④发现供应商在政府采购活动中有不正当竞争或恶意串通等违规行为，及时向政府采购评审工作的组织者或行政监管部门报告并加以制止；</w:t>
      </w:r>
    </w:p>
    <w:p w14:paraId="02541575">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⑤发现采购人、招标代理机构及其工作人员在政府采购活动中有干预评审、发表倾向性和歧视性言论、受贿或者接受供应商的其他好处及其他违法违规行为，及时向行政监管部门报告；</w:t>
      </w:r>
    </w:p>
    <w:p w14:paraId="566BA741">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⑥解答有关方面对政府采购评审工作中有关问题的询问，配合采购人或者招标代理机构答复供应商质疑，配合行政监管部门的投诉处理工作等事宜；</w:t>
      </w:r>
    </w:p>
    <w:p w14:paraId="34659360">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⑦法律、法规和规章规定的其他义务。</w:t>
      </w:r>
    </w:p>
    <w:p w14:paraId="76539B39">
      <w:pPr>
        <w:pStyle w:val="14"/>
        <w:bidi w:val="0"/>
        <w:rPr>
          <w:rFonts w:hint="eastAsia" w:ascii="仿宋" w:hAnsi="仿宋" w:eastAsia="仿宋" w:cs="仿宋"/>
          <w:b/>
          <w:bCs/>
          <w:color w:val="auto"/>
          <w:highlight w:val="none"/>
        </w:rPr>
      </w:pPr>
      <w:r>
        <w:rPr>
          <w:rFonts w:hint="eastAsia" w:ascii="仿宋" w:hAnsi="仿宋" w:eastAsia="仿宋" w:cs="仿宋"/>
          <w:b/>
          <w:bCs/>
          <w:color w:val="auto"/>
          <w:highlight w:val="none"/>
        </w:rPr>
        <w:t>评审专家在政府采购活动中应当遵守以下工作纪律：</w:t>
      </w:r>
    </w:p>
    <w:p w14:paraId="54A74B0E">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①应邀按时参加评审和咨询活动。遇特殊情况不能出席或途中遇阻不能按时参加评审或咨询的，应及时告知采购人或者招标代理机构，不得私自转托他人；</w:t>
      </w:r>
    </w:p>
    <w:p w14:paraId="477D7735">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不得参加与自己有利害关系的政府采购项目的评审活动。对与自己有利害关系的评审项目，如受到邀请，应主动提出回避。行政监管部门、采购人或招标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4BEFF270">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③评审或咨询过程中关闭通讯设备，不得与外界联系。因发生不可预见情况，确实需要与外界联系的，应当有在场工作人员陪同；</w:t>
      </w:r>
    </w:p>
    <w:p w14:paraId="581BC80A">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94266D8">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⑤在咨询工作中，严格执行国家产业政策和产品标准，认真听取咨询方的合理要求， 提出科学合理的、无倾向性和歧视性的咨询方案，并对所提出的意见和建议承担个人责任；</w:t>
      </w:r>
    </w:p>
    <w:p w14:paraId="4BB0E180">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⑥法律、法规和规章规定的其他评审工作纪律。</w:t>
      </w:r>
    </w:p>
    <w:p w14:paraId="5424B283">
      <w:pPr>
        <w:pStyle w:val="87"/>
        <w:numPr>
          <w:ilvl w:val="0"/>
          <w:numId w:val="10"/>
        </w:numPr>
        <w:spacing w:line="240" w:lineRule="auto"/>
        <w:ind w:left="1080" w:leftChars="257" w:hanging="540" w:firstLine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澄清和答疑：</w:t>
      </w:r>
    </w:p>
    <w:p w14:paraId="372969B2">
      <w:pPr>
        <w:pStyle w:val="87"/>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eastAsia="zh-CN"/>
        </w:rPr>
        <w:t>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及腾讯群在线，以便能及时的接受在线询标，询标时投标人代表应作书面记录，并对询问答疑的内容做出在线书面答复。</w:t>
      </w:r>
    </w:p>
    <w:p w14:paraId="35E59438">
      <w:pPr>
        <w:pStyle w:val="87"/>
        <w:numPr>
          <w:ilvl w:val="0"/>
          <w:numId w:val="0"/>
        </w:numPr>
        <w:spacing w:line="240" w:lineRule="auto"/>
        <w:ind w:left="420" w:left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eastAsia="zh-CN"/>
        </w:rPr>
        <w:t>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2A460124">
      <w:pPr>
        <w:pStyle w:val="87"/>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③</w:t>
      </w:r>
      <w:r>
        <w:rPr>
          <w:rFonts w:hint="eastAsia" w:ascii="仿宋" w:hAnsi="仿宋" w:eastAsia="仿宋" w:cs="仿宋"/>
          <w:color w:val="auto"/>
          <w:sz w:val="24"/>
          <w:szCs w:val="24"/>
          <w:highlight w:val="none"/>
          <w:lang w:eastAsia="zh-CN"/>
        </w:rPr>
        <w:t>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5B3B3281">
      <w:pPr>
        <w:pStyle w:val="87"/>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④供应商提出的询问或者质疑超出采购人对采购代理机构委托授权范围的，采购代理机构应当告知供应商向采购人提出。</w:t>
      </w:r>
    </w:p>
    <w:p w14:paraId="2A043CCF">
      <w:pPr>
        <w:pStyle w:val="87"/>
        <w:numPr>
          <w:ilvl w:val="0"/>
          <w:numId w:val="0"/>
        </w:numPr>
        <w:spacing w:line="240" w:lineRule="auto"/>
        <w:ind w:left="420" w:left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kern w:val="2"/>
          <w:sz w:val="24"/>
          <w:szCs w:val="24"/>
          <w:highlight w:val="none"/>
          <w:lang w:val="en-US" w:eastAsia="zh-CN" w:bidi="ar-SA"/>
        </w:rPr>
        <w:t>计算错误的修改</w:t>
      </w:r>
    </w:p>
    <w:p w14:paraId="7DCDB873">
      <w:pPr>
        <w:pStyle w:val="87"/>
        <w:numPr>
          <w:ilvl w:val="0"/>
          <w:numId w:val="0"/>
        </w:numPr>
        <w:tabs>
          <w:tab w:val="left" w:pos="1473"/>
        </w:tabs>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投标文件中如果出现计算上或累加上的算术错误，可按以下原则进行修改：</w:t>
      </w:r>
    </w:p>
    <w:p w14:paraId="4C4D1D6B">
      <w:pPr>
        <w:pStyle w:val="87"/>
        <w:numPr>
          <w:ilvl w:val="0"/>
          <w:numId w:val="11"/>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用数字表示的金额和用文字表示的金额不一致，应以文字表示的金额为准；</w:t>
      </w:r>
    </w:p>
    <w:p w14:paraId="3EFF0A5B">
      <w:pPr>
        <w:pStyle w:val="87"/>
        <w:numPr>
          <w:ilvl w:val="0"/>
          <w:numId w:val="11"/>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单价和数量的乘积与总价不一致时，以单价为准，并修正总价；</w:t>
      </w:r>
    </w:p>
    <w:p w14:paraId="6039414C">
      <w:pPr>
        <w:pStyle w:val="87"/>
        <w:numPr>
          <w:ilvl w:val="0"/>
          <w:numId w:val="11"/>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单价金额小数点有明显错误的，以总价为准，修正单价。</w:t>
      </w:r>
    </w:p>
    <w:p w14:paraId="5A8A6494">
      <w:pPr>
        <w:pStyle w:val="87"/>
        <w:numPr>
          <w:ilvl w:val="0"/>
          <w:numId w:val="0"/>
        </w:numPr>
        <w:tabs>
          <w:tab w:val="left" w:pos="1476"/>
        </w:tabs>
        <w:spacing w:line="240" w:lineRule="auto"/>
        <w:ind w:right="514"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按上述修正错误的方法调整的投标报价应对投标人具有约束力。如果投标人不接受修正后的价格，其投标将被拒绝。</w:t>
      </w:r>
    </w:p>
    <w:p w14:paraId="688C66C4">
      <w:pPr>
        <w:pStyle w:val="87"/>
        <w:numPr>
          <w:ilvl w:val="0"/>
          <w:numId w:val="0"/>
        </w:numPr>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对资格审查合格的投标人，由评标委员会按以下程序进行。</w:t>
      </w:r>
    </w:p>
    <w:p w14:paraId="2F852C6B">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（1）初步评审-符合性审查，符合性检查的内容及标准；</w:t>
      </w:r>
    </w:p>
    <w:p w14:paraId="6697E1D4">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商务符合性审查，符合性检查的内容及标准；</w:t>
      </w:r>
    </w:p>
    <w:p w14:paraId="21DFA847">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（2）澄清有关问题；</w:t>
      </w:r>
    </w:p>
    <w:p w14:paraId="0147B44C">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（3）比较与评价；</w:t>
      </w:r>
    </w:p>
    <w:p w14:paraId="08FA74EE">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（4）推荐中标供应商名单；</w:t>
      </w:r>
    </w:p>
    <w:p w14:paraId="645F919E">
      <w:pPr>
        <w:pStyle w:val="87"/>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（5）编写评标报告。</w:t>
      </w:r>
    </w:p>
    <w:p w14:paraId="22945565">
      <w:pPr>
        <w:pStyle w:val="93"/>
        <w:numPr>
          <w:ilvl w:val="1"/>
          <w:numId w:val="9"/>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62" w:name="_Toc10492"/>
      <w:r>
        <w:rPr>
          <w:rFonts w:hint="eastAsia" w:ascii="仿宋" w:hAnsi="仿宋" w:eastAsia="仿宋" w:cs="仿宋"/>
          <w:color w:val="auto"/>
          <w:sz w:val="24"/>
          <w:szCs w:val="24"/>
          <w:highlight w:val="none"/>
        </w:rPr>
        <w:t>定标程序</w:t>
      </w:r>
      <w:bookmarkEnd w:id="462"/>
    </w:p>
    <w:p w14:paraId="64C72CFB">
      <w:pPr>
        <w:pStyle w:val="87"/>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（1）采购代理机构应当在评标结束后2个工作日内将评标报告送采购人。</w:t>
      </w:r>
    </w:p>
    <w:p w14:paraId="504F0070">
      <w:pPr>
        <w:pStyle w:val="87"/>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26C520EA">
      <w:pPr>
        <w:pStyle w:val="87"/>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491C1A2B">
      <w:pPr>
        <w:pStyle w:val="12"/>
        <w:tabs>
          <w:tab w:val="clear" w:pos="567"/>
        </w:tabs>
        <w:spacing w:before="0" w:line="360" w:lineRule="auto"/>
        <w:ind w:left="-181" w:leftChars="-86" w:firstLine="180" w:firstLineChars="75"/>
        <w:rPr>
          <w:rFonts w:hint="eastAsia" w:ascii="仿宋" w:hAnsi="仿宋" w:eastAsia="仿宋" w:cs="仿宋"/>
          <w:highlight w:val="none"/>
        </w:rPr>
      </w:pPr>
      <w:r>
        <w:rPr>
          <w:rFonts w:hint="eastAsia" w:ascii="仿宋" w:hAnsi="仿宋" w:eastAsia="仿宋" w:cs="仿宋"/>
          <w:color w:val="auto"/>
          <w:sz w:val="24"/>
          <w:szCs w:val="24"/>
          <w:highlight w:val="none"/>
          <w:lang w:val="en-US" w:eastAsia="zh-CN"/>
        </w:rPr>
        <w:t>（4）中标候选人并列式时的处理方式：</w:t>
      </w:r>
      <w:r>
        <w:rPr>
          <w:rFonts w:hint="eastAsia" w:ascii="仿宋" w:hAnsi="仿宋" w:eastAsia="仿宋" w:cs="仿宋"/>
          <w:color w:val="auto"/>
          <w:sz w:val="24"/>
          <w:szCs w:val="24"/>
          <w:highlight w:val="none"/>
          <w:u w:val="single"/>
          <w:lang w:val="en-US" w:eastAsia="zh-CN"/>
        </w:rPr>
        <w:t>报价最低者优先，如报价相同，则采用随机抽取的方式确定。</w:t>
      </w:r>
    </w:p>
    <w:p w14:paraId="50E30B63">
      <w:pPr>
        <w:pStyle w:val="93"/>
        <w:numPr>
          <w:ilvl w:val="1"/>
          <w:numId w:val="9"/>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63" w:name="_Toc23584"/>
      <w:r>
        <w:rPr>
          <w:rFonts w:hint="eastAsia" w:ascii="仿宋" w:hAnsi="仿宋" w:eastAsia="仿宋" w:cs="仿宋"/>
          <w:color w:val="auto"/>
          <w:sz w:val="24"/>
          <w:szCs w:val="24"/>
          <w:highlight w:val="none"/>
        </w:rPr>
        <w:t>评标细则及标准（综合评分法）</w:t>
      </w:r>
      <w:bookmarkEnd w:id="463"/>
    </w:p>
    <w:p w14:paraId="69AD242E">
      <w:pPr>
        <w:pStyle w:val="87"/>
        <w:numPr>
          <w:ilvl w:val="0"/>
          <w:numId w:val="0"/>
        </w:numPr>
        <w:spacing w:line="240" w:lineRule="auto"/>
        <w:ind w:right="511" w:rightChars="0" w:firstLine="230"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lang w:val="en-US" w:eastAsia="zh-CN"/>
        </w:rPr>
        <w:t>5.1</w:t>
      </w:r>
      <w:r>
        <w:rPr>
          <w:rFonts w:hint="eastAsia" w:ascii="仿宋" w:hAnsi="仿宋" w:eastAsia="仿宋" w:cs="仿宋"/>
          <w:color w:val="auto"/>
          <w:spacing w:val="-5"/>
          <w:sz w:val="24"/>
          <w:szCs w:val="24"/>
          <w:highlight w:val="none"/>
        </w:rPr>
        <w:t>本次综合评分的主要因素是：</w:t>
      </w:r>
      <w:r>
        <w:rPr>
          <w:rFonts w:hint="eastAsia" w:ascii="仿宋" w:hAnsi="仿宋" w:eastAsia="仿宋" w:cs="仿宋"/>
          <w:color w:val="auto"/>
          <w:spacing w:val="-5"/>
          <w:sz w:val="24"/>
          <w:szCs w:val="24"/>
          <w:highlight w:val="none"/>
          <w:lang w:eastAsia="zh-CN"/>
        </w:rPr>
        <w:t>投标报价、技术或者服务水平、履约能力、售后服务、</w:t>
      </w:r>
      <w:r>
        <w:rPr>
          <w:rFonts w:hint="eastAsia" w:ascii="仿宋" w:hAnsi="仿宋" w:eastAsia="仿宋" w:cs="仿宋"/>
          <w:color w:val="auto"/>
          <w:spacing w:val="-5"/>
          <w:sz w:val="24"/>
          <w:szCs w:val="24"/>
          <w:highlight w:val="none"/>
        </w:rPr>
        <w:t>对招标</w:t>
      </w:r>
      <w:r>
        <w:rPr>
          <w:rFonts w:hint="eastAsia" w:ascii="仿宋" w:hAnsi="仿宋" w:eastAsia="仿宋" w:cs="仿宋"/>
          <w:color w:val="auto"/>
          <w:sz w:val="24"/>
          <w:szCs w:val="24"/>
          <w:highlight w:val="none"/>
        </w:rPr>
        <w:t>文件的响应程度等；</w:t>
      </w:r>
    </w:p>
    <w:p w14:paraId="6296A283">
      <w:pPr>
        <w:pStyle w:val="87"/>
        <w:numPr>
          <w:ilvl w:val="0"/>
          <w:numId w:val="0"/>
        </w:numPr>
        <w:tabs>
          <w:tab w:val="left" w:pos="1593"/>
        </w:tabs>
        <w:spacing w:line="240" w:lineRule="auto"/>
        <w:ind w:right="511" w:rightChars="0" w:firstLine="232"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lang w:val="en-US" w:eastAsia="zh-CN"/>
        </w:rPr>
        <w:t>5.2</w:t>
      </w:r>
      <w:r>
        <w:rPr>
          <w:rFonts w:hint="eastAsia" w:ascii="仿宋" w:hAnsi="仿宋" w:eastAsia="仿宋" w:cs="仿宋"/>
          <w:color w:val="auto"/>
          <w:spacing w:val="-4"/>
          <w:sz w:val="24"/>
          <w:szCs w:val="24"/>
          <w:highlight w:val="none"/>
        </w:rPr>
        <w:t>除价格因素外，评委会成员应依据投标文件规定的评分标准和方法独立对其他因素</w:t>
      </w:r>
      <w:r>
        <w:rPr>
          <w:rFonts w:hint="eastAsia" w:ascii="仿宋" w:hAnsi="仿宋" w:eastAsia="仿宋" w:cs="仿宋"/>
          <w:color w:val="auto"/>
          <w:sz w:val="24"/>
          <w:szCs w:val="24"/>
          <w:highlight w:val="none"/>
        </w:rPr>
        <w:t>进行比较打分；</w:t>
      </w:r>
    </w:p>
    <w:p w14:paraId="0ABD64FD">
      <w:pPr>
        <w:pStyle w:val="87"/>
        <w:numPr>
          <w:ilvl w:val="0"/>
          <w:numId w:val="0"/>
        </w:numPr>
        <w:tabs>
          <w:tab w:val="left" w:pos="1593"/>
        </w:tabs>
        <w:spacing w:before="38" w:line="240" w:lineRule="auto"/>
        <w:ind w:firstLine="234"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lang w:val="en-US" w:eastAsia="zh-CN"/>
        </w:rPr>
        <w:t>5.3</w:t>
      </w:r>
      <w:r>
        <w:rPr>
          <w:rFonts w:hint="eastAsia" w:ascii="仿宋" w:hAnsi="仿宋" w:eastAsia="仿宋" w:cs="仿宋"/>
          <w:color w:val="auto"/>
          <w:spacing w:val="-3"/>
          <w:sz w:val="24"/>
          <w:szCs w:val="24"/>
          <w:highlight w:val="none"/>
        </w:rPr>
        <w:t>在评标过程中，投标文件响应招标文件出现的偏离，分为实质性偏离和非实质性偏</w:t>
      </w:r>
      <w:r>
        <w:rPr>
          <w:rFonts w:hint="eastAsia" w:ascii="仿宋" w:hAnsi="仿宋" w:eastAsia="仿宋" w:cs="仿宋"/>
          <w:color w:val="auto"/>
          <w:sz w:val="24"/>
          <w:szCs w:val="24"/>
          <w:highlight w:val="none"/>
        </w:rPr>
        <w:t>离。</w:t>
      </w:r>
    </w:p>
    <w:p w14:paraId="5806A3D2">
      <w:pPr>
        <w:pStyle w:val="87"/>
        <w:numPr>
          <w:ilvl w:val="0"/>
          <w:numId w:val="0"/>
        </w:numPr>
        <w:tabs>
          <w:tab w:val="left" w:pos="1814"/>
        </w:tabs>
        <w:spacing w:before="67" w:line="240" w:lineRule="auto"/>
        <w:ind w:firstLine="234"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lang w:val="en-US" w:eastAsia="zh-CN"/>
        </w:rPr>
        <w:t>5.3.1</w:t>
      </w:r>
      <w:r>
        <w:rPr>
          <w:rFonts w:hint="eastAsia" w:ascii="仿宋" w:hAnsi="仿宋" w:eastAsia="仿宋" w:cs="仿宋"/>
          <w:color w:val="auto"/>
          <w:spacing w:val="-5"/>
          <w:sz w:val="24"/>
          <w:szCs w:val="24"/>
          <w:highlight w:val="none"/>
        </w:rPr>
        <w:t>实质性偏离是指投标文件未能实质响应招标文件的要求。以下情况属于重大偏离：</w:t>
      </w:r>
    </w:p>
    <w:p w14:paraId="63559454">
      <w:pPr>
        <w:pStyle w:val="87"/>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未按招标文件</w:t>
      </w:r>
      <w:r>
        <w:rPr>
          <w:rFonts w:hint="eastAsia" w:ascii="仿宋" w:hAnsi="仿宋" w:eastAsia="仿宋" w:cs="仿宋"/>
          <w:color w:val="auto"/>
          <w:sz w:val="24"/>
          <w:szCs w:val="24"/>
          <w:highlight w:val="none"/>
          <w:lang w:eastAsia="zh-CN"/>
        </w:rPr>
        <w:t>规定</w:t>
      </w:r>
      <w:r>
        <w:rPr>
          <w:rFonts w:hint="eastAsia" w:ascii="仿宋" w:hAnsi="仿宋" w:eastAsia="仿宋" w:cs="仿宋"/>
          <w:color w:val="auto"/>
          <w:sz w:val="24"/>
          <w:szCs w:val="24"/>
          <w:highlight w:val="none"/>
        </w:rPr>
        <w:t>提交投标保证金</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04BC4149">
      <w:pPr>
        <w:pStyle w:val="87"/>
        <w:numPr>
          <w:ilvl w:val="0"/>
          <w:numId w:val="0"/>
        </w:numPr>
        <w:tabs>
          <w:tab w:val="left" w:pos="1777"/>
        </w:tabs>
        <w:spacing w:line="240" w:lineRule="auto"/>
        <w:ind w:right="513" w:righ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pacing w:val="-1"/>
          <w:sz w:val="24"/>
          <w:szCs w:val="24"/>
          <w:highlight w:val="none"/>
        </w:rPr>
        <w:t>投标</w:t>
      </w:r>
      <w:r>
        <w:rPr>
          <w:rFonts w:hint="eastAsia" w:ascii="仿宋" w:hAnsi="仿宋" w:eastAsia="仿宋" w:cs="仿宋"/>
          <w:color w:val="auto"/>
          <w:spacing w:val="-1"/>
          <w:sz w:val="24"/>
          <w:szCs w:val="24"/>
          <w:highlight w:val="none"/>
          <w:lang w:eastAsia="zh-CN"/>
        </w:rPr>
        <w:t>文件</w:t>
      </w:r>
      <w:r>
        <w:rPr>
          <w:rFonts w:hint="eastAsia" w:ascii="仿宋" w:hAnsi="仿宋" w:eastAsia="仿宋" w:cs="仿宋"/>
          <w:color w:val="auto"/>
          <w:spacing w:val="-1"/>
          <w:sz w:val="24"/>
          <w:szCs w:val="24"/>
          <w:highlight w:val="none"/>
        </w:rPr>
        <w:t>、法定代表人授权委托书、开标一览表没有按招标文件的规定和要求</w:t>
      </w:r>
      <w:r>
        <w:rPr>
          <w:rFonts w:hint="eastAsia" w:ascii="仿宋" w:hAnsi="仿宋" w:eastAsia="仿宋" w:cs="仿宋"/>
          <w:color w:val="auto"/>
          <w:spacing w:val="-1"/>
          <w:sz w:val="24"/>
          <w:szCs w:val="24"/>
          <w:highlight w:val="none"/>
          <w:lang w:eastAsia="zh-CN"/>
        </w:rPr>
        <w:t>签署、</w:t>
      </w:r>
      <w:r>
        <w:rPr>
          <w:rFonts w:hint="eastAsia" w:ascii="仿宋" w:hAnsi="仿宋" w:eastAsia="仿宋" w:cs="仿宋"/>
          <w:color w:val="auto"/>
          <w:sz w:val="24"/>
          <w:szCs w:val="24"/>
          <w:highlight w:val="none"/>
        </w:rPr>
        <w:t>盖章</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6950AEDF">
      <w:pPr>
        <w:pStyle w:val="87"/>
        <w:numPr>
          <w:ilvl w:val="0"/>
          <w:numId w:val="0"/>
        </w:numPr>
        <w:tabs>
          <w:tab w:val="left" w:pos="1777"/>
        </w:tabs>
        <w:spacing w:line="240" w:lineRule="auto"/>
        <w:ind w:right="513" w:righ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）不具备招标文件中规定的资格要求的；</w:t>
      </w:r>
    </w:p>
    <w:p w14:paraId="269BFBE6">
      <w:pPr>
        <w:pStyle w:val="87"/>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投标人的投标报价超过了</w:t>
      </w:r>
      <w:r>
        <w:rPr>
          <w:rFonts w:hint="eastAsia" w:ascii="仿宋" w:hAnsi="仿宋" w:eastAsia="仿宋" w:cs="仿宋"/>
          <w:color w:val="auto"/>
          <w:sz w:val="24"/>
          <w:szCs w:val="24"/>
          <w:highlight w:val="none"/>
          <w:lang w:eastAsia="zh-CN"/>
        </w:rPr>
        <w:t>招标文件中规定的</w:t>
      </w:r>
      <w:r>
        <w:rPr>
          <w:rFonts w:hint="eastAsia" w:ascii="仿宋" w:hAnsi="仿宋" w:eastAsia="仿宋" w:cs="仿宋"/>
          <w:color w:val="auto"/>
          <w:sz w:val="24"/>
          <w:szCs w:val="24"/>
          <w:highlight w:val="none"/>
        </w:rPr>
        <w:t>预算</w:t>
      </w:r>
      <w:r>
        <w:rPr>
          <w:rFonts w:hint="eastAsia" w:ascii="仿宋" w:hAnsi="仿宋" w:eastAsia="仿宋" w:cs="仿宋"/>
          <w:color w:val="auto"/>
          <w:sz w:val="24"/>
          <w:szCs w:val="24"/>
          <w:highlight w:val="none"/>
          <w:lang w:eastAsia="zh-CN"/>
        </w:rPr>
        <w:t>金额最高限价的</w:t>
      </w:r>
      <w:r>
        <w:rPr>
          <w:rFonts w:hint="eastAsia" w:ascii="仿宋" w:hAnsi="仿宋" w:eastAsia="仿宋" w:cs="仿宋"/>
          <w:color w:val="auto"/>
          <w:sz w:val="24"/>
          <w:szCs w:val="24"/>
          <w:highlight w:val="none"/>
        </w:rPr>
        <w:t>；</w:t>
      </w:r>
    </w:p>
    <w:p w14:paraId="049318BB">
      <w:pPr>
        <w:pStyle w:val="87"/>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投标文件中附有采购人不能接受的</w:t>
      </w:r>
      <w:r>
        <w:rPr>
          <w:rFonts w:hint="eastAsia" w:ascii="仿宋" w:hAnsi="仿宋" w:eastAsia="仿宋" w:cs="仿宋"/>
          <w:color w:val="auto"/>
          <w:sz w:val="24"/>
          <w:szCs w:val="24"/>
          <w:highlight w:val="none"/>
          <w:lang w:eastAsia="zh-CN"/>
        </w:rPr>
        <w:t>附加</w:t>
      </w:r>
      <w:r>
        <w:rPr>
          <w:rFonts w:hint="eastAsia" w:ascii="仿宋" w:hAnsi="仿宋" w:eastAsia="仿宋" w:cs="仿宋"/>
          <w:color w:val="auto"/>
          <w:sz w:val="24"/>
          <w:szCs w:val="24"/>
          <w:highlight w:val="none"/>
        </w:rPr>
        <w:t>条件；</w:t>
      </w:r>
    </w:p>
    <w:p w14:paraId="281A6805">
      <w:pPr>
        <w:pStyle w:val="87"/>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投标产品的技术规格、技术标准明显不符合招标项目的要求</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59CB0F23">
      <w:pPr>
        <w:pStyle w:val="87"/>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仿宋" w:hAnsi="仿宋" w:eastAsia="仿宋" w:cs="仿宋"/>
          <w:b/>
          <w:bCs/>
          <w:color w:val="auto"/>
          <w:sz w:val="24"/>
          <w:szCs w:val="24"/>
          <w:highlight w:val="none"/>
          <w:lang w:eastAsia="zh-CN"/>
        </w:rPr>
        <w:t>无效投标</w:t>
      </w:r>
      <w:r>
        <w:rPr>
          <w:rFonts w:hint="eastAsia" w:ascii="仿宋" w:hAnsi="仿宋" w:eastAsia="仿宋" w:cs="仿宋"/>
          <w:color w:val="auto"/>
          <w:sz w:val="24"/>
          <w:szCs w:val="24"/>
          <w:highlight w:val="none"/>
          <w:lang w:eastAsia="zh-CN"/>
        </w:rPr>
        <w:t>处理；</w:t>
      </w:r>
    </w:p>
    <w:p w14:paraId="769AE834">
      <w:pPr>
        <w:pStyle w:val="87"/>
        <w:numPr>
          <w:ilvl w:val="0"/>
          <w:numId w:val="0"/>
        </w:num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）法律、法规和招标文件规定的其他无效情形。</w:t>
      </w:r>
    </w:p>
    <w:p w14:paraId="0C3B32FB">
      <w:pPr>
        <w:pStyle w:val="87"/>
        <w:numPr>
          <w:ilvl w:val="0"/>
          <w:numId w:val="0"/>
        </w:numPr>
        <w:tabs>
          <w:tab w:val="left" w:pos="1774"/>
        </w:tabs>
        <w:spacing w:line="240" w:lineRule="auto"/>
        <w:ind w:left="0" w:leftChars="0" w:right="0" w:rightChars="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投标文件有上述情形之一的，作</w:t>
      </w:r>
      <w:r>
        <w:rPr>
          <w:rFonts w:hint="eastAsia" w:ascii="仿宋" w:hAnsi="仿宋" w:eastAsia="仿宋" w:cs="仿宋"/>
          <w:b/>
          <w:bCs/>
          <w:color w:val="auto"/>
          <w:spacing w:val="-1"/>
          <w:sz w:val="24"/>
          <w:szCs w:val="24"/>
          <w:highlight w:val="none"/>
        </w:rPr>
        <w:t>无效投标</w:t>
      </w:r>
      <w:r>
        <w:rPr>
          <w:rFonts w:hint="eastAsia" w:ascii="仿宋" w:hAnsi="仿宋" w:eastAsia="仿宋" w:cs="仿宋"/>
          <w:color w:val="auto"/>
          <w:spacing w:val="-1"/>
          <w:sz w:val="24"/>
          <w:szCs w:val="24"/>
          <w:highlight w:val="none"/>
        </w:rPr>
        <w:t>处理。</w:t>
      </w:r>
    </w:p>
    <w:p w14:paraId="38C18E81">
      <w:pPr>
        <w:pStyle w:val="87"/>
        <w:numPr>
          <w:ilvl w:val="0"/>
          <w:numId w:val="0"/>
        </w:numPr>
        <w:tabs>
          <w:tab w:val="left" w:pos="1833"/>
        </w:tabs>
        <w:spacing w:before="2" w:line="240" w:lineRule="auto"/>
        <w:ind w:right="511" w:rightChars="0"/>
        <w:jc w:val="both"/>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lang w:val="en-US" w:eastAsia="zh-CN"/>
        </w:rPr>
        <w:t>5.4</w:t>
      </w:r>
      <w:r>
        <w:rPr>
          <w:rFonts w:hint="eastAsia" w:ascii="仿宋" w:hAnsi="仿宋" w:eastAsia="仿宋" w:cs="仿宋"/>
          <w:color w:val="auto"/>
          <w:spacing w:val="-2"/>
          <w:sz w:val="24"/>
          <w:szCs w:val="24"/>
          <w:highlight w:val="none"/>
        </w:rPr>
        <w:t>非实质性偏离是指投标文件在实质上响应招标文件的要求，但在个别地方存在一</w:t>
      </w:r>
      <w:r>
        <w:rPr>
          <w:rFonts w:hint="eastAsia" w:ascii="仿宋" w:hAnsi="仿宋" w:eastAsia="仿宋" w:cs="仿宋"/>
          <w:color w:val="auto"/>
          <w:sz w:val="24"/>
          <w:szCs w:val="24"/>
          <w:highlight w:val="none"/>
        </w:rPr>
        <w:t>些不规则、不一致、不完整的内容，并且澄清、说明或者补正这些内容不会改变投标文件的实质性内容。以下情况属于非实质性偏离：</w:t>
      </w:r>
    </w:p>
    <w:p w14:paraId="60EB5D85">
      <w:pPr>
        <w:pStyle w:val="87"/>
        <w:numPr>
          <w:ilvl w:val="0"/>
          <w:numId w:val="0"/>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文字表述的内容含义不明确；</w:t>
      </w:r>
    </w:p>
    <w:p w14:paraId="731C3A3C">
      <w:pPr>
        <w:pStyle w:val="87"/>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同类问题表述不一致；</w:t>
      </w:r>
    </w:p>
    <w:p w14:paraId="7F68148E">
      <w:pPr>
        <w:pStyle w:val="87"/>
        <w:numPr>
          <w:ilvl w:val="0"/>
          <w:numId w:val="0"/>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有明显文字和计算错误；</w:t>
      </w:r>
    </w:p>
    <w:p w14:paraId="6750CDF0">
      <w:pPr>
        <w:pStyle w:val="87"/>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提供的技术信息和数据资料不完整；</w:t>
      </w:r>
    </w:p>
    <w:p w14:paraId="0F7D8E6F">
      <w:pPr>
        <w:pStyle w:val="87"/>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投标文件未按招标文件要求进行装订或未编制目录、页码；</w:t>
      </w:r>
    </w:p>
    <w:p w14:paraId="19FDA0C3">
      <w:pPr>
        <w:pStyle w:val="87"/>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评标委员会认定的其他非实质性偏离。</w:t>
      </w:r>
    </w:p>
    <w:p w14:paraId="42AE00D6">
      <w:pPr>
        <w:pStyle w:val="12"/>
        <w:spacing w:line="240" w:lineRule="auto"/>
        <w:ind w:right="510"/>
        <w:jc w:val="both"/>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投标文件有上述</w:t>
      </w:r>
      <w:r>
        <w:rPr>
          <w:rFonts w:hint="eastAsia" w:ascii="仿宋" w:hAnsi="仿宋" w:eastAsia="仿宋" w:cs="仿宋"/>
          <w:color w:val="auto"/>
          <w:spacing w:val="-6"/>
          <w:sz w:val="24"/>
          <w:szCs w:val="24"/>
          <w:highlight w:val="none"/>
        </w:rPr>
        <w:t>（1）--（6）</w:t>
      </w:r>
      <w:r>
        <w:rPr>
          <w:rFonts w:hint="eastAsia" w:ascii="仿宋" w:hAnsi="仿宋" w:eastAsia="仿宋" w:cs="仿宋"/>
          <w:color w:val="auto"/>
          <w:spacing w:val="-4"/>
          <w:sz w:val="24"/>
          <w:szCs w:val="24"/>
          <w:highlight w:val="none"/>
        </w:rPr>
        <w:t>情形之一的，视为投标文件制作不规范，按每一项非实质</w:t>
      </w:r>
      <w:r>
        <w:rPr>
          <w:rFonts w:hint="eastAsia" w:ascii="仿宋" w:hAnsi="仿宋" w:eastAsia="仿宋" w:cs="仿宋"/>
          <w:color w:val="auto"/>
          <w:sz w:val="24"/>
          <w:szCs w:val="24"/>
          <w:highlight w:val="none"/>
        </w:rPr>
        <w:t>性偏离进行扣分处理，直至该项分值扣完为止。评标委员会不接受投标人主动提出的澄清、说明或补正。</w:t>
      </w:r>
    </w:p>
    <w:p w14:paraId="5EBC4BD1">
      <w:pPr>
        <w:spacing w:line="240" w:lineRule="auto"/>
        <w:jc w:val="both"/>
        <w:rPr>
          <w:rFonts w:hint="eastAsia" w:ascii="仿宋" w:hAnsi="仿宋" w:eastAsia="仿宋" w:cs="仿宋"/>
          <w:color w:val="auto"/>
          <w:sz w:val="24"/>
          <w:szCs w:val="24"/>
          <w:highlight w:val="none"/>
        </w:rPr>
      </w:pPr>
    </w:p>
    <w:p w14:paraId="336B0143">
      <w:pPr>
        <w:pStyle w:val="87"/>
        <w:numPr>
          <w:ilvl w:val="0"/>
          <w:numId w:val="0"/>
        </w:numPr>
        <w:tabs>
          <w:tab w:val="left" w:pos="1653"/>
        </w:tabs>
        <w:spacing w:before="38" w:line="240" w:lineRule="auto"/>
        <w:ind w:right="511" w:rightChars="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lang w:val="en-US" w:eastAsia="zh-CN"/>
        </w:rPr>
        <w:t>5.5</w:t>
      </w:r>
      <w:r>
        <w:rPr>
          <w:rFonts w:hint="eastAsia" w:ascii="仿宋" w:hAnsi="仿宋" w:eastAsia="仿宋" w:cs="仿宋"/>
          <w:color w:val="auto"/>
          <w:spacing w:val="-7"/>
          <w:sz w:val="24"/>
          <w:szCs w:val="24"/>
          <w:highlight w:val="none"/>
        </w:rPr>
        <w:t>在投标文件初审过程中，如果出现评标委员会成员意见不一致的情况，按照少数服</w:t>
      </w:r>
      <w:r>
        <w:rPr>
          <w:rFonts w:hint="eastAsia" w:ascii="仿宋" w:hAnsi="仿宋" w:eastAsia="仿宋" w:cs="仿宋"/>
          <w:color w:val="auto"/>
          <w:sz w:val="24"/>
          <w:szCs w:val="24"/>
          <w:highlight w:val="none"/>
        </w:rPr>
        <w:t>从多数的原则确定。</w:t>
      </w:r>
    </w:p>
    <w:p w14:paraId="43F667E0">
      <w:pPr>
        <w:pStyle w:val="87"/>
        <w:numPr>
          <w:ilvl w:val="0"/>
          <w:numId w:val="0"/>
        </w:numPr>
        <w:tabs>
          <w:tab w:val="left" w:pos="1653"/>
        </w:tabs>
        <w:spacing w:before="38" w:line="240" w:lineRule="auto"/>
        <w:ind w:left="1172" w:leftChars="0" w:right="511" w:rightChars="0"/>
        <w:rPr>
          <w:rFonts w:hint="eastAsia" w:ascii="仿宋" w:hAnsi="仿宋" w:eastAsia="仿宋" w:cs="仿宋"/>
          <w:b/>
          <w:color w:val="auto"/>
          <w:sz w:val="24"/>
          <w:szCs w:val="24"/>
          <w:highlight w:val="none"/>
          <w:vertAlign w:val="baseline"/>
        </w:rPr>
      </w:pPr>
    </w:p>
    <w:tbl>
      <w:tblPr>
        <w:tblStyle w:val="40"/>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74A71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14:paraId="7396BB86">
            <w:pPr>
              <w:pStyle w:val="9"/>
              <w:keepNext w:val="0"/>
              <w:keepLines w:val="0"/>
              <w:suppressLineNumbers w:val="0"/>
              <w:spacing w:before="0" w:beforeAutospacing="0" w:after="0" w:afterAutospacing="0"/>
              <w:ind w:left="0" w:right="0"/>
              <w:rPr>
                <w:rFonts w:hint="eastAsia" w:ascii="仿宋" w:hAnsi="仿宋" w:eastAsia="仿宋" w:cs="仿宋"/>
                <w:color w:val="auto"/>
                <w:highlight w:val="none"/>
                <w:vertAlign w:val="baseline"/>
                <w:lang w:val="en-US" w:eastAsia="zh-CN"/>
              </w:rPr>
            </w:pPr>
          </w:p>
        </w:tc>
      </w:tr>
    </w:tbl>
    <w:p w14:paraId="0EEF4659">
      <w:pPr>
        <w:pStyle w:val="93"/>
        <w:numPr>
          <w:ilvl w:val="0"/>
          <w:numId w:val="0"/>
        </w:numPr>
        <w:tabs>
          <w:tab w:val="left" w:pos="1297"/>
        </w:tabs>
        <w:spacing w:before="38" w:line="240" w:lineRule="auto"/>
        <w:outlineLvl w:val="1"/>
        <w:rPr>
          <w:rFonts w:hint="eastAsia" w:ascii="仿宋" w:hAnsi="仿宋" w:eastAsia="仿宋" w:cs="仿宋"/>
          <w:color w:val="auto"/>
          <w:sz w:val="24"/>
          <w:szCs w:val="24"/>
          <w:highlight w:val="none"/>
        </w:rPr>
      </w:pPr>
      <w:bookmarkStart w:id="464" w:name="_Toc20414"/>
      <w:r>
        <w:rPr>
          <w:rFonts w:hint="eastAsia" w:ascii="仿宋" w:hAnsi="仿宋" w:eastAsia="仿宋" w:cs="仿宋"/>
          <w:color w:val="auto"/>
          <w:sz w:val="24"/>
          <w:szCs w:val="24"/>
          <w:highlight w:val="none"/>
          <w:lang w:val="en-US" w:eastAsia="zh-CN"/>
        </w:rPr>
        <w:t>6.投标无效的情形：</w:t>
      </w:r>
      <w:bookmarkEnd w:id="464"/>
    </w:p>
    <w:p w14:paraId="086810F2">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（1）单位负责人为同一人或者存在直接控股、管理关系的不同供应商，其相关投标将被认定为投标无效。</w:t>
      </w:r>
    </w:p>
    <w:p w14:paraId="70FF7EA2">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（2）供应商报价超过招标文件规定的预算金额或者分项、分包最高限价的，其投标将被认定为投标无效。</w:t>
      </w:r>
    </w:p>
    <w:p w14:paraId="1E285DF7">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3）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67DF2E19">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 xml:space="preserve"> （4）供应商应当对所投分包投标文件中“服务内容”所列的所有内容进行投标，如仅响应某一包中的部分内容，其该包投标将被认定为投标无效。</w:t>
      </w:r>
    </w:p>
    <w:p w14:paraId="27D1BDB8">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（5）供应商未按本须知第12.1和12.3条规定提交投标保证金的，其投标资格将被认定为无效。</w:t>
      </w:r>
    </w:p>
    <w:p w14:paraId="0ED359BA">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6）所有投标均以人民币报价。供应商的投标报价应遵守《中华人民共和国价格法》。同时，根据《中华人民共和国政府采购法》第二条的规定，为保证公平竞争，如有服务主体部分的赠与行为，其投标将被认定为投标无效。</w:t>
      </w:r>
    </w:p>
    <w:p w14:paraId="103D532E">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（7）供应商所报的各分项投标单价在合同履行过程中是固定不变的，不得以任何理由予以变更。任何包含价格调整要求的投标，其投标将被认定为投标无效。</w:t>
      </w:r>
    </w:p>
    <w:p w14:paraId="328A1FC8">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（8）投标应在供应商须知资料表中规定时间内保持有效。投标有效期不满足要求的投标，其投标将被认定为投标无效。</w:t>
      </w:r>
    </w:p>
    <w:p w14:paraId="64E65B2D">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（9）所有投标文件采用不可拆装的胶订方式装订，否则其投标将被认定为投标无效。</w:t>
      </w:r>
    </w:p>
    <w:p w14:paraId="3EB644B3">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（10）采购人或采购代理机构将在开标前1个工作日至投标截止后1小时的期间内查询供应商的信用记录。供应商存在不良信用记录的，其投标将被认定为投标无效。</w:t>
      </w:r>
    </w:p>
    <w:p w14:paraId="68F4C6DD">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27E25A4A">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03D32DA5">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13）如发现下列情况之一的，其投标将被认定为投标无效：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6A38BB48">
      <w:pPr>
        <w:pStyle w:val="87"/>
        <w:numPr>
          <w:ilvl w:val="0"/>
          <w:numId w:val="0"/>
        </w:numPr>
        <w:tabs>
          <w:tab w:val="left" w:pos="1476"/>
        </w:tabs>
        <w:spacing w:line="360" w:lineRule="auto"/>
        <w:ind w:right="-84" w:rightChars="0"/>
        <w:jc w:val="both"/>
        <w:rPr>
          <w:rFonts w:hint="eastAsia" w:ascii="仿宋" w:hAnsi="仿宋" w:eastAsia="仿宋" w:cs="仿宋"/>
          <w:color w:val="auto"/>
          <w:kern w:val="2"/>
          <w:sz w:val="24"/>
          <w:szCs w:val="24"/>
          <w:highlight w:val="none"/>
          <w:lang w:val="en-US" w:eastAsia="zh-CN" w:bidi="ar-SA"/>
        </w:rPr>
      </w:pPr>
    </w:p>
    <w:p w14:paraId="3D7A1886">
      <w:pPr>
        <w:pStyle w:val="87"/>
        <w:numPr>
          <w:ilvl w:val="0"/>
          <w:numId w:val="0"/>
        </w:numPr>
        <w:tabs>
          <w:tab w:val="left" w:pos="1476"/>
        </w:tabs>
        <w:spacing w:line="360" w:lineRule="auto"/>
        <w:ind w:right="-84" w:right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注：1.</w:t>
      </w:r>
      <w:r>
        <w:rPr>
          <w:rFonts w:hint="eastAsia" w:ascii="仿宋" w:hAnsi="仿宋" w:eastAsia="仿宋" w:cs="仿宋"/>
          <w:b/>
          <w:bCs/>
          <w:color w:val="auto"/>
          <w:kern w:val="2"/>
          <w:sz w:val="24"/>
          <w:szCs w:val="24"/>
          <w:highlight w:val="none"/>
          <w:lang w:val="en-US" w:eastAsia="zh-CN" w:bidi="ar-SA"/>
        </w:rPr>
        <w:t>（本项目不适用）</w:t>
      </w:r>
      <w:r>
        <w:rPr>
          <w:rFonts w:hint="eastAsia" w:ascii="仿宋" w:hAnsi="仿宋" w:eastAsia="仿宋" w:cs="仿宋"/>
          <w:color w:val="auto"/>
          <w:kern w:val="2"/>
          <w:sz w:val="24"/>
          <w:szCs w:val="24"/>
          <w:highlight w:val="none"/>
          <w:lang w:val="en-US" w:eastAsia="zh-CN" w:bidi="ar-SA"/>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10%的扣除，用扣除后的价格参加评审。对于同时属于小微企业、监狱企业或残疾人福利性单位的，不重复进行投标报价扣除。</w:t>
      </w:r>
    </w:p>
    <w:p w14:paraId="3512ADB8">
      <w:pPr>
        <w:widowControl/>
        <w:numPr>
          <w:ilvl w:val="0"/>
          <w:numId w:val="0"/>
        </w:num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b/>
          <w:bCs/>
          <w:color w:val="auto"/>
          <w:sz w:val="24"/>
          <w:highlight w:val="none"/>
          <w:lang w:eastAsia="zh-CN"/>
        </w:rPr>
        <w:t>（本项目</w:t>
      </w:r>
      <w:r>
        <w:rPr>
          <w:rFonts w:hint="eastAsia" w:ascii="仿宋" w:hAnsi="仿宋" w:eastAsia="仿宋" w:cs="仿宋"/>
          <w:b/>
          <w:bCs/>
          <w:color w:val="auto"/>
          <w:sz w:val="24"/>
          <w:highlight w:val="none"/>
          <w:lang w:val="en-US" w:eastAsia="zh-CN"/>
        </w:rPr>
        <w:t>不</w:t>
      </w:r>
      <w:r>
        <w:rPr>
          <w:rFonts w:hint="eastAsia" w:ascii="仿宋" w:hAnsi="仿宋" w:eastAsia="仿宋" w:cs="仿宋"/>
          <w:b/>
          <w:bCs/>
          <w:color w:val="auto"/>
          <w:sz w:val="24"/>
          <w:highlight w:val="none"/>
          <w:lang w:eastAsia="zh-CN"/>
        </w:rPr>
        <w:t>接受联合体投标）</w:t>
      </w:r>
      <w:r>
        <w:rPr>
          <w:rFonts w:hint="eastAsia" w:ascii="仿宋" w:hAnsi="仿宋" w:eastAsia="仿宋" w:cs="仿宋"/>
          <w:color w:val="auto"/>
          <w:sz w:val="24"/>
          <w:highlight w:val="none"/>
        </w:rPr>
        <w:t>联合协议中约定，小型、微型企业和监狱企业的协议合同金额占到联合体协议合同总金额30%以上的，可给予联合体</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%的价格扣除。联合体各方均为小型、微型企业和监狱企业的，联合体视同为小型、微型企业和监狱企业。</w:t>
      </w:r>
    </w:p>
    <w:p w14:paraId="13F11ED9">
      <w:pPr>
        <w:pStyle w:val="12"/>
        <w:tabs>
          <w:tab w:val="clear" w:pos="567"/>
        </w:tabs>
        <w:spacing w:before="0"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详见评标办法</w:t>
      </w:r>
      <w:r>
        <w:rPr>
          <w:rFonts w:hint="eastAsia" w:ascii="仿宋" w:hAnsi="仿宋" w:eastAsia="仿宋" w:cs="仿宋"/>
          <w:color w:val="auto"/>
          <w:highlight w:val="none"/>
          <w:u w:val="single"/>
        </w:rPr>
        <w:t xml:space="preserve">     </w:t>
      </w:r>
    </w:p>
    <w:p w14:paraId="5368B5D5">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color w:val="auto"/>
          <w:highlight w:val="none"/>
        </w:rPr>
        <w:t>投标无效</w:t>
      </w:r>
      <w:r>
        <w:rPr>
          <w:rFonts w:hint="eastAsia" w:ascii="仿宋" w:hAnsi="仿宋" w:eastAsia="仿宋" w:cs="仿宋"/>
          <w:color w:val="auto"/>
          <w:highlight w:val="none"/>
        </w:rPr>
        <w:t>。</w:t>
      </w:r>
    </w:p>
    <w:p w14:paraId="4227F496">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.对创新产品或创新性企业的优惠措施为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无</w:t>
      </w:r>
      <w:r>
        <w:rPr>
          <w:rFonts w:hint="eastAsia" w:ascii="仿宋" w:hAnsi="仿宋" w:eastAsia="仿宋" w:cs="仿宋"/>
          <w:color w:val="auto"/>
          <w:highlight w:val="none"/>
          <w:u w:val="single"/>
        </w:rPr>
        <w:t xml:space="preserve">      </w:t>
      </w:r>
    </w:p>
    <w:p w14:paraId="2071B2F3">
      <w:pPr>
        <w:pStyle w:val="12"/>
        <w:tabs>
          <w:tab w:val="clear" w:pos="567"/>
        </w:tabs>
        <w:spacing w:before="0"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r>
        <w:rPr>
          <w:rFonts w:hint="eastAsia" w:ascii="仿宋" w:hAnsi="仿宋" w:eastAsia="仿宋" w:cs="仿宋"/>
          <w:b/>
          <w:bCs/>
          <w:color w:val="auto"/>
          <w:highlight w:val="none"/>
          <w:lang w:val="en-US" w:eastAsia="zh-CN"/>
        </w:rPr>
        <w:t>本项目不适用</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相同品牌产品</w:t>
      </w:r>
      <w:r>
        <w:rPr>
          <w:rFonts w:hint="eastAsia" w:ascii="仿宋" w:hAnsi="仿宋" w:eastAsia="仿宋" w:cs="仿宋"/>
          <w:color w:val="auto"/>
          <w:highlight w:val="none"/>
        </w:rPr>
        <w:t>处理办法</w:t>
      </w:r>
      <w:r>
        <w:rPr>
          <w:rFonts w:hint="eastAsia" w:ascii="仿宋" w:hAnsi="仿宋" w:eastAsia="仿宋" w:cs="仿宋"/>
          <w:color w:val="auto"/>
          <w:highlight w:val="none"/>
          <w:lang w:eastAsia="zh-CN"/>
        </w:rPr>
        <w:t>：非单一产品采购项目，采购人应当根据采购项目技术构成、产品价格比重等合理确定核心产品，并在招标文件中载明。多家投标人提供的核心产品品牌相同的，按以下规定处理</w:t>
      </w:r>
      <w:r>
        <w:rPr>
          <w:rFonts w:hint="eastAsia" w:ascii="仿宋" w:hAnsi="仿宋" w:eastAsia="仿宋" w:cs="仿宋"/>
          <w:color w:val="auto"/>
          <w:highlight w:val="none"/>
          <w:lang w:val="en-US" w:eastAsia="zh-CN"/>
        </w:rPr>
        <w:t>。</w:t>
      </w:r>
    </w:p>
    <w:p w14:paraId="1050669F">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如采用最低评标</w:t>
      </w:r>
      <w:r>
        <w:rPr>
          <w:rFonts w:hint="eastAsia" w:ascii="仿宋" w:hAnsi="仿宋" w:eastAsia="仿宋" w:cs="仿宋"/>
          <w:color w:val="auto"/>
          <w:highlight w:val="none"/>
          <w:lang w:eastAsia="zh-CN"/>
        </w:rPr>
        <w:t>价</w:t>
      </w:r>
      <w:r>
        <w:rPr>
          <w:rFonts w:hint="eastAsia" w:ascii="仿宋" w:hAnsi="仿宋" w:eastAsia="仿宋" w:cs="仿宋"/>
          <w:color w:val="auto"/>
          <w:highlight w:val="none"/>
        </w:rPr>
        <w:t>法，则：</w:t>
      </w:r>
      <w:r>
        <w:rPr>
          <w:rFonts w:hint="eastAsia" w:ascii="仿宋" w:hAnsi="仿宋" w:eastAsia="仿宋" w:cs="仿宋"/>
          <w:color w:val="auto"/>
          <w:highlight w:val="none"/>
          <w:u w:val="single"/>
          <w:lang w:eastAsia="zh-CN"/>
        </w:rPr>
        <w:t>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r>
        <w:rPr>
          <w:rFonts w:hint="eastAsia" w:ascii="仿宋" w:hAnsi="仿宋" w:eastAsia="仿宋" w:cs="仿宋"/>
          <w:b/>
          <w:bCs/>
          <w:color w:val="auto"/>
          <w:highlight w:val="none"/>
          <w:u w:val="single"/>
          <w:lang w:eastAsia="zh-CN"/>
        </w:rPr>
        <w:t>规定：报价相同的，采用随机抽取方式确定</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1455E0F">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如采用综合评标法，则：</w:t>
      </w:r>
      <w:r>
        <w:rPr>
          <w:rFonts w:hint="eastAsia" w:ascii="仿宋" w:hAnsi="仿宋" w:eastAsia="仿宋" w:cs="仿宋"/>
          <w:color w:val="auto"/>
          <w:highlight w:val="none"/>
          <w:u w:val="single"/>
          <w:lang w:eastAsia="zh-CN"/>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r>
        <w:rPr>
          <w:rFonts w:hint="eastAsia" w:ascii="仿宋" w:hAnsi="仿宋" w:eastAsia="仿宋" w:cs="仿宋"/>
          <w:b/>
          <w:bCs/>
          <w:color w:val="auto"/>
          <w:highlight w:val="none"/>
          <w:u w:val="single"/>
          <w:lang w:eastAsia="zh-CN"/>
        </w:rPr>
        <w:t>规定：评审得分相同的，报价低的获得中标人推荐资格，报价分也相同的，采用随机抽取方式确定推荐资格</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2258A5F">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 xml:space="preserve">.中标候选人并列时的处理方式：   </w:t>
      </w:r>
    </w:p>
    <w:p w14:paraId="6128F8A1">
      <w:pPr>
        <w:pStyle w:val="12"/>
        <w:tabs>
          <w:tab w:val="clear" w:pos="567"/>
        </w:tabs>
        <w:spacing w:before="0" w:line="360" w:lineRule="auto"/>
        <w:ind w:left="-181" w:leftChars="-86" w:firstLine="180" w:firstLineChars="75"/>
        <w:rPr>
          <w:rFonts w:hint="eastAsia" w:ascii="仿宋" w:hAnsi="仿宋" w:eastAsia="仿宋" w:cs="仿宋"/>
          <w:color w:val="auto"/>
          <w:highlight w:val="none"/>
        </w:rPr>
      </w:pPr>
      <w:r>
        <w:rPr>
          <w:rFonts w:hint="eastAsia" w:ascii="仿宋" w:hAnsi="仿宋" w:eastAsia="仿宋" w:cs="仿宋"/>
          <w:color w:val="auto"/>
          <w:highlight w:val="none"/>
        </w:rPr>
        <w:t>如采用最低评标办法，则：</w:t>
      </w:r>
      <w:r>
        <w:rPr>
          <w:rFonts w:hint="eastAsia" w:ascii="仿宋" w:hAnsi="仿宋" w:eastAsia="仿宋" w:cs="仿宋"/>
          <w:color w:val="auto"/>
          <w:highlight w:val="none"/>
          <w:u w:val="single"/>
          <w:lang w:eastAsia="zh-CN"/>
        </w:rPr>
        <w:t>采用随机抽取的方式确定</w:t>
      </w:r>
      <w:r>
        <w:rPr>
          <w:rFonts w:hint="eastAsia" w:ascii="仿宋" w:hAnsi="仿宋" w:eastAsia="仿宋" w:cs="仿宋"/>
          <w:color w:val="auto"/>
          <w:highlight w:val="none"/>
        </w:rPr>
        <w:t>；</w:t>
      </w:r>
    </w:p>
    <w:p w14:paraId="65CD3F42">
      <w:pPr>
        <w:pStyle w:val="12"/>
        <w:tabs>
          <w:tab w:val="clear" w:pos="567"/>
        </w:tabs>
        <w:spacing w:before="0" w:line="360" w:lineRule="auto"/>
        <w:ind w:left="119" w:leftChars="28" w:hanging="60" w:hangingChars="25"/>
        <w:rPr>
          <w:rFonts w:hint="eastAsia" w:ascii="仿宋" w:hAnsi="仿宋" w:eastAsia="仿宋" w:cs="仿宋"/>
          <w:color w:val="auto"/>
          <w:highlight w:val="none"/>
        </w:rPr>
      </w:pPr>
      <w:r>
        <w:rPr>
          <w:rFonts w:hint="eastAsia" w:ascii="仿宋" w:hAnsi="仿宋" w:eastAsia="仿宋" w:cs="仿宋"/>
          <w:color w:val="auto"/>
          <w:highlight w:val="none"/>
        </w:rPr>
        <w:t>如采用综合评标法，则：</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报价最低者优先，如报价相同，则采用随机抽取的方式确定</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BC04BBD">
      <w:pPr>
        <w:pStyle w:val="12"/>
        <w:tabs>
          <w:tab w:val="clear" w:pos="567"/>
        </w:tabs>
        <w:spacing w:before="0" w:line="360" w:lineRule="auto"/>
        <w:ind w:left="-181" w:leftChars="-86" w:firstLine="660" w:firstLineChars="275"/>
        <w:rPr>
          <w:rFonts w:hint="eastAsia" w:ascii="仿宋" w:hAnsi="仿宋" w:eastAsia="仿宋" w:cs="仿宋"/>
        </w:rPr>
      </w:pPr>
      <w:r>
        <w:rPr>
          <w:rFonts w:hint="eastAsia" w:ascii="仿宋" w:hAnsi="仿宋" w:eastAsia="仿宋" w:cs="仿宋"/>
          <w:color w:val="auto"/>
          <w:highlight w:val="none"/>
        </w:rPr>
        <w:br w:type="page"/>
      </w:r>
    </w:p>
    <w:tbl>
      <w:tblPr>
        <w:tblStyle w:val="39"/>
        <w:tblW w:w="957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13"/>
        <w:gridCol w:w="6587"/>
        <w:gridCol w:w="625"/>
        <w:gridCol w:w="643"/>
        <w:gridCol w:w="534"/>
        <w:gridCol w:w="670"/>
      </w:tblGrid>
      <w:tr w14:paraId="4AE92E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9572" w:type="dxa"/>
            <w:gridSpan w:val="6"/>
            <w:tcBorders>
              <w:top w:val="single" w:color="auto" w:sz="12" w:space="0"/>
              <w:left w:val="single" w:color="auto" w:sz="12" w:space="0"/>
              <w:bottom w:val="single" w:color="auto" w:sz="6" w:space="0"/>
              <w:right w:val="single" w:color="auto" w:sz="12" w:space="0"/>
            </w:tcBorders>
            <w:noWrap w:val="0"/>
            <w:vAlign w:val="center"/>
          </w:tcPr>
          <w:p w14:paraId="1DF1CDB4">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bCs/>
                <w:color w:val="auto"/>
                <w:kern w:val="0"/>
                <w:sz w:val="32"/>
                <w:szCs w:val="32"/>
                <w:highlight w:val="none"/>
                <w:lang w:val="en-US" w:eastAsia="zh-CN"/>
              </w:rPr>
              <w:t>初步符合性审查</w:t>
            </w:r>
          </w:p>
        </w:tc>
      </w:tr>
      <w:tr w14:paraId="4979FD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7100" w:type="dxa"/>
            <w:gridSpan w:val="2"/>
            <w:vMerge w:val="restart"/>
            <w:tcBorders>
              <w:top w:val="single" w:color="auto" w:sz="12" w:space="0"/>
              <w:left w:val="single" w:color="auto" w:sz="12" w:space="0"/>
              <w:bottom w:val="single" w:color="auto" w:sz="6" w:space="0"/>
              <w:right w:val="single" w:color="auto" w:sz="4" w:space="0"/>
            </w:tcBorders>
            <w:noWrap w:val="0"/>
            <w:vAlign w:val="center"/>
          </w:tcPr>
          <w:p w14:paraId="55211443">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2472" w:type="dxa"/>
            <w:gridSpan w:val="4"/>
            <w:tcBorders>
              <w:top w:val="single" w:color="auto" w:sz="12" w:space="0"/>
              <w:left w:val="single" w:color="auto" w:sz="4" w:space="0"/>
              <w:bottom w:val="single" w:color="auto" w:sz="4" w:space="0"/>
              <w:right w:val="single" w:color="auto" w:sz="12" w:space="0"/>
            </w:tcBorders>
            <w:noWrap w:val="0"/>
            <w:vAlign w:val="center"/>
          </w:tcPr>
          <w:p w14:paraId="4CFAB72B">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投标企业名称</w:t>
            </w:r>
          </w:p>
        </w:tc>
      </w:tr>
      <w:tr w14:paraId="37E38C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7100" w:type="dxa"/>
            <w:gridSpan w:val="2"/>
            <w:vMerge w:val="continue"/>
            <w:tcBorders>
              <w:top w:val="single" w:color="auto" w:sz="12" w:space="0"/>
              <w:left w:val="single" w:color="auto" w:sz="12" w:space="0"/>
              <w:bottom w:val="single" w:color="auto" w:sz="6" w:space="0"/>
              <w:right w:val="single" w:color="auto" w:sz="4" w:space="0"/>
            </w:tcBorders>
            <w:noWrap w:val="0"/>
            <w:vAlign w:val="center"/>
          </w:tcPr>
          <w:p w14:paraId="6DEB5DD2">
            <w:pPr>
              <w:keepNext w:val="0"/>
              <w:keepLines w:val="0"/>
              <w:widowControl/>
              <w:suppressLineNumbers w:val="0"/>
              <w:spacing w:before="0" w:beforeAutospacing="0" w:after="0" w:afterAutospacing="0" w:line="360" w:lineRule="auto"/>
              <w:ind w:left="0" w:right="0"/>
              <w:jc w:val="left"/>
              <w:rPr>
                <w:rFonts w:hint="eastAsia" w:ascii="仿宋" w:hAnsi="仿宋" w:eastAsia="仿宋" w:cs="仿宋"/>
                <w:b/>
                <w:color w:val="auto"/>
                <w:sz w:val="21"/>
                <w:szCs w:val="21"/>
                <w:highlight w:val="none"/>
              </w:rPr>
            </w:pPr>
          </w:p>
        </w:tc>
        <w:tc>
          <w:tcPr>
            <w:tcW w:w="625" w:type="dxa"/>
            <w:tcBorders>
              <w:top w:val="single" w:color="auto" w:sz="4" w:space="0"/>
              <w:left w:val="single" w:color="auto" w:sz="4" w:space="0"/>
              <w:bottom w:val="single" w:color="auto" w:sz="6" w:space="0"/>
              <w:right w:val="single" w:color="auto" w:sz="4" w:space="0"/>
            </w:tcBorders>
            <w:noWrap w:val="0"/>
            <w:vAlign w:val="top"/>
          </w:tcPr>
          <w:p w14:paraId="07C13A08">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w:t>
            </w:r>
          </w:p>
        </w:tc>
        <w:tc>
          <w:tcPr>
            <w:tcW w:w="643" w:type="dxa"/>
            <w:tcBorders>
              <w:top w:val="single" w:color="auto" w:sz="4" w:space="0"/>
              <w:left w:val="single" w:color="auto" w:sz="4" w:space="0"/>
              <w:bottom w:val="single" w:color="auto" w:sz="6" w:space="0"/>
              <w:right w:val="single" w:color="auto" w:sz="6" w:space="0"/>
            </w:tcBorders>
            <w:noWrap w:val="0"/>
            <w:vAlign w:val="top"/>
          </w:tcPr>
          <w:p w14:paraId="0D32CFD3">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w:t>
            </w:r>
          </w:p>
        </w:tc>
        <w:tc>
          <w:tcPr>
            <w:tcW w:w="534" w:type="dxa"/>
            <w:tcBorders>
              <w:top w:val="single" w:color="auto" w:sz="6" w:space="0"/>
              <w:left w:val="single" w:color="auto" w:sz="6" w:space="0"/>
              <w:bottom w:val="single" w:color="auto" w:sz="6" w:space="0"/>
              <w:right w:val="single" w:color="auto" w:sz="6" w:space="0"/>
            </w:tcBorders>
            <w:noWrap w:val="0"/>
            <w:vAlign w:val="center"/>
          </w:tcPr>
          <w:p w14:paraId="7C750FE2">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p>
        </w:tc>
        <w:tc>
          <w:tcPr>
            <w:tcW w:w="670" w:type="dxa"/>
            <w:tcBorders>
              <w:top w:val="single" w:color="auto" w:sz="6" w:space="0"/>
              <w:left w:val="single" w:color="auto" w:sz="6" w:space="0"/>
              <w:bottom w:val="single" w:color="auto" w:sz="6" w:space="0"/>
              <w:right w:val="single" w:color="auto" w:sz="12" w:space="0"/>
            </w:tcBorders>
            <w:noWrap w:val="0"/>
            <w:vAlign w:val="center"/>
          </w:tcPr>
          <w:p w14:paraId="005A043C">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w:t>
            </w:r>
          </w:p>
        </w:tc>
      </w:tr>
      <w:tr w14:paraId="0A38C8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13E62EA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lang w:val="en-US" w:eastAsia="zh-CN"/>
              </w:rPr>
              <w:t>1</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2C82E17C">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由政府立项核准、审批的采购项目，投标报价高于设定的采购预算价的；</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4965F5D8">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2228BC43">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5722F67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13EFEE9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2C709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600E7EA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2</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5DDCE7FE">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供应商名称或组织机构与</w:t>
            </w:r>
            <w:r>
              <w:rPr>
                <w:rFonts w:hint="eastAsia" w:ascii="仿宋" w:hAnsi="仿宋" w:eastAsia="仿宋" w:cs="仿宋"/>
                <w:color w:val="auto"/>
                <w:kern w:val="0"/>
                <w:sz w:val="21"/>
                <w:szCs w:val="21"/>
                <w:highlight w:val="none"/>
                <w:lang w:eastAsia="zh-CN"/>
              </w:rPr>
              <w:t>获取</w:t>
            </w:r>
            <w:r>
              <w:rPr>
                <w:rFonts w:hint="eastAsia" w:ascii="仿宋" w:hAnsi="仿宋" w:eastAsia="仿宋" w:cs="仿宋"/>
                <w:color w:val="auto"/>
                <w:kern w:val="0"/>
                <w:sz w:val="21"/>
                <w:szCs w:val="21"/>
                <w:highlight w:val="none"/>
              </w:rPr>
              <w:t>招标文件时不一致，未提供有效证明文件；</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34EE9DAF">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485E8D66">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5E1FE566">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1A37D658">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54DC59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6C87C3CB">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3</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76A379D4">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对招标文件主要条款和承诺存在重大出入或保留；</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3C6D4C56">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5E5DCC7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6CD92C12">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1E8AD997">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0D956D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6EE297D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4</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25A0F8F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投标文件未按照招标文件要求编写、印鉴及签字；</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29A3291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301C776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05EF1D57">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4A62925D">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3F2FD5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7DC02A5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5</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56356E5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供应商未按招标文件要求的格式填写，内容不全或关键字迹模糊、无法辨认的情况；</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1CA6A65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3913857E">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5CD0A31C">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350A03B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21B33B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3845525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6</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0371A7E1">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供应商有违反招标投标纪律的情况；</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0B2444E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1617868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462134A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0EAB8BF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0A8769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7BA6CB3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7</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3F6B399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bCs/>
                <w:color w:val="auto"/>
                <w:sz w:val="21"/>
                <w:szCs w:val="21"/>
                <w:highlight w:val="none"/>
              </w:rPr>
              <w:t>未提供招标文件</w:t>
            </w:r>
            <w:r>
              <w:rPr>
                <w:rFonts w:hint="eastAsia" w:ascii="仿宋" w:hAnsi="仿宋" w:eastAsia="仿宋" w:cs="仿宋"/>
                <w:bCs/>
                <w:color w:val="auto"/>
                <w:kern w:val="0"/>
                <w:sz w:val="21"/>
                <w:szCs w:val="21"/>
                <w:highlight w:val="none"/>
              </w:rPr>
              <w:t>中规定的其他实质性要求；</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1E90B591">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2766A71F">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2E48CBF9">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49C0918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359644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7100" w:type="dxa"/>
            <w:gridSpan w:val="2"/>
            <w:tcBorders>
              <w:top w:val="single" w:color="auto" w:sz="6" w:space="0"/>
              <w:left w:val="single" w:color="auto" w:sz="12" w:space="0"/>
              <w:bottom w:val="single" w:color="auto" w:sz="12" w:space="0"/>
              <w:right w:val="single" w:color="auto" w:sz="4" w:space="0"/>
            </w:tcBorders>
            <w:noWrap w:val="0"/>
            <w:vAlign w:val="top"/>
          </w:tcPr>
          <w:p w14:paraId="30F7D009">
            <w:pPr>
              <w:keepNext w:val="0"/>
              <w:keepLines w:val="0"/>
              <w:widowControl/>
              <w:suppressLineNumbers w:val="0"/>
              <w:spacing w:before="0" w:beforeAutospacing="0" w:after="0" w:afterAutospacing="0" w:line="360" w:lineRule="auto"/>
              <w:ind w:left="0" w:right="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结论：是否通过评审</w:t>
            </w:r>
          </w:p>
          <w:p w14:paraId="73AAFCE9">
            <w:pPr>
              <w:keepNext w:val="0"/>
              <w:keepLines w:val="0"/>
              <w:widowControl/>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未通过初步评审的，为无效投标。</w:t>
            </w:r>
          </w:p>
        </w:tc>
        <w:tc>
          <w:tcPr>
            <w:tcW w:w="625" w:type="dxa"/>
            <w:tcBorders>
              <w:top w:val="single" w:color="auto" w:sz="6" w:space="0"/>
              <w:left w:val="single" w:color="auto" w:sz="4" w:space="0"/>
              <w:bottom w:val="single" w:color="auto" w:sz="12" w:space="0"/>
              <w:right w:val="single" w:color="auto" w:sz="4" w:space="0"/>
            </w:tcBorders>
            <w:noWrap w:val="0"/>
            <w:vAlign w:val="top"/>
          </w:tcPr>
          <w:p w14:paraId="4570E3F3">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12" w:space="0"/>
              <w:right w:val="single" w:color="auto" w:sz="6" w:space="0"/>
            </w:tcBorders>
            <w:noWrap w:val="0"/>
            <w:vAlign w:val="top"/>
          </w:tcPr>
          <w:p w14:paraId="17920D2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12" w:space="0"/>
              <w:right w:val="single" w:color="auto" w:sz="6" w:space="0"/>
            </w:tcBorders>
            <w:noWrap w:val="0"/>
            <w:vAlign w:val="top"/>
          </w:tcPr>
          <w:p w14:paraId="087C5049">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6" w:space="0"/>
              <w:bottom w:val="single" w:color="auto" w:sz="12" w:space="0"/>
              <w:right w:val="single" w:color="auto" w:sz="12" w:space="0"/>
            </w:tcBorders>
            <w:noWrap w:val="0"/>
            <w:vAlign w:val="top"/>
          </w:tcPr>
          <w:p w14:paraId="25A40262">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bl>
    <w:p w14:paraId="76FEA4BE">
      <w:pPr>
        <w:pStyle w:val="12"/>
        <w:spacing w:before="12" w:line="240" w:lineRule="auto"/>
        <w:rPr>
          <w:rFonts w:hint="eastAsia" w:ascii="仿宋" w:hAnsi="仿宋" w:eastAsia="仿宋" w:cs="仿宋"/>
          <w:color w:val="auto"/>
          <w:sz w:val="24"/>
          <w:szCs w:val="24"/>
          <w:highlight w:val="none"/>
        </w:rPr>
      </w:pPr>
    </w:p>
    <w:p w14:paraId="61BAD11F">
      <w:pPr>
        <w:pStyle w:val="12"/>
        <w:spacing w:before="12" w:line="240" w:lineRule="auto"/>
        <w:rPr>
          <w:rFonts w:hint="eastAsia" w:ascii="仿宋" w:hAnsi="仿宋" w:eastAsia="仿宋" w:cs="仿宋"/>
          <w:color w:val="auto"/>
          <w:sz w:val="24"/>
          <w:szCs w:val="24"/>
          <w:highlight w:val="none"/>
        </w:rPr>
      </w:pPr>
    </w:p>
    <w:p w14:paraId="72358012">
      <w:pPr>
        <w:pStyle w:val="12"/>
        <w:spacing w:before="12" w:line="240" w:lineRule="auto"/>
        <w:rPr>
          <w:rFonts w:hint="eastAsia" w:ascii="仿宋" w:hAnsi="仿宋" w:eastAsia="仿宋" w:cs="仿宋"/>
          <w:color w:val="auto"/>
          <w:sz w:val="24"/>
          <w:szCs w:val="24"/>
          <w:highlight w:val="none"/>
        </w:rPr>
      </w:pPr>
    </w:p>
    <w:p w14:paraId="70F8E6A9">
      <w:pPr>
        <w:rPr>
          <w:rFonts w:hint="eastAsia" w:ascii="仿宋" w:hAnsi="仿宋" w:eastAsia="仿宋" w:cs="仿宋"/>
          <w:color w:val="auto"/>
          <w:sz w:val="24"/>
          <w:szCs w:val="24"/>
          <w:highlight w:val="none"/>
        </w:rPr>
      </w:pPr>
    </w:p>
    <w:p w14:paraId="7216114F">
      <w:pPr>
        <w:pStyle w:val="27"/>
        <w:rPr>
          <w:rFonts w:hint="eastAsia" w:ascii="仿宋" w:hAnsi="仿宋" w:eastAsia="仿宋" w:cs="仿宋"/>
          <w:color w:val="auto"/>
          <w:sz w:val="24"/>
          <w:szCs w:val="24"/>
          <w:highlight w:val="none"/>
        </w:rPr>
      </w:pPr>
    </w:p>
    <w:p w14:paraId="3A7A23DC">
      <w:pPr>
        <w:pStyle w:val="27"/>
        <w:rPr>
          <w:rFonts w:hint="eastAsia" w:ascii="仿宋" w:hAnsi="仿宋" w:eastAsia="仿宋" w:cs="仿宋"/>
          <w:color w:val="auto"/>
          <w:sz w:val="24"/>
          <w:szCs w:val="24"/>
          <w:highlight w:val="none"/>
        </w:rPr>
      </w:pPr>
    </w:p>
    <w:p w14:paraId="3C209E00">
      <w:pPr>
        <w:pStyle w:val="27"/>
        <w:rPr>
          <w:rFonts w:hint="eastAsia" w:ascii="仿宋" w:hAnsi="仿宋" w:eastAsia="仿宋" w:cs="仿宋"/>
          <w:color w:val="auto"/>
          <w:sz w:val="24"/>
          <w:szCs w:val="24"/>
          <w:highlight w:val="none"/>
        </w:rPr>
      </w:pPr>
    </w:p>
    <w:p w14:paraId="14B3AB4E">
      <w:pPr>
        <w:pStyle w:val="27"/>
        <w:rPr>
          <w:rFonts w:hint="eastAsia" w:ascii="仿宋" w:hAnsi="仿宋" w:eastAsia="仿宋" w:cs="仿宋"/>
          <w:color w:val="auto"/>
          <w:sz w:val="24"/>
          <w:szCs w:val="24"/>
          <w:highlight w:val="none"/>
        </w:rPr>
      </w:pPr>
    </w:p>
    <w:p w14:paraId="6D2391C1">
      <w:pPr>
        <w:pStyle w:val="27"/>
        <w:rPr>
          <w:rFonts w:hint="eastAsia" w:ascii="仿宋" w:hAnsi="仿宋" w:eastAsia="仿宋" w:cs="仿宋"/>
          <w:color w:val="auto"/>
          <w:sz w:val="24"/>
          <w:szCs w:val="24"/>
          <w:highlight w:val="none"/>
        </w:rPr>
      </w:pPr>
    </w:p>
    <w:p w14:paraId="70E5747F">
      <w:pPr>
        <w:pStyle w:val="12"/>
        <w:spacing w:before="12" w:line="240" w:lineRule="auto"/>
        <w:rPr>
          <w:rFonts w:hint="eastAsia" w:ascii="仿宋" w:hAnsi="仿宋" w:eastAsia="仿宋" w:cs="仿宋"/>
          <w:color w:val="auto"/>
          <w:sz w:val="24"/>
          <w:szCs w:val="24"/>
          <w:highlight w:val="none"/>
        </w:rPr>
      </w:pPr>
    </w:p>
    <w:p w14:paraId="2F17F481">
      <w:pPr>
        <w:pStyle w:val="12"/>
        <w:spacing w:before="12" w:line="240" w:lineRule="auto"/>
        <w:rPr>
          <w:rFonts w:hint="eastAsia" w:ascii="仿宋" w:hAnsi="仿宋" w:eastAsia="仿宋" w:cs="仿宋"/>
          <w:color w:val="auto"/>
          <w:sz w:val="24"/>
          <w:szCs w:val="24"/>
          <w:highlight w:val="none"/>
        </w:rPr>
      </w:pPr>
    </w:p>
    <w:p w14:paraId="6C34D33D">
      <w:pPr>
        <w:pStyle w:val="12"/>
        <w:spacing w:before="12"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tbl>
      <w:tblPr>
        <w:tblStyle w:val="39"/>
        <w:tblW w:w="8700" w:type="dxa"/>
        <w:tblInd w:w="108" w:type="dxa"/>
        <w:tblLayout w:type="fixed"/>
        <w:tblCellMar>
          <w:top w:w="0" w:type="dxa"/>
          <w:left w:w="108" w:type="dxa"/>
          <w:bottom w:w="0" w:type="dxa"/>
          <w:right w:w="108" w:type="dxa"/>
        </w:tblCellMar>
      </w:tblPr>
      <w:tblGrid>
        <w:gridCol w:w="2126"/>
        <w:gridCol w:w="2127"/>
        <w:gridCol w:w="1417"/>
        <w:gridCol w:w="1418"/>
        <w:gridCol w:w="1612"/>
      </w:tblGrid>
      <w:tr w14:paraId="3E92979B">
        <w:tblPrEx>
          <w:tblCellMar>
            <w:top w:w="0" w:type="dxa"/>
            <w:left w:w="108" w:type="dxa"/>
            <w:bottom w:w="0" w:type="dxa"/>
            <w:right w:w="108" w:type="dxa"/>
          </w:tblCellMar>
        </w:tblPrEx>
        <w:trPr>
          <w:trHeight w:val="585" w:hRule="atLeast"/>
        </w:trPr>
        <w:tc>
          <w:tcPr>
            <w:tcW w:w="8700" w:type="dxa"/>
            <w:gridSpan w:val="5"/>
            <w:tcBorders>
              <w:top w:val="nil"/>
              <w:left w:val="nil"/>
              <w:bottom w:val="single" w:color="auto" w:sz="4" w:space="0"/>
              <w:right w:val="nil"/>
            </w:tcBorders>
            <w:noWrap w:val="0"/>
            <w:vAlign w:val="center"/>
          </w:tcPr>
          <w:p w14:paraId="34C78DF3">
            <w:pPr>
              <w:keepNext w:val="0"/>
              <w:keepLines w:val="0"/>
              <w:widowControl/>
              <w:suppressLineNumbers w:val="0"/>
              <w:spacing w:before="0" w:beforeAutospacing="0" w:after="0" w:afterAutospacing="0"/>
              <w:ind w:left="0" w:right="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商务符合性审查表</w:t>
            </w:r>
          </w:p>
        </w:tc>
      </w:tr>
      <w:tr w14:paraId="6D9C4142">
        <w:tblPrEx>
          <w:tblCellMar>
            <w:top w:w="0" w:type="dxa"/>
            <w:left w:w="108" w:type="dxa"/>
            <w:bottom w:w="0" w:type="dxa"/>
            <w:right w:w="108" w:type="dxa"/>
          </w:tblCellMar>
        </w:tblPrEx>
        <w:trPr>
          <w:trHeight w:val="754" w:hRule="atLeast"/>
        </w:trPr>
        <w:tc>
          <w:tcPr>
            <w:tcW w:w="4253" w:type="dxa"/>
            <w:gridSpan w:val="2"/>
            <w:tcBorders>
              <w:top w:val="single" w:color="auto" w:sz="4" w:space="0"/>
              <w:left w:val="single" w:color="auto" w:sz="4" w:space="0"/>
              <w:bottom w:val="single" w:color="auto" w:sz="4" w:space="0"/>
              <w:right w:val="single" w:color="auto" w:sz="4" w:space="0"/>
            </w:tcBorders>
            <w:noWrap w:val="0"/>
            <w:vAlign w:val="center"/>
          </w:tcPr>
          <w:p w14:paraId="32322559">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审查事项</w:t>
            </w:r>
          </w:p>
        </w:tc>
        <w:tc>
          <w:tcPr>
            <w:tcW w:w="4447" w:type="dxa"/>
            <w:gridSpan w:val="3"/>
            <w:tcBorders>
              <w:top w:val="single" w:color="auto" w:sz="4" w:space="0"/>
              <w:left w:val="single" w:color="auto" w:sz="4" w:space="0"/>
              <w:bottom w:val="single" w:color="auto" w:sz="4" w:space="0"/>
              <w:right w:val="single" w:color="auto" w:sz="4" w:space="0"/>
            </w:tcBorders>
            <w:noWrap w:val="0"/>
            <w:vAlign w:val="center"/>
          </w:tcPr>
          <w:p w14:paraId="3BE6353D">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投标人名称及审查情况</w:t>
            </w:r>
          </w:p>
        </w:tc>
      </w:tr>
      <w:tr w14:paraId="00BC248F">
        <w:tblPrEx>
          <w:tblCellMar>
            <w:top w:w="0" w:type="dxa"/>
            <w:left w:w="108" w:type="dxa"/>
            <w:bottom w:w="0" w:type="dxa"/>
            <w:right w:w="108" w:type="dxa"/>
          </w:tblCellMar>
        </w:tblPrEx>
        <w:trPr>
          <w:trHeight w:val="57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1181781A">
            <w:pPr>
              <w:keepNext w:val="0"/>
              <w:keepLines w:val="0"/>
              <w:widowControl/>
              <w:suppressLineNumbers w:val="0"/>
              <w:spacing w:before="0" w:beforeAutospacing="0" w:after="0" w:afterAutospacing="0"/>
              <w:ind w:left="0" w:right="0"/>
              <w:jc w:val="left"/>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招标文件条款（投标人须知、投标人须知资料表条款号）</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53D9D49A">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本项目要求</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4F8CDC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4A9669AC">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291F7926">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74CEB28A">
        <w:tblPrEx>
          <w:tblCellMar>
            <w:top w:w="0" w:type="dxa"/>
            <w:left w:w="108" w:type="dxa"/>
            <w:bottom w:w="0" w:type="dxa"/>
            <w:right w:w="108" w:type="dxa"/>
          </w:tblCellMar>
        </w:tblPrEx>
        <w:trPr>
          <w:trHeight w:val="9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12B5FEE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中小企业投标要求（1.3.6）</w:t>
            </w:r>
          </w:p>
        </w:tc>
        <w:tc>
          <w:tcPr>
            <w:tcW w:w="2127" w:type="dxa"/>
            <w:tcBorders>
              <w:top w:val="single" w:color="auto" w:sz="4" w:space="0"/>
              <w:left w:val="nil"/>
              <w:bottom w:val="single" w:color="auto" w:sz="4" w:space="0"/>
              <w:right w:val="single" w:color="auto" w:sz="4" w:space="0"/>
            </w:tcBorders>
            <w:noWrap w:val="0"/>
            <w:vAlign w:val="center"/>
          </w:tcPr>
          <w:p w14:paraId="7EB4F5B0">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i/>
                <w:iCs/>
                <w:color w:val="auto"/>
                <w:kern w:val="0"/>
                <w:szCs w:val="21"/>
                <w:highlight w:val="none"/>
                <w:u w:val="single"/>
              </w:rPr>
              <w:t>适用</w:t>
            </w:r>
            <w:r>
              <w:rPr>
                <w:rFonts w:hint="eastAsia" w:ascii="仿宋" w:hAnsi="仿宋" w:eastAsia="仿宋" w:cs="仿宋"/>
                <w:i/>
                <w:iCs/>
                <w:color w:val="auto"/>
                <w:kern w:val="0"/>
                <w:szCs w:val="21"/>
                <w:highlight w:val="none"/>
                <w:u w:val="single"/>
                <w:lang w:val="en-US" w:eastAsia="zh-CN"/>
              </w:rPr>
              <w:t xml:space="preserve"> </w:t>
            </w:r>
          </w:p>
        </w:tc>
        <w:tc>
          <w:tcPr>
            <w:tcW w:w="1417" w:type="dxa"/>
            <w:tcBorders>
              <w:top w:val="single" w:color="auto" w:sz="4" w:space="0"/>
              <w:left w:val="nil"/>
              <w:bottom w:val="single" w:color="auto" w:sz="4" w:space="0"/>
              <w:right w:val="single" w:color="auto" w:sz="4" w:space="0"/>
            </w:tcBorders>
            <w:noWrap w:val="0"/>
            <w:vAlign w:val="center"/>
          </w:tcPr>
          <w:p w14:paraId="57649AFD">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31D41E6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72FD1CF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2039730B">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4B26CEA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联合体投标规定</w:t>
            </w:r>
          </w:p>
          <w:p w14:paraId="624C7C9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2127" w:type="dxa"/>
            <w:tcBorders>
              <w:top w:val="single" w:color="auto" w:sz="4" w:space="0"/>
              <w:left w:val="nil"/>
              <w:bottom w:val="single" w:color="auto" w:sz="4" w:space="0"/>
              <w:right w:val="single" w:color="auto" w:sz="4" w:space="0"/>
            </w:tcBorders>
            <w:noWrap w:val="0"/>
            <w:vAlign w:val="center"/>
          </w:tcPr>
          <w:p w14:paraId="73936A2A">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u w:val="single"/>
                <w:lang w:val="en-US" w:eastAsia="zh-CN"/>
              </w:rPr>
              <w:t>不</w:t>
            </w:r>
            <w:r>
              <w:rPr>
                <w:rFonts w:hint="eastAsia" w:ascii="仿宋" w:hAnsi="仿宋" w:eastAsia="仿宋" w:cs="仿宋"/>
                <w:i/>
                <w:iCs/>
                <w:color w:val="auto"/>
                <w:kern w:val="0"/>
                <w:szCs w:val="21"/>
                <w:highlight w:val="none"/>
                <w:u w:val="single"/>
              </w:rPr>
              <w:t>接受</w:t>
            </w:r>
            <w:r>
              <w:rPr>
                <w:rFonts w:hint="eastAsia" w:ascii="仿宋" w:hAnsi="仿宋" w:eastAsia="仿宋" w:cs="仿宋"/>
                <w:color w:val="auto"/>
                <w:kern w:val="0"/>
                <w:szCs w:val="21"/>
                <w:highlight w:val="none"/>
              </w:rPr>
              <w:t>联合体投标</w:t>
            </w:r>
          </w:p>
        </w:tc>
        <w:tc>
          <w:tcPr>
            <w:tcW w:w="1417" w:type="dxa"/>
            <w:tcBorders>
              <w:top w:val="single" w:color="auto" w:sz="4" w:space="0"/>
              <w:left w:val="nil"/>
              <w:bottom w:val="single" w:color="auto" w:sz="4" w:space="0"/>
              <w:right w:val="single" w:color="auto" w:sz="4" w:space="0"/>
            </w:tcBorders>
            <w:noWrap w:val="0"/>
            <w:vAlign w:val="center"/>
          </w:tcPr>
          <w:p w14:paraId="7837FAA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1A9A2EB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64DD5D94">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9493E24">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317EEE8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投标人的关联性</w:t>
            </w:r>
          </w:p>
          <w:p w14:paraId="07E8AA4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2127" w:type="dxa"/>
            <w:tcBorders>
              <w:top w:val="single" w:color="auto" w:sz="4" w:space="0"/>
              <w:left w:val="nil"/>
              <w:bottom w:val="single" w:color="auto" w:sz="4" w:space="0"/>
              <w:right w:val="single" w:color="auto" w:sz="4" w:space="0"/>
            </w:tcBorders>
            <w:noWrap w:val="0"/>
            <w:vAlign w:val="center"/>
          </w:tcPr>
          <w:p w14:paraId="218C52DA">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在同一标包内，单位负责人为非同一人或者不存在直接控股、管理关系的不同供应商。</w:t>
            </w:r>
          </w:p>
        </w:tc>
        <w:tc>
          <w:tcPr>
            <w:tcW w:w="1417" w:type="dxa"/>
            <w:tcBorders>
              <w:top w:val="single" w:color="auto" w:sz="4" w:space="0"/>
              <w:left w:val="nil"/>
              <w:bottom w:val="single" w:color="auto" w:sz="4" w:space="0"/>
              <w:right w:val="single" w:color="auto" w:sz="4" w:space="0"/>
            </w:tcBorders>
            <w:noWrap w:val="0"/>
            <w:vAlign w:val="center"/>
          </w:tcPr>
          <w:p w14:paraId="6517770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38780F8F">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520230CF">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372F87BA">
        <w:tblPrEx>
          <w:tblCellMar>
            <w:top w:w="0" w:type="dxa"/>
            <w:left w:w="108" w:type="dxa"/>
            <w:bottom w:w="0" w:type="dxa"/>
            <w:right w:w="108" w:type="dxa"/>
          </w:tblCellMar>
        </w:tblPrEx>
        <w:trPr>
          <w:trHeight w:val="1331"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3D5C93C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未发现影响采购人决策行为（1.5）</w:t>
            </w:r>
          </w:p>
        </w:tc>
        <w:tc>
          <w:tcPr>
            <w:tcW w:w="2127" w:type="dxa"/>
            <w:tcBorders>
              <w:top w:val="single" w:color="auto" w:sz="4" w:space="0"/>
              <w:left w:val="nil"/>
              <w:bottom w:val="single" w:color="auto" w:sz="4" w:space="0"/>
              <w:right w:val="single" w:color="auto" w:sz="4" w:space="0"/>
            </w:tcBorders>
            <w:noWrap w:val="0"/>
            <w:vAlign w:val="center"/>
          </w:tcPr>
          <w:p w14:paraId="1F2A3B8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投标人在投标过程中未向采购人提供、给予任何有价值的物品，影响其正常决策行为。</w:t>
            </w:r>
          </w:p>
        </w:tc>
        <w:tc>
          <w:tcPr>
            <w:tcW w:w="1417" w:type="dxa"/>
            <w:tcBorders>
              <w:top w:val="single" w:color="auto" w:sz="4" w:space="0"/>
              <w:left w:val="nil"/>
              <w:bottom w:val="single" w:color="auto" w:sz="4" w:space="0"/>
              <w:right w:val="single" w:color="auto" w:sz="4" w:space="0"/>
            </w:tcBorders>
            <w:noWrap w:val="0"/>
            <w:vAlign w:val="center"/>
          </w:tcPr>
          <w:p w14:paraId="3975F1D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1293B52E">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52241A7E">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7360D3F7">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4A0D57E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满足投标范围的完整性要求</w:t>
            </w:r>
          </w:p>
          <w:p w14:paraId="313A0B3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（8.1）</w:t>
            </w:r>
          </w:p>
        </w:tc>
        <w:tc>
          <w:tcPr>
            <w:tcW w:w="2127" w:type="dxa"/>
            <w:tcBorders>
              <w:top w:val="single" w:color="auto" w:sz="4" w:space="0"/>
              <w:left w:val="nil"/>
              <w:bottom w:val="single" w:color="auto" w:sz="4" w:space="0"/>
              <w:right w:val="single" w:color="auto" w:sz="4" w:space="0"/>
            </w:tcBorders>
            <w:noWrap w:val="0"/>
            <w:vAlign w:val="center"/>
          </w:tcPr>
          <w:p w14:paraId="1B021E9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投标人对所投分包招标文件中所列的所有内容进行投标。</w:t>
            </w:r>
          </w:p>
        </w:tc>
        <w:tc>
          <w:tcPr>
            <w:tcW w:w="1417" w:type="dxa"/>
            <w:tcBorders>
              <w:top w:val="single" w:color="auto" w:sz="4" w:space="0"/>
              <w:left w:val="nil"/>
              <w:bottom w:val="single" w:color="auto" w:sz="4" w:space="0"/>
              <w:right w:val="single" w:color="auto" w:sz="4" w:space="0"/>
            </w:tcBorders>
            <w:noWrap w:val="0"/>
            <w:vAlign w:val="center"/>
          </w:tcPr>
          <w:p w14:paraId="7697616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0DEDA34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144ED37F">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53EAB1E4">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2CDFEA9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未包含价格调整要求</w:t>
            </w:r>
          </w:p>
          <w:p w14:paraId="72DD0D8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（11.4）</w:t>
            </w:r>
          </w:p>
        </w:tc>
        <w:tc>
          <w:tcPr>
            <w:tcW w:w="2127" w:type="dxa"/>
            <w:tcBorders>
              <w:top w:val="single" w:color="auto" w:sz="4" w:space="0"/>
              <w:left w:val="nil"/>
              <w:bottom w:val="single" w:color="auto" w:sz="4" w:space="0"/>
              <w:right w:val="single" w:color="auto" w:sz="4" w:space="0"/>
            </w:tcBorders>
            <w:noWrap w:val="0"/>
            <w:vAlign w:val="center"/>
          </w:tcPr>
          <w:p w14:paraId="5ECB354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投标人所报的各分项投标报价在合同履行过程中是固定不变的，不得以任何理由予以变更。</w:t>
            </w:r>
          </w:p>
        </w:tc>
        <w:tc>
          <w:tcPr>
            <w:tcW w:w="1417" w:type="dxa"/>
            <w:tcBorders>
              <w:top w:val="single" w:color="auto" w:sz="4" w:space="0"/>
              <w:left w:val="nil"/>
              <w:bottom w:val="single" w:color="auto" w:sz="4" w:space="0"/>
              <w:right w:val="single" w:color="auto" w:sz="4" w:space="0"/>
            </w:tcBorders>
            <w:noWrap w:val="0"/>
            <w:vAlign w:val="center"/>
          </w:tcPr>
          <w:p w14:paraId="0F5A42A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26BD4A0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5AE005D4">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A924F52">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1D7879D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投标保证金（12.1）</w:t>
            </w:r>
          </w:p>
        </w:tc>
        <w:tc>
          <w:tcPr>
            <w:tcW w:w="2127" w:type="dxa"/>
            <w:tcBorders>
              <w:top w:val="single" w:color="auto" w:sz="4" w:space="0"/>
              <w:left w:val="nil"/>
              <w:bottom w:val="single" w:color="auto" w:sz="4" w:space="0"/>
              <w:right w:val="single" w:color="auto" w:sz="4" w:space="0"/>
            </w:tcBorders>
            <w:noWrap w:val="0"/>
            <w:vAlign w:val="center"/>
          </w:tcPr>
          <w:p w14:paraId="39169834">
            <w:pPr>
              <w:keepNext w:val="0"/>
              <w:keepLines w:val="0"/>
              <w:widowControl/>
              <w:suppressLineNumbers w:val="0"/>
              <w:spacing w:before="0" w:beforeAutospacing="0" w:after="0" w:afterAutospacing="0"/>
              <w:ind w:left="0" w:right="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符合招标文件要求</w:t>
            </w:r>
          </w:p>
        </w:tc>
        <w:tc>
          <w:tcPr>
            <w:tcW w:w="1417" w:type="dxa"/>
            <w:tcBorders>
              <w:top w:val="single" w:color="auto" w:sz="4" w:space="0"/>
              <w:left w:val="nil"/>
              <w:bottom w:val="single" w:color="auto" w:sz="4" w:space="0"/>
              <w:right w:val="single" w:color="auto" w:sz="4" w:space="0"/>
            </w:tcBorders>
            <w:noWrap w:val="0"/>
            <w:vAlign w:val="center"/>
          </w:tcPr>
          <w:p w14:paraId="3E0FE54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239CA9B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0A50FF34">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127FADD1">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47A1541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投标有效期满足要求</w:t>
            </w:r>
          </w:p>
          <w:p w14:paraId="6683543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（13.1）</w:t>
            </w:r>
          </w:p>
        </w:tc>
        <w:tc>
          <w:tcPr>
            <w:tcW w:w="2127" w:type="dxa"/>
            <w:tcBorders>
              <w:top w:val="single" w:color="auto" w:sz="4" w:space="0"/>
              <w:left w:val="nil"/>
              <w:bottom w:val="single" w:color="auto" w:sz="4" w:space="0"/>
              <w:right w:val="single" w:color="auto" w:sz="4" w:space="0"/>
            </w:tcBorders>
            <w:noWrap w:val="0"/>
            <w:vAlign w:val="center"/>
          </w:tcPr>
          <w:p w14:paraId="264E0CF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自提交投标文件截止之日起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90</w:t>
            </w:r>
            <w:r>
              <w:rPr>
                <w:rFonts w:hint="eastAsia" w:ascii="仿宋" w:hAnsi="仿宋" w:eastAsia="仿宋" w:cs="仿宋"/>
                <w:color w:val="auto"/>
                <w:szCs w:val="21"/>
                <w:highlight w:val="none"/>
                <w:u w:val="single"/>
              </w:rPr>
              <w:t xml:space="preserve"> 日</w:t>
            </w:r>
            <w:r>
              <w:rPr>
                <w:rFonts w:hint="eastAsia" w:ascii="仿宋" w:hAnsi="仿宋" w:eastAsia="仿宋" w:cs="仿宋"/>
                <w:color w:val="auto"/>
                <w:szCs w:val="21"/>
                <w:highlight w:val="none"/>
              </w:rPr>
              <w:t>历日内</w:t>
            </w:r>
          </w:p>
        </w:tc>
        <w:tc>
          <w:tcPr>
            <w:tcW w:w="1417" w:type="dxa"/>
            <w:tcBorders>
              <w:top w:val="single" w:color="auto" w:sz="4" w:space="0"/>
              <w:left w:val="nil"/>
              <w:bottom w:val="single" w:color="auto" w:sz="4" w:space="0"/>
              <w:right w:val="single" w:color="auto" w:sz="4" w:space="0"/>
            </w:tcBorders>
            <w:noWrap w:val="0"/>
            <w:vAlign w:val="center"/>
          </w:tcPr>
          <w:p w14:paraId="20E7B4BE">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25E0D80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087EFBC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2C010C02">
        <w:tblPrEx>
          <w:tblCellMar>
            <w:top w:w="0" w:type="dxa"/>
            <w:left w:w="108" w:type="dxa"/>
            <w:bottom w:w="0" w:type="dxa"/>
            <w:right w:w="108" w:type="dxa"/>
          </w:tblCellMar>
        </w:tblPrEx>
        <w:trPr>
          <w:trHeight w:val="57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09A817D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投标文件的签署和盖章符合要求</w:t>
            </w:r>
          </w:p>
          <w:p w14:paraId="6787765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（14.2）</w:t>
            </w:r>
          </w:p>
        </w:tc>
        <w:tc>
          <w:tcPr>
            <w:tcW w:w="2127" w:type="dxa"/>
            <w:tcBorders>
              <w:top w:val="single" w:color="auto" w:sz="4" w:space="0"/>
              <w:left w:val="nil"/>
              <w:bottom w:val="single" w:color="auto" w:sz="4" w:space="0"/>
              <w:right w:val="single" w:color="auto" w:sz="4" w:space="0"/>
            </w:tcBorders>
            <w:noWrap w:val="0"/>
            <w:vAlign w:val="center"/>
          </w:tcPr>
          <w:p w14:paraId="4276D8DC">
            <w:pPr>
              <w:keepNext w:val="0"/>
              <w:keepLines w:val="0"/>
              <w:widowControl/>
              <w:suppressLineNumbers w:val="0"/>
              <w:spacing w:before="0" w:beforeAutospacing="0" w:after="0" w:afterAutospacing="0"/>
              <w:ind w:left="0" w:right="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按照招标文件规定要求签署、盖章。</w:t>
            </w:r>
          </w:p>
        </w:tc>
        <w:tc>
          <w:tcPr>
            <w:tcW w:w="1417" w:type="dxa"/>
            <w:tcBorders>
              <w:top w:val="single" w:color="auto" w:sz="4" w:space="0"/>
              <w:left w:val="nil"/>
              <w:bottom w:val="single" w:color="auto" w:sz="4" w:space="0"/>
              <w:right w:val="single" w:color="auto" w:sz="4" w:space="0"/>
            </w:tcBorders>
            <w:noWrap w:val="0"/>
            <w:vAlign w:val="center"/>
          </w:tcPr>
          <w:p w14:paraId="75392C6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2E68273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07241FCF">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5B120426">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268B7CD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接受价格的算术修正</w:t>
            </w:r>
          </w:p>
          <w:p w14:paraId="5C408D40">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（20.3）</w:t>
            </w:r>
          </w:p>
        </w:tc>
        <w:tc>
          <w:tcPr>
            <w:tcW w:w="2127" w:type="dxa"/>
            <w:tcBorders>
              <w:top w:val="single" w:color="auto" w:sz="4" w:space="0"/>
              <w:left w:val="nil"/>
              <w:bottom w:val="single" w:color="auto" w:sz="4" w:space="0"/>
              <w:right w:val="single" w:color="auto" w:sz="4" w:space="0"/>
            </w:tcBorders>
            <w:noWrap w:val="0"/>
            <w:vAlign w:val="center"/>
          </w:tcPr>
          <w:p w14:paraId="2557386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投标文件报价出现前后不一致的，应按照招标文件规定的顺序修正。修正后的报价经投标人确认后产生约束力。</w:t>
            </w:r>
          </w:p>
        </w:tc>
        <w:tc>
          <w:tcPr>
            <w:tcW w:w="1417" w:type="dxa"/>
            <w:tcBorders>
              <w:top w:val="single" w:color="auto" w:sz="4" w:space="0"/>
              <w:left w:val="nil"/>
              <w:bottom w:val="single" w:color="auto" w:sz="4" w:space="0"/>
              <w:right w:val="single" w:color="auto" w:sz="4" w:space="0"/>
            </w:tcBorders>
            <w:noWrap w:val="0"/>
            <w:vAlign w:val="center"/>
          </w:tcPr>
          <w:p w14:paraId="697F6C1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4121B7F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76DA693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14CB3BF">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0646B1B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符合强制采购节能产品要求</w:t>
            </w:r>
          </w:p>
          <w:p w14:paraId="6DB8B58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（20.6）</w:t>
            </w:r>
          </w:p>
        </w:tc>
        <w:tc>
          <w:tcPr>
            <w:tcW w:w="2127" w:type="dxa"/>
            <w:tcBorders>
              <w:top w:val="single" w:color="auto" w:sz="4" w:space="0"/>
              <w:left w:val="nil"/>
              <w:bottom w:val="single" w:color="auto" w:sz="4" w:space="0"/>
              <w:right w:val="single" w:color="auto" w:sz="4" w:space="0"/>
            </w:tcBorders>
            <w:noWrap w:val="0"/>
            <w:vAlign w:val="center"/>
          </w:tcPr>
          <w:p w14:paraId="469CFCA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本项目</w:t>
            </w:r>
            <w:r>
              <w:rPr>
                <w:rFonts w:hint="default" w:ascii="仿宋" w:hAnsi="仿宋" w:eastAsia="仿宋" w:cs="仿宋"/>
                <w:color w:val="auto"/>
                <w:kern w:val="0"/>
                <w:szCs w:val="21"/>
                <w:highlight w:val="none"/>
                <w:u w:val="single"/>
                <w:lang w:eastAsia="zh-CN"/>
              </w:rPr>
              <w:t>不</w:t>
            </w:r>
            <w:r>
              <w:rPr>
                <w:rFonts w:hint="eastAsia" w:ascii="仿宋" w:hAnsi="仿宋" w:eastAsia="仿宋" w:cs="仿宋"/>
                <w:i/>
                <w:iCs/>
                <w:color w:val="auto"/>
                <w:kern w:val="0"/>
                <w:szCs w:val="21"/>
                <w:highlight w:val="none"/>
                <w:u w:val="single"/>
                <w:lang w:eastAsia="zh-CN"/>
              </w:rPr>
              <w:t>适用</w:t>
            </w:r>
          </w:p>
        </w:tc>
        <w:tc>
          <w:tcPr>
            <w:tcW w:w="1417" w:type="dxa"/>
            <w:tcBorders>
              <w:top w:val="single" w:color="auto" w:sz="4" w:space="0"/>
              <w:left w:val="nil"/>
              <w:bottom w:val="single" w:color="auto" w:sz="4" w:space="0"/>
              <w:right w:val="single" w:color="auto" w:sz="4" w:space="0"/>
            </w:tcBorders>
            <w:noWrap w:val="0"/>
            <w:vAlign w:val="center"/>
          </w:tcPr>
          <w:p w14:paraId="7F10FA2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1C8DFB4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3BD8BD26">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0FB2A32">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2E34408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未发现串通投标（22.2）</w:t>
            </w:r>
          </w:p>
        </w:tc>
        <w:tc>
          <w:tcPr>
            <w:tcW w:w="2127" w:type="dxa"/>
            <w:tcBorders>
              <w:top w:val="single" w:color="auto" w:sz="4" w:space="0"/>
              <w:left w:val="nil"/>
              <w:bottom w:val="single" w:color="auto" w:sz="4" w:space="0"/>
              <w:right w:val="single" w:color="auto" w:sz="4" w:space="0"/>
            </w:tcBorders>
            <w:noWrap w:val="0"/>
            <w:vAlign w:val="center"/>
          </w:tcPr>
          <w:p w14:paraId="7A50C56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未与其他投标人串通投标，或者与招标人串通投标。</w:t>
            </w:r>
          </w:p>
        </w:tc>
        <w:tc>
          <w:tcPr>
            <w:tcW w:w="1417" w:type="dxa"/>
            <w:tcBorders>
              <w:top w:val="single" w:color="auto" w:sz="4" w:space="0"/>
              <w:left w:val="nil"/>
              <w:bottom w:val="single" w:color="auto" w:sz="4" w:space="0"/>
              <w:right w:val="single" w:color="auto" w:sz="4" w:space="0"/>
            </w:tcBorders>
            <w:noWrap w:val="0"/>
            <w:vAlign w:val="center"/>
          </w:tcPr>
          <w:p w14:paraId="06A737C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09AF35A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7330315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7BF3A49A">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6C3C7C7A">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报价说明可以接受（22.2）</w:t>
            </w:r>
          </w:p>
        </w:tc>
        <w:tc>
          <w:tcPr>
            <w:tcW w:w="2127" w:type="dxa"/>
            <w:tcBorders>
              <w:top w:val="single" w:color="auto" w:sz="4" w:space="0"/>
              <w:left w:val="nil"/>
              <w:bottom w:val="single" w:color="auto" w:sz="4" w:space="0"/>
              <w:right w:val="single" w:color="auto" w:sz="4" w:space="0"/>
            </w:tcBorders>
            <w:noWrap w:val="0"/>
            <w:vAlign w:val="center"/>
          </w:tcPr>
          <w:p w14:paraId="412E97D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投标人的报价明显低于其他通过符合性检查投标人的报价，有可能影响履约的，投标人能按照规定证明其报价合理性。</w:t>
            </w:r>
          </w:p>
        </w:tc>
        <w:tc>
          <w:tcPr>
            <w:tcW w:w="1417" w:type="dxa"/>
            <w:tcBorders>
              <w:top w:val="single" w:color="auto" w:sz="4" w:space="0"/>
              <w:left w:val="nil"/>
              <w:bottom w:val="single" w:color="auto" w:sz="4" w:space="0"/>
              <w:right w:val="single" w:color="auto" w:sz="4" w:space="0"/>
            </w:tcBorders>
            <w:noWrap w:val="0"/>
            <w:vAlign w:val="center"/>
          </w:tcPr>
          <w:p w14:paraId="47D3697D">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65150154">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026BE800">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9B8AAB4">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6B52A2F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无采购人不能接受的附加条件（22.2）</w:t>
            </w:r>
          </w:p>
        </w:tc>
        <w:tc>
          <w:tcPr>
            <w:tcW w:w="2127" w:type="dxa"/>
            <w:tcBorders>
              <w:top w:val="single" w:color="auto" w:sz="4" w:space="0"/>
              <w:left w:val="nil"/>
              <w:bottom w:val="single" w:color="auto" w:sz="4" w:space="0"/>
              <w:right w:val="single" w:color="auto" w:sz="4" w:space="0"/>
            </w:tcBorders>
            <w:noWrap w:val="0"/>
            <w:vAlign w:val="center"/>
          </w:tcPr>
          <w:p w14:paraId="0E22CCF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投标文件未含有采购人不能接受的附加条件。</w:t>
            </w:r>
          </w:p>
        </w:tc>
        <w:tc>
          <w:tcPr>
            <w:tcW w:w="1417" w:type="dxa"/>
            <w:tcBorders>
              <w:top w:val="single" w:color="auto" w:sz="4" w:space="0"/>
              <w:left w:val="nil"/>
              <w:bottom w:val="single" w:color="auto" w:sz="4" w:space="0"/>
              <w:right w:val="single" w:color="auto" w:sz="4" w:space="0"/>
            </w:tcBorders>
            <w:noWrap w:val="0"/>
            <w:vAlign w:val="center"/>
          </w:tcPr>
          <w:p w14:paraId="0A87BCC6">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2496F2B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3220535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794F45F5">
        <w:tblPrEx>
          <w:tblCellMar>
            <w:top w:w="0" w:type="dxa"/>
            <w:left w:w="108" w:type="dxa"/>
            <w:bottom w:w="0" w:type="dxa"/>
            <w:right w:w="108" w:type="dxa"/>
          </w:tblCellMar>
        </w:tblPrEx>
        <w:trPr>
          <w:trHeight w:val="774" w:hRule="atLeast"/>
        </w:trPr>
        <w:tc>
          <w:tcPr>
            <w:tcW w:w="4253" w:type="dxa"/>
            <w:gridSpan w:val="2"/>
            <w:tcBorders>
              <w:top w:val="single" w:color="auto" w:sz="4" w:space="0"/>
              <w:left w:val="single" w:color="auto" w:sz="4" w:space="0"/>
              <w:bottom w:val="single" w:color="auto" w:sz="4" w:space="0"/>
              <w:right w:val="single" w:color="auto" w:sz="4" w:space="0"/>
            </w:tcBorders>
            <w:noWrap w:val="0"/>
            <w:vAlign w:val="center"/>
          </w:tcPr>
          <w:p w14:paraId="6E6D5C95">
            <w:pPr>
              <w:keepNext w:val="0"/>
              <w:keepLines w:val="0"/>
              <w:widowControl/>
              <w:suppressLineNumbers w:val="0"/>
              <w:spacing w:before="0" w:beforeAutospacing="0" w:after="0" w:afterAutospacing="0"/>
              <w:ind w:left="0" w:right="0"/>
              <w:jc w:val="center"/>
              <w:rPr>
                <w:rFonts w:hint="eastAsia" w:ascii="仿宋" w:hAnsi="仿宋" w:eastAsia="仿宋" w:cs="仿宋"/>
                <w:b/>
                <w:color w:val="auto"/>
                <w:szCs w:val="21"/>
                <w:highlight w:val="none"/>
              </w:rPr>
            </w:pPr>
            <w:r>
              <w:rPr>
                <w:rFonts w:hint="eastAsia" w:ascii="仿宋" w:hAnsi="仿宋" w:eastAsia="仿宋" w:cs="仿宋"/>
                <w:b/>
                <w:color w:val="auto"/>
                <w:kern w:val="0"/>
                <w:sz w:val="22"/>
                <w:szCs w:val="22"/>
                <w:highlight w:val="none"/>
              </w:rPr>
              <w:t>结论</w:t>
            </w:r>
          </w:p>
        </w:tc>
        <w:tc>
          <w:tcPr>
            <w:tcW w:w="1417" w:type="dxa"/>
            <w:tcBorders>
              <w:top w:val="single" w:color="auto" w:sz="4" w:space="0"/>
              <w:left w:val="nil"/>
              <w:bottom w:val="single" w:color="auto" w:sz="4" w:space="0"/>
              <w:right w:val="single" w:color="auto" w:sz="4" w:space="0"/>
            </w:tcBorders>
            <w:noWrap w:val="0"/>
            <w:vAlign w:val="center"/>
          </w:tcPr>
          <w:p w14:paraId="7FF8083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644420E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0FDEFCB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r>
    </w:tbl>
    <w:p w14:paraId="0366430F">
      <w:pPr>
        <w:spacing w:line="240" w:lineRule="atLeast"/>
        <w:ind w:firstLine="2730" w:firstLineChars="1300"/>
        <w:jc w:val="both"/>
        <w:outlineLvl w:val="1"/>
        <w:rPr>
          <w:rFonts w:hint="eastAsia" w:ascii="仿宋" w:hAnsi="仿宋" w:eastAsia="仿宋" w:cs="仿宋"/>
          <w:b/>
          <w:color w:val="auto"/>
          <w:szCs w:val="21"/>
        </w:rPr>
      </w:pPr>
      <w:r>
        <w:rPr>
          <w:rFonts w:hint="eastAsia" w:ascii="仿宋" w:hAnsi="仿宋" w:eastAsia="仿宋" w:cs="仿宋"/>
        </w:rPr>
        <w:br w:type="page"/>
      </w:r>
      <w:bookmarkStart w:id="465" w:name="_Toc20145"/>
      <w:bookmarkStart w:id="466" w:name="_Toc507399904"/>
      <w:r>
        <w:rPr>
          <w:rFonts w:hint="eastAsia" w:ascii="仿宋" w:hAnsi="仿宋" w:eastAsia="仿宋" w:cs="仿宋"/>
          <w:b/>
          <w:color w:val="auto"/>
          <w:sz w:val="28"/>
          <w:szCs w:val="28"/>
        </w:rPr>
        <w:t>综合评分表</w:t>
      </w:r>
      <w:bookmarkEnd w:id="465"/>
      <w:r>
        <w:rPr>
          <w:rFonts w:hint="eastAsia" w:ascii="仿宋" w:hAnsi="仿宋" w:eastAsia="仿宋" w:cs="仿宋"/>
          <w:b/>
          <w:color w:val="auto"/>
          <w:sz w:val="28"/>
          <w:szCs w:val="28"/>
        </w:rPr>
        <w:t xml:space="preserve"> </w:t>
      </w:r>
    </w:p>
    <w:tbl>
      <w:tblPr>
        <w:tblStyle w:val="39"/>
        <w:tblW w:w="8711" w:type="dxa"/>
        <w:tblInd w:w="-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
        <w:gridCol w:w="991"/>
        <w:gridCol w:w="594"/>
        <w:gridCol w:w="606"/>
        <w:gridCol w:w="6053"/>
      </w:tblGrid>
      <w:tr w14:paraId="3DFE7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467" w:type="dxa"/>
            <w:tcBorders>
              <w:top w:val="single" w:color="auto" w:sz="4" w:space="0"/>
              <w:left w:val="single" w:color="auto" w:sz="4" w:space="0"/>
              <w:bottom w:val="single" w:color="auto" w:sz="4" w:space="0"/>
              <w:right w:val="single" w:color="auto" w:sz="4" w:space="0"/>
            </w:tcBorders>
            <w:vAlign w:val="center"/>
          </w:tcPr>
          <w:p w14:paraId="5DE4BF55">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p>
          <w:p w14:paraId="1CD1101D">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p>
        </w:tc>
        <w:tc>
          <w:tcPr>
            <w:tcW w:w="991" w:type="dxa"/>
            <w:tcBorders>
              <w:top w:val="single" w:color="auto" w:sz="4" w:space="0"/>
              <w:left w:val="nil"/>
              <w:bottom w:val="single" w:color="auto" w:sz="4" w:space="0"/>
              <w:right w:val="single" w:color="auto" w:sz="4" w:space="0"/>
            </w:tcBorders>
            <w:vAlign w:val="center"/>
          </w:tcPr>
          <w:p w14:paraId="2AF5AA4B">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项目</w:t>
            </w:r>
          </w:p>
        </w:tc>
        <w:tc>
          <w:tcPr>
            <w:tcW w:w="594" w:type="dxa"/>
            <w:tcBorders>
              <w:top w:val="single" w:color="auto" w:sz="4" w:space="0"/>
              <w:left w:val="nil"/>
              <w:bottom w:val="single" w:color="auto" w:sz="4" w:space="0"/>
              <w:right w:val="single" w:color="auto" w:sz="4" w:space="0"/>
            </w:tcBorders>
            <w:vAlign w:val="center"/>
          </w:tcPr>
          <w:p w14:paraId="4654A11C">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指标</w:t>
            </w:r>
          </w:p>
        </w:tc>
        <w:tc>
          <w:tcPr>
            <w:tcW w:w="606" w:type="dxa"/>
            <w:tcBorders>
              <w:top w:val="single" w:color="auto" w:sz="4" w:space="0"/>
              <w:left w:val="nil"/>
              <w:bottom w:val="single" w:color="auto" w:sz="4" w:space="0"/>
              <w:right w:val="single" w:color="auto" w:sz="4" w:space="0"/>
            </w:tcBorders>
            <w:vAlign w:val="center"/>
          </w:tcPr>
          <w:p w14:paraId="49EB7DE5">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分项标准分</w:t>
            </w:r>
          </w:p>
        </w:tc>
        <w:tc>
          <w:tcPr>
            <w:tcW w:w="6053" w:type="dxa"/>
            <w:tcBorders>
              <w:top w:val="single" w:color="auto" w:sz="4" w:space="0"/>
              <w:left w:val="nil"/>
              <w:bottom w:val="single" w:color="auto" w:sz="4" w:space="0"/>
              <w:right w:val="single" w:color="auto" w:sz="4" w:space="0"/>
            </w:tcBorders>
            <w:vAlign w:val="center"/>
          </w:tcPr>
          <w:p w14:paraId="22921355">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评分标准（价格：30分 商务:24分 技术46分）</w:t>
            </w:r>
          </w:p>
        </w:tc>
      </w:tr>
      <w:tr w14:paraId="3BDFD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trPr>
        <w:tc>
          <w:tcPr>
            <w:tcW w:w="467" w:type="dxa"/>
            <w:tcBorders>
              <w:top w:val="single" w:color="auto" w:sz="4" w:space="0"/>
              <w:left w:val="single" w:color="auto" w:sz="4" w:space="0"/>
              <w:bottom w:val="single" w:color="auto" w:sz="4" w:space="0"/>
              <w:right w:val="single" w:color="auto" w:sz="4" w:space="0"/>
            </w:tcBorders>
            <w:vAlign w:val="center"/>
          </w:tcPr>
          <w:p w14:paraId="59B53F6E">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1</w:t>
            </w:r>
          </w:p>
        </w:tc>
        <w:tc>
          <w:tcPr>
            <w:tcW w:w="1585" w:type="dxa"/>
            <w:gridSpan w:val="2"/>
            <w:tcBorders>
              <w:top w:val="single" w:color="auto" w:sz="4" w:space="0"/>
              <w:left w:val="single" w:color="auto" w:sz="4" w:space="0"/>
              <w:bottom w:val="single" w:color="auto" w:sz="4" w:space="0"/>
              <w:right w:val="single" w:color="auto" w:sz="4" w:space="0"/>
            </w:tcBorders>
            <w:vAlign w:val="center"/>
          </w:tcPr>
          <w:p w14:paraId="4AFA582F">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投标报价得分</w:t>
            </w:r>
          </w:p>
        </w:tc>
        <w:tc>
          <w:tcPr>
            <w:tcW w:w="606" w:type="dxa"/>
            <w:tcBorders>
              <w:top w:val="single" w:color="auto" w:sz="4" w:space="0"/>
              <w:left w:val="single" w:color="auto" w:sz="4" w:space="0"/>
              <w:bottom w:val="single" w:color="auto" w:sz="4" w:space="0"/>
              <w:right w:val="single" w:color="auto" w:sz="4" w:space="0"/>
            </w:tcBorders>
            <w:vAlign w:val="center"/>
          </w:tcPr>
          <w:p w14:paraId="3A5242C1">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30分</w:t>
            </w:r>
          </w:p>
        </w:tc>
        <w:tc>
          <w:tcPr>
            <w:tcW w:w="6053" w:type="dxa"/>
            <w:tcBorders>
              <w:top w:val="single" w:color="auto" w:sz="4" w:space="0"/>
              <w:left w:val="single" w:color="auto" w:sz="4" w:space="0"/>
              <w:bottom w:val="single" w:color="auto" w:sz="4" w:space="0"/>
              <w:right w:val="single" w:color="auto" w:sz="4" w:space="0"/>
            </w:tcBorders>
            <w:vAlign w:val="center"/>
          </w:tcPr>
          <w:p w14:paraId="50FC1A33">
            <w:pPr>
              <w:pStyle w:val="94"/>
              <w:keepNext w:val="0"/>
              <w:keepLines w:val="0"/>
              <w:suppressLineNumbers w:val="0"/>
              <w:spacing w:before="0" w:beforeLines="0" w:beforeAutospacing="0" w:after="0" w:afterLines="0" w:afterAutospacing="0" w:line="240" w:lineRule="auto"/>
              <w:ind w:left="0" w:leftChars="0" w:right="0" w:rightChars="0"/>
              <w:rPr>
                <w:rFonts w:hint="default" w:ascii="仿宋" w:hAnsi="仿宋" w:eastAsia="仿宋" w:cs="仿宋"/>
                <w:color w:val="auto"/>
                <w:kern w:val="2"/>
                <w:sz w:val="24"/>
                <w:szCs w:val="24"/>
                <w:lang w:val="en-US" w:eastAsia="zh-CN" w:bidi="ar-SA"/>
              </w:rPr>
            </w:pPr>
            <w:r>
              <w:rPr>
                <w:rFonts w:hint="eastAsia" w:ascii="仿宋" w:hAnsi="仿宋" w:eastAsia="仿宋" w:cs="宋体"/>
                <w:color w:val="auto"/>
                <w:sz w:val="24"/>
                <w:highlight w:val="none"/>
                <w:lang w:val="en-US" w:eastAsia="zh-CN"/>
              </w:rPr>
              <w:t>价格分采用低价优先法计算，即满足招标文件要求且 投标价格最低的投标报价为评标基准价，其价格分为满 分 30 分；其他投标人的价格分统一按照以下公式计 算： 投标报价得分 =（评标基准价/投标报价）×100 ×0.30 计算政策价格扣除。</w:t>
            </w:r>
          </w:p>
        </w:tc>
      </w:tr>
      <w:tr w14:paraId="4C9B6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8711" w:type="dxa"/>
            <w:gridSpan w:val="5"/>
            <w:tcBorders>
              <w:top w:val="nil"/>
              <w:left w:val="single" w:color="auto" w:sz="4" w:space="0"/>
              <w:right w:val="single" w:color="auto" w:sz="4" w:space="0"/>
            </w:tcBorders>
            <w:vAlign w:val="center"/>
          </w:tcPr>
          <w:p w14:paraId="1FA7E72C">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sz w:val="24"/>
                <w:highlight w:val="none"/>
                <w:lang w:val="en-US" w:eastAsia="zh-CN"/>
              </w:rPr>
              <w:t>一、商务部分（24分）</w:t>
            </w:r>
          </w:p>
        </w:tc>
      </w:tr>
      <w:tr w14:paraId="53ACC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467" w:type="dxa"/>
            <w:tcBorders>
              <w:left w:val="single" w:color="auto" w:sz="4" w:space="0"/>
              <w:right w:val="single" w:color="auto" w:sz="4" w:space="0"/>
            </w:tcBorders>
            <w:vAlign w:val="center"/>
          </w:tcPr>
          <w:p w14:paraId="1635A3F4">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1</w:t>
            </w:r>
          </w:p>
        </w:tc>
        <w:tc>
          <w:tcPr>
            <w:tcW w:w="1585" w:type="dxa"/>
            <w:gridSpan w:val="2"/>
            <w:tcBorders>
              <w:top w:val="single" w:color="auto" w:sz="4" w:space="0"/>
              <w:left w:val="nil"/>
              <w:bottom w:val="single" w:color="auto" w:sz="4" w:space="0"/>
              <w:right w:val="single" w:color="auto" w:sz="4" w:space="0"/>
            </w:tcBorders>
            <w:vAlign w:val="center"/>
          </w:tcPr>
          <w:p w14:paraId="4BE5AE92">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sz w:val="24"/>
                <w:highlight w:val="none"/>
                <w:lang w:val="en-US" w:eastAsia="zh-CN"/>
              </w:rPr>
              <w:t>类似项目业绩</w:t>
            </w:r>
          </w:p>
        </w:tc>
        <w:tc>
          <w:tcPr>
            <w:tcW w:w="606" w:type="dxa"/>
            <w:tcBorders>
              <w:top w:val="single" w:color="auto" w:sz="4" w:space="0"/>
              <w:left w:val="nil"/>
              <w:bottom w:val="single" w:color="auto" w:sz="4" w:space="0"/>
              <w:right w:val="single" w:color="auto" w:sz="4" w:space="0"/>
            </w:tcBorders>
            <w:vAlign w:val="center"/>
          </w:tcPr>
          <w:p w14:paraId="4A988F0E">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sz w:val="24"/>
                <w:highlight w:val="none"/>
                <w:lang w:val="en-US" w:eastAsia="zh-CN"/>
              </w:rPr>
              <w:t>4分</w:t>
            </w:r>
          </w:p>
        </w:tc>
        <w:tc>
          <w:tcPr>
            <w:tcW w:w="6053" w:type="dxa"/>
            <w:tcBorders>
              <w:top w:val="single" w:color="auto" w:sz="4" w:space="0"/>
              <w:left w:val="nil"/>
              <w:bottom w:val="single" w:color="auto" w:sz="4" w:space="0"/>
              <w:right w:val="single" w:color="auto" w:sz="4" w:space="0"/>
            </w:tcBorders>
            <w:vAlign w:val="center"/>
          </w:tcPr>
          <w:p w14:paraId="446762BF">
            <w:pPr>
              <w:pStyle w:val="94"/>
              <w:keepNext w:val="0"/>
              <w:keepLines w:val="0"/>
              <w:numPr>
                <w:ilvl w:val="0"/>
                <w:numId w:val="0"/>
              </w:numPr>
              <w:suppressLineNumbers w:val="0"/>
              <w:spacing w:before="0" w:beforeLines="0" w:beforeAutospacing="0" w:after="0" w:afterLines="0" w:afterAutospacing="0"/>
              <w:ind w:left="0" w:right="0" w:rightChars="0"/>
              <w:jc w:val="both"/>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1、投标单位有市集策划及运营经验项目的得1分，最高得 2分。</w:t>
            </w:r>
          </w:p>
          <w:p w14:paraId="548AFC60">
            <w:pPr>
              <w:pStyle w:val="94"/>
              <w:keepNext w:val="0"/>
              <w:keepLines w:val="0"/>
              <w:numPr>
                <w:ilvl w:val="0"/>
                <w:numId w:val="0"/>
              </w:numPr>
              <w:suppressLineNumbers w:val="0"/>
              <w:spacing w:before="0" w:beforeLines="0" w:beforeAutospacing="0" w:after="0" w:afterLines="0" w:afterAutospacing="0"/>
              <w:ind w:left="0" w:right="0" w:rightChars="0"/>
              <w:jc w:val="both"/>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2、投标单位有大型演出组织及运营经验项目的得1分，最高得 2分。</w:t>
            </w:r>
          </w:p>
          <w:p w14:paraId="5C86EBDE">
            <w:pPr>
              <w:pStyle w:val="94"/>
              <w:keepNext w:val="0"/>
              <w:keepLines w:val="0"/>
              <w:numPr>
                <w:ilvl w:val="0"/>
                <w:numId w:val="0"/>
              </w:numPr>
              <w:suppressLineNumbers w:val="0"/>
              <w:spacing w:before="0" w:beforeLines="0" w:beforeAutospacing="0" w:after="0" w:afterLines="0" w:afterAutospacing="0"/>
              <w:ind w:left="0" w:right="0" w:rightChars="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sz w:val="24"/>
                <w:highlight w:val="none"/>
                <w:lang w:val="en-US" w:eastAsia="zh-CN"/>
              </w:rPr>
              <w:t>说明：投标文件中提供的成功案例须为合同扫描件、活动照片及网站报道，不提供或提供不全均不得分。</w:t>
            </w:r>
          </w:p>
        </w:tc>
      </w:tr>
      <w:tr w14:paraId="71D74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trPr>
        <w:tc>
          <w:tcPr>
            <w:tcW w:w="467" w:type="dxa"/>
            <w:tcBorders>
              <w:left w:val="single" w:color="auto" w:sz="4" w:space="0"/>
              <w:right w:val="single" w:color="auto" w:sz="4" w:space="0"/>
            </w:tcBorders>
            <w:vAlign w:val="center"/>
          </w:tcPr>
          <w:p w14:paraId="51DD4362">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2</w:t>
            </w:r>
          </w:p>
        </w:tc>
        <w:tc>
          <w:tcPr>
            <w:tcW w:w="1585" w:type="dxa"/>
            <w:gridSpan w:val="2"/>
            <w:tcBorders>
              <w:top w:val="single" w:color="auto" w:sz="4" w:space="0"/>
              <w:left w:val="nil"/>
              <w:bottom w:val="single" w:color="auto" w:sz="4" w:space="0"/>
              <w:right w:val="single" w:color="auto" w:sz="4" w:space="0"/>
            </w:tcBorders>
            <w:vAlign w:val="center"/>
          </w:tcPr>
          <w:p w14:paraId="776948D3">
            <w:pPr>
              <w:pStyle w:val="94"/>
              <w:keepNext w:val="0"/>
              <w:keepLines w:val="0"/>
              <w:suppressLineNumbers w:val="0"/>
              <w:spacing w:before="0" w:beforeLines="0" w:beforeAutospacing="0" w:after="0" w:afterLines="0" w:afterAutospacing="0"/>
              <w:ind w:left="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企业团队实力</w:t>
            </w:r>
          </w:p>
        </w:tc>
        <w:tc>
          <w:tcPr>
            <w:tcW w:w="606" w:type="dxa"/>
            <w:tcBorders>
              <w:top w:val="single" w:color="auto" w:sz="4" w:space="0"/>
              <w:left w:val="nil"/>
              <w:bottom w:val="single" w:color="auto" w:sz="4" w:space="0"/>
              <w:right w:val="single" w:color="auto" w:sz="4" w:space="0"/>
            </w:tcBorders>
            <w:vAlign w:val="center"/>
          </w:tcPr>
          <w:p w14:paraId="45B5B28E">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20分</w:t>
            </w:r>
          </w:p>
        </w:tc>
        <w:tc>
          <w:tcPr>
            <w:tcW w:w="6053" w:type="dxa"/>
            <w:tcBorders>
              <w:top w:val="single" w:color="auto" w:sz="4" w:space="0"/>
              <w:left w:val="nil"/>
              <w:bottom w:val="single" w:color="auto" w:sz="4" w:space="0"/>
              <w:right w:val="single" w:color="auto" w:sz="4" w:space="0"/>
            </w:tcBorders>
            <w:vAlign w:val="center"/>
          </w:tcPr>
          <w:p w14:paraId="6983F7F1">
            <w:pPr>
              <w:keepNext w:val="0"/>
              <w:keepLines w:val="0"/>
              <w:numPr>
                <w:ilvl w:val="0"/>
                <w:numId w:val="12"/>
              </w:numPr>
              <w:suppressLineNumbers w:val="0"/>
              <w:spacing w:before="0" w:beforeAutospacing="0" w:after="0" w:afterAutospacing="0"/>
              <w:ind w:left="0" w:right="0"/>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投标单位有营业性演出许可证的得2分；</w:t>
            </w:r>
          </w:p>
          <w:p w14:paraId="6BA6F888">
            <w:pPr>
              <w:keepNext w:val="0"/>
              <w:keepLines w:val="0"/>
              <w:numPr>
                <w:ilvl w:val="0"/>
                <w:numId w:val="0"/>
              </w:numPr>
              <w:suppressLineNumbers w:val="0"/>
              <w:spacing w:before="0" w:beforeAutospacing="0" w:after="0" w:afterAutospacing="0"/>
              <w:ind w:left="0" w:right="0"/>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2、投标单位有人员持有经纪人证的得2分，每增加1人得2分，最高得8分；</w:t>
            </w:r>
          </w:p>
          <w:p w14:paraId="29478FB5">
            <w:pPr>
              <w:keepNext w:val="0"/>
              <w:keepLines w:val="0"/>
              <w:widowControl/>
              <w:suppressLineNumbers w:val="0"/>
              <w:spacing w:before="0" w:beforeAutospacing="0" w:after="0" w:afterAutospacing="0"/>
              <w:ind w:left="0" w:right="0"/>
              <w:jc w:val="left"/>
              <w:rPr>
                <w:rFonts w:hint="eastAsia" w:ascii="仿宋" w:hAnsi="仿宋" w:eastAsia="仿宋" w:cs="宋体"/>
                <w:color w:val="auto"/>
                <w:sz w:val="24"/>
                <w:highlight w:val="none"/>
                <w:lang w:val="en-US" w:eastAsia="zh-CN"/>
              </w:rPr>
            </w:pPr>
            <w:r>
              <w:rPr>
                <w:rFonts w:hint="eastAsia" w:ascii="仿宋" w:hAnsi="仿宋" w:eastAsia="仿宋" w:cs="仿宋"/>
                <w:color w:val="000000"/>
                <w:kern w:val="0"/>
                <w:sz w:val="24"/>
                <w:szCs w:val="24"/>
                <w:lang w:val="en-US" w:eastAsia="zh-CN" w:bidi="ar"/>
              </w:rPr>
              <w:t>3、项目组组成人员：项目组的人员构成合理（需提供该项目负责人员、联络人员、组织实施人员、设计人员、设备技术人员、搭建人员、</w:t>
            </w:r>
            <w:r>
              <w:rPr>
                <w:rFonts w:hint="eastAsia" w:ascii="仿宋" w:hAnsi="仿宋" w:eastAsia="仿宋" w:cs="仿宋"/>
                <w:sz w:val="24"/>
                <w:szCs w:val="32"/>
                <w:lang w:val="en-US" w:eastAsia="zh-CN"/>
              </w:rPr>
              <w:t>后期保障人员等</w:t>
            </w:r>
            <w:r>
              <w:rPr>
                <w:rFonts w:hint="eastAsia" w:ascii="仿宋" w:hAnsi="仿宋" w:eastAsia="仿宋" w:cs="仿宋"/>
                <w:color w:val="000000"/>
                <w:kern w:val="0"/>
                <w:sz w:val="24"/>
                <w:szCs w:val="24"/>
                <w:lang w:val="en-US" w:eastAsia="zh-CN" w:bidi="ar"/>
              </w:rPr>
              <w:t>），项目经验丰富，有利于项目的执行。项目团队配置合理、人员构成科学、专业性强、团队经验丰富且人员≥50人的得10 分；项目团队配置较为合理、人员构成较为科学、专业性较强且人员≥30人的得 7分；项目团队配置不合理、专业性不强、团队没有相关经验人员≥10人的得4 分；不提供的不得分。</w:t>
            </w:r>
            <w:r>
              <w:rPr>
                <w:rFonts w:hint="eastAsia" w:ascii="仿宋" w:hAnsi="仿宋" w:eastAsia="仿宋" w:cs="仿宋"/>
                <w:color w:val="000000"/>
                <w:kern w:val="0"/>
                <w:sz w:val="24"/>
                <w:szCs w:val="24"/>
                <w:lang w:val="en-US" w:eastAsia="zh-CN" w:bidi="ar"/>
              </w:rPr>
              <w:br w:type="textWrapping"/>
            </w:r>
            <w:r>
              <w:rPr>
                <w:rFonts w:hint="eastAsia" w:ascii="仿宋" w:hAnsi="仿宋" w:eastAsia="仿宋" w:cs="仿宋"/>
                <w:color w:val="000000"/>
                <w:kern w:val="0"/>
                <w:sz w:val="24"/>
                <w:szCs w:val="24"/>
                <w:lang w:val="en-US" w:eastAsia="zh-CN" w:bidi="ar"/>
              </w:rPr>
              <w:t>注：所有人员不得重复，需提供在服务期限内的劳务合同。</w:t>
            </w:r>
          </w:p>
        </w:tc>
      </w:tr>
    </w:tbl>
    <w:p w14:paraId="49E03F83">
      <w:pPr>
        <w:pStyle w:val="38"/>
        <w:ind w:left="0" w:leftChars="0" w:firstLine="0" w:firstLineChars="0"/>
        <w:jc w:val="both"/>
        <w:rPr>
          <w:rFonts w:hint="eastAsia" w:ascii="仿宋" w:hAnsi="仿宋" w:eastAsia="仿宋" w:cs="宋体"/>
          <w:color w:val="auto"/>
          <w:sz w:val="24"/>
          <w:highlight w:val="none"/>
          <w:lang w:val="en-US" w:eastAsia="zh-CN"/>
        </w:rPr>
      </w:pPr>
    </w:p>
    <w:p w14:paraId="15C5ACE1">
      <w:pPr>
        <w:pStyle w:val="38"/>
        <w:ind w:left="0" w:leftChars="0" w:firstLine="0" w:firstLineChars="0"/>
        <w:jc w:val="center"/>
        <w:rPr>
          <w:rFonts w:hint="eastAsia" w:ascii="仿宋" w:hAnsi="仿宋" w:eastAsia="仿宋" w:cs="宋体"/>
          <w:color w:val="auto"/>
          <w:sz w:val="24"/>
          <w:highlight w:val="none"/>
          <w:lang w:val="en-US" w:eastAsia="zh-CN"/>
        </w:rPr>
      </w:pPr>
    </w:p>
    <w:p w14:paraId="5E4768D3">
      <w:pP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br w:type="page"/>
      </w:r>
      <w:bookmarkStart w:id="964" w:name="_GoBack"/>
      <w:bookmarkEnd w:id="964"/>
    </w:p>
    <w:p w14:paraId="36D77143">
      <w:pPr>
        <w:pStyle w:val="38"/>
        <w:ind w:left="0" w:leftChars="0" w:firstLine="0" w:firstLineChars="0"/>
        <w:jc w:val="center"/>
      </w:pPr>
      <w:r>
        <w:rPr>
          <w:rFonts w:hint="eastAsia" w:ascii="仿宋" w:hAnsi="仿宋" w:eastAsia="仿宋" w:cs="宋体"/>
          <w:color w:val="auto"/>
          <w:sz w:val="24"/>
          <w:highlight w:val="none"/>
          <w:lang w:val="en-US" w:eastAsia="zh-CN"/>
        </w:rPr>
        <w:t>二、技术部分（46分）</w:t>
      </w:r>
    </w:p>
    <w:tbl>
      <w:tblPr>
        <w:tblStyle w:val="39"/>
        <w:tblW w:w="9068"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5"/>
        <w:gridCol w:w="1608"/>
        <w:gridCol w:w="857"/>
        <w:gridCol w:w="6208"/>
      </w:tblGrid>
      <w:tr w14:paraId="47405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395" w:type="dxa"/>
            <w:tcBorders>
              <w:top w:val="single" w:color="auto" w:sz="4" w:space="0"/>
              <w:left w:val="single" w:color="auto" w:sz="4" w:space="0"/>
              <w:right w:val="single" w:color="auto" w:sz="4" w:space="0"/>
            </w:tcBorders>
            <w:vAlign w:val="center"/>
          </w:tcPr>
          <w:p w14:paraId="0F8C6183">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1</w:t>
            </w:r>
          </w:p>
        </w:tc>
        <w:tc>
          <w:tcPr>
            <w:tcW w:w="1608" w:type="dxa"/>
            <w:tcBorders>
              <w:top w:val="single" w:color="auto" w:sz="4" w:space="0"/>
              <w:left w:val="nil"/>
              <w:right w:val="single" w:color="auto" w:sz="4" w:space="0"/>
            </w:tcBorders>
            <w:vAlign w:val="center"/>
          </w:tcPr>
          <w:p w14:paraId="72557641">
            <w:pPr>
              <w:keepNext w:val="0"/>
              <w:keepLines w:val="0"/>
              <w:suppressLineNumbers w:val="0"/>
              <w:snapToGrid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总体服务方案</w:t>
            </w:r>
          </w:p>
        </w:tc>
        <w:tc>
          <w:tcPr>
            <w:tcW w:w="857" w:type="dxa"/>
            <w:tcBorders>
              <w:top w:val="single" w:color="auto" w:sz="4" w:space="0"/>
              <w:left w:val="nil"/>
              <w:right w:val="single" w:color="auto" w:sz="4" w:space="0"/>
            </w:tcBorders>
            <w:vAlign w:val="center"/>
          </w:tcPr>
          <w:p w14:paraId="374B581E">
            <w:pPr>
              <w:keepNext w:val="0"/>
              <w:keepLines w:val="0"/>
              <w:suppressLineNumbers w:val="0"/>
              <w:snapToGrid w:val="0"/>
              <w:spacing w:before="0" w:beforeAutospacing="0" w:after="0" w:afterAutospacing="0"/>
              <w:ind w:left="0" w:right="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10分</w:t>
            </w:r>
          </w:p>
        </w:tc>
        <w:tc>
          <w:tcPr>
            <w:tcW w:w="6208" w:type="dxa"/>
            <w:tcBorders>
              <w:top w:val="single" w:color="auto" w:sz="4" w:space="0"/>
              <w:left w:val="nil"/>
              <w:right w:val="single" w:color="auto" w:sz="4" w:space="0"/>
            </w:tcBorders>
            <w:vAlign w:val="center"/>
          </w:tcPr>
          <w:p w14:paraId="3903CF9A">
            <w:pPr>
              <w:keepNext w:val="0"/>
              <w:keepLines w:val="0"/>
              <w:numPr>
                <w:ilvl w:val="0"/>
                <w:numId w:val="13"/>
              </w:numPr>
              <w:suppressLineNumbers w:val="0"/>
              <w:snapToGrid w:val="0"/>
              <w:spacing w:before="0" w:beforeAutospacing="0" w:after="0" w:afterAutospacing="0"/>
              <w:ind w:left="0" w:right="0"/>
              <w:jc w:val="left"/>
              <w:rPr>
                <w:rFonts w:hint="eastAsia"/>
                <w:lang w:val="en-US" w:eastAsia="zh-CN"/>
              </w:rPr>
            </w:pPr>
            <w:r>
              <w:rPr>
                <w:rFonts w:hint="eastAsia" w:ascii="仿宋" w:hAnsi="仿宋" w:eastAsia="仿宋" w:cs="宋体"/>
                <w:color w:val="auto"/>
                <w:kern w:val="2"/>
                <w:sz w:val="24"/>
                <w:szCs w:val="24"/>
                <w:highlight w:val="none"/>
                <w:lang w:val="en-US" w:eastAsia="zh-CN" w:bidi="zh-CN"/>
              </w:rPr>
              <w:t>投标人针对：①项目实施计划安排方案、计划表②活动日程安排③活动场地功能划分设计图及摊位分配④舞台设计平面图、效果图⑤活动现场后期保障服务方案，供应商针对以上内容提供切实的服务方案，包含内容齐全得满分10分，每缺一项扣2分，扣完为止。</w:t>
            </w:r>
          </w:p>
        </w:tc>
      </w:tr>
      <w:tr w14:paraId="2D223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395" w:type="dxa"/>
            <w:tcBorders>
              <w:top w:val="single" w:color="auto" w:sz="4" w:space="0"/>
              <w:left w:val="single" w:color="auto" w:sz="4" w:space="0"/>
              <w:right w:val="single" w:color="auto" w:sz="4" w:space="0"/>
            </w:tcBorders>
            <w:vAlign w:val="center"/>
          </w:tcPr>
          <w:p w14:paraId="2CCA3229">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2</w:t>
            </w:r>
          </w:p>
        </w:tc>
        <w:tc>
          <w:tcPr>
            <w:tcW w:w="1608" w:type="dxa"/>
            <w:tcBorders>
              <w:top w:val="single" w:color="auto" w:sz="4" w:space="0"/>
              <w:left w:val="nil"/>
              <w:right w:val="single" w:color="auto" w:sz="4" w:space="0"/>
            </w:tcBorders>
            <w:vAlign w:val="center"/>
          </w:tcPr>
          <w:p w14:paraId="76D5E5D5">
            <w:pPr>
              <w:keepNext w:val="0"/>
              <w:keepLines w:val="0"/>
              <w:suppressLineNumbers w:val="0"/>
              <w:snapToGrid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食宿、交通保障方案</w:t>
            </w:r>
          </w:p>
        </w:tc>
        <w:tc>
          <w:tcPr>
            <w:tcW w:w="857" w:type="dxa"/>
            <w:tcBorders>
              <w:top w:val="single" w:color="auto" w:sz="4" w:space="0"/>
              <w:left w:val="nil"/>
              <w:right w:val="single" w:color="auto" w:sz="4" w:space="0"/>
            </w:tcBorders>
            <w:vAlign w:val="center"/>
          </w:tcPr>
          <w:p w14:paraId="4899A7F5">
            <w:pPr>
              <w:keepNext w:val="0"/>
              <w:keepLines w:val="0"/>
              <w:suppressLineNumbers w:val="0"/>
              <w:snapToGrid w:val="0"/>
              <w:spacing w:before="0" w:beforeAutospacing="0" w:after="0" w:afterAutospacing="0"/>
              <w:ind w:left="0" w:right="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6分</w:t>
            </w:r>
          </w:p>
        </w:tc>
        <w:tc>
          <w:tcPr>
            <w:tcW w:w="6208" w:type="dxa"/>
            <w:tcBorders>
              <w:top w:val="single" w:color="auto" w:sz="4" w:space="0"/>
              <w:left w:val="nil"/>
              <w:right w:val="single" w:color="auto" w:sz="4" w:space="0"/>
            </w:tcBorders>
            <w:vAlign w:val="center"/>
          </w:tcPr>
          <w:p w14:paraId="53364D32">
            <w:pPr>
              <w:pStyle w:val="9"/>
              <w:keepNext w:val="0"/>
              <w:keepLines w:val="0"/>
              <w:numPr>
                <w:ilvl w:val="0"/>
                <w:numId w:val="0"/>
              </w:numPr>
              <w:suppressLineNumbers w:val="0"/>
              <w:spacing w:before="0" w:beforeAutospacing="0" w:after="0" w:afterAutospacing="0"/>
              <w:ind w:left="0" w:right="0"/>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根据采购需求结合项目实际情况①人员住宿安排计划②根据不同饮食习惯安排饮食计划③交通出行及安全保障方案，每一项得2分，满分6分，不提供不得分。</w:t>
            </w:r>
          </w:p>
        </w:tc>
      </w:tr>
      <w:tr w14:paraId="62F6C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395" w:type="dxa"/>
            <w:tcBorders>
              <w:top w:val="single" w:color="auto" w:sz="4" w:space="0"/>
              <w:left w:val="single" w:color="auto" w:sz="4" w:space="0"/>
              <w:right w:val="single" w:color="auto" w:sz="4" w:space="0"/>
            </w:tcBorders>
            <w:vAlign w:val="center"/>
          </w:tcPr>
          <w:p w14:paraId="20C9DB6E">
            <w:pPr>
              <w:pStyle w:val="94"/>
              <w:keepNext w:val="0"/>
              <w:keepLines w:val="0"/>
              <w:suppressLineNumbers w:val="0"/>
              <w:spacing w:before="0" w:beforeLines="0" w:beforeAutospacing="0" w:after="0" w:afterLines="0" w:afterAutospacing="0"/>
              <w:ind w:left="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3</w:t>
            </w:r>
          </w:p>
        </w:tc>
        <w:tc>
          <w:tcPr>
            <w:tcW w:w="1608" w:type="dxa"/>
            <w:tcBorders>
              <w:top w:val="single" w:color="auto" w:sz="4" w:space="0"/>
              <w:left w:val="nil"/>
              <w:right w:val="single" w:color="auto" w:sz="4" w:space="0"/>
            </w:tcBorders>
            <w:vAlign w:val="center"/>
          </w:tcPr>
          <w:p w14:paraId="0C8D4C3D">
            <w:pPr>
              <w:keepNext w:val="0"/>
              <w:keepLines w:val="0"/>
              <w:suppressLineNumbers w:val="0"/>
              <w:snapToGrid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场地场景布置及搭建方案</w:t>
            </w:r>
          </w:p>
        </w:tc>
        <w:tc>
          <w:tcPr>
            <w:tcW w:w="857" w:type="dxa"/>
            <w:tcBorders>
              <w:top w:val="single" w:color="auto" w:sz="4" w:space="0"/>
              <w:left w:val="nil"/>
              <w:right w:val="single" w:color="auto" w:sz="4" w:space="0"/>
            </w:tcBorders>
            <w:vAlign w:val="center"/>
          </w:tcPr>
          <w:p w14:paraId="44D02FD0">
            <w:pPr>
              <w:keepNext w:val="0"/>
              <w:keepLines w:val="0"/>
              <w:suppressLineNumbers w:val="0"/>
              <w:snapToGrid w:val="0"/>
              <w:spacing w:before="0" w:beforeAutospacing="0" w:after="0" w:afterAutospacing="0"/>
              <w:ind w:left="0" w:right="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6分</w:t>
            </w:r>
          </w:p>
        </w:tc>
        <w:tc>
          <w:tcPr>
            <w:tcW w:w="6208" w:type="dxa"/>
            <w:tcBorders>
              <w:top w:val="single" w:color="auto" w:sz="4" w:space="0"/>
              <w:left w:val="nil"/>
              <w:right w:val="single" w:color="auto" w:sz="4" w:space="0"/>
            </w:tcBorders>
            <w:vAlign w:val="center"/>
          </w:tcPr>
          <w:p w14:paraId="1B294B11">
            <w:pPr>
              <w:pStyle w:val="9"/>
              <w:keepNext w:val="0"/>
              <w:keepLines w:val="0"/>
              <w:numPr>
                <w:ilvl w:val="0"/>
                <w:numId w:val="0"/>
              </w:numPr>
              <w:suppressLineNumbers w:val="0"/>
              <w:spacing w:before="0" w:beforeAutospacing="0" w:after="0" w:afterAutospacing="0"/>
              <w:ind w:left="0" w:right="0"/>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根据投标人针对本项目提供的场地场景布置及搭建方案①氛围营造②舞台布置③灯光音响④技术服务⑤节目演出⑥施工安全应对措施，满分6分，每缺一项扣1分，扣完为止。</w:t>
            </w:r>
          </w:p>
        </w:tc>
      </w:tr>
      <w:tr w14:paraId="221DC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395" w:type="dxa"/>
            <w:tcBorders>
              <w:top w:val="single" w:color="auto" w:sz="4" w:space="0"/>
              <w:left w:val="single" w:color="auto" w:sz="4" w:space="0"/>
              <w:right w:val="single" w:color="auto" w:sz="4" w:space="0"/>
            </w:tcBorders>
            <w:vAlign w:val="center"/>
          </w:tcPr>
          <w:p w14:paraId="49B5D12D">
            <w:pPr>
              <w:pStyle w:val="9"/>
              <w:keepNext w:val="0"/>
              <w:keepLines w:val="0"/>
              <w:numPr>
                <w:ilvl w:val="0"/>
                <w:numId w:val="0"/>
              </w:numPr>
              <w:suppressLineNumbers w:val="0"/>
              <w:spacing w:before="0" w:beforeAutospacing="0" w:after="0" w:afterAutospacing="0"/>
              <w:ind w:left="0" w:right="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4</w:t>
            </w:r>
          </w:p>
        </w:tc>
        <w:tc>
          <w:tcPr>
            <w:tcW w:w="1608" w:type="dxa"/>
            <w:tcBorders>
              <w:top w:val="single" w:color="auto" w:sz="4" w:space="0"/>
              <w:left w:val="nil"/>
              <w:right w:val="single" w:color="auto" w:sz="4" w:space="0"/>
            </w:tcBorders>
            <w:vAlign w:val="center"/>
          </w:tcPr>
          <w:p w14:paraId="508EB397">
            <w:pPr>
              <w:pStyle w:val="9"/>
              <w:keepNext w:val="0"/>
              <w:keepLines w:val="0"/>
              <w:numPr>
                <w:ilvl w:val="0"/>
                <w:numId w:val="0"/>
              </w:numPr>
              <w:suppressLineNumbers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宣传推广方案</w:t>
            </w:r>
          </w:p>
        </w:tc>
        <w:tc>
          <w:tcPr>
            <w:tcW w:w="857" w:type="dxa"/>
            <w:tcBorders>
              <w:top w:val="single" w:color="auto" w:sz="4" w:space="0"/>
              <w:left w:val="nil"/>
              <w:right w:val="single" w:color="auto" w:sz="4" w:space="0"/>
            </w:tcBorders>
            <w:vAlign w:val="center"/>
          </w:tcPr>
          <w:p w14:paraId="1FB8096C">
            <w:pPr>
              <w:keepNext w:val="0"/>
              <w:keepLines w:val="0"/>
              <w:suppressLineNumbers w:val="0"/>
              <w:snapToGrid w:val="0"/>
              <w:spacing w:before="0" w:beforeAutospacing="0" w:after="0" w:afterAutospacing="0"/>
              <w:ind w:left="0" w:right="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8分</w:t>
            </w:r>
          </w:p>
        </w:tc>
        <w:tc>
          <w:tcPr>
            <w:tcW w:w="6208" w:type="dxa"/>
            <w:tcBorders>
              <w:top w:val="single" w:color="auto" w:sz="4" w:space="0"/>
              <w:left w:val="nil"/>
              <w:right w:val="single" w:color="auto" w:sz="4" w:space="0"/>
            </w:tcBorders>
            <w:vAlign w:val="center"/>
          </w:tcPr>
          <w:p w14:paraId="3FF43E56">
            <w:pPr>
              <w:pStyle w:val="9"/>
              <w:keepNext w:val="0"/>
              <w:keepLines w:val="0"/>
              <w:numPr>
                <w:ilvl w:val="0"/>
                <w:numId w:val="0"/>
              </w:numPr>
              <w:suppressLineNumbers w:val="0"/>
              <w:spacing w:before="0" w:beforeAutospacing="0" w:after="0" w:afterAutospacing="0"/>
              <w:ind w:left="0" w:right="0"/>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根据投标人宣传、推广销售新疆美食、莎车县非遗及好物具体方案包含①宣传渠道②活动期间拍摄③图片视频收集、整理④社会媒体、官方媒体（包含央视媒体）邀请报道工作，提升线上线下传播度，吸引用户关注并参与，供应商针对以上内容提供切实方案，内容齐全得满分8分，每缺一项扣 2分，扣完为止。</w:t>
            </w:r>
          </w:p>
        </w:tc>
      </w:tr>
      <w:tr w14:paraId="11C62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395" w:type="dxa"/>
            <w:tcBorders>
              <w:left w:val="single" w:color="auto" w:sz="4" w:space="0"/>
              <w:right w:val="single" w:color="auto" w:sz="4" w:space="0"/>
            </w:tcBorders>
            <w:vAlign w:val="center"/>
          </w:tcPr>
          <w:p w14:paraId="248DE117">
            <w:pPr>
              <w:keepNext w:val="0"/>
              <w:keepLines w:val="0"/>
              <w:suppressLineNumbers w:val="0"/>
              <w:spacing w:before="0" w:beforeAutospacing="0" w:after="0" w:afterAutospacing="0"/>
              <w:ind w:left="0" w:right="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5</w:t>
            </w:r>
          </w:p>
        </w:tc>
        <w:tc>
          <w:tcPr>
            <w:tcW w:w="1608" w:type="dxa"/>
            <w:tcBorders>
              <w:left w:val="nil"/>
              <w:right w:val="single" w:color="auto" w:sz="4" w:space="0"/>
            </w:tcBorders>
            <w:vAlign w:val="center"/>
          </w:tcPr>
          <w:p w14:paraId="7EF6C671">
            <w:pPr>
              <w:keepNext w:val="0"/>
              <w:keepLines w:val="0"/>
              <w:suppressLineNumbers w:val="0"/>
              <w:snapToGrid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安全管理</w:t>
            </w:r>
          </w:p>
          <w:p w14:paraId="2E2684F1">
            <w:pPr>
              <w:keepNext w:val="0"/>
              <w:keepLines w:val="0"/>
              <w:suppressLineNumbers w:val="0"/>
              <w:snapToGrid w:val="0"/>
              <w:spacing w:before="0" w:beforeAutospacing="0" w:after="0" w:afterAutospacing="0"/>
              <w:ind w:left="0" w:right="0"/>
              <w:jc w:val="center"/>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方案</w:t>
            </w:r>
          </w:p>
        </w:tc>
        <w:tc>
          <w:tcPr>
            <w:tcW w:w="857" w:type="dxa"/>
            <w:tcBorders>
              <w:top w:val="single" w:color="auto" w:sz="4" w:space="0"/>
              <w:left w:val="nil"/>
              <w:bottom w:val="single" w:color="auto" w:sz="4" w:space="0"/>
              <w:right w:val="single" w:color="auto" w:sz="4" w:space="0"/>
            </w:tcBorders>
            <w:vAlign w:val="center"/>
          </w:tcPr>
          <w:p w14:paraId="664D8D4C">
            <w:pPr>
              <w:keepNext w:val="0"/>
              <w:keepLines w:val="0"/>
              <w:suppressLineNumbers w:val="0"/>
              <w:snapToGrid w:val="0"/>
              <w:spacing w:before="0" w:beforeAutospacing="0" w:after="0" w:afterAutospacing="0"/>
              <w:ind w:left="0" w:right="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6分</w:t>
            </w:r>
          </w:p>
        </w:tc>
        <w:tc>
          <w:tcPr>
            <w:tcW w:w="6208" w:type="dxa"/>
            <w:tcBorders>
              <w:top w:val="single" w:color="auto" w:sz="4" w:space="0"/>
              <w:left w:val="nil"/>
              <w:bottom w:val="single" w:color="auto" w:sz="4" w:space="0"/>
              <w:right w:val="single" w:color="auto" w:sz="4" w:space="0"/>
            </w:tcBorders>
            <w:vAlign w:val="center"/>
          </w:tcPr>
          <w:p w14:paraId="63B98B50">
            <w:pPr>
              <w:keepNext w:val="0"/>
              <w:keepLines w:val="0"/>
              <w:suppressLineNumbers w:val="0"/>
              <w:snapToGrid w:val="0"/>
              <w:spacing w:before="0" w:beforeAutospacing="0" w:after="0" w:afterAutospacing="0"/>
              <w:ind w:left="0" w:right="0"/>
              <w:jc w:val="left"/>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根据供应商针对本项目提供的活动现场安全管理方案进行评价：①有相应的人力、物力投入安排明确具体开展细节②提出现场安全保卫工作中的重点及难点和应对措施，③提供快速应对和解决突发状况的方案，</w:t>
            </w:r>
            <w:r>
              <w:rPr>
                <w:rFonts w:hint="eastAsia" w:ascii="仿宋" w:hAnsi="仿宋" w:eastAsia="仿宋" w:cs="宋体"/>
                <w:color w:val="auto"/>
                <w:sz w:val="24"/>
                <w:highlight w:val="none"/>
                <w:lang w:val="en-US" w:eastAsia="zh-CN"/>
              </w:rPr>
              <w:t>满分为6分，以上内容有缺项的扣2分；扣完为止；</w:t>
            </w:r>
          </w:p>
        </w:tc>
      </w:tr>
      <w:tr w14:paraId="2FA23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395" w:type="dxa"/>
            <w:tcBorders>
              <w:left w:val="single" w:color="auto" w:sz="4" w:space="0"/>
              <w:right w:val="single" w:color="auto" w:sz="4" w:space="0"/>
            </w:tcBorders>
            <w:vAlign w:val="center"/>
          </w:tcPr>
          <w:p w14:paraId="33C5E9D4">
            <w:pPr>
              <w:keepNext w:val="0"/>
              <w:keepLines w:val="0"/>
              <w:suppressLineNumbers w:val="0"/>
              <w:spacing w:before="0" w:beforeAutospacing="0" w:after="0" w:afterAutospacing="0"/>
              <w:ind w:left="0" w:right="0"/>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6</w:t>
            </w:r>
          </w:p>
        </w:tc>
        <w:tc>
          <w:tcPr>
            <w:tcW w:w="1608" w:type="dxa"/>
            <w:tcBorders>
              <w:left w:val="nil"/>
              <w:right w:val="single" w:color="auto" w:sz="4" w:space="0"/>
            </w:tcBorders>
            <w:vAlign w:val="center"/>
          </w:tcPr>
          <w:p w14:paraId="6B16DCD3">
            <w:pPr>
              <w:keepNext w:val="0"/>
              <w:keepLines w:val="0"/>
              <w:suppressLineNumbers w:val="0"/>
              <w:snapToGrid w:val="0"/>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zh-CN"/>
              </w:rPr>
            </w:pPr>
            <w:r>
              <w:rPr>
                <w:rFonts w:hint="eastAsia" w:ascii="仿宋" w:hAnsi="仿宋" w:eastAsia="仿宋" w:cs="仿宋"/>
                <w:color w:val="auto"/>
                <w:kern w:val="2"/>
                <w:sz w:val="24"/>
                <w:szCs w:val="24"/>
                <w:highlight w:val="none"/>
                <w:lang w:val="en-US" w:eastAsia="zh-CN" w:bidi="zh-CN"/>
              </w:rPr>
              <w:t>应急方案</w:t>
            </w:r>
          </w:p>
        </w:tc>
        <w:tc>
          <w:tcPr>
            <w:tcW w:w="857" w:type="dxa"/>
            <w:tcBorders>
              <w:top w:val="single" w:color="auto" w:sz="4" w:space="0"/>
              <w:left w:val="nil"/>
              <w:bottom w:val="single" w:color="auto" w:sz="4" w:space="0"/>
              <w:right w:val="single" w:color="auto" w:sz="4" w:space="0"/>
            </w:tcBorders>
            <w:vAlign w:val="center"/>
          </w:tcPr>
          <w:p w14:paraId="048AFAA3">
            <w:pPr>
              <w:keepNext w:val="0"/>
              <w:keepLines w:val="0"/>
              <w:suppressLineNumbers w:val="0"/>
              <w:snapToGrid w:val="0"/>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zh-CN"/>
              </w:rPr>
            </w:pPr>
            <w:r>
              <w:rPr>
                <w:rFonts w:hint="eastAsia" w:ascii="仿宋" w:hAnsi="仿宋" w:eastAsia="仿宋" w:cs="仿宋"/>
                <w:color w:val="auto"/>
                <w:kern w:val="2"/>
                <w:sz w:val="24"/>
                <w:szCs w:val="24"/>
                <w:highlight w:val="none"/>
                <w:lang w:val="en-US" w:eastAsia="zh-CN" w:bidi="zh-CN"/>
              </w:rPr>
              <w:t>3分</w:t>
            </w:r>
          </w:p>
        </w:tc>
        <w:tc>
          <w:tcPr>
            <w:tcW w:w="6208" w:type="dxa"/>
            <w:tcBorders>
              <w:top w:val="single" w:color="auto" w:sz="4" w:space="0"/>
              <w:left w:val="nil"/>
              <w:bottom w:val="single" w:color="auto" w:sz="4" w:space="0"/>
              <w:right w:val="single" w:color="auto" w:sz="4" w:space="0"/>
            </w:tcBorders>
            <w:vAlign w:val="center"/>
          </w:tcPr>
          <w:p w14:paraId="667DE937">
            <w:pPr>
              <w:keepNext w:val="0"/>
              <w:keepLines w:val="0"/>
              <w:suppressLineNumbers w:val="0"/>
              <w:spacing w:before="0" w:beforeAutospacing="0" w:after="0" w:afterAutospacing="0"/>
              <w:ind w:left="0" w:right="0"/>
              <w:rPr>
                <w:rFonts w:hint="default" w:ascii="仿宋" w:hAnsi="仿宋" w:eastAsia="仿宋" w:cs="仿宋"/>
                <w:sz w:val="24"/>
                <w:szCs w:val="24"/>
                <w:lang w:val="en-US" w:eastAsia="zh-CN"/>
              </w:rPr>
            </w:pPr>
            <w:r>
              <w:rPr>
                <w:rFonts w:hint="eastAsia" w:ascii="仿宋" w:hAnsi="仿宋" w:eastAsia="仿宋" w:cs="宋体"/>
                <w:color w:val="auto"/>
                <w:kern w:val="2"/>
                <w:sz w:val="24"/>
                <w:szCs w:val="24"/>
                <w:highlight w:val="none"/>
                <w:lang w:val="en-US" w:eastAsia="zh-CN" w:bidi="zh-CN"/>
              </w:rPr>
              <w:t>投标人</w:t>
            </w:r>
            <w:r>
              <w:rPr>
                <w:rFonts w:hint="eastAsia" w:ascii="仿宋" w:hAnsi="仿宋" w:eastAsia="仿宋" w:cs="宋体"/>
                <w:color w:val="auto"/>
                <w:sz w:val="24"/>
                <w:highlight w:val="none"/>
                <w:lang w:val="en-US" w:eastAsia="zh-CN"/>
              </w:rPr>
              <w:t>制定针对本项目的应急方案,包括但不限于①应急组成人员、②事故发生后的应急措施、③应急响应时间，满分为3分，以上内容有缺项的扣 1分；扣完为止；</w:t>
            </w:r>
          </w:p>
        </w:tc>
      </w:tr>
      <w:tr w14:paraId="65C41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395" w:type="dxa"/>
            <w:tcBorders>
              <w:left w:val="single" w:color="auto" w:sz="4" w:space="0"/>
              <w:right w:val="single" w:color="auto" w:sz="4" w:space="0"/>
            </w:tcBorders>
            <w:vAlign w:val="center"/>
          </w:tcPr>
          <w:p w14:paraId="4403458E">
            <w:pPr>
              <w:pStyle w:val="94"/>
              <w:keepNext w:val="0"/>
              <w:keepLines w:val="0"/>
              <w:suppressLineNumbers w:val="0"/>
              <w:spacing w:before="0" w:beforeLines="0" w:beforeAutospacing="0" w:after="0" w:afterLines="0" w:afterAutospacing="0"/>
              <w:ind w:left="0" w:leftChars="0" w:right="0" w:rightChars="0"/>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kern w:val="2"/>
                <w:sz w:val="24"/>
                <w:szCs w:val="24"/>
                <w:highlight w:val="none"/>
                <w:lang w:val="en-US" w:eastAsia="zh-CN" w:bidi="zh-CN"/>
              </w:rPr>
              <w:t>7</w:t>
            </w:r>
          </w:p>
        </w:tc>
        <w:tc>
          <w:tcPr>
            <w:tcW w:w="1608" w:type="dxa"/>
            <w:tcBorders>
              <w:left w:val="nil"/>
              <w:right w:val="single" w:color="auto" w:sz="4" w:space="0"/>
            </w:tcBorders>
            <w:vAlign w:val="center"/>
          </w:tcPr>
          <w:p w14:paraId="2E9F2B3C">
            <w:pPr>
              <w:keepNext w:val="0"/>
              <w:keepLines w:val="0"/>
              <w:suppressLineNumbers w:val="0"/>
              <w:snapToGrid w:val="0"/>
              <w:spacing w:before="0" w:beforeAutospacing="0" w:after="0" w:afterAutospacing="0"/>
              <w:ind w:left="0" w:leftChars="0" w:right="0" w:rightChars="0"/>
              <w:jc w:val="both"/>
              <w:rPr>
                <w:rFonts w:hint="eastAsia" w:ascii="仿宋" w:hAnsi="仿宋" w:eastAsia="仿宋" w:cs="仿宋"/>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对项目理解分析及合理化建议</w:t>
            </w:r>
          </w:p>
        </w:tc>
        <w:tc>
          <w:tcPr>
            <w:tcW w:w="857" w:type="dxa"/>
            <w:tcBorders>
              <w:top w:val="single" w:color="auto" w:sz="4" w:space="0"/>
              <w:left w:val="nil"/>
              <w:bottom w:val="single" w:color="auto" w:sz="4" w:space="0"/>
              <w:right w:val="single" w:color="auto" w:sz="4" w:space="0"/>
            </w:tcBorders>
            <w:vAlign w:val="center"/>
          </w:tcPr>
          <w:p w14:paraId="7A226C9D">
            <w:pPr>
              <w:keepNext w:val="0"/>
              <w:keepLines w:val="0"/>
              <w:suppressLineNumbers w:val="0"/>
              <w:snapToGrid w:val="0"/>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1分</w:t>
            </w:r>
          </w:p>
        </w:tc>
        <w:tc>
          <w:tcPr>
            <w:tcW w:w="6208" w:type="dxa"/>
            <w:tcBorders>
              <w:top w:val="single" w:color="auto" w:sz="4" w:space="0"/>
              <w:left w:val="nil"/>
              <w:bottom w:val="single" w:color="auto" w:sz="4" w:space="0"/>
              <w:right w:val="single" w:color="auto" w:sz="4" w:space="0"/>
            </w:tcBorders>
            <w:vAlign w:val="center"/>
          </w:tcPr>
          <w:p w14:paraId="30E18081">
            <w:pPr>
              <w:keepNext w:val="0"/>
              <w:keepLines w:val="0"/>
              <w:suppressLineNumbers w:val="0"/>
              <w:snapToGrid w:val="0"/>
              <w:spacing w:before="0" w:beforeAutospacing="0" w:after="0" w:afterAutospacing="0"/>
              <w:ind w:left="0" w:leftChars="0" w:right="0" w:rightChars="0"/>
              <w:jc w:val="both"/>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根据各投标人对本项目采购需求的理解，阐述现状情况结合投标人自身优势给出针对本项目的难点分析并提出合理化建议进行评审。理解完整、透彻，自身优势结合项目现状的分析详尽、全面、准确，提出合理化建议合理实用，得1分未提供不得分。</w:t>
            </w:r>
          </w:p>
        </w:tc>
      </w:tr>
      <w:tr w14:paraId="482F2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8" w:hRule="atLeast"/>
        </w:trPr>
        <w:tc>
          <w:tcPr>
            <w:tcW w:w="395" w:type="dxa"/>
            <w:tcBorders>
              <w:left w:val="single" w:color="auto" w:sz="4" w:space="0"/>
              <w:right w:val="single" w:color="auto" w:sz="4" w:space="0"/>
            </w:tcBorders>
            <w:vAlign w:val="center"/>
          </w:tcPr>
          <w:p w14:paraId="18F1E13D">
            <w:pPr>
              <w:pStyle w:val="94"/>
              <w:keepNext w:val="0"/>
              <w:keepLines w:val="0"/>
              <w:suppressLineNumbers w:val="0"/>
              <w:spacing w:before="0" w:beforeLines="0" w:beforeAutospacing="0" w:after="0" w:afterLines="0" w:afterAutospacing="0"/>
              <w:ind w:left="0" w:leftChars="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8</w:t>
            </w:r>
          </w:p>
        </w:tc>
        <w:tc>
          <w:tcPr>
            <w:tcW w:w="1608" w:type="dxa"/>
            <w:tcBorders>
              <w:left w:val="nil"/>
              <w:right w:val="single" w:color="auto" w:sz="4" w:space="0"/>
            </w:tcBorders>
            <w:vAlign w:val="center"/>
          </w:tcPr>
          <w:p w14:paraId="34B8692D">
            <w:pPr>
              <w:keepNext w:val="0"/>
              <w:keepLines w:val="0"/>
              <w:suppressLineNumbers w:val="0"/>
              <w:snapToGrid w:val="0"/>
              <w:spacing w:before="0" w:beforeAutospacing="0" w:after="0" w:afterAutospacing="0"/>
              <w:ind w:left="0" w:leftChars="0" w:right="0" w:rightChars="0"/>
              <w:jc w:val="both"/>
              <w:rPr>
                <w:rFonts w:hint="eastAsia"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售后服务方案</w:t>
            </w:r>
          </w:p>
        </w:tc>
        <w:tc>
          <w:tcPr>
            <w:tcW w:w="857" w:type="dxa"/>
            <w:tcBorders>
              <w:top w:val="single" w:color="auto" w:sz="4" w:space="0"/>
              <w:left w:val="nil"/>
              <w:bottom w:val="single" w:color="auto" w:sz="4" w:space="0"/>
              <w:right w:val="single" w:color="auto" w:sz="4" w:space="0"/>
            </w:tcBorders>
            <w:vAlign w:val="center"/>
          </w:tcPr>
          <w:p w14:paraId="11B4AE93">
            <w:pPr>
              <w:keepNext w:val="0"/>
              <w:keepLines w:val="0"/>
              <w:suppressLineNumbers w:val="0"/>
              <w:snapToGrid w:val="0"/>
              <w:spacing w:before="0" w:beforeAutospacing="0" w:after="0" w:afterAutospacing="0"/>
              <w:ind w:left="0" w:leftChars="0" w:right="0" w:rightChars="0"/>
              <w:jc w:val="center"/>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6分</w:t>
            </w:r>
          </w:p>
        </w:tc>
        <w:tc>
          <w:tcPr>
            <w:tcW w:w="6208" w:type="dxa"/>
            <w:tcBorders>
              <w:top w:val="single" w:color="auto" w:sz="4" w:space="0"/>
              <w:left w:val="nil"/>
              <w:bottom w:val="single" w:color="auto" w:sz="4" w:space="0"/>
              <w:right w:val="single" w:color="auto" w:sz="4" w:space="0"/>
            </w:tcBorders>
            <w:vAlign w:val="center"/>
          </w:tcPr>
          <w:p w14:paraId="0FD92FD5">
            <w:pPr>
              <w:pStyle w:val="9"/>
              <w:keepNext w:val="0"/>
              <w:keepLines w:val="0"/>
              <w:suppressLineNumbers w:val="0"/>
              <w:spacing w:before="0" w:beforeAutospacing="0" w:after="0" w:afterAutospacing="0"/>
              <w:ind w:left="0" w:leftChars="0" w:right="0" w:firstLine="0" w:firstLineChars="0"/>
              <w:rPr>
                <w:rFonts w:hint="eastAsia" w:ascii="仿宋" w:hAnsi="仿宋" w:eastAsia="仿宋" w:cs="仿宋"/>
                <w:sz w:val="24"/>
                <w:szCs w:val="24"/>
                <w:highlight w:val="none"/>
                <w:lang w:val="en-US" w:eastAsia="zh-CN"/>
              </w:rPr>
            </w:pPr>
            <w:r>
              <w:rPr>
                <w:rFonts w:hint="eastAsia" w:ascii="仿宋" w:hAnsi="仿宋" w:eastAsia="仿宋" w:cs="宋体"/>
                <w:color w:val="auto"/>
                <w:kern w:val="2"/>
                <w:sz w:val="24"/>
                <w:szCs w:val="24"/>
                <w:highlight w:val="none"/>
                <w:lang w:val="en-US" w:eastAsia="zh-CN" w:bidi="zh-CN"/>
              </w:rPr>
              <w:t>1、</w:t>
            </w:r>
            <w:r>
              <w:rPr>
                <w:rFonts w:hint="eastAsia" w:ascii="仿宋" w:hAnsi="仿宋" w:eastAsia="仿宋" w:cs="仿宋"/>
                <w:sz w:val="24"/>
                <w:szCs w:val="24"/>
                <w:highlight w:val="none"/>
                <w:lang w:val="en-US" w:eastAsia="zh-CN"/>
              </w:rPr>
              <w:t>活动现场须安排最少2辆急救车，每辆急救车上至少配备两名急救人员，医生需持有《医师资格证书》和《医师执业证书》，护士需持有《护士执业证书》，面对游客中可能面临的突发事件需做一个全面的应急预案及应对措施，满足需求得2分；不满足不得分。</w:t>
            </w:r>
          </w:p>
          <w:p w14:paraId="543B2C11">
            <w:pPr>
              <w:keepNext w:val="0"/>
              <w:keepLines w:val="0"/>
              <w:suppressLineNumbers w:val="0"/>
              <w:snapToGrid w:val="0"/>
              <w:spacing w:before="0" w:beforeAutospacing="0" w:after="0" w:afterAutospacing="0"/>
              <w:ind w:left="0" w:leftChars="0" w:right="0" w:rightChars="0"/>
              <w:jc w:val="both"/>
              <w:rPr>
                <w:rFonts w:hint="default" w:ascii="仿宋" w:hAnsi="仿宋" w:eastAsia="仿宋" w:cs="宋体"/>
                <w:color w:val="auto"/>
                <w:kern w:val="2"/>
                <w:sz w:val="24"/>
                <w:szCs w:val="24"/>
                <w:highlight w:val="none"/>
                <w:lang w:val="en-US" w:eastAsia="zh-CN" w:bidi="zh-CN"/>
              </w:rPr>
            </w:pPr>
            <w:r>
              <w:rPr>
                <w:rFonts w:hint="eastAsia" w:ascii="仿宋" w:hAnsi="仿宋" w:eastAsia="仿宋" w:cs="宋体"/>
                <w:color w:val="auto"/>
                <w:kern w:val="2"/>
                <w:sz w:val="24"/>
                <w:szCs w:val="24"/>
                <w:highlight w:val="none"/>
                <w:lang w:val="en-US" w:eastAsia="zh-CN" w:bidi="zh-CN"/>
              </w:rPr>
              <w:t>2、</w:t>
            </w:r>
            <w:r>
              <w:rPr>
                <w:rFonts w:hint="eastAsia" w:ascii="仿宋" w:hAnsi="仿宋" w:eastAsia="仿宋" w:cs="仿宋"/>
                <w:color w:val="auto"/>
                <w:sz w:val="24"/>
                <w:szCs w:val="24"/>
                <w:highlight w:val="none"/>
                <w:lang w:val="en-US" w:eastAsia="zh-CN"/>
              </w:rPr>
              <w:t>面对</w:t>
            </w:r>
            <w:r>
              <w:rPr>
                <w:rFonts w:hint="eastAsia" w:ascii="仿宋" w:hAnsi="仿宋" w:eastAsia="仿宋" w:cs="仿宋"/>
                <w:sz w:val="24"/>
                <w:szCs w:val="24"/>
                <w:highlight w:val="none"/>
                <w:lang w:val="en-US" w:eastAsia="zh-CN"/>
              </w:rPr>
              <w:t>不可抗力或突发事情期间</w:t>
            </w:r>
            <w:r>
              <w:rPr>
                <w:rFonts w:hint="eastAsia" w:ascii="仿宋" w:hAnsi="仿宋" w:eastAsia="仿宋" w:cs="仿宋"/>
                <w:color w:val="auto"/>
                <w:sz w:val="24"/>
                <w:szCs w:val="24"/>
                <w:highlight w:val="none"/>
                <w:lang w:val="en-US" w:eastAsia="zh-CN"/>
              </w:rPr>
              <w:t>演出、活动入口、重点游览地，餐饮这些容易形成拥堵的区域，投标企业需制定针对性措施，保持游客的间距，保证巡逻巡查工作，安排专职人员及时做好疏导和引导工作，安排专职工作人员1人得1分，不满足不得分，每增加1名得1分，最高不得超过4分。</w:t>
            </w:r>
          </w:p>
        </w:tc>
      </w:tr>
    </w:tbl>
    <w:p w14:paraId="6B0B017B">
      <w:pPr>
        <w:rPr>
          <w:rFonts w:hint="eastAsia"/>
          <w:lang w:eastAsia="zh-CN"/>
        </w:rPr>
        <w:sectPr>
          <w:pgSz w:w="11910" w:h="16840"/>
          <w:pgMar w:top="1440" w:right="1797" w:bottom="1440" w:left="1797" w:header="0" w:footer="913" w:gutter="0"/>
          <w:pgBorders>
            <w:top w:val="none" w:sz="0" w:space="0"/>
            <w:left w:val="none" w:sz="0" w:space="0"/>
            <w:bottom w:val="none" w:sz="0" w:space="0"/>
            <w:right w:val="none" w:sz="0" w:space="0"/>
          </w:pgBorders>
          <w:pgNumType w:fmt="decimal"/>
          <w:cols w:space="720" w:num="1"/>
        </w:sectPr>
      </w:pPr>
    </w:p>
    <w:p w14:paraId="67E62026">
      <w:pPr>
        <w:pStyle w:val="10"/>
        <w:rPr>
          <w:rFonts w:hint="eastAsia"/>
          <w:lang w:eastAsia="zh-CN"/>
        </w:rPr>
      </w:pPr>
    </w:p>
    <w:p w14:paraId="69DA2B9F">
      <w:pPr>
        <w:pStyle w:val="9"/>
        <w:rPr>
          <w:rFonts w:hint="eastAsia"/>
          <w:lang w:eastAsia="zh-CN"/>
        </w:rPr>
      </w:pPr>
    </w:p>
    <w:p w14:paraId="159CDD39">
      <w:pPr>
        <w:pStyle w:val="10"/>
        <w:rPr>
          <w:rFonts w:hint="eastAsia"/>
          <w:lang w:eastAsia="zh-CN"/>
        </w:rPr>
      </w:pPr>
    </w:p>
    <w:p w14:paraId="40317929">
      <w:pPr>
        <w:rPr>
          <w:rFonts w:hint="eastAsia" w:ascii="仿宋" w:hAnsi="仿宋" w:eastAsia="仿宋" w:cs="仿宋"/>
          <w:b/>
          <w:bCs/>
          <w:color w:val="auto"/>
          <w:kern w:val="0"/>
          <w:sz w:val="52"/>
          <w:szCs w:val="52"/>
          <w:highlight w:val="none"/>
          <w:lang w:eastAsia="zh-CN"/>
        </w:rPr>
      </w:pPr>
    </w:p>
    <w:p w14:paraId="30CFAAEA">
      <w:pPr>
        <w:pStyle w:val="27"/>
        <w:jc w:val="center"/>
        <w:rPr>
          <w:rFonts w:hint="eastAsia" w:ascii="仿宋" w:hAnsi="仿宋" w:eastAsia="仿宋" w:cs="仿宋"/>
          <w:b/>
          <w:bCs/>
          <w:color w:val="auto"/>
          <w:kern w:val="0"/>
          <w:sz w:val="44"/>
          <w:szCs w:val="44"/>
          <w:highlight w:val="none"/>
        </w:rPr>
      </w:pPr>
      <w:r>
        <w:rPr>
          <w:rFonts w:hint="eastAsia" w:ascii="仿宋" w:hAnsi="仿宋" w:eastAsia="仿宋" w:cs="仿宋"/>
          <w:b/>
          <w:bCs/>
          <w:color w:val="auto"/>
          <w:kern w:val="0"/>
          <w:sz w:val="52"/>
          <w:szCs w:val="52"/>
          <w:highlight w:val="none"/>
          <w:lang w:eastAsia="zh-CN"/>
        </w:rPr>
        <w:t>莎车县促进各民族交往交流交融（浦莎乐巴扎）项目</w:t>
      </w:r>
    </w:p>
    <w:p w14:paraId="041F53BF">
      <w:pPr>
        <w:pStyle w:val="27"/>
        <w:rPr>
          <w:rFonts w:hint="eastAsia" w:ascii="仿宋" w:hAnsi="仿宋" w:eastAsia="仿宋" w:cs="仿宋"/>
          <w:b/>
          <w:bCs/>
          <w:color w:val="auto"/>
          <w:kern w:val="0"/>
          <w:sz w:val="44"/>
          <w:szCs w:val="44"/>
          <w:highlight w:val="none"/>
        </w:rPr>
      </w:pPr>
    </w:p>
    <w:p w14:paraId="5A31DD5D">
      <w:pPr>
        <w:bidi w:val="0"/>
        <w:rPr>
          <w:rFonts w:hint="eastAsia" w:ascii="仿宋" w:hAnsi="仿宋" w:eastAsia="仿宋" w:cs="仿宋"/>
          <w:color w:val="auto"/>
          <w:highlight w:val="none"/>
        </w:rPr>
      </w:pPr>
    </w:p>
    <w:p w14:paraId="461BF821">
      <w:pPr>
        <w:pStyle w:val="27"/>
        <w:rPr>
          <w:rFonts w:hint="eastAsia" w:ascii="仿宋" w:hAnsi="仿宋" w:eastAsia="仿宋" w:cs="仿宋"/>
          <w:b/>
          <w:bCs/>
          <w:color w:val="auto"/>
          <w:kern w:val="0"/>
          <w:sz w:val="44"/>
          <w:szCs w:val="44"/>
          <w:highlight w:val="none"/>
        </w:rPr>
      </w:pPr>
    </w:p>
    <w:p w14:paraId="7DEBB7A1">
      <w:pPr>
        <w:pStyle w:val="27"/>
        <w:rPr>
          <w:rFonts w:hint="eastAsia" w:ascii="仿宋" w:hAnsi="仿宋" w:eastAsia="仿宋" w:cs="仿宋"/>
          <w:b/>
          <w:bCs/>
          <w:color w:val="auto"/>
          <w:kern w:val="0"/>
          <w:sz w:val="44"/>
          <w:szCs w:val="44"/>
          <w:highlight w:val="none"/>
        </w:rPr>
      </w:pPr>
    </w:p>
    <w:p w14:paraId="6E882C82">
      <w:pPr>
        <w:pStyle w:val="27"/>
        <w:rPr>
          <w:rFonts w:hint="eastAsia" w:ascii="仿宋" w:hAnsi="仿宋" w:eastAsia="仿宋" w:cs="仿宋"/>
          <w:b/>
          <w:bCs/>
          <w:color w:val="auto"/>
          <w:kern w:val="0"/>
          <w:sz w:val="44"/>
          <w:szCs w:val="44"/>
          <w:highlight w:val="none"/>
        </w:rPr>
      </w:pPr>
    </w:p>
    <w:p w14:paraId="570DB5DD">
      <w:pPr>
        <w:spacing w:line="240" w:lineRule="atLeast"/>
        <w:ind w:left="1080" w:leftChars="257" w:hanging="540"/>
        <w:jc w:val="center"/>
        <w:rPr>
          <w:rFonts w:hint="eastAsia" w:ascii="仿宋" w:hAnsi="仿宋" w:eastAsia="仿宋" w:cs="仿宋"/>
          <w:b/>
          <w:bCs/>
          <w:color w:val="auto"/>
          <w:kern w:val="0"/>
          <w:sz w:val="48"/>
          <w:szCs w:val="48"/>
          <w:highlight w:val="none"/>
        </w:rPr>
      </w:pPr>
      <w:r>
        <w:rPr>
          <w:rFonts w:hint="eastAsia" w:ascii="仿宋" w:hAnsi="仿宋" w:eastAsia="仿宋" w:cs="仿宋"/>
          <w:b/>
          <w:bCs/>
          <w:color w:val="auto"/>
          <w:kern w:val="0"/>
          <w:sz w:val="48"/>
          <w:szCs w:val="48"/>
          <w:highlight w:val="none"/>
        </w:rPr>
        <w:t>招标文件（</w:t>
      </w:r>
      <w:r>
        <w:rPr>
          <w:rFonts w:hint="eastAsia" w:ascii="仿宋" w:hAnsi="仿宋" w:eastAsia="仿宋" w:cs="仿宋"/>
          <w:b/>
          <w:color w:val="auto"/>
          <w:sz w:val="48"/>
          <w:szCs w:val="48"/>
          <w:highlight w:val="none"/>
        </w:rPr>
        <w:t>第</w:t>
      </w:r>
      <w:r>
        <w:rPr>
          <w:rFonts w:hint="eastAsia" w:ascii="仿宋" w:hAnsi="仿宋" w:eastAsia="仿宋" w:cs="仿宋"/>
          <w:b/>
          <w:color w:val="auto"/>
          <w:sz w:val="48"/>
          <w:szCs w:val="48"/>
          <w:highlight w:val="none"/>
          <w:lang w:eastAsia="zh-CN"/>
        </w:rPr>
        <w:t>三</w:t>
      </w:r>
      <w:r>
        <w:rPr>
          <w:rFonts w:hint="eastAsia" w:ascii="仿宋" w:hAnsi="仿宋" w:eastAsia="仿宋" w:cs="仿宋"/>
          <w:b/>
          <w:color w:val="auto"/>
          <w:sz w:val="48"/>
          <w:szCs w:val="48"/>
          <w:highlight w:val="none"/>
        </w:rPr>
        <w:t>册</w:t>
      </w:r>
      <w:r>
        <w:rPr>
          <w:rFonts w:hint="eastAsia" w:ascii="仿宋" w:hAnsi="仿宋" w:eastAsia="仿宋" w:cs="仿宋"/>
          <w:b/>
          <w:bCs/>
          <w:color w:val="auto"/>
          <w:kern w:val="0"/>
          <w:sz w:val="48"/>
          <w:szCs w:val="48"/>
          <w:highlight w:val="none"/>
        </w:rPr>
        <w:t>）</w:t>
      </w:r>
    </w:p>
    <w:p w14:paraId="665A59E7">
      <w:pPr>
        <w:pStyle w:val="38"/>
        <w:rPr>
          <w:rFonts w:hint="eastAsia" w:ascii="仿宋" w:hAnsi="仿宋" w:eastAsia="仿宋" w:cs="仿宋"/>
          <w:color w:val="auto"/>
          <w:highlight w:val="none"/>
        </w:rPr>
      </w:pPr>
    </w:p>
    <w:p w14:paraId="267AAA35">
      <w:pPr>
        <w:rPr>
          <w:rFonts w:hint="eastAsia" w:ascii="仿宋" w:hAnsi="仿宋" w:eastAsia="仿宋" w:cs="仿宋"/>
          <w:color w:val="auto"/>
          <w:highlight w:val="none"/>
        </w:rPr>
      </w:pPr>
    </w:p>
    <w:p w14:paraId="456C821F">
      <w:pPr>
        <w:pStyle w:val="38"/>
        <w:rPr>
          <w:rFonts w:hint="eastAsia" w:ascii="仿宋" w:hAnsi="仿宋" w:eastAsia="仿宋" w:cs="仿宋"/>
          <w:color w:val="auto"/>
          <w:highlight w:val="none"/>
        </w:rPr>
      </w:pPr>
    </w:p>
    <w:p w14:paraId="092F8AE7">
      <w:pPr>
        <w:pStyle w:val="38"/>
        <w:rPr>
          <w:rFonts w:hint="eastAsia" w:ascii="仿宋" w:hAnsi="仿宋" w:eastAsia="仿宋" w:cs="仿宋"/>
          <w:color w:val="auto"/>
          <w:highlight w:val="none"/>
        </w:rPr>
      </w:pPr>
    </w:p>
    <w:p w14:paraId="5DF1EAF1">
      <w:pPr>
        <w:pStyle w:val="38"/>
        <w:spacing w:line="240" w:lineRule="auto"/>
        <w:ind w:firstLine="0" w:firstLineChars="0"/>
        <w:rPr>
          <w:rFonts w:hint="eastAsia" w:ascii="仿宋" w:hAnsi="仿宋" w:eastAsia="仿宋" w:cs="仿宋"/>
          <w:color w:val="auto"/>
          <w:highlight w:val="none"/>
        </w:rPr>
      </w:pPr>
    </w:p>
    <w:p w14:paraId="62DEA19E">
      <w:pPr>
        <w:pStyle w:val="38"/>
        <w:rPr>
          <w:rFonts w:hint="eastAsia" w:ascii="仿宋" w:hAnsi="仿宋" w:eastAsia="仿宋" w:cs="仿宋"/>
          <w:color w:val="auto"/>
          <w:highlight w:val="none"/>
        </w:rPr>
      </w:pPr>
    </w:p>
    <w:p w14:paraId="33973F5D">
      <w:pPr>
        <w:pStyle w:val="38"/>
        <w:rPr>
          <w:rFonts w:hint="eastAsia" w:ascii="仿宋" w:hAnsi="仿宋" w:eastAsia="仿宋" w:cs="仿宋"/>
          <w:color w:val="auto"/>
          <w:highlight w:val="none"/>
        </w:rPr>
      </w:pPr>
    </w:p>
    <w:p w14:paraId="27144766">
      <w:pPr>
        <w:pStyle w:val="38"/>
        <w:rPr>
          <w:rFonts w:hint="eastAsia" w:ascii="仿宋" w:hAnsi="仿宋" w:eastAsia="仿宋" w:cs="仿宋"/>
          <w:color w:val="auto"/>
          <w:highlight w:val="none"/>
        </w:rPr>
      </w:pPr>
    </w:p>
    <w:p w14:paraId="3DCFF5EC">
      <w:pPr>
        <w:pStyle w:val="38"/>
        <w:rPr>
          <w:rFonts w:hint="eastAsia" w:ascii="仿宋" w:hAnsi="仿宋" w:eastAsia="仿宋" w:cs="仿宋"/>
          <w:color w:val="auto"/>
          <w:highlight w:val="none"/>
        </w:rPr>
      </w:pPr>
    </w:p>
    <w:p w14:paraId="55D7411D">
      <w:pPr>
        <w:pStyle w:val="38"/>
        <w:rPr>
          <w:rFonts w:hint="eastAsia" w:ascii="仿宋" w:hAnsi="仿宋" w:eastAsia="仿宋" w:cs="仿宋"/>
          <w:color w:val="auto"/>
          <w:highlight w:val="none"/>
        </w:rPr>
      </w:pPr>
    </w:p>
    <w:tbl>
      <w:tblPr>
        <w:tblStyle w:val="4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46"/>
        <w:gridCol w:w="6449"/>
      </w:tblGrid>
      <w:tr w14:paraId="609AC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4FDDF1FD">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采购代理机构：</w:t>
            </w:r>
          </w:p>
        </w:tc>
        <w:tc>
          <w:tcPr>
            <w:tcW w:w="6476" w:type="dxa"/>
            <w:noWrap w:val="0"/>
            <w:vAlign w:val="top"/>
          </w:tcPr>
          <w:p w14:paraId="6BB91D7F">
            <w:pPr>
              <w:pStyle w:val="38"/>
              <w:keepNext w:val="0"/>
              <w:keepLines w:val="0"/>
              <w:suppressLineNumbers w:val="0"/>
              <w:spacing w:before="0" w:beforeAutospacing="0" w:after="0" w:afterAutospacing="0"/>
              <w:ind w:left="0" w:leftChars="0" w:right="0" w:firstLine="0" w:firstLineChars="0"/>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新疆华嵘印橡项目管理咨询有限公司</w:t>
            </w:r>
          </w:p>
        </w:tc>
      </w:tr>
      <w:tr w14:paraId="6B6AB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5145F161">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发出日期：</w:t>
            </w:r>
          </w:p>
        </w:tc>
        <w:tc>
          <w:tcPr>
            <w:tcW w:w="6476" w:type="dxa"/>
            <w:noWrap w:val="0"/>
            <w:vAlign w:val="top"/>
          </w:tcPr>
          <w:p w14:paraId="15110B46">
            <w:pPr>
              <w:keepNext w:val="0"/>
              <w:keepLines w:val="0"/>
              <w:suppressLineNumbers w:val="0"/>
              <w:bidi w:val="0"/>
              <w:spacing w:before="0" w:beforeAutospacing="0" w:after="0" w:afterAutospacing="0"/>
              <w:ind w:left="0" w:right="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二〇二五年五月</w:t>
            </w:r>
          </w:p>
        </w:tc>
      </w:tr>
    </w:tbl>
    <w:p w14:paraId="3CB09A08">
      <w:pPr>
        <w:pStyle w:val="38"/>
        <w:ind w:left="0" w:leftChars="0" w:firstLine="0" w:firstLineChars="0"/>
        <w:rPr>
          <w:rFonts w:hint="eastAsia" w:ascii="仿宋" w:hAnsi="仿宋" w:eastAsia="仿宋" w:cs="仿宋"/>
          <w:color w:val="auto"/>
          <w:highlight w:val="none"/>
        </w:rPr>
      </w:pPr>
    </w:p>
    <w:p w14:paraId="7F413F33">
      <w:pPr>
        <w:rPr>
          <w:rFonts w:hint="eastAsia"/>
          <w:lang w:val="en-US" w:eastAsia="zh-CN"/>
        </w:rPr>
      </w:pPr>
      <w:bookmarkStart w:id="467" w:name="_Toc4796"/>
      <w:bookmarkStart w:id="468" w:name="_Toc515647833"/>
      <w:bookmarkStart w:id="469" w:name="_Toc6865"/>
    </w:p>
    <w:p w14:paraId="196E0752">
      <w:pPr>
        <w:pStyle w:val="10"/>
        <w:rPr>
          <w:rFonts w:hint="eastAsia"/>
          <w:lang w:val="en-US" w:eastAsia="zh-CN"/>
        </w:rPr>
      </w:pPr>
    </w:p>
    <w:p w14:paraId="12A3BF89">
      <w:pPr>
        <w:rPr>
          <w:rFonts w:hint="eastAsia" w:ascii="仿宋" w:hAnsi="仿宋" w:eastAsia="仿宋" w:cs="仿宋"/>
          <w:b/>
          <w:color w:val="auto"/>
          <w:sz w:val="56"/>
          <w:highlight w:val="none"/>
          <w:lang w:eastAsia="zh-CN"/>
        </w:rPr>
      </w:pPr>
      <w:r>
        <w:rPr>
          <w:rFonts w:hint="eastAsia" w:ascii="仿宋" w:hAnsi="仿宋" w:eastAsia="仿宋" w:cs="仿宋"/>
          <w:b/>
          <w:color w:val="auto"/>
          <w:kern w:val="44"/>
          <w:sz w:val="32"/>
          <w:szCs w:val="20"/>
          <w:highlight w:val="none"/>
          <w:lang w:val="en-US" w:eastAsia="zh-CN" w:bidi="ar-SA"/>
        </w:rPr>
        <w:br w:type="page"/>
      </w:r>
      <w:bookmarkEnd w:id="466"/>
      <w:bookmarkEnd w:id="467"/>
      <w:bookmarkEnd w:id="468"/>
      <w:bookmarkEnd w:id="469"/>
    </w:p>
    <w:p w14:paraId="1D6999A3">
      <w:pPr>
        <w:pStyle w:val="2"/>
        <w:tabs>
          <w:tab w:val="left" w:pos="0"/>
        </w:tabs>
        <w:spacing w:before="0" w:after="0" w:line="240" w:lineRule="auto"/>
        <w:rPr>
          <w:rFonts w:ascii="仿宋" w:hAnsi="仿宋" w:eastAsia="仿宋" w:cs="仿宋"/>
        </w:rPr>
      </w:pPr>
      <w:bookmarkStart w:id="470" w:name="_Toc2870"/>
      <w:bookmarkStart w:id="471" w:name="_Toc415"/>
      <w:r>
        <w:rPr>
          <w:rFonts w:hint="eastAsia" w:ascii="仿宋" w:hAnsi="仿宋" w:eastAsia="仿宋" w:cs="仿宋"/>
        </w:rPr>
        <w:t>第7章 政府采购合同</w:t>
      </w:r>
      <w:bookmarkEnd w:id="470"/>
      <w:r>
        <w:rPr>
          <w:rFonts w:hint="eastAsia" w:ascii="仿宋" w:hAnsi="仿宋" w:eastAsia="仿宋" w:cs="仿宋"/>
        </w:rPr>
        <w:t>（本合同仅供参考）</w:t>
      </w:r>
      <w:bookmarkEnd w:id="471"/>
    </w:p>
    <w:p w14:paraId="7DE711BD">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0AB81005">
      <w:pPr>
        <w:jc w:val="center"/>
        <w:rPr>
          <w:rFonts w:ascii="仿宋" w:hAnsi="仿宋" w:eastAsia="仿宋" w:cs="仿宋"/>
          <w:b/>
          <w:sz w:val="28"/>
          <w:szCs w:val="28"/>
        </w:rPr>
      </w:pPr>
    </w:p>
    <w:p w14:paraId="26A97AF6">
      <w:pPr>
        <w:jc w:val="center"/>
        <w:rPr>
          <w:rFonts w:ascii="仿宋" w:hAnsi="仿宋" w:eastAsia="仿宋" w:cs="仿宋"/>
          <w:b/>
          <w:sz w:val="28"/>
          <w:szCs w:val="28"/>
        </w:rPr>
      </w:pPr>
    </w:p>
    <w:p w14:paraId="2826F7E6">
      <w:pPr>
        <w:jc w:val="center"/>
        <w:rPr>
          <w:rFonts w:ascii="仿宋" w:hAnsi="仿宋" w:eastAsia="仿宋" w:cs="仿宋"/>
          <w:b/>
          <w:sz w:val="28"/>
          <w:szCs w:val="28"/>
        </w:rPr>
      </w:pPr>
    </w:p>
    <w:p w14:paraId="2682FC36">
      <w:pPr>
        <w:jc w:val="center"/>
        <w:outlineLvl w:val="0"/>
        <w:rPr>
          <w:rFonts w:ascii="仿宋" w:hAnsi="仿宋" w:eastAsia="仿宋" w:cs="仿宋"/>
          <w:b/>
          <w:sz w:val="44"/>
          <w:szCs w:val="44"/>
        </w:rPr>
      </w:pPr>
      <w:bookmarkStart w:id="472" w:name="_Toc20116"/>
      <w:bookmarkStart w:id="473" w:name="_Toc25072"/>
      <w:bookmarkStart w:id="474" w:name="_Toc2188"/>
      <w:r>
        <w:rPr>
          <w:rFonts w:hint="eastAsia" w:ascii="仿宋" w:hAnsi="仿宋" w:eastAsia="仿宋" w:cs="仿宋"/>
          <w:b/>
          <w:sz w:val="44"/>
          <w:szCs w:val="44"/>
        </w:rPr>
        <w:t>政府采购合同参考范本</w:t>
      </w:r>
      <w:bookmarkEnd w:id="472"/>
      <w:bookmarkEnd w:id="473"/>
      <w:bookmarkEnd w:id="474"/>
    </w:p>
    <w:p w14:paraId="3A26443A">
      <w:pPr>
        <w:pStyle w:val="69"/>
        <w:spacing w:line="400" w:lineRule="exact"/>
        <w:ind w:firstLine="0"/>
        <w:rPr>
          <w:rFonts w:ascii="仿宋" w:hAnsi="仿宋" w:eastAsia="仿宋" w:cs="仿宋"/>
          <w:szCs w:val="24"/>
        </w:rPr>
      </w:pPr>
    </w:p>
    <w:p w14:paraId="7D02F40E">
      <w:pPr>
        <w:pStyle w:val="69"/>
        <w:spacing w:line="400" w:lineRule="exact"/>
        <w:ind w:firstLine="0"/>
        <w:rPr>
          <w:rFonts w:ascii="仿宋" w:hAnsi="仿宋" w:eastAsia="仿宋" w:cs="仿宋"/>
          <w:szCs w:val="24"/>
        </w:rPr>
      </w:pPr>
    </w:p>
    <w:p w14:paraId="0492EC3D">
      <w:pPr>
        <w:pStyle w:val="69"/>
        <w:spacing w:line="400" w:lineRule="exact"/>
        <w:ind w:firstLine="0"/>
        <w:rPr>
          <w:rFonts w:ascii="仿宋" w:hAnsi="仿宋" w:eastAsia="仿宋" w:cs="仿宋"/>
          <w:szCs w:val="24"/>
        </w:rPr>
      </w:pPr>
    </w:p>
    <w:p w14:paraId="102EA243">
      <w:pPr>
        <w:pStyle w:val="69"/>
        <w:spacing w:line="400" w:lineRule="exact"/>
        <w:ind w:firstLine="0"/>
        <w:jc w:val="center"/>
        <w:outlineLvl w:val="0"/>
        <w:rPr>
          <w:rFonts w:ascii="仿宋" w:hAnsi="仿宋" w:eastAsia="仿宋" w:cs="仿宋"/>
          <w:b/>
          <w:szCs w:val="24"/>
        </w:rPr>
      </w:pPr>
      <w:bookmarkStart w:id="475" w:name="_Toc21996"/>
      <w:bookmarkStart w:id="476" w:name="_Toc23301"/>
      <w:bookmarkStart w:id="477" w:name="_Toc31840"/>
      <w:r>
        <w:rPr>
          <w:rFonts w:hint="eastAsia" w:ascii="仿宋" w:hAnsi="仿宋" w:eastAsia="仿宋" w:cs="仿宋"/>
          <w:b/>
          <w:szCs w:val="24"/>
        </w:rPr>
        <w:t>第一部分 合同书</w:t>
      </w:r>
      <w:bookmarkEnd w:id="475"/>
      <w:bookmarkEnd w:id="476"/>
      <w:bookmarkEnd w:id="477"/>
    </w:p>
    <w:p w14:paraId="42E71684">
      <w:pPr>
        <w:pStyle w:val="69"/>
        <w:spacing w:line="400" w:lineRule="exact"/>
        <w:ind w:firstLine="0"/>
        <w:rPr>
          <w:rFonts w:ascii="仿宋" w:hAnsi="仿宋" w:eastAsia="仿宋" w:cs="仿宋"/>
          <w:szCs w:val="24"/>
        </w:rPr>
      </w:pPr>
    </w:p>
    <w:p w14:paraId="7CBA8CD4">
      <w:pPr>
        <w:pStyle w:val="69"/>
        <w:spacing w:line="400" w:lineRule="exact"/>
        <w:ind w:firstLine="0"/>
        <w:rPr>
          <w:rFonts w:ascii="仿宋" w:hAnsi="仿宋" w:eastAsia="仿宋" w:cs="仿宋"/>
          <w:szCs w:val="24"/>
        </w:rPr>
      </w:pPr>
    </w:p>
    <w:p w14:paraId="6B6C8D3B">
      <w:pPr>
        <w:spacing w:before="120" w:line="400" w:lineRule="exact"/>
        <w:rPr>
          <w:rFonts w:ascii="仿宋" w:hAnsi="仿宋" w:eastAsia="仿宋" w:cs="仿宋"/>
          <w:sz w:val="24"/>
        </w:rPr>
      </w:pPr>
    </w:p>
    <w:p w14:paraId="435594B9">
      <w:pPr>
        <w:spacing w:before="120" w:line="400" w:lineRule="exact"/>
        <w:ind w:left="960"/>
        <w:rPr>
          <w:rFonts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51C3B8AE">
      <w:pPr>
        <w:pStyle w:val="86"/>
        <w:spacing w:before="120" w:line="400" w:lineRule="exact"/>
        <w:rPr>
          <w:rFonts w:ascii="仿宋" w:hAnsi="仿宋" w:eastAsia="仿宋" w:cs="仿宋"/>
          <w:szCs w:val="24"/>
        </w:rPr>
      </w:pPr>
    </w:p>
    <w:p w14:paraId="730169FA">
      <w:pPr>
        <w:spacing w:line="400" w:lineRule="exact"/>
        <w:rPr>
          <w:rFonts w:ascii="仿宋" w:hAnsi="仿宋" w:eastAsia="仿宋" w:cs="仿宋"/>
        </w:rPr>
      </w:pPr>
    </w:p>
    <w:p w14:paraId="5D3A6CC0">
      <w:pPr>
        <w:spacing w:before="120" w:line="400" w:lineRule="exact"/>
        <w:ind w:left="96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01DEF255">
      <w:pPr>
        <w:spacing w:before="120" w:line="400" w:lineRule="exact"/>
        <w:rPr>
          <w:rFonts w:ascii="仿宋" w:hAnsi="仿宋" w:eastAsia="仿宋" w:cs="仿宋"/>
          <w:sz w:val="24"/>
        </w:rPr>
      </w:pPr>
    </w:p>
    <w:p w14:paraId="73839F25">
      <w:pPr>
        <w:spacing w:before="120" w:line="400" w:lineRule="exact"/>
        <w:ind w:left="96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3B58DC3B">
      <w:pPr>
        <w:spacing w:before="120" w:line="400" w:lineRule="exact"/>
        <w:rPr>
          <w:rFonts w:ascii="仿宋" w:hAnsi="仿宋" w:eastAsia="仿宋" w:cs="仿宋"/>
          <w:sz w:val="24"/>
        </w:rPr>
      </w:pPr>
    </w:p>
    <w:p w14:paraId="6A85C410">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7979DEC6">
      <w:pPr>
        <w:spacing w:before="120" w:line="400" w:lineRule="exact"/>
        <w:rPr>
          <w:rFonts w:ascii="仿宋" w:hAnsi="仿宋" w:eastAsia="仿宋" w:cs="仿宋"/>
          <w:sz w:val="24"/>
        </w:rPr>
      </w:pPr>
    </w:p>
    <w:p w14:paraId="606DCD2B">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137C7B0D">
      <w:pPr>
        <w:autoSpaceDE w:val="0"/>
        <w:autoSpaceDN w:val="0"/>
        <w:adjustRightInd w:val="0"/>
        <w:spacing w:line="400" w:lineRule="exact"/>
        <w:ind w:firstLine="640"/>
        <w:jc w:val="center"/>
        <w:rPr>
          <w:rFonts w:ascii="仿宋" w:hAnsi="仿宋" w:eastAsia="仿宋" w:cs="仿宋"/>
          <w:sz w:val="24"/>
        </w:rPr>
        <w:sectPr>
          <w:pgSz w:w="11907" w:h="16840"/>
          <w:pgMar w:top="1474" w:right="1814" w:bottom="1474" w:left="1814" w:header="851" w:footer="851" w:gutter="0"/>
          <w:cols w:space="720" w:num="1"/>
          <w:docGrid w:linePitch="462" w:charSpace="0"/>
        </w:sectPr>
      </w:pPr>
    </w:p>
    <w:p w14:paraId="2ACA9936">
      <w:pPr>
        <w:spacing w:line="400" w:lineRule="exact"/>
        <w:ind w:firstLine="480" w:firstLineChars="200"/>
        <w:rPr>
          <w:rFonts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（采购人名称）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（成交供应商名称） </w:t>
      </w:r>
      <w:r>
        <w:rPr>
          <w:rFonts w:hint="eastAsia" w:ascii="仿宋" w:hAnsi="仿宋" w:eastAsia="仿宋" w:cs="仿宋"/>
          <w:sz w:val="24"/>
        </w:rPr>
        <w:t>为该项目成交供应商。现于成交通知书发出之日起三十日内，按照采购文件确定的事项签订本合同。</w:t>
      </w:r>
    </w:p>
    <w:p w14:paraId="2D4CA20F">
      <w:pPr>
        <w:spacing w:line="400" w:lineRule="exact"/>
        <w:ind w:firstLine="480" w:firstLineChars="200"/>
        <w:rPr>
          <w:rFonts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（采购人名称）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03D53F2A">
      <w:pPr>
        <w:spacing w:line="400" w:lineRule="exact"/>
        <w:ind w:firstLine="482" w:firstLineChars="200"/>
        <w:outlineLvl w:val="1"/>
        <w:rPr>
          <w:rFonts w:ascii="仿宋" w:hAnsi="仿宋" w:eastAsia="仿宋" w:cs="仿宋"/>
          <w:sz w:val="24"/>
        </w:rPr>
      </w:pPr>
      <w:bookmarkStart w:id="478" w:name="_Toc18136"/>
      <w:bookmarkStart w:id="479" w:name="_Toc32571"/>
      <w:bookmarkStart w:id="480" w:name="_Toc23100"/>
      <w:bookmarkStart w:id="481" w:name="_Toc5753"/>
      <w:bookmarkStart w:id="482" w:name="_Toc4675"/>
      <w:bookmarkStart w:id="483" w:name="_Toc19273"/>
      <w:bookmarkStart w:id="484" w:name="_Toc15367"/>
      <w:bookmarkStart w:id="485" w:name="_Toc18383"/>
      <w:bookmarkStart w:id="486" w:name="_Toc20421"/>
      <w:bookmarkStart w:id="487" w:name="_Toc20041"/>
      <w:bookmarkStart w:id="488" w:name="_Toc1256"/>
      <w:bookmarkStart w:id="489" w:name="_Toc13594"/>
      <w:bookmarkStart w:id="490" w:name="_Toc8106"/>
      <w:bookmarkStart w:id="491" w:name="_Toc28855"/>
      <w:bookmarkStart w:id="492" w:name="_Toc3665"/>
      <w:bookmarkStart w:id="493" w:name="_Toc20566"/>
      <w:r>
        <w:rPr>
          <w:rFonts w:hint="eastAsia" w:ascii="仿宋" w:hAnsi="仿宋" w:eastAsia="仿宋" w:cs="仿宋"/>
          <w:b/>
          <w:sz w:val="24"/>
        </w:rPr>
        <w:t>1.1 合同组成部分</w:t>
      </w:r>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p>
    <w:p w14:paraId="15DB2311">
      <w:pPr>
        <w:spacing w:line="400" w:lineRule="exact"/>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841F36F">
      <w:pPr>
        <w:spacing w:line="400" w:lineRule="exact"/>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1857E218">
      <w:pPr>
        <w:spacing w:line="400" w:lineRule="exact"/>
        <w:ind w:firstLine="480" w:firstLineChars="200"/>
        <w:rPr>
          <w:rFonts w:ascii="仿宋" w:hAnsi="仿宋" w:eastAsia="仿宋" w:cs="仿宋"/>
          <w:sz w:val="24"/>
        </w:rPr>
      </w:pPr>
      <w:r>
        <w:rPr>
          <w:rFonts w:hint="eastAsia" w:ascii="仿宋" w:hAnsi="仿宋" w:eastAsia="仿宋" w:cs="仿宋"/>
          <w:sz w:val="24"/>
        </w:rPr>
        <w:t>1.1.2 成交通知书；</w:t>
      </w:r>
    </w:p>
    <w:p w14:paraId="04432E67">
      <w:pPr>
        <w:spacing w:line="400" w:lineRule="exact"/>
        <w:ind w:firstLine="480" w:firstLineChars="200"/>
        <w:rPr>
          <w:rFonts w:ascii="仿宋" w:hAnsi="仿宋" w:eastAsia="仿宋" w:cs="仿宋"/>
          <w:sz w:val="24"/>
        </w:rPr>
      </w:pPr>
      <w:r>
        <w:rPr>
          <w:rFonts w:hint="eastAsia" w:ascii="仿宋" w:hAnsi="仿宋" w:eastAsia="仿宋" w:cs="仿宋"/>
          <w:sz w:val="24"/>
        </w:rPr>
        <w:t>1.1.3 磋商文件（含澄清或者说明文件）；</w:t>
      </w:r>
    </w:p>
    <w:p w14:paraId="1308D6A4">
      <w:pPr>
        <w:spacing w:line="400" w:lineRule="exact"/>
        <w:ind w:firstLine="480" w:firstLineChars="200"/>
        <w:rPr>
          <w:rFonts w:ascii="仿宋" w:hAnsi="仿宋" w:eastAsia="仿宋" w:cs="仿宋"/>
          <w:sz w:val="24"/>
        </w:rPr>
      </w:pPr>
      <w:r>
        <w:rPr>
          <w:rFonts w:hint="eastAsia" w:ascii="仿宋" w:hAnsi="仿宋" w:eastAsia="仿宋" w:cs="仿宋"/>
          <w:sz w:val="24"/>
        </w:rPr>
        <w:t>1.1.4 磋商文件（含澄清或者修改文件）；</w:t>
      </w:r>
    </w:p>
    <w:p w14:paraId="56D78F28">
      <w:pPr>
        <w:spacing w:line="400" w:lineRule="exact"/>
        <w:ind w:firstLine="480" w:firstLineChars="200"/>
        <w:rPr>
          <w:rFonts w:ascii="仿宋" w:hAnsi="仿宋" w:eastAsia="仿宋" w:cs="仿宋"/>
          <w:sz w:val="24"/>
        </w:rPr>
      </w:pPr>
      <w:r>
        <w:rPr>
          <w:rFonts w:hint="eastAsia" w:ascii="仿宋" w:hAnsi="仿宋" w:eastAsia="仿宋" w:cs="仿宋"/>
          <w:sz w:val="24"/>
        </w:rPr>
        <w:t>1.1.5 其他相关采购文件。</w:t>
      </w:r>
    </w:p>
    <w:p w14:paraId="749AB95A">
      <w:pPr>
        <w:spacing w:line="400" w:lineRule="exact"/>
        <w:ind w:firstLine="482" w:firstLineChars="200"/>
        <w:outlineLvl w:val="1"/>
        <w:rPr>
          <w:rFonts w:ascii="仿宋" w:hAnsi="仿宋" w:eastAsia="仿宋" w:cs="仿宋"/>
          <w:b/>
          <w:sz w:val="24"/>
        </w:rPr>
      </w:pPr>
      <w:bookmarkStart w:id="494" w:name="_Toc7878"/>
      <w:bookmarkStart w:id="495" w:name="_Toc6773"/>
      <w:bookmarkStart w:id="496" w:name="_Toc18585"/>
      <w:bookmarkStart w:id="497" w:name="_Toc538"/>
      <w:bookmarkStart w:id="498" w:name="_Toc24493"/>
      <w:bookmarkStart w:id="499" w:name="_Toc15104"/>
      <w:bookmarkStart w:id="500" w:name="_Toc15369"/>
      <w:bookmarkStart w:id="501" w:name="_Toc6311"/>
      <w:bookmarkStart w:id="502" w:name="_Toc6313"/>
      <w:bookmarkStart w:id="503" w:name="_Toc23275"/>
      <w:bookmarkStart w:id="504" w:name="_Toc2918"/>
      <w:bookmarkStart w:id="505" w:name="_Toc27911"/>
      <w:bookmarkStart w:id="506" w:name="_Toc30276"/>
      <w:bookmarkStart w:id="507" w:name="_Toc18571"/>
      <w:bookmarkStart w:id="508" w:name="_Toc22185"/>
      <w:bookmarkStart w:id="509" w:name="_Toc31498"/>
      <w:bookmarkStart w:id="510" w:name="_Toc1090"/>
      <w:r>
        <w:rPr>
          <w:rFonts w:hint="eastAsia" w:ascii="仿宋" w:hAnsi="仿宋" w:eastAsia="仿宋" w:cs="仿宋"/>
          <w:b/>
          <w:sz w:val="24"/>
        </w:rPr>
        <w:t>1.2 标的</w:t>
      </w:r>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p>
    <w:p w14:paraId="6BBEE604">
      <w:pPr>
        <w:spacing w:line="400" w:lineRule="exact"/>
        <w:ind w:firstLine="480" w:firstLineChars="200"/>
        <w:rPr>
          <w:rFonts w:ascii="仿宋" w:hAnsi="仿宋" w:eastAsia="仿宋" w:cs="仿宋"/>
          <w:sz w:val="24"/>
          <w:u w:val="single"/>
        </w:rPr>
      </w:pPr>
      <w:r>
        <w:rPr>
          <w:rFonts w:hint="eastAsia" w:ascii="仿宋" w:hAnsi="仿宋" w:eastAsia="仿宋" w:cs="仿宋"/>
          <w:sz w:val="24"/>
        </w:rPr>
        <w:t>1.2.1 标的名称：</w:t>
      </w:r>
      <w:r>
        <w:rPr>
          <w:rFonts w:hint="eastAsia" w:ascii="仿宋" w:hAnsi="仿宋" w:eastAsia="仿宋" w:cs="仿宋"/>
          <w:sz w:val="24"/>
          <w:u w:val="single"/>
        </w:rPr>
        <w:t xml:space="preserve">                                                </w:t>
      </w:r>
      <w:r>
        <w:rPr>
          <w:rFonts w:hint="eastAsia" w:ascii="仿宋" w:hAnsi="仿宋" w:eastAsia="仿宋" w:cs="仿宋"/>
          <w:sz w:val="24"/>
        </w:rPr>
        <w:t>；</w:t>
      </w:r>
    </w:p>
    <w:p w14:paraId="01A3066F">
      <w:pPr>
        <w:spacing w:line="400" w:lineRule="exact"/>
        <w:ind w:firstLine="480" w:firstLineChars="200"/>
        <w:rPr>
          <w:rFonts w:ascii="仿宋" w:hAnsi="仿宋" w:eastAsia="仿宋" w:cs="仿宋"/>
          <w:sz w:val="24"/>
          <w:u w:val="single"/>
        </w:rPr>
      </w:pPr>
      <w:r>
        <w:rPr>
          <w:rFonts w:hint="eastAsia" w:ascii="仿宋" w:hAnsi="仿宋" w:eastAsia="仿宋" w:cs="仿宋"/>
          <w:sz w:val="24"/>
        </w:rPr>
        <w:t>1.2.2 标的数量：</w:t>
      </w:r>
      <w:r>
        <w:rPr>
          <w:rFonts w:hint="eastAsia" w:ascii="仿宋" w:hAnsi="仿宋" w:eastAsia="仿宋" w:cs="仿宋"/>
          <w:sz w:val="24"/>
          <w:u w:val="single"/>
        </w:rPr>
        <w:t xml:space="preserve">                                                </w:t>
      </w:r>
      <w:r>
        <w:rPr>
          <w:rFonts w:hint="eastAsia" w:ascii="仿宋" w:hAnsi="仿宋" w:eastAsia="仿宋" w:cs="仿宋"/>
          <w:sz w:val="24"/>
        </w:rPr>
        <w:t>；</w:t>
      </w:r>
    </w:p>
    <w:p w14:paraId="488F78CD">
      <w:pPr>
        <w:spacing w:line="400" w:lineRule="exact"/>
        <w:ind w:firstLine="480" w:firstLineChars="200"/>
        <w:rPr>
          <w:rFonts w:ascii="仿宋" w:hAnsi="仿宋" w:eastAsia="仿宋" w:cs="仿宋"/>
          <w:sz w:val="24"/>
        </w:rPr>
      </w:pPr>
      <w:r>
        <w:rPr>
          <w:rFonts w:hint="eastAsia" w:ascii="仿宋" w:hAnsi="仿宋" w:eastAsia="仿宋" w:cs="仿宋"/>
          <w:sz w:val="24"/>
        </w:rPr>
        <w:t>1.2.3 标的质量：</w:t>
      </w:r>
      <w:r>
        <w:rPr>
          <w:rFonts w:hint="eastAsia" w:ascii="仿宋" w:hAnsi="仿宋" w:eastAsia="仿宋" w:cs="仿宋"/>
          <w:sz w:val="24"/>
          <w:u w:val="single"/>
        </w:rPr>
        <w:t xml:space="preserve">　　　　　　　　　                      　      </w:t>
      </w:r>
      <w:r>
        <w:rPr>
          <w:rFonts w:hint="eastAsia" w:ascii="仿宋" w:hAnsi="仿宋" w:eastAsia="仿宋" w:cs="仿宋"/>
          <w:sz w:val="24"/>
        </w:rPr>
        <w:t>。</w:t>
      </w:r>
    </w:p>
    <w:p w14:paraId="502AC42D">
      <w:pPr>
        <w:spacing w:line="400" w:lineRule="exact"/>
        <w:ind w:firstLine="482" w:firstLineChars="200"/>
        <w:outlineLvl w:val="1"/>
        <w:rPr>
          <w:rFonts w:ascii="仿宋" w:hAnsi="仿宋" w:eastAsia="仿宋" w:cs="仿宋"/>
          <w:b/>
          <w:sz w:val="24"/>
        </w:rPr>
      </w:pPr>
      <w:bookmarkStart w:id="511" w:name="_Toc4929"/>
      <w:bookmarkStart w:id="512" w:name="_Toc5635"/>
      <w:bookmarkStart w:id="513" w:name="_Toc23026"/>
      <w:bookmarkStart w:id="514" w:name="_Toc21124"/>
      <w:bookmarkStart w:id="515" w:name="_Toc4932"/>
      <w:bookmarkStart w:id="516" w:name="_Toc13918"/>
      <w:bookmarkStart w:id="517" w:name="_Toc32314"/>
      <w:bookmarkStart w:id="518" w:name="_Toc23906"/>
      <w:bookmarkStart w:id="519" w:name="_Toc17541"/>
      <w:bookmarkStart w:id="520" w:name="_Toc19129"/>
      <w:bookmarkStart w:id="521" w:name="_Toc13512"/>
      <w:bookmarkStart w:id="522" w:name="_Toc2888"/>
      <w:bookmarkStart w:id="523" w:name="_Toc26356"/>
      <w:bookmarkStart w:id="524" w:name="_Toc1386"/>
      <w:bookmarkStart w:id="525" w:name="_Toc27077"/>
      <w:bookmarkStart w:id="526" w:name="_Toc13554"/>
      <w:bookmarkStart w:id="527" w:name="_Toc10671"/>
      <w:r>
        <w:rPr>
          <w:rFonts w:hint="eastAsia" w:ascii="仿宋" w:hAnsi="仿宋" w:eastAsia="仿宋" w:cs="仿宋"/>
          <w:b/>
          <w:sz w:val="24"/>
        </w:rPr>
        <w:t>1.3 价款</w:t>
      </w:r>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p>
    <w:p w14:paraId="18CA51B8">
      <w:pPr>
        <w:spacing w:line="400" w:lineRule="exact"/>
        <w:ind w:firstLine="480" w:firstLineChars="200"/>
        <w:rPr>
          <w:rFonts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17B652B">
      <w:pPr>
        <w:spacing w:line="400" w:lineRule="exact"/>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14A7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122258">
            <w:pPr>
              <w:pStyle w:val="72"/>
              <w:keepNext w:val="0"/>
              <w:keepLines w:val="0"/>
              <w:suppressLineNumbers w:val="0"/>
              <w:spacing w:before="0" w:beforeAutospacing="0" w:after="0" w:afterAutospacing="0" w:line="400" w:lineRule="exact"/>
              <w:ind w:left="0" w:right="0"/>
              <w:jc w:val="center"/>
              <w:rPr>
                <w:rFonts w:ascii="仿宋" w:hAnsi="仿宋" w:eastAsia="仿宋" w:cs="仿宋"/>
                <w:kern w:val="2"/>
                <w:sz w:val="24"/>
                <w:szCs w:val="24"/>
              </w:rPr>
            </w:pPr>
            <w:r>
              <w:rPr>
                <w:rFonts w:hint="eastAsia" w:ascii="仿宋" w:hAnsi="仿宋" w:eastAsia="仿宋" w:cs="仿宋"/>
                <w:kern w:val="2"/>
                <w:sz w:val="24"/>
                <w:szCs w:val="24"/>
              </w:rPr>
              <w:t>序号</w:t>
            </w:r>
          </w:p>
        </w:tc>
        <w:tc>
          <w:tcPr>
            <w:tcW w:w="3402" w:type="dxa"/>
            <w:vAlign w:val="center"/>
          </w:tcPr>
          <w:p w14:paraId="5360F8E2">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r>
              <w:rPr>
                <w:rFonts w:hint="eastAsia" w:ascii="仿宋" w:hAnsi="仿宋" w:eastAsia="仿宋" w:cs="仿宋"/>
                <w:kern w:val="2"/>
                <w:sz w:val="24"/>
                <w:szCs w:val="24"/>
              </w:rPr>
              <w:t>分项名称</w:t>
            </w:r>
          </w:p>
        </w:tc>
        <w:tc>
          <w:tcPr>
            <w:tcW w:w="2552" w:type="dxa"/>
            <w:vAlign w:val="center"/>
          </w:tcPr>
          <w:p w14:paraId="7F27010F">
            <w:pPr>
              <w:pStyle w:val="72"/>
              <w:keepNext w:val="0"/>
              <w:keepLines w:val="0"/>
              <w:suppressLineNumbers w:val="0"/>
              <w:spacing w:before="0" w:beforeAutospacing="0" w:after="0" w:afterAutospacing="0" w:line="400" w:lineRule="exact"/>
              <w:ind w:left="0" w:right="0"/>
              <w:jc w:val="center"/>
              <w:rPr>
                <w:rFonts w:ascii="仿宋" w:hAnsi="仿宋" w:eastAsia="仿宋" w:cs="仿宋"/>
                <w:kern w:val="2"/>
                <w:sz w:val="24"/>
                <w:szCs w:val="24"/>
              </w:rPr>
            </w:pPr>
            <w:r>
              <w:rPr>
                <w:rFonts w:hint="eastAsia" w:ascii="仿宋" w:hAnsi="仿宋" w:eastAsia="仿宋" w:cs="仿宋"/>
                <w:kern w:val="2"/>
                <w:sz w:val="24"/>
                <w:szCs w:val="24"/>
              </w:rPr>
              <w:t>分项价格</w:t>
            </w:r>
          </w:p>
        </w:tc>
      </w:tr>
      <w:tr w14:paraId="32CE3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386029">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3402" w:type="dxa"/>
            <w:vAlign w:val="center"/>
          </w:tcPr>
          <w:p w14:paraId="6348CCA5">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2552" w:type="dxa"/>
            <w:vAlign w:val="center"/>
          </w:tcPr>
          <w:p w14:paraId="3688D8D9">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r>
      <w:tr w14:paraId="57350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8B4206">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3402" w:type="dxa"/>
            <w:vAlign w:val="center"/>
          </w:tcPr>
          <w:p w14:paraId="5F87C4D0">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2552" w:type="dxa"/>
            <w:vAlign w:val="center"/>
          </w:tcPr>
          <w:p w14:paraId="63666F89">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r>
      <w:tr w14:paraId="42480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9ED2729">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3402" w:type="dxa"/>
            <w:vAlign w:val="center"/>
          </w:tcPr>
          <w:p w14:paraId="1229D081">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2552" w:type="dxa"/>
            <w:vAlign w:val="center"/>
          </w:tcPr>
          <w:p w14:paraId="00FD3D95">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r>
      <w:tr w14:paraId="2C95E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739C94">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3402" w:type="dxa"/>
            <w:vAlign w:val="center"/>
          </w:tcPr>
          <w:p w14:paraId="6A099DD1">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c>
          <w:tcPr>
            <w:tcW w:w="2552" w:type="dxa"/>
            <w:vAlign w:val="center"/>
          </w:tcPr>
          <w:p w14:paraId="7164C20A">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r>
      <w:tr w14:paraId="1C903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C0BED41">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r>
              <w:rPr>
                <w:rFonts w:hint="eastAsia" w:ascii="仿宋" w:hAnsi="仿宋" w:eastAsia="仿宋" w:cs="仿宋"/>
                <w:kern w:val="2"/>
                <w:sz w:val="24"/>
                <w:szCs w:val="24"/>
              </w:rPr>
              <w:t>总价</w:t>
            </w:r>
          </w:p>
        </w:tc>
        <w:tc>
          <w:tcPr>
            <w:tcW w:w="2552" w:type="dxa"/>
            <w:vAlign w:val="center"/>
          </w:tcPr>
          <w:p w14:paraId="35180E5C">
            <w:pPr>
              <w:pStyle w:val="72"/>
              <w:keepNext w:val="0"/>
              <w:keepLines w:val="0"/>
              <w:suppressLineNumbers w:val="0"/>
              <w:spacing w:before="0" w:beforeAutospacing="0" w:after="0" w:afterAutospacing="0" w:line="400" w:lineRule="exact"/>
              <w:ind w:left="0" w:right="0" w:firstLine="200"/>
              <w:jc w:val="center"/>
              <w:rPr>
                <w:rFonts w:ascii="仿宋" w:hAnsi="仿宋" w:eastAsia="仿宋" w:cs="仿宋"/>
                <w:kern w:val="2"/>
                <w:sz w:val="24"/>
                <w:szCs w:val="24"/>
              </w:rPr>
            </w:pPr>
          </w:p>
        </w:tc>
      </w:tr>
    </w:tbl>
    <w:p w14:paraId="6008E8DA">
      <w:pPr>
        <w:spacing w:line="400" w:lineRule="exact"/>
        <w:ind w:firstLine="482" w:firstLineChars="200"/>
        <w:outlineLvl w:val="1"/>
        <w:rPr>
          <w:rFonts w:ascii="仿宋" w:hAnsi="仿宋" w:eastAsia="仿宋" w:cs="仿宋"/>
          <w:b/>
          <w:sz w:val="24"/>
        </w:rPr>
      </w:pPr>
      <w:bookmarkStart w:id="528" w:name="_Toc26916"/>
      <w:bookmarkStart w:id="529" w:name="_Toc23173"/>
      <w:bookmarkStart w:id="530" w:name="_Toc3654"/>
      <w:bookmarkStart w:id="531" w:name="_Toc21059"/>
      <w:bookmarkStart w:id="532" w:name="_Toc21945"/>
      <w:bookmarkStart w:id="533" w:name="_Toc8041"/>
      <w:bookmarkStart w:id="534" w:name="_Toc14993"/>
      <w:bookmarkStart w:id="535" w:name="_Toc7832"/>
      <w:bookmarkStart w:id="536" w:name="_Toc6998"/>
      <w:bookmarkStart w:id="537" w:name="_Toc23005"/>
      <w:bookmarkStart w:id="538" w:name="_Toc32305"/>
      <w:bookmarkStart w:id="539" w:name="_Toc17855"/>
      <w:bookmarkStart w:id="540" w:name="_Toc19143"/>
      <w:bookmarkStart w:id="541" w:name="_Toc19221"/>
      <w:bookmarkStart w:id="542" w:name="_Toc30158"/>
      <w:bookmarkStart w:id="543" w:name="_Toc25910"/>
      <w:bookmarkStart w:id="544" w:name="_Toc30506"/>
      <w:r>
        <w:rPr>
          <w:rFonts w:hint="eastAsia" w:ascii="仿宋" w:hAnsi="仿宋" w:eastAsia="仿宋" w:cs="仿宋"/>
          <w:b/>
          <w:sz w:val="24"/>
        </w:rPr>
        <w:t>1.4 付款方式和发票开具方式</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p>
    <w:p w14:paraId="39257A33">
      <w:pPr>
        <w:spacing w:line="400" w:lineRule="exact"/>
        <w:ind w:firstLine="480" w:firstLineChars="200"/>
        <w:rPr>
          <w:rFonts w:ascii="仿宋" w:hAnsi="仿宋" w:eastAsia="仿宋" w:cs="仿宋"/>
          <w:sz w:val="24"/>
        </w:rPr>
      </w:pPr>
      <w:r>
        <w:rPr>
          <w:rFonts w:hint="eastAsia" w:ascii="仿宋" w:hAnsi="仿宋" w:eastAsia="仿宋" w:cs="仿宋"/>
          <w:sz w:val="24"/>
        </w:rPr>
        <w:t>1.4.1付款方式：</w:t>
      </w:r>
      <w:r>
        <w:rPr>
          <w:rFonts w:hint="eastAsia" w:ascii="仿宋" w:hAnsi="仿宋" w:eastAsia="仿宋" w:cs="仿宋"/>
          <w:sz w:val="24"/>
          <w:u w:val="single"/>
        </w:rPr>
        <w:t xml:space="preserve">                                                </w:t>
      </w:r>
      <w:r>
        <w:rPr>
          <w:rFonts w:hint="eastAsia" w:ascii="仿宋" w:hAnsi="仿宋" w:eastAsia="仿宋" w:cs="仿宋"/>
          <w:sz w:val="24"/>
        </w:rPr>
        <w:t>；</w:t>
      </w:r>
    </w:p>
    <w:p w14:paraId="2FF476C4">
      <w:pPr>
        <w:spacing w:line="400" w:lineRule="exact"/>
        <w:ind w:firstLine="480" w:firstLineChars="200"/>
        <w:rPr>
          <w:rFonts w:ascii="仿宋" w:hAnsi="仿宋" w:eastAsia="仿宋" w:cs="仿宋"/>
          <w:sz w:val="24"/>
        </w:rPr>
      </w:pPr>
      <w:r>
        <w:rPr>
          <w:rFonts w:hint="eastAsia" w:ascii="仿宋" w:hAnsi="仿宋" w:eastAsia="仿宋" w:cs="仿宋"/>
          <w:sz w:val="24"/>
        </w:rPr>
        <w:t>1.4.2 发票开具方式：</w:t>
      </w:r>
      <w:r>
        <w:rPr>
          <w:rFonts w:hint="eastAsia" w:ascii="仿宋" w:hAnsi="仿宋" w:eastAsia="仿宋" w:cs="仿宋"/>
          <w:sz w:val="24"/>
          <w:u w:val="single"/>
        </w:rPr>
        <w:t xml:space="preserve">                                            </w:t>
      </w:r>
      <w:r>
        <w:rPr>
          <w:rFonts w:hint="eastAsia" w:ascii="仿宋" w:hAnsi="仿宋" w:eastAsia="仿宋" w:cs="仿宋"/>
          <w:sz w:val="24"/>
        </w:rPr>
        <w:t>。</w:t>
      </w:r>
    </w:p>
    <w:p w14:paraId="1D22F7E4">
      <w:pPr>
        <w:spacing w:line="400" w:lineRule="exact"/>
        <w:ind w:firstLine="482" w:firstLineChars="200"/>
        <w:outlineLvl w:val="1"/>
        <w:rPr>
          <w:rFonts w:ascii="仿宋" w:hAnsi="仿宋" w:eastAsia="仿宋" w:cs="仿宋"/>
          <w:b/>
          <w:sz w:val="24"/>
        </w:rPr>
      </w:pPr>
      <w:bookmarkStart w:id="545" w:name="_Toc19930"/>
      <w:bookmarkStart w:id="546" w:name="_Toc3007"/>
      <w:bookmarkStart w:id="547" w:name="_Toc23903"/>
      <w:bookmarkStart w:id="548" w:name="_Toc3251"/>
      <w:bookmarkStart w:id="549" w:name="_Toc7461"/>
      <w:bookmarkStart w:id="550" w:name="_Toc28212"/>
      <w:bookmarkStart w:id="551" w:name="_Toc32135"/>
      <w:bookmarkStart w:id="552" w:name="_Toc3625"/>
      <w:bookmarkStart w:id="553" w:name="_Toc31421"/>
      <w:bookmarkStart w:id="554" w:name="_Toc8772"/>
      <w:bookmarkStart w:id="555" w:name="_Toc11108"/>
      <w:bookmarkStart w:id="556" w:name="_Toc4760"/>
      <w:bookmarkStart w:id="557" w:name="_Toc12261"/>
      <w:bookmarkStart w:id="558" w:name="_Toc4301"/>
      <w:bookmarkStart w:id="559" w:name="_Toc24233"/>
      <w:bookmarkStart w:id="560" w:name="_Toc17889"/>
      <w:bookmarkStart w:id="561" w:name="_Toc21606"/>
      <w:r>
        <w:rPr>
          <w:rFonts w:hint="eastAsia" w:ascii="仿宋" w:hAnsi="仿宋" w:eastAsia="仿宋" w:cs="仿宋"/>
          <w:b/>
          <w:sz w:val="24"/>
        </w:rPr>
        <w:t>1.5 履行期限、地点和方式</w:t>
      </w:r>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 w14:paraId="6C7A9AB0">
      <w:pPr>
        <w:spacing w:line="400" w:lineRule="exact"/>
        <w:ind w:firstLine="480" w:firstLineChars="200"/>
        <w:rPr>
          <w:rFonts w:ascii="仿宋" w:hAnsi="仿宋" w:eastAsia="仿宋" w:cs="仿宋"/>
          <w:sz w:val="24"/>
          <w:u w:val="single"/>
        </w:rPr>
      </w:pPr>
      <w:r>
        <w:rPr>
          <w:rFonts w:hint="eastAsia" w:ascii="仿宋" w:hAnsi="仿宋" w:eastAsia="仿宋" w:cs="仿宋"/>
          <w:sz w:val="24"/>
        </w:rPr>
        <w:t>1.5.1 履行期限：</w:t>
      </w:r>
      <w:r>
        <w:rPr>
          <w:rFonts w:hint="eastAsia" w:ascii="仿宋" w:hAnsi="仿宋" w:eastAsia="仿宋" w:cs="仿宋"/>
          <w:sz w:val="24"/>
          <w:u w:val="single"/>
        </w:rPr>
        <w:t xml:space="preserve">                                                </w:t>
      </w:r>
      <w:r>
        <w:rPr>
          <w:rFonts w:hint="eastAsia" w:ascii="仿宋" w:hAnsi="仿宋" w:eastAsia="仿宋" w:cs="仿宋"/>
          <w:sz w:val="24"/>
        </w:rPr>
        <w:t>；</w:t>
      </w:r>
    </w:p>
    <w:p w14:paraId="40CEB01A">
      <w:pPr>
        <w:spacing w:line="400" w:lineRule="exact"/>
        <w:ind w:firstLine="480" w:firstLineChars="200"/>
        <w:rPr>
          <w:rFonts w:ascii="仿宋" w:hAnsi="仿宋" w:eastAsia="仿宋" w:cs="仿宋"/>
          <w:sz w:val="24"/>
        </w:rPr>
      </w:pPr>
      <w:r>
        <w:rPr>
          <w:rFonts w:hint="eastAsia" w:ascii="仿宋" w:hAnsi="仿宋" w:eastAsia="仿宋" w:cs="仿宋"/>
          <w:sz w:val="24"/>
        </w:rPr>
        <w:t>1.5.2 履行地点：</w:t>
      </w:r>
      <w:r>
        <w:rPr>
          <w:rFonts w:hint="eastAsia" w:ascii="仿宋" w:hAnsi="仿宋" w:eastAsia="仿宋" w:cs="仿宋"/>
          <w:sz w:val="24"/>
          <w:u w:val="single"/>
        </w:rPr>
        <w:t xml:space="preserve">                                                </w:t>
      </w:r>
      <w:r>
        <w:rPr>
          <w:rFonts w:hint="eastAsia" w:ascii="仿宋" w:hAnsi="仿宋" w:eastAsia="仿宋" w:cs="仿宋"/>
          <w:sz w:val="24"/>
        </w:rPr>
        <w:t>；</w:t>
      </w:r>
    </w:p>
    <w:p w14:paraId="3D9C525C">
      <w:pPr>
        <w:spacing w:line="400" w:lineRule="exact"/>
        <w:ind w:firstLine="480" w:firstLineChars="200"/>
        <w:rPr>
          <w:rFonts w:ascii="仿宋" w:hAnsi="仿宋" w:eastAsia="仿宋" w:cs="仿宋"/>
          <w:sz w:val="24"/>
        </w:rPr>
      </w:pPr>
      <w:r>
        <w:rPr>
          <w:rFonts w:hint="eastAsia" w:ascii="仿宋" w:hAnsi="仿宋" w:eastAsia="仿宋" w:cs="仿宋"/>
          <w:sz w:val="24"/>
        </w:rPr>
        <w:t>1.5.3 履行方式：</w:t>
      </w:r>
      <w:r>
        <w:rPr>
          <w:rFonts w:hint="eastAsia" w:ascii="仿宋" w:hAnsi="仿宋" w:eastAsia="仿宋" w:cs="仿宋"/>
          <w:sz w:val="24"/>
          <w:u w:val="single"/>
        </w:rPr>
        <w:t xml:space="preserve">　　　　　　　　　                      　      </w:t>
      </w:r>
      <w:r>
        <w:rPr>
          <w:rFonts w:hint="eastAsia" w:ascii="仿宋" w:hAnsi="仿宋" w:eastAsia="仿宋" w:cs="仿宋"/>
          <w:sz w:val="24"/>
        </w:rPr>
        <w:t>。</w:t>
      </w:r>
    </w:p>
    <w:p w14:paraId="11B0662C">
      <w:pPr>
        <w:spacing w:line="400" w:lineRule="exact"/>
        <w:ind w:firstLine="482" w:firstLineChars="200"/>
        <w:outlineLvl w:val="1"/>
        <w:rPr>
          <w:rFonts w:ascii="仿宋" w:hAnsi="仿宋" w:eastAsia="仿宋" w:cs="仿宋"/>
          <w:sz w:val="24"/>
          <w:u w:val="single"/>
        </w:rPr>
      </w:pPr>
      <w:bookmarkStart w:id="562" w:name="_Toc17237"/>
      <w:bookmarkStart w:id="563" w:name="_Toc3290"/>
      <w:bookmarkStart w:id="564" w:name="_Toc5863"/>
      <w:bookmarkStart w:id="565" w:name="_Toc3079"/>
      <w:bookmarkStart w:id="566" w:name="_Toc8586"/>
      <w:bookmarkStart w:id="567" w:name="_Toc16708"/>
      <w:bookmarkStart w:id="568" w:name="_Toc10490"/>
      <w:bookmarkStart w:id="569" w:name="_Toc18474"/>
      <w:bookmarkStart w:id="570" w:name="_Toc18326"/>
      <w:bookmarkStart w:id="571" w:name="_Toc24662"/>
      <w:bookmarkStart w:id="572" w:name="_Toc2375"/>
      <w:bookmarkStart w:id="573" w:name="_Toc12514"/>
      <w:bookmarkStart w:id="574" w:name="_Toc5418"/>
      <w:bookmarkStart w:id="575" w:name="_Toc27990"/>
      <w:bookmarkStart w:id="576" w:name="_Toc17443"/>
      <w:bookmarkStart w:id="577" w:name="_Toc5698"/>
      <w:r>
        <w:rPr>
          <w:rFonts w:hint="eastAsia" w:ascii="仿宋" w:hAnsi="仿宋" w:eastAsia="仿宋" w:cs="仿宋"/>
          <w:b/>
          <w:sz w:val="24"/>
        </w:rPr>
        <w:t>1.6 违约责任</w:t>
      </w:r>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p>
    <w:p w14:paraId="257D5608">
      <w:pPr>
        <w:spacing w:line="400" w:lineRule="exact"/>
        <w:ind w:firstLine="480" w:firstLineChars="200"/>
        <w:rPr>
          <w:rFonts w:ascii="仿宋" w:hAnsi="仿宋" w:eastAsia="仿宋" w:cs="仿宋"/>
          <w:sz w:val="24"/>
        </w:rPr>
      </w:pPr>
      <w:r>
        <w:rPr>
          <w:rFonts w:hint="eastAsia" w:ascii="仿宋" w:hAnsi="仿宋" w:eastAsia="仿宋" w:cs="仿宋"/>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41088A27">
      <w:pPr>
        <w:spacing w:line="400" w:lineRule="exact"/>
        <w:ind w:firstLine="480" w:firstLineChars="200"/>
        <w:rPr>
          <w:rFonts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4A9CE18C">
      <w:pPr>
        <w:spacing w:line="400" w:lineRule="exact"/>
        <w:ind w:firstLine="480" w:firstLineChars="200"/>
        <w:rPr>
          <w:rFonts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0CCBCDE7">
      <w:pPr>
        <w:spacing w:line="400" w:lineRule="exact"/>
        <w:ind w:firstLine="480" w:firstLineChars="200"/>
        <w:rPr>
          <w:rFonts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581FB08">
      <w:pPr>
        <w:spacing w:line="400" w:lineRule="exact"/>
        <w:ind w:firstLine="480" w:firstLineChars="200"/>
        <w:rPr>
          <w:rFonts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A69BEB1">
      <w:pPr>
        <w:spacing w:line="400" w:lineRule="exact"/>
        <w:ind w:firstLine="480" w:firstLineChars="200"/>
        <w:rPr>
          <w:rFonts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如果出现政府采购监督管理部门在处理投诉事项期间，书面通知甲方暂停采购活动的情形，或者询问或质疑事项可能影响成交结果的，导致甲方中止履行合同的情形，均不视为甲方违约。</w:t>
      </w:r>
    </w:p>
    <w:p w14:paraId="65942F76">
      <w:pPr>
        <w:spacing w:line="400" w:lineRule="exact"/>
        <w:ind w:firstLine="482" w:firstLineChars="200"/>
        <w:outlineLvl w:val="1"/>
        <w:rPr>
          <w:rFonts w:ascii="仿宋" w:hAnsi="仿宋" w:eastAsia="仿宋" w:cs="仿宋"/>
          <w:b/>
          <w:sz w:val="24"/>
        </w:rPr>
      </w:pPr>
      <w:bookmarkStart w:id="578" w:name="_Toc32454"/>
      <w:bookmarkStart w:id="579" w:name="_Toc13358"/>
      <w:bookmarkStart w:id="580" w:name="_Toc14940"/>
      <w:bookmarkStart w:id="581" w:name="_Toc9497"/>
      <w:bookmarkStart w:id="582" w:name="_Toc30329"/>
      <w:bookmarkStart w:id="583" w:name="_Toc3964"/>
      <w:bookmarkStart w:id="584" w:name="_Toc9782"/>
      <w:bookmarkStart w:id="585" w:name="_Toc18683"/>
      <w:bookmarkStart w:id="586" w:name="_Toc4448"/>
      <w:bookmarkStart w:id="587" w:name="_Toc23069"/>
      <w:bookmarkStart w:id="588" w:name="_Toc1982"/>
      <w:bookmarkStart w:id="589" w:name="_Toc29659"/>
      <w:bookmarkStart w:id="590" w:name="_Toc26807"/>
      <w:bookmarkStart w:id="591" w:name="_Toc13634"/>
      <w:bookmarkStart w:id="592" w:name="_Toc21818"/>
      <w:bookmarkStart w:id="593" w:name="_Toc12954"/>
      <w:bookmarkStart w:id="594" w:name="_Toc4563"/>
      <w:r>
        <w:rPr>
          <w:rFonts w:hint="eastAsia" w:ascii="仿宋" w:hAnsi="仿宋" w:eastAsia="仿宋" w:cs="仿宋"/>
          <w:b/>
          <w:sz w:val="24"/>
        </w:rPr>
        <w:t>1.7 合同争议的解决</w:t>
      </w:r>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p>
    <w:p w14:paraId="5BE54CEF">
      <w:pPr>
        <w:spacing w:line="400" w:lineRule="exact"/>
        <w:ind w:firstLine="480" w:firstLineChars="200"/>
        <w:rPr>
          <w:rFonts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本合同履行过程中发生的任何争议，双方当事人均可通过和解或者调解解决；不愿和解、调解或者和解、调解不成的，可以选择下列第</w:t>
      </w:r>
      <w:r>
        <w:rPr>
          <w:rFonts w:hint="eastAsia" w:ascii="仿宋" w:hAnsi="仿宋" w:eastAsia="仿宋" w:cs="仿宋"/>
          <w:sz w:val="24"/>
          <w:u w:val="single"/>
        </w:rPr>
        <w:t xml:space="preserve">    </w:t>
      </w:r>
      <w:r>
        <w:rPr>
          <w:rFonts w:hint="eastAsia" w:ascii="仿宋" w:hAnsi="仿宋" w:eastAsia="仿宋" w:cs="仿宋"/>
          <w:sz w:val="24"/>
        </w:rPr>
        <w:t>种方式解决：</w:t>
      </w:r>
    </w:p>
    <w:p w14:paraId="250AC73A">
      <w:pPr>
        <w:spacing w:line="400" w:lineRule="exact"/>
        <w:ind w:firstLine="480" w:firstLineChars="200"/>
        <w:rPr>
          <w:rFonts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sz w:val="24"/>
          <w:u w:val="single"/>
        </w:rPr>
        <w:t xml:space="preserve">              </w:t>
      </w:r>
      <w:r>
        <w:rPr>
          <w:rFonts w:hint="eastAsia" w:ascii="仿宋" w:hAnsi="仿宋" w:eastAsia="仿宋" w:cs="仿宋"/>
          <w:sz w:val="24"/>
        </w:rPr>
        <w:t>仲裁委员会依申请仲裁时其现行有效的仲裁规则裁决；</w:t>
      </w:r>
    </w:p>
    <w:p w14:paraId="3355D9D3">
      <w:pPr>
        <w:spacing w:line="400" w:lineRule="exact"/>
        <w:ind w:firstLine="480" w:firstLineChars="200"/>
        <w:rPr>
          <w:rFonts w:ascii="仿宋" w:hAnsi="仿宋" w:eastAsia="仿宋" w:cs="仿宋"/>
          <w:sz w:val="24"/>
        </w:rPr>
      </w:pPr>
      <w:r>
        <w:rPr>
          <w:rFonts w:hint="eastAsia" w:ascii="仿宋" w:hAnsi="仿宋" w:eastAsia="仿宋" w:cs="仿宋"/>
          <w:sz w:val="24"/>
        </w:rPr>
        <w:t>1.7.2 向</w:t>
      </w:r>
      <w:r>
        <w:rPr>
          <w:rFonts w:hint="eastAsia" w:ascii="仿宋" w:hAnsi="仿宋" w:eastAsia="仿宋" w:cs="仿宋"/>
          <w:sz w:val="24"/>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rPr>
        <w:t>人民法院起诉。</w:t>
      </w:r>
    </w:p>
    <w:p w14:paraId="58FC8B2D">
      <w:pPr>
        <w:spacing w:line="400" w:lineRule="exact"/>
        <w:ind w:firstLine="482" w:firstLineChars="200"/>
        <w:outlineLvl w:val="1"/>
        <w:rPr>
          <w:rFonts w:ascii="仿宋" w:hAnsi="仿宋" w:eastAsia="仿宋" w:cs="仿宋"/>
          <w:b/>
          <w:sz w:val="24"/>
        </w:rPr>
      </w:pPr>
      <w:bookmarkStart w:id="595" w:name="_Toc20156"/>
      <w:bookmarkStart w:id="596" w:name="_Toc16417"/>
      <w:bookmarkStart w:id="597" w:name="_Toc18071"/>
      <w:bookmarkStart w:id="598" w:name="_Toc20646"/>
      <w:bookmarkStart w:id="599" w:name="_Toc20743"/>
      <w:bookmarkStart w:id="600" w:name="_Toc6048"/>
      <w:bookmarkStart w:id="601" w:name="_Toc6707"/>
      <w:bookmarkStart w:id="602" w:name="_Toc12273"/>
      <w:bookmarkStart w:id="603" w:name="_Toc13186"/>
      <w:bookmarkStart w:id="604" w:name="_Toc13173"/>
      <w:bookmarkStart w:id="605" w:name="_Toc26227"/>
      <w:bookmarkStart w:id="606" w:name="_Toc23784"/>
      <w:bookmarkStart w:id="607" w:name="_Toc1048"/>
      <w:bookmarkStart w:id="608" w:name="_Toc1472"/>
      <w:bookmarkStart w:id="609" w:name="_Toc32664"/>
      <w:bookmarkStart w:id="610" w:name="_Toc17508"/>
      <w:bookmarkStart w:id="611" w:name="_Toc15827"/>
      <w:r>
        <w:rPr>
          <w:rFonts w:hint="eastAsia" w:ascii="仿宋" w:hAnsi="仿宋" w:eastAsia="仿宋" w:cs="仿宋"/>
          <w:b/>
          <w:sz w:val="24"/>
        </w:rPr>
        <w:t>1.8 合同生效</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p>
    <w:p w14:paraId="7DE12BBF">
      <w:pPr>
        <w:spacing w:line="400" w:lineRule="exact"/>
        <w:ind w:firstLine="480" w:firstLineChars="200"/>
        <w:rPr>
          <w:rFonts w:ascii="仿宋" w:hAnsi="仿宋" w:eastAsia="仿宋" w:cs="仿宋"/>
          <w:b/>
          <w:sz w:val="24"/>
        </w:rPr>
      </w:pPr>
      <w:r>
        <w:rPr>
          <w:rFonts w:hint="eastAsia" w:ascii="仿宋" w:hAnsi="仿宋" w:eastAsia="仿宋" w:cs="仿宋"/>
          <w:sz w:val="24"/>
        </w:rPr>
        <w:t>本合同自双方当事人盖章或者签字时生效。</w:t>
      </w:r>
    </w:p>
    <w:p w14:paraId="71BB30A3">
      <w:pPr>
        <w:autoSpaceDE w:val="0"/>
        <w:autoSpaceDN w:val="0"/>
        <w:adjustRightInd w:val="0"/>
        <w:spacing w:line="400" w:lineRule="exact"/>
        <w:rPr>
          <w:rFonts w:ascii="仿宋" w:hAnsi="仿宋" w:eastAsia="仿宋" w:cs="仿宋"/>
          <w:sz w:val="24"/>
          <w:lang w:val="zh-CN"/>
        </w:rPr>
      </w:pPr>
    </w:p>
    <w:p w14:paraId="3AE68346">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40A176F5">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7B9B5E7D">
      <w:pPr>
        <w:autoSpaceDE w:val="0"/>
        <w:autoSpaceDN w:val="0"/>
        <w:adjustRightInd w:val="0"/>
        <w:spacing w:line="400" w:lineRule="exact"/>
        <w:rPr>
          <w:rFonts w:ascii="仿宋" w:hAnsi="仿宋" w:eastAsia="仿宋" w:cs="仿宋"/>
          <w:sz w:val="24"/>
          <w:lang w:val="zh-CN"/>
        </w:rPr>
      </w:pPr>
    </w:p>
    <w:p w14:paraId="76D93203">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住所：                                   住所：</w:t>
      </w:r>
    </w:p>
    <w:p w14:paraId="470818F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法定代表人或                             法定代表人</w:t>
      </w:r>
    </w:p>
    <w:p w14:paraId="513A2DA4">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4E42E7BC">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联系人：                                 联系人：</w:t>
      </w:r>
    </w:p>
    <w:p w14:paraId="2327E219">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约定送达地址：                           约定送达地址：</w:t>
      </w:r>
    </w:p>
    <w:p w14:paraId="1B2159CE">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邮政编码：                               邮政编码：</w:t>
      </w:r>
    </w:p>
    <w:p w14:paraId="01270BE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电话:                                    电话: </w:t>
      </w:r>
    </w:p>
    <w:p w14:paraId="0653C3BC">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传真:                                    传真:</w:t>
      </w:r>
    </w:p>
    <w:p w14:paraId="4BC5403D">
      <w:pPr>
        <w:autoSpaceDE w:val="0"/>
        <w:autoSpaceDN w:val="0"/>
        <w:adjustRightInd w:val="0"/>
        <w:spacing w:line="400" w:lineRule="exact"/>
        <w:rPr>
          <w:rFonts w:ascii="仿宋" w:hAnsi="仿宋" w:eastAsia="仿宋" w:cs="仿宋"/>
          <w:sz w:val="24"/>
        </w:rPr>
      </w:pPr>
      <w:r>
        <w:rPr>
          <w:rFonts w:hint="eastAsia" w:ascii="仿宋" w:hAnsi="仿宋" w:eastAsia="仿宋" w:cs="仿宋"/>
          <w:sz w:val="24"/>
          <w:lang w:val="zh-CN"/>
        </w:rPr>
        <w:t>电子邮箱：                               电子邮箱：</w:t>
      </w:r>
    </w:p>
    <w:p w14:paraId="33C947CF">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开户银行：                               开户银行： </w:t>
      </w:r>
    </w:p>
    <w:p w14:paraId="25729EC1">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开户名称：                               开户名称： </w:t>
      </w:r>
    </w:p>
    <w:p w14:paraId="0695CDA2">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60854DEC">
      <w:pPr>
        <w:rPr>
          <w:rFonts w:ascii="仿宋" w:hAnsi="仿宋" w:eastAsia="仿宋" w:cs="仿宋"/>
          <w:sz w:val="24"/>
        </w:rPr>
      </w:pPr>
      <w:r>
        <w:rPr>
          <w:rFonts w:hint="eastAsia" w:ascii="仿宋" w:hAnsi="仿宋" w:eastAsia="仿宋" w:cs="仿宋"/>
          <w:sz w:val="24"/>
        </w:rPr>
        <w:br w:type="page"/>
      </w:r>
    </w:p>
    <w:p w14:paraId="7497CCE3">
      <w:pPr>
        <w:pStyle w:val="9"/>
      </w:pPr>
    </w:p>
    <w:p w14:paraId="0FB8F148">
      <w:pPr>
        <w:pStyle w:val="69"/>
        <w:spacing w:line="400" w:lineRule="exact"/>
        <w:ind w:firstLine="0"/>
        <w:jc w:val="center"/>
        <w:outlineLvl w:val="0"/>
        <w:rPr>
          <w:rFonts w:ascii="仿宋" w:hAnsi="仿宋" w:eastAsia="仿宋" w:cs="仿宋"/>
          <w:b/>
          <w:szCs w:val="24"/>
        </w:rPr>
      </w:pPr>
      <w:bookmarkStart w:id="612" w:name="_Toc331685783"/>
      <w:bookmarkStart w:id="613" w:name="_Toc25972"/>
      <w:bookmarkStart w:id="614" w:name="_Toc2963"/>
      <w:bookmarkStart w:id="615" w:name="_Toc9527"/>
      <w:r>
        <w:rPr>
          <w:rFonts w:hint="eastAsia" w:ascii="仿宋" w:hAnsi="仿宋" w:eastAsia="仿宋" w:cs="仿宋"/>
          <w:b/>
          <w:szCs w:val="24"/>
        </w:rPr>
        <w:t>第二部分 合同一般条款</w:t>
      </w:r>
      <w:bookmarkEnd w:id="612"/>
      <w:bookmarkEnd w:id="613"/>
      <w:bookmarkEnd w:id="614"/>
      <w:bookmarkEnd w:id="615"/>
    </w:p>
    <w:p w14:paraId="29DC0141">
      <w:pPr>
        <w:spacing w:line="400" w:lineRule="exact"/>
        <w:ind w:firstLine="482" w:firstLineChars="200"/>
        <w:outlineLvl w:val="1"/>
        <w:rPr>
          <w:rFonts w:ascii="仿宋" w:hAnsi="仿宋" w:eastAsia="仿宋" w:cs="仿宋"/>
          <w:b/>
          <w:sz w:val="24"/>
        </w:rPr>
      </w:pPr>
      <w:bookmarkStart w:id="616" w:name="_Toc17704"/>
      <w:bookmarkStart w:id="617" w:name="_Ref467379195"/>
      <w:bookmarkStart w:id="618" w:name="_Toc684"/>
      <w:bookmarkStart w:id="619" w:name="_Toc279701240"/>
      <w:bookmarkStart w:id="620" w:name="_Ref467379205"/>
      <w:bookmarkStart w:id="621" w:name="_Toc10827"/>
      <w:bookmarkStart w:id="622" w:name="_Ref467378499"/>
      <w:bookmarkStart w:id="623" w:name="_Toc487900349"/>
      <w:bookmarkStart w:id="624" w:name="_Ref467379214"/>
      <w:bookmarkStart w:id="625" w:name="_Ref467378463"/>
      <w:bookmarkStart w:id="626" w:name="_Toc25079"/>
      <w:bookmarkStart w:id="627" w:name="_Ref467379225"/>
      <w:bookmarkStart w:id="628" w:name="_Toc13941"/>
      <w:bookmarkStart w:id="629" w:name="_Toc4990"/>
      <w:bookmarkStart w:id="630" w:name="_Ref467378404"/>
      <w:bookmarkStart w:id="631" w:name="_Ref467379094"/>
      <w:bookmarkStart w:id="632" w:name="_Toc28701"/>
      <w:bookmarkStart w:id="633" w:name="_Toc21058"/>
      <w:bookmarkStart w:id="634" w:name="_Toc19680"/>
      <w:bookmarkStart w:id="635" w:name="_Toc29074"/>
      <w:bookmarkStart w:id="636" w:name="_Toc259093669"/>
      <w:bookmarkStart w:id="637" w:name="_Toc5117"/>
      <w:bookmarkStart w:id="638" w:name="_Toc5228"/>
      <w:bookmarkStart w:id="639" w:name="_Ref467379109"/>
      <w:bookmarkStart w:id="640" w:name="_Toc31297"/>
      <w:bookmarkStart w:id="641" w:name="_Toc9585"/>
      <w:bookmarkStart w:id="642" w:name="_Toc16934"/>
      <w:bookmarkStart w:id="643" w:name="_Toc14021"/>
      <w:bookmarkStart w:id="644" w:name="_Ref467379101"/>
      <w:bookmarkStart w:id="645" w:name="_Toc29024"/>
      <w:r>
        <w:rPr>
          <w:rFonts w:hint="eastAsia" w:ascii="仿宋" w:hAnsi="仿宋" w:eastAsia="仿宋" w:cs="仿宋"/>
          <w:b/>
          <w:sz w:val="24"/>
        </w:rPr>
        <w:t>2.1 定义</w:t>
      </w:r>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p w14:paraId="3F836EEA">
      <w:pPr>
        <w:spacing w:line="400" w:lineRule="exact"/>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043E5368">
      <w:pPr>
        <w:spacing w:line="400" w:lineRule="exact"/>
        <w:ind w:firstLine="480" w:firstLineChars="200"/>
        <w:rPr>
          <w:rFonts w:ascii="仿宋" w:hAnsi="仿宋" w:eastAsia="仿宋" w:cs="仿宋"/>
          <w:sz w:val="24"/>
        </w:rPr>
      </w:pPr>
      <w:r>
        <w:rPr>
          <w:rFonts w:hint="eastAsia" w:ascii="仿宋" w:hAnsi="仿宋" w:eastAsia="仿宋" w:cs="仿宋"/>
          <w:sz w:val="24"/>
        </w:rPr>
        <w:t>2.1.1 “合同”系指采购人和成交供应商签订的载明双方当事人所达成的协议，并包括所有的附件、附录和构成合同的其他文件。</w:t>
      </w:r>
    </w:p>
    <w:p w14:paraId="05A6A810">
      <w:pPr>
        <w:spacing w:line="400" w:lineRule="exact"/>
        <w:ind w:firstLine="480" w:firstLineChars="200"/>
        <w:rPr>
          <w:rFonts w:ascii="仿宋" w:hAnsi="仿宋" w:eastAsia="仿宋" w:cs="仿宋"/>
          <w:sz w:val="24"/>
        </w:rPr>
      </w:pPr>
      <w:r>
        <w:rPr>
          <w:rFonts w:hint="eastAsia" w:ascii="仿宋" w:hAnsi="仿宋" w:eastAsia="仿宋" w:cs="仿宋"/>
          <w:sz w:val="24"/>
        </w:rPr>
        <w:t>2.1.2 “合同价”系指根据合同约定，成交供应商在完全履行合同义务后，采购人应支付给成交供应商的价格。</w:t>
      </w:r>
    </w:p>
    <w:p w14:paraId="3276A944">
      <w:pPr>
        <w:spacing w:line="400" w:lineRule="exact"/>
        <w:ind w:firstLine="480" w:firstLineChars="200"/>
        <w:rPr>
          <w:rFonts w:ascii="仿宋" w:hAnsi="仿宋" w:eastAsia="仿宋" w:cs="仿宋"/>
          <w:sz w:val="24"/>
        </w:rPr>
      </w:pPr>
      <w:r>
        <w:rPr>
          <w:rFonts w:hint="eastAsia" w:ascii="仿宋" w:hAnsi="仿宋" w:eastAsia="仿宋" w:cs="仿宋"/>
          <w:sz w:val="24"/>
        </w:rPr>
        <w:t>2.1.3 “服务”系指成交供应商根据合同约定应向采购人履行的除货物和工程以外的其他政府采购对象，包括采购人自身需要的服务和向社会公众提供的公共服务。</w:t>
      </w:r>
    </w:p>
    <w:p w14:paraId="41892182">
      <w:pPr>
        <w:spacing w:line="400" w:lineRule="exact"/>
        <w:ind w:firstLine="480" w:firstLineChars="200"/>
        <w:rPr>
          <w:rFonts w:ascii="仿宋" w:hAnsi="仿宋" w:eastAsia="仿宋" w:cs="仿宋"/>
          <w:sz w:val="24"/>
        </w:rPr>
      </w:pPr>
      <w:bookmarkStart w:id="646" w:name="_Ref467378840"/>
      <w:r>
        <w:rPr>
          <w:rFonts w:hint="eastAsia" w:ascii="仿宋" w:hAnsi="仿宋" w:eastAsia="仿宋" w:cs="仿宋"/>
          <w:sz w:val="24"/>
        </w:rPr>
        <w:t>2.1.4 “甲方”系指与成交供应商签署合同的采购人</w:t>
      </w:r>
      <w:bookmarkEnd w:id="646"/>
      <w:r>
        <w:rPr>
          <w:rFonts w:hint="eastAsia" w:ascii="仿宋" w:hAnsi="仿宋" w:eastAsia="仿宋" w:cs="仿宋"/>
          <w:sz w:val="24"/>
        </w:rPr>
        <w:t>；采购人委托采购代理机构代表其与乙方签订合同的，采购人的授权委托书作为合同附件。</w:t>
      </w:r>
    </w:p>
    <w:p w14:paraId="792E0395">
      <w:pPr>
        <w:spacing w:line="400" w:lineRule="exact"/>
        <w:ind w:firstLine="480" w:firstLineChars="200"/>
        <w:rPr>
          <w:rFonts w:ascii="仿宋" w:hAnsi="仿宋" w:eastAsia="仿宋" w:cs="仿宋"/>
          <w:sz w:val="24"/>
        </w:rPr>
      </w:pPr>
      <w:bookmarkStart w:id="647" w:name="_Ref467379400"/>
      <w:r>
        <w:rPr>
          <w:rFonts w:hint="eastAsia" w:ascii="仿宋" w:hAnsi="仿宋" w:eastAsia="仿宋" w:cs="仿宋"/>
          <w:sz w:val="24"/>
        </w:rPr>
        <w:t>2.1.5 “乙方”系指根据合同约定提供服务的成交供应商</w:t>
      </w:r>
      <w:bookmarkEnd w:id="647"/>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64B4650">
      <w:pPr>
        <w:spacing w:line="400" w:lineRule="exact"/>
        <w:ind w:firstLine="480" w:firstLineChars="200"/>
        <w:rPr>
          <w:rFonts w:ascii="仿宋" w:hAnsi="仿宋" w:eastAsia="仿宋" w:cs="仿宋"/>
          <w:sz w:val="24"/>
        </w:rPr>
      </w:pPr>
      <w:bookmarkStart w:id="648" w:name="_Ref467379436"/>
      <w:r>
        <w:rPr>
          <w:rFonts w:hint="eastAsia" w:ascii="仿宋" w:hAnsi="仿宋" w:eastAsia="仿宋" w:cs="仿宋"/>
          <w:sz w:val="24"/>
        </w:rPr>
        <w:t>2.1.6 “现场”系指合同约定提供服务的地点。</w:t>
      </w:r>
      <w:bookmarkEnd w:id="648"/>
    </w:p>
    <w:p w14:paraId="1E81B8AA">
      <w:pPr>
        <w:spacing w:line="400" w:lineRule="exact"/>
        <w:ind w:firstLine="482" w:firstLineChars="200"/>
        <w:outlineLvl w:val="1"/>
        <w:rPr>
          <w:rFonts w:ascii="仿宋" w:hAnsi="仿宋" w:eastAsia="仿宋" w:cs="仿宋"/>
          <w:b/>
          <w:sz w:val="24"/>
        </w:rPr>
      </w:pPr>
      <w:bookmarkStart w:id="649" w:name="_Toc10249"/>
      <w:bookmarkStart w:id="650" w:name="_Toc16752"/>
      <w:bookmarkStart w:id="651" w:name="_Toc31402"/>
      <w:bookmarkStart w:id="652" w:name="_Toc21068"/>
      <w:bookmarkStart w:id="653" w:name="_Toc8861"/>
      <w:bookmarkStart w:id="654" w:name="_Toc487900350"/>
      <w:bookmarkStart w:id="655" w:name="_Toc22493"/>
      <w:bookmarkStart w:id="656" w:name="_Toc24501"/>
      <w:bookmarkStart w:id="657" w:name="_Toc7411"/>
      <w:bookmarkStart w:id="658" w:name="_Toc259093670"/>
      <w:bookmarkStart w:id="659" w:name="_Toc22927"/>
      <w:bookmarkStart w:id="660" w:name="_Toc6001"/>
      <w:bookmarkStart w:id="661" w:name="_Toc15954"/>
      <w:bookmarkStart w:id="662" w:name="_Toc28811"/>
      <w:bookmarkStart w:id="663" w:name="_Toc3769"/>
      <w:bookmarkStart w:id="664" w:name="_Toc23289"/>
      <w:bookmarkStart w:id="665" w:name="_Toc25980"/>
      <w:bookmarkStart w:id="666" w:name="_Toc279701241"/>
      <w:bookmarkStart w:id="667" w:name="_Toc15686"/>
      <w:bookmarkStart w:id="668" w:name="_Toc19539"/>
      <w:r>
        <w:rPr>
          <w:rFonts w:hint="eastAsia" w:ascii="仿宋" w:hAnsi="仿宋" w:eastAsia="仿宋" w:cs="仿宋"/>
          <w:b/>
          <w:sz w:val="24"/>
        </w:rPr>
        <w:t>2.2 技术规范</w:t>
      </w:r>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p>
    <w:p w14:paraId="5D74F86A">
      <w:pPr>
        <w:spacing w:line="400" w:lineRule="exact"/>
        <w:ind w:firstLine="480" w:firstLineChars="200"/>
        <w:rPr>
          <w:rFonts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60CF149">
      <w:pPr>
        <w:spacing w:line="400" w:lineRule="exact"/>
        <w:ind w:firstLine="482" w:firstLineChars="200"/>
        <w:outlineLvl w:val="1"/>
        <w:rPr>
          <w:rFonts w:ascii="仿宋" w:hAnsi="仿宋" w:eastAsia="仿宋" w:cs="仿宋"/>
          <w:b/>
          <w:sz w:val="24"/>
        </w:rPr>
      </w:pPr>
      <w:bookmarkStart w:id="669" w:name="_Toc24660"/>
      <w:bookmarkStart w:id="670" w:name="_Toc9578"/>
      <w:bookmarkStart w:id="671" w:name="_Toc8378"/>
      <w:bookmarkStart w:id="672" w:name="_Toc487900351"/>
      <w:bookmarkStart w:id="673" w:name="_Toc1059"/>
      <w:bookmarkStart w:id="674" w:name="_Toc30138"/>
      <w:bookmarkStart w:id="675" w:name="_Toc22416"/>
      <w:bookmarkStart w:id="676" w:name="_Toc4133"/>
      <w:bookmarkStart w:id="677" w:name="_Toc12412"/>
      <w:bookmarkStart w:id="678" w:name="_Toc31307"/>
      <w:bookmarkStart w:id="679" w:name="_Toc259093671"/>
      <w:bookmarkStart w:id="680" w:name="_Toc32402"/>
      <w:bookmarkStart w:id="681" w:name="_Toc17651"/>
      <w:bookmarkStart w:id="682" w:name="_Toc12727"/>
      <w:bookmarkStart w:id="683" w:name="_Toc7280"/>
      <w:bookmarkStart w:id="684" w:name="_Toc12881"/>
      <w:bookmarkStart w:id="685" w:name="_Toc27945"/>
      <w:bookmarkStart w:id="686" w:name="_Toc13673"/>
      <w:bookmarkStart w:id="687" w:name="_Toc279701242"/>
      <w:bookmarkStart w:id="688" w:name="_Toc9161"/>
      <w:r>
        <w:rPr>
          <w:rFonts w:hint="eastAsia" w:ascii="仿宋" w:hAnsi="仿宋" w:eastAsia="仿宋" w:cs="仿宋"/>
          <w:b/>
          <w:sz w:val="24"/>
        </w:rPr>
        <w:t>2.3 知识产权</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p>
    <w:p w14:paraId="4D1ACFAD">
      <w:pPr>
        <w:spacing w:line="400" w:lineRule="exact"/>
        <w:ind w:firstLine="480" w:firstLineChars="200"/>
        <w:rPr>
          <w:rFonts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65652F8">
      <w:pPr>
        <w:spacing w:line="400" w:lineRule="exact"/>
        <w:ind w:firstLine="480" w:firstLineChars="200"/>
        <w:rPr>
          <w:rFonts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3C069437">
      <w:pPr>
        <w:spacing w:line="400" w:lineRule="exact"/>
        <w:ind w:firstLine="482" w:firstLineChars="200"/>
        <w:outlineLvl w:val="1"/>
        <w:rPr>
          <w:rFonts w:ascii="仿宋" w:hAnsi="仿宋" w:eastAsia="仿宋" w:cs="仿宋"/>
          <w:b/>
          <w:sz w:val="24"/>
        </w:rPr>
      </w:pPr>
      <w:bookmarkStart w:id="689" w:name="_Toc32651"/>
      <w:bookmarkStart w:id="690" w:name="_Toc30894"/>
      <w:r>
        <w:rPr>
          <w:rFonts w:hint="eastAsia" w:ascii="仿宋" w:hAnsi="仿宋" w:eastAsia="仿宋" w:cs="仿宋"/>
          <w:b/>
          <w:sz w:val="24"/>
        </w:rPr>
        <w:t>2.4 履约检查和问题反馈</w:t>
      </w:r>
      <w:bookmarkEnd w:id="689"/>
      <w:bookmarkEnd w:id="690"/>
    </w:p>
    <w:p w14:paraId="3A3E9787">
      <w:pPr>
        <w:spacing w:line="400" w:lineRule="exact"/>
        <w:ind w:firstLine="480" w:firstLineChars="200"/>
        <w:rPr>
          <w:rFonts w:ascii="仿宋" w:hAnsi="仿宋" w:eastAsia="仿宋" w:cs="仿宋"/>
          <w:sz w:val="24"/>
        </w:rPr>
      </w:pPr>
      <w:bookmarkStart w:id="691" w:name="_Ref467379657"/>
      <w:r>
        <w:rPr>
          <w:rFonts w:hint="eastAsia" w:ascii="仿宋" w:hAnsi="仿宋" w:eastAsia="仿宋" w:cs="仿宋"/>
          <w:sz w:val="24"/>
        </w:rPr>
        <w:t>2.4.1</w:t>
      </w:r>
      <w:bookmarkEnd w:id="691"/>
      <w:bookmarkStart w:id="692" w:name="_Toc186431854"/>
      <w:bookmarkStart w:id="693" w:name="_Toc279701247"/>
      <w:bookmarkStart w:id="694" w:name="_Ref467379793"/>
      <w:bookmarkStart w:id="695" w:name="_Toc259093676"/>
      <w:bookmarkStart w:id="696" w:name="_Toc487900357"/>
      <w:bookmarkStart w:id="697" w:name="_Ref467379807"/>
      <w:r>
        <w:rPr>
          <w:rFonts w:hint="eastAsia" w:ascii="仿宋" w:hAnsi="仿宋" w:eastAsia="仿宋" w:cs="仿宋"/>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5CF54004">
      <w:pPr>
        <w:spacing w:line="400" w:lineRule="exact"/>
        <w:ind w:firstLine="480" w:firstLineChars="200"/>
        <w:rPr>
          <w:rFonts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bookmarkEnd w:id="692"/>
      <w:bookmarkStart w:id="698" w:name="_Toc186431855"/>
      <w:r>
        <w:rPr>
          <w:rFonts w:hint="eastAsia" w:ascii="仿宋" w:hAnsi="仿宋" w:eastAsia="仿宋" w:cs="仿宋"/>
          <w:sz w:val="24"/>
        </w:rPr>
        <w:t>。</w:t>
      </w:r>
    </w:p>
    <w:bookmarkEnd w:id="698"/>
    <w:p w14:paraId="6EC313F5">
      <w:pPr>
        <w:spacing w:line="400" w:lineRule="exact"/>
        <w:ind w:firstLine="482" w:firstLineChars="200"/>
        <w:outlineLvl w:val="1"/>
        <w:rPr>
          <w:rFonts w:ascii="仿宋" w:hAnsi="仿宋" w:eastAsia="仿宋" w:cs="仿宋"/>
          <w:b/>
          <w:sz w:val="24"/>
        </w:rPr>
      </w:pPr>
      <w:bookmarkStart w:id="699" w:name="_Toc15447"/>
      <w:bookmarkStart w:id="700" w:name="_Toc31233"/>
      <w:bookmarkStart w:id="701" w:name="_Toc31494"/>
      <w:bookmarkStart w:id="702" w:name="_Toc32043"/>
      <w:bookmarkStart w:id="703" w:name="_Toc20061"/>
      <w:bookmarkStart w:id="704" w:name="_Toc16045"/>
      <w:bookmarkStart w:id="705" w:name="_Toc12450"/>
      <w:bookmarkStart w:id="706" w:name="_Toc12967"/>
      <w:bookmarkStart w:id="707" w:name="_Toc21474"/>
      <w:bookmarkStart w:id="708" w:name="_Toc4237"/>
      <w:bookmarkStart w:id="709" w:name="_Toc22011"/>
      <w:bookmarkStart w:id="710" w:name="_Toc28557"/>
      <w:bookmarkStart w:id="711" w:name="_Toc6504"/>
      <w:bookmarkStart w:id="712" w:name="_Toc15567"/>
      <w:bookmarkStart w:id="713" w:name="_Toc26555"/>
      <w:bookmarkStart w:id="714" w:name="_Toc28361"/>
      <w:r>
        <w:rPr>
          <w:rFonts w:hint="eastAsia" w:ascii="仿宋" w:hAnsi="仿宋" w:eastAsia="仿宋" w:cs="仿宋"/>
          <w:b/>
          <w:sz w:val="24"/>
        </w:rPr>
        <w:t>2.5 结算方式和付款条件</w:t>
      </w:r>
      <w:bookmarkEnd w:id="693"/>
      <w:bookmarkEnd w:id="694"/>
      <w:bookmarkEnd w:id="695"/>
      <w:bookmarkEnd w:id="696"/>
      <w:bookmarkEnd w:id="697"/>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p>
    <w:p w14:paraId="7B9DD715">
      <w:pPr>
        <w:spacing w:line="400" w:lineRule="exact"/>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77957F92">
      <w:pPr>
        <w:spacing w:line="400" w:lineRule="exact"/>
        <w:ind w:firstLine="482" w:firstLineChars="200"/>
        <w:outlineLvl w:val="1"/>
        <w:rPr>
          <w:rFonts w:ascii="仿宋" w:hAnsi="仿宋" w:eastAsia="仿宋" w:cs="仿宋"/>
          <w:b/>
          <w:sz w:val="24"/>
        </w:rPr>
      </w:pPr>
      <w:bookmarkStart w:id="715" w:name="_Toc279701248"/>
      <w:bookmarkStart w:id="716" w:name="_Toc259093677"/>
      <w:bookmarkStart w:id="717" w:name="_Ref467379852"/>
      <w:bookmarkStart w:id="718" w:name="_Ref467379923"/>
      <w:bookmarkStart w:id="719" w:name="_Ref467379863"/>
      <w:bookmarkStart w:id="720" w:name="_Toc487900358"/>
      <w:bookmarkStart w:id="721" w:name="_Toc13154"/>
      <w:bookmarkStart w:id="722" w:name="_Toc3982"/>
      <w:bookmarkStart w:id="723" w:name="_Toc18990"/>
      <w:bookmarkStart w:id="724" w:name="_Toc23530"/>
      <w:bookmarkStart w:id="725" w:name="_Toc25982"/>
      <w:bookmarkStart w:id="726" w:name="_Toc23122"/>
      <w:bookmarkStart w:id="727" w:name="_Toc9514"/>
      <w:bookmarkStart w:id="728" w:name="_Toc18186"/>
      <w:bookmarkStart w:id="729" w:name="_Toc20627"/>
      <w:bookmarkStart w:id="730" w:name="_Toc31145"/>
      <w:bookmarkStart w:id="731" w:name="_Toc9498"/>
      <w:bookmarkStart w:id="732" w:name="_Toc23050"/>
      <w:bookmarkStart w:id="733" w:name="_Toc29402"/>
      <w:bookmarkStart w:id="734" w:name="_Toc16163"/>
      <w:bookmarkStart w:id="735" w:name="_Toc30507"/>
      <w:bookmarkStart w:id="736" w:name="_Toc19435"/>
      <w:bookmarkStart w:id="737" w:name="_Toc13467"/>
      <w:r>
        <w:rPr>
          <w:rFonts w:hint="eastAsia" w:ascii="仿宋" w:hAnsi="仿宋" w:eastAsia="仿宋" w:cs="仿宋"/>
          <w:b/>
          <w:sz w:val="24"/>
        </w:rPr>
        <w:t>2.6 技术资料</w:t>
      </w:r>
      <w:bookmarkEnd w:id="715"/>
      <w:bookmarkEnd w:id="716"/>
      <w:bookmarkEnd w:id="717"/>
      <w:bookmarkEnd w:id="718"/>
      <w:bookmarkEnd w:id="719"/>
      <w:bookmarkEnd w:id="720"/>
      <w:r>
        <w:rPr>
          <w:rFonts w:hint="eastAsia" w:ascii="仿宋" w:hAnsi="仿宋" w:eastAsia="仿宋" w:cs="仿宋"/>
          <w:b/>
          <w:sz w:val="24"/>
        </w:rPr>
        <w:t>和保密义务</w:t>
      </w:r>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p>
    <w:p w14:paraId="24D415A7">
      <w:pPr>
        <w:spacing w:line="400" w:lineRule="exact"/>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30E78BFC">
      <w:pPr>
        <w:spacing w:line="400" w:lineRule="exact"/>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14:paraId="276ECD14">
      <w:pPr>
        <w:spacing w:line="400" w:lineRule="exact"/>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7A5FF6D">
      <w:pPr>
        <w:spacing w:line="400" w:lineRule="exact"/>
        <w:ind w:firstLine="482" w:firstLineChars="200"/>
        <w:outlineLvl w:val="1"/>
        <w:rPr>
          <w:rFonts w:ascii="仿宋" w:hAnsi="仿宋" w:eastAsia="仿宋" w:cs="仿宋"/>
          <w:b/>
          <w:sz w:val="24"/>
        </w:rPr>
      </w:pPr>
      <w:bookmarkStart w:id="738" w:name="_Toc22614"/>
      <w:bookmarkStart w:id="739" w:name="_Toc1851"/>
      <w:bookmarkStart w:id="740" w:name="_Toc18372"/>
      <w:bookmarkStart w:id="741" w:name="_Toc339"/>
      <w:bookmarkStart w:id="742" w:name="_Toc1948"/>
      <w:bookmarkStart w:id="743" w:name="_Toc13112"/>
      <w:bookmarkStart w:id="744" w:name="_Toc30162"/>
      <w:bookmarkStart w:id="745" w:name="_Toc20114"/>
      <w:bookmarkStart w:id="746" w:name="_Toc24552"/>
      <w:bookmarkStart w:id="747" w:name="_Toc32183"/>
      <w:bookmarkStart w:id="748" w:name="_Toc19735"/>
      <w:bookmarkStart w:id="749" w:name="_Toc15010"/>
      <w:bookmarkStart w:id="750" w:name="_Toc19069"/>
      <w:bookmarkStart w:id="751" w:name="_Toc279701252"/>
      <w:bookmarkStart w:id="752" w:name="_Toc487900362"/>
      <w:bookmarkStart w:id="753" w:name="_Toc259093681"/>
      <w:r>
        <w:rPr>
          <w:rFonts w:hint="eastAsia" w:ascii="仿宋" w:hAnsi="仿宋" w:eastAsia="仿宋" w:cs="仿宋"/>
          <w:b/>
          <w:sz w:val="24"/>
        </w:rPr>
        <w:t>2.7 质量保证</w:t>
      </w:r>
      <w:bookmarkEnd w:id="738"/>
      <w:bookmarkEnd w:id="739"/>
      <w:bookmarkEnd w:id="740"/>
      <w:bookmarkEnd w:id="741"/>
      <w:bookmarkEnd w:id="742"/>
      <w:bookmarkEnd w:id="743"/>
      <w:bookmarkEnd w:id="744"/>
      <w:bookmarkEnd w:id="745"/>
      <w:bookmarkEnd w:id="746"/>
      <w:bookmarkEnd w:id="747"/>
      <w:bookmarkEnd w:id="748"/>
      <w:bookmarkEnd w:id="749"/>
      <w:bookmarkEnd w:id="750"/>
    </w:p>
    <w:p w14:paraId="451C0E0A">
      <w:pPr>
        <w:spacing w:line="400" w:lineRule="exact"/>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5FEE98B3">
      <w:pPr>
        <w:spacing w:line="400" w:lineRule="exact"/>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4C537513">
      <w:pPr>
        <w:spacing w:line="400" w:lineRule="exact"/>
        <w:ind w:firstLine="482" w:firstLineChars="200"/>
        <w:outlineLvl w:val="1"/>
        <w:rPr>
          <w:rFonts w:ascii="仿宋" w:hAnsi="仿宋" w:eastAsia="仿宋" w:cs="仿宋"/>
          <w:b/>
          <w:sz w:val="24"/>
        </w:rPr>
      </w:pPr>
      <w:bookmarkStart w:id="754" w:name="_Toc11272"/>
      <w:bookmarkStart w:id="755" w:name="_Toc14323"/>
      <w:bookmarkStart w:id="756" w:name="_Toc28170"/>
      <w:bookmarkStart w:id="757" w:name="_Toc12050"/>
      <w:bookmarkStart w:id="758" w:name="_Toc11034"/>
      <w:bookmarkStart w:id="759" w:name="_Toc10485"/>
      <w:bookmarkStart w:id="760" w:name="_Toc22267"/>
      <w:bookmarkStart w:id="761" w:name="_Toc8481"/>
      <w:bookmarkStart w:id="762" w:name="_Toc22198"/>
      <w:bookmarkStart w:id="763" w:name="_Toc7710"/>
      <w:bookmarkStart w:id="764" w:name="_Toc1263"/>
      <w:bookmarkStart w:id="765" w:name="_Toc10063"/>
      <w:bookmarkStart w:id="766" w:name="_Toc32424"/>
      <w:r>
        <w:rPr>
          <w:rFonts w:hint="eastAsia" w:ascii="仿宋" w:hAnsi="仿宋" w:eastAsia="仿宋" w:cs="仿宋"/>
          <w:b/>
          <w:sz w:val="24"/>
        </w:rPr>
        <w:t>2.8 延迟</w:t>
      </w:r>
      <w:bookmarkEnd w:id="751"/>
      <w:bookmarkEnd w:id="752"/>
      <w:bookmarkEnd w:id="753"/>
      <w:r>
        <w:rPr>
          <w:rFonts w:hint="eastAsia" w:ascii="仿宋" w:hAnsi="仿宋" w:eastAsia="仿宋" w:cs="仿宋"/>
          <w:b/>
          <w:sz w:val="24"/>
        </w:rPr>
        <w:t>履行</w:t>
      </w:r>
      <w:bookmarkEnd w:id="754"/>
      <w:bookmarkEnd w:id="755"/>
      <w:bookmarkEnd w:id="756"/>
      <w:bookmarkEnd w:id="757"/>
      <w:bookmarkEnd w:id="758"/>
      <w:bookmarkEnd w:id="759"/>
      <w:bookmarkEnd w:id="760"/>
      <w:bookmarkEnd w:id="761"/>
      <w:bookmarkEnd w:id="762"/>
      <w:bookmarkEnd w:id="763"/>
      <w:bookmarkEnd w:id="764"/>
      <w:bookmarkEnd w:id="765"/>
      <w:bookmarkEnd w:id="766"/>
    </w:p>
    <w:p w14:paraId="64441AA9">
      <w:pPr>
        <w:spacing w:line="400" w:lineRule="exact"/>
        <w:ind w:firstLine="480" w:firstLineChars="200"/>
        <w:rPr>
          <w:rFonts w:ascii="仿宋" w:hAnsi="仿宋" w:eastAsia="仿宋" w:cs="仿宋"/>
          <w:sz w:val="24"/>
        </w:rPr>
      </w:pPr>
      <w:r>
        <w:rPr>
          <w:rFonts w:hint="eastAsia" w:ascii="仿宋" w:hAnsi="仿宋" w:eastAsia="仿宋" w:cs="仿宋"/>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E01A22F">
      <w:pPr>
        <w:spacing w:line="400" w:lineRule="exact"/>
        <w:ind w:firstLine="482" w:firstLineChars="200"/>
        <w:outlineLvl w:val="1"/>
        <w:rPr>
          <w:rFonts w:ascii="仿宋" w:hAnsi="仿宋" w:eastAsia="仿宋" w:cs="仿宋"/>
          <w:b/>
          <w:sz w:val="24"/>
        </w:rPr>
      </w:pPr>
      <w:bookmarkStart w:id="767" w:name="_Toc28004"/>
      <w:bookmarkStart w:id="768" w:name="_Toc25613"/>
      <w:bookmarkStart w:id="769" w:name="_Toc3758"/>
      <w:bookmarkStart w:id="770" w:name="_Toc12190"/>
      <w:bookmarkStart w:id="771" w:name="_Toc3810"/>
      <w:bookmarkStart w:id="772" w:name="_Toc20254"/>
      <w:bookmarkStart w:id="773" w:name="_Toc10750"/>
      <w:bookmarkStart w:id="774" w:name="_Toc13183"/>
      <w:bookmarkStart w:id="775" w:name="_Toc10611"/>
      <w:bookmarkStart w:id="776" w:name="_Toc27101"/>
      <w:bookmarkStart w:id="777" w:name="_Toc13769"/>
      <w:bookmarkStart w:id="778" w:name="_Toc28758"/>
      <w:bookmarkStart w:id="779" w:name="_Toc12112"/>
      <w:bookmarkStart w:id="780" w:name="_Toc487900364"/>
      <w:bookmarkStart w:id="781" w:name="_Toc259093683"/>
      <w:bookmarkStart w:id="782" w:name="_Ref467378121"/>
      <w:bookmarkStart w:id="783" w:name="_Toc279701254"/>
      <w:r>
        <w:rPr>
          <w:rFonts w:hint="eastAsia" w:ascii="仿宋" w:hAnsi="仿宋" w:eastAsia="仿宋" w:cs="仿宋"/>
          <w:b/>
          <w:sz w:val="24"/>
        </w:rPr>
        <w:t>2.9 合同变更</w:t>
      </w:r>
      <w:bookmarkEnd w:id="767"/>
      <w:bookmarkEnd w:id="768"/>
      <w:bookmarkEnd w:id="769"/>
      <w:bookmarkEnd w:id="770"/>
      <w:bookmarkEnd w:id="771"/>
      <w:bookmarkEnd w:id="772"/>
      <w:bookmarkEnd w:id="773"/>
      <w:bookmarkEnd w:id="774"/>
      <w:bookmarkEnd w:id="775"/>
      <w:bookmarkEnd w:id="776"/>
      <w:bookmarkEnd w:id="777"/>
      <w:bookmarkEnd w:id="778"/>
      <w:bookmarkEnd w:id="779"/>
    </w:p>
    <w:p w14:paraId="65F0FAE1">
      <w:pPr>
        <w:spacing w:line="400" w:lineRule="exact"/>
        <w:ind w:firstLine="480" w:firstLineChars="200"/>
        <w:rPr>
          <w:rFonts w:ascii="仿宋" w:hAnsi="仿宋" w:eastAsia="仿宋" w:cs="仿宋"/>
          <w:sz w:val="24"/>
        </w:rPr>
      </w:pPr>
      <w:r>
        <w:rPr>
          <w:rFonts w:hint="eastAsia" w:ascii="仿宋" w:hAnsi="仿宋" w:eastAsia="仿宋" w:cs="仿宋"/>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5DBACE5D">
      <w:pPr>
        <w:spacing w:line="400" w:lineRule="exact"/>
        <w:ind w:firstLine="480" w:firstLineChars="200"/>
        <w:rPr>
          <w:rFonts w:ascii="仿宋" w:hAnsi="仿宋" w:eastAsia="仿宋" w:cs="仿宋"/>
          <w:sz w:val="24"/>
        </w:rPr>
      </w:pPr>
      <w:r>
        <w:rPr>
          <w:rFonts w:hint="eastAsia" w:ascii="仿宋" w:hAnsi="仿宋" w:eastAsia="仿宋" w:cs="仿宋"/>
          <w:sz w:val="24"/>
        </w:rPr>
        <w:t>2.9.2 合同继续履行将损害国家利益和社会公共利益的，双方当事人应当以书面形式变更合同。有过错的一方应当承担赔偿责任，双方当事人都有过错的，各自承担相应的责任。</w:t>
      </w:r>
      <w:bookmarkStart w:id="784" w:name="_Toc279701259"/>
      <w:bookmarkStart w:id="785" w:name="_Toc487900369"/>
      <w:bookmarkStart w:id="786" w:name="_Toc259093688"/>
    </w:p>
    <w:p w14:paraId="23C77D9C">
      <w:pPr>
        <w:spacing w:line="400" w:lineRule="exact"/>
        <w:ind w:firstLine="482" w:firstLineChars="200"/>
        <w:outlineLvl w:val="1"/>
        <w:rPr>
          <w:rFonts w:ascii="仿宋" w:hAnsi="仿宋" w:eastAsia="仿宋" w:cs="仿宋"/>
          <w:b/>
          <w:sz w:val="24"/>
        </w:rPr>
      </w:pPr>
      <w:bookmarkStart w:id="787" w:name="_Toc4195"/>
      <w:bookmarkStart w:id="788" w:name="_Toc6143"/>
      <w:bookmarkStart w:id="789" w:name="_Toc10663"/>
      <w:bookmarkStart w:id="790" w:name="_Toc6424"/>
      <w:bookmarkStart w:id="791" w:name="_Toc14972"/>
      <w:bookmarkStart w:id="792" w:name="_Toc16011"/>
      <w:bookmarkStart w:id="793" w:name="_Toc23368"/>
      <w:bookmarkStart w:id="794" w:name="_Toc17116"/>
      <w:bookmarkStart w:id="795" w:name="_Toc18298"/>
      <w:bookmarkStart w:id="796" w:name="_Toc25814"/>
      <w:bookmarkStart w:id="797" w:name="_Toc26689"/>
      <w:bookmarkStart w:id="798" w:name="_Toc8222"/>
      <w:bookmarkStart w:id="799" w:name="_Toc42"/>
      <w:bookmarkStart w:id="800" w:name="_Toc21830"/>
      <w:bookmarkStart w:id="801" w:name="_Toc28640"/>
      <w:bookmarkStart w:id="802" w:name="_Toc30446"/>
      <w:bookmarkStart w:id="803" w:name="_Toc24271"/>
      <w:r>
        <w:rPr>
          <w:rFonts w:hint="eastAsia" w:ascii="仿宋" w:hAnsi="仿宋" w:eastAsia="仿宋" w:cs="仿宋"/>
          <w:b/>
          <w:sz w:val="24"/>
        </w:rPr>
        <w:t>2.10 合同转让</w:t>
      </w:r>
      <w:bookmarkEnd w:id="784"/>
      <w:bookmarkEnd w:id="785"/>
      <w:bookmarkEnd w:id="786"/>
      <w:r>
        <w:rPr>
          <w:rFonts w:hint="eastAsia" w:ascii="仿宋" w:hAnsi="仿宋" w:eastAsia="仿宋" w:cs="仿宋"/>
          <w:b/>
          <w:sz w:val="24"/>
        </w:rPr>
        <w:t>和分包</w:t>
      </w:r>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p>
    <w:p w14:paraId="494488BD">
      <w:pPr>
        <w:spacing w:line="400" w:lineRule="exact"/>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8906204">
      <w:pPr>
        <w:spacing w:line="400" w:lineRule="exact"/>
        <w:ind w:firstLine="482" w:firstLineChars="200"/>
        <w:outlineLvl w:val="1"/>
        <w:rPr>
          <w:rFonts w:ascii="仿宋" w:hAnsi="仿宋" w:eastAsia="仿宋" w:cs="仿宋"/>
          <w:b/>
          <w:sz w:val="24"/>
        </w:rPr>
      </w:pPr>
      <w:bookmarkStart w:id="804" w:name="_Toc9462"/>
      <w:bookmarkStart w:id="805" w:name="_Toc26633"/>
      <w:bookmarkStart w:id="806" w:name="_Toc14371"/>
      <w:bookmarkStart w:id="807" w:name="_Toc15171"/>
      <w:bookmarkStart w:id="808" w:name="_Toc19998"/>
      <w:bookmarkStart w:id="809" w:name="_Toc25571"/>
      <w:bookmarkStart w:id="810" w:name="_Toc31065"/>
      <w:bookmarkStart w:id="811" w:name="_Toc4720"/>
      <w:bookmarkStart w:id="812" w:name="_Toc23855"/>
      <w:bookmarkStart w:id="813" w:name="_Toc8431"/>
      <w:bookmarkStart w:id="814" w:name="_Toc32622"/>
      <w:bookmarkStart w:id="815" w:name="_Toc30847"/>
      <w:bookmarkStart w:id="816" w:name="_Toc9705"/>
      <w:bookmarkStart w:id="817" w:name="_Toc24708"/>
      <w:bookmarkStart w:id="818" w:name="_Toc32494"/>
      <w:bookmarkStart w:id="819" w:name="_Toc10912"/>
      <w:bookmarkStart w:id="820" w:name="_Toc10203"/>
      <w:r>
        <w:rPr>
          <w:rFonts w:hint="eastAsia" w:ascii="仿宋" w:hAnsi="仿宋" w:eastAsia="仿宋" w:cs="仿宋"/>
          <w:b/>
          <w:sz w:val="24"/>
        </w:rPr>
        <w:t>2.11 不可抗力</w:t>
      </w:r>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p>
    <w:p w14:paraId="0871FF5C">
      <w:pPr>
        <w:spacing w:line="400" w:lineRule="exact"/>
        <w:ind w:firstLine="480" w:firstLineChars="200"/>
        <w:rPr>
          <w:rFonts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5045446D">
      <w:pPr>
        <w:spacing w:line="400" w:lineRule="exact"/>
        <w:ind w:firstLine="480" w:firstLineChars="200"/>
        <w:rPr>
          <w:rFonts w:ascii="仿宋" w:hAnsi="仿宋" w:eastAsia="仿宋" w:cs="仿宋"/>
          <w:sz w:val="24"/>
        </w:rPr>
      </w:pPr>
      <w:r>
        <w:rPr>
          <w:rFonts w:hint="eastAsia" w:ascii="仿宋" w:hAnsi="仿宋" w:eastAsia="仿宋" w:cs="仿宋"/>
          <w:sz w:val="24"/>
        </w:rPr>
        <w:t>2.11.2 因不可抗力致使不能实现合同目的的，当事人可以解除合同；</w:t>
      </w:r>
    </w:p>
    <w:p w14:paraId="0F17E291">
      <w:pPr>
        <w:spacing w:line="400" w:lineRule="exact"/>
        <w:ind w:firstLine="480" w:firstLineChars="200"/>
        <w:rPr>
          <w:rFonts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527BD892">
      <w:pPr>
        <w:spacing w:line="400" w:lineRule="exact"/>
        <w:ind w:firstLine="480" w:firstLineChars="200"/>
        <w:rPr>
          <w:rFonts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50AC9FA6">
      <w:pPr>
        <w:spacing w:line="400" w:lineRule="exact"/>
        <w:ind w:firstLine="482" w:firstLineChars="200"/>
        <w:outlineLvl w:val="1"/>
        <w:rPr>
          <w:rFonts w:ascii="仿宋" w:hAnsi="仿宋" w:eastAsia="仿宋" w:cs="仿宋"/>
          <w:b/>
          <w:sz w:val="24"/>
        </w:rPr>
      </w:pPr>
      <w:bookmarkStart w:id="821" w:name="_Toc32181"/>
      <w:bookmarkStart w:id="822" w:name="_Toc1959"/>
      <w:bookmarkStart w:id="823" w:name="_Toc25783"/>
      <w:bookmarkStart w:id="824" w:name="_Toc6743"/>
      <w:bookmarkStart w:id="825" w:name="_Toc23373"/>
      <w:bookmarkStart w:id="826" w:name="_Toc219"/>
      <w:bookmarkStart w:id="827" w:name="_Toc24622"/>
      <w:bookmarkStart w:id="828" w:name="_Toc14370"/>
      <w:bookmarkStart w:id="829" w:name="_Toc259093684"/>
      <w:bookmarkStart w:id="830" w:name="_Toc17127"/>
      <w:bookmarkStart w:id="831" w:name="_Toc487900365"/>
      <w:bookmarkStart w:id="832" w:name="_Toc24465"/>
      <w:bookmarkStart w:id="833" w:name="_Toc15000"/>
      <w:bookmarkStart w:id="834" w:name="_Toc3156"/>
      <w:bookmarkStart w:id="835" w:name="_Toc14115"/>
      <w:bookmarkStart w:id="836" w:name="_Toc23854"/>
      <w:bookmarkStart w:id="837" w:name="_Toc279701255"/>
      <w:bookmarkStart w:id="838" w:name="_Toc11275"/>
      <w:bookmarkStart w:id="839" w:name="_Toc12690"/>
      <w:bookmarkStart w:id="840" w:name="_Toc3638"/>
      <w:r>
        <w:rPr>
          <w:rFonts w:hint="eastAsia" w:ascii="仿宋" w:hAnsi="仿宋" w:eastAsia="仿宋" w:cs="仿宋"/>
          <w:b/>
          <w:sz w:val="24"/>
        </w:rPr>
        <w:t>2.12 税费</w:t>
      </w:r>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p>
    <w:p w14:paraId="0ECCF1F4">
      <w:pPr>
        <w:spacing w:line="400" w:lineRule="exact"/>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7BD6A72E">
      <w:pPr>
        <w:spacing w:line="400" w:lineRule="exact"/>
        <w:ind w:firstLine="482" w:firstLineChars="200"/>
        <w:outlineLvl w:val="1"/>
        <w:rPr>
          <w:rFonts w:ascii="仿宋" w:hAnsi="仿宋" w:eastAsia="仿宋" w:cs="仿宋"/>
          <w:b/>
          <w:sz w:val="24"/>
        </w:rPr>
      </w:pPr>
      <w:bookmarkStart w:id="841" w:name="_Toc487900368"/>
      <w:bookmarkStart w:id="842" w:name="_Toc19880"/>
      <w:bookmarkStart w:id="843" w:name="_Toc30105"/>
      <w:bookmarkStart w:id="844" w:name="_Toc25525"/>
      <w:bookmarkStart w:id="845" w:name="_Toc15966"/>
      <w:bookmarkStart w:id="846" w:name="_Toc11989"/>
      <w:bookmarkStart w:id="847" w:name="_Toc279701258"/>
      <w:bookmarkStart w:id="848" w:name="_Toc14494"/>
      <w:bookmarkStart w:id="849" w:name="_Toc4896"/>
      <w:bookmarkStart w:id="850" w:name="_Toc26883"/>
      <w:bookmarkStart w:id="851" w:name="_Toc14814"/>
      <w:bookmarkStart w:id="852" w:name="_Toc27492"/>
      <w:bookmarkStart w:id="853" w:name="_Toc24809"/>
      <w:bookmarkStart w:id="854" w:name="_Toc12415"/>
      <w:bookmarkStart w:id="855" w:name="_Toc3759"/>
      <w:bookmarkStart w:id="856" w:name="_Toc31237"/>
      <w:bookmarkStart w:id="857" w:name="_Toc259093687"/>
      <w:bookmarkStart w:id="858" w:name="_Toc7315"/>
      <w:bookmarkStart w:id="859" w:name="_Toc10398"/>
      <w:bookmarkStart w:id="860" w:name="_Toc5894"/>
      <w:r>
        <w:rPr>
          <w:rFonts w:hint="eastAsia" w:ascii="仿宋" w:hAnsi="仿宋" w:eastAsia="仿宋" w:cs="仿宋"/>
          <w:b/>
          <w:sz w:val="24"/>
        </w:rPr>
        <w:t>2.13 乙方破产</w:t>
      </w:r>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p>
    <w:p w14:paraId="633692DA">
      <w:pPr>
        <w:spacing w:line="400" w:lineRule="exact"/>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44568B9">
      <w:pPr>
        <w:spacing w:line="400" w:lineRule="exact"/>
        <w:ind w:firstLine="482" w:firstLineChars="200"/>
        <w:outlineLvl w:val="1"/>
        <w:rPr>
          <w:rFonts w:ascii="仿宋" w:hAnsi="仿宋" w:eastAsia="仿宋" w:cs="仿宋"/>
          <w:b/>
          <w:sz w:val="24"/>
        </w:rPr>
      </w:pPr>
      <w:bookmarkStart w:id="861" w:name="_Toc6032"/>
      <w:bookmarkStart w:id="862" w:name="_Toc15650"/>
      <w:bookmarkStart w:id="863" w:name="_Toc16867"/>
      <w:bookmarkStart w:id="864" w:name="_Toc23323"/>
      <w:bookmarkStart w:id="865" w:name="_Toc8069"/>
      <w:bookmarkStart w:id="866" w:name="_Toc26320"/>
      <w:bookmarkStart w:id="867" w:name="_Toc1675"/>
      <w:bookmarkStart w:id="868" w:name="_Toc18650"/>
      <w:bookmarkStart w:id="869" w:name="_Toc4845"/>
      <w:bookmarkStart w:id="870" w:name="_Toc7880"/>
      <w:bookmarkStart w:id="871" w:name="_Toc2016"/>
      <w:bookmarkStart w:id="872" w:name="_Toc13023"/>
      <w:bookmarkStart w:id="873" w:name="_Toc25092"/>
      <w:bookmarkStart w:id="874" w:name="_Toc1123"/>
      <w:bookmarkStart w:id="875" w:name="_Toc31298"/>
      <w:r>
        <w:rPr>
          <w:rFonts w:hint="eastAsia" w:ascii="仿宋" w:hAnsi="仿宋" w:eastAsia="仿宋" w:cs="仿宋"/>
          <w:b/>
          <w:sz w:val="24"/>
        </w:rPr>
        <w:t>2.14 合同中止、终止</w:t>
      </w:r>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p>
    <w:p w14:paraId="33A12329">
      <w:pPr>
        <w:spacing w:line="400" w:lineRule="exact"/>
        <w:ind w:firstLine="480" w:firstLineChars="200"/>
        <w:rPr>
          <w:rFonts w:ascii="仿宋" w:hAnsi="仿宋" w:eastAsia="仿宋" w:cs="仿宋"/>
          <w:sz w:val="24"/>
        </w:rPr>
      </w:pPr>
      <w:r>
        <w:rPr>
          <w:rFonts w:hint="eastAsia" w:ascii="仿宋" w:hAnsi="仿宋" w:eastAsia="仿宋" w:cs="仿宋"/>
          <w:sz w:val="24"/>
        </w:rPr>
        <w:t>2.14.1 双方当事人不得擅自中止或者终止合同；</w:t>
      </w:r>
    </w:p>
    <w:p w14:paraId="146C1E59">
      <w:pPr>
        <w:spacing w:line="400" w:lineRule="exact"/>
        <w:ind w:firstLine="480" w:firstLineChars="200"/>
        <w:rPr>
          <w:rFonts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7F01E25C">
      <w:pPr>
        <w:spacing w:line="400" w:lineRule="exact"/>
        <w:ind w:firstLine="482" w:firstLineChars="200"/>
        <w:outlineLvl w:val="1"/>
        <w:rPr>
          <w:rFonts w:ascii="仿宋" w:hAnsi="仿宋" w:eastAsia="仿宋" w:cs="仿宋"/>
          <w:b/>
          <w:sz w:val="24"/>
        </w:rPr>
      </w:pPr>
      <w:bookmarkStart w:id="876" w:name="_Toc30002"/>
      <w:bookmarkStart w:id="877" w:name="_Toc12981"/>
      <w:bookmarkStart w:id="878" w:name="_Toc17363"/>
      <w:bookmarkStart w:id="879" w:name="_Toc15334"/>
      <w:bookmarkStart w:id="880" w:name="_Toc22355"/>
      <w:bookmarkStart w:id="881" w:name="_Toc295"/>
      <w:bookmarkStart w:id="882" w:name="_Toc1969"/>
      <w:bookmarkStart w:id="883" w:name="_Toc25753"/>
      <w:bookmarkStart w:id="884" w:name="_Toc12473"/>
      <w:bookmarkStart w:id="885" w:name="_Toc14525"/>
      <w:bookmarkStart w:id="886" w:name="_Toc16529"/>
      <w:bookmarkStart w:id="887" w:name="_Toc22475"/>
      <w:bookmarkStart w:id="888" w:name="_Toc31348"/>
      <w:bookmarkStart w:id="889" w:name="_Toc25815"/>
      <w:bookmarkStart w:id="890" w:name="_Toc14653"/>
      <w:r>
        <w:rPr>
          <w:rFonts w:hint="eastAsia" w:ascii="仿宋" w:hAnsi="仿宋" w:eastAsia="仿宋" w:cs="仿宋"/>
          <w:b/>
          <w:sz w:val="24"/>
        </w:rPr>
        <w:t>2.15 检验和验收</w:t>
      </w:r>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p>
    <w:p w14:paraId="51583C0A">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4F4A5732">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4AB207F">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780"/>
    <w:bookmarkEnd w:id="781"/>
    <w:bookmarkEnd w:id="782"/>
    <w:bookmarkEnd w:id="783"/>
    <w:p w14:paraId="00AA5C97">
      <w:pPr>
        <w:spacing w:line="400" w:lineRule="exact"/>
        <w:ind w:firstLine="482" w:firstLineChars="200"/>
        <w:outlineLvl w:val="1"/>
        <w:rPr>
          <w:rFonts w:ascii="仿宋" w:hAnsi="仿宋" w:eastAsia="仿宋" w:cs="仿宋"/>
          <w:b/>
          <w:sz w:val="24"/>
        </w:rPr>
      </w:pPr>
      <w:bookmarkStart w:id="891" w:name="_Toc259093690"/>
      <w:bookmarkStart w:id="892" w:name="_Toc279701261"/>
      <w:bookmarkStart w:id="893" w:name="_Toc487900371"/>
      <w:bookmarkStart w:id="894" w:name="_Toc10819"/>
      <w:bookmarkStart w:id="895" w:name="_Toc12666"/>
      <w:bookmarkStart w:id="896" w:name="_Toc13486"/>
      <w:bookmarkStart w:id="897" w:name="_Toc22987"/>
      <w:bookmarkStart w:id="898" w:name="_Toc2308"/>
      <w:bookmarkStart w:id="899" w:name="_Toc13544"/>
      <w:bookmarkStart w:id="900" w:name="_Toc31892"/>
      <w:bookmarkStart w:id="901" w:name="_Toc166"/>
      <w:bookmarkStart w:id="902" w:name="_Toc9808"/>
      <w:bookmarkStart w:id="903" w:name="_Toc23448"/>
      <w:bookmarkStart w:id="904" w:name="_Toc6307"/>
      <w:bookmarkStart w:id="905" w:name="_Toc25198"/>
      <w:bookmarkStart w:id="906" w:name="_Toc29667"/>
      <w:bookmarkStart w:id="907" w:name="_Toc10525"/>
      <w:bookmarkStart w:id="908" w:name="_Toc1691"/>
      <w:bookmarkStart w:id="909" w:name="_Toc26095"/>
      <w:bookmarkStart w:id="910" w:name="_Toc3309"/>
      <w:r>
        <w:rPr>
          <w:rFonts w:hint="eastAsia" w:ascii="仿宋" w:hAnsi="仿宋" w:eastAsia="仿宋" w:cs="仿宋"/>
          <w:b/>
          <w:sz w:val="24"/>
        </w:rPr>
        <w:t>2.16 通知</w:t>
      </w:r>
      <w:bookmarkEnd w:id="891"/>
      <w:bookmarkEnd w:id="892"/>
      <w:bookmarkEnd w:id="893"/>
      <w:r>
        <w:rPr>
          <w:rFonts w:hint="eastAsia" w:ascii="仿宋" w:hAnsi="仿宋" w:eastAsia="仿宋" w:cs="仿宋"/>
          <w:b/>
          <w:sz w:val="24"/>
        </w:rPr>
        <w:t>和送达</w:t>
      </w:r>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p>
    <w:p w14:paraId="0ACB5935">
      <w:pPr>
        <w:spacing w:line="400" w:lineRule="exact"/>
        <w:ind w:firstLine="480" w:firstLineChars="200"/>
        <w:rPr>
          <w:rFonts w:ascii="仿宋" w:hAnsi="仿宋" w:eastAsia="仿宋" w:cs="仿宋"/>
          <w:sz w:val="24"/>
        </w:rPr>
      </w:pPr>
      <w:bookmarkStart w:id="911" w:name="_Toc29220"/>
      <w:bookmarkStart w:id="912" w:name="_Toc7073"/>
      <w:bookmarkStart w:id="913" w:name="_Toc279701262"/>
      <w:bookmarkStart w:id="914" w:name="_Toc487900372"/>
      <w:bookmarkStart w:id="915" w:name="_Toc259093691"/>
      <w:r>
        <w:rPr>
          <w:rFonts w:hint="eastAsia" w:ascii="仿宋" w:hAnsi="仿宋" w:eastAsia="仿宋" w:cs="仿宋"/>
          <w:sz w:val="24"/>
        </w:rPr>
        <w:t>2.16.1 任何一方因履行合同而以合同第一部分尾部所列明的</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 xml:space="preserve">   </w:t>
      </w:r>
      <w:r>
        <w:rPr>
          <w:rFonts w:hint="eastAsia" w:ascii="仿宋" w:hAnsi="仿宋" w:eastAsia="仿宋" w:cs="仿宋"/>
          <w:sz w:val="24"/>
        </w:rPr>
        <w:t>个工作日内书面通知对方当事人，在对方当事人收到有关变更通知之前，变更前的约定送达方式或者地址仍视为有效。</w:t>
      </w:r>
      <w:bookmarkEnd w:id="911"/>
      <w:bookmarkEnd w:id="912"/>
    </w:p>
    <w:p w14:paraId="71F17BB8">
      <w:pPr>
        <w:spacing w:line="400" w:lineRule="exact"/>
        <w:ind w:firstLine="480" w:firstLineChars="200"/>
        <w:rPr>
          <w:rFonts w:ascii="仿宋" w:hAnsi="仿宋" w:eastAsia="仿宋" w:cs="仿宋"/>
          <w:sz w:val="24"/>
        </w:rPr>
      </w:pPr>
      <w:bookmarkStart w:id="916" w:name="_Toc27674"/>
      <w:bookmarkStart w:id="917" w:name="_Toc18401"/>
      <w:r>
        <w:rPr>
          <w:rFonts w:hint="eastAsia" w:ascii="仿宋" w:hAnsi="仿宋" w:eastAsia="仿宋" w:cs="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916"/>
      <w:bookmarkEnd w:id="917"/>
    </w:p>
    <w:bookmarkEnd w:id="913"/>
    <w:bookmarkEnd w:id="914"/>
    <w:bookmarkEnd w:id="915"/>
    <w:p w14:paraId="3C398752">
      <w:pPr>
        <w:spacing w:line="400" w:lineRule="exact"/>
        <w:ind w:firstLine="482" w:firstLineChars="200"/>
        <w:outlineLvl w:val="1"/>
        <w:rPr>
          <w:rFonts w:ascii="仿宋" w:hAnsi="仿宋" w:eastAsia="仿宋" w:cs="仿宋"/>
          <w:b/>
          <w:sz w:val="24"/>
        </w:rPr>
      </w:pPr>
      <w:bookmarkStart w:id="918" w:name="_Toc7739"/>
      <w:bookmarkStart w:id="919" w:name="_Toc18929"/>
      <w:bookmarkStart w:id="920" w:name="_Toc4407"/>
      <w:bookmarkStart w:id="921" w:name="_Toc12254"/>
      <w:bookmarkStart w:id="922" w:name="_Toc5063"/>
      <w:bookmarkStart w:id="923" w:name="_Toc20808"/>
      <w:bookmarkStart w:id="924" w:name="_Toc18708"/>
      <w:bookmarkStart w:id="925" w:name="_Toc13433"/>
      <w:bookmarkStart w:id="926" w:name="_Toc10103"/>
      <w:bookmarkStart w:id="927" w:name="_Toc556"/>
      <w:bookmarkStart w:id="928" w:name="_Toc27644"/>
      <w:bookmarkStart w:id="929" w:name="_Toc1846"/>
      <w:bookmarkStart w:id="930" w:name="_Toc16009"/>
      <w:bookmarkStart w:id="931" w:name="_Toc7566"/>
      <w:bookmarkStart w:id="932" w:name="_Toc259093692"/>
      <w:bookmarkStart w:id="933" w:name="_Toc31615"/>
      <w:bookmarkStart w:id="934" w:name="_Toc487900373"/>
      <w:bookmarkStart w:id="935" w:name="_Toc279701263"/>
      <w:bookmarkStart w:id="936" w:name="_Toc28906"/>
      <w:bookmarkStart w:id="937" w:name="_Toc18906"/>
      <w:r>
        <w:rPr>
          <w:rFonts w:hint="eastAsia" w:ascii="仿宋" w:hAnsi="仿宋" w:eastAsia="仿宋" w:cs="仿宋"/>
          <w:b/>
          <w:sz w:val="24"/>
        </w:rPr>
        <w:t>2.17 合同使用的文字和适用的法律</w:t>
      </w:r>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p>
    <w:p w14:paraId="481F358D">
      <w:pPr>
        <w:spacing w:line="400" w:lineRule="exact"/>
        <w:ind w:firstLine="480" w:firstLineChars="200"/>
        <w:rPr>
          <w:rFonts w:ascii="仿宋" w:hAnsi="仿宋" w:eastAsia="仿宋" w:cs="仿宋"/>
          <w:sz w:val="24"/>
        </w:rPr>
      </w:pPr>
      <w:r>
        <w:rPr>
          <w:rFonts w:hint="eastAsia" w:ascii="仿宋" w:hAnsi="仿宋" w:eastAsia="仿宋" w:cs="仿宋"/>
          <w:sz w:val="24"/>
        </w:rPr>
        <w:t>2.17.1 合同使用汉语书就、变更和解释；</w:t>
      </w:r>
    </w:p>
    <w:p w14:paraId="5F0145BF">
      <w:pPr>
        <w:spacing w:line="400" w:lineRule="exact"/>
        <w:ind w:firstLine="480" w:firstLineChars="200"/>
        <w:rPr>
          <w:rFonts w:ascii="仿宋" w:hAnsi="仿宋" w:eastAsia="仿宋" w:cs="仿宋"/>
          <w:sz w:val="24"/>
        </w:rPr>
      </w:pPr>
      <w:r>
        <w:rPr>
          <w:rFonts w:hint="eastAsia" w:ascii="仿宋" w:hAnsi="仿宋" w:eastAsia="仿宋" w:cs="仿宋"/>
          <w:sz w:val="24"/>
        </w:rPr>
        <w:t>2.17.2 合同适用中华人民共和国法律。</w:t>
      </w:r>
    </w:p>
    <w:p w14:paraId="262DFA81">
      <w:pPr>
        <w:spacing w:line="400" w:lineRule="exact"/>
        <w:ind w:firstLine="482" w:firstLineChars="200"/>
        <w:outlineLvl w:val="1"/>
        <w:rPr>
          <w:rFonts w:ascii="仿宋" w:hAnsi="仿宋" w:eastAsia="仿宋" w:cs="仿宋"/>
          <w:b/>
          <w:sz w:val="24"/>
        </w:rPr>
      </w:pPr>
      <w:bookmarkStart w:id="938" w:name="_Toc31884"/>
      <w:bookmarkStart w:id="939" w:name="_Toc27403"/>
      <w:bookmarkStart w:id="940" w:name="_Toc32540"/>
      <w:bookmarkStart w:id="941" w:name="_Toc8695"/>
      <w:bookmarkStart w:id="942" w:name="_Toc30096"/>
      <w:bookmarkStart w:id="943" w:name="_Toc20271"/>
      <w:bookmarkStart w:id="944" w:name="_Toc279701264"/>
      <w:bookmarkStart w:id="945" w:name="_Toc27127"/>
      <w:bookmarkStart w:id="946" w:name="_Toc20559"/>
      <w:bookmarkStart w:id="947" w:name="_Toc259093693"/>
      <w:bookmarkStart w:id="948" w:name="_Toc22266"/>
      <w:bookmarkStart w:id="949" w:name="_Toc26691"/>
      <w:bookmarkStart w:id="950" w:name="_Toc15033"/>
      <w:bookmarkStart w:id="951" w:name="_Toc30312"/>
      <w:bookmarkStart w:id="952" w:name="_Toc18902"/>
      <w:bookmarkStart w:id="953" w:name="_Toc1492"/>
      <w:bookmarkStart w:id="954" w:name="_Toc7323"/>
      <w:bookmarkStart w:id="955" w:name="_Toc13680"/>
      <w:bookmarkStart w:id="956" w:name="_Toc32512"/>
      <w:bookmarkStart w:id="957" w:name="_Toc487900374"/>
      <w:r>
        <w:rPr>
          <w:rFonts w:hint="eastAsia" w:ascii="仿宋" w:hAnsi="仿宋" w:eastAsia="仿宋" w:cs="仿宋"/>
          <w:b/>
          <w:sz w:val="24"/>
        </w:rPr>
        <w:t>2.18 履约保证金</w:t>
      </w:r>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p>
    <w:p w14:paraId="356999BB">
      <w:pPr>
        <w:spacing w:line="400" w:lineRule="exact"/>
        <w:ind w:firstLine="480" w:firstLineChars="200"/>
        <w:rPr>
          <w:rFonts w:ascii="仿宋" w:hAnsi="仿宋" w:eastAsia="仿宋" w:cs="仿宋"/>
          <w:sz w:val="24"/>
        </w:rPr>
      </w:pPr>
      <w:r>
        <w:rPr>
          <w:rFonts w:hint="eastAsia" w:ascii="仿宋" w:hAnsi="仿宋" w:eastAsia="仿宋" w:cs="仿宋"/>
          <w:sz w:val="24"/>
        </w:rPr>
        <w:t>2.18.1 采购文件要求乙方提交履约保证金的，乙方应按</w:t>
      </w:r>
      <w:r>
        <w:rPr>
          <w:rFonts w:hint="eastAsia" w:ascii="仿宋" w:hAnsi="仿宋" w:eastAsia="仿宋" w:cs="仿宋"/>
          <w:b/>
          <w:i/>
          <w:sz w:val="24"/>
          <w:u w:val="single"/>
        </w:rPr>
        <w:t>合同专用条款</w:t>
      </w:r>
      <w:r>
        <w:rPr>
          <w:rFonts w:hint="eastAsia" w:ascii="仿宋" w:hAnsi="仿宋" w:eastAsia="仿宋" w:cs="仿宋"/>
          <w:sz w:val="24"/>
        </w:rPr>
        <w:t>约定的方式，以支票、汇票、本票或者金融机构、担保机构出具的保函等非现金形式，提交不超过合同价10%的履约保证金；</w:t>
      </w:r>
    </w:p>
    <w:p w14:paraId="070CFC6C">
      <w:pPr>
        <w:spacing w:line="400" w:lineRule="exact"/>
        <w:ind w:firstLine="480" w:firstLineChars="200"/>
        <w:rPr>
          <w:rFonts w:ascii="仿宋" w:hAnsi="仿宋" w:eastAsia="仿宋" w:cs="仿宋"/>
          <w:sz w:val="24"/>
        </w:rPr>
      </w:pPr>
      <w:r>
        <w:rPr>
          <w:rFonts w:hint="eastAsia" w:ascii="仿宋" w:hAnsi="仿宋" w:eastAsia="仿宋" w:cs="仿宋"/>
          <w:sz w:val="24"/>
        </w:rPr>
        <w:t>2.18.2 履约保证金在</w:t>
      </w:r>
      <w:r>
        <w:rPr>
          <w:rFonts w:hint="eastAsia" w:ascii="仿宋" w:hAnsi="仿宋" w:eastAsia="仿宋" w:cs="仿宋"/>
          <w:b/>
          <w:i/>
          <w:sz w:val="24"/>
          <w:u w:val="single"/>
        </w:rPr>
        <w:t>合同专用条款</w:t>
      </w:r>
      <w:r>
        <w:rPr>
          <w:rFonts w:hint="eastAsia" w:ascii="仿宋" w:hAnsi="仿宋" w:eastAsia="仿宋" w:cs="仿宋"/>
          <w:sz w:val="24"/>
        </w:rPr>
        <w:t>约定期间内不予退还或者应完全有效，前述约定期间届满之日起</w:t>
      </w:r>
      <w:r>
        <w:rPr>
          <w:rFonts w:hint="eastAsia" w:ascii="仿宋" w:hAnsi="仿宋" w:eastAsia="仿宋" w:cs="仿宋"/>
          <w:sz w:val="24"/>
          <w:u w:val="single"/>
        </w:rPr>
        <w:t xml:space="preserve">    </w:t>
      </w:r>
      <w:r>
        <w:rPr>
          <w:rFonts w:hint="eastAsia" w:ascii="仿宋" w:hAnsi="仿宋" w:eastAsia="仿宋" w:cs="仿宋"/>
          <w:sz w:val="24"/>
        </w:rPr>
        <w:t>个工作日内，甲方应将履约保证金退还乙方；</w:t>
      </w:r>
    </w:p>
    <w:p w14:paraId="7F88B102">
      <w:pPr>
        <w:spacing w:line="400" w:lineRule="exact"/>
        <w:ind w:firstLine="480" w:firstLineChars="200"/>
        <w:rPr>
          <w:rFonts w:ascii="仿宋" w:hAnsi="仿宋" w:eastAsia="仿宋" w:cs="仿宋"/>
          <w:sz w:val="24"/>
        </w:rPr>
      </w:pPr>
      <w:r>
        <w:rPr>
          <w:rFonts w:hint="eastAsia" w:ascii="仿宋" w:hAnsi="仿宋" w:eastAsia="仿宋" w:cs="仿宋"/>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957"/>
    <w:p w14:paraId="69B0F527">
      <w:pPr>
        <w:spacing w:line="400" w:lineRule="exact"/>
        <w:ind w:firstLine="482" w:firstLineChars="200"/>
        <w:outlineLvl w:val="1"/>
        <w:rPr>
          <w:rFonts w:ascii="仿宋" w:hAnsi="仿宋" w:eastAsia="仿宋" w:cs="仿宋"/>
          <w:b/>
          <w:sz w:val="24"/>
        </w:rPr>
      </w:pPr>
      <w:bookmarkStart w:id="958" w:name="_Toc17313"/>
      <w:bookmarkStart w:id="959" w:name="_Toc28046"/>
      <w:r>
        <w:rPr>
          <w:rFonts w:hint="eastAsia" w:ascii="仿宋" w:hAnsi="仿宋" w:eastAsia="仿宋" w:cs="仿宋"/>
          <w:b/>
          <w:sz w:val="24"/>
        </w:rPr>
        <w:t>2.19 合同份数</w:t>
      </w:r>
      <w:bookmarkEnd w:id="958"/>
      <w:bookmarkEnd w:id="959"/>
    </w:p>
    <w:p w14:paraId="39D83E6F">
      <w:pPr>
        <w:spacing w:line="400" w:lineRule="exact"/>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bookmarkStart w:id="960" w:name="_Toc331685784"/>
    </w:p>
    <w:p w14:paraId="1B1C6FFA">
      <w:pPr>
        <w:spacing w:line="400" w:lineRule="exact"/>
        <w:ind w:firstLine="422" w:firstLineChars="200"/>
        <w:outlineLvl w:val="0"/>
        <w:rPr>
          <w:rFonts w:ascii="仿宋" w:hAnsi="仿宋" w:eastAsia="仿宋" w:cs="仿宋"/>
          <w:b/>
        </w:rPr>
      </w:pPr>
      <w:bookmarkStart w:id="961" w:name="_Toc1911"/>
      <w:bookmarkStart w:id="962" w:name="_Toc29326"/>
      <w:bookmarkStart w:id="963" w:name="_Toc6468"/>
      <w:r>
        <w:rPr>
          <w:rFonts w:hint="eastAsia" w:ascii="仿宋" w:hAnsi="仿宋" w:eastAsia="仿宋" w:cs="仿宋"/>
          <w:b/>
        </w:rPr>
        <w:t>第三部分  合同专用条款</w:t>
      </w:r>
      <w:bookmarkEnd w:id="960"/>
      <w:bookmarkEnd w:id="961"/>
      <w:bookmarkEnd w:id="962"/>
      <w:bookmarkEnd w:id="963"/>
    </w:p>
    <w:p w14:paraId="10818FB8">
      <w:pPr>
        <w:spacing w:line="400" w:lineRule="exact"/>
        <w:ind w:firstLine="480" w:firstLineChars="200"/>
        <w:rPr>
          <w:rFonts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50851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54C4B438">
            <w:pPr>
              <w:keepNext w:val="0"/>
              <w:keepLines w:val="0"/>
              <w:suppressLineNumbers w:val="0"/>
              <w:spacing w:before="0" w:beforeAutospacing="0" w:after="0" w:afterAutospacing="0" w:line="400" w:lineRule="exact"/>
              <w:ind w:left="0" w:right="0"/>
              <w:jc w:val="center"/>
              <w:rPr>
                <w:rFonts w:ascii="仿宋" w:hAnsi="仿宋" w:eastAsia="仿宋" w:cs="仿宋"/>
                <w:b/>
                <w:sz w:val="24"/>
              </w:rPr>
            </w:pPr>
            <w:r>
              <w:rPr>
                <w:rFonts w:hint="eastAsia" w:ascii="仿宋" w:hAnsi="仿宋" w:eastAsia="仿宋" w:cs="仿宋"/>
                <w:b/>
                <w:sz w:val="24"/>
              </w:rPr>
              <w:t>条款号</w:t>
            </w:r>
          </w:p>
        </w:tc>
        <w:tc>
          <w:tcPr>
            <w:tcW w:w="7633" w:type="dxa"/>
            <w:vAlign w:val="center"/>
          </w:tcPr>
          <w:p w14:paraId="1B9D978E">
            <w:pPr>
              <w:keepNext w:val="0"/>
              <w:keepLines w:val="0"/>
              <w:suppressLineNumbers w:val="0"/>
              <w:spacing w:before="0" w:beforeAutospacing="0" w:after="0" w:afterAutospacing="0" w:line="400" w:lineRule="exact"/>
              <w:ind w:left="0" w:right="0"/>
              <w:jc w:val="center"/>
              <w:rPr>
                <w:rFonts w:ascii="仿宋" w:hAnsi="仿宋" w:eastAsia="仿宋" w:cs="仿宋"/>
                <w:b/>
                <w:sz w:val="24"/>
              </w:rPr>
            </w:pPr>
            <w:r>
              <w:rPr>
                <w:rFonts w:hint="eastAsia" w:ascii="仿宋" w:hAnsi="仿宋" w:eastAsia="仿宋" w:cs="仿宋"/>
                <w:b/>
                <w:sz w:val="24"/>
              </w:rPr>
              <w:t>约定内容</w:t>
            </w:r>
          </w:p>
        </w:tc>
      </w:tr>
      <w:tr w14:paraId="10AFA5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10E60F8B">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26B6529C">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2353C4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5AD0605">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415CA120">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497BA9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382ACF0">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0C28967D">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5FB8AB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384C4B9">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362D253F">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2ED897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21DE309">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62F8C4DD">
            <w:pPr>
              <w:keepNext w:val="0"/>
              <w:keepLines w:val="0"/>
              <w:suppressLineNumbers w:val="0"/>
              <w:spacing w:before="0" w:beforeAutospacing="0" w:after="0" w:afterAutospacing="0" w:line="400" w:lineRule="exact"/>
              <w:ind w:left="0" w:right="0"/>
              <w:rPr>
                <w:rFonts w:ascii="仿宋" w:hAnsi="仿宋" w:eastAsia="仿宋" w:cs="仿宋"/>
                <w:sz w:val="24"/>
                <w:u w:val="single"/>
              </w:rPr>
            </w:pPr>
          </w:p>
        </w:tc>
      </w:tr>
      <w:tr w14:paraId="31166A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9B69A08">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2F3E6E00">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2F37B7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51473EB">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7265A328">
            <w:pPr>
              <w:keepNext w:val="0"/>
              <w:keepLines w:val="0"/>
              <w:suppressLineNumbers w:val="0"/>
              <w:spacing w:before="0" w:beforeAutospacing="0" w:after="0" w:afterAutospacing="0" w:line="400" w:lineRule="exact"/>
              <w:ind w:left="0" w:right="0"/>
              <w:rPr>
                <w:rFonts w:ascii="仿宋" w:hAnsi="仿宋" w:eastAsia="仿宋" w:cs="仿宋"/>
                <w:sz w:val="24"/>
                <w:u w:val="single"/>
              </w:rPr>
            </w:pPr>
          </w:p>
        </w:tc>
      </w:tr>
      <w:tr w14:paraId="32F98A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39CF749">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6F6CAF93">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4FBD51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3C759EF">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1E472171">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4501B0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C7C460C">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403BAFA3">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55C224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CC86B76">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21C13924">
            <w:pPr>
              <w:keepNext w:val="0"/>
              <w:keepLines w:val="0"/>
              <w:suppressLineNumbers w:val="0"/>
              <w:spacing w:before="0" w:beforeAutospacing="0" w:after="0" w:afterAutospacing="0" w:line="400" w:lineRule="exact"/>
              <w:ind w:left="0" w:right="0"/>
              <w:rPr>
                <w:rFonts w:ascii="仿宋" w:hAnsi="仿宋" w:eastAsia="仿宋" w:cs="仿宋"/>
                <w:sz w:val="24"/>
              </w:rPr>
            </w:pPr>
          </w:p>
        </w:tc>
      </w:tr>
      <w:tr w14:paraId="5A4CF1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44C723E">
            <w:pPr>
              <w:keepNext w:val="0"/>
              <w:keepLines w:val="0"/>
              <w:suppressLineNumbers w:val="0"/>
              <w:spacing w:before="0" w:beforeAutospacing="0" w:after="0" w:afterAutospacing="0" w:line="400" w:lineRule="exact"/>
              <w:ind w:left="0" w:right="0"/>
              <w:rPr>
                <w:rFonts w:ascii="仿宋" w:hAnsi="仿宋" w:eastAsia="仿宋" w:cs="仿宋"/>
                <w:sz w:val="24"/>
              </w:rPr>
            </w:pPr>
          </w:p>
        </w:tc>
        <w:tc>
          <w:tcPr>
            <w:tcW w:w="7633" w:type="dxa"/>
            <w:vAlign w:val="center"/>
          </w:tcPr>
          <w:p w14:paraId="135B683E">
            <w:pPr>
              <w:keepNext w:val="0"/>
              <w:keepLines w:val="0"/>
              <w:suppressLineNumbers w:val="0"/>
              <w:spacing w:before="0" w:beforeAutospacing="0" w:after="0" w:afterAutospacing="0" w:line="400" w:lineRule="exact"/>
              <w:ind w:left="0" w:right="0"/>
              <w:rPr>
                <w:rFonts w:ascii="仿宋" w:hAnsi="仿宋" w:eastAsia="仿宋" w:cs="仿宋"/>
                <w:sz w:val="24"/>
              </w:rPr>
            </w:pPr>
          </w:p>
        </w:tc>
      </w:tr>
    </w:tbl>
    <w:p w14:paraId="50B432B8"/>
    <w:p w14:paraId="25A331E2">
      <w:pPr>
        <w:rPr>
          <w:rFonts w:hint="eastAsia" w:ascii="仿宋" w:hAnsi="仿宋" w:eastAsia="仿宋" w:cs="仿宋"/>
          <w:color w:val="auto"/>
          <w:highlight w:val="none"/>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Noto Sans Mono CJK JP Regular">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AE96A">
    <w:pPr>
      <w:tabs>
        <w:tab w:val="center" w:pos="4153"/>
        <w:tab w:val="right" w:pos="8306"/>
      </w:tabs>
      <w:ind w:right="360" w:firstLine="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9D5B6">
    <w:pPr>
      <w:tabs>
        <w:tab w:val="center" w:pos="4153"/>
        <w:tab w:val="right" w:pos="8306"/>
      </w:tabs>
      <w:ind w:right="360"/>
      <w:jc w:val="both"/>
      <w:rPr>
        <w:rFonts w:hint="eastAsia"/>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E9386">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29E9386">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40E3D">
    <w:pPr>
      <w:tabs>
        <w:tab w:val="center" w:pos="4153"/>
        <w:tab w:val="right" w:pos="8306"/>
      </w:tabs>
      <w:ind w:right="360"/>
      <w:jc w:val="both"/>
      <w:rPr>
        <w:rFonts w:hint="eastAsia"/>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79A98E">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579A98E">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00B49">
    <w:pPr>
      <w:pStyle w:val="22"/>
      <w:ind w:right="360" w:firstLine="360"/>
      <w:jc w:val="right"/>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19618">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2719618">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CD317">
    <w:pPr>
      <w:pStyle w:val="22"/>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A39C03">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FA39C03">
                    <w:pPr>
                      <w:pStyle w:val="22"/>
                    </w:pPr>
                    <w:r>
                      <w:fldChar w:fldCharType="begin"/>
                    </w:r>
                    <w:r>
                      <w:instrText xml:space="preserve"> PAGE  \* MERGEFORMAT </w:instrText>
                    </w:r>
                    <w:r>
                      <w:fldChar w:fldCharType="separate"/>
                    </w:r>
                    <w:r>
                      <w:t>40</w:t>
                    </w:r>
                    <w:r>
                      <w:fldChar w:fldCharType="end"/>
                    </w:r>
                  </w:p>
                </w:txbxContent>
              </v:textbox>
            </v:shape>
          </w:pict>
        </mc:Fallback>
      </mc:AlternateContent>
    </w:r>
  </w:p>
  <w:p w14:paraId="5D2EDB11">
    <w:pPr>
      <w:pStyle w:val="22"/>
      <w:ind w:right="360"/>
      <w:jc w:val="right"/>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B53BD">
    <w:pPr>
      <w:tabs>
        <w:tab w:val="center" w:pos="4153"/>
        <w:tab w:val="right" w:pos="8306"/>
      </w:tabs>
      <w:jc w:val="cente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608D57">
                          <w:pPr>
                            <w:pStyle w:val="2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E608D57">
                    <w:pPr>
                      <w:pStyle w:val="22"/>
                    </w:pPr>
                    <w:r>
                      <w:fldChar w:fldCharType="begin"/>
                    </w:r>
                    <w:r>
                      <w:instrText xml:space="preserve"> PAGE  \* MERGEFORMAT </w:instrText>
                    </w:r>
                    <w:r>
                      <w:fldChar w:fldCharType="separate"/>
                    </w:r>
                    <w:r>
                      <w:t>54</w:t>
                    </w:r>
                    <w:r>
                      <w:fldChar w:fldCharType="end"/>
                    </w:r>
                  </w:p>
                </w:txbxContent>
              </v:textbox>
            </v:shape>
          </w:pict>
        </mc:Fallback>
      </mc:AlternateContent>
    </w:r>
  </w:p>
  <w:p w14:paraId="4B12D65B">
    <w:pPr>
      <w:tabs>
        <w:tab w:val="center" w:pos="4153"/>
        <w:tab w:val="right" w:pos="8306"/>
      </w:tabs>
      <w:ind w:right="360"/>
      <w:jc w:val="right"/>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FD020">
    <w:pPr>
      <w:pStyle w:val="12"/>
      <w:spacing w:line="14" w:lineRule="auto"/>
      <w:rPr>
        <w:sz w:val="12"/>
      </w:rPr>
    </w:pPr>
    <w:r>
      <w:rPr>
        <w:sz w:val="12"/>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A4B8B1">
                          <w:pPr>
                            <w:pStyle w:val="2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9A4B8B1">
                    <w:pPr>
                      <w:pStyle w:val="2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E5A95">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214E5">
    <w:pPr>
      <w:pStyle w:val="2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73E11">
    <w:pPr>
      <w:pStyle w:val="23"/>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2B000">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E304E"/>
    <w:multiLevelType w:val="singleLevel"/>
    <w:tmpl w:val="885E304E"/>
    <w:lvl w:ilvl="0" w:tentative="0">
      <w:start w:val="6"/>
      <w:numFmt w:val="chineseCounting"/>
      <w:suff w:val="nothing"/>
      <w:lvlText w:val="%1、"/>
      <w:lvlJc w:val="left"/>
      <w:rPr>
        <w:rFonts w:hint="eastAsia"/>
      </w:rPr>
    </w:lvl>
  </w:abstractNum>
  <w:abstractNum w:abstractNumId="1">
    <w:nsid w:val="9518D06E"/>
    <w:multiLevelType w:val="singleLevel"/>
    <w:tmpl w:val="9518D06E"/>
    <w:lvl w:ilvl="0" w:tentative="0">
      <w:start w:val="1"/>
      <w:numFmt w:val="decimal"/>
      <w:suff w:val="nothing"/>
      <w:lvlText w:val="%1、"/>
      <w:lvlJc w:val="left"/>
    </w:lvl>
  </w:abstractNum>
  <w:abstractNum w:abstractNumId="2">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3">
    <w:nsid w:val="051423B4"/>
    <w:multiLevelType w:val="singleLevel"/>
    <w:tmpl w:val="051423B4"/>
    <w:lvl w:ilvl="0" w:tentative="0">
      <w:start w:val="8"/>
      <w:numFmt w:val="decimal"/>
      <w:suff w:val="nothing"/>
      <w:lvlText w:val="%1）"/>
      <w:lvlJc w:val="left"/>
    </w:lvl>
  </w:abstractNum>
  <w:abstractNum w:abstractNumId="4">
    <w:nsid w:val="0C02CDE8"/>
    <w:multiLevelType w:val="singleLevel"/>
    <w:tmpl w:val="0C02CDE8"/>
    <w:lvl w:ilvl="0" w:tentative="0">
      <w:start w:val="1"/>
      <w:numFmt w:val="chineseCounting"/>
      <w:suff w:val="nothing"/>
      <w:lvlText w:val="（%1）"/>
      <w:lvlJc w:val="left"/>
      <w:rPr>
        <w:rFonts w:hint="eastAsia"/>
      </w:rPr>
    </w:lvl>
  </w:abstractNum>
  <w:abstractNum w:abstractNumId="5">
    <w:nsid w:val="155E6A8F"/>
    <w:multiLevelType w:val="multilevel"/>
    <w:tmpl w:val="155E6A8F"/>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6">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362600FE"/>
    <w:multiLevelType w:val="multilevel"/>
    <w:tmpl w:val="362600FE"/>
    <w:lvl w:ilvl="0" w:tentative="0">
      <w:start w:val="1"/>
      <w:numFmt w:val="decimal"/>
      <w:lvlText w:val="（%1）"/>
      <w:lvlJc w:val="left"/>
      <w:pPr>
        <w:ind w:left="1653" w:hanging="601"/>
      </w:pPr>
      <w:rPr>
        <w:rFonts w:hint="default" w:ascii="宋体" w:hAnsi="宋体" w:eastAsia="宋体" w:cs="宋体"/>
        <w:w w:val="100"/>
        <w:sz w:val="22"/>
        <w:szCs w:val="22"/>
      </w:rPr>
    </w:lvl>
    <w:lvl w:ilvl="1" w:tentative="0">
      <w:start w:val="0"/>
      <w:numFmt w:val="bullet"/>
      <w:lvlText w:val="•"/>
      <w:lvlJc w:val="left"/>
      <w:pPr>
        <w:ind w:left="2566" w:hanging="601"/>
      </w:pPr>
      <w:rPr>
        <w:rFonts w:hint="default"/>
      </w:rPr>
    </w:lvl>
    <w:lvl w:ilvl="2" w:tentative="0">
      <w:start w:val="0"/>
      <w:numFmt w:val="bullet"/>
      <w:lvlText w:val="•"/>
      <w:lvlJc w:val="left"/>
      <w:pPr>
        <w:ind w:left="3473" w:hanging="601"/>
      </w:pPr>
      <w:rPr>
        <w:rFonts w:hint="default"/>
      </w:rPr>
    </w:lvl>
    <w:lvl w:ilvl="3" w:tentative="0">
      <w:start w:val="0"/>
      <w:numFmt w:val="bullet"/>
      <w:lvlText w:val="•"/>
      <w:lvlJc w:val="left"/>
      <w:pPr>
        <w:ind w:left="4380" w:hanging="601"/>
      </w:pPr>
      <w:rPr>
        <w:rFonts w:hint="default"/>
      </w:rPr>
    </w:lvl>
    <w:lvl w:ilvl="4" w:tentative="0">
      <w:start w:val="0"/>
      <w:numFmt w:val="bullet"/>
      <w:lvlText w:val="•"/>
      <w:lvlJc w:val="left"/>
      <w:pPr>
        <w:ind w:left="5286" w:hanging="601"/>
      </w:pPr>
      <w:rPr>
        <w:rFonts w:hint="default"/>
      </w:rPr>
    </w:lvl>
    <w:lvl w:ilvl="5" w:tentative="0">
      <w:start w:val="0"/>
      <w:numFmt w:val="bullet"/>
      <w:lvlText w:val="•"/>
      <w:lvlJc w:val="left"/>
      <w:pPr>
        <w:ind w:left="6193" w:hanging="601"/>
      </w:pPr>
      <w:rPr>
        <w:rFonts w:hint="default"/>
      </w:rPr>
    </w:lvl>
    <w:lvl w:ilvl="6" w:tentative="0">
      <w:start w:val="0"/>
      <w:numFmt w:val="bullet"/>
      <w:lvlText w:val="•"/>
      <w:lvlJc w:val="left"/>
      <w:pPr>
        <w:ind w:left="7100" w:hanging="601"/>
      </w:pPr>
      <w:rPr>
        <w:rFonts w:hint="default"/>
      </w:rPr>
    </w:lvl>
    <w:lvl w:ilvl="7" w:tentative="0">
      <w:start w:val="0"/>
      <w:numFmt w:val="bullet"/>
      <w:lvlText w:val="•"/>
      <w:lvlJc w:val="left"/>
      <w:pPr>
        <w:ind w:left="8006" w:hanging="601"/>
      </w:pPr>
      <w:rPr>
        <w:rFonts w:hint="default"/>
      </w:rPr>
    </w:lvl>
    <w:lvl w:ilvl="8" w:tentative="0">
      <w:start w:val="0"/>
      <w:numFmt w:val="bullet"/>
      <w:lvlText w:val="•"/>
      <w:lvlJc w:val="left"/>
      <w:pPr>
        <w:ind w:left="8913" w:hanging="601"/>
      </w:pPr>
      <w:rPr>
        <w:rFonts w:hint="default"/>
      </w:rPr>
    </w:lvl>
  </w:abstractNum>
  <w:abstractNum w:abstractNumId="8">
    <w:nsid w:val="41E6818F"/>
    <w:multiLevelType w:val="singleLevel"/>
    <w:tmpl w:val="41E6818F"/>
    <w:lvl w:ilvl="0" w:tentative="0">
      <w:start w:val="1"/>
      <w:numFmt w:val="decimal"/>
      <w:suff w:val="nothing"/>
      <w:lvlText w:val="%1、"/>
      <w:lvlJc w:val="left"/>
    </w:lvl>
  </w:abstractNum>
  <w:abstractNum w:abstractNumId="9">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1296" w:hanging="244"/>
      </w:pPr>
      <w:rPr>
        <w:rFonts w:hint="default" w:ascii="宋体" w:hAnsi="宋体" w:eastAsia="宋体" w:cs="宋体"/>
        <w:b/>
        <w:bCs/>
        <w:spacing w:val="0"/>
        <w:w w:val="99"/>
        <w:sz w:val="22"/>
        <w:szCs w:val="22"/>
      </w:rPr>
    </w:lvl>
    <w:lvl w:ilvl="2" w:tentative="0">
      <w:start w:val="1"/>
      <w:numFmt w:val="decimal"/>
      <w:lvlText w:val="%2.%3"/>
      <w:lvlJc w:val="left"/>
      <w:pPr>
        <w:ind w:left="1561" w:hanging="423"/>
      </w:pPr>
      <w:rPr>
        <w:rFonts w:hint="default" w:ascii="宋体" w:hAnsi="宋体" w:eastAsia="宋体" w:cs="宋体"/>
        <w:w w:val="100"/>
        <w:sz w:val="24"/>
        <w:szCs w:val="24"/>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0">
    <w:nsid w:val="479B5BBA"/>
    <w:multiLevelType w:val="multilevel"/>
    <w:tmpl w:val="479B5BBA"/>
    <w:lvl w:ilvl="0" w:tentative="0">
      <w:start w:val="1"/>
      <w:numFmt w:val="chineseCountingThousand"/>
      <w:suff w:val="space"/>
      <w:lvlText w:val="第 %1 章"/>
      <w:lvlJc w:val="left"/>
      <w:pPr>
        <w:ind w:left="4543" w:hanging="431"/>
      </w:pPr>
      <w:rPr>
        <w:rFonts w:hint="default" w:ascii="Times New Roman" w:hAnsi="Times New Roman" w:eastAsia="黑体"/>
        <w:b w:val="0"/>
        <w:i w:val="0"/>
        <w:sz w:val="44"/>
      </w:rPr>
    </w:lvl>
    <w:lvl w:ilvl="1" w:tentative="0">
      <w:start w:val="1"/>
      <w:numFmt w:val="decimal"/>
      <w:isLgl/>
      <w:suff w:val="space"/>
      <w:lvlText w:val="%1.%2"/>
      <w:lvlJc w:val="left"/>
      <w:pPr>
        <w:ind w:left="4112" w:hanging="567"/>
      </w:pPr>
      <w:rPr>
        <w:rFonts w:hint="eastAsia" w:ascii="Arial" w:hAnsi="Arial" w:eastAsia="黑体" w:cs="Times New Roman"/>
        <w:b w:val="0"/>
        <w:bCs w:val="0"/>
        <w:i w:val="0"/>
        <w:iCs w:val="0"/>
        <w:caps w:val="0"/>
        <w:smallCaps w:val="0"/>
        <w:strike w:val="0"/>
        <w:dstrike w:val="0"/>
        <w:vanish w:val="0"/>
        <w:color w:val="auto"/>
        <w:spacing w:val="0"/>
        <w:w w:val="100"/>
        <w:kern w:val="2"/>
        <w:position w:val="0"/>
        <w:sz w:val="36"/>
        <w:u w:val="none"/>
        <w:shd w:val="clear" w:color="auto" w:fill="auto"/>
        <w:vertAlign w:val="baseline"/>
      </w:rPr>
    </w:lvl>
    <w:lvl w:ilvl="2" w:tentative="0">
      <w:start w:val="1"/>
      <w:numFmt w:val="decimal"/>
      <w:isLgl/>
      <w:suff w:val="space"/>
      <w:lvlText w:val="%1.%2.%3"/>
      <w:lvlJc w:val="left"/>
      <w:pPr>
        <w:ind w:left="4690" w:hanging="720"/>
      </w:pPr>
      <w:rPr>
        <w:rFonts w:hint="eastAsia" w:ascii="Times New Roman" w:hAnsi="Times New Roman" w:cs="Times New Roman"/>
        <w:b w:val="0"/>
        <w:bCs w:val="0"/>
        <w:i w:val="0"/>
        <w:iCs w:val="0"/>
        <w:caps w:val="0"/>
        <w:smallCaps w:val="0"/>
        <w:strike w:val="0"/>
        <w:dstrike w:val="0"/>
        <w:vanish w:val="0"/>
        <w:color w:val="000000"/>
        <w:spacing w:val="0"/>
        <w:position w:val="0"/>
        <w:u w:val="none"/>
        <w:vertAlign w:val="baseline"/>
      </w:rPr>
    </w:lvl>
    <w:lvl w:ilvl="3" w:tentative="0">
      <w:start w:val="1"/>
      <w:numFmt w:val="decimal"/>
      <w:pStyle w:val="5"/>
      <w:isLgl/>
      <w:suff w:val="space"/>
      <w:lvlText w:val="%1.%2.%3.%4"/>
      <w:lvlJc w:val="left"/>
      <w:pPr>
        <w:ind w:left="2424" w:hanging="864"/>
      </w:pPr>
      <w:rPr>
        <w:rFonts w:hint="default" w:ascii="Arial" w:hAnsi="Arial" w:eastAsia="黑体"/>
        <w:b w:val="0"/>
        <w:i w:val="0"/>
        <w:sz w:val="30"/>
      </w:rPr>
    </w:lvl>
    <w:lvl w:ilvl="4" w:tentative="0">
      <w:start w:val="1"/>
      <w:numFmt w:val="decimal"/>
      <w:pStyle w:val="6"/>
      <w:isLgl/>
      <w:suff w:val="space"/>
      <w:lvlText w:val="%1.%2.%3.%4.%5"/>
      <w:lvlJc w:val="left"/>
      <w:pPr>
        <w:ind w:left="1848" w:hanging="1008"/>
      </w:pPr>
      <w:rPr>
        <w:rFonts w:hint="default" w:ascii="Arial" w:hAnsi="Arial" w:eastAsia="黑体"/>
        <w:b w:val="0"/>
        <w:i w:val="0"/>
        <w:sz w:val="28"/>
      </w:rPr>
    </w:lvl>
    <w:lvl w:ilvl="5" w:tentative="0">
      <w:start w:val="1"/>
      <w:numFmt w:val="decimal"/>
      <w:pStyle w:val="7"/>
      <w:lvlText w:val="%1.%2.%3.%4.%5.%6"/>
      <w:lvlJc w:val="left"/>
      <w:pPr>
        <w:tabs>
          <w:tab w:val="left" w:pos="1992"/>
        </w:tabs>
        <w:ind w:left="1992" w:hanging="1152"/>
      </w:pPr>
      <w:rPr>
        <w:rFonts w:hint="eastAsia"/>
      </w:rPr>
    </w:lvl>
    <w:lvl w:ilvl="6" w:tentative="0">
      <w:start w:val="1"/>
      <w:numFmt w:val="decimal"/>
      <w:lvlText w:val="%1.%2.%3.%4.%5.%6.%7"/>
      <w:lvlJc w:val="left"/>
      <w:pPr>
        <w:tabs>
          <w:tab w:val="left" w:pos="2136"/>
        </w:tabs>
        <w:ind w:left="2136" w:hanging="1296"/>
      </w:pPr>
      <w:rPr>
        <w:rFonts w:hint="eastAsia"/>
      </w:rPr>
    </w:lvl>
    <w:lvl w:ilvl="7" w:tentative="0">
      <w:start w:val="1"/>
      <w:numFmt w:val="decimal"/>
      <w:lvlText w:val="%1.%2.%3.%4.%5.%6.%7.%8"/>
      <w:lvlJc w:val="left"/>
      <w:pPr>
        <w:tabs>
          <w:tab w:val="left" w:pos="2280"/>
        </w:tabs>
        <w:ind w:left="2280" w:hanging="1440"/>
      </w:pPr>
      <w:rPr>
        <w:rFonts w:hint="eastAsia"/>
      </w:rPr>
    </w:lvl>
    <w:lvl w:ilvl="8" w:tentative="0">
      <w:start w:val="1"/>
      <w:numFmt w:val="decimal"/>
      <w:lvlText w:val="%1.%2.%3.%4.%5.%6.%7.%8.%9"/>
      <w:lvlJc w:val="left"/>
      <w:pPr>
        <w:tabs>
          <w:tab w:val="left" w:pos="2424"/>
        </w:tabs>
        <w:ind w:left="2424" w:hanging="1584"/>
      </w:pPr>
      <w:rPr>
        <w:rFonts w:hint="eastAsia"/>
      </w:rPr>
    </w:lvl>
  </w:abstractNum>
  <w:abstractNum w:abstractNumId="11">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2">
    <w:nsid w:val="671A2298"/>
    <w:multiLevelType w:val="multilevel"/>
    <w:tmpl w:val="671A2298"/>
    <w:lvl w:ilvl="0" w:tentative="0">
      <w:start w:val="1"/>
      <w:numFmt w:val="decimal"/>
      <w:lvlText w:val="（%1）"/>
      <w:lvlJc w:val="left"/>
      <w:pPr>
        <w:tabs>
          <w:tab w:val="left" w:pos="1200"/>
        </w:tabs>
        <w:ind w:left="1200" w:hanging="72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6"/>
  </w:num>
  <w:num w:numId="3">
    <w:abstractNumId w:val="11"/>
  </w:num>
  <w:num w:numId="4">
    <w:abstractNumId w:val="2"/>
  </w:num>
  <w:num w:numId="5">
    <w:abstractNumId w:val="5"/>
  </w:num>
  <w:num w:numId="6">
    <w:abstractNumId w:val="4"/>
  </w:num>
  <w:num w:numId="7">
    <w:abstractNumId w:val="3"/>
  </w:num>
  <w:num w:numId="8">
    <w:abstractNumId w:val="0"/>
  </w:num>
  <w:num w:numId="9">
    <w:abstractNumId w:val="9"/>
  </w:num>
  <w:num w:numId="10">
    <w:abstractNumId w:val="12"/>
  </w:num>
  <w:num w:numId="11">
    <w:abstractNumId w:val="7"/>
  </w:num>
  <w:num w:numId="12">
    <w:abstractNumId w:val="8"/>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OTE3ZWYwOTUxY2JkNTJmNzQyMDlmMzk4NDZiNzRjMGEifQ=="/>
    <w:docVar w:name="VTCASE" w:val="4"/>
    <w:docVar w:name="VTCommandPending" w:val="NONE"/>
  </w:docVars>
  <w:rsids>
    <w:rsidRoot w:val="00172A27"/>
    <w:rsid w:val="000004CD"/>
    <w:rsid w:val="00001783"/>
    <w:rsid w:val="00001797"/>
    <w:rsid w:val="0000273B"/>
    <w:rsid w:val="000041A8"/>
    <w:rsid w:val="000055D7"/>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0C6A"/>
    <w:rsid w:val="000612B3"/>
    <w:rsid w:val="00061B68"/>
    <w:rsid w:val="00063750"/>
    <w:rsid w:val="00065379"/>
    <w:rsid w:val="000673C5"/>
    <w:rsid w:val="00070907"/>
    <w:rsid w:val="000719AB"/>
    <w:rsid w:val="00073852"/>
    <w:rsid w:val="00076670"/>
    <w:rsid w:val="00080B56"/>
    <w:rsid w:val="00080FC7"/>
    <w:rsid w:val="00081D11"/>
    <w:rsid w:val="00083115"/>
    <w:rsid w:val="0008460B"/>
    <w:rsid w:val="0009075B"/>
    <w:rsid w:val="00093645"/>
    <w:rsid w:val="000942B7"/>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5071"/>
    <w:rsid w:val="000C55ED"/>
    <w:rsid w:val="000C6F86"/>
    <w:rsid w:val="000D10E4"/>
    <w:rsid w:val="000D1613"/>
    <w:rsid w:val="000D19C1"/>
    <w:rsid w:val="000D4E69"/>
    <w:rsid w:val="000D5125"/>
    <w:rsid w:val="000D7812"/>
    <w:rsid w:val="000E1288"/>
    <w:rsid w:val="000E1925"/>
    <w:rsid w:val="000E3784"/>
    <w:rsid w:val="000E37E0"/>
    <w:rsid w:val="000E47A0"/>
    <w:rsid w:val="000E597F"/>
    <w:rsid w:val="000E5BFC"/>
    <w:rsid w:val="000E5D71"/>
    <w:rsid w:val="000E694F"/>
    <w:rsid w:val="000E7158"/>
    <w:rsid w:val="000E74D4"/>
    <w:rsid w:val="000F2D05"/>
    <w:rsid w:val="000F2EEE"/>
    <w:rsid w:val="000F4234"/>
    <w:rsid w:val="000F6215"/>
    <w:rsid w:val="000F63C8"/>
    <w:rsid w:val="000F6581"/>
    <w:rsid w:val="00102417"/>
    <w:rsid w:val="001032CC"/>
    <w:rsid w:val="00105B0B"/>
    <w:rsid w:val="0011024E"/>
    <w:rsid w:val="00112163"/>
    <w:rsid w:val="00114579"/>
    <w:rsid w:val="00115BF1"/>
    <w:rsid w:val="0012032C"/>
    <w:rsid w:val="0012244B"/>
    <w:rsid w:val="001224B5"/>
    <w:rsid w:val="00122643"/>
    <w:rsid w:val="0012425B"/>
    <w:rsid w:val="001244F8"/>
    <w:rsid w:val="001247F0"/>
    <w:rsid w:val="001252D8"/>
    <w:rsid w:val="001257D4"/>
    <w:rsid w:val="00131E0D"/>
    <w:rsid w:val="0013359E"/>
    <w:rsid w:val="00135135"/>
    <w:rsid w:val="00137694"/>
    <w:rsid w:val="00141EAC"/>
    <w:rsid w:val="00143652"/>
    <w:rsid w:val="0014627C"/>
    <w:rsid w:val="0015142E"/>
    <w:rsid w:val="00157C74"/>
    <w:rsid w:val="00157D8E"/>
    <w:rsid w:val="00161678"/>
    <w:rsid w:val="00161D71"/>
    <w:rsid w:val="00162805"/>
    <w:rsid w:val="00165014"/>
    <w:rsid w:val="001669D4"/>
    <w:rsid w:val="0017180F"/>
    <w:rsid w:val="001733C3"/>
    <w:rsid w:val="00173BFF"/>
    <w:rsid w:val="00174749"/>
    <w:rsid w:val="00174FCA"/>
    <w:rsid w:val="00175AFB"/>
    <w:rsid w:val="00176F12"/>
    <w:rsid w:val="001770BE"/>
    <w:rsid w:val="00177A3E"/>
    <w:rsid w:val="00183E4B"/>
    <w:rsid w:val="00186BF0"/>
    <w:rsid w:val="00187B13"/>
    <w:rsid w:val="00187EB4"/>
    <w:rsid w:val="0019618B"/>
    <w:rsid w:val="00196FA0"/>
    <w:rsid w:val="001A3B44"/>
    <w:rsid w:val="001A4571"/>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292"/>
    <w:rsid w:val="002001DC"/>
    <w:rsid w:val="002032B0"/>
    <w:rsid w:val="00203778"/>
    <w:rsid w:val="0020407A"/>
    <w:rsid w:val="00210AE7"/>
    <w:rsid w:val="002123C7"/>
    <w:rsid w:val="002124BD"/>
    <w:rsid w:val="00213411"/>
    <w:rsid w:val="00216D4F"/>
    <w:rsid w:val="00216E43"/>
    <w:rsid w:val="00220866"/>
    <w:rsid w:val="0022181C"/>
    <w:rsid w:val="002231A4"/>
    <w:rsid w:val="00223245"/>
    <w:rsid w:val="002235CA"/>
    <w:rsid w:val="00224447"/>
    <w:rsid w:val="00224A77"/>
    <w:rsid w:val="0022671D"/>
    <w:rsid w:val="0023090E"/>
    <w:rsid w:val="00231C64"/>
    <w:rsid w:val="00232C22"/>
    <w:rsid w:val="0023318A"/>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FEB"/>
    <w:rsid w:val="00264327"/>
    <w:rsid w:val="002650F1"/>
    <w:rsid w:val="00266403"/>
    <w:rsid w:val="00266406"/>
    <w:rsid w:val="002679CA"/>
    <w:rsid w:val="00272722"/>
    <w:rsid w:val="0027349C"/>
    <w:rsid w:val="002745E7"/>
    <w:rsid w:val="002760AC"/>
    <w:rsid w:val="00276E33"/>
    <w:rsid w:val="00277935"/>
    <w:rsid w:val="00277E8E"/>
    <w:rsid w:val="00280DD6"/>
    <w:rsid w:val="00282496"/>
    <w:rsid w:val="00283033"/>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449"/>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10C52"/>
    <w:rsid w:val="0031140B"/>
    <w:rsid w:val="00314E3D"/>
    <w:rsid w:val="00317120"/>
    <w:rsid w:val="003171BB"/>
    <w:rsid w:val="0032100C"/>
    <w:rsid w:val="003212C2"/>
    <w:rsid w:val="00321921"/>
    <w:rsid w:val="00321926"/>
    <w:rsid w:val="00327707"/>
    <w:rsid w:val="0033060D"/>
    <w:rsid w:val="003318F3"/>
    <w:rsid w:val="00331ECA"/>
    <w:rsid w:val="00333919"/>
    <w:rsid w:val="00334F3E"/>
    <w:rsid w:val="003379AF"/>
    <w:rsid w:val="00337C5C"/>
    <w:rsid w:val="00343E4C"/>
    <w:rsid w:val="00351550"/>
    <w:rsid w:val="003528B8"/>
    <w:rsid w:val="00352BC8"/>
    <w:rsid w:val="00355D82"/>
    <w:rsid w:val="00356CAF"/>
    <w:rsid w:val="003612A6"/>
    <w:rsid w:val="003671F3"/>
    <w:rsid w:val="00367712"/>
    <w:rsid w:val="00367C88"/>
    <w:rsid w:val="00367DB2"/>
    <w:rsid w:val="00370B19"/>
    <w:rsid w:val="00371C8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6A66"/>
    <w:rsid w:val="003A0E06"/>
    <w:rsid w:val="003A1A69"/>
    <w:rsid w:val="003A37B8"/>
    <w:rsid w:val="003A582F"/>
    <w:rsid w:val="003A6B66"/>
    <w:rsid w:val="003A6B72"/>
    <w:rsid w:val="003B020F"/>
    <w:rsid w:val="003B3917"/>
    <w:rsid w:val="003B41D9"/>
    <w:rsid w:val="003B4356"/>
    <w:rsid w:val="003B5422"/>
    <w:rsid w:val="003B643A"/>
    <w:rsid w:val="003B7293"/>
    <w:rsid w:val="003B7D7E"/>
    <w:rsid w:val="003C0EF3"/>
    <w:rsid w:val="003C53B2"/>
    <w:rsid w:val="003C6422"/>
    <w:rsid w:val="003C6C9A"/>
    <w:rsid w:val="003D6961"/>
    <w:rsid w:val="003E2C77"/>
    <w:rsid w:val="003E2C89"/>
    <w:rsid w:val="003E3C14"/>
    <w:rsid w:val="003E6516"/>
    <w:rsid w:val="003E747A"/>
    <w:rsid w:val="003F0149"/>
    <w:rsid w:val="003F11BD"/>
    <w:rsid w:val="003F417C"/>
    <w:rsid w:val="003F4748"/>
    <w:rsid w:val="003F61AC"/>
    <w:rsid w:val="00401267"/>
    <w:rsid w:val="00401B70"/>
    <w:rsid w:val="00402836"/>
    <w:rsid w:val="0040298F"/>
    <w:rsid w:val="0040367C"/>
    <w:rsid w:val="00404B23"/>
    <w:rsid w:val="00405154"/>
    <w:rsid w:val="004109B8"/>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504F2"/>
    <w:rsid w:val="00450C1F"/>
    <w:rsid w:val="00455240"/>
    <w:rsid w:val="0045705D"/>
    <w:rsid w:val="00457AEF"/>
    <w:rsid w:val="0046046C"/>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EC9"/>
    <w:rsid w:val="00494ECE"/>
    <w:rsid w:val="00495251"/>
    <w:rsid w:val="00495B0C"/>
    <w:rsid w:val="004963A5"/>
    <w:rsid w:val="004A1759"/>
    <w:rsid w:val="004A2275"/>
    <w:rsid w:val="004A3872"/>
    <w:rsid w:val="004A3AC0"/>
    <w:rsid w:val="004A42D0"/>
    <w:rsid w:val="004A4ED0"/>
    <w:rsid w:val="004A6F61"/>
    <w:rsid w:val="004B0706"/>
    <w:rsid w:val="004B22B1"/>
    <w:rsid w:val="004B46E5"/>
    <w:rsid w:val="004B6542"/>
    <w:rsid w:val="004B72A3"/>
    <w:rsid w:val="004C1E33"/>
    <w:rsid w:val="004C6870"/>
    <w:rsid w:val="004D29A3"/>
    <w:rsid w:val="004D4D48"/>
    <w:rsid w:val="004D5250"/>
    <w:rsid w:val="004D6AD9"/>
    <w:rsid w:val="004E0517"/>
    <w:rsid w:val="004E0C12"/>
    <w:rsid w:val="004E13F0"/>
    <w:rsid w:val="004E4854"/>
    <w:rsid w:val="004E5FCE"/>
    <w:rsid w:val="004F036B"/>
    <w:rsid w:val="004F052D"/>
    <w:rsid w:val="004F0E54"/>
    <w:rsid w:val="004F7B7E"/>
    <w:rsid w:val="00500138"/>
    <w:rsid w:val="00501785"/>
    <w:rsid w:val="00503724"/>
    <w:rsid w:val="00504E3C"/>
    <w:rsid w:val="00507AD5"/>
    <w:rsid w:val="00513F7C"/>
    <w:rsid w:val="005149B8"/>
    <w:rsid w:val="005168FA"/>
    <w:rsid w:val="005175C0"/>
    <w:rsid w:val="00520001"/>
    <w:rsid w:val="00521717"/>
    <w:rsid w:val="0052391C"/>
    <w:rsid w:val="0052393A"/>
    <w:rsid w:val="00523EB0"/>
    <w:rsid w:val="00530C3F"/>
    <w:rsid w:val="00532B1D"/>
    <w:rsid w:val="00533524"/>
    <w:rsid w:val="00534347"/>
    <w:rsid w:val="00540C55"/>
    <w:rsid w:val="00542227"/>
    <w:rsid w:val="005422EB"/>
    <w:rsid w:val="0054426F"/>
    <w:rsid w:val="0054508F"/>
    <w:rsid w:val="00546F3A"/>
    <w:rsid w:val="005475C6"/>
    <w:rsid w:val="00550C61"/>
    <w:rsid w:val="00552FBA"/>
    <w:rsid w:val="00554D9D"/>
    <w:rsid w:val="00555A82"/>
    <w:rsid w:val="00556C52"/>
    <w:rsid w:val="0056008C"/>
    <w:rsid w:val="00570A8A"/>
    <w:rsid w:val="00571BE1"/>
    <w:rsid w:val="0057268E"/>
    <w:rsid w:val="00573C95"/>
    <w:rsid w:val="005750B7"/>
    <w:rsid w:val="005806C7"/>
    <w:rsid w:val="00582CA5"/>
    <w:rsid w:val="00582FE9"/>
    <w:rsid w:val="0058511B"/>
    <w:rsid w:val="005852AF"/>
    <w:rsid w:val="00586FEC"/>
    <w:rsid w:val="00586FF5"/>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54AE"/>
    <w:rsid w:val="00606661"/>
    <w:rsid w:val="00610597"/>
    <w:rsid w:val="00612A91"/>
    <w:rsid w:val="00615BD4"/>
    <w:rsid w:val="006176D9"/>
    <w:rsid w:val="0062063C"/>
    <w:rsid w:val="00621EEA"/>
    <w:rsid w:val="00622049"/>
    <w:rsid w:val="006267AC"/>
    <w:rsid w:val="006275F8"/>
    <w:rsid w:val="00630C8F"/>
    <w:rsid w:val="0063126C"/>
    <w:rsid w:val="006321D9"/>
    <w:rsid w:val="00635ACD"/>
    <w:rsid w:val="00645991"/>
    <w:rsid w:val="00645F9B"/>
    <w:rsid w:val="006462F4"/>
    <w:rsid w:val="00646C7B"/>
    <w:rsid w:val="00653EEF"/>
    <w:rsid w:val="00656DB1"/>
    <w:rsid w:val="0065706C"/>
    <w:rsid w:val="006570F3"/>
    <w:rsid w:val="006574CA"/>
    <w:rsid w:val="00661709"/>
    <w:rsid w:val="00663087"/>
    <w:rsid w:val="00666E6E"/>
    <w:rsid w:val="00667926"/>
    <w:rsid w:val="00672A07"/>
    <w:rsid w:val="00672A3D"/>
    <w:rsid w:val="00673284"/>
    <w:rsid w:val="00673C56"/>
    <w:rsid w:val="00674E3C"/>
    <w:rsid w:val="00684218"/>
    <w:rsid w:val="00684A17"/>
    <w:rsid w:val="0068548A"/>
    <w:rsid w:val="00686ACA"/>
    <w:rsid w:val="006904AF"/>
    <w:rsid w:val="006911F9"/>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B81"/>
    <w:rsid w:val="006C517C"/>
    <w:rsid w:val="006C5CAA"/>
    <w:rsid w:val="006C6855"/>
    <w:rsid w:val="006C7F43"/>
    <w:rsid w:val="006D0CE9"/>
    <w:rsid w:val="006D16F3"/>
    <w:rsid w:val="006D49E3"/>
    <w:rsid w:val="006D4C2C"/>
    <w:rsid w:val="006D62FF"/>
    <w:rsid w:val="006E019F"/>
    <w:rsid w:val="006E18C4"/>
    <w:rsid w:val="006E3E50"/>
    <w:rsid w:val="006E402A"/>
    <w:rsid w:val="006E525F"/>
    <w:rsid w:val="006E74F5"/>
    <w:rsid w:val="006E7DCA"/>
    <w:rsid w:val="006F03B7"/>
    <w:rsid w:val="006F2035"/>
    <w:rsid w:val="006F28EE"/>
    <w:rsid w:val="006F42C2"/>
    <w:rsid w:val="006F602A"/>
    <w:rsid w:val="006F7412"/>
    <w:rsid w:val="00704E65"/>
    <w:rsid w:val="0071025E"/>
    <w:rsid w:val="007105A5"/>
    <w:rsid w:val="00710B8D"/>
    <w:rsid w:val="00712CF9"/>
    <w:rsid w:val="00713024"/>
    <w:rsid w:val="00713EA1"/>
    <w:rsid w:val="00715D6B"/>
    <w:rsid w:val="00717F6B"/>
    <w:rsid w:val="007212F0"/>
    <w:rsid w:val="00722EC6"/>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4193"/>
    <w:rsid w:val="007556C8"/>
    <w:rsid w:val="00756FA1"/>
    <w:rsid w:val="007605DF"/>
    <w:rsid w:val="0076244A"/>
    <w:rsid w:val="00762D9D"/>
    <w:rsid w:val="00763FD6"/>
    <w:rsid w:val="0076431D"/>
    <w:rsid w:val="00766DE9"/>
    <w:rsid w:val="007678A5"/>
    <w:rsid w:val="00770841"/>
    <w:rsid w:val="00771F67"/>
    <w:rsid w:val="00772012"/>
    <w:rsid w:val="0077418F"/>
    <w:rsid w:val="00774C01"/>
    <w:rsid w:val="007823C9"/>
    <w:rsid w:val="007835B7"/>
    <w:rsid w:val="007863E1"/>
    <w:rsid w:val="007910D3"/>
    <w:rsid w:val="0079336E"/>
    <w:rsid w:val="007A5BD0"/>
    <w:rsid w:val="007B4B46"/>
    <w:rsid w:val="007B5E5F"/>
    <w:rsid w:val="007B6CA0"/>
    <w:rsid w:val="007B6F71"/>
    <w:rsid w:val="007C06F8"/>
    <w:rsid w:val="007C27E5"/>
    <w:rsid w:val="007C2E24"/>
    <w:rsid w:val="007C3F78"/>
    <w:rsid w:val="007C4B09"/>
    <w:rsid w:val="007C6167"/>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547E"/>
    <w:rsid w:val="0081653B"/>
    <w:rsid w:val="00821DF6"/>
    <w:rsid w:val="00823CCC"/>
    <w:rsid w:val="00827179"/>
    <w:rsid w:val="0083029A"/>
    <w:rsid w:val="00830426"/>
    <w:rsid w:val="00830E02"/>
    <w:rsid w:val="00831C83"/>
    <w:rsid w:val="00831E0A"/>
    <w:rsid w:val="008322BB"/>
    <w:rsid w:val="008343C4"/>
    <w:rsid w:val="00835847"/>
    <w:rsid w:val="00835C6F"/>
    <w:rsid w:val="00837429"/>
    <w:rsid w:val="0083745B"/>
    <w:rsid w:val="00840252"/>
    <w:rsid w:val="00840420"/>
    <w:rsid w:val="00842DE3"/>
    <w:rsid w:val="00844F5E"/>
    <w:rsid w:val="00846701"/>
    <w:rsid w:val="0085232F"/>
    <w:rsid w:val="00854E2A"/>
    <w:rsid w:val="008550CD"/>
    <w:rsid w:val="00857E3A"/>
    <w:rsid w:val="00861135"/>
    <w:rsid w:val="00864495"/>
    <w:rsid w:val="0086449D"/>
    <w:rsid w:val="008651BC"/>
    <w:rsid w:val="00867059"/>
    <w:rsid w:val="00867A5A"/>
    <w:rsid w:val="008711B1"/>
    <w:rsid w:val="00871FBA"/>
    <w:rsid w:val="00872119"/>
    <w:rsid w:val="008722FB"/>
    <w:rsid w:val="00877EA2"/>
    <w:rsid w:val="008808CA"/>
    <w:rsid w:val="00887D93"/>
    <w:rsid w:val="00890912"/>
    <w:rsid w:val="00890D7D"/>
    <w:rsid w:val="008917B4"/>
    <w:rsid w:val="0089189B"/>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FA8"/>
    <w:rsid w:val="008B3253"/>
    <w:rsid w:val="008B3F5C"/>
    <w:rsid w:val="008C020E"/>
    <w:rsid w:val="008C2F9E"/>
    <w:rsid w:val="008D03EA"/>
    <w:rsid w:val="008D16BD"/>
    <w:rsid w:val="008D17A7"/>
    <w:rsid w:val="008D2E91"/>
    <w:rsid w:val="008D58E2"/>
    <w:rsid w:val="008D6283"/>
    <w:rsid w:val="008D7FB0"/>
    <w:rsid w:val="008E050B"/>
    <w:rsid w:val="008E0C60"/>
    <w:rsid w:val="008E1010"/>
    <w:rsid w:val="008E2C2E"/>
    <w:rsid w:val="008E72A8"/>
    <w:rsid w:val="008F0627"/>
    <w:rsid w:val="008F1FF1"/>
    <w:rsid w:val="008F2498"/>
    <w:rsid w:val="008F41FB"/>
    <w:rsid w:val="008F4B49"/>
    <w:rsid w:val="008F5977"/>
    <w:rsid w:val="008F5C9B"/>
    <w:rsid w:val="009039C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4DF"/>
    <w:rsid w:val="00927EF6"/>
    <w:rsid w:val="00930D45"/>
    <w:rsid w:val="00930E14"/>
    <w:rsid w:val="00933885"/>
    <w:rsid w:val="009338DA"/>
    <w:rsid w:val="00936E93"/>
    <w:rsid w:val="00937FDA"/>
    <w:rsid w:val="00947632"/>
    <w:rsid w:val="0094786C"/>
    <w:rsid w:val="00947B9F"/>
    <w:rsid w:val="00947FB4"/>
    <w:rsid w:val="00952D2F"/>
    <w:rsid w:val="00952D60"/>
    <w:rsid w:val="00952E44"/>
    <w:rsid w:val="00953D9C"/>
    <w:rsid w:val="00955447"/>
    <w:rsid w:val="00955A17"/>
    <w:rsid w:val="00957C50"/>
    <w:rsid w:val="00960E12"/>
    <w:rsid w:val="0096331F"/>
    <w:rsid w:val="00963914"/>
    <w:rsid w:val="00963A90"/>
    <w:rsid w:val="009729D8"/>
    <w:rsid w:val="0097453F"/>
    <w:rsid w:val="00974577"/>
    <w:rsid w:val="00975045"/>
    <w:rsid w:val="00975D66"/>
    <w:rsid w:val="00976670"/>
    <w:rsid w:val="00976BC3"/>
    <w:rsid w:val="00976E64"/>
    <w:rsid w:val="00977929"/>
    <w:rsid w:val="0098426D"/>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A4"/>
    <w:rsid w:val="009C11B1"/>
    <w:rsid w:val="009C1722"/>
    <w:rsid w:val="009C6235"/>
    <w:rsid w:val="009C6E76"/>
    <w:rsid w:val="009D00B8"/>
    <w:rsid w:val="009D3E42"/>
    <w:rsid w:val="009D682E"/>
    <w:rsid w:val="009E40F9"/>
    <w:rsid w:val="009E5844"/>
    <w:rsid w:val="009E653F"/>
    <w:rsid w:val="009E7C9A"/>
    <w:rsid w:val="009F4C6D"/>
    <w:rsid w:val="009F5062"/>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6524"/>
    <w:rsid w:val="00A610B8"/>
    <w:rsid w:val="00A61208"/>
    <w:rsid w:val="00A6244D"/>
    <w:rsid w:val="00A62660"/>
    <w:rsid w:val="00A62D2C"/>
    <w:rsid w:val="00A64D6A"/>
    <w:rsid w:val="00A66A0F"/>
    <w:rsid w:val="00A67FB0"/>
    <w:rsid w:val="00A700BE"/>
    <w:rsid w:val="00A7038D"/>
    <w:rsid w:val="00A73440"/>
    <w:rsid w:val="00A75908"/>
    <w:rsid w:val="00A75D01"/>
    <w:rsid w:val="00A76B01"/>
    <w:rsid w:val="00A813D7"/>
    <w:rsid w:val="00A83AD0"/>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E1BBB"/>
    <w:rsid w:val="00AE2F4C"/>
    <w:rsid w:val="00AE3B4A"/>
    <w:rsid w:val="00AE4A87"/>
    <w:rsid w:val="00AE673D"/>
    <w:rsid w:val="00AE749B"/>
    <w:rsid w:val="00AF0629"/>
    <w:rsid w:val="00AF1BF1"/>
    <w:rsid w:val="00AF32B8"/>
    <w:rsid w:val="00AF3CB3"/>
    <w:rsid w:val="00AF531B"/>
    <w:rsid w:val="00AF5337"/>
    <w:rsid w:val="00AF53C2"/>
    <w:rsid w:val="00AF71F6"/>
    <w:rsid w:val="00AF7C60"/>
    <w:rsid w:val="00B005C5"/>
    <w:rsid w:val="00B00BD6"/>
    <w:rsid w:val="00B02305"/>
    <w:rsid w:val="00B02E23"/>
    <w:rsid w:val="00B060D5"/>
    <w:rsid w:val="00B1175D"/>
    <w:rsid w:val="00B12731"/>
    <w:rsid w:val="00B12AA5"/>
    <w:rsid w:val="00B146BC"/>
    <w:rsid w:val="00B14DF1"/>
    <w:rsid w:val="00B153B3"/>
    <w:rsid w:val="00B17CBB"/>
    <w:rsid w:val="00B20BBF"/>
    <w:rsid w:val="00B217CC"/>
    <w:rsid w:val="00B25447"/>
    <w:rsid w:val="00B271C9"/>
    <w:rsid w:val="00B31C57"/>
    <w:rsid w:val="00B32F09"/>
    <w:rsid w:val="00B33D96"/>
    <w:rsid w:val="00B33E36"/>
    <w:rsid w:val="00B34F0E"/>
    <w:rsid w:val="00B35F5F"/>
    <w:rsid w:val="00B36F78"/>
    <w:rsid w:val="00B3755E"/>
    <w:rsid w:val="00B404A6"/>
    <w:rsid w:val="00B40A63"/>
    <w:rsid w:val="00B41213"/>
    <w:rsid w:val="00B45C45"/>
    <w:rsid w:val="00B46918"/>
    <w:rsid w:val="00B47277"/>
    <w:rsid w:val="00B56FB7"/>
    <w:rsid w:val="00B577A6"/>
    <w:rsid w:val="00B607BE"/>
    <w:rsid w:val="00B61E09"/>
    <w:rsid w:val="00B6274D"/>
    <w:rsid w:val="00B62B63"/>
    <w:rsid w:val="00B64D41"/>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CDD"/>
    <w:rsid w:val="00B95E2C"/>
    <w:rsid w:val="00BA2C17"/>
    <w:rsid w:val="00BA40F3"/>
    <w:rsid w:val="00BA5F6B"/>
    <w:rsid w:val="00BA6BD0"/>
    <w:rsid w:val="00BB0589"/>
    <w:rsid w:val="00BB1AF8"/>
    <w:rsid w:val="00BB2E2A"/>
    <w:rsid w:val="00BB4B39"/>
    <w:rsid w:val="00BC3515"/>
    <w:rsid w:val="00BC3A1F"/>
    <w:rsid w:val="00BC59C2"/>
    <w:rsid w:val="00BD02CC"/>
    <w:rsid w:val="00BD22C7"/>
    <w:rsid w:val="00BD277B"/>
    <w:rsid w:val="00BD530D"/>
    <w:rsid w:val="00BE205B"/>
    <w:rsid w:val="00BE264E"/>
    <w:rsid w:val="00BE4E80"/>
    <w:rsid w:val="00BE68B4"/>
    <w:rsid w:val="00C029B6"/>
    <w:rsid w:val="00C03B0F"/>
    <w:rsid w:val="00C03E68"/>
    <w:rsid w:val="00C05139"/>
    <w:rsid w:val="00C11035"/>
    <w:rsid w:val="00C124B7"/>
    <w:rsid w:val="00C16AB3"/>
    <w:rsid w:val="00C17224"/>
    <w:rsid w:val="00C17685"/>
    <w:rsid w:val="00C20CBD"/>
    <w:rsid w:val="00C223A5"/>
    <w:rsid w:val="00C23A93"/>
    <w:rsid w:val="00C23BCF"/>
    <w:rsid w:val="00C2546E"/>
    <w:rsid w:val="00C2648A"/>
    <w:rsid w:val="00C2711D"/>
    <w:rsid w:val="00C275B4"/>
    <w:rsid w:val="00C30909"/>
    <w:rsid w:val="00C310A0"/>
    <w:rsid w:val="00C351DB"/>
    <w:rsid w:val="00C36A88"/>
    <w:rsid w:val="00C44141"/>
    <w:rsid w:val="00C53EEF"/>
    <w:rsid w:val="00C55A01"/>
    <w:rsid w:val="00C56A39"/>
    <w:rsid w:val="00C57DD6"/>
    <w:rsid w:val="00C607D5"/>
    <w:rsid w:val="00C62A8F"/>
    <w:rsid w:val="00C634E0"/>
    <w:rsid w:val="00C671BC"/>
    <w:rsid w:val="00C70919"/>
    <w:rsid w:val="00C759E4"/>
    <w:rsid w:val="00C75BEC"/>
    <w:rsid w:val="00C80D96"/>
    <w:rsid w:val="00C83560"/>
    <w:rsid w:val="00C836E3"/>
    <w:rsid w:val="00C83A19"/>
    <w:rsid w:val="00C8527E"/>
    <w:rsid w:val="00C855D2"/>
    <w:rsid w:val="00C85E96"/>
    <w:rsid w:val="00C86FBD"/>
    <w:rsid w:val="00C9128F"/>
    <w:rsid w:val="00C91666"/>
    <w:rsid w:val="00C91C98"/>
    <w:rsid w:val="00C9219D"/>
    <w:rsid w:val="00C923D5"/>
    <w:rsid w:val="00C94E84"/>
    <w:rsid w:val="00CA0D9F"/>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6D2A"/>
    <w:rsid w:val="00CE70E4"/>
    <w:rsid w:val="00CF0889"/>
    <w:rsid w:val="00CF2156"/>
    <w:rsid w:val="00CF41C5"/>
    <w:rsid w:val="00CF4D7B"/>
    <w:rsid w:val="00CF5500"/>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4FF0"/>
    <w:rsid w:val="00D26EC1"/>
    <w:rsid w:val="00D2709A"/>
    <w:rsid w:val="00D30569"/>
    <w:rsid w:val="00D31F30"/>
    <w:rsid w:val="00D31F45"/>
    <w:rsid w:val="00D335BB"/>
    <w:rsid w:val="00D34B05"/>
    <w:rsid w:val="00D37504"/>
    <w:rsid w:val="00D37996"/>
    <w:rsid w:val="00D4725F"/>
    <w:rsid w:val="00D47EAE"/>
    <w:rsid w:val="00D54091"/>
    <w:rsid w:val="00D54B9A"/>
    <w:rsid w:val="00D54F2F"/>
    <w:rsid w:val="00D557F5"/>
    <w:rsid w:val="00D61100"/>
    <w:rsid w:val="00D61C45"/>
    <w:rsid w:val="00D62AEF"/>
    <w:rsid w:val="00D62CE1"/>
    <w:rsid w:val="00D64DD6"/>
    <w:rsid w:val="00D6587C"/>
    <w:rsid w:val="00D72607"/>
    <w:rsid w:val="00D72C4E"/>
    <w:rsid w:val="00D7438A"/>
    <w:rsid w:val="00D756CA"/>
    <w:rsid w:val="00D77713"/>
    <w:rsid w:val="00D7798A"/>
    <w:rsid w:val="00D8307B"/>
    <w:rsid w:val="00D8327C"/>
    <w:rsid w:val="00D836F7"/>
    <w:rsid w:val="00D84645"/>
    <w:rsid w:val="00D864F8"/>
    <w:rsid w:val="00D879A3"/>
    <w:rsid w:val="00D9012D"/>
    <w:rsid w:val="00D93123"/>
    <w:rsid w:val="00DA527C"/>
    <w:rsid w:val="00DA5B6B"/>
    <w:rsid w:val="00DA700C"/>
    <w:rsid w:val="00DB2EF0"/>
    <w:rsid w:val="00DB4640"/>
    <w:rsid w:val="00DB72D0"/>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A46"/>
    <w:rsid w:val="00E04FDE"/>
    <w:rsid w:val="00E07A39"/>
    <w:rsid w:val="00E104EF"/>
    <w:rsid w:val="00E125CB"/>
    <w:rsid w:val="00E13C7D"/>
    <w:rsid w:val="00E13EDF"/>
    <w:rsid w:val="00E146EE"/>
    <w:rsid w:val="00E165C9"/>
    <w:rsid w:val="00E17165"/>
    <w:rsid w:val="00E202E6"/>
    <w:rsid w:val="00E21B3E"/>
    <w:rsid w:val="00E21F7E"/>
    <w:rsid w:val="00E224C3"/>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50F94"/>
    <w:rsid w:val="00E528C9"/>
    <w:rsid w:val="00E5462E"/>
    <w:rsid w:val="00E62AD0"/>
    <w:rsid w:val="00E65605"/>
    <w:rsid w:val="00E65AFF"/>
    <w:rsid w:val="00E6767D"/>
    <w:rsid w:val="00E7411A"/>
    <w:rsid w:val="00E77A83"/>
    <w:rsid w:val="00E85972"/>
    <w:rsid w:val="00E90E9C"/>
    <w:rsid w:val="00E9512C"/>
    <w:rsid w:val="00EA0077"/>
    <w:rsid w:val="00EA0E38"/>
    <w:rsid w:val="00EA187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50F5"/>
    <w:rsid w:val="00ED6BE1"/>
    <w:rsid w:val="00ED7099"/>
    <w:rsid w:val="00ED7757"/>
    <w:rsid w:val="00EE027B"/>
    <w:rsid w:val="00EE31DF"/>
    <w:rsid w:val="00EE7916"/>
    <w:rsid w:val="00EF1C6E"/>
    <w:rsid w:val="00EF2C80"/>
    <w:rsid w:val="00EF4D3B"/>
    <w:rsid w:val="00EF6A34"/>
    <w:rsid w:val="00EF7579"/>
    <w:rsid w:val="00EF7950"/>
    <w:rsid w:val="00F00BE0"/>
    <w:rsid w:val="00F016BD"/>
    <w:rsid w:val="00F026F0"/>
    <w:rsid w:val="00F0680A"/>
    <w:rsid w:val="00F06ED0"/>
    <w:rsid w:val="00F12013"/>
    <w:rsid w:val="00F12999"/>
    <w:rsid w:val="00F13822"/>
    <w:rsid w:val="00F14565"/>
    <w:rsid w:val="00F14A70"/>
    <w:rsid w:val="00F175A5"/>
    <w:rsid w:val="00F230F1"/>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AD5"/>
    <w:rsid w:val="00F47DCD"/>
    <w:rsid w:val="00F50CA4"/>
    <w:rsid w:val="00F50CDF"/>
    <w:rsid w:val="00F50CE7"/>
    <w:rsid w:val="00F51438"/>
    <w:rsid w:val="00F52A8D"/>
    <w:rsid w:val="00F5301A"/>
    <w:rsid w:val="00F549E7"/>
    <w:rsid w:val="00F5550D"/>
    <w:rsid w:val="00F618BB"/>
    <w:rsid w:val="00F6302F"/>
    <w:rsid w:val="00F67625"/>
    <w:rsid w:val="00F76B14"/>
    <w:rsid w:val="00F81487"/>
    <w:rsid w:val="00F85F21"/>
    <w:rsid w:val="00F90CF5"/>
    <w:rsid w:val="00F91AD8"/>
    <w:rsid w:val="00F922B1"/>
    <w:rsid w:val="00FA1CBD"/>
    <w:rsid w:val="00FA56EF"/>
    <w:rsid w:val="00FA5D99"/>
    <w:rsid w:val="00FA6505"/>
    <w:rsid w:val="00FA72F6"/>
    <w:rsid w:val="00FB10A3"/>
    <w:rsid w:val="00FB36D4"/>
    <w:rsid w:val="00FB3B0F"/>
    <w:rsid w:val="00FB510B"/>
    <w:rsid w:val="00FB5D1B"/>
    <w:rsid w:val="00FB75F9"/>
    <w:rsid w:val="00FB7C5A"/>
    <w:rsid w:val="00FC1C97"/>
    <w:rsid w:val="00FC26BF"/>
    <w:rsid w:val="00FC423E"/>
    <w:rsid w:val="00FC523E"/>
    <w:rsid w:val="00FC6CE0"/>
    <w:rsid w:val="00FC7232"/>
    <w:rsid w:val="00FC7525"/>
    <w:rsid w:val="00FD1A30"/>
    <w:rsid w:val="00FD418F"/>
    <w:rsid w:val="00FD4365"/>
    <w:rsid w:val="00FD4D39"/>
    <w:rsid w:val="00FD4F52"/>
    <w:rsid w:val="00FD532F"/>
    <w:rsid w:val="00FE1EF3"/>
    <w:rsid w:val="00FE315D"/>
    <w:rsid w:val="00FE3182"/>
    <w:rsid w:val="00FE41E1"/>
    <w:rsid w:val="00FE55F1"/>
    <w:rsid w:val="00FF213C"/>
    <w:rsid w:val="00FF4D81"/>
    <w:rsid w:val="00FF75F5"/>
    <w:rsid w:val="0103164E"/>
    <w:rsid w:val="010C3E21"/>
    <w:rsid w:val="01101675"/>
    <w:rsid w:val="011473B7"/>
    <w:rsid w:val="01167762"/>
    <w:rsid w:val="011B6997"/>
    <w:rsid w:val="01284C10"/>
    <w:rsid w:val="012E3330"/>
    <w:rsid w:val="013637D1"/>
    <w:rsid w:val="01395070"/>
    <w:rsid w:val="013F4829"/>
    <w:rsid w:val="014632E9"/>
    <w:rsid w:val="014B08FF"/>
    <w:rsid w:val="01514167"/>
    <w:rsid w:val="01541EA9"/>
    <w:rsid w:val="01543C57"/>
    <w:rsid w:val="01545A05"/>
    <w:rsid w:val="0156352C"/>
    <w:rsid w:val="01592D24"/>
    <w:rsid w:val="015B3238"/>
    <w:rsid w:val="015B4FE6"/>
    <w:rsid w:val="016025FC"/>
    <w:rsid w:val="01633E9B"/>
    <w:rsid w:val="016A347B"/>
    <w:rsid w:val="017240DE"/>
    <w:rsid w:val="01761E20"/>
    <w:rsid w:val="01775986"/>
    <w:rsid w:val="01785B98"/>
    <w:rsid w:val="0179129D"/>
    <w:rsid w:val="018067FB"/>
    <w:rsid w:val="01822573"/>
    <w:rsid w:val="01825D39"/>
    <w:rsid w:val="01826A17"/>
    <w:rsid w:val="018372BC"/>
    <w:rsid w:val="0187402D"/>
    <w:rsid w:val="018A58CB"/>
    <w:rsid w:val="018D025D"/>
    <w:rsid w:val="018E7ABF"/>
    <w:rsid w:val="018F2EE2"/>
    <w:rsid w:val="018F6A3E"/>
    <w:rsid w:val="01910A08"/>
    <w:rsid w:val="019404F8"/>
    <w:rsid w:val="0198796C"/>
    <w:rsid w:val="01995B0E"/>
    <w:rsid w:val="019A5F8D"/>
    <w:rsid w:val="019B3634"/>
    <w:rsid w:val="019D55FE"/>
    <w:rsid w:val="019D73AC"/>
    <w:rsid w:val="019E3125"/>
    <w:rsid w:val="01AD6E7F"/>
    <w:rsid w:val="01AE15BA"/>
    <w:rsid w:val="01AF5332"/>
    <w:rsid w:val="01B110AA"/>
    <w:rsid w:val="01B464A4"/>
    <w:rsid w:val="01BD17FD"/>
    <w:rsid w:val="01BE7323"/>
    <w:rsid w:val="01C133B8"/>
    <w:rsid w:val="01C40DDD"/>
    <w:rsid w:val="01C456AC"/>
    <w:rsid w:val="01CC1A40"/>
    <w:rsid w:val="01D134FA"/>
    <w:rsid w:val="01D152A8"/>
    <w:rsid w:val="01DB1C83"/>
    <w:rsid w:val="01DD3C4D"/>
    <w:rsid w:val="01E07299"/>
    <w:rsid w:val="01F40F97"/>
    <w:rsid w:val="01F80A87"/>
    <w:rsid w:val="01FA47FF"/>
    <w:rsid w:val="020F2171"/>
    <w:rsid w:val="02145195"/>
    <w:rsid w:val="0219496B"/>
    <w:rsid w:val="021F7DC1"/>
    <w:rsid w:val="022C24DE"/>
    <w:rsid w:val="022E26FA"/>
    <w:rsid w:val="02315D47"/>
    <w:rsid w:val="02331ABF"/>
    <w:rsid w:val="0233386D"/>
    <w:rsid w:val="024261A6"/>
    <w:rsid w:val="02510197"/>
    <w:rsid w:val="025238EF"/>
    <w:rsid w:val="02555ED9"/>
    <w:rsid w:val="025739FF"/>
    <w:rsid w:val="025D4D8E"/>
    <w:rsid w:val="025D6B3C"/>
    <w:rsid w:val="0264611C"/>
    <w:rsid w:val="02693733"/>
    <w:rsid w:val="02725307"/>
    <w:rsid w:val="0281282A"/>
    <w:rsid w:val="02906F11"/>
    <w:rsid w:val="02935B81"/>
    <w:rsid w:val="02954528"/>
    <w:rsid w:val="029A1B3E"/>
    <w:rsid w:val="029A7D90"/>
    <w:rsid w:val="029B70E4"/>
    <w:rsid w:val="02A3645B"/>
    <w:rsid w:val="02AE1145"/>
    <w:rsid w:val="02B0310F"/>
    <w:rsid w:val="02B20C36"/>
    <w:rsid w:val="02B40E52"/>
    <w:rsid w:val="02B71B0E"/>
    <w:rsid w:val="02BA21E0"/>
    <w:rsid w:val="02BC3862"/>
    <w:rsid w:val="02BC7D06"/>
    <w:rsid w:val="02BE582C"/>
    <w:rsid w:val="02BF64DF"/>
    <w:rsid w:val="02C10E79"/>
    <w:rsid w:val="02C1356F"/>
    <w:rsid w:val="02CE17E8"/>
    <w:rsid w:val="02D212D8"/>
    <w:rsid w:val="02D45050"/>
    <w:rsid w:val="02DA1F3A"/>
    <w:rsid w:val="02DC5A07"/>
    <w:rsid w:val="02DF57A3"/>
    <w:rsid w:val="02E37041"/>
    <w:rsid w:val="02EB64A7"/>
    <w:rsid w:val="02ED4364"/>
    <w:rsid w:val="02EF1E8A"/>
    <w:rsid w:val="02F6716B"/>
    <w:rsid w:val="02F778BD"/>
    <w:rsid w:val="02FE3E7B"/>
    <w:rsid w:val="03011BBD"/>
    <w:rsid w:val="0308368E"/>
    <w:rsid w:val="030A6CC4"/>
    <w:rsid w:val="030D0562"/>
    <w:rsid w:val="030D40BE"/>
    <w:rsid w:val="03121468"/>
    <w:rsid w:val="0316433C"/>
    <w:rsid w:val="03195159"/>
    <w:rsid w:val="03196F07"/>
    <w:rsid w:val="031C2553"/>
    <w:rsid w:val="0324226E"/>
    <w:rsid w:val="03280EF8"/>
    <w:rsid w:val="032D650E"/>
    <w:rsid w:val="03354231"/>
    <w:rsid w:val="033B35FB"/>
    <w:rsid w:val="033C2BF5"/>
    <w:rsid w:val="03411FB9"/>
    <w:rsid w:val="034B4BE6"/>
    <w:rsid w:val="034D08F3"/>
    <w:rsid w:val="03511AD9"/>
    <w:rsid w:val="035148F2"/>
    <w:rsid w:val="03525F75"/>
    <w:rsid w:val="035717DD"/>
    <w:rsid w:val="035F2367"/>
    <w:rsid w:val="03655CA8"/>
    <w:rsid w:val="036F6B27"/>
    <w:rsid w:val="037759DB"/>
    <w:rsid w:val="037979A5"/>
    <w:rsid w:val="03802AE2"/>
    <w:rsid w:val="03822C68"/>
    <w:rsid w:val="0388408C"/>
    <w:rsid w:val="0394658D"/>
    <w:rsid w:val="039C5442"/>
    <w:rsid w:val="039F2BBC"/>
    <w:rsid w:val="03B17C92"/>
    <w:rsid w:val="03B44E81"/>
    <w:rsid w:val="03B60BF9"/>
    <w:rsid w:val="03B75CC0"/>
    <w:rsid w:val="03B95FF4"/>
    <w:rsid w:val="03C01FEA"/>
    <w:rsid w:val="03C2759E"/>
    <w:rsid w:val="03C30C20"/>
    <w:rsid w:val="03C85AA2"/>
    <w:rsid w:val="03C9092D"/>
    <w:rsid w:val="03D66BA6"/>
    <w:rsid w:val="03D96AC5"/>
    <w:rsid w:val="03DB240E"/>
    <w:rsid w:val="03DE2CFF"/>
    <w:rsid w:val="03E219EE"/>
    <w:rsid w:val="03E312C3"/>
    <w:rsid w:val="03E5328D"/>
    <w:rsid w:val="03F217C1"/>
    <w:rsid w:val="03F4702C"/>
    <w:rsid w:val="03F67248"/>
    <w:rsid w:val="03FA6D38"/>
    <w:rsid w:val="03FF434E"/>
    <w:rsid w:val="040354C1"/>
    <w:rsid w:val="04043713"/>
    <w:rsid w:val="04051239"/>
    <w:rsid w:val="0408409C"/>
    <w:rsid w:val="04117BDE"/>
    <w:rsid w:val="04133956"/>
    <w:rsid w:val="04172F62"/>
    <w:rsid w:val="04180F6C"/>
    <w:rsid w:val="04194CE4"/>
    <w:rsid w:val="041A1188"/>
    <w:rsid w:val="041D47A4"/>
    <w:rsid w:val="041F054D"/>
    <w:rsid w:val="04221DEB"/>
    <w:rsid w:val="04247911"/>
    <w:rsid w:val="042518DB"/>
    <w:rsid w:val="042713D5"/>
    <w:rsid w:val="04275653"/>
    <w:rsid w:val="04277401"/>
    <w:rsid w:val="042913CB"/>
    <w:rsid w:val="04293179"/>
    <w:rsid w:val="042D7C0E"/>
    <w:rsid w:val="0431202E"/>
    <w:rsid w:val="043438CC"/>
    <w:rsid w:val="04461F7D"/>
    <w:rsid w:val="04477AA3"/>
    <w:rsid w:val="044B1342"/>
    <w:rsid w:val="044C6E68"/>
    <w:rsid w:val="045F303F"/>
    <w:rsid w:val="04602913"/>
    <w:rsid w:val="046643CE"/>
    <w:rsid w:val="04671EF4"/>
    <w:rsid w:val="04674E6C"/>
    <w:rsid w:val="04700DA8"/>
    <w:rsid w:val="04706FFA"/>
    <w:rsid w:val="0475016D"/>
    <w:rsid w:val="04762137"/>
    <w:rsid w:val="047A5783"/>
    <w:rsid w:val="04826D2E"/>
    <w:rsid w:val="04877EA0"/>
    <w:rsid w:val="04900C60"/>
    <w:rsid w:val="049525BD"/>
    <w:rsid w:val="04965593"/>
    <w:rsid w:val="049820AD"/>
    <w:rsid w:val="04992B7E"/>
    <w:rsid w:val="049A5E25"/>
    <w:rsid w:val="049D6ACC"/>
    <w:rsid w:val="04A86794"/>
    <w:rsid w:val="04BA0275"/>
    <w:rsid w:val="04D05CEB"/>
    <w:rsid w:val="04D550AF"/>
    <w:rsid w:val="04ED26DD"/>
    <w:rsid w:val="04F36F01"/>
    <w:rsid w:val="05025778"/>
    <w:rsid w:val="05071955"/>
    <w:rsid w:val="05082565"/>
    <w:rsid w:val="0508379F"/>
    <w:rsid w:val="05087233"/>
    <w:rsid w:val="050B36B6"/>
    <w:rsid w:val="050E236F"/>
    <w:rsid w:val="05123C0E"/>
    <w:rsid w:val="05137986"/>
    <w:rsid w:val="051E25B2"/>
    <w:rsid w:val="051E3875"/>
    <w:rsid w:val="051F457C"/>
    <w:rsid w:val="052027CE"/>
    <w:rsid w:val="05281683"/>
    <w:rsid w:val="052851DF"/>
    <w:rsid w:val="052B1173"/>
    <w:rsid w:val="0532605E"/>
    <w:rsid w:val="0533125B"/>
    <w:rsid w:val="053E601B"/>
    <w:rsid w:val="053F68D2"/>
    <w:rsid w:val="05410997"/>
    <w:rsid w:val="05432019"/>
    <w:rsid w:val="05485881"/>
    <w:rsid w:val="0548762F"/>
    <w:rsid w:val="054F4EE9"/>
    <w:rsid w:val="055373A5"/>
    <w:rsid w:val="05551D4C"/>
    <w:rsid w:val="05575AC4"/>
    <w:rsid w:val="055E50A5"/>
    <w:rsid w:val="056106F1"/>
    <w:rsid w:val="05614B95"/>
    <w:rsid w:val="05687CD1"/>
    <w:rsid w:val="05706B86"/>
    <w:rsid w:val="05746676"/>
    <w:rsid w:val="058C0013"/>
    <w:rsid w:val="05942874"/>
    <w:rsid w:val="05997B94"/>
    <w:rsid w:val="059B1E55"/>
    <w:rsid w:val="05A70DBE"/>
    <w:rsid w:val="05AA2098"/>
    <w:rsid w:val="05B11678"/>
    <w:rsid w:val="05B178CA"/>
    <w:rsid w:val="05B20F4D"/>
    <w:rsid w:val="05B41169"/>
    <w:rsid w:val="05B9052D"/>
    <w:rsid w:val="05C23886"/>
    <w:rsid w:val="05C50C80"/>
    <w:rsid w:val="05C80770"/>
    <w:rsid w:val="05D37841"/>
    <w:rsid w:val="05DC421B"/>
    <w:rsid w:val="05E82BC0"/>
    <w:rsid w:val="05E9638D"/>
    <w:rsid w:val="05EA6938"/>
    <w:rsid w:val="05F6352F"/>
    <w:rsid w:val="06007F0A"/>
    <w:rsid w:val="060914B4"/>
    <w:rsid w:val="060C68AF"/>
    <w:rsid w:val="06112117"/>
    <w:rsid w:val="061121E6"/>
    <w:rsid w:val="061F2A86"/>
    <w:rsid w:val="0624009C"/>
    <w:rsid w:val="06250AAB"/>
    <w:rsid w:val="06257970"/>
    <w:rsid w:val="062E0F1B"/>
    <w:rsid w:val="062F07EF"/>
    <w:rsid w:val="062F259D"/>
    <w:rsid w:val="063302DF"/>
    <w:rsid w:val="063A78C0"/>
    <w:rsid w:val="063F4ED6"/>
    <w:rsid w:val="063F6C84"/>
    <w:rsid w:val="064323A1"/>
    <w:rsid w:val="06450013"/>
    <w:rsid w:val="064A5629"/>
    <w:rsid w:val="064E336B"/>
    <w:rsid w:val="06585F98"/>
    <w:rsid w:val="065D407D"/>
    <w:rsid w:val="066E1317"/>
    <w:rsid w:val="0671705A"/>
    <w:rsid w:val="067D155B"/>
    <w:rsid w:val="06824DC3"/>
    <w:rsid w:val="06910BEE"/>
    <w:rsid w:val="06963AFE"/>
    <w:rsid w:val="069F7723"/>
    <w:rsid w:val="06A27213"/>
    <w:rsid w:val="06A343A0"/>
    <w:rsid w:val="06AB5586"/>
    <w:rsid w:val="06B64308"/>
    <w:rsid w:val="06BE6A51"/>
    <w:rsid w:val="06C278B5"/>
    <w:rsid w:val="06C60CA2"/>
    <w:rsid w:val="06C90C44"/>
    <w:rsid w:val="06CB44B7"/>
    <w:rsid w:val="06CF5125"/>
    <w:rsid w:val="06DA69AD"/>
    <w:rsid w:val="06DD649D"/>
    <w:rsid w:val="06E23AB3"/>
    <w:rsid w:val="06EB0BBA"/>
    <w:rsid w:val="06EE20B1"/>
    <w:rsid w:val="06FC39FE"/>
    <w:rsid w:val="07034156"/>
    <w:rsid w:val="071874D5"/>
    <w:rsid w:val="071A4FFB"/>
    <w:rsid w:val="071C5217"/>
    <w:rsid w:val="07261BF2"/>
    <w:rsid w:val="07287718"/>
    <w:rsid w:val="072B545A"/>
    <w:rsid w:val="072D4D2F"/>
    <w:rsid w:val="07322F04"/>
    <w:rsid w:val="07342561"/>
    <w:rsid w:val="073A744C"/>
    <w:rsid w:val="073E6F3C"/>
    <w:rsid w:val="073F4A62"/>
    <w:rsid w:val="074327A4"/>
    <w:rsid w:val="07481B68"/>
    <w:rsid w:val="074A1D85"/>
    <w:rsid w:val="074F4C03"/>
    <w:rsid w:val="075A189C"/>
    <w:rsid w:val="075A7AEE"/>
    <w:rsid w:val="075B63E2"/>
    <w:rsid w:val="075D28A2"/>
    <w:rsid w:val="075E313A"/>
    <w:rsid w:val="07626558"/>
    <w:rsid w:val="076C043D"/>
    <w:rsid w:val="076D7821"/>
    <w:rsid w:val="077216DE"/>
    <w:rsid w:val="07723089"/>
    <w:rsid w:val="07740BAF"/>
    <w:rsid w:val="077741FC"/>
    <w:rsid w:val="077E558A"/>
    <w:rsid w:val="07866B35"/>
    <w:rsid w:val="0797489E"/>
    <w:rsid w:val="07990616"/>
    <w:rsid w:val="07B134A9"/>
    <w:rsid w:val="07B1625B"/>
    <w:rsid w:val="07B23486"/>
    <w:rsid w:val="07B516BC"/>
    <w:rsid w:val="07B74F40"/>
    <w:rsid w:val="07BB67DE"/>
    <w:rsid w:val="07C03DF5"/>
    <w:rsid w:val="07C05BA3"/>
    <w:rsid w:val="07C733D5"/>
    <w:rsid w:val="07CA07CF"/>
    <w:rsid w:val="07CD02C0"/>
    <w:rsid w:val="07D23B28"/>
    <w:rsid w:val="07D72EEC"/>
    <w:rsid w:val="07D93108"/>
    <w:rsid w:val="07D96E9C"/>
    <w:rsid w:val="07DB401C"/>
    <w:rsid w:val="07DC0503"/>
    <w:rsid w:val="07DF7E70"/>
    <w:rsid w:val="07E01DA1"/>
    <w:rsid w:val="07E07FF3"/>
    <w:rsid w:val="07E31891"/>
    <w:rsid w:val="07E5385B"/>
    <w:rsid w:val="07EC2E3C"/>
    <w:rsid w:val="07EC6998"/>
    <w:rsid w:val="07F414F5"/>
    <w:rsid w:val="07F43A9E"/>
    <w:rsid w:val="07F615C4"/>
    <w:rsid w:val="07F910B5"/>
    <w:rsid w:val="07FB307F"/>
    <w:rsid w:val="080A32C2"/>
    <w:rsid w:val="080A5070"/>
    <w:rsid w:val="080F2686"/>
    <w:rsid w:val="08114650"/>
    <w:rsid w:val="081303C8"/>
    <w:rsid w:val="081859DF"/>
    <w:rsid w:val="081C4DA3"/>
    <w:rsid w:val="0822060B"/>
    <w:rsid w:val="0825634E"/>
    <w:rsid w:val="082A6064"/>
    <w:rsid w:val="082D0D5E"/>
    <w:rsid w:val="082F2D28"/>
    <w:rsid w:val="082F4AD6"/>
    <w:rsid w:val="083420ED"/>
    <w:rsid w:val="08346591"/>
    <w:rsid w:val="08362309"/>
    <w:rsid w:val="08362BC8"/>
    <w:rsid w:val="083E11BD"/>
    <w:rsid w:val="084560A8"/>
    <w:rsid w:val="084E7652"/>
    <w:rsid w:val="08534B88"/>
    <w:rsid w:val="085D7896"/>
    <w:rsid w:val="08634780"/>
    <w:rsid w:val="08640C24"/>
    <w:rsid w:val="087071EE"/>
    <w:rsid w:val="08713341"/>
    <w:rsid w:val="08730E67"/>
    <w:rsid w:val="087573C0"/>
    <w:rsid w:val="087F5A5E"/>
    <w:rsid w:val="088E3EF3"/>
    <w:rsid w:val="08955281"/>
    <w:rsid w:val="089963F4"/>
    <w:rsid w:val="089D4136"/>
    <w:rsid w:val="08A2799E"/>
    <w:rsid w:val="08A52FEB"/>
    <w:rsid w:val="08B35707"/>
    <w:rsid w:val="08B5322E"/>
    <w:rsid w:val="08B84ACC"/>
    <w:rsid w:val="08C47915"/>
    <w:rsid w:val="08C571E9"/>
    <w:rsid w:val="08C90A87"/>
    <w:rsid w:val="08CE2541"/>
    <w:rsid w:val="08CE78BD"/>
    <w:rsid w:val="08D00067"/>
    <w:rsid w:val="08D31906"/>
    <w:rsid w:val="08D5567E"/>
    <w:rsid w:val="08D613F6"/>
    <w:rsid w:val="08DB6A0C"/>
    <w:rsid w:val="08E43B13"/>
    <w:rsid w:val="08E753B1"/>
    <w:rsid w:val="08E91129"/>
    <w:rsid w:val="08ED38E2"/>
    <w:rsid w:val="08F0070A"/>
    <w:rsid w:val="08F062C2"/>
    <w:rsid w:val="08F33D56"/>
    <w:rsid w:val="090146C5"/>
    <w:rsid w:val="09016473"/>
    <w:rsid w:val="090715AF"/>
    <w:rsid w:val="09077801"/>
    <w:rsid w:val="09081D34"/>
    <w:rsid w:val="090B19E1"/>
    <w:rsid w:val="0910646C"/>
    <w:rsid w:val="09137F54"/>
    <w:rsid w:val="09151F1E"/>
    <w:rsid w:val="09175C96"/>
    <w:rsid w:val="09185B72"/>
    <w:rsid w:val="0922463B"/>
    <w:rsid w:val="09297778"/>
    <w:rsid w:val="092B34F0"/>
    <w:rsid w:val="093A1985"/>
    <w:rsid w:val="093C74AB"/>
    <w:rsid w:val="09410F65"/>
    <w:rsid w:val="09436A8B"/>
    <w:rsid w:val="09491A2C"/>
    <w:rsid w:val="094C3466"/>
    <w:rsid w:val="094E71DE"/>
    <w:rsid w:val="09510A7C"/>
    <w:rsid w:val="095A3DD5"/>
    <w:rsid w:val="0960548E"/>
    <w:rsid w:val="096802A0"/>
    <w:rsid w:val="096D3B08"/>
    <w:rsid w:val="096E0694"/>
    <w:rsid w:val="0970184A"/>
    <w:rsid w:val="097053A7"/>
    <w:rsid w:val="09726D61"/>
    <w:rsid w:val="09727371"/>
    <w:rsid w:val="09764484"/>
    <w:rsid w:val="09772BD9"/>
    <w:rsid w:val="097A6225"/>
    <w:rsid w:val="097D3E59"/>
    <w:rsid w:val="09815806"/>
    <w:rsid w:val="09834B42"/>
    <w:rsid w:val="098E3A7F"/>
    <w:rsid w:val="099739D0"/>
    <w:rsid w:val="099866AB"/>
    <w:rsid w:val="099E0166"/>
    <w:rsid w:val="09A60DC8"/>
    <w:rsid w:val="09AC6517"/>
    <w:rsid w:val="09AF4121"/>
    <w:rsid w:val="09B259BF"/>
    <w:rsid w:val="09B42F1C"/>
    <w:rsid w:val="09C35E1E"/>
    <w:rsid w:val="09C53944"/>
    <w:rsid w:val="09C6146A"/>
    <w:rsid w:val="09C83435"/>
    <w:rsid w:val="09C95AF0"/>
    <w:rsid w:val="09CA0F5B"/>
    <w:rsid w:val="09CF6571"/>
    <w:rsid w:val="09D73678"/>
    <w:rsid w:val="09D9119E"/>
    <w:rsid w:val="09DC47EA"/>
    <w:rsid w:val="09E15530"/>
    <w:rsid w:val="09E55D95"/>
    <w:rsid w:val="09EC7123"/>
    <w:rsid w:val="09F47D86"/>
    <w:rsid w:val="09F9539C"/>
    <w:rsid w:val="09FB2800"/>
    <w:rsid w:val="09FD121A"/>
    <w:rsid w:val="0A03446D"/>
    <w:rsid w:val="0A037FC9"/>
    <w:rsid w:val="0A0F2E11"/>
    <w:rsid w:val="0A0F4BBF"/>
    <w:rsid w:val="0A123C5E"/>
    <w:rsid w:val="0A171CC6"/>
    <w:rsid w:val="0A195A3E"/>
    <w:rsid w:val="0A1B17B6"/>
    <w:rsid w:val="0A1B58FF"/>
    <w:rsid w:val="0A256191"/>
    <w:rsid w:val="0A2C5771"/>
    <w:rsid w:val="0A312D88"/>
    <w:rsid w:val="0A40121D"/>
    <w:rsid w:val="0A40746F"/>
    <w:rsid w:val="0A432ABB"/>
    <w:rsid w:val="0A456833"/>
    <w:rsid w:val="0A4A3E4A"/>
    <w:rsid w:val="0A51342A"/>
    <w:rsid w:val="0A5151D8"/>
    <w:rsid w:val="0A516F86"/>
    <w:rsid w:val="0A576F02"/>
    <w:rsid w:val="0A590531"/>
    <w:rsid w:val="0A5B6057"/>
    <w:rsid w:val="0A5D1DCF"/>
    <w:rsid w:val="0A5D206A"/>
    <w:rsid w:val="0A5E7487"/>
    <w:rsid w:val="0A60366D"/>
    <w:rsid w:val="0A634F0B"/>
    <w:rsid w:val="0A690774"/>
    <w:rsid w:val="0A6C2012"/>
    <w:rsid w:val="0A6D7B49"/>
    <w:rsid w:val="0A6F565E"/>
    <w:rsid w:val="0A747118"/>
    <w:rsid w:val="0A7B1045"/>
    <w:rsid w:val="0A821835"/>
    <w:rsid w:val="0A8455AD"/>
    <w:rsid w:val="0A84735B"/>
    <w:rsid w:val="0A8729A8"/>
    <w:rsid w:val="0A8A2498"/>
    <w:rsid w:val="0A8D3D36"/>
    <w:rsid w:val="0A947507"/>
    <w:rsid w:val="0A951569"/>
    <w:rsid w:val="0A960E3D"/>
    <w:rsid w:val="0A9B46A5"/>
    <w:rsid w:val="0AA236FF"/>
    <w:rsid w:val="0AA417AC"/>
    <w:rsid w:val="0AA479FE"/>
    <w:rsid w:val="0AA51080"/>
    <w:rsid w:val="0AAE6F90"/>
    <w:rsid w:val="0AB45767"/>
    <w:rsid w:val="0AB86F14"/>
    <w:rsid w:val="0ABF65E6"/>
    <w:rsid w:val="0AC92FC0"/>
    <w:rsid w:val="0AC97464"/>
    <w:rsid w:val="0ACA2CA7"/>
    <w:rsid w:val="0ACC0D02"/>
    <w:rsid w:val="0AD100C7"/>
    <w:rsid w:val="0AD11D45"/>
    <w:rsid w:val="0AD32091"/>
    <w:rsid w:val="0AD656DD"/>
    <w:rsid w:val="0ADB2CF4"/>
    <w:rsid w:val="0ADF0F5E"/>
    <w:rsid w:val="0AE0655C"/>
    <w:rsid w:val="0AE4604C"/>
    <w:rsid w:val="0AE903B8"/>
    <w:rsid w:val="0AF04AB4"/>
    <w:rsid w:val="0AF3003D"/>
    <w:rsid w:val="0AF50259"/>
    <w:rsid w:val="0AF67B2D"/>
    <w:rsid w:val="0AFF2E86"/>
    <w:rsid w:val="0B016BFE"/>
    <w:rsid w:val="0B04049C"/>
    <w:rsid w:val="0B0926BC"/>
    <w:rsid w:val="0B095AB3"/>
    <w:rsid w:val="0B097861"/>
    <w:rsid w:val="0B0B182B"/>
    <w:rsid w:val="0B1701D0"/>
    <w:rsid w:val="0B1873A5"/>
    <w:rsid w:val="0B1A6CF9"/>
    <w:rsid w:val="0B1B1342"/>
    <w:rsid w:val="0B256440"/>
    <w:rsid w:val="0B2B77D7"/>
    <w:rsid w:val="0B2D6095"/>
    <w:rsid w:val="0B2E376B"/>
    <w:rsid w:val="0B372620"/>
    <w:rsid w:val="0B422D73"/>
    <w:rsid w:val="0B444D3D"/>
    <w:rsid w:val="0B4D1E43"/>
    <w:rsid w:val="0B521208"/>
    <w:rsid w:val="0B5221AF"/>
    <w:rsid w:val="0B5605CC"/>
    <w:rsid w:val="0B5A630E"/>
    <w:rsid w:val="0B5B5EC2"/>
    <w:rsid w:val="0B5C5BE2"/>
    <w:rsid w:val="0B5D7BAD"/>
    <w:rsid w:val="0B5F3925"/>
    <w:rsid w:val="0B633694"/>
    <w:rsid w:val="0B642CE9"/>
    <w:rsid w:val="0B680A2B"/>
    <w:rsid w:val="0B7218AA"/>
    <w:rsid w:val="0B7462A1"/>
    <w:rsid w:val="0B792C38"/>
    <w:rsid w:val="0B7C44D7"/>
    <w:rsid w:val="0B7D1FFD"/>
    <w:rsid w:val="0B7F1F6E"/>
    <w:rsid w:val="0B896BF3"/>
    <w:rsid w:val="0B8B296C"/>
    <w:rsid w:val="0B8D0492"/>
    <w:rsid w:val="0B925AA8"/>
    <w:rsid w:val="0B980BE5"/>
    <w:rsid w:val="0B994743"/>
    <w:rsid w:val="0BA16641"/>
    <w:rsid w:val="0BA47589"/>
    <w:rsid w:val="0BA852CC"/>
    <w:rsid w:val="0BA94BA0"/>
    <w:rsid w:val="0BB05F2E"/>
    <w:rsid w:val="0BB21CA6"/>
    <w:rsid w:val="0BB2614A"/>
    <w:rsid w:val="0BB377CC"/>
    <w:rsid w:val="0BCD2653"/>
    <w:rsid w:val="0BD53BE7"/>
    <w:rsid w:val="0BDE0CED"/>
    <w:rsid w:val="0BDE6F3F"/>
    <w:rsid w:val="0BE1433A"/>
    <w:rsid w:val="0BE95D18"/>
    <w:rsid w:val="0BEB6F66"/>
    <w:rsid w:val="0BEF4CA9"/>
    <w:rsid w:val="0C104C1F"/>
    <w:rsid w:val="0C175FAD"/>
    <w:rsid w:val="0C1A784C"/>
    <w:rsid w:val="0C1B5A9E"/>
    <w:rsid w:val="0C1E10EA"/>
    <w:rsid w:val="0C236700"/>
    <w:rsid w:val="0C261DCE"/>
    <w:rsid w:val="0C2D757F"/>
    <w:rsid w:val="0C386BFE"/>
    <w:rsid w:val="0C3923C8"/>
    <w:rsid w:val="0C3B7EEE"/>
    <w:rsid w:val="0C3D1EB8"/>
    <w:rsid w:val="0C445A9E"/>
    <w:rsid w:val="0C474054"/>
    <w:rsid w:val="0C4A0131"/>
    <w:rsid w:val="0C4D7C21"/>
    <w:rsid w:val="0C547201"/>
    <w:rsid w:val="0C57284E"/>
    <w:rsid w:val="0C5745FC"/>
    <w:rsid w:val="0C580AA0"/>
    <w:rsid w:val="0C5D60B6"/>
    <w:rsid w:val="0C5E3BDC"/>
    <w:rsid w:val="0C5E598A"/>
    <w:rsid w:val="0C605BA6"/>
    <w:rsid w:val="0C607954"/>
    <w:rsid w:val="0C61547A"/>
    <w:rsid w:val="0C632FA1"/>
    <w:rsid w:val="0C727688"/>
    <w:rsid w:val="0C7962FE"/>
    <w:rsid w:val="0C7E7DDA"/>
    <w:rsid w:val="0C801DA5"/>
    <w:rsid w:val="0C807FF6"/>
    <w:rsid w:val="0C874EE1"/>
    <w:rsid w:val="0C8A677F"/>
    <w:rsid w:val="0C8F023A"/>
    <w:rsid w:val="0CA041F5"/>
    <w:rsid w:val="0CAC6BB6"/>
    <w:rsid w:val="0CAD246E"/>
    <w:rsid w:val="0CAF4438"/>
    <w:rsid w:val="0CB33F28"/>
    <w:rsid w:val="0CB47CA0"/>
    <w:rsid w:val="0CB641E8"/>
    <w:rsid w:val="0CB657C6"/>
    <w:rsid w:val="0CB67574"/>
    <w:rsid w:val="0CBD0903"/>
    <w:rsid w:val="0CBD6B55"/>
    <w:rsid w:val="0CC06645"/>
    <w:rsid w:val="0CC2416B"/>
    <w:rsid w:val="0CC34F37"/>
    <w:rsid w:val="0CC7352F"/>
    <w:rsid w:val="0CCA3020"/>
    <w:rsid w:val="0CD45C4C"/>
    <w:rsid w:val="0CEA1C84"/>
    <w:rsid w:val="0CF27FD7"/>
    <w:rsid w:val="0CF62067"/>
    <w:rsid w:val="0CFD33F5"/>
    <w:rsid w:val="0CFF0F1B"/>
    <w:rsid w:val="0D006A41"/>
    <w:rsid w:val="0D020643"/>
    <w:rsid w:val="0D026C5D"/>
    <w:rsid w:val="0D027920"/>
    <w:rsid w:val="0D062877"/>
    <w:rsid w:val="0D076022"/>
    <w:rsid w:val="0D136775"/>
    <w:rsid w:val="0D1F15BD"/>
    <w:rsid w:val="0D240982"/>
    <w:rsid w:val="0D2564A8"/>
    <w:rsid w:val="0D270472"/>
    <w:rsid w:val="0D2E35AF"/>
    <w:rsid w:val="0D366907"/>
    <w:rsid w:val="0D395874"/>
    <w:rsid w:val="0D3A63F7"/>
    <w:rsid w:val="0D476810"/>
    <w:rsid w:val="0D4E59FF"/>
    <w:rsid w:val="0D505C1B"/>
    <w:rsid w:val="0D6671EC"/>
    <w:rsid w:val="0D7116ED"/>
    <w:rsid w:val="0D782A7C"/>
    <w:rsid w:val="0D784C24"/>
    <w:rsid w:val="0D7A4A46"/>
    <w:rsid w:val="0D7D4536"/>
    <w:rsid w:val="0D814026"/>
    <w:rsid w:val="0D841421"/>
    <w:rsid w:val="0D844E64"/>
    <w:rsid w:val="0D864353"/>
    <w:rsid w:val="0D887163"/>
    <w:rsid w:val="0D8A1F3D"/>
    <w:rsid w:val="0D8B27AF"/>
    <w:rsid w:val="0D950425"/>
    <w:rsid w:val="0D957AD2"/>
    <w:rsid w:val="0D975FF4"/>
    <w:rsid w:val="0D9A2BAA"/>
    <w:rsid w:val="0DA129FB"/>
    <w:rsid w:val="0DA815B3"/>
    <w:rsid w:val="0DA90385"/>
    <w:rsid w:val="0DA9532B"/>
    <w:rsid w:val="0DAE46EF"/>
    <w:rsid w:val="0DAE649D"/>
    <w:rsid w:val="0DB77A48"/>
    <w:rsid w:val="0DB8556E"/>
    <w:rsid w:val="0DBB6D5E"/>
    <w:rsid w:val="0DBC0BBA"/>
    <w:rsid w:val="0DBE0DD6"/>
    <w:rsid w:val="0DC44067"/>
    <w:rsid w:val="0DC45CC1"/>
    <w:rsid w:val="0DC7755F"/>
    <w:rsid w:val="0DC932D7"/>
    <w:rsid w:val="0DCB34F3"/>
    <w:rsid w:val="0DCF792E"/>
    <w:rsid w:val="0DD505F0"/>
    <w:rsid w:val="0DD8176C"/>
    <w:rsid w:val="0DD81E33"/>
    <w:rsid w:val="0DDA3736"/>
    <w:rsid w:val="0DE04A0B"/>
    <w:rsid w:val="0DE574E6"/>
    <w:rsid w:val="0DE85ED6"/>
    <w:rsid w:val="0DEA5E6A"/>
    <w:rsid w:val="0DEB76F2"/>
    <w:rsid w:val="0DEE0F90"/>
    <w:rsid w:val="0DF447F8"/>
    <w:rsid w:val="0DFC18FF"/>
    <w:rsid w:val="0DFC2E62"/>
    <w:rsid w:val="0DFC36FB"/>
    <w:rsid w:val="0DFE7425"/>
    <w:rsid w:val="0DFF319D"/>
    <w:rsid w:val="0E082052"/>
    <w:rsid w:val="0E0C37D7"/>
    <w:rsid w:val="0E0D74C3"/>
    <w:rsid w:val="0E15651D"/>
    <w:rsid w:val="0E1C5AFD"/>
    <w:rsid w:val="0E1F1149"/>
    <w:rsid w:val="0E26072A"/>
    <w:rsid w:val="0E263B19"/>
    <w:rsid w:val="0E2C21E4"/>
    <w:rsid w:val="0E3015A8"/>
    <w:rsid w:val="0E356BBF"/>
    <w:rsid w:val="0E372937"/>
    <w:rsid w:val="0E375F44"/>
    <w:rsid w:val="0E3E7DA6"/>
    <w:rsid w:val="0E415563"/>
    <w:rsid w:val="0E464928"/>
    <w:rsid w:val="0E506DB7"/>
    <w:rsid w:val="0E5559B0"/>
    <w:rsid w:val="0E5B4877"/>
    <w:rsid w:val="0E601E8E"/>
    <w:rsid w:val="0E653000"/>
    <w:rsid w:val="0E6574A4"/>
    <w:rsid w:val="0E6B25E0"/>
    <w:rsid w:val="0E7C3317"/>
    <w:rsid w:val="0E7D2A40"/>
    <w:rsid w:val="0E7E0566"/>
    <w:rsid w:val="0E811E04"/>
    <w:rsid w:val="0E85495D"/>
    <w:rsid w:val="0E9008CD"/>
    <w:rsid w:val="0E910299"/>
    <w:rsid w:val="0E971374"/>
    <w:rsid w:val="0E9B2EC6"/>
    <w:rsid w:val="0E9F65F4"/>
    <w:rsid w:val="0EA76379"/>
    <w:rsid w:val="0EA77ABC"/>
    <w:rsid w:val="0EAB648E"/>
    <w:rsid w:val="0EB2020F"/>
    <w:rsid w:val="0EB37705"/>
    <w:rsid w:val="0EB6385C"/>
    <w:rsid w:val="0EB67D00"/>
    <w:rsid w:val="0EBD108E"/>
    <w:rsid w:val="0EC51CF1"/>
    <w:rsid w:val="0ED84559"/>
    <w:rsid w:val="0EE02FCE"/>
    <w:rsid w:val="0EE26D46"/>
    <w:rsid w:val="0EE7435D"/>
    <w:rsid w:val="0EE77EB9"/>
    <w:rsid w:val="0EE91E83"/>
    <w:rsid w:val="0EEA1757"/>
    <w:rsid w:val="0EEA5BFB"/>
    <w:rsid w:val="0EEC54CF"/>
    <w:rsid w:val="0EF10D38"/>
    <w:rsid w:val="0EF34E2C"/>
    <w:rsid w:val="0EF44384"/>
    <w:rsid w:val="0EF64C2F"/>
    <w:rsid w:val="0EFC3B45"/>
    <w:rsid w:val="0EFE3455"/>
    <w:rsid w:val="0F011B8B"/>
    <w:rsid w:val="0F0D26CC"/>
    <w:rsid w:val="0F126021"/>
    <w:rsid w:val="0F155CD5"/>
    <w:rsid w:val="0F16254C"/>
    <w:rsid w:val="0F184ADA"/>
    <w:rsid w:val="0F191599"/>
    <w:rsid w:val="0F234C69"/>
    <w:rsid w:val="0F24110D"/>
    <w:rsid w:val="0F247CAD"/>
    <w:rsid w:val="0F25585D"/>
    <w:rsid w:val="0F276507"/>
    <w:rsid w:val="0F29227F"/>
    <w:rsid w:val="0F2C6178"/>
    <w:rsid w:val="0F3330FE"/>
    <w:rsid w:val="0F334EAC"/>
    <w:rsid w:val="0F360E40"/>
    <w:rsid w:val="0F39623B"/>
    <w:rsid w:val="0F3B6457"/>
    <w:rsid w:val="0F44355D"/>
    <w:rsid w:val="0F4470B9"/>
    <w:rsid w:val="0F4B669A"/>
    <w:rsid w:val="0F4C0664"/>
    <w:rsid w:val="0F517A28"/>
    <w:rsid w:val="0F621C35"/>
    <w:rsid w:val="0F655282"/>
    <w:rsid w:val="0F6634D4"/>
    <w:rsid w:val="0F7554C5"/>
    <w:rsid w:val="0F7A0AA7"/>
    <w:rsid w:val="0F7A6F7F"/>
    <w:rsid w:val="0F7F6343"/>
    <w:rsid w:val="0F804919"/>
    <w:rsid w:val="0F84395A"/>
    <w:rsid w:val="0F8442F1"/>
    <w:rsid w:val="0F8E75B2"/>
    <w:rsid w:val="0F9A13CF"/>
    <w:rsid w:val="0F9C5147"/>
    <w:rsid w:val="0FA1669B"/>
    <w:rsid w:val="0FA20284"/>
    <w:rsid w:val="0FC226D4"/>
    <w:rsid w:val="0FC33A40"/>
    <w:rsid w:val="0FD20B69"/>
    <w:rsid w:val="0FD77F2D"/>
    <w:rsid w:val="0FD85A54"/>
    <w:rsid w:val="0FDD12BC"/>
    <w:rsid w:val="0FDF3286"/>
    <w:rsid w:val="0FDF5034"/>
    <w:rsid w:val="0FEE34C9"/>
    <w:rsid w:val="0FFA07FB"/>
    <w:rsid w:val="0FFC3E38"/>
    <w:rsid w:val="100920B1"/>
    <w:rsid w:val="100B407B"/>
    <w:rsid w:val="100E76C7"/>
    <w:rsid w:val="100F5919"/>
    <w:rsid w:val="10142F30"/>
    <w:rsid w:val="101A2510"/>
    <w:rsid w:val="101C0036"/>
    <w:rsid w:val="101E0F8B"/>
    <w:rsid w:val="102962AF"/>
    <w:rsid w:val="10325B95"/>
    <w:rsid w:val="10374E70"/>
    <w:rsid w:val="104906FF"/>
    <w:rsid w:val="104B091B"/>
    <w:rsid w:val="104F5C21"/>
    <w:rsid w:val="10507CE0"/>
    <w:rsid w:val="105C48D7"/>
    <w:rsid w:val="10656D47"/>
    <w:rsid w:val="1066305F"/>
    <w:rsid w:val="106A6FF4"/>
    <w:rsid w:val="107240FA"/>
    <w:rsid w:val="107F4121"/>
    <w:rsid w:val="10802373"/>
    <w:rsid w:val="10806817"/>
    <w:rsid w:val="10817E99"/>
    <w:rsid w:val="109127D2"/>
    <w:rsid w:val="10953945"/>
    <w:rsid w:val="109B53FF"/>
    <w:rsid w:val="109E6C9D"/>
    <w:rsid w:val="10AA3E49"/>
    <w:rsid w:val="10AC760C"/>
    <w:rsid w:val="10B75AD1"/>
    <w:rsid w:val="10B95885"/>
    <w:rsid w:val="10BF0E4F"/>
    <w:rsid w:val="10C009C2"/>
    <w:rsid w:val="10C20BDE"/>
    <w:rsid w:val="10C34956"/>
    <w:rsid w:val="10CA6968"/>
    <w:rsid w:val="10EF538B"/>
    <w:rsid w:val="10F60887"/>
    <w:rsid w:val="10F66AD9"/>
    <w:rsid w:val="10F845FF"/>
    <w:rsid w:val="10FB7C4C"/>
    <w:rsid w:val="11005262"/>
    <w:rsid w:val="11034D52"/>
    <w:rsid w:val="110A4333"/>
    <w:rsid w:val="111164AB"/>
    <w:rsid w:val="111927C8"/>
    <w:rsid w:val="111B209C"/>
    <w:rsid w:val="111D4066"/>
    <w:rsid w:val="111E393A"/>
    <w:rsid w:val="111F7DDE"/>
    <w:rsid w:val="11254CC9"/>
    <w:rsid w:val="112C42A9"/>
    <w:rsid w:val="11312DC0"/>
    <w:rsid w:val="113373E5"/>
    <w:rsid w:val="11366ED6"/>
    <w:rsid w:val="113B1525"/>
    <w:rsid w:val="113B273E"/>
    <w:rsid w:val="113E38EC"/>
    <w:rsid w:val="113F222E"/>
    <w:rsid w:val="11405FA6"/>
    <w:rsid w:val="11423ACC"/>
    <w:rsid w:val="114333A1"/>
    <w:rsid w:val="114701EB"/>
    <w:rsid w:val="11511F61"/>
    <w:rsid w:val="115455AE"/>
    <w:rsid w:val="116972AB"/>
    <w:rsid w:val="116B3023"/>
    <w:rsid w:val="116F4D23"/>
    <w:rsid w:val="11716160"/>
    <w:rsid w:val="11733C86"/>
    <w:rsid w:val="117619C8"/>
    <w:rsid w:val="117874EE"/>
    <w:rsid w:val="117D2D56"/>
    <w:rsid w:val="11812847"/>
    <w:rsid w:val="11875983"/>
    <w:rsid w:val="118848CF"/>
    <w:rsid w:val="11902A8A"/>
    <w:rsid w:val="119105B0"/>
    <w:rsid w:val="11991213"/>
    <w:rsid w:val="119A56B6"/>
    <w:rsid w:val="119B31DD"/>
    <w:rsid w:val="11A93B4C"/>
    <w:rsid w:val="11AC53EA"/>
    <w:rsid w:val="11B60016"/>
    <w:rsid w:val="11BD13A5"/>
    <w:rsid w:val="11BF511D"/>
    <w:rsid w:val="11C049F1"/>
    <w:rsid w:val="11C10E95"/>
    <w:rsid w:val="11C11380"/>
    <w:rsid w:val="11C269BB"/>
    <w:rsid w:val="11C73FD2"/>
    <w:rsid w:val="11C75D80"/>
    <w:rsid w:val="11CB5870"/>
    <w:rsid w:val="11CE5360"/>
    <w:rsid w:val="11D3768E"/>
    <w:rsid w:val="11DA5AB3"/>
    <w:rsid w:val="11E37FA7"/>
    <w:rsid w:val="11E91075"/>
    <w:rsid w:val="11EE155E"/>
    <w:rsid w:val="11EE5FC9"/>
    <w:rsid w:val="11F0177A"/>
    <w:rsid w:val="11F1104F"/>
    <w:rsid w:val="11F33019"/>
    <w:rsid w:val="11F86286"/>
    <w:rsid w:val="11FC1ECD"/>
    <w:rsid w:val="120174E4"/>
    <w:rsid w:val="1202325C"/>
    <w:rsid w:val="12092462"/>
    <w:rsid w:val="120E7E53"/>
    <w:rsid w:val="120F2891"/>
    <w:rsid w:val="12135469"/>
    <w:rsid w:val="12152F8F"/>
    <w:rsid w:val="121D403F"/>
    <w:rsid w:val="122431D2"/>
    <w:rsid w:val="122F0A2C"/>
    <w:rsid w:val="12346A30"/>
    <w:rsid w:val="12374CB3"/>
    <w:rsid w:val="123D6042"/>
    <w:rsid w:val="123F000C"/>
    <w:rsid w:val="12411FD6"/>
    <w:rsid w:val="12442667"/>
    <w:rsid w:val="1246139A"/>
    <w:rsid w:val="12463148"/>
    <w:rsid w:val="124666C8"/>
    <w:rsid w:val="12496F44"/>
    <w:rsid w:val="124B4C03"/>
    <w:rsid w:val="124B69B1"/>
    <w:rsid w:val="12505D75"/>
    <w:rsid w:val="12535865"/>
    <w:rsid w:val="12555A81"/>
    <w:rsid w:val="125848EC"/>
    <w:rsid w:val="125A3098"/>
    <w:rsid w:val="125C0BBE"/>
    <w:rsid w:val="125F51BD"/>
    <w:rsid w:val="12614426"/>
    <w:rsid w:val="12665599"/>
    <w:rsid w:val="126C4A67"/>
    <w:rsid w:val="127759F8"/>
    <w:rsid w:val="127777A6"/>
    <w:rsid w:val="127A55B4"/>
    <w:rsid w:val="127B54E8"/>
    <w:rsid w:val="12851EC3"/>
    <w:rsid w:val="1286241A"/>
    <w:rsid w:val="128B3251"/>
    <w:rsid w:val="12942106"/>
    <w:rsid w:val="129A61A5"/>
    <w:rsid w:val="129B31AF"/>
    <w:rsid w:val="129E4D32"/>
    <w:rsid w:val="129F7C67"/>
    <w:rsid w:val="12BB3B36"/>
    <w:rsid w:val="12BC340B"/>
    <w:rsid w:val="12C10A21"/>
    <w:rsid w:val="12C16C73"/>
    <w:rsid w:val="12CF75E2"/>
    <w:rsid w:val="12D76496"/>
    <w:rsid w:val="12DF5486"/>
    <w:rsid w:val="12E2233F"/>
    <w:rsid w:val="12E235A9"/>
    <w:rsid w:val="12E56E05"/>
    <w:rsid w:val="12E60488"/>
    <w:rsid w:val="12EA7F78"/>
    <w:rsid w:val="12F6691D"/>
    <w:rsid w:val="12FB03D7"/>
    <w:rsid w:val="12FE0E52"/>
    <w:rsid w:val="130946C9"/>
    <w:rsid w:val="130F5C30"/>
    <w:rsid w:val="13135720"/>
    <w:rsid w:val="13143247"/>
    <w:rsid w:val="131E5E73"/>
    <w:rsid w:val="131E7C21"/>
    <w:rsid w:val="1323348A"/>
    <w:rsid w:val="13261758"/>
    <w:rsid w:val="132711CC"/>
    <w:rsid w:val="1329181A"/>
    <w:rsid w:val="13380DD8"/>
    <w:rsid w:val="133E02C4"/>
    <w:rsid w:val="133E2072"/>
    <w:rsid w:val="133E4052"/>
    <w:rsid w:val="13426006"/>
    <w:rsid w:val="1344521A"/>
    <w:rsid w:val="13460D42"/>
    <w:rsid w:val="135B2C24"/>
    <w:rsid w:val="135D4DFE"/>
    <w:rsid w:val="136046DE"/>
    <w:rsid w:val="13645ACB"/>
    <w:rsid w:val="136A2E67"/>
    <w:rsid w:val="136B2FF2"/>
    <w:rsid w:val="13710699"/>
    <w:rsid w:val="13765CAF"/>
    <w:rsid w:val="137B32C6"/>
    <w:rsid w:val="13854144"/>
    <w:rsid w:val="13985C26"/>
    <w:rsid w:val="139879D4"/>
    <w:rsid w:val="139A199E"/>
    <w:rsid w:val="13A740BB"/>
    <w:rsid w:val="13AC16D1"/>
    <w:rsid w:val="13AD4F94"/>
    <w:rsid w:val="13B16CE7"/>
    <w:rsid w:val="13BF1404"/>
    <w:rsid w:val="13C91FE9"/>
    <w:rsid w:val="13CE5AEB"/>
    <w:rsid w:val="13CF471A"/>
    <w:rsid w:val="13D11138"/>
    <w:rsid w:val="13D36C5E"/>
    <w:rsid w:val="13DF5603"/>
    <w:rsid w:val="13E9022F"/>
    <w:rsid w:val="13E957B5"/>
    <w:rsid w:val="13EB21F9"/>
    <w:rsid w:val="13EC5F71"/>
    <w:rsid w:val="13F54664"/>
    <w:rsid w:val="13F56BD4"/>
    <w:rsid w:val="14096B23"/>
    <w:rsid w:val="141334FE"/>
    <w:rsid w:val="141C495F"/>
    <w:rsid w:val="141D75E8"/>
    <w:rsid w:val="14207171"/>
    <w:rsid w:val="14213FC1"/>
    <w:rsid w:val="14215C1B"/>
    <w:rsid w:val="14223741"/>
    <w:rsid w:val="142A67B4"/>
    <w:rsid w:val="142B0848"/>
    <w:rsid w:val="142C2815"/>
    <w:rsid w:val="143771ED"/>
    <w:rsid w:val="14412BB2"/>
    <w:rsid w:val="14496F20"/>
    <w:rsid w:val="14506500"/>
    <w:rsid w:val="14537D9F"/>
    <w:rsid w:val="14587163"/>
    <w:rsid w:val="14627FE2"/>
    <w:rsid w:val="14667AD2"/>
    <w:rsid w:val="14686756"/>
    <w:rsid w:val="146B333A"/>
    <w:rsid w:val="146B50E8"/>
    <w:rsid w:val="146F2D0E"/>
    <w:rsid w:val="14700951"/>
    <w:rsid w:val="147541B9"/>
    <w:rsid w:val="147F2942"/>
    <w:rsid w:val="148461AA"/>
    <w:rsid w:val="14891A12"/>
    <w:rsid w:val="148937C0"/>
    <w:rsid w:val="148B578A"/>
    <w:rsid w:val="14904B4F"/>
    <w:rsid w:val="14962FFE"/>
    <w:rsid w:val="14977C8B"/>
    <w:rsid w:val="14A14FAE"/>
    <w:rsid w:val="14A32AD4"/>
    <w:rsid w:val="14A423A8"/>
    <w:rsid w:val="14AA3E63"/>
    <w:rsid w:val="14AD5701"/>
    <w:rsid w:val="14AE3227"/>
    <w:rsid w:val="14AF76CB"/>
    <w:rsid w:val="14B7657F"/>
    <w:rsid w:val="14BC6537"/>
    <w:rsid w:val="14BE16BC"/>
    <w:rsid w:val="14C36CD2"/>
    <w:rsid w:val="14C71D43"/>
    <w:rsid w:val="14CB202B"/>
    <w:rsid w:val="14D62EA9"/>
    <w:rsid w:val="14ED3D4F"/>
    <w:rsid w:val="14EF0366"/>
    <w:rsid w:val="14F055ED"/>
    <w:rsid w:val="14FC3F92"/>
    <w:rsid w:val="150F1F18"/>
    <w:rsid w:val="15107A3E"/>
    <w:rsid w:val="1514752E"/>
    <w:rsid w:val="151574F7"/>
    <w:rsid w:val="15190FE8"/>
    <w:rsid w:val="15197EAA"/>
    <w:rsid w:val="151C4634"/>
    <w:rsid w:val="151C5C19"/>
    <w:rsid w:val="151E65FF"/>
    <w:rsid w:val="152359C3"/>
    <w:rsid w:val="1528122B"/>
    <w:rsid w:val="15282FD9"/>
    <w:rsid w:val="15284D87"/>
    <w:rsid w:val="153D4CD7"/>
    <w:rsid w:val="15436065"/>
    <w:rsid w:val="15455939"/>
    <w:rsid w:val="154A73F4"/>
    <w:rsid w:val="155344FA"/>
    <w:rsid w:val="15542020"/>
    <w:rsid w:val="155838BF"/>
    <w:rsid w:val="15597637"/>
    <w:rsid w:val="155C2C83"/>
    <w:rsid w:val="15610299"/>
    <w:rsid w:val="15632263"/>
    <w:rsid w:val="1564320E"/>
    <w:rsid w:val="156F6E5A"/>
    <w:rsid w:val="157601E9"/>
    <w:rsid w:val="15785D0F"/>
    <w:rsid w:val="157D5323"/>
    <w:rsid w:val="158D108E"/>
    <w:rsid w:val="158F3058"/>
    <w:rsid w:val="15916DD0"/>
    <w:rsid w:val="15966195"/>
    <w:rsid w:val="15A078BC"/>
    <w:rsid w:val="15A24B3A"/>
    <w:rsid w:val="15A5287C"/>
    <w:rsid w:val="15A5462A"/>
    <w:rsid w:val="15AC7766"/>
    <w:rsid w:val="15AE34DE"/>
    <w:rsid w:val="15AE733A"/>
    <w:rsid w:val="15B914BE"/>
    <w:rsid w:val="15BD5E17"/>
    <w:rsid w:val="15C342FB"/>
    <w:rsid w:val="15C64DAB"/>
    <w:rsid w:val="15CE1DD3"/>
    <w:rsid w:val="15DE18EA"/>
    <w:rsid w:val="15DF5D8E"/>
    <w:rsid w:val="15E96C0C"/>
    <w:rsid w:val="15F31839"/>
    <w:rsid w:val="15FA4976"/>
    <w:rsid w:val="15FF3D3A"/>
    <w:rsid w:val="16077093"/>
    <w:rsid w:val="160B6B83"/>
    <w:rsid w:val="160E370D"/>
    <w:rsid w:val="16135A37"/>
    <w:rsid w:val="16145F86"/>
    <w:rsid w:val="1618304E"/>
    <w:rsid w:val="1626576B"/>
    <w:rsid w:val="1629525B"/>
    <w:rsid w:val="162E2871"/>
    <w:rsid w:val="163F682C"/>
    <w:rsid w:val="164125A5"/>
    <w:rsid w:val="16465E0D"/>
    <w:rsid w:val="16500A3A"/>
    <w:rsid w:val="165E7A3D"/>
    <w:rsid w:val="165F2A2B"/>
    <w:rsid w:val="166444E5"/>
    <w:rsid w:val="1666200B"/>
    <w:rsid w:val="166D339A"/>
    <w:rsid w:val="1672275E"/>
    <w:rsid w:val="16726C02"/>
    <w:rsid w:val="16734728"/>
    <w:rsid w:val="167F4E7B"/>
    <w:rsid w:val="16810BF3"/>
    <w:rsid w:val="168129A1"/>
    <w:rsid w:val="168D3A3C"/>
    <w:rsid w:val="1693354C"/>
    <w:rsid w:val="1697220B"/>
    <w:rsid w:val="169C5D3E"/>
    <w:rsid w:val="169D3553"/>
    <w:rsid w:val="16A42B33"/>
    <w:rsid w:val="16A668AC"/>
    <w:rsid w:val="16B965DF"/>
    <w:rsid w:val="16BE1E47"/>
    <w:rsid w:val="16C805D0"/>
    <w:rsid w:val="16CA259A"/>
    <w:rsid w:val="16CD208A"/>
    <w:rsid w:val="16E42F30"/>
    <w:rsid w:val="16E95732"/>
    <w:rsid w:val="16E96798"/>
    <w:rsid w:val="16EA49EA"/>
    <w:rsid w:val="16EF0253"/>
    <w:rsid w:val="16F21AF1"/>
    <w:rsid w:val="16F93153"/>
    <w:rsid w:val="16F94C2D"/>
    <w:rsid w:val="16FC296F"/>
    <w:rsid w:val="17011D34"/>
    <w:rsid w:val="17033CFE"/>
    <w:rsid w:val="17035AAC"/>
    <w:rsid w:val="17203A74"/>
    <w:rsid w:val="1720607C"/>
    <w:rsid w:val="17231CAA"/>
    <w:rsid w:val="17237EFC"/>
    <w:rsid w:val="172A1253"/>
    <w:rsid w:val="173043C7"/>
    <w:rsid w:val="1732013F"/>
    <w:rsid w:val="1735378C"/>
    <w:rsid w:val="17367C2F"/>
    <w:rsid w:val="173B5246"/>
    <w:rsid w:val="173C4B1A"/>
    <w:rsid w:val="17424826"/>
    <w:rsid w:val="175329EC"/>
    <w:rsid w:val="175B58E8"/>
    <w:rsid w:val="175C73AE"/>
    <w:rsid w:val="175D340E"/>
    <w:rsid w:val="176127D3"/>
    <w:rsid w:val="17620A24"/>
    <w:rsid w:val="17640624"/>
    <w:rsid w:val="17654071"/>
    <w:rsid w:val="1767428D"/>
    <w:rsid w:val="177E3384"/>
    <w:rsid w:val="178D1819"/>
    <w:rsid w:val="178F5592"/>
    <w:rsid w:val="178F7340"/>
    <w:rsid w:val="179D1A5D"/>
    <w:rsid w:val="179E3A27"/>
    <w:rsid w:val="17A96653"/>
    <w:rsid w:val="17B60D70"/>
    <w:rsid w:val="17B66759"/>
    <w:rsid w:val="17BD5C5B"/>
    <w:rsid w:val="17C4348D"/>
    <w:rsid w:val="17C43C1A"/>
    <w:rsid w:val="17C70888"/>
    <w:rsid w:val="17CF3BE0"/>
    <w:rsid w:val="17CF3EFF"/>
    <w:rsid w:val="17D32356"/>
    <w:rsid w:val="17D336D0"/>
    <w:rsid w:val="17D82A95"/>
    <w:rsid w:val="17D86F39"/>
    <w:rsid w:val="17D920F9"/>
    <w:rsid w:val="17D9680D"/>
    <w:rsid w:val="17DA4A5F"/>
    <w:rsid w:val="17DB07D7"/>
    <w:rsid w:val="17E21B65"/>
    <w:rsid w:val="17E7717C"/>
    <w:rsid w:val="17EE22B8"/>
    <w:rsid w:val="17F11DA8"/>
    <w:rsid w:val="17F17FFA"/>
    <w:rsid w:val="17F673BF"/>
    <w:rsid w:val="17FB6783"/>
    <w:rsid w:val="17FD6923"/>
    <w:rsid w:val="17FF2717"/>
    <w:rsid w:val="1800023D"/>
    <w:rsid w:val="18055854"/>
    <w:rsid w:val="1807337A"/>
    <w:rsid w:val="180A2E6A"/>
    <w:rsid w:val="180E64B6"/>
    <w:rsid w:val="181250E3"/>
    <w:rsid w:val="18147845"/>
    <w:rsid w:val="18155A97"/>
    <w:rsid w:val="18221F62"/>
    <w:rsid w:val="18267CA4"/>
    <w:rsid w:val="18273A1C"/>
    <w:rsid w:val="182757CA"/>
    <w:rsid w:val="182A7068"/>
    <w:rsid w:val="182C1032"/>
    <w:rsid w:val="18316649"/>
    <w:rsid w:val="18381785"/>
    <w:rsid w:val="183B1275"/>
    <w:rsid w:val="183B3024"/>
    <w:rsid w:val="1840063A"/>
    <w:rsid w:val="18441ED8"/>
    <w:rsid w:val="18475E6C"/>
    <w:rsid w:val="184B14B9"/>
    <w:rsid w:val="185650AD"/>
    <w:rsid w:val="18574301"/>
    <w:rsid w:val="185760AF"/>
    <w:rsid w:val="1859748B"/>
    <w:rsid w:val="185D11EC"/>
    <w:rsid w:val="186407CC"/>
    <w:rsid w:val="186C142F"/>
    <w:rsid w:val="18752259"/>
    <w:rsid w:val="187C5B16"/>
    <w:rsid w:val="187D363C"/>
    <w:rsid w:val="18820C52"/>
    <w:rsid w:val="18842C1C"/>
    <w:rsid w:val="18893D8F"/>
    <w:rsid w:val="188E5849"/>
    <w:rsid w:val="18904498"/>
    <w:rsid w:val="189B3AC2"/>
    <w:rsid w:val="18A3471E"/>
    <w:rsid w:val="18AB63FB"/>
    <w:rsid w:val="18AB740B"/>
    <w:rsid w:val="18BC5F12"/>
    <w:rsid w:val="18C1275A"/>
    <w:rsid w:val="18C179CD"/>
    <w:rsid w:val="18C80D5B"/>
    <w:rsid w:val="18C82B09"/>
    <w:rsid w:val="18CB25F9"/>
    <w:rsid w:val="18CD0291"/>
    <w:rsid w:val="18CD6371"/>
    <w:rsid w:val="18D019BE"/>
    <w:rsid w:val="18D314AE"/>
    <w:rsid w:val="18D33CBD"/>
    <w:rsid w:val="18D47700"/>
    <w:rsid w:val="18DC4807"/>
    <w:rsid w:val="18EE62E8"/>
    <w:rsid w:val="18F41B50"/>
    <w:rsid w:val="18FA6A3B"/>
    <w:rsid w:val="18FC6C57"/>
    <w:rsid w:val="18FE477D"/>
    <w:rsid w:val="18FF22A3"/>
    <w:rsid w:val="190A1374"/>
    <w:rsid w:val="190E0700"/>
    <w:rsid w:val="190F0738"/>
    <w:rsid w:val="19102702"/>
    <w:rsid w:val="192B12EA"/>
    <w:rsid w:val="192B4DF7"/>
    <w:rsid w:val="192C753C"/>
    <w:rsid w:val="192E125B"/>
    <w:rsid w:val="192F2B88"/>
    <w:rsid w:val="19377C8F"/>
    <w:rsid w:val="19393A07"/>
    <w:rsid w:val="193C7053"/>
    <w:rsid w:val="193E726F"/>
    <w:rsid w:val="193F21E0"/>
    <w:rsid w:val="19467ED2"/>
    <w:rsid w:val="19516FA3"/>
    <w:rsid w:val="19550115"/>
    <w:rsid w:val="195A572B"/>
    <w:rsid w:val="195F2D42"/>
    <w:rsid w:val="19614D0C"/>
    <w:rsid w:val="19650358"/>
    <w:rsid w:val="19670574"/>
    <w:rsid w:val="196C651D"/>
    <w:rsid w:val="19742C91"/>
    <w:rsid w:val="197607B7"/>
    <w:rsid w:val="19801636"/>
    <w:rsid w:val="19921369"/>
    <w:rsid w:val="199307ED"/>
    <w:rsid w:val="199B6470"/>
    <w:rsid w:val="19A277FE"/>
    <w:rsid w:val="19AE61A3"/>
    <w:rsid w:val="19B27315"/>
    <w:rsid w:val="19B80DD0"/>
    <w:rsid w:val="19BA6371"/>
    <w:rsid w:val="19C07C84"/>
    <w:rsid w:val="19CA0B03"/>
    <w:rsid w:val="19CF1C75"/>
    <w:rsid w:val="19CF7EC7"/>
    <w:rsid w:val="19D7627D"/>
    <w:rsid w:val="19DB2105"/>
    <w:rsid w:val="19DC4392"/>
    <w:rsid w:val="19E00326"/>
    <w:rsid w:val="19E576EB"/>
    <w:rsid w:val="19E73463"/>
    <w:rsid w:val="19EA2F53"/>
    <w:rsid w:val="19EA6AAF"/>
    <w:rsid w:val="19EC0A79"/>
    <w:rsid w:val="19F44E85"/>
    <w:rsid w:val="19F811CC"/>
    <w:rsid w:val="19F90D7B"/>
    <w:rsid w:val="19FE07AD"/>
    <w:rsid w:val="1A004525"/>
    <w:rsid w:val="1A046220"/>
    <w:rsid w:val="1A057D8D"/>
    <w:rsid w:val="1A0A7151"/>
    <w:rsid w:val="1A0C2EC9"/>
    <w:rsid w:val="1A136006"/>
    <w:rsid w:val="1A2024D1"/>
    <w:rsid w:val="1A21737F"/>
    <w:rsid w:val="1A304E0A"/>
    <w:rsid w:val="1A3348FA"/>
    <w:rsid w:val="1A444411"/>
    <w:rsid w:val="1A450189"/>
    <w:rsid w:val="1A473F02"/>
    <w:rsid w:val="1A4964D8"/>
    <w:rsid w:val="1A4C59BC"/>
    <w:rsid w:val="1A4E34E2"/>
    <w:rsid w:val="1A4E703E"/>
    <w:rsid w:val="1A512FD2"/>
    <w:rsid w:val="1A530AF8"/>
    <w:rsid w:val="1A5403CD"/>
    <w:rsid w:val="1A62627D"/>
    <w:rsid w:val="1A645229"/>
    <w:rsid w:val="1A68624C"/>
    <w:rsid w:val="1A7647E7"/>
    <w:rsid w:val="1A7840BB"/>
    <w:rsid w:val="1A7D3DC7"/>
    <w:rsid w:val="1A8B0292"/>
    <w:rsid w:val="1A8D5BE9"/>
    <w:rsid w:val="1A91517D"/>
    <w:rsid w:val="1A933344"/>
    <w:rsid w:val="1A951111"/>
    <w:rsid w:val="1A9609E5"/>
    <w:rsid w:val="1A9A2283"/>
    <w:rsid w:val="1AA475A6"/>
    <w:rsid w:val="1AA72BF2"/>
    <w:rsid w:val="1AA974C6"/>
    <w:rsid w:val="1AAB26E2"/>
    <w:rsid w:val="1AAD645B"/>
    <w:rsid w:val="1AAE5D2F"/>
    <w:rsid w:val="1AAE63AE"/>
    <w:rsid w:val="1AB5583C"/>
    <w:rsid w:val="1AB570BD"/>
    <w:rsid w:val="1AB64BE3"/>
    <w:rsid w:val="1AB8095B"/>
    <w:rsid w:val="1ABC48F0"/>
    <w:rsid w:val="1AC612CA"/>
    <w:rsid w:val="1AC94917"/>
    <w:rsid w:val="1AC957E1"/>
    <w:rsid w:val="1AD25EC1"/>
    <w:rsid w:val="1AD80FFE"/>
    <w:rsid w:val="1ADB5C6C"/>
    <w:rsid w:val="1ADC6D40"/>
    <w:rsid w:val="1ADF05DE"/>
    <w:rsid w:val="1AF6583C"/>
    <w:rsid w:val="1AFD474E"/>
    <w:rsid w:val="1AFF2A2E"/>
    <w:rsid w:val="1B0B3181"/>
    <w:rsid w:val="1B1C538E"/>
    <w:rsid w:val="1B1E590D"/>
    <w:rsid w:val="1B245FF1"/>
    <w:rsid w:val="1B2D759B"/>
    <w:rsid w:val="1B3267BA"/>
    <w:rsid w:val="1B3679AD"/>
    <w:rsid w:val="1B386A83"/>
    <w:rsid w:val="1B397CEE"/>
    <w:rsid w:val="1B414DF5"/>
    <w:rsid w:val="1B446693"/>
    <w:rsid w:val="1B4548E5"/>
    <w:rsid w:val="1B46240B"/>
    <w:rsid w:val="1B496E6A"/>
    <w:rsid w:val="1B4A3CA9"/>
    <w:rsid w:val="1B4D19EC"/>
    <w:rsid w:val="1B593EEC"/>
    <w:rsid w:val="1B6034CD"/>
    <w:rsid w:val="1B610FF3"/>
    <w:rsid w:val="1B654F02"/>
    <w:rsid w:val="1B682381"/>
    <w:rsid w:val="1B684130"/>
    <w:rsid w:val="1B6F54BE"/>
    <w:rsid w:val="1B6F7443"/>
    <w:rsid w:val="1B742AD4"/>
    <w:rsid w:val="1B7A7D1C"/>
    <w:rsid w:val="1B7B66B5"/>
    <w:rsid w:val="1B854CE1"/>
    <w:rsid w:val="1B886580"/>
    <w:rsid w:val="1B8A679C"/>
    <w:rsid w:val="1B8D003A"/>
    <w:rsid w:val="1B972C67"/>
    <w:rsid w:val="1B9B2757"/>
    <w:rsid w:val="1BAB04C0"/>
    <w:rsid w:val="1BB67591"/>
    <w:rsid w:val="1BB92BDD"/>
    <w:rsid w:val="1BBB0703"/>
    <w:rsid w:val="1BBC26CD"/>
    <w:rsid w:val="1BC27E9A"/>
    <w:rsid w:val="1BC3478C"/>
    <w:rsid w:val="1BCD48DA"/>
    <w:rsid w:val="1BD87507"/>
    <w:rsid w:val="1BDC68CC"/>
    <w:rsid w:val="1BE51C24"/>
    <w:rsid w:val="1BE547F8"/>
    <w:rsid w:val="1BE774DC"/>
    <w:rsid w:val="1BEA0FE8"/>
    <w:rsid w:val="1BEC4D61"/>
    <w:rsid w:val="1BFB5DF8"/>
    <w:rsid w:val="1C055E22"/>
    <w:rsid w:val="1C1222ED"/>
    <w:rsid w:val="1C136791"/>
    <w:rsid w:val="1C185B56"/>
    <w:rsid w:val="1C1E6EE4"/>
    <w:rsid w:val="1C224C26"/>
    <w:rsid w:val="1C225F98"/>
    <w:rsid w:val="1C2362A8"/>
    <w:rsid w:val="1C272EF4"/>
    <w:rsid w:val="1C295FB5"/>
    <w:rsid w:val="1C297D63"/>
    <w:rsid w:val="1C2A3ADB"/>
    <w:rsid w:val="1C387FA6"/>
    <w:rsid w:val="1C4921B3"/>
    <w:rsid w:val="1C497DA3"/>
    <w:rsid w:val="1C533D7D"/>
    <w:rsid w:val="1C556DAA"/>
    <w:rsid w:val="1C5841A4"/>
    <w:rsid w:val="1C591B70"/>
    <w:rsid w:val="1C5B3ECA"/>
    <w:rsid w:val="1C5B5A42"/>
    <w:rsid w:val="1C5D17BA"/>
    <w:rsid w:val="1C5E5533"/>
    <w:rsid w:val="1C632B49"/>
    <w:rsid w:val="1C6449AB"/>
    <w:rsid w:val="1C646FED"/>
    <w:rsid w:val="1C72396A"/>
    <w:rsid w:val="1C730FDE"/>
    <w:rsid w:val="1C7865F4"/>
    <w:rsid w:val="1C7D00AF"/>
    <w:rsid w:val="1C86718F"/>
    <w:rsid w:val="1C876837"/>
    <w:rsid w:val="1C901B90"/>
    <w:rsid w:val="1C9571A6"/>
    <w:rsid w:val="1C986C96"/>
    <w:rsid w:val="1CA05B4B"/>
    <w:rsid w:val="1CA218C3"/>
    <w:rsid w:val="1CA4563B"/>
    <w:rsid w:val="1CA53161"/>
    <w:rsid w:val="1CAE0268"/>
    <w:rsid w:val="1CB05D8E"/>
    <w:rsid w:val="1CB33AD0"/>
    <w:rsid w:val="1CB57848"/>
    <w:rsid w:val="1CB6536F"/>
    <w:rsid w:val="1CB6711D"/>
    <w:rsid w:val="1CBA6C0D"/>
    <w:rsid w:val="1CBD04AB"/>
    <w:rsid w:val="1CC31397"/>
    <w:rsid w:val="1CC96E50"/>
    <w:rsid w:val="1CDC3027"/>
    <w:rsid w:val="1CE24D71"/>
    <w:rsid w:val="1CE617B0"/>
    <w:rsid w:val="1CE7377A"/>
    <w:rsid w:val="1CE819CC"/>
    <w:rsid w:val="1CEC2B3E"/>
    <w:rsid w:val="1CEE2D5A"/>
    <w:rsid w:val="1CF00880"/>
    <w:rsid w:val="1CF245F9"/>
    <w:rsid w:val="1CF85987"/>
    <w:rsid w:val="1D036806"/>
    <w:rsid w:val="1D077978"/>
    <w:rsid w:val="1D102CD1"/>
    <w:rsid w:val="1D1722B1"/>
    <w:rsid w:val="1D1A2726"/>
    <w:rsid w:val="1D2231FE"/>
    <w:rsid w:val="1D300C7D"/>
    <w:rsid w:val="1D320A97"/>
    <w:rsid w:val="1D3541D9"/>
    <w:rsid w:val="1D392227"/>
    <w:rsid w:val="1D3E6FE0"/>
    <w:rsid w:val="1D444728"/>
    <w:rsid w:val="1D4F2685"/>
    <w:rsid w:val="1D547137"/>
    <w:rsid w:val="1D5D57EA"/>
    <w:rsid w:val="1D635DB9"/>
    <w:rsid w:val="1D682B0D"/>
    <w:rsid w:val="1D6D3C7F"/>
    <w:rsid w:val="1D76333F"/>
    <w:rsid w:val="1D772D50"/>
    <w:rsid w:val="1D80245F"/>
    <w:rsid w:val="1D840FC9"/>
    <w:rsid w:val="1D85546D"/>
    <w:rsid w:val="1D880AB9"/>
    <w:rsid w:val="1D8A4831"/>
    <w:rsid w:val="1D8B05A9"/>
    <w:rsid w:val="1D8D3444"/>
    <w:rsid w:val="1D903E12"/>
    <w:rsid w:val="1D921938"/>
    <w:rsid w:val="1D994A74"/>
    <w:rsid w:val="1D9A07EC"/>
    <w:rsid w:val="1D9E652E"/>
    <w:rsid w:val="1DA84CB7"/>
    <w:rsid w:val="1DAA4ED3"/>
    <w:rsid w:val="1DAD0520"/>
    <w:rsid w:val="1DB63878"/>
    <w:rsid w:val="1DB7314C"/>
    <w:rsid w:val="1DB76F65"/>
    <w:rsid w:val="1DB93368"/>
    <w:rsid w:val="1DBE272D"/>
    <w:rsid w:val="1DC064A5"/>
    <w:rsid w:val="1DC55869"/>
    <w:rsid w:val="1DC738B3"/>
    <w:rsid w:val="1DCF493A"/>
    <w:rsid w:val="1DD2650A"/>
    <w:rsid w:val="1DD957B9"/>
    <w:rsid w:val="1DE859FC"/>
    <w:rsid w:val="1DEC54EC"/>
    <w:rsid w:val="1DF63C75"/>
    <w:rsid w:val="1E002D45"/>
    <w:rsid w:val="1E012619"/>
    <w:rsid w:val="1E0C3498"/>
    <w:rsid w:val="1E114F52"/>
    <w:rsid w:val="1E1265D5"/>
    <w:rsid w:val="1E1F070E"/>
    <w:rsid w:val="1E25455A"/>
    <w:rsid w:val="1E28404A"/>
    <w:rsid w:val="1E29229C"/>
    <w:rsid w:val="1E2A1B70"/>
    <w:rsid w:val="1E30754B"/>
    <w:rsid w:val="1E3173A3"/>
    <w:rsid w:val="1E3649B9"/>
    <w:rsid w:val="1E3B1FCF"/>
    <w:rsid w:val="1E3E2D25"/>
    <w:rsid w:val="1E430DCA"/>
    <w:rsid w:val="1E4507E4"/>
    <w:rsid w:val="1E4E1D03"/>
    <w:rsid w:val="1E5170FD"/>
    <w:rsid w:val="1E544141"/>
    <w:rsid w:val="1E5D0198"/>
    <w:rsid w:val="1E5D3F45"/>
    <w:rsid w:val="1E6210B8"/>
    <w:rsid w:val="1E672DC4"/>
    <w:rsid w:val="1E676920"/>
    <w:rsid w:val="1E707ECB"/>
    <w:rsid w:val="1E7554E1"/>
    <w:rsid w:val="1E764DB5"/>
    <w:rsid w:val="1E7D6144"/>
    <w:rsid w:val="1E8079E2"/>
    <w:rsid w:val="1E8C6387"/>
    <w:rsid w:val="1E94348E"/>
    <w:rsid w:val="1E9D2342"/>
    <w:rsid w:val="1EA062D6"/>
    <w:rsid w:val="1EA25BAA"/>
    <w:rsid w:val="1EB04546"/>
    <w:rsid w:val="1EB26790"/>
    <w:rsid w:val="1EC014EF"/>
    <w:rsid w:val="1EC024D4"/>
    <w:rsid w:val="1EC21DA9"/>
    <w:rsid w:val="1EC57AEB"/>
    <w:rsid w:val="1EC664F8"/>
    <w:rsid w:val="1ED65854"/>
    <w:rsid w:val="1ED67C62"/>
    <w:rsid w:val="1EDA6951"/>
    <w:rsid w:val="1EEC32CA"/>
    <w:rsid w:val="1EF1268E"/>
    <w:rsid w:val="1EF74148"/>
    <w:rsid w:val="1F022AED"/>
    <w:rsid w:val="1F02489B"/>
    <w:rsid w:val="1F071EB1"/>
    <w:rsid w:val="1F073C5F"/>
    <w:rsid w:val="1F134CFA"/>
    <w:rsid w:val="1F166EB8"/>
    <w:rsid w:val="1F170346"/>
    <w:rsid w:val="1F1840BF"/>
    <w:rsid w:val="1F1A7E37"/>
    <w:rsid w:val="1F1C595D"/>
    <w:rsid w:val="1F220A99"/>
    <w:rsid w:val="1F242A63"/>
    <w:rsid w:val="1F291E28"/>
    <w:rsid w:val="1F2B5BA0"/>
    <w:rsid w:val="1F2C5E1E"/>
    <w:rsid w:val="1F2D6848"/>
    <w:rsid w:val="1F2D7B6A"/>
    <w:rsid w:val="1F301408"/>
    <w:rsid w:val="1F331A12"/>
    <w:rsid w:val="1F38206B"/>
    <w:rsid w:val="1F38650F"/>
    <w:rsid w:val="1F3B3C7C"/>
    <w:rsid w:val="1F3E1D77"/>
    <w:rsid w:val="1F3F164B"/>
    <w:rsid w:val="1F4E7AE0"/>
    <w:rsid w:val="1F51312D"/>
    <w:rsid w:val="1F5817D8"/>
    <w:rsid w:val="1F5A46D7"/>
    <w:rsid w:val="1F5C044F"/>
    <w:rsid w:val="1F5F1CED"/>
    <w:rsid w:val="1F75506D"/>
    <w:rsid w:val="1F7A08D5"/>
    <w:rsid w:val="1F7F413E"/>
    <w:rsid w:val="1F811C64"/>
    <w:rsid w:val="1F833C2E"/>
    <w:rsid w:val="1F864856"/>
    <w:rsid w:val="1F8B663F"/>
    <w:rsid w:val="1F9D6372"/>
    <w:rsid w:val="1F9F033C"/>
    <w:rsid w:val="1FA164E3"/>
    <w:rsid w:val="1FAD1142"/>
    <w:rsid w:val="1FB30B39"/>
    <w:rsid w:val="1FB512FE"/>
    <w:rsid w:val="1FC102B2"/>
    <w:rsid w:val="1FC447F8"/>
    <w:rsid w:val="1FC55FF4"/>
    <w:rsid w:val="1FC87893"/>
    <w:rsid w:val="1FC97167"/>
    <w:rsid w:val="1FD0572F"/>
    <w:rsid w:val="1FD47FE6"/>
    <w:rsid w:val="1FD60202"/>
    <w:rsid w:val="1FD7674C"/>
    <w:rsid w:val="1FD77AD6"/>
    <w:rsid w:val="1FDB301F"/>
    <w:rsid w:val="1FE27D80"/>
    <w:rsid w:val="1FE83CDD"/>
    <w:rsid w:val="1FEF3071"/>
    <w:rsid w:val="1FF91559"/>
    <w:rsid w:val="200E038C"/>
    <w:rsid w:val="20144886"/>
    <w:rsid w:val="20176124"/>
    <w:rsid w:val="201A79C2"/>
    <w:rsid w:val="201C373B"/>
    <w:rsid w:val="20232D1B"/>
    <w:rsid w:val="20254CE5"/>
    <w:rsid w:val="20270A5D"/>
    <w:rsid w:val="20280331"/>
    <w:rsid w:val="202C6073"/>
    <w:rsid w:val="203211B0"/>
    <w:rsid w:val="20346CD6"/>
    <w:rsid w:val="203805B3"/>
    <w:rsid w:val="2040567B"/>
    <w:rsid w:val="20482782"/>
    <w:rsid w:val="20580C17"/>
    <w:rsid w:val="2059498F"/>
    <w:rsid w:val="205B4263"/>
    <w:rsid w:val="205D447F"/>
    <w:rsid w:val="20607ACB"/>
    <w:rsid w:val="20670E5A"/>
    <w:rsid w:val="206C2914"/>
    <w:rsid w:val="206C6470"/>
    <w:rsid w:val="207417C9"/>
    <w:rsid w:val="2079293B"/>
    <w:rsid w:val="207B2B57"/>
    <w:rsid w:val="208C2574"/>
    <w:rsid w:val="208D63E6"/>
    <w:rsid w:val="2099122F"/>
    <w:rsid w:val="209B0B03"/>
    <w:rsid w:val="209D2ACD"/>
    <w:rsid w:val="209E23A2"/>
    <w:rsid w:val="20A025BE"/>
    <w:rsid w:val="20A91472"/>
    <w:rsid w:val="20AA343C"/>
    <w:rsid w:val="20AA6F98"/>
    <w:rsid w:val="20AE2021"/>
    <w:rsid w:val="20AF0CAD"/>
    <w:rsid w:val="20B10327"/>
    <w:rsid w:val="20C22534"/>
    <w:rsid w:val="20C52024"/>
    <w:rsid w:val="20CE0ED9"/>
    <w:rsid w:val="20D93AEE"/>
    <w:rsid w:val="20DD111C"/>
    <w:rsid w:val="20DE6C42"/>
    <w:rsid w:val="20E00C0C"/>
    <w:rsid w:val="20E06E5E"/>
    <w:rsid w:val="20E424AA"/>
    <w:rsid w:val="20E56222"/>
    <w:rsid w:val="20E652A4"/>
    <w:rsid w:val="20EE50D7"/>
    <w:rsid w:val="20EF48A3"/>
    <w:rsid w:val="20F326ED"/>
    <w:rsid w:val="20F46465"/>
    <w:rsid w:val="21026DD4"/>
    <w:rsid w:val="210E4B7A"/>
    <w:rsid w:val="21132D8F"/>
    <w:rsid w:val="21182154"/>
    <w:rsid w:val="211A5ECC"/>
    <w:rsid w:val="2123319E"/>
    <w:rsid w:val="21254871"/>
    <w:rsid w:val="2129610F"/>
    <w:rsid w:val="212D20A3"/>
    <w:rsid w:val="213827F6"/>
    <w:rsid w:val="213B5E42"/>
    <w:rsid w:val="213D1BBA"/>
    <w:rsid w:val="21464F13"/>
    <w:rsid w:val="21486EDD"/>
    <w:rsid w:val="21494A03"/>
    <w:rsid w:val="214B2529"/>
    <w:rsid w:val="214E3DC8"/>
    <w:rsid w:val="214E5896"/>
    <w:rsid w:val="21521B0A"/>
    <w:rsid w:val="21570ECE"/>
    <w:rsid w:val="21584C46"/>
    <w:rsid w:val="21635AC5"/>
    <w:rsid w:val="21701F90"/>
    <w:rsid w:val="21723F5A"/>
    <w:rsid w:val="2173382E"/>
    <w:rsid w:val="217D46AD"/>
    <w:rsid w:val="218477E9"/>
    <w:rsid w:val="21875B03"/>
    <w:rsid w:val="219709C9"/>
    <w:rsid w:val="219C18E8"/>
    <w:rsid w:val="21A3266E"/>
    <w:rsid w:val="21AE4866"/>
    <w:rsid w:val="21B00981"/>
    <w:rsid w:val="21B31E7D"/>
    <w:rsid w:val="21B87493"/>
    <w:rsid w:val="21BA2B72"/>
    <w:rsid w:val="21BA6164"/>
    <w:rsid w:val="21BE0F4D"/>
    <w:rsid w:val="21BE719F"/>
    <w:rsid w:val="21C3620C"/>
    <w:rsid w:val="21C61BB0"/>
    <w:rsid w:val="21CA5B44"/>
    <w:rsid w:val="21D27BAA"/>
    <w:rsid w:val="21D544E9"/>
    <w:rsid w:val="21DE15EF"/>
    <w:rsid w:val="21E12E8E"/>
    <w:rsid w:val="21E14C3C"/>
    <w:rsid w:val="21E27646"/>
    <w:rsid w:val="21E62252"/>
    <w:rsid w:val="21EA7F94"/>
    <w:rsid w:val="21ED35E0"/>
    <w:rsid w:val="21ED538F"/>
    <w:rsid w:val="21F726B1"/>
    <w:rsid w:val="21FC1A76"/>
    <w:rsid w:val="21FF5648"/>
    <w:rsid w:val="220426D8"/>
    <w:rsid w:val="22056B7C"/>
    <w:rsid w:val="220D3C83"/>
    <w:rsid w:val="22155EFF"/>
    <w:rsid w:val="221B014E"/>
    <w:rsid w:val="222039B6"/>
    <w:rsid w:val="2221772E"/>
    <w:rsid w:val="222B5EB7"/>
    <w:rsid w:val="22372AAE"/>
    <w:rsid w:val="22486A69"/>
    <w:rsid w:val="224A0A33"/>
    <w:rsid w:val="224C47AB"/>
    <w:rsid w:val="224F1BA5"/>
    <w:rsid w:val="2250591D"/>
    <w:rsid w:val="2253194F"/>
    <w:rsid w:val="22543660"/>
    <w:rsid w:val="2256684B"/>
    <w:rsid w:val="22592A24"/>
    <w:rsid w:val="225B2C40"/>
    <w:rsid w:val="225C2514"/>
    <w:rsid w:val="226006F6"/>
    <w:rsid w:val="22617B2B"/>
    <w:rsid w:val="227B5090"/>
    <w:rsid w:val="227C4964"/>
    <w:rsid w:val="22813D29"/>
    <w:rsid w:val="228201CD"/>
    <w:rsid w:val="22830971"/>
    <w:rsid w:val="22853819"/>
    <w:rsid w:val="228A52D3"/>
    <w:rsid w:val="228F28EA"/>
    <w:rsid w:val="22916662"/>
    <w:rsid w:val="22925F36"/>
    <w:rsid w:val="22947F00"/>
    <w:rsid w:val="229677D4"/>
    <w:rsid w:val="229E2B2D"/>
    <w:rsid w:val="22A16179"/>
    <w:rsid w:val="22A30143"/>
    <w:rsid w:val="22AA7723"/>
    <w:rsid w:val="22B42350"/>
    <w:rsid w:val="22B440FE"/>
    <w:rsid w:val="22B72FCA"/>
    <w:rsid w:val="22BB36DF"/>
    <w:rsid w:val="22BD1205"/>
    <w:rsid w:val="22C04851"/>
    <w:rsid w:val="22C407E5"/>
    <w:rsid w:val="22CA3922"/>
    <w:rsid w:val="22CA56D0"/>
    <w:rsid w:val="22CC1448"/>
    <w:rsid w:val="22CD6F6E"/>
    <w:rsid w:val="22CF0F38"/>
    <w:rsid w:val="22D12F02"/>
    <w:rsid w:val="22D14C16"/>
    <w:rsid w:val="22D30A28"/>
    <w:rsid w:val="22D447A0"/>
    <w:rsid w:val="22DD5403"/>
    <w:rsid w:val="22E61AD1"/>
    <w:rsid w:val="23040BE2"/>
    <w:rsid w:val="231352C9"/>
    <w:rsid w:val="23137077"/>
    <w:rsid w:val="23160915"/>
    <w:rsid w:val="23164DB9"/>
    <w:rsid w:val="23207452"/>
    <w:rsid w:val="232079E6"/>
    <w:rsid w:val="232272BA"/>
    <w:rsid w:val="23241284"/>
    <w:rsid w:val="232A43C0"/>
    <w:rsid w:val="232E3EB1"/>
    <w:rsid w:val="23377209"/>
    <w:rsid w:val="233A0BA3"/>
    <w:rsid w:val="233A2855"/>
    <w:rsid w:val="234731C4"/>
    <w:rsid w:val="234E4553"/>
    <w:rsid w:val="23582CFD"/>
    <w:rsid w:val="235D02F2"/>
    <w:rsid w:val="23614286"/>
    <w:rsid w:val="2364528E"/>
    <w:rsid w:val="236B6EB3"/>
    <w:rsid w:val="236D2C2B"/>
    <w:rsid w:val="23700025"/>
    <w:rsid w:val="237B69CA"/>
    <w:rsid w:val="237D6BE6"/>
    <w:rsid w:val="238B1303"/>
    <w:rsid w:val="238B4C82"/>
    <w:rsid w:val="238D1EED"/>
    <w:rsid w:val="23907C91"/>
    <w:rsid w:val="2392443F"/>
    <w:rsid w:val="239448A4"/>
    <w:rsid w:val="2395665B"/>
    <w:rsid w:val="2398757C"/>
    <w:rsid w:val="239C706C"/>
    <w:rsid w:val="23A622B4"/>
    <w:rsid w:val="23A979DB"/>
    <w:rsid w:val="23AE0B4E"/>
    <w:rsid w:val="23C6058D"/>
    <w:rsid w:val="23C87E61"/>
    <w:rsid w:val="23C91E2B"/>
    <w:rsid w:val="23D04F68"/>
    <w:rsid w:val="23D305B4"/>
    <w:rsid w:val="23D902C0"/>
    <w:rsid w:val="23D94172"/>
    <w:rsid w:val="23DE7685"/>
    <w:rsid w:val="23E80503"/>
    <w:rsid w:val="23F24EDE"/>
    <w:rsid w:val="23FA0237"/>
    <w:rsid w:val="24030E99"/>
    <w:rsid w:val="240F3CE2"/>
    <w:rsid w:val="24111CD9"/>
    <w:rsid w:val="241412F8"/>
    <w:rsid w:val="241A2687"/>
    <w:rsid w:val="241A4435"/>
    <w:rsid w:val="242A28CA"/>
    <w:rsid w:val="242F7EE0"/>
    <w:rsid w:val="243948BB"/>
    <w:rsid w:val="2446347C"/>
    <w:rsid w:val="244D0366"/>
    <w:rsid w:val="244D65B8"/>
    <w:rsid w:val="244F2331"/>
    <w:rsid w:val="245416F5"/>
    <w:rsid w:val="24575689"/>
    <w:rsid w:val="24577437"/>
    <w:rsid w:val="245C0B6C"/>
    <w:rsid w:val="245C2C9F"/>
    <w:rsid w:val="24612064"/>
    <w:rsid w:val="24635DDC"/>
    <w:rsid w:val="246758CC"/>
    <w:rsid w:val="24763D61"/>
    <w:rsid w:val="247732CE"/>
    <w:rsid w:val="24805C1D"/>
    <w:rsid w:val="2483647E"/>
    <w:rsid w:val="248D4C07"/>
    <w:rsid w:val="2492221D"/>
    <w:rsid w:val="24973CD7"/>
    <w:rsid w:val="24A00DDE"/>
    <w:rsid w:val="24A26904"/>
    <w:rsid w:val="24A3267C"/>
    <w:rsid w:val="24A501A2"/>
    <w:rsid w:val="24AA57B9"/>
    <w:rsid w:val="24AF7273"/>
    <w:rsid w:val="24B623B0"/>
    <w:rsid w:val="24B77ED6"/>
    <w:rsid w:val="24B853ED"/>
    <w:rsid w:val="24BD373E"/>
    <w:rsid w:val="24C34ACD"/>
    <w:rsid w:val="24C70119"/>
    <w:rsid w:val="24CC3981"/>
    <w:rsid w:val="24CF3471"/>
    <w:rsid w:val="24D16B39"/>
    <w:rsid w:val="24D34D10"/>
    <w:rsid w:val="24D80578"/>
    <w:rsid w:val="24E231A5"/>
    <w:rsid w:val="24E24F53"/>
    <w:rsid w:val="24E707BB"/>
    <w:rsid w:val="24F36825"/>
    <w:rsid w:val="24F46A34"/>
    <w:rsid w:val="24F66C50"/>
    <w:rsid w:val="2504718E"/>
    <w:rsid w:val="250749E2"/>
    <w:rsid w:val="25096983"/>
    <w:rsid w:val="250A44A9"/>
    <w:rsid w:val="250D0F04"/>
    <w:rsid w:val="250F386E"/>
    <w:rsid w:val="251175E6"/>
    <w:rsid w:val="25137802"/>
    <w:rsid w:val="25161906"/>
    <w:rsid w:val="251A293E"/>
    <w:rsid w:val="252512E3"/>
    <w:rsid w:val="25253091"/>
    <w:rsid w:val="25284930"/>
    <w:rsid w:val="25290DD3"/>
    <w:rsid w:val="252D66FD"/>
    <w:rsid w:val="252E1F46"/>
    <w:rsid w:val="253908EB"/>
    <w:rsid w:val="2539485F"/>
    <w:rsid w:val="253A4D8F"/>
    <w:rsid w:val="253F23A5"/>
    <w:rsid w:val="254259F1"/>
    <w:rsid w:val="25445D9E"/>
    <w:rsid w:val="254479BB"/>
    <w:rsid w:val="254F6B4D"/>
    <w:rsid w:val="2552768B"/>
    <w:rsid w:val="255816B9"/>
    <w:rsid w:val="255F65A3"/>
    <w:rsid w:val="25695674"/>
    <w:rsid w:val="256A4F48"/>
    <w:rsid w:val="256F255E"/>
    <w:rsid w:val="25783B09"/>
    <w:rsid w:val="25787665"/>
    <w:rsid w:val="257D2A53"/>
    <w:rsid w:val="257F27A2"/>
    <w:rsid w:val="2580651A"/>
    <w:rsid w:val="25822292"/>
    <w:rsid w:val="25826736"/>
    <w:rsid w:val="25861D82"/>
    <w:rsid w:val="25875AFA"/>
    <w:rsid w:val="25944EBB"/>
    <w:rsid w:val="25950217"/>
    <w:rsid w:val="259B3353"/>
    <w:rsid w:val="25A62424"/>
    <w:rsid w:val="25A8619C"/>
    <w:rsid w:val="25AB3597"/>
    <w:rsid w:val="25B032A3"/>
    <w:rsid w:val="25BD776E"/>
    <w:rsid w:val="25BF7042"/>
    <w:rsid w:val="25C64874"/>
    <w:rsid w:val="25CE6AF1"/>
    <w:rsid w:val="25D02FFD"/>
    <w:rsid w:val="25D074A1"/>
    <w:rsid w:val="25D24FC7"/>
    <w:rsid w:val="25D725DE"/>
    <w:rsid w:val="25E90563"/>
    <w:rsid w:val="25E940BF"/>
    <w:rsid w:val="25F25669"/>
    <w:rsid w:val="25F5515A"/>
    <w:rsid w:val="25FA451E"/>
    <w:rsid w:val="2610789E"/>
    <w:rsid w:val="26123616"/>
    <w:rsid w:val="263A1E25"/>
    <w:rsid w:val="263D4A6F"/>
    <w:rsid w:val="264628A4"/>
    <w:rsid w:val="26467763"/>
    <w:rsid w:val="265303C3"/>
    <w:rsid w:val="26541E80"/>
    <w:rsid w:val="2657371E"/>
    <w:rsid w:val="265B26B4"/>
    <w:rsid w:val="265D7087"/>
    <w:rsid w:val="265E2CFF"/>
    <w:rsid w:val="266D2C13"/>
    <w:rsid w:val="267442D0"/>
    <w:rsid w:val="26906C30"/>
    <w:rsid w:val="269A360B"/>
    <w:rsid w:val="269B7AAF"/>
    <w:rsid w:val="26A06E73"/>
    <w:rsid w:val="26A12BEB"/>
    <w:rsid w:val="26A34BB6"/>
    <w:rsid w:val="26A5448A"/>
    <w:rsid w:val="26A60202"/>
    <w:rsid w:val="26A81988"/>
    <w:rsid w:val="26AF70B6"/>
    <w:rsid w:val="26B172D2"/>
    <w:rsid w:val="26B648E9"/>
    <w:rsid w:val="26B84614"/>
    <w:rsid w:val="26B96187"/>
    <w:rsid w:val="26CA2142"/>
    <w:rsid w:val="26CA3EF0"/>
    <w:rsid w:val="26CB1A16"/>
    <w:rsid w:val="26CD578F"/>
    <w:rsid w:val="26CF57CC"/>
    <w:rsid w:val="26D44D6F"/>
    <w:rsid w:val="26D62895"/>
    <w:rsid w:val="26D92385"/>
    <w:rsid w:val="26DA41FF"/>
    <w:rsid w:val="26DB60FD"/>
    <w:rsid w:val="26DD1E76"/>
    <w:rsid w:val="26E256DE"/>
    <w:rsid w:val="26EC36BA"/>
    <w:rsid w:val="26F176CF"/>
    <w:rsid w:val="26F251F5"/>
    <w:rsid w:val="26F70A5D"/>
    <w:rsid w:val="26F7280B"/>
    <w:rsid w:val="27022042"/>
    <w:rsid w:val="270513CC"/>
    <w:rsid w:val="27053614"/>
    <w:rsid w:val="27167136"/>
    <w:rsid w:val="27174C5C"/>
    <w:rsid w:val="27223D2C"/>
    <w:rsid w:val="27363334"/>
    <w:rsid w:val="273D2914"/>
    <w:rsid w:val="27404DC7"/>
    <w:rsid w:val="27441EF5"/>
    <w:rsid w:val="274C6FFB"/>
    <w:rsid w:val="275B723E"/>
    <w:rsid w:val="275D4F4C"/>
    <w:rsid w:val="27602AA7"/>
    <w:rsid w:val="2769195B"/>
    <w:rsid w:val="276C144B"/>
    <w:rsid w:val="276C29FF"/>
    <w:rsid w:val="276F7982"/>
    <w:rsid w:val="27702CEA"/>
    <w:rsid w:val="27723922"/>
    <w:rsid w:val="27750300"/>
    <w:rsid w:val="27781B9E"/>
    <w:rsid w:val="277A5916"/>
    <w:rsid w:val="27822A1D"/>
    <w:rsid w:val="278247CB"/>
    <w:rsid w:val="27893DAB"/>
    <w:rsid w:val="27930786"/>
    <w:rsid w:val="27932534"/>
    <w:rsid w:val="279F712B"/>
    <w:rsid w:val="27A012F8"/>
    <w:rsid w:val="27A6670B"/>
    <w:rsid w:val="27A72484"/>
    <w:rsid w:val="27AA02DA"/>
    <w:rsid w:val="27AA5AD0"/>
    <w:rsid w:val="27B13177"/>
    <w:rsid w:val="27B20448"/>
    <w:rsid w:val="27B83B2E"/>
    <w:rsid w:val="27BB1A8B"/>
    <w:rsid w:val="27BD3A55"/>
    <w:rsid w:val="27C22E19"/>
    <w:rsid w:val="27C923FA"/>
    <w:rsid w:val="27CA2A7A"/>
    <w:rsid w:val="27CB7F20"/>
    <w:rsid w:val="27CC3C98"/>
    <w:rsid w:val="27DA0163"/>
    <w:rsid w:val="27E64D5A"/>
    <w:rsid w:val="27EC60E8"/>
    <w:rsid w:val="27F154AD"/>
    <w:rsid w:val="27F258DB"/>
    <w:rsid w:val="27F33FEA"/>
    <w:rsid w:val="27FF6A4F"/>
    <w:rsid w:val="280276BA"/>
    <w:rsid w:val="28095340"/>
    <w:rsid w:val="280B4FF2"/>
    <w:rsid w:val="280E605F"/>
    <w:rsid w:val="281713B7"/>
    <w:rsid w:val="282E04AF"/>
    <w:rsid w:val="283310F0"/>
    <w:rsid w:val="28377363"/>
    <w:rsid w:val="283E4B96"/>
    <w:rsid w:val="28445F24"/>
    <w:rsid w:val="2847771B"/>
    <w:rsid w:val="28485A15"/>
    <w:rsid w:val="28520641"/>
    <w:rsid w:val="28610884"/>
    <w:rsid w:val="286363AA"/>
    <w:rsid w:val="286B2CA4"/>
    <w:rsid w:val="286F11F3"/>
    <w:rsid w:val="287961D1"/>
    <w:rsid w:val="287C56BE"/>
    <w:rsid w:val="287F6F5C"/>
    <w:rsid w:val="288307FB"/>
    <w:rsid w:val="28846321"/>
    <w:rsid w:val="28855885"/>
    <w:rsid w:val="28855A7D"/>
    <w:rsid w:val="28911ACC"/>
    <w:rsid w:val="28916946"/>
    <w:rsid w:val="2899001E"/>
    <w:rsid w:val="28A3685F"/>
    <w:rsid w:val="28A54C15"/>
    <w:rsid w:val="28A7421F"/>
    <w:rsid w:val="28AD3ACA"/>
    <w:rsid w:val="28AF7842"/>
    <w:rsid w:val="28B430AA"/>
    <w:rsid w:val="28B74948"/>
    <w:rsid w:val="28BE1833"/>
    <w:rsid w:val="28C11323"/>
    <w:rsid w:val="28CA642A"/>
    <w:rsid w:val="28CD7CC8"/>
    <w:rsid w:val="28D15A0A"/>
    <w:rsid w:val="28D177B8"/>
    <w:rsid w:val="28D41056"/>
    <w:rsid w:val="28D70B46"/>
    <w:rsid w:val="28D92B11"/>
    <w:rsid w:val="28DE1ED5"/>
    <w:rsid w:val="28DE2A6B"/>
    <w:rsid w:val="28DF17A9"/>
    <w:rsid w:val="28E072CF"/>
    <w:rsid w:val="28ED036A"/>
    <w:rsid w:val="28EF7C3E"/>
    <w:rsid w:val="28F11C08"/>
    <w:rsid w:val="28F147A8"/>
    <w:rsid w:val="28FC235B"/>
    <w:rsid w:val="28FD69FA"/>
    <w:rsid w:val="2912661F"/>
    <w:rsid w:val="29143B49"/>
    <w:rsid w:val="29183639"/>
    <w:rsid w:val="291B0A33"/>
    <w:rsid w:val="291D0C4F"/>
    <w:rsid w:val="29220014"/>
    <w:rsid w:val="29226266"/>
    <w:rsid w:val="2927387C"/>
    <w:rsid w:val="292813A2"/>
    <w:rsid w:val="292A511A"/>
    <w:rsid w:val="292F0982"/>
    <w:rsid w:val="29332221"/>
    <w:rsid w:val="2934651F"/>
    <w:rsid w:val="293715E5"/>
    <w:rsid w:val="29373393"/>
    <w:rsid w:val="293B2E83"/>
    <w:rsid w:val="294A756A"/>
    <w:rsid w:val="294D2BB7"/>
    <w:rsid w:val="295108F9"/>
    <w:rsid w:val="29534671"/>
    <w:rsid w:val="29587103"/>
    <w:rsid w:val="296057E6"/>
    <w:rsid w:val="296543A4"/>
    <w:rsid w:val="2967011C"/>
    <w:rsid w:val="296B6CBA"/>
    <w:rsid w:val="296C74E1"/>
    <w:rsid w:val="2973086F"/>
    <w:rsid w:val="29752839"/>
    <w:rsid w:val="297840D8"/>
    <w:rsid w:val="29890093"/>
    <w:rsid w:val="298E7457"/>
    <w:rsid w:val="298F31CF"/>
    <w:rsid w:val="298F4F7D"/>
    <w:rsid w:val="29982084"/>
    <w:rsid w:val="299A22A0"/>
    <w:rsid w:val="299D3B3E"/>
    <w:rsid w:val="29A30A29"/>
    <w:rsid w:val="29AE5D4B"/>
    <w:rsid w:val="29B13146"/>
    <w:rsid w:val="29B175E9"/>
    <w:rsid w:val="29BD5F8E"/>
    <w:rsid w:val="29C15A7E"/>
    <w:rsid w:val="29C323D4"/>
    <w:rsid w:val="29C56BF1"/>
    <w:rsid w:val="29C9048F"/>
    <w:rsid w:val="29CC61D1"/>
    <w:rsid w:val="29CE1F49"/>
    <w:rsid w:val="29D11A3A"/>
    <w:rsid w:val="29D33D5E"/>
    <w:rsid w:val="29D46E34"/>
    <w:rsid w:val="29D55086"/>
    <w:rsid w:val="29D82DC8"/>
    <w:rsid w:val="29DD218D"/>
    <w:rsid w:val="29DF7CB3"/>
    <w:rsid w:val="29E057D9"/>
    <w:rsid w:val="29E452C9"/>
    <w:rsid w:val="29EB624B"/>
    <w:rsid w:val="29F1029B"/>
    <w:rsid w:val="29F714A0"/>
    <w:rsid w:val="2A047719"/>
    <w:rsid w:val="2A0B4F4C"/>
    <w:rsid w:val="2A0C4820"/>
    <w:rsid w:val="2A104310"/>
    <w:rsid w:val="2A17569E"/>
    <w:rsid w:val="2A1D4C7F"/>
    <w:rsid w:val="2A21310B"/>
    <w:rsid w:val="2A24600D"/>
    <w:rsid w:val="2A247DBB"/>
    <w:rsid w:val="2A2D4EC2"/>
    <w:rsid w:val="2A331DAD"/>
    <w:rsid w:val="2A351FC9"/>
    <w:rsid w:val="2A36189D"/>
    <w:rsid w:val="2A37772A"/>
    <w:rsid w:val="2A392CAE"/>
    <w:rsid w:val="2A3D0E7D"/>
    <w:rsid w:val="2A41271B"/>
    <w:rsid w:val="2A4160C7"/>
    <w:rsid w:val="2A420242"/>
    <w:rsid w:val="2A472991"/>
    <w:rsid w:val="2A497822"/>
    <w:rsid w:val="2A4E653F"/>
    <w:rsid w:val="2A636B36"/>
    <w:rsid w:val="2A677CA8"/>
    <w:rsid w:val="2A697EC4"/>
    <w:rsid w:val="2A7E3970"/>
    <w:rsid w:val="2A7F1496"/>
    <w:rsid w:val="2A7F4FF2"/>
    <w:rsid w:val="2A84085A"/>
    <w:rsid w:val="2A88659C"/>
    <w:rsid w:val="2A8E5B5E"/>
    <w:rsid w:val="2A8F792B"/>
    <w:rsid w:val="2A930A9D"/>
    <w:rsid w:val="2A9434E8"/>
    <w:rsid w:val="2A97233B"/>
    <w:rsid w:val="2AA1765E"/>
    <w:rsid w:val="2AA64C74"/>
    <w:rsid w:val="2AA8279A"/>
    <w:rsid w:val="2AAC58FF"/>
    <w:rsid w:val="2AAE58D7"/>
    <w:rsid w:val="2AB06293"/>
    <w:rsid w:val="2AB31D3F"/>
    <w:rsid w:val="2AB32EED"/>
    <w:rsid w:val="2AB54EB7"/>
    <w:rsid w:val="2ABB25E3"/>
    <w:rsid w:val="2ABF25ED"/>
    <w:rsid w:val="2AC31382"/>
    <w:rsid w:val="2AC33130"/>
    <w:rsid w:val="2AC3330D"/>
    <w:rsid w:val="2AC86999"/>
    <w:rsid w:val="2ACA2711"/>
    <w:rsid w:val="2ACF5F79"/>
    <w:rsid w:val="2AD73080"/>
    <w:rsid w:val="2AD90BA6"/>
    <w:rsid w:val="2AD92954"/>
    <w:rsid w:val="2AE015D7"/>
    <w:rsid w:val="2AE61515"/>
    <w:rsid w:val="2AEF3F25"/>
    <w:rsid w:val="2AF27EBA"/>
    <w:rsid w:val="2AF43C32"/>
    <w:rsid w:val="2AF459E0"/>
    <w:rsid w:val="2AF4778E"/>
    <w:rsid w:val="2AFE685E"/>
    <w:rsid w:val="2B004618"/>
    <w:rsid w:val="2B013C59"/>
    <w:rsid w:val="2B02634F"/>
    <w:rsid w:val="2B0A0D5F"/>
    <w:rsid w:val="2B1E480B"/>
    <w:rsid w:val="2B1F7399"/>
    <w:rsid w:val="2B230073"/>
    <w:rsid w:val="2B232BDB"/>
    <w:rsid w:val="2B285689"/>
    <w:rsid w:val="2B2A3917"/>
    <w:rsid w:val="2B32482A"/>
    <w:rsid w:val="2B367DA6"/>
    <w:rsid w:val="2B3758CC"/>
    <w:rsid w:val="2B3B360F"/>
    <w:rsid w:val="2B4C723F"/>
    <w:rsid w:val="2B520958"/>
    <w:rsid w:val="2B5446D0"/>
    <w:rsid w:val="2B54647E"/>
    <w:rsid w:val="2B5621F6"/>
    <w:rsid w:val="2B6058E0"/>
    <w:rsid w:val="2B612949"/>
    <w:rsid w:val="2B6366C1"/>
    <w:rsid w:val="2B69794E"/>
    <w:rsid w:val="2B7663F5"/>
    <w:rsid w:val="2B8F74B6"/>
    <w:rsid w:val="2B97636B"/>
    <w:rsid w:val="2B980A61"/>
    <w:rsid w:val="2B9E76FA"/>
    <w:rsid w:val="2B9E7BC7"/>
    <w:rsid w:val="2BA03472"/>
    <w:rsid w:val="2BA411B4"/>
    <w:rsid w:val="2BA5645F"/>
    <w:rsid w:val="2BAE12E7"/>
    <w:rsid w:val="2BB62C95"/>
    <w:rsid w:val="2BB94533"/>
    <w:rsid w:val="2BBB02AC"/>
    <w:rsid w:val="2BC255A4"/>
    <w:rsid w:val="2BD17ACF"/>
    <w:rsid w:val="2BD32520"/>
    <w:rsid w:val="2BD33847"/>
    <w:rsid w:val="2BD66E93"/>
    <w:rsid w:val="2BDB6BA0"/>
    <w:rsid w:val="2BE07D12"/>
    <w:rsid w:val="2BE23A8A"/>
    <w:rsid w:val="2BE95450"/>
    <w:rsid w:val="2BEA1CFB"/>
    <w:rsid w:val="2BEB4B93"/>
    <w:rsid w:val="2BF26F01"/>
    <w:rsid w:val="2BF33EE9"/>
    <w:rsid w:val="2BF51A0F"/>
    <w:rsid w:val="2C0440A1"/>
    <w:rsid w:val="2C10541E"/>
    <w:rsid w:val="2C11611D"/>
    <w:rsid w:val="2C1C51EE"/>
    <w:rsid w:val="2C210A56"/>
    <w:rsid w:val="2C2643AF"/>
    <w:rsid w:val="2C2A71DF"/>
    <w:rsid w:val="2C2E3173"/>
    <w:rsid w:val="2C3F712F"/>
    <w:rsid w:val="2C41345C"/>
    <w:rsid w:val="2C464019"/>
    <w:rsid w:val="2C475FE3"/>
    <w:rsid w:val="2C4B5AD3"/>
    <w:rsid w:val="2C4C35F9"/>
    <w:rsid w:val="2C4C3F30"/>
    <w:rsid w:val="2C4C53A8"/>
    <w:rsid w:val="2C5030EA"/>
    <w:rsid w:val="2C506C46"/>
    <w:rsid w:val="2C526E62"/>
    <w:rsid w:val="2C536736"/>
    <w:rsid w:val="2C5F332D"/>
    <w:rsid w:val="2C5F50DB"/>
    <w:rsid w:val="2C673F8F"/>
    <w:rsid w:val="2C6941AB"/>
    <w:rsid w:val="2C6B1CD2"/>
    <w:rsid w:val="2C6B3A80"/>
    <w:rsid w:val="2C6D5A4A"/>
    <w:rsid w:val="2C6E3570"/>
    <w:rsid w:val="2C7C5C8D"/>
    <w:rsid w:val="2C7F577D"/>
    <w:rsid w:val="2C826E81"/>
    <w:rsid w:val="2C862667"/>
    <w:rsid w:val="2C8D1C48"/>
    <w:rsid w:val="2C970D19"/>
    <w:rsid w:val="2C9805ED"/>
    <w:rsid w:val="2C9E3E55"/>
    <w:rsid w:val="2CA014EB"/>
    <w:rsid w:val="2CA13945"/>
    <w:rsid w:val="2CA451E4"/>
    <w:rsid w:val="2CA70830"/>
    <w:rsid w:val="2CA84CD4"/>
    <w:rsid w:val="2CAA0A5A"/>
    <w:rsid w:val="2CAF6062"/>
    <w:rsid w:val="2CB76CC5"/>
    <w:rsid w:val="2CC17B44"/>
    <w:rsid w:val="2CC76232"/>
    <w:rsid w:val="2CC87124"/>
    <w:rsid w:val="2CC969F8"/>
    <w:rsid w:val="2CD258AD"/>
    <w:rsid w:val="2CD3327F"/>
    <w:rsid w:val="2CD77367"/>
    <w:rsid w:val="2CDA29B3"/>
    <w:rsid w:val="2CDF4B0F"/>
    <w:rsid w:val="2CE101E6"/>
    <w:rsid w:val="2CED0939"/>
    <w:rsid w:val="2CED6B8B"/>
    <w:rsid w:val="2CF03F85"/>
    <w:rsid w:val="2CF271A5"/>
    <w:rsid w:val="2CF33A75"/>
    <w:rsid w:val="2CFA4E04"/>
    <w:rsid w:val="2CFF066C"/>
    <w:rsid w:val="2D0363AE"/>
    <w:rsid w:val="2D041698"/>
    <w:rsid w:val="2D087520"/>
    <w:rsid w:val="2D0B7011"/>
    <w:rsid w:val="2D0D4B37"/>
    <w:rsid w:val="2D1063D5"/>
    <w:rsid w:val="2D1C2FCC"/>
    <w:rsid w:val="2D1E0AF2"/>
    <w:rsid w:val="2D281971"/>
    <w:rsid w:val="2D395076"/>
    <w:rsid w:val="2D3E1194"/>
    <w:rsid w:val="2D426A09"/>
    <w:rsid w:val="2D4367AA"/>
    <w:rsid w:val="2D450775"/>
    <w:rsid w:val="2D46629B"/>
    <w:rsid w:val="2D524C40"/>
    <w:rsid w:val="2D563C6B"/>
    <w:rsid w:val="2D564730"/>
    <w:rsid w:val="2D590A8D"/>
    <w:rsid w:val="2D69305E"/>
    <w:rsid w:val="2D6F57F1"/>
    <w:rsid w:val="2D744BB6"/>
    <w:rsid w:val="2D7C30AE"/>
    <w:rsid w:val="2D7C3A6A"/>
    <w:rsid w:val="2D7E3C87"/>
    <w:rsid w:val="2D83304B"/>
    <w:rsid w:val="2D8400D7"/>
    <w:rsid w:val="2D851D9A"/>
    <w:rsid w:val="2D960FD0"/>
    <w:rsid w:val="2D9708A4"/>
    <w:rsid w:val="2D9C5EBB"/>
    <w:rsid w:val="2DA30834"/>
    <w:rsid w:val="2DAD00C8"/>
    <w:rsid w:val="2DAF5BEE"/>
    <w:rsid w:val="2DB256DE"/>
    <w:rsid w:val="2DBA2F11"/>
    <w:rsid w:val="2DC07DFB"/>
    <w:rsid w:val="2DC84F02"/>
    <w:rsid w:val="2DD41AF8"/>
    <w:rsid w:val="2DD92C6B"/>
    <w:rsid w:val="2DD9710F"/>
    <w:rsid w:val="2DDD6BFF"/>
    <w:rsid w:val="2DDE2E00"/>
    <w:rsid w:val="2DDF4725"/>
    <w:rsid w:val="2DE13A8A"/>
    <w:rsid w:val="2DE33AEA"/>
    <w:rsid w:val="2DE41D3C"/>
    <w:rsid w:val="2DE55AB4"/>
    <w:rsid w:val="2DE75388"/>
    <w:rsid w:val="2DEC6E42"/>
    <w:rsid w:val="2DF8044C"/>
    <w:rsid w:val="2E183793"/>
    <w:rsid w:val="2E1A575D"/>
    <w:rsid w:val="2E20089A"/>
    <w:rsid w:val="2E2959A0"/>
    <w:rsid w:val="2E2E2FB7"/>
    <w:rsid w:val="2E341F8D"/>
    <w:rsid w:val="2E3C2288"/>
    <w:rsid w:val="2E424CB4"/>
    <w:rsid w:val="2E4E7A03"/>
    <w:rsid w:val="2E580034"/>
    <w:rsid w:val="2E5A0250"/>
    <w:rsid w:val="2E5F13C2"/>
    <w:rsid w:val="2E67471B"/>
    <w:rsid w:val="2E690493"/>
    <w:rsid w:val="2E6B21B4"/>
    <w:rsid w:val="2E725599"/>
    <w:rsid w:val="2E81758A"/>
    <w:rsid w:val="2E822546"/>
    <w:rsid w:val="2E861045"/>
    <w:rsid w:val="2E8C5F2F"/>
    <w:rsid w:val="2E8E1CA7"/>
    <w:rsid w:val="2E9372BE"/>
    <w:rsid w:val="2E960B5C"/>
    <w:rsid w:val="2E9A0862"/>
    <w:rsid w:val="2EA65243"/>
    <w:rsid w:val="2EAD65D1"/>
    <w:rsid w:val="2EBA0CEE"/>
    <w:rsid w:val="2EC61441"/>
    <w:rsid w:val="2ED00512"/>
    <w:rsid w:val="2ED05F2C"/>
    <w:rsid w:val="2ED26038"/>
    <w:rsid w:val="2EDC6EB7"/>
    <w:rsid w:val="2EDD678B"/>
    <w:rsid w:val="2EDE0726"/>
    <w:rsid w:val="2EE23DA1"/>
    <w:rsid w:val="2EE32F12"/>
    <w:rsid w:val="2EE3501E"/>
    <w:rsid w:val="2EE43FBD"/>
    <w:rsid w:val="2EE93382"/>
    <w:rsid w:val="2EEB70FA"/>
    <w:rsid w:val="2EEE2746"/>
    <w:rsid w:val="2EEF5E4C"/>
    <w:rsid w:val="2EF557BC"/>
    <w:rsid w:val="2F063F34"/>
    <w:rsid w:val="2F0D7070"/>
    <w:rsid w:val="2F133481"/>
    <w:rsid w:val="2F1877C3"/>
    <w:rsid w:val="2F1C3757"/>
    <w:rsid w:val="2F285C58"/>
    <w:rsid w:val="2F300FB0"/>
    <w:rsid w:val="2F324D29"/>
    <w:rsid w:val="2F3320DE"/>
    <w:rsid w:val="2F3A3BDD"/>
    <w:rsid w:val="2F407445"/>
    <w:rsid w:val="2F503401"/>
    <w:rsid w:val="2F560A17"/>
    <w:rsid w:val="2F561217"/>
    <w:rsid w:val="2F5A7DDB"/>
    <w:rsid w:val="2F5B427F"/>
    <w:rsid w:val="2F662C24"/>
    <w:rsid w:val="2F6D3490"/>
    <w:rsid w:val="2F6D7B0F"/>
    <w:rsid w:val="2F6F3887"/>
    <w:rsid w:val="2F7075FF"/>
    <w:rsid w:val="2F77273B"/>
    <w:rsid w:val="2F792957"/>
    <w:rsid w:val="2F7B10A8"/>
    <w:rsid w:val="2F7E3ACA"/>
    <w:rsid w:val="2F880DEC"/>
    <w:rsid w:val="2F963509"/>
    <w:rsid w:val="2F971030"/>
    <w:rsid w:val="2F996B56"/>
    <w:rsid w:val="2F9B28CE"/>
    <w:rsid w:val="2FA23C5C"/>
    <w:rsid w:val="2FAA1469"/>
    <w:rsid w:val="2FAD2601"/>
    <w:rsid w:val="2FAD7A6F"/>
    <w:rsid w:val="2FB13E9F"/>
    <w:rsid w:val="2FB35E69"/>
    <w:rsid w:val="2FBB2F70"/>
    <w:rsid w:val="2FC11C09"/>
    <w:rsid w:val="2FC260AC"/>
    <w:rsid w:val="2FC5794B"/>
    <w:rsid w:val="2FC71915"/>
    <w:rsid w:val="2FCC0CD9"/>
    <w:rsid w:val="2FCF2577"/>
    <w:rsid w:val="2FD162F0"/>
    <w:rsid w:val="2FD45DE0"/>
    <w:rsid w:val="2FD83F7E"/>
    <w:rsid w:val="2FD91648"/>
    <w:rsid w:val="2FE7396B"/>
    <w:rsid w:val="2FEA115F"/>
    <w:rsid w:val="2FEC3129"/>
    <w:rsid w:val="2FF975F4"/>
    <w:rsid w:val="30006BD5"/>
    <w:rsid w:val="300D7D4A"/>
    <w:rsid w:val="300F506A"/>
    <w:rsid w:val="301461DC"/>
    <w:rsid w:val="30191A45"/>
    <w:rsid w:val="302544BC"/>
    <w:rsid w:val="302C1778"/>
    <w:rsid w:val="302C5C1C"/>
    <w:rsid w:val="3038011D"/>
    <w:rsid w:val="30384C45"/>
    <w:rsid w:val="303B5E5F"/>
    <w:rsid w:val="30461790"/>
    <w:rsid w:val="304940D8"/>
    <w:rsid w:val="304A7E50"/>
    <w:rsid w:val="304C5976"/>
    <w:rsid w:val="30534F57"/>
    <w:rsid w:val="30536D05"/>
    <w:rsid w:val="305413C9"/>
    <w:rsid w:val="30562C99"/>
    <w:rsid w:val="305A4537"/>
    <w:rsid w:val="305B02AF"/>
    <w:rsid w:val="305D4027"/>
    <w:rsid w:val="305E56A9"/>
    <w:rsid w:val="305F4CF6"/>
    <w:rsid w:val="306233EC"/>
    <w:rsid w:val="3062519A"/>
    <w:rsid w:val="306727B0"/>
    <w:rsid w:val="306B04F2"/>
    <w:rsid w:val="306E3B3E"/>
    <w:rsid w:val="30703D5A"/>
    <w:rsid w:val="307B44AD"/>
    <w:rsid w:val="307D6477"/>
    <w:rsid w:val="30890978"/>
    <w:rsid w:val="30894E1C"/>
    <w:rsid w:val="308A649E"/>
    <w:rsid w:val="309612E7"/>
    <w:rsid w:val="309D08C8"/>
    <w:rsid w:val="30A12166"/>
    <w:rsid w:val="30B11C7D"/>
    <w:rsid w:val="30B33C47"/>
    <w:rsid w:val="30B654E5"/>
    <w:rsid w:val="30BB2AFC"/>
    <w:rsid w:val="30BC6FA0"/>
    <w:rsid w:val="30C6397A"/>
    <w:rsid w:val="30C776F3"/>
    <w:rsid w:val="30D00355"/>
    <w:rsid w:val="30D36097"/>
    <w:rsid w:val="30D75B88"/>
    <w:rsid w:val="30DA7426"/>
    <w:rsid w:val="30DD2A72"/>
    <w:rsid w:val="30E71077"/>
    <w:rsid w:val="30EB1633"/>
    <w:rsid w:val="30F322CE"/>
    <w:rsid w:val="30F54260"/>
    <w:rsid w:val="30F57DBC"/>
    <w:rsid w:val="30FA3624"/>
    <w:rsid w:val="310224D9"/>
    <w:rsid w:val="310B75DF"/>
    <w:rsid w:val="31102E48"/>
    <w:rsid w:val="311A1F18"/>
    <w:rsid w:val="311E37B6"/>
    <w:rsid w:val="312132A7"/>
    <w:rsid w:val="312468F3"/>
    <w:rsid w:val="312B7C81"/>
    <w:rsid w:val="313308E4"/>
    <w:rsid w:val="313703D4"/>
    <w:rsid w:val="313A1C72"/>
    <w:rsid w:val="313E3CF9"/>
    <w:rsid w:val="314107E5"/>
    <w:rsid w:val="3143321D"/>
    <w:rsid w:val="314671C3"/>
    <w:rsid w:val="3152520E"/>
    <w:rsid w:val="31532D34"/>
    <w:rsid w:val="315A40C3"/>
    <w:rsid w:val="315E09D5"/>
    <w:rsid w:val="31684A32"/>
    <w:rsid w:val="317653A0"/>
    <w:rsid w:val="3179279B"/>
    <w:rsid w:val="317C228B"/>
    <w:rsid w:val="317E1D05"/>
    <w:rsid w:val="318178A1"/>
    <w:rsid w:val="319121DA"/>
    <w:rsid w:val="319677F1"/>
    <w:rsid w:val="319D02D5"/>
    <w:rsid w:val="31A6555A"/>
    <w:rsid w:val="31A83080"/>
    <w:rsid w:val="31AC0DC2"/>
    <w:rsid w:val="31B41A25"/>
    <w:rsid w:val="31B859B9"/>
    <w:rsid w:val="31B934DF"/>
    <w:rsid w:val="31BC4D7D"/>
    <w:rsid w:val="31BE2D2D"/>
    <w:rsid w:val="31C679AA"/>
    <w:rsid w:val="31C83722"/>
    <w:rsid w:val="31CD79A4"/>
    <w:rsid w:val="31CF685F"/>
    <w:rsid w:val="31D43E75"/>
    <w:rsid w:val="31DB3455"/>
    <w:rsid w:val="31DD5420"/>
    <w:rsid w:val="31E367AE"/>
    <w:rsid w:val="31EF6F01"/>
    <w:rsid w:val="31F12C79"/>
    <w:rsid w:val="31F2254D"/>
    <w:rsid w:val="31F255AF"/>
    <w:rsid w:val="31FB7654"/>
    <w:rsid w:val="31FD161E"/>
    <w:rsid w:val="31FE7C49"/>
    <w:rsid w:val="32004C6A"/>
    <w:rsid w:val="32026C34"/>
    <w:rsid w:val="32032B23"/>
    <w:rsid w:val="32105CA4"/>
    <w:rsid w:val="3216623C"/>
    <w:rsid w:val="32171FB4"/>
    <w:rsid w:val="3219034B"/>
    <w:rsid w:val="321921D0"/>
    <w:rsid w:val="3220530C"/>
    <w:rsid w:val="322070BA"/>
    <w:rsid w:val="3227669B"/>
    <w:rsid w:val="322A7F37"/>
    <w:rsid w:val="32324544"/>
    <w:rsid w:val="323808A8"/>
    <w:rsid w:val="3239017C"/>
    <w:rsid w:val="324463DD"/>
    <w:rsid w:val="324A4137"/>
    <w:rsid w:val="324C6101"/>
    <w:rsid w:val="324E00CB"/>
    <w:rsid w:val="325154C6"/>
    <w:rsid w:val="32544FB6"/>
    <w:rsid w:val="325B00F2"/>
    <w:rsid w:val="325B4596"/>
    <w:rsid w:val="32625925"/>
    <w:rsid w:val="326571C3"/>
    <w:rsid w:val="32672F3B"/>
    <w:rsid w:val="32676A97"/>
    <w:rsid w:val="326A4C5E"/>
    <w:rsid w:val="326C0551"/>
    <w:rsid w:val="32785148"/>
    <w:rsid w:val="327B2543"/>
    <w:rsid w:val="327B69E7"/>
    <w:rsid w:val="32876D44"/>
    <w:rsid w:val="328C4750"/>
    <w:rsid w:val="32904240"/>
    <w:rsid w:val="32931F82"/>
    <w:rsid w:val="32981347"/>
    <w:rsid w:val="329B0E37"/>
    <w:rsid w:val="329D070B"/>
    <w:rsid w:val="32AB107A"/>
    <w:rsid w:val="32AD1D1E"/>
    <w:rsid w:val="32AE46C6"/>
    <w:rsid w:val="32B1065A"/>
    <w:rsid w:val="32B55A55"/>
    <w:rsid w:val="32BC3287"/>
    <w:rsid w:val="32BD0DAD"/>
    <w:rsid w:val="32BD6371"/>
    <w:rsid w:val="32BF4B25"/>
    <w:rsid w:val="32C97752"/>
    <w:rsid w:val="32CC0FF0"/>
    <w:rsid w:val="32D0096E"/>
    <w:rsid w:val="32D228C1"/>
    <w:rsid w:val="32DA7B71"/>
    <w:rsid w:val="32DB1233"/>
    <w:rsid w:val="32E93950"/>
    <w:rsid w:val="32EA65B6"/>
    <w:rsid w:val="32F56799"/>
    <w:rsid w:val="32FD564D"/>
    <w:rsid w:val="32FE5564"/>
    <w:rsid w:val="32FF3174"/>
    <w:rsid w:val="33010C9A"/>
    <w:rsid w:val="33015C08"/>
    <w:rsid w:val="330662B0"/>
    <w:rsid w:val="330668C7"/>
    <w:rsid w:val="330864CC"/>
    <w:rsid w:val="33092244"/>
    <w:rsid w:val="33093135"/>
    <w:rsid w:val="33174961"/>
    <w:rsid w:val="331D1F7D"/>
    <w:rsid w:val="331F3816"/>
    <w:rsid w:val="33274478"/>
    <w:rsid w:val="332D7CE1"/>
    <w:rsid w:val="332E3A59"/>
    <w:rsid w:val="333C6176"/>
    <w:rsid w:val="334119DE"/>
    <w:rsid w:val="334420FC"/>
    <w:rsid w:val="33492641"/>
    <w:rsid w:val="334D0383"/>
    <w:rsid w:val="334D2131"/>
    <w:rsid w:val="335C4122"/>
    <w:rsid w:val="335D0B51"/>
    <w:rsid w:val="335D7E9A"/>
    <w:rsid w:val="335E433E"/>
    <w:rsid w:val="335F1E64"/>
    <w:rsid w:val="336D23E5"/>
    <w:rsid w:val="336E0395"/>
    <w:rsid w:val="336E7E90"/>
    <w:rsid w:val="33727DEA"/>
    <w:rsid w:val="337C47C4"/>
    <w:rsid w:val="33833DA5"/>
    <w:rsid w:val="33843679"/>
    <w:rsid w:val="338F274A"/>
    <w:rsid w:val="33945FB2"/>
    <w:rsid w:val="339E473B"/>
    <w:rsid w:val="33A04957"/>
    <w:rsid w:val="33A45AC9"/>
    <w:rsid w:val="33AF4B9A"/>
    <w:rsid w:val="33B26438"/>
    <w:rsid w:val="33BE302F"/>
    <w:rsid w:val="33C66680"/>
    <w:rsid w:val="33D075EA"/>
    <w:rsid w:val="33D20888"/>
    <w:rsid w:val="33DC5263"/>
    <w:rsid w:val="33E67E90"/>
    <w:rsid w:val="33E74334"/>
    <w:rsid w:val="33EF5A15"/>
    <w:rsid w:val="33F94067"/>
    <w:rsid w:val="33F97DCE"/>
    <w:rsid w:val="33FB393B"/>
    <w:rsid w:val="340139A0"/>
    <w:rsid w:val="34022C78"/>
    <w:rsid w:val="34076784"/>
    <w:rsid w:val="340A2E41"/>
    <w:rsid w:val="340E3385"/>
    <w:rsid w:val="340F5638"/>
    <w:rsid w:val="34125129"/>
    <w:rsid w:val="34142C4F"/>
    <w:rsid w:val="34164C19"/>
    <w:rsid w:val="341669C7"/>
    <w:rsid w:val="34182AF8"/>
    <w:rsid w:val="341D5FA7"/>
    <w:rsid w:val="341E3ACD"/>
    <w:rsid w:val="342310E4"/>
    <w:rsid w:val="342D5ABF"/>
    <w:rsid w:val="342F7A89"/>
    <w:rsid w:val="3431735D"/>
    <w:rsid w:val="34403A44"/>
    <w:rsid w:val="34452E08"/>
    <w:rsid w:val="344572AC"/>
    <w:rsid w:val="34496D9C"/>
    <w:rsid w:val="34533777"/>
    <w:rsid w:val="3454129D"/>
    <w:rsid w:val="34627E5E"/>
    <w:rsid w:val="34637732"/>
    <w:rsid w:val="346644D8"/>
    <w:rsid w:val="34761214"/>
    <w:rsid w:val="34767465"/>
    <w:rsid w:val="347E631A"/>
    <w:rsid w:val="348778C5"/>
    <w:rsid w:val="348F0527"/>
    <w:rsid w:val="34931DC5"/>
    <w:rsid w:val="34A55F9D"/>
    <w:rsid w:val="34AE1BA1"/>
    <w:rsid w:val="34B0549C"/>
    <w:rsid w:val="34B1049E"/>
    <w:rsid w:val="34B30DCC"/>
    <w:rsid w:val="34B34216"/>
    <w:rsid w:val="34B35455"/>
    <w:rsid w:val="34B87A7E"/>
    <w:rsid w:val="34BA6286"/>
    <w:rsid w:val="34BB3C1A"/>
    <w:rsid w:val="34C06933"/>
    <w:rsid w:val="34C5119A"/>
    <w:rsid w:val="34C93A39"/>
    <w:rsid w:val="34CB5A03"/>
    <w:rsid w:val="34CE2DFE"/>
    <w:rsid w:val="34D32B0A"/>
    <w:rsid w:val="34D84DA0"/>
    <w:rsid w:val="34DB140D"/>
    <w:rsid w:val="34E72111"/>
    <w:rsid w:val="34E940DB"/>
    <w:rsid w:val="34F226A3"/>
    <w:rsid w:val="34F52A80"/>
    <w:rsid w:val="34F62354"/>
    <w:rsid w:val="34FF56AD"/>
    <w:rsid w:val="35011425"/>
    <w:rsid w:val="35066A3B"/>
    <w:rsid w:val="350902DA"/>
    <w:rsid w:val="35141C21"/>
    <w:rsid w:val="351647A5"/>
    <w:rsid w:val="351C000D"/>
    <w:rsid w:val="351D1FD7"/>
    <w:rsid w:val="351F5D4F"/>
    <w:rsid w:val="35213875"/>
    <w:rsid w:val="352670DE"/>
    <w:rsid w:val="352944D8"/>
    <w:rsid w:val="354258EB"/>
    <w:rsid w:val="35494B7A"/>
    <w:rsid w:val="354B444E"/>
    <w:rsid w:val="35584DBD"/>
    <w:rsid w:val="35586B6B"/>
    <w:rsid w:val="355A0B35"/>
    <w:rsid w:val="355A28E3"/>
    <w:rsid w:val="35611EC4"/>
    <w:rsid w:val="356B5D6B"/>
    <w:rsid w:val="357165DC"/>
    <w:rsid w:val="357716E7"/>
    <w:rsid w:val="357A11D7"/>
    <w:rsid w:val="357C0AAC"/>
    <w:rsid w:val="357E0CC8"/>
    <w:rsid w:val="3583008C"/>
    <w:rsid w:val="35847960"/>
    <w:rsid w:val="358A08C4"/>
    <w:rsid w:val="358B6F41"/>
    <w:rsid w:val="358D2CB9"/>
    <w:rsid w:val="359305B1"/>
    <w:rsid w:val="359C2EFC"/>
    <w:rsid w:val="359E6C74"/>
    <w:rsid w:val="35A87AF3"/>
    <w:rsid w:val="35AA386B"/>
    <w:rsid w:val="35B244CD"/>
    <w:rsid w:val="35B30245"/>
    <w:rsid w:val="35B6520A"/>
    <w:rsid w:val="35B75F88"/>
    <w:rsid w:val="35BC70FA"/>
    <w:rsid w:val="35BE10C4"/>
    <w:rsid w:val="35BE7316"/>
    <w:rsid w:val="35C506A4"/>
    <w:rsid w:val="35C7361F"/>
    <w:rsid w:val="35CA5CBB"/>
    <w:rsid w:val="35D22DC1"/>
    <w:rsid w:val="35DE52C2"/>
    <w:rsid w:val="35E52AF5"/>
    <w:rsid w:val="35E548A3"/>
    <w:rsid w:val="35F15590"/>
    <w:rsid w:val="35F20D6E"/>
    <w:rsid w:val="35F42D38"/>
    <w:rsid w:val="360607D9"/>
    <w:rsid w:val="361138EA"/>
    <w:rsid w:val="36140CE4"/>
    <w:rsid w:val="36190C5C"/>
    <w:rsid w:val="361C0286"/>
    <w:rsid w:val="361C361A"/>
    <w:rsid w:val="361E7DB5"/>
    <w:rsid w:val="36203B2D"/>
    <w:rsid w:val="36257395"/>
    <w:rsid w:val="36274EBB"/>
    <w:rsid w:val="36281C7A"/>
    <w:rsid w:val="362A49AB"/>
    <w:rsid w:val="362B4280"/>
    <w:rsid w:val="36315D3A"/>
    <w:rsid w:val="36341386"/>
    <w:rsid w:val="36370B9C"/>
    <w:rsid w:val="363D46DF"/>
    <w:rsid w:val="363D616D"/>
    <w:rsid w:val="363E2205"/>
    <w:rsid w:val="364610BA"/>
    <w:rsid w:val="36467CF5"/>
    <w:rsid w:val="36495A34"/>
    <w:rsid w:val="364C4922"/>
    <w:rsid w:val="364E58BC"/>
    <w:rsid w:val="3652180C"/>
    <w:rsid w:val="36545584"/>
    <w:rsid w:val="36547DFA"/>
    <w:rsid w:val="36581519"/>
    <w:rsid w:val="3660217B"/>
    <w:rsid w:val="36603F29"/>
    <w:rsid w:val="36611E1B"/>
    <w:rsid w:val="36637EBD"/>
    <w:rsid w:val="366559E4"/>
    <w:rsid w:val="36657792"/>
    <w:rsid w:val="36681030"/>
    <w:rsid w:val="366C6D72"/>
    <w:rsid w:val="366D10AA"/>
    <w:rsid w:val="367050B6"/>
    <w:rsid w:val="36723C5D"/>
    <w:rsid w:val="36767BF1"/>
    <w:rsid w:val="367E0761"/>
    <w:rsid w:val="3680580C"/>
    <w:rsid w:val="36806379"/>
    <w:rsid w:val="368220F2"/>
    <w:rsid w:val="368563E3"/>
    <w:rsid w:val="36884601"/>
    <w:rsid w:val="36900CA3"/>
    <w:rsid w:val="369267B0"/>
    <w:rsid w:val="369462C9"/>
    <w:rsid w:val="369736C3"/>
    <w:rsid w:val="369E2CA4"/>
    <w:rsid w:val="36A209E6"/>
    <w:rsid w:val="36A4650C"/>
    <w:rsid w:val="36B614D4"/>
    <w:rsid w:val="36B9188B"/>
    <w:rsid w:val="36C344B8"/>
    <w:rsid w:val="36C721FA"/>
    <w:rsid w:val="36DD1A1E"/>
    <w:rsid w:val="36DD557A"/>
    <w:rsid w:val="36DE7CD7"/>
    <w:rsid w:val="36E032BC"/>
    <w:rsid w:val="36E763F9"/>
    <w:rsid w:val="36E8788B"/>
    <w:rsid w:val="36F17277"/>
    <w:rsid w:val="36FF1994"/>
    <w:rsid w:val="37070849"/>
    <w:rsid w:val="370945C1"/>
    <w:rsid w:val="370B789B"/>
    <w:rsid w:val="370C40B1"/>
    <w:rsid w:val="37135440"/>
    <w:rsid w:val="37166CDE"/>
    <w:rsid w:val="37215DAE"/>
    <w:rsid w:val="372431A9"/>
    <w:rsid w:val="372C6501"/>
    <w:rsid w:val="372E0CF4"/>
    <w:rsid w:val="373A0C1E"/>
    <w:rsid w:val="37531CE0"/>
    <w:rsid w:val="376938B1"/>
    <w:rsid w:val="376F3581"/>
    <w:rsid w:val="37751BBC"/>
    <w:rsid w:val="3787198A"/>
    <w:rsid w:val="37887BDC"/>
    <w:rsid w:val="378C0679"/>
    <w:rsid w:val="378D6FA0"/>
    <w:rsid w:val="378E2D18"/>
    <w:rsid w:val="37976071"/>
    <w:rsid w:val="379F6CD3"/>
    <w:rsid w:val="37A02C15"/>
    <w:rsid w:val="37A31457"/>
    <w:rsid w:val="37AC319E"/>
    <w:rsid w:val="37B02C8E"/>
    <w:rsid w:val="37B07132"/>
    <w:rsid w:val="37B7401D"/>
    <w:rsid w:val="37BC5AD7"/>
    <w:rsid w:val="37BE5938"/>
    <w:rsid w:val="37C624B2"/>
    <w:rsid w:val="37CB5D1A"/>
    <w:rsid w:val="37CD55EE"/>
    <w:rsid w:val="37CE542D"/>
    <w:rsid w:val="37D20E57"/>
    <w:rsid w:val="37D864DF"/>
    <w:rsid w:val="37DE3C9F"/>
    <w:rsid w:val="37E50F72"/>
    <w:rsid w:val="37F232A7"/>
    <w:rsid w:val="37F7266B"/>
    <w:rsid w:val="37FC4126"/>
    <w:rsid w:val="37FE39FA"/>
    <w:rsid w:val="3806412E"/>
    <w:rsid w:val="380B25BB"/>
    <w:rsid w:val="3810197F"/>
    <w:rsid w:val="38190834"/>
    <w:rsid w:val="38286CC9"/>
    <w:rsid w:val="382A0C93"/>
    <w:rsid w:val="382A2A41"/>
    <w:rsid w:val="38303DCF"/>
    <w:rsid w:val="38315C5A"/>
    <w:rsid w:val="383218F5"/>
    <w:rsid w:val="3836588A"/>
    <w:rsid w:val="38376F0C"/>
    <w:rsid w:val="383C09C6"/>
    <w:rsid w:val="38440873"/>
    <w:rsid w:val="38482EC7"/>
    <w:rsid w:val="384F06F9"/>
    <w:rsid w:val="38575800"/>
    <w:rsid w:val="385A07E5"/>
    <w:rsid w:val="385D73CC"/>
    <w:rsid w:val="385E6B8E"/>
    <w:rsid w:val="385F7597"/>
    <w:rsid w:val="38664899"/>
    <w:rsid w:val="38685317"/>
    <w:rsid w:val="386F2B4A"/>
    <w:rsid w:val="38765C86"/>
    <w:rsid w:val="38787C50"/>
    <w:rsid w:val="387E0FDF"/>
    <w:rsid w:val="387E2D8D"/>
    <w:rsid w:val="388175F1"/>
    <w:rsid w:val="38877E93"/>
    <w:rsid w:val="388F6676"/>
    <w:rsid w:val="38966328"/>
    <w:rsid w:val="38975BFC"/>
    <w:rsid w:val="38992830"/>
    <w:rsid w:val="389E008F"/>
    <w:rsid w:val="38A94C99"/>
    <w:rsid w:val="38B30C88"/>
    <w:rsid w:val="38B7004D"/>
    <w:rsid w:val="38BB5D8F"/>
    <w:rsid w:val="38BD5663"/>
    <w:rsid w:val="38C20ECB"/>
    <w:rsid w:val="38CA5FD2"/>
    <w:rsid w:val="38D15764"/>
    <w:rsid w:val="38D6246F"/>
    <w:rsid w:val="38D96215"/>
    <w:rsid w:val="38E01351"/>
    <w:rsid w:val="38E26757"/>
    <w:rsid w:val="38E3340E"/>
    <w:rsid w:val="38E76B84"/>
    <w:rsid w:val="38EE7F12"/>
    <w:rsid w:val="38F00189"/>
    <w:rsid w:val="38F117B0"/>
    <w:rsid w:val="38FA68B7"/>
    <w:rsid w:val="38FB262F"/>
    <w:rsid w:val="3905525C"/>
    <w:rsid w:val="390E2362"/>
    <w:rsid w:val="39113C01"/>
    <w:rsid w:val="39131727"/>
    <w:rsid w:val="39162FC5"/>
    <w:rsid w:val="391D25A6"/>
    <w:rsid w:val="391F658F"/>
    <w:rsid w:val="392A081F"/>
    <w:rsid w:val="3932058D"/>
    <w:rsid w:val="39351F15"/>
    <w:rsid w:val="394A0EC1"/>
    <w:rsid w:val="394C69E7"/>
    <w:rsid w:val="39504729"/>
    <w:rsid w:val="39513FFD"/>
    <w:rsid w:val="395F671A"/>
    <w:rsid w:val="39673821"/>
    <w:rsid w:val="396A1CC8"/>
    <w:rsid w:val="396B1563"/>
    <w:rsid w:val="396C7089"/>
    <w:rsid w:val="397D1296"/>
    <w:rsid w:val="398268AC"/>
    <w:rsid w:val="398B5761"/>
    <w:rsid w:val="398C7670"/>
    <w:rsid w:val="3995213C"/>
    <w:rsid w:val="39970445"/>
    <w:rsid w:val="399D7242"/>
    <w:rsid w:val="39A14F85"/>
    <w:rsid w:val="39A26EE3"/>
    <w:rsid w:val="39A86313"/>
    <w:rsid w:val="39AB5E03"/>
    <w:rsid w:val="39AE76A2"/>
    <w:rsid w:val="39B0790D"/>
    <w:rsid w:val="39B12CEE"/>
    <w:rsid w:val="39B95BEC"/>
    <w:rsid w:val="39BA70D7"/>
    <w:rsid w:val="39BC591B"/>
    <w:rsid w:val="39C46EC5"/>
    <w:rsid w:val="39C742BF"/>
    <w:rsid w:val="39CE21CB"/>
    <w:rsid w:val="39D07618"/>
    <w:rsid w:val="39D37108"/>
    <w:rsid w:val="39E430C3"/>
    <w:rsid w:val="39EB4452"/>
    <w:rsid w:val="39EB6200"/>
    <w:rsid w:val="39F552D0"/>
    <w:rsid w:val="39FE4185"/>
    <w:rsid w:val="3A045513"/>
    <w:rsid w:val="3A0472C2"/>
    <w:rsid w:val="3A0F1ED5"/>
    <w:rsid w:val="3A145757"/>
    <w:rsid w:val="3A15327D"/>
    <w:rsid w:val="3A23599A"/>
    <w:rsid w:val="3A267238"/>
    <w:rsid w:val="3A322081"/>
    <w:rsid w:val="3A345DF9"/>
    <w:rsid w:val="3A371445"/>
    <w:rsid w:val="3A3758E9"/>
    <w:rsid w:val="3A3C4CAD"/>
    <w:rsid w:val="3A3C70DA"/>
    <w:rsid w:val="3A414072"/>
    <w:rsid w:val="3A4934F6"/>
    <w:rsid w:val="3A4D2A17"/>
    <w:rsid w:val="3A4F2C33"/>
    <w:rsid w:val="3A5169AB"/>
    <w:rsid w:val="3A5913BB"/>
    <w:rsid w:val="3A5E4C24"/>
    <w:rsid w:val="3A646B9F"/>
    <w:rsid w:val="3A647D60"/>
    <w:rsid w:val="3A6B096B"/>
    <w:rsid w:val="3A6B7341"/>
    <w:rsid w:val="3A6C5593"/>
    <w:rsid w:val="3A712BA9"/>
    <w:rsid w:val="3A7461F5"/>
    <w:rsid w:val="3A7E52C6"/>
    <w:rsid w:val="3A865F28"/>
    <w:rsid w:val="3A8A77C7"/>
    <w:rsid w:val="3A8E5D10"/>
    <w:rsid w:val="3A9C399E"/>
    <w:rsid w:val="3A9E14C4"/>
    <w:rsid w:val="3AA30888"/>
    <w:rsid w:val="3AA60379"/>
    <w:rsid w:val="3AB02FA5"/>
    <w:rsid w:val="3AB15DF4"/>
    <w:rsid w:val="3AB962FE"/>
    <w:rsid w:val="3AD2116E"/>
    <w:rsid w:val="3AD969A0"/>
    <w:rsid w:val="3AE07D2F"/>
    <w:rsid w:val="3AE11A4E"/>
    <w:rsid w:val="3AE20E7B"/>
    <w:rsid w:val="3AEA64B7"/>
    <w:rsid w:val="3AF45588"/>
    <w:rsid w:val="3AF61300"/>
    <w:rsid w:val="3AF85078"/>
    <w:rsid w:val="3AF86E26"/>
    <w:rsid w:val="3AFB06C4"/>
    <w:rsid w:val="3AFE015A"/>
    <w:rsid w:val="3AFE1F63"/>
    <w:rsid w:val="3B00217F"/>
    <w:rsid w:val="3B021A53"/>
    <w:rsid w:val="3B057795"/>
    <w:rsid w:val="3B06492D"/>
    <w:rsid w:val="3B070E17"/>
    <w:rsid w:val="3B07350D"/>
    <w:rsid w:val="3B0E03F8"/>
    <w:rsid w:val="3B10495E"/>
    <w:rsid w:val="3B11613A"/>
    <w:rsid w:val="3B143534"/>
    <w:rsid w:val="3B145AF3"/>
    <w:rsid w:val="3B163750"/>
    <w:rsid w:val="3B1765B9"/>
    <w:rsid w:val="3B1874C8"/>
    <w:rsid w:val="3B223EA3"/>
    <w:rsid w:val="3B225C51"/>
    <w:rsid w:val="3B272BC0"/>
    <w:rsid w:val="3B2A2D58"/>
    <w:rsid w:val="3B2A4FB6"/>
    <w:rsid w:val="3B2F036E"/>
    <w:rsid w:val="3B345984"/>
    <w:rsid w:val="3B365BA1"/>
    <w:rsid w:val="3B404329"/>
    <w:rsid w:val="3B471E8D"/>
    <w:rsid w:val="3B4C7172"/>
    <w:rsid w:val="3B514788"/>
    <w:rsid w:val="3B5B1163"/>
    <w:rsid w:val="3B6444BC"/>
    <w:rsid w:val="3B6C3376"/>
    <w:rsid w:val="3B6C511E"/>
    <w:rsid w:val="3B710987"/>
    <w:rsid w:val="3B716BD9"/>
    <w:rsid w:val="3B7364AD"/>
    <w:rsid w:val="3B765F9D"/>
    <w:rsid w:val="3B84149C"/>
    <w:rsid w:val="3B932D9C"/>
    <w:rsid w:val="3B934DA1"/>
    <w:rsid w:val="3B974891"/>
    <w:rsid w:val="3B9823B7"/>
    <w:rsid w:val="3B985F13"/>
    <w:rsid w:val="3B9D352A"/>
    <w:rsid w:val="3BB0325D"/>
    <w:rsid w:val="3BB54D17"/>
    <w:rsid w:val="3BB645EB"/>
    <w:rsid w:val="3BB70A8F"/>
    <w:rsid w:val="3BC136BC"/>
    <w:rsid w:val="3BC21196"/>
    <w:rsid w:val="3BCD02B3"/>
    <w:rsid w:val="3BD26834"/>
    <w:rsid w:val="3BD333EF"/>
    <w:rsid w:val="3BD86C58"/>
    <w:rsid w:val="3BDA004C"/>
    <w:rsid w:val="3BDD601C"/>
    <w:rsid w:val="3BE41159"/>
    <w:rsid w:val="3BE63123"/>
    <w:rsid w:val="3BE92C13"/>
    <w:rsid w:val="3BE949C1"/>
    <w:rsid w:val="3BED7890"/>
    <w:rsid w:val="3BEE1FD7"/>
    <w:rsid w:val="3BF910A8"/>
    <w:rsid w:val="3BFA6BCE"/>
    <w:rsid w:val="3C016C03"/>
    <w:rsid w:val="3C027831"/>
    <w:rsid w:val="3C0637C5"/>
    <w:rsid w:val="3C0B4937"/>
    <w:rsid w:val="3C19288C"/>
    <w:rsid w:val="3C1A7270"/>
    <w:rsid w:val="3C1C6B44"/>
    <w:rsid w:val="3C1E28BD"/>
    <w:rsid w:val="3C221C81"/>
    <w:rsid w:val="3C241E9D"/>
    <w:rsid w:val="3C2974B3"/>
    <w:rsid w:val="3C2B2CDD"/>
    <w:rsid w:val="3C2D0D52"/>
    <w:rsid w:val="3C44609B"/>
    <w:rsid w:val="3C4542ED"/>
    <w:rsid w:val="3C463BC1"/>
    <w:rsid w:val="3C4816E7"/>
    <w:rsid w:val="3C575DCE"/>
    <w:rsid w:val="3C5E64CC"/>
    <w:rsid w:val="3C65673D"/>
    <w:rsid w:val="3C6D55F2"/>
    <w:rsid w:val="3C795D45"/>
    <w:rsid w:val="3C7C3A87"/>
    <w:rsid w:val="3C860462"/>
    <w:rsid w:val="3C8A7F52"/>
    <w:rsid w:val="3C8D359F"/>
    <w:rsid w:val="3C8F37BA"/>
    <w:rsid w:val="3C926C30"/>
    <w:rsid w:val="3C942B7F"/>
    <w:rsid w:val="3C97441D"/>
    <w:rsid w:val="3C990195"/>
    <w:rsid w:val="3C991F43"/>
    <w:rsid w:val="3C9C5ED7"/>
    <w:rsid w:val="3CA31014"/>
    <w:rsid w:val="3CA3386E"/>
    <w:rsid w:val="3CA408E8"/>
    <w:rsid w:val="3CA54696"/>
    <w:rsid w:val="3CA8662A"/>
    <w:rsid w:val="3CAC611A"/>
    <w:rsid w:val="3CB74ABF"/>
    <w:rsid w:val="3CB95BEC"/>
    <w:rsid w:val="3CBA43FC"/>
    <w:rsid w:val="3CBC3E83"/>
    <w:rsid w:val="3CC01BC6"/>
    <w:rsid w:val="3CC72F54"/>
    <w:rsid w:val="3CC82828"/>
    <w:rsid w:val="3CCE5FE8"/>
    <w:rsid w:val="3CDC62D4"/>
    <w:rsid w:val="3CE60F00"/>
    <w:rsid w:val="3CED6733"/>
    <w:rsid w:val="3CF11D7F"/>
    <w:rsid w:val="3CF14471"/>
    <w:rsid w:val="3CF4186F"/>
    <w:rsid w:val="3CF96E86"/>
    <w:rsid w:val="3CFB2BFE"/>
    <w:rsid w:val="3CFD6976"/>
    <w:rsid w:val="3D023F8C"/>
    <w:rsid w:val="3D0870C9"/>
    <w:rsid w:val="3D143CBF"/>
    <w:rsid w:val="3D197528"/>
    <w:rsid w:val="3D1A6D6D"/>
    <w:rsid w:val="3D1B32A0"/>
    <w:rsid w:val="3D1B504E"/>
    <w:rsid w:val="3D251A29"/>
    <w:rsid w:val="3D255ECD"/>
    <w:rsid w:val="3D2D6B2F"/>
    <w:rsid w:val="3D332398"/>
    <w:rsid w:val="3D335DE1"/>
    <w:rsid w:val="3D3377DE"/>
    <w:rsid w:val="3D363C36"/>
    <w:rsid w:val="3D3D4FC4"/>
    <w:rsid w:val="3D4C5207"/>
    <w:rsid w:val="3D562397"/>
    <w:rsid w:val="3D573AAE"/>
    <w:rsid w:val="3D595B76"/>
    <w:rsid w:val="3D65451B"/>
    <w:rsid w:val="3D6F7148"/>
    <w:rsid w:val="3D7B3B93"/>
    <w:rsid w:val="3D7F382F"/>
    <w:rsid w:val="3D803103"/>
    <w:rsid w:val="3D8175A7"/>
    <w:rsid w:val="3D820C29"/>
    <w:rsid w:val="3D826E7B"/>
    <w:rsid w:val="3D845548"/>
    <w:rsid w:val="3D885DAE"/>
    <w:rsid w:val="3D8C7CFA"/>
    <w:rsid w:val="3D8E3A72"/>
    <w:rsid w:val="3D8F7B2C"/>
    <w:rsid w:val="3D931088"/>
    <w:rsid w:val="3D98669F"/>
    <w:rsid w:val="3D9A2417"/>
    <w:rsid w:val="3DA45043"/>
    <w:rsid w:val="3DA46DF1"/>
    <w:rsid w:val="3DA87F93"/>
    <w:rsid w:val="3DAE1A1E"/>
    <w:rsid w:val="3DB01C3A"/>
    <w:rsid w:val="3DB63F00"/>
    <w:rsid w:val="3DC41242"/>
    <w:rsid w:val="3DCC7E1D"/>
    <w:rsid w:val="3DCE3E6E"/>
    <w:rsid w:val="3DD0408A"/>
    <w:rsid w:val="3DD671C7"/>
    <w:rsid w:val="3DD75419"/>
    <w:rsid w:val="3DD84CED"/>
    <w:rsid w:val="3DDA2813"/>
    <w:rsid w:val="3DDC6AF7"/>
    <w:rsid w:val="3DE2791A"/>
    <w:rsid w:val="3DEB2C72"/>
    <w:rsid w:val="3DEE62BF"/>
    <w:rsid w:val="3DF2491B"/>
    <w:rsid w:val="3DF338D5"/>
    <w:rsid w:val="3E045AE2"/>
    <w:rsid w:val="3E087DD7"/>
    <w:rsid w:val="3E0930F8"/>
    <w:rsid w:val="3E1321C9"/>
    <w:rsid w:val="3E1675C3"/>
    <w:rsid w:val="3E216BCF"/>
    <w:rsid w:val="3E287A22"/>
    <w:rsid w:val="3E2919ED"/>
    <w:rsid w:val="3E29379B"/>
    <w:rsid w:val="3E2B7513"/>
    <w:rsid w:val="3E2C6DE7"/>
    <w:rsid w:val="3E2E7003"/>
    <w:rsid w:val="3E344619"/>
    <w:rsid w:val="3E3A1504"/>
    <w:rsid w:val="3E401EDE"/>
    <w:rsid w:val="3E491747"/>
    <w:rsid w:val="3E495BEB"/>
    <w:rsid w:val="3E52684D"/>
    <w:rsid w:val="3E5720B6"/>
    <w:rsid w:val="3E5F1E94"/>
    <w:rsid w:val="3E660695"/>
    <w:rsid w:val="3E6622F9"/>
    <w:rsid w:val="3E691DE9"/>
    <w:rsid w:val="3E6D7B2B"/>
    <w:rsid w:val="3E6F5651"/>
    <w:rsid w:val="3E7756FF"/>
    <w:rsid w:val="3E7C1B1C"/>
    <w:rsid w:val="3E815385"/>
    <w:rsid w:val="3E834C59"/>
    <w:rsid w:val="3E8F1850"/>
    <w:rsid w:val="3E9B4698"/>
    <w:rsid w:val="3E9E7CE5"/>
    <w:rsid w:val="3EA03A5D"/>
    <w:rsid w:val="3EA11583"/>
    <w:rsid w:val="3EA370A9"/>
    <w:rsid w:val="3EA572C5"/>
    <w:rsid w:val="3EA66B99"/>
    <w:rsid w:val="3EAB41B0"/>
    <w:rsid w:val="3EAD617A"/>
    <w:rsid w:val="3EAE5A4E"/>
    <w:rsid w:val="3EB14856"/>
    <w:rsid w:val="3EB42483"/>
    <w:rsid w:val="3EC139D3"/>
    <w:rsid w:val="3EC534C3"/>
    <w:rsid w:val="3EC62D97"/>
    <w:rsid w:val="3ECA0ADA"/>
    <w:rsid w:val="3ECA74C1"/>
    <w:rsid w:val="3ECA772F"/>
    <w:rsid w:val="3ED43706"/>
    <w:rsid w:val="3EE020AB"/>
    <w:rsid w:val="3EEB0A50"/>
    <w:rsid w:val="3EEC6CA2"/>
    <w:rsid w:val="3EF20030"/>
    <w:rsid w:val="3EF2616B"/>
    <w:rsid w:val="3EFE0737"/>
    <w:rsid w:val="3F022944"/>
    <w:rsid w:val="3F0538C0"/>
    <w:rsid w:val="3F081602"/>
    <w:rsid w:val="3F0833B0"/>
    <w:rsid w:val="3F125943"/>
    <w:rsid w:val="3F163D1F"/>
    <w:rsid w:val="3F1C6E5B"/>
    <w:rsid w:val="3F1D09B5"/>
    <w:rsid w:val="3F1E0E25"/>
    <w:rsid w:val="3F211766"/>
    <w:rsid w:val="3F312907"/>
    <w:rsid w:val="3F32667F"/>
    <w:rsid w:val="3F3917BB"/>
    <w:rsid w:val="3F402745"/>
    <w:rsid w:val="3F422D66"/>
    <w:rsid w:val="3F424B14"/>
    <w:rsid w:val="3F43088C"/>
    <w:rsid w:val="3F454604"/>
    <w:rsid w:val="3F4940F4"/>
    <w:rsid w:val="3F4C0AAE"/>
    <w:rsid w:val="3F4E170B"/>
    <w:rsid w:val="3F4F7231"/>
    <w:rsid w:val="3F52287D"/>
    <w:rsid w:val="3F577E93"/>
    <w:rsid w:val="3F5C459C"/>
    <w:rsid w:val="3F5D3B8E"/>
    <w:rsid w:val="3F650802"/>
    <w:rsid w:val="3F6A7BC7"/>
    <w:rsid w:val="3F6C393F"/>
    <w:rsid w:val="3F732F1F"/>
    <w:rsid w:val="3F7B1DD4"/>
    <w:rsid w:val="3F80388E"/>
    <w:rsid w:val="3F817D6A"/>
    <w:rsid w:val="3F836EDA"/>
    <w:rsid w:val="3F854A01"/>
    <w:rsid w:val="3F88629F"/>
    <w:rsid w:val="3F8E1B07"/>
    <w:rsid w:val="3F9D7F9C"/>
    <w:rsid w:val="3FA56E51"/>
    <w:rsid w:val="3FA72BC9"/>
    <w:rsid w:val="3FAE21A9"/>
    <w:rsid w:val="3FAF4912"/>
    <w:rsid w:val="3FB07F0A"/>
    <w:rsid w:val="3FB377C0"/>
    <w:rsid w:val="3FBB0422"/>
    <w:rsid w:val="3FBE7F13"/>
    <w:rsid w:val="3FC25C55"/>
    <w:rsid w:val="3FC27A03"/>
    <w:rsid w:val="3FC4377B"/>
    <w:rsid w:val="3FCA4B09"/>
    <w:rsid w:val="3FCD6998"/>
    <w:rsid w:val="3FCF129E"/>
    <w:rsid w:val="3FD140EA"/>
    <w:rsid w:val="3FD80FD4"/>
    <w:rsid w:val="3FE23C01"/>
    <w:rsid w:val="3FE71217"/>
    <w:rsid w:val="3FE756BB"/>
    <w:rsid w:val="3FE862D3"/>
    <w:rsid w:val="3FEB29BB"/>
    <w:rsid w:val="3FF102E8"/>
    <w:rsid w:val="3FF17EB1"/>
    <w:rsid w:val="3FFE2572"/>
    <w:rsid w:val="40161AFD"/>
    <w:rsid w:val="40170FC7"/>
    <w:rsid w:val="401A783F"/>
    <w:rsid w:val="401C35B7"/>
    <w:rsid w:val="40295CD4"/>
    <w:rsid w:val="40316936"/>
    <w:rsid w:val="4033445D"/>
    <w:rsid w:val="40356427"/>
    <w:rsid w:val="403F1053"/>
    <w:rsid w:val="404623E2"/>
    <w:rsid w:val="4047615A"/>
    <w:rsid w:val="404E74E8"/>
    <w:rsid w:val="405745EF"/>
    <w:rsid w:val="4057639D"/>
    <w:rsid w:val="40582115"/>
    <w:rsid w:val="405D772B"/>
    <w:rsid w:val="40646D0C"/>
    <w:rsid w:val="40664832"/>
    <w:rsid w:val="406665E0"/>
    <w:rsid w:val="40674515"/>
    <w:rsid w:val="406A72FF"/>
    <w:rsid w:val="406E36E7"/>
    <w:rsid w:val="40723D23"/>
    <w:rsid w:val="40736F4F"/>
    <w:rsid w:val="407451A1"/>
    <w:rsid w:val="40774C91"/>
    <w:rsid w:val="40784565"/>
    <w:rsid w:val="40787CE9"/>
    <w:rsid w:val="407D1B7C"/>
    <w:rsid w:val="407F3B46"/>
    <w:rsid w:val="40821279"/>
    <w:rsid w:val="40970E8F"/>
    <w:rsid w:val="409A44DC"/>
    <w:rsid w:val="409B6212"/>
    <w:rsid w:val="40A610D2"/>
    <w:rsid w:val="40A67324"/>
    <w:rsid w:val="40A95282"/>
    <w:rsid w:val="40AD420F"/>
    <w:rsid w:val="40AE7F87"/>
    <w:rsid w:val="40B437EF"/>
    <w:rsid w:val="40BA692C"/>
    <w:rsid w:val="40C003E6"/>
    <w:rsid w:val="40C03509"/>
    <w:rsid w:val="40CA0F1F"/>
    <w:rsid w:val="40CB6D8B"/>
    <w:rsid w:val="40CD787E"/>
    <w:rsid w:val="40D0614F"/>
    <w:rsid w:val="40D66097"/>
    <w:rsid w:val="40DE0018"/>
    <w:rsid w:val="40E65973"/>
    <w:rsid w:val="40E731F2"/>
    <w:rsid w:val="40E85247"/>
    <w:rsid w:val="40EF2A79"/>
    <w:rsid w:val="40F21C7A"/>
    <w:rsid w:val="40F84641"/>
    <w:rsid w:val="40FA4F7A"/>
    <w:rsid w:val="40FC6F44"/>
    <w:rsid w:val="40FF230D"/>
    <w:rsid w:val="4105404B"/>
    <w:rsid w:val="41055DF9"/>
    <w:rsid w:val="410F4ECA"/>
    <w:rsid w:val="41195D48"/>
    <w:rsid w:val="411C3143"/>
    <w:rsid w:val="411C75E7"/>
    <w:rsid w:val="411E335F"/>
    <w:rsid w:val="411E510D"/>
    <w:rsid w:val="412D70FE"/>
    <w:rsid w:val="412F731A"/>
    <w:rsid w:val="4132239B"/>
    <w:rsid w:val="41344930"/>
    <w:rsid w:val="414032D5"/>
    <w:rsid w:val="41474664"/>
    <w:rsid w:val="41484619"/>
    <w:rsid w:val="41566655"/>
    <w:rsid w:val="415D5900"/>
    <w:rsid w:val="41665E32"/>
    <w:rsid w:val="41670FDA"/>
    <w:rsid w:val="41676AB4"/>
    <w:rsid w:val="416A65A4"/>
    <w:rsid w:val="416D399E"/>
    <w:rsid w:val="416F3BBA"/>
    <w:rsid w:val="417164E9"/>
    <w:rsid w:val="41760AA5"/>
    <w:rsid w:val="418238EE"/>
    <w:rsid w:val="41832E9E"/>
    <w:rsid w:val="41852436"/>
    <w:rsid w:val="41874A60"/>
    <w:rsid w:val="41882165"/>
    <w:rsid w:val="41902D4E"/>
    <w:rsid w:val="4191768D"/>
    <w:rsid w:val="4192308F"/>
    <w:rsid w:val="41943621"/>
    <w:rsid w:val="41A43864"/>
    <w:rsid w:val="41AA2E44"/>
    <w:rsid w:val="41AA4BF2"/>
    <w:rsid w:val="41B63597"/>
    <w:rsid w:val="41B96BE3"/>
    <w:rsid w:val="41C2018E"/>
    <w:rsid w:val="41C31810"/>
    <w:rsid w:val="41CF2A5F"/>
    <w:rsid w:val="41CF6407"/>
    <w:rsid w:val="41D13F2D"/>
    <w:rsid w:val="41D63C39"/>
    <w:rsid w:val="41DD28D2"/>
    <w:rsid w:val="41E579D9"/>
    <w:rsid w:val="41E73751"/>
    <w:rsid w:val="41E75040"/>
    <w:rsid w:val="41F52311"/>
    <w:rsid w:val="41F67393"/>
    <w:rsid w:val="41FB544E"/>
    <w:rsid w:val="41FF0A9A"/>
    <w:rsid w:val="42010CB6"/>
    <w:rsid w:val="420626C6"/>
    <w:rsid w:val="42097B6B"/>
    <w:rsid w:val="420C2CFA"/>
    <w:rsid w:val="42122868"/>
    <w:rsid w:val="42165DE4"/>
    <w:rsid w:val="421B7832"/>
    <w:rsid w:val="421F2EEA"/>
    <w:rsid w:val="42254A34"/>
    <w:rsid w:val="422C1AAB"/>
    <w:rsid w:val="422C5BEA"/>
    <w:rsid w:val="4230334A"/>
    <w:rsid w:val="42324373"/>
    <w:rsid w:val="423C0FCC"/>
    <w:rsid w:val="423C66CB"/>
    <w:rsid w:val="42417305"/>
    <w:rsid w:val="424566C9"/>
    <w:rsid w:val="42462B6D"/>
    <w:rsid w:val="424B13CE"/>
    <w:rsid w:val="424C5CAA"/>
    <w:rsid w:val="424E1A22"/>
    <w:rsid w:val="424F0BAF"/>
    <w:rsid w:val="4250579A"/>
    <w:rsid w:val="425132C0"/>
    <w:rsid w:val="4251506E"/>
    <w:rsid w:val="425A03C6"/>
    <w:rsid w:val="426052B1"/>
    <w:rsid w:val="42611755"/>
    <w:rsid w:val="42621029"/>
    <w:rsid w:val="42660B19"/>
    <w:rsid w:val="426D634C"/>
    <w:rsid w:val="42786A9F"/>
    <w:rsid w:val="427B20EB"/>
    <w:rsid w:val="42817701"/>
    <w:rsid w:val="428216CB"/>
    <w:rsid w:val="42823479"/>
    <w:rsid w:val="4283791D"/>
    <w:rsid w:val="42870F07"/>
    <w:rsid w:val="4290203A"/>
    <w:rsid w:val="429462ED"/>
    <w:rsid w:val="429531AD"/>
    <w:rsid w:val="42A11B51"/>
    <w:rsid w:val="42A47894"/>
    <w:rsid w:val="42A930FC"/>
    <w:rsid w:val="42A96C58"/>
    <w:rsid w:val="42AE24C0"/>
    <w:rsid w:val="42B06238"/>
    <w:rsid w:val="42B21FB1"/>
    <w:rsid w:val="42BA2C13"/>
    <w:rsid w:val="42BC7DDF"/>
    <w:rsid w:val="42C6199F"/>
    <w:rsid w:val="42CB4E20"/>
    <w:rsid w:val="42D24401"/>
    <w:rsid w:val="42D33CD5"/>
    <w:rsid w:val="42D40179"/>
    <w:rsid w:val="42D71A17"/>
    <w:rsid w:val="42DF08CC"/>
    <w:rsid w:val="42E303BC"/>
    <w:rsid w:val="42EA174A"/>
    <w:rsid w:val="42EE0B0F"/>
    <w:rsid w:val="42F02AD9"/>
    <w:rsid w:val="42F04887"/>
    <w:rsid w:val="42F1530D"/>
    <w:rsid w:val="43076C51"/>
    <w:rsid w:val="43100A85"/>
    <w:rsid w:val="4311222E"/>
    <w:rsid w:val="43160791"/>
    <w:rsid w:val="431A7B56"/>
    <w:rsid w:val="431C4ECF"/>
    <w:rsid w:val="431C742A"/>
    <w:rsid w:val="431D67C6"/>
    <w:rsid w:val="43210EE4"/>
    <w:rsid w:val="432664FB"/>
    <w:rsid w:val="432A5FEB"/>
    <w:rsid w:val="43340C18"/>
    <w:rsid w:val="434075BC"/>
    <w:rsid w:val="43413334"/>
    <w:rsid w:val="43476B9D"/>
    <w:rsid w:val="434A043B"/>
    <w:rsid w:val="434D1CD9"/>
    <w:rsid w:val="43566DE0"/>
    <w:rsid w:val="435B2648"/>
    <w:rsid w:val="435C1F1C"/>
    <w:rsid w:val="435C3DCD"/>
    <w:rsid w:val="43601A0D"/>
    <w:rsid w:val="436112E1"/>
    <w:rsid w:val="43670FED"/>
    <w:rsid w:val="4368266F"/>
    <w:rsid w:val="43686B13"/>
    <w:rsid w:val="43707776"/>
    <w:rsid w:val="437159C8"/>
    <w:rsid w:val="43741A13"/>
    <w:rsid w:val="43761230"/>
    <w:rsid w:val="437A5F67"/>
    <w:rsid w:val="437E00E5"/>
    <w:rsid w:val="437E2698"/>
    <w:rsid w:val="43803E5D"/>
    <w:rsid w:val="43825005"/>
    <w:rsid w:val="438C2802"/>
    <w:rsid w:val="4391606A"/>
    <w:rsid w:val="439174EF"/>
    <w:rsid w:val="439E2535"/>
    <w:rsid w:val="43AD43B9"/>
    <w:rsid w:val="43B342D5"/>
    <w:rsid w:val="43B64397"/>
    <w:rsid w:val="43B6787E"/>
    <w:rsid w:val="43B753A5"/>
    <w:rsid w:val="43BA2D18"/>
    <w:rsid w:val="43BC29BB"/>
    <w:rsid w:val="43BE0389"/>
    <w:rsid w:val="43C02A2D"/>
    <w:rsid w:val="43C53F65"/>
    <w:rsid w:val="43CD6976"/>
    <w:rsid w:val="43CF26EE"/>
    <w:rsid w:val="43D23F8D"/>
    <w:rsid w:val="43D47D05"/>
    <w:rsid w:val="43D917BF"/>
    <w:rsid w:val="43DB416E"/>
    <w:rsid w:val="43DD4E0B"/>
    <w:rsid w:val="43E443EC"/>
    <w:rsid w:val="43E50164"/>
    <w:rsid w:val="43E837B0"/>
    <w:rsid w:val="4404683C"/>
    <w:rsid w:val="440525B4"/>
    <w:rsid w:val="44093E52"/>
    <w:rsid w:val="44143B7E"/>
    <w:rsid w:val="44191BBB"/>
    <w:rsid w:val="441B1DD7"/>
    <w:rsid w:val="441C0974"/>
    <w:rsid w:val="44201AAB"/>
    <w:rsid w:val="442347E8"/>
    <w:rsid w:val="442C5D93"/>
    <w:rsid w:val="442C7B41"/>
    <w:rsid w:val="44315157"/>
    <w:rsid w:val="44332C7D"/>
    <w:rsid w:val="4436451B"/>
    <w:rsid w:val="44366C11"/>
    <w:rsid w:val="444B4E82"/>
    <w:rsid w:val="444C01E3"/>
    <w:rsid w:val="444E7AB7"/>
    <w:rsid w:val="44507440"/>
    <w:rsid w:val="445175A7"/>
    <w:rsid w:val="4453331F"/>
    <w:rsid w:val="445678A0"/>
    <w:rsid w:val="44580936"/>
    <w:rsid w:val="44581A9C"/>
    <w:rsid w:val="445C763E"/>
    <w:rsid w:val="445F3A72"/>
    <w:rsid w:val="44670B79"/>
    <w:rsid w:val="446A2417"/>
    <w:rsid w:val="4473751E"/>
    <w:rsid w:val="44784B34"/>
    <w:rsid w:val="447A164A"/>
    <w:rsid w:val="44801C3A"/>
    <w:rsid w:val="4484172B"/>
    <w:rsid w:val="448434D9"/>
    <w:rsid w:val="448A72D9"/>
    <w:rsid w:val="449A2CFC"/>
    <w:rsid w:val="44A26055"/>
    <w:rsid w:val="44A57770"/>
    <w:rsid w:val="44A95728"/>
    <w:rsid w:val="44B00772"/>
    <w:rsid w:val="44B813D4"/>
    <w:rsid w:val="44BA15F0"/>
    <w:rsid w:val="44BB309D"/>
    <w:rsid w:val="44BE2E8F"/>
    <w:rsid w:val="44C22034"/>
    <w:rsid w:val="44C4421D"/>
    <w:rsid w:val="44C61D43"/>
    <w:rsid w:val="44CD30D2"/>
    <w:rsid w:val="44D0152D"/>
    <w:rsid w:val="44D3620E"/>
    <w:rsid w:val="44D53D34"/>
    <w:rsid w:val="44D77AAC"/>
    <w:rsid w:val="44DA57EF"/>
    <w:rsid w:val="44DA759D"/>
    <w:rsid w:val="44DE708D"/>
    <w:rsid w:val="44E16B7D"/>
    <w:rsid w:val="44E4666D"/>
    <w:rsid w:val="44E87F0C"/>
    <w:rsid w:val="44E93C84"/>
    <w:rsid w:val="44EE4DF6"/>
    <w:rsid w:val="44EF1B82"/>
    <w:rsid w:val="44F22B38"/>
    <w:rsid w:val="44F3065E"/>
    <w:rsid w:val="44F763A1"/>
    <w:rsid w:val="44FA7C3F"/>
    <w:rsid w:val="4504286C"/>
    <w:rsid w:val="45091B37"/>
    <w:rsid w:val="450D0C9B"/>
    <w:rsid w:val="45102FBE"/>
    <w:rsid w:val="45102FC3"/>
    <w:rsid w:val="45154A79"/>
    <w:rsid w:val="451707F1"/>
    <w:rsid w:val="451C7BB5"/>
    <w:rsid w:val="45237196"/>
    <w:rsid w:val="4530540F"/>
    <w:rsid w:val="45336CAD"/>
    <w:rsid w:val="4537679D"/>
    <w:rsid w:val="45390767"/>
    <w:rsid w:val="453E3FCF"/>
    <w:rsid w:val="454A6268"/>
    <w:rsid w:val="454B049A"/>
    <w:rsid w:val="454F3AE7"/>
    <w:rsid w:val="455235D7"/>
    <w:rsid w:val="45561319"/>
    <w:rsid w:val="45594965"/>
    <w:rsid w:val="455E01CE"/>
    <w:rsid w:val="45637592"/>
    <w:rsid w:val="4565155C"/>
    <w:rsid w:val="45664FC9"/>
    <w:rsid w:val="456D21BF"/>
    <w:rsid w:val="4572682B"/>
    <w:rsid w:val="4574179F"/>
    <w:rsid w:val="45797C51"/>
    <w:rsid w:val="457B2B2E"/>
    <w:rsid w:val="457E617A"/>
    <w:rsid w:val="457F1EF2"/>
    <w:rsid w:val="45857508"/>
    <w:rsid w:val="4588349D"/>
    <w:rsid w:val="458D460F"/>
    <w:rsid w:val="459260C9"/>
    <w:rsid w:val="45991206"/>
    <w:rsid w:val="45997458"/>
    <w:rsid w:val="459A5616"/>
    <w:rsid w:val="459B31D0"/>
    <w:rsid w:val="45A168B6"/>
    <w:rsid w:val="45A32084"/>
    <w:rsid w:val="45A55DFD"/>
    <w:rsid w:val="45AB2CE7"/>
    <w:rsid w:val="45AD2F03"/>
    <w:rsid w:val="45AF0A29"/>
    <w:rsid w:val="45B55914"/>
    <w:rsid w:val="45B95404"/>
    <w:rsid w:val="45C1250B"/>
    <w:rsid w:val="45C269AF"/>
    <w:rsid w:val="45C83899"/>
    <w:rsid w:val="45CA3563"/>
    <w:rsid w:val="45CB307C"/>
    <w:rsid w:val="45CC15DB"/>
    <w:rsid w:val="45CC5137"/>
    <w:rsid w:val="45D069FA"/>
    <w:rsid w:val="45D466E2"/>
    <w:rsid w:val="45DB35CC"/>
    <w:rsid w:val="45DE58C9"/>
    <w:rsid w:val="45E00BE3"/>
    <w:rsid w:val="45E561F9"/>
    <w:rsid w:val="45E83F3B"/>
    <w:rsid w:val="45EC7588"/>
    <w:rsid w:val="45EE4E64"/>
    <w:rsid w:val="45F12DF0"/>
    <w:rsid w:val="45F66658"/>
    <w:rsid w:val="45F8417E"/>
    <w:rsid w:val="46050649"/>
    <w:rsid w:val="460D323F"/>
    <w:rsid w:val="460F3276"/>
    <w:rsid w:val="46164604"/>
    <w:rsid w:val="461A0599"/>
    <w:rsid w:val="461B2714"/>
    <w:rsid w:val="461E170B"/>
    <w:rsid w:val="462E5DF2"/>
    <w:rsid w:val="462F3918"/>
    <w:rsid w:val="46333408"/>
    <w:rsid w:val="46342CDD"/>
    <w:rsid w:val="46364CA7"/>
    <w:rsid w:val="463B406B"/>
    <w:rsid w:val="46401681"/>
    <w:rsid w:val="46492C2C"/>
    <w:rsid w:val="464E3D9E"/>
    <w:rsid w:val="464F2947"/>
    <w:rsid w:val="46603AD2"/>
    <w:rsid w:val="46641814"/>
    <w:rsid w:val="46671304"/>
    <w:rsid w:val="46674E60"/>
    <w:rsid w:val="466E2692"/>
    <w:rsid w:val="466F1F67"/>
    <w:rsid w:val="46711033"/>
    <w:rsid w:val="46841EB6"/>
    <w:rsid w:val="468C0D6B"/>
    <w:rsid w:val="469321A2"/>
    <w:rsid w:val="46957C1F"/>
    <w:rsid w:val="469D4D26"/>
    <w:rsid w:val="469F0A9E"/>
    <w:rsid w:val="46A2233C"/>
    <w:rsid w:val="46AD4F74"/>
    <w:rsid w:val="46B5206F"/>
    <w:rsid w:val="46BD0F24"/>
    <w:rsid w:val="46C6427C"/>
    <w:rsid w:val="46CE3131"/>
    <w:rsid w:val="46D1677D"/>
    <w:rsid w:val="46D63D94"/>
    <w:rsid w:val="46DF0E9A"/>
    <w:rsid w:val="46E12E64"/>
    <w:rsid w:val="46F10BCE"/>
    <w:rsid w:val="46F41301"/>
    <w:rsid w:val="46F54B62"/>
    <w:rsid w:val="46FA3F26"/>
    <w:rsid w:val="46FC1A4C"/>
    <w:rsid w:val="46FC6C97"/>
    <w:rsid w:val="46FD1A7F"/>
    <w:rsid w:val="46FE3A16"/>
    <w:rsid w:val="470628CB"/>
    <w:rsid w:val="4707219F"/>
    <w:rsid w:val="47084895"/>
    <w:rsid w:val="47094169"/>
    <w:rsid w:val="470D1EAB"/>
    <w:rsid w:val="470D6E20"/>
    <w:rsid w:val="470E1780"/>
    <w:rsid w:val="4712301E"/>
    <w:rsid w:val="47190850"/>
    <w:rsid w:val="472004A5"/>
    <w:rsid w:val="47217705"/>
    <w:rsid w:val="472B0583"/>
    <w:rsid w:val="47356D0C"/>
    <w:rsid w:val="47370CD6"/>
    <w:rsid w:val="47372A84"/>
    <w:rsid w:val="473D2DF8"/>
    <w:rsid w:val="473E73A3"/>
    <w:rsid w:val="47431429"/>
    <w:rsid w:val="4743457C"/>
    <w:rsid w:val="4743767B"/>
    <w:rsid w:val="474433F3"/>
    <w:rsid w:val="474D22A8"/>
    <w:rsid w:val="474D6356"/>
    <w:rsid w:val="474E3B19"/>
    <w:rsid w:val="475353E4"/>
    <w:rsid w:val="47542219"/>
    <w:rsid w:val="475C073D"/>
    <w:rsid w:val="47653A95"/>
    <w:rsid w:val="47655843"/>
    <w:rsid w:val="476562C5"/>
    <w:rsid w:val="476B6BD2"/>
    <w:rsid w:val="476D294A"/>
    <w:rsid w:val="476D46F8"/>
    <w:rsid w:val="476D64A6"/>
    <w:rsid w:val="47723ABC"/>
    <w:rsid w:val="4773055C"/>
    <w:rsid w:val="47745A86"/>
    <w:rsid w:val="477737C9"/>
    <w:rsid w:val="47797541"/>
    <w:rsid w:val="477C26A4"/>
    <w:rsid w:val="477D4101"/>
    <w:rsid w:val="47835CCA"/>
    <w:rsid w:val="478E1CE8"/>
    <w:rsid w:val="479779C7"/>
    <w:rsid w:val="479C322F"/>
    <w:rsid w:val="47A143A2"/>
    <w:rsid w:val="47AF4ADF"/>
    <w:rsid w:val="47B916EB"/>
    <w:rsid w:val="47C87B80"/>
    <w:rsid w:val="47CB2B77"/>
    <w:rsid w:val="47CE74DE"/>
    <w:rsid w:val="47CF53B3"/>
    <w:rsid w:val="47D4097B"/>
    <w:rsid w:val="47D46525"/>
    <w:rsid w:val="47D66741"/>
    <w:rsid w:val="47D76015"/>
    <w:rsid w:val="47D93B3C"/>
    <w:rsid w:val="47E26E94"/>
    <w:rsid w:val="47E66258"/>
    <w:rsid w:val="47EC35F1"/>
    <w:rsid w:val="47F00E85"/>
    <w:rsid w:val="47F6649C"/>
    <w:rsid w:val="47F66832"/>
    <w:rsid w:val="47F92430"/>
    <w:rsid w:val="47FD3CCE"/>
    <w:rsid w:val="47FE7A46"/>
    <w:rsid w:val="48050DD4"/>
    <w:rsid w:val="480F1C53"/>
    <w:rsid w:val="48141018"/>
    <w:rsid w:val="48255D8A"/>
    <w:rsid w:val="48293097"/>
    <w:rsid w:val="48303FB9"/>
    <w:rsid w:val="483416BA"/>
    <w:rsid w:val="48360F8E"/>
    <w:rsid w:val="48376AB4"/>
    <w:rsid w:val="483D056E"/>
    <w:rsid w:val="483E7E42"/>
    <w:rsid w:val="484418FD"/>
    <w:rsid w:val="484A4A39"/>
    <w:rsid w:val="48531B40"/>
    <w:rsid w:val="48580F04"/>
    <w:rsid w:val="48592ECE"/>
    <w:rsid w:val="485A1120"/>
    <w:rsid w:val="486755EB"/>
    <w:rsid w:val="48763A80"/>
    <w:rsid w:val="48766FC9"/>
    <w:rsid w:val="487C2C1A"/>
    <w:rsid w:val="4884619D"/>
    <w:rsid w:val="48877A3B"/>
    <w:rsid w:val="488F069E"/>
    <w:rsid w:val="48904B42"/>
    <w:rsid w:val="48943F06"/>
    <w:rsid w:val="489A151D"/>
    <w:rsid w:val="48A24875"/>
    <w:rsid w:val="48A4795F"/>
    <w:rsid w:val="48AA06AF"/>
    <w:rsid w:val="48AE4FC8"/>
    <w:rsid w:val="48BB76E5"/>
    <w:rsid w:val="48BD16AF"/>
    <w:rsid w:val="48BF5427"/>
    <w:rsid w:val="48C91E02"/>
    <w:rsid w:val="48D32C81"/>
    <w:rsid w:val="48DA400F"/>
    <w:rsid w:val="48DC0EB5"/>
    <w:rsid w:val="48E5353B"/>
    <w:rsid w:val="48E7672C"/>
    <w:rsid w:val="48EC3D42"/>
    <w:rsid w:val="48F25C9A"/>
    <w:rsid w:val="490177EE"/>
    <w:rsid w:val="49042E3A"/>
    <w:rsid w:val="49060960"/>
    <w:rsid w:val="491858F6"/>
    <w:rsid w:val="491C0184"/>
    <w:rsid w:val="492141FC"/>
    <w:rsid w:val="49290AF3"/>
    <w:rsid w:val="492A04FD"/>
    <w:rsid w:val="492E435B"/>
    <w:rsid w:val="49325BF9"/>
    <w:rsid w:val="49331971"/>
    <w:rsid w:val="49357497"/>
    <w:rsid w:val="49366D6C"/>
    <w:rsid w:val="493A685C"/>
    <w:rsid w:val="4941408E"/>
    <w:rsid w:val="4944592C"/>
    <w:rsid w:val="494B6CBB"/>
    <w:rsid w:val="49583186"/>
    <w:rsid w:val="495C4A24"/>
    <w:rsid w:val="496B4C67"/>
    <w:rsid w:val="496D09DF"/>
    <w:rsid w:val="496E4757"/>
    <w:rsid w:val="4970227E"/>
    <w:rsid w:val="497A134E"/>
    <w:rsid w:val="497A4025"/>
    <w:rsid w:val="497C50C6"/>
    <w:rsid w:val="4981092F"/>
    <w:rsid w:val="4981448B"/>
    <w:rsid w:val="498521CD"/>
    <w:rsid w:val="49867CF3"/>
    <w:rsid w:val="49883A6B"/>
    <w:rsid w:val="49920446"/>
    <w:rsid w:val="499248EA"/>
    <w:rsid w:val="499E328F"/>
    <w:rsid w:val="49A14B2D"/>
    <w:rsid w:val="49A33231"/>
    <w:rsid w:val="49A81A17"/>
    <w:rsid w:val="49A87C69"/>
    <w:rsid w:val="49AD6EB4"/>
    <w:rsid w:val="49B04D70"/>
    <w:rsid w:val="49B605D8"/>
    <w:rsid w:val="49B760FE"/>
    <w:rsid w:val="49B8763F"/>
    <w:rsid w:val="49BF6D61"/>
    <w:rsid w:val="49C01457"/>
    <w:rsid w:val="49C51B7C"/>
    <w:rsid w:val="49C83E68"/>
    <w:rsid w:val="49CC7DFC"/>
    <w:rsid w:val="49CD5922"/>
    <w:rsid w:val="49CD76D0"/>
    <w:rsid w:val="49D15412"/>
    <w:rsid w:val="49D4280C"/>
    <w:rsid w:val="49DA6049"/>
    <w:rsid w:val="49DB003F"/>
    <w:rsid w:val="49DC7913"/>
    <w:rsid w:val="49DD5E2E"/>
    <w:rsid w:val="49DE368B"/>
    <w:rsid w:val="49DF11B1"/>
    <w:rsid w:val="49E54A1A"/>
    <w:rsid w:val="49E60792"/>
    <w:rsid w:val="49F27137"/>
    <w:rsid w:val="49F42EAF"/>
    <w:rsid w:val="49F7299F"/>
    <w:rsid w:val="49F866F1"/>
    <w:rsid w:val="49F96717"/>
    <w:rsid w:val="49FA5FEB"/>
    <w:rsid w:val="4A001853"/>
    <w:rsid w:val="4A007AA5"/>
    <w:rsid w:val="4A01737A"/>
    <w:rsid w:val="4A017A91"/>
    <w:rsid w:val="4A0330F2"/>
    <w:rsid w:val="4A05330E"/>
    <w:rsid w:val="4A077A34"/>
    <w:rsid w:val="4A093CE7"/>
    <w:rsid w:val="4A0A64C5"/>
    <w:rsid w:val="4A196EAA"/>
    <w:rsid w:val="4A1C38C9"/>
    <w:rsid w:val="4A1E1CDA"/>
    <w:rsid w:val="4A1E3175"/>
    <w:rsid w:val="4A1E617D"/>
    <w:rsid w:val="4A225C6E"/>
    <w:rsid w:val="4A2512BA"/>
    <w:rsid w:val="4A253068"/>
    <w:rsid w:val="4A272146"/>
    <w:rsid w:val="4A2A719E"/>
    <w:rsid w:val="4A3814EB"/>
    <w:rsid w:val="4A3C158D"/>
    <w:rsid w:val="4A407C50"/>
    <w:rsid w:val="4A413C1A"/>
    <w:rsid w:val="4A431740"/>
    <w:rsid w:val="4A440938"/>
    <w:rsid w:val="4A45370A"/>
    <w:rsid w:val="4A484FA8"/>
    <w:rsid w:val="4A4A6F73"/>
    <w:rsid w:val="4A4D0811"/>
    <w:rsid w:val="4A4E6A63"/>
    <w:rsid w:val="4A4F4589"/>
    <w:rsid w:val="4A58168F"/>
    <w:rsid w:val="4A58343D"/>
    <w:rsid w:val="4A595408"/>
    <w:rsid w:val="4A5B1180"/>
    <w:rsid w:val="4A5B4CDC"/>
    <w:rsid w:val="4A6022F2"/>
    <w:rsid w:val="4A6242BC"/>
    <w:rsid w:val="4A631737"/>
    <w:rsid w:val="4A655B5A"/>
    <w:rsid w:val="4A657908"/>
    <w:rsid w:val="4A673681"/>
    <w:rsid w:val="4A6C063B"/>
    <w:rsid w:val="4A6F0787"/>
    <w:rsid w:val="4A7638C4"/>
    <w:rsid w:val="4A7D10F6"/>
    <w:rsid w:val="4A871F75"/>
    <w:rsid w:val="4A8C30E7"/>
    <w:rsid w:val="4A987CDE"/>
    <w:rsid w:val="4A993A56"/>
    <w:rsid w:val="4A9973CA"/>
    <w:rsid w:val="4AA20B5D"/>
    <w:rsid w:val="4AA246B9"/>
    <w:rsid w:val="4AAE5753"/>
    <w:rsid w:val="4AB16FF2"/>
    <w:rsid w:val="4AB4263E"/>
    <w:rsid w:val="4AC00FE3"/>
    <w:rsid w:val="4AC22FAD"/>
    <w:rsid w:val="4AC705C3"/>
    <w:rsid w:val="4AD11442"/>
    <w:rsid w:val="4AD11DB9"/>
    <w:rsid w:val="4AD131F0"/>
    <w:rsid w:val="4AD309EB"/>
    <w:rsid w:val="4AD60806"/>
    <w:rsid w:val="4AD74C4A"/>
    <w:rsid w:val="4AD8457E"/>
    <w:rsid w:val="4ADD1B95"/>
    <w:rsid w:val="4ADF3B5F"/>
    <w:rsid w:val="4AE274E7"/>
    <w:rsid w:val="4AE747C1"/>
    <w:rsid w:val="4AEC627C"/>
    <w:rsid w:val="4AF84C20"/>
    <w:rsid w:val="4AFA2747"/>
    <w:rsid w:val="4B0062C7"/>
    <w:rsid w:val="4B0610EB"/>
    <w:rsid w:val="4B0B6702"/>
    <w:rsid w:val="4B0C4228"/>
    <w:rsid w:val="4B0D06CC"/>
    <w:rsid w:val="4B103D18"/>
    <w:rsid w:val="4B1355B6"/>
    <w:rsid w:val="4B157580"/>
    <w:rsid w:val="4B1F21AD"/>
    <w:rsid w:val="4B1F5D09"/>
    <w:rsid w:val="4B266B52"/>
    <w:rsid w:val="4B296B88"/>
    <w:rsid w:val="4B2C48CA"/>
    <w:rsid w:val="4B3029DA"/>
    <w:rsid w:val="4B320132"/>
    <w:rsid w:val="4B3317B5"/>
    <w:rsid w:val="4B335C59"/>
    <w:rsid w:val="4B3519D1"/>
    <w:rsid w:val="4B3612A5"/>
    <w:rsid w:val="4B3F0A2D"/>
    <w:rsid w:val="4B404C52"/>
    <w:rsid w:val="4B4B624B"/>
    <w:rsid w:val="4B4C0AC8"/>
    <w:rsid w:val="4B5300A9"/>
    <w:rsid w:val="4B531E57"/>
    <w:rsid w:val="4B5736F5"/>
    <w:rsid w:val="4B5856BF"/>
    <w:rsid w:val="4B5C6F5D"/>
    <w:rsid w:val="4B616322"/>
    <w:rsid w:val="4B646578"/>
    <w:rsid w:val="4B69167A"/>
    <w:rsid w:val="4B7D0C82"/>
    <w:rsid w:val="4B7E5126"/>
    <w:rsid w:val="4B807D59"/>
    <w:rsid w:val="4B840262"/>
    <w:rsid w:val="4B8D35BB"/>
    <w:rsid w:val="4B906C07"/>
    <w:rsid w:val="4B92297F"/>
    <w:rsid w:val="4B971D44"/>
    <w:rsid w:val="4B983D0E"/>
    <w:rsid w:val="4B985ABC"/>
    <w:rsid w:val="4B990D30"/>
    <w:rsid w:val="4B991F60"/>
    <w:rsid w:val="4B9E7C97"/>
    <w:rsid w:val="4BA32C98"/>
    <w:rsid w:val="4BA72EF2"/>
    <w:rsid w:val="4BB57ADD"/>
    <w:rsid w:val="4BB802DF"/>
    <w:rsid w:val="4BBA3C84"/>
    <w:rsid w:val="4BC220E1"/>
    <w:rsid w:val="4BC845F3"/>
    <w:rsid w:val="4BC9778B"/>
    <w:rsid w:val="4BD06395"/>
    <w:rsid w:val="4BD42F98"/>
    <w:rsid w:val="4BD96800"/>
    <w:rsid w:val="4BE62CCB"/>
    <w:rsid w:val="4BEB208F"/>
    <w:rsid w:val="4BFC24EE"/>
    <w:rsid w:val="4BFD43D2"/>
    <w:rsid w:val="4BFE1DC3"/>
    <w:rsid w:val="4BFF5B3B"/>
    <w:rsid w:val="4C015AC6"/>
    <w:rsid w:val="4C06511B"/>
    <w:rsid w:val="4C0B2731"/>
    <w:rsid w:val="4C1415E6"/>
    <w:rsid w:val="4C15535E"/>
    <w:rsid w:val="4C177328"/>
    <w:rsid w:val="4C1B3259"/>
    <w:rsid w:val="4C1D69CE"/>
    <w:rsid w:val="4C2061DD"/>
    <w:rsid w:val="4C26756B"/>
    <w:rsid w:val="4C2820E9"/>
    <w:rsid w:val="4C285091"/>
    <w:rsid w:val="4C2D08FA"/>
    <w:rsid w:val="4C2F4672"/>
    <w:rsid w:val="4C3D6D8F"/>
    <w:rsid w:val="4C3E203F"/>
    <w:rsid w:val="4C3E6663"/>
    <w:rsid w:val="4C40062D"/>
    <w:rsid w:val="4C433C79"/>
    <w:rsid w:val="4C4373A1"/>
    <w:rsid w:val="4C455C43"/>
    <w:rsid w:val="4C4579F1"/>
    <w:rsid w:val="4C4A2448"/>
    <w:rsid w:val="4C6762B5"/>
    <w:rsid w:val="4C681932"/>
    <w:rsid w:val="4C6B4F7E"/>
    <w:rsid w:val="4C6C1422"/>
    <w:rsid w:val="4C6C31D0"/>
    <w:rsid w:val="4C6F2CC0"/>
    <w:rsid w:val="4C7107E7"/>
    <w:rsid w:val="4C83051A"/>
    <w:rsid w:val="4C8524E4"/>
    <w:rsid w:val="4C883D82"/>
    <w:rsid w:val="4C9170DB"/>
    <w:rsid w:val="4C940979"/>
    <w:rsid w:val="4C975D73"/>
    <w:rsid w:val="4C983FC5"/>
    <w:rsid w:val="4C9B3AB5"/>
    <w:rsid w:val="4CA02E7A"/>
    <w:rsid w:val="4CA0731E"/>
    <w:rsid w:val="4CA27D42"/>
    <w:rsid w:val="4CB37051"/>
    <w:rsid w:val="4CB93F3C"/>
    <w:rsid w:val="4CBC3C0D"/>
    <w:rsid w:val="4CBD384F"/>
    <w:rsid w:val="4CBE1552"/>
    <w:rsid w:val="4CC254E6"/>
    <w:rsid w:val="4CC76658"/>
    <w:rsid w:val="4CCB4B63"/>
    <w:rsid w:val="4CCD5E29"/>
    <w:rsid w:val="4CD07C03"/>
    <w:rsid w:val="4CD46FC7"/>
    <w:rsid w:val="4CD60F91"/>
    <w:rsid w:val="4CD82614"/>
    <w:rsid w:val="4CD8534D"/>
    <w:rsid w:val="4CDA2830"/>
    <w:rsid w:val="4CDB26EA"/>
    <w:rsid w:val="4CE0596C"/>
    <w:rsid w:val="4CE81047"/>
    <w:rsid w:val="4CEA2347"/>
    <w:rsid w:val="4CEE62DB"/>
    <w:rsid w:val="4CF6285E"/>
    <w:rsid w:val="4CF803E4"/>
    <w:rsid w:val="4D007DBC"/>
    <w:rsid w:val="4D0126AE"/>
    <w:rsid w:val="4D043409"/>
    <w:rsid w:val="4D072EF9"/>
    <w:rsid w:val="4D0F1DAD"/>
    <w:rsid w:val="4D111FCA"/>
    <w:rsid w:val="4D155616"/>
    <w:rsid w:val="4D1675E0"/>
    <w:rsid w:val="4D1B0752"/>
    <w:rsid w:val="4D267823"/>
    <w:rsid w:val="4D302450"/>
    <w:rsid w:val="4D324F4C"/>
    <w:rsid w:val="4D346ADA"/>
    <w:rsid w:val="4D3637DE"/>
    <w:rsid w:val="4D371A30"/>
    <w:rsid w:val="4D3857A8"/>
    <w:rsid w:val="4D3B2BA3"/>
    <w:rsid w:val="4D3C5912"/>
    <w:rsid w:val="4D3D691B"/>
    <w:rsid w:val="4D4128AF"/>
    <w:rsid w:val="4D423F31"/>
    <w:rsid w:val="4D4952BF"/>
    <w:rsid w:val="4D4D1254"/>
    <w:rsid w:val="4D553C64"/>
    <w:rsid w:val="4D56501F"/>
    <w:rsid w:val="4D5C27F9"/>
    <w:rsid w:val="4D5F2D35"/>
    <w:rsid w:val="4D6E2F78"/>
    <w:rsid w:val="4D7007D9"/>
    <w:rsid w:val="4D700A9E"/>
    <w:rsid w:val="4D704F42"/>
    <w:rsid w:val="4D706CF0"/>
    <w:rsid w:val="4D7367E0"/>
    <w:rsid w:val="4D7E765F"/>
    <w:rsid w:val="4D7F5185"/>
    <w:rsid w:val="4D814A59"/>
    <w:rsid w:val="4D8E361A"/>
    <w:rsid w:val="4D922E9A"/>
    <w:rsid w:val="4D92310A"/>
    <w:rsid w:val="4D924EB8"/>
    <w:rsid w:val="4D9549A9"/>
    <w:rsid w:val="4D9D385D"/>
    <w:rsid w:val="4DA70238"/>
    <w:rsid w:val="4DAC584E"/>
    <w:rsid w:val="4DAE7818"/>
    <w:rsid w:val="4DB0533F"/>
    <w:rsid w:val="4DB56DF9"/>
    <w:rsid w:val="4DB71419"/>
    <w:rsid w:val="4DBB438C"/>
    <w:rsid w:val="4DBD7A5B"/>
    <w:rsid w:val="4DBF1A26"/>
    <w:rsid w:val="4DC03B58"/>
    <w:rsid w:val="4DC66910"/>
    <w:rsid w:val="4DD168CA"/>
    <w:rsid w:val="4DD54DA5"/>
    <w:rsid w:val="4DD70B1D"/>
    <w:rsid w:val="4DD94895"/>
    <w:rsid w:val="4DDE00FE"/>
    <w:rsid w:val="4DE10346"/>
    <w:rsid w:val="4DE82D2A"/>
    <w:rsid w:val="4DED20EF"/>
    <w:rsid w:val="4DED52D5"/>
    <w:rsid w:val="4DED6593"/>
    <w:rsid w:val="4DEE5E67"/>
    <w:rsid w:val="4DF06083"/>
    <w:rsid w:val="4DF44462"/>
    <w:rsid w:val="4DF53699"/>
    <w:rsid w:val="4DF711BF"/>
    <w:rsid w:val="4DF72F6D"/>
    <w:rsid w:val="4DF80A94"/>
    <w:rsid w:val="4DFA2A5E"/>
    <w:rsid w:val="4E031912"/>
    <w:rsid w:val="4E037B64"/>
    <w:rsid w:val="4E0E6760"/>
    <w:rsid w:val="4E102281"/>
    <w:rsid w:val="4E1458CD"/>
    <w:rsid w:val="4E17648E"/>
    <w:rsid w:val="4E1A4EAE"/>
    <w:rsid w:val="4E1B3100"/>
    <w:rsid w:val="4E200716"/>
    <w:rsid w:val="4E255D2C"/>
    <w:rsid w:val="4E3221F7"/>
    <w:rsid w:val="4E3B2540"/>
    <w:rsid w:val="4E404914"/>
    <w:rsid w:val="4E465CA3"/>
    <w:rsid w:val="4E4A7541"/>
    <w:rsid w:val="4E4B32B9"/>
    <w:rsid w:val="4E4D7031"/>
    <w:rsid w:val="4E516718"/>
    <w:rsid w:val="4E5263F6"/>
    <w:rsid w:val="4E597784"/>
    <w:rsid w:val="4E5A52AA"/>
    <w:rsid w:val="4E610CE5"/>
    <w:rsid w:val="4E636855"/>
    <w:rsid w:val="4E685C19"/>
    <w:rsid w:val="4E6A373F"/>
    <w:rsid w:val="4E6F0D56"/>
    <w:rsid w:val="4E6F6FA8"/>
    <w:rsid w:val="4E720846"/>
    <w:rsid w:val="4E7C16C5"/>
    <w:rsid w:val="4E7E368F"/>
    <w:rsid w:val="4E870795"/>
    <w:rsid w:val="4E8862BB"/>
    <w:rsid w:val="4E8D742E"/>
    <w:rsid w:val="4E920EE8"/>
    <w:rsid w:val="4E9702AC"/>
    <w:rsid w:val="4E9764FE"/>
    <w:rsid w:val="4EA96179"/>
    <w:rsid w:val="4EAC1FAA"/>
    <w:rsid w:val="4EAD5D22"/>
    <w:rsid w:val="4EAE33D8"/>
    <w:rsid w:val="4EB250E6"/>
    <w:rsid w:val="4EB86BA1"/>
    <w:rsid w:val="4EC015B1"/>
    <w:rsid w:val="4EC310A1"/>
    <w:rsid w:val="4ECF17A1"/>
    <w:rsid w:val="4ED212E5"/>
    <w:rsid w:val="4ED27537"/>
    <w:rsid w:val="4ED573D3"/>
    <w:rsid w:val="4EDB288F"/>
    <w:rsid w:val="4EDD6607"/>
    <w:rsid w:val="4EDE412D"/>
    <w:rsid w:val="4EE03A01"/>
    <w:rsid w:val="4EE31744"/>
    <w:rsid w:val="4EE5726A"/>
    <w:rsid w:val="4EF0709E"/>
    <w:rsid w:val="4EF70D4B"/>
    <w:rsid w:val="4EF74EE8"/>
    <w:rsid w:val="4EF85D00"/>
    <w:rsid w:val="4EF90150"/>
    <w:rsid w:val="4EFD2805"/>
    <w:rsid w:val="4F0941B3"/>
    <w:rsid w:val="4F096250"/>
    <w:rsid w:val="4F0E48A4"/>
    <w:rsid w:val="4F10078B"/>
    <w:rsid w:val="4F111E0D"/>
    <w:rsid w:val="4F135B85"/>
    <w:rsid w:val="4F1B0EDE"/>
    <w:rsid w:val="4F1F09CE"/>
    <w:rsid w:val="4F2064F4"/>
    <w:rsid w:val="4F2558B8"/>
    <w:rsid w:val="4F2A7373"/>
    <w:rsid w:val="4F31425D"/>
    <w:rsid w:val="4F3855EC"/>
    <w:rsid w:val="4F3F4BCC"/>
    <w:rsid w:val="4F4026F2"/>
    <w:rsid w:val="4F417ECE"/>
    <w:rsid w:val="4F457D08"/>
    <w:rsid w:val="4F4B17C3"/>
    <w:rsid w:val="4F4E3061"/>
    <w:rsid w:val="4F5D2D73"/>
    <w:rsid w:val="4F5D32A4"/>
    <w:rsid w:val="4F604B42"/>
    <w:rsid w:val="4F622668"/>
    <w:rsid w:val="4F652159"/>
    <w:rsid w:val="4F672375"/>
    <w:rsid w:val="4F674123"/>
    <w:rsid w:val="4F696C79"/>
    <w:rsid w:val="4F716D4F"/>
    <w:rsid w:val="4F73779A"/>
    <w:rsid w:val="4F7505EE"/>
    <w:rsid w:val="4F764366"/>
    <w:rsid w:val="4F8151E4"/>
    <w:rsid w:val="4F846A83"/>
    <w:rsid w:val="4F8C3B89"/>
    <w:rsid w:val="4F93316A"/>
    <w:rsid w:val="4F934F18"/>
    <w:rsid w:val="4F9A44F8"/>
    <w:rsid w:val="4F9A62A6"/>
    <w:rsid w:val="4F9D237F"/>
    <w:rsid w:val="4F9D29BE"/>
    <w:rsid w:val="4FA72771"/>
    <w:rsid w:val="4FAA2859"/>
    <w:rsid w:val="4FAB2261"/>
    <w:rsid w:val="4FB01626"/>
    <w:rsid w:val="4FB97DFA"/>
    <w:rsid w:val="4FBF5D0D"/>
    <w:rsid w:val="4FC11A85"/>
    <w:rsid w:val="4FC13833"/>
    <w:rsid w:val="4FCE5F50"/>
    <w:rsid w:val="4FD03A76"/>
    <w:rsid w:val="4FD34CFD"/>
    <w:rsid w:val="4FD74E04"/>
    <w:rsid w:val="4FD869DB"/>
    <w:rsid w:val="4FDD43E5"/>
    <w:rsid w:val="4FDF015D"/>
    <w:rsid w:val="4FE45434"/>
    <w:rsid w:val="4FE6773D"/>
    <w:rsid w:val="4FEB08B0"/>
    <w:rsid w:val="4FF9121F"/>
    <w:rsid w:val="4FFD05E3"/>
    <w:rsid w:val="50025BF9"/>
    <w:rsid w:val="500A342C"/>
    <w:rsid w:val="500E459E"/>
    <w:rsid w:val="50113623"/>
    <w:rsid w:val="50151DD1"/>
    <w:rsid w:val="501556DB"/>
    <w:rsid w:val="501778F7"/>
    <w:rsid w:val="501A56A4"/>
    <w:rsid w:val="501B46D5"/>
    <w:rsid w:val="50281B04"/>
    <w:rsid w:val="503E1327"/>
    <w:rsid w:val="503E30D6"/>
    <w:rsid w:val="503F0BFC"/>
    <w:rsid w:val="5043249A"/>
    <w:rsid w:val="50454464"/>
    <w:rsid w:val="505A77E4"/>
    <w:rsid w:val="505C2FF8"/>
    <w:rsid w:val="505C355C"/>
    <w:rsid w:val="505E484F"/>
    <w:rsid w:val="50700DB5"/>
    <w:rsid w:val="5076286F"/>
    <w:rsid w:val="50792360"/>
    <w:rsid w:val="5079410E"/>
    <w:rsid w:val="507F724A"/>
    <w:rsid w:val="50850D04"/>
    <w:rsid w:val="508D1967"/>
    <w:rsid w:val="50902684"/>
    <w:rsid w:val="50974594"/>
    <w:rsid w:val="5099752C"/>
    <w:rsid w:val="509D4495"/>
    <w:rsid w:val="50A3118B"/>
    <w:rsid w:val="50A373DC"/>
    <w:rsid w:val="50AA076B"/>
    <w:rsid w:val="50B22B68"/>
    <w:rsid w:val="50B909AE"/>
    <w:rsid w:val="50BC224C"/>
    <w:rsid w:val="50C11611"/>
    <w:rsid w:val="50C55D03"/>
    <w:rsid w:val="50CC6933"/>
    <w:rsid w:val="50D137D5"/>
    <w:rsid w:val="50D21A70"/>
    <w:rsid w:val="50D8672A"/>
    <w:rsid w:val="50DC2A03"/>
    <w:rsid w:val="50DD28EE"/>
    <w:rsid w:val="50DF56DA"/>
    <w:rsid w:val="50E0418D"/>
    <w:rsid w:val="50E05F3B"/>
    <w:rsid w:val="50E35A2B"/>
    <w:rsid w:val="50E517A3"/>
    <w:rsid w:val="50E84DEF"/>
    <w:rsid w:val="50E97F21"/>
    <w:rsid w:val="50EC48E0"/>
    <w:rsid w:val="50F33EC0"/>
    <w:rsid w:val="50FF4F20"/>
    <w:rsid w:val="510460CD"/>
    <w:rsid w:val="510D2AA8"/>
    <w:rsid w:val="510D4856"/>
    <w:rsid w:val="51112598"/>
    <w:rsid w:val="51114346"/>
    <w:rsid w:val="5116195C"/>
    <w:rsid w:val="5119144D"/>
    <w:rsid w:val="511A58F1"/>
    <w:rsid w:val="51220301"/>
    <w:rsid w:val="512322CB"/>
    <w:rsid w:val="51256043"/>
    <w:rsid w:val="51271DBC"/>
    <w:rsid w:val="51312C3A"/>
    <w:rsid w:val="51361FFF"/>
    <w:rsid w:val="514364CA"/>
    <w:rsid w:val="51452E14"/>
    <w:rsid w:val="51491D32"/>
    <w:rsid w:val="51583D23"/>
    <w:rsid w:val="51586419"/>
    <w:rsid w:val="515E50B1"/>
    <w:rsid w:val="51613A0C"/>
    <w:rsid w:val="516A1F01"/>
    <w:rsid w:val="516D11C8"/>
    <w:rsid w:val="516E1AB0"/>
    <w:rsid w:val="516E79EA"/>
    <w:rsid w:val="51713037"/>
    <w:rsid w:val="51732139"/>
    <w:rsid w:val="51735001"/>
    <w:rsid w:val="5176689F"/>
    <w:rsid w:val="517B2107"/>
    <w:rsid w:val="5181771E"/>
    <w:rsid w:val="51870AAC"/>
    <w:rsid w:val="51874608"/>
    <w:rsid w:val="518E1E3B"/>
    <w:rsid w:val="51913C64"/>
    <w:rsid w:val="519A433C"/>
    <w:rsid w:val="519D207E"/>
    <w:rsid w:val="51A0391C"/>
    <w:rsid w:val="51B1646C"/>
    <w:rsid w:val="51B22A66"/>
    <w:rsid w:val="51BA49DE"/>
    <w:rsid w:val="51C15D6C"/>
    <w:rsid w:val="51C25640"/>
    <w:rsid w:val="51C27D36"/>
    <w:rsid w:val="51C4760A"/>
    <w:rsid w:val="51C615D4"/>
    <w:rsid w:val="51C770FB"/>
    <w:rsid w:val="51C83263"/>
    <w:rsid w:val="51CB6BEB"/>
    <w:rsid w:val="51DA6E2E"/>
    <w:rsid w:val="51DF2696"/>
    <w:rsid w:val="51E41A5B"/>
    <w:rsid w:val="51E8779D"/>
    <w:rsid w:val="51FA302C"/>
    <w:rsid w:val="520175A0"/>
    <w:rsid w:val="52034365"/>
    <w:rsid w:val="52065E75"/>
    <w:rsid w:val="52075749"/>
    <w:rsid w:val="5209326F"/>
    <w:rsid w:val="520D0FB1"/>
    <w:rsid w:val="521F6F37"/>
    <w:rsid w:val="522B768A"/>
    <w:rsid w:val="522D51B0"/>
    <w:rsid w:val="52320A18"/>
    <w:rsid w:val="52344790"/>
    <w:rsid w:val="523D116B"/>
    <w:rsid w:val="523F35EA"/>
    <w:rsid w:val="52416EAD"/>
    <w:rsid w:val="525070F0"/>
    <w:rsid w:val="525941F7"/>
    <w:rsid w:val="525A7F6F"/>
    <w:rsid w:val="525C7843"/>
    <w:rsid w:val="5268268C"/>
    <w:rsid w:val="52693681"/>
    <w:rsid w:val="527103FC"/>
    <w:rsid w:val="527C0E43"/>
    <w:rsid w:val="527C1C93"/>
    <w:rsid w:val="527E5C57"/>
    <w:rsid w:val="527F1783"/>
    <w:rsid w:val="527F3531"/>
    <w:rsid w:val="528B1ED6"/>
    <w:rsid w:val="528D5C4E"/>
    <w:rsid w:val="52903990"/>
    <w:rsid w:val="5292555D"/>
    <w:rsid w:val="52992845"/>
    <w:rsid w:val="529A792F"/>
    <w:rsid w:val="529C11E0"/>
    <w:rsid w:val="52A336C4"/>
    <w:rsid w:val="52A4759B"/>
    <w:rsid w:val="52AB2578"/>
    <w:rsid w:val="52AC318F"/>
    <w:rsid w:val="52B256B5"/>
    <w:rsid w:val="52B35629"/>
    <w:rsid w:val="52B458D1"/>
    <w:rsid w:val="52B92EE7"/>
    <w:rsid w:val="52BF714B"/>
    <w:rsid w:val="52C5363A"/>
    <w:rsid w:val="52C8312A"/>
    <w:rsid w:val="52CF24CC"/>
    <w:rsid w:val="52CF270B"/>
    <w:rsid w:val="52D32AFD"/>
    <w:rsid w:val="52D64AC4"/>
    <w:rsid w:val="52D7511B"/>
    <w:rsid w:val="52E15F9A"/>
    <w:rsid w:val="52E57838"/>
    <w:rsid w:val="52E8557B"/>
    <w:rsid w:val="52F42171"/>
    <w:rsid w:val="52F43F1F"/>
    <w:rsid w:val="52F65EE9"/>
    <w:rsid w:val="52F83A10"/>
    <w:rsid w:val="52FB705C"/>
    <w:rsid w:val="53095C1D"/>
    <w:rsid w:val="530C1269"/>
    <w:rsid w:val="530F2B07"/>
    <w:rsid w:val="530F6FAB"/>
    <w:rsid w:val="53130849"/>
    <w:rsid w:val="531B5950"/>
    <w:rsid w:val="531D389C"/>
    <w:rsid w:val="531D5224"/>
    <w:rsid w:val="532E5683"/>
    <w:rsid w:val="533407C0"/>
    <w:rsid w:val="53364538"/>
    <w:rsid w:val="533C1422"/>
    <w:rsid w:val="533E33EC"/>
    <w:rsid w:val="534722A1"/>
    <w:rsid w:val="53481136"/>
    <w:rsid w:val="534C3D5B"/>
    <w:rsid w:val="534D53DE"/>
    <w:rsid w:val="534E1882"/>
    <w:rsid w:val="53513120"/>
    <w:rsid w:val="536015B5"/>
    <w:rsid w:val="536270DB"/>
    <w:rsid w:val="53672943"/>
    <w:rsid w:val="5367649F"/>
    <w:rsid w:val="5371731E"/>
    <w:rsid w:val="53760DD8"/>
    <w:rsid w:val="53764934"/>
    <w:rsid w:val="537B7696"/>
    <w:rsid w:val="537E2EA2"/>
    <w:rsid w:val="537F0CA9"/>
    <w:rsid w:val="5382152B"/>
    <w:rsid w:val="53864B33"/>
    <w:rsid w:val="538C23AA"/>
    <w:rsid w:val="53977748"/>
    <w:rsid w:val="53982AFD"/>
    <w:rsid w:val="539D45B7"/>
    <w:rsid w:val="539F3171"/>
    <w:rsid w:val="53A72D40"/>
    <w:rsid w:val="53AE0572"/>
    <w:rsid w:val="53B33222"/>
    <w:rsid w:val="53BE2574"/>
    <w:rsid w:val="53BF452D"/>
    <w:rsid w:val="53BF62DB"/>
    <w:rsid w:val="53CB2ED2"/>
    <w:rsid w:val="53D02297"/>
    <w:rsid w:val="53D855EF"/>
    <w:rsid w:val="53DA3115"/>
    <w:rsid w:val="53DB0C3B"/>
    <w:rsid w:val="53DC0CED"/>
    <w:rsid w:val="53DF24DA"/>
    <w:rsid w:val="53E73A84"/>
    <w:rsid w:val="53EA0E7E"/>
    <w:rsid w:val="53EB5322"/>
    <w:rsid w:val="53F00B8B"/>
    <w:rsid w:val="53FE33E8"/>
    <w:rsid w:val="540D447D"/>
    <w:rsid w:val="540E7126"/>
    <w:rsid w:val="54244390"/>
    <w:rsid w:val="54260108"/>
    <w:rsid w:val="542C3BBC"/>
    <w:rsid w:val="543841B1"/>
    <w:rsid w:val="54420CBA"/>
    <w:rsid w:val="544D7D8B"/>
    <w:rsid w:val="544E58B1"/>
    <w:rsid w:val="54534C76"/>
    <w:rsid w:val="54596730"/>
    <w:rsid w:val="545A6004"/>
    <w:rsid w:val="546142C1"/>
    <w:rsid w:val="54625C01"/>
    <w:rsid w:val="547528A1"/>
    <w:rsid w:val="5479292E"/>
    <w:rsid w:val="54834058"/>
    <w:rsid w:val="54837309"/>
    <w:rsid w:val="5486329D"/>
    <w:rsid w:val="5488491F"/>
    <w:rsid w:val="54901A26"/>
    <w:rsid w:val="54907C78"/>
    <w:rsid w:val="54916A23"/>
    <w:rsid w:val="54947768"/>
    <w:rsid w:val="5495528E"/>
    <w:rsid w:val="54971006"/>
    <w:rsid w:val="54972DB4"/>
    <w:rsid w:val="54977258"/>
    <w:rsid w:val="549A0AF6"/>
    <w:rsid w:val="549C661D"/>
    <w:rsid w:val="549E2395"/>
    <w:rsid w:val="54A31759"/>
    <w:rsid w:val="54AB2D04"/>
    <w:rsid w:val="54AD082A"/>
    <w:rsid w:val="54AD25D8"/>
    <w:rsid w:val="54B03E76"/>
    <w:rsid w:val="54BA6AA3"/>
    <w:rsid w:val="54BC0A6D"/>
    <w:rsid w:val="54C55B73"/>
    <w:rsid w:val="54C811C0"/>
    <w:rsid w:val="54C85664"/>
    <w:rsid w:val="54C94F38"/>
    <w:rsid w:val="54CA318A"/>
    <w:rsid w:val="54CC5154"/>
    <w:rsid w:val="54CC5B08"/>
    <w:rsid w:val="54CD2C7A"/>
    <w:rsid w:val="54CF254E"/>
    <w:rsid w:val="54D07995"/>
    <w:rsid w:val="54D758A7"/>
    <w:rsid w:val="54D97871"/>
    <w:rsid w:val="54DA0EF3"/>
    <w:rsid w:val="54DB4AA8"/>
    <w:rsid w:val="54DC2EBD"/>
    <w:rsid w:val="54DC4C6B"/>
    <w:rsid w:val="54E3424B"/>
    <w:rsid w:val="54E51D72"/>
    <w:rsid w:val="54E56216"/>
    <w:rsid w:val="54ED6E78"/>
    <w:rsid w:val="54F226E1"/>
    <w:rsid w:val="54F2448F"/>
    <w:rsid w:val="54F2623D"/>
    <w:rsid w:val="54F75F49"/>
    <w:rsid w:val="550348EE"/>
    <w:rsid w:val="55086B78"/>
    <w:rsid w:val="550C06E7"/>
    <w:rsid w:val="550F3292"/>
    <w:rsid w:val="551408A9"/>
    <w:rsid w:val="55144405"/>
    <w:rsid w:val="55164621"/>
    <w:rsid w:val="551C775D"/>
    <w:rsid w:val="551D4C3C"/>
    <w:rsid w:val="551E7032"/>
    <w:rsid w:val="5523289A"/>
    <w:rsid w:val="55264138"/>
    <w:rsid w:val="55284354"/>
    <w:rsid w:val="55287EB0"/>
    <w:rsid w:val="55410DBD"/>
    <w:rsid w:val="55410F72"/>
    <w:rsid w:val="554E3DBB"/>
    <w:rsid w:val="554F7B33"/>
    <w:rsid w:val="555D5DAC"/>
    <w:rsid w:val="5560589C"/>
    <w:rsid w:val="55625D37"/>
    <w:rsid w:val="55651104"/>
    <w:rsid w:val="556F5ADF"/>
    <w:rsid w:val="55760C1C"/>
    <w:rsid w:val="557D644E"/>
    <w:rsid w:val="55825812"/>
    <w:rsid w:val="558275C0"/>
    <w:rsid w:val="55872E29"/>
    <w:rsid w:val="55894DF3"/>
    <w:rsid w:val="558A323A"/>
    <w:rsid w:val="558E2409"/>
    <w:rsid w:val="558F6181"/>
    <w:rsid w:val="558F7F2F"/>
    <w:rsid w:val="55911EF9"/>
    <w:rsid w:val="55992337"/>
    <w:rsid w:val="559A7000"/>
    <w:rsid w:val="559B0682"/>
    <w:rsid w:val="559E0172"/>
    <w:rsid w:val="559F4616"/>
    <w:rsid w:val="55A559A5"/>
    <w:rsid w:val="55AB5B98"/>
    <w:rsid w:val="55AD03B6"/>
    <w:rsid w:val="55AF05D2"/>
    <w:rsid w:val="55AF1596"/>
    <w:rsid w:val="55B63C42"/>
    <w:rsid w:val="55B94FAC"/>
    <w:rsid w:val="55BA31FE"/>
    <w:rsid w:val="55BB2358"/>
    <w:rsid w:val="55BF0815"/>
    <w:rsid w:val="55C23E61"/>
    <w:rsid w:val="55D02010"/>
    <w:rsid w:val="55D342C0"/>
    <w:rsid w:val="55D65B5E"/>
    <w:rsid w:val="55DB13C7"/>
    <w:rsid w:val="55DD0C9B"/>
    <w:rsid w:val="55DD5E69"/>
    <w:rsid w:val="55E70297"/>
    <w:rsid w:val="55EA33B8"/>
    <w:rsid w:val="55EB160A"/>
    <w:rsid w:val="55EE10FA"/>
    <w:rsid w:val="55EF09CE"/>
    <w:rsid w:val="55F22AB9"/>
    <w:rsid w:val="55F36710"/>
    <w:rsid w:val="55F83D27"/>
    <w:rsid w:val="56064695"/>
    <w:rsid w:val="56066443"/>
    <w:rsid w:val="56075D18"/>
    <w:rsid w:val="560B2A53"/>
    <w:rsid w:val="561072C2"/>
    <w:rsid w:val="56114DE8"/>
    <w:rsid w:val="56156687"/>
    <w:rsid w:val="561623FF"/>
    <w:rsid w:val="561F1F50"/>
    <w:rsid w:val="56262AA1"/>
    <w:rsid w:val="562864B6"/>
    <w:rsid w:val="56290384"/>
    <w:rsid w:val="56293EE0"/>
    <w:rsid w:val="562E2336"/>
    <w:rsid w:val="562E5514"/>
    <w:rsid w:val="56310E7D"/>
    <w:rsid w:val="563A7E9B"/>
    <w:rsid w:val="56444C51"/>
    <w:rsid w:val="564F1C59"/>
    <w:rsid w:val="56551179"/>
    <w:rsid w:val="56586573"/>
    <w:rsid w:val="565D3B8A"/>
    <w:rsid w:val="565F1615"/>
    <w:rsid w:val="565F3DA6"/>
    <w:rsid w:val="56625644"/>
    <w:rsid w:val="566273F2"/>
    <w:rsid w:val="566413BC"/>
    <w:rsid w:val="56667575"/>
    <w:rsid w:val="566C2734"/>
    <w:rsid w:val="566E59D3"/>
    <w:rsid w:val="56705FB3"/>
    <w:rsid w:val="567710EF"/>
    <w:rsid w:val="567726B1"/>
    <w:rsid w:val="56772E9D"/>
    <w:rsid w:val="56777341"/>
    <w:rsid w:val="567856E7"/>
    <w:rsid w:val="5684380C"/>
    <w:rsid w:val="56861332"/>
    <w:rsid w:val="56867584"/>
    <w:rsid w:val="56876E58"/>
    <w:rsid w:val="568850AA"/>
    <w:rsid w:val="568E6439"/>
    <w:rsid w:val="569E48CE"/>
    <w:rsid w:val="569F41A2"/>
    <w:rsid w:val="56A31EE4"/>
    <w:rsid w:val="56B85264"/>
    <w:rsid w:val="56C500AD"/>
    <w:rsid w:val="56C67981"/>
    <w:rsid w:val="56CB40FE"/>
    <w:rsid w:val="56CD0D0F"/>
    <w:rsid w:val="56CF0F2B"/>
    <w:rsid w:val="56CF2CD9"/>
    <w:rsid w:val="56D54068"/>
    <w:rsid w:val="56D976B4"/>
    <w:rsid w:val="56DD6C8E"/>
    <w:rsid w:val="56DE116E"/>
    <w:rsid w:val="56E46059"/>
    <w:rsid w:val="56EF512A"/>
    <w:rsid w:val="56F049FE"/>
    <w:rsid w:val="56FC15F5"/>
    <w:rsid w:val="56FE536D"/>
    <w:rsid w:val="57034731"/>
    <w:rsid w:val="570A5ABF"/>
    <w:rsid w:val="570B7A8A"/>
    <w:rsid w:val="570C5D6D"/>
    <w:rsid w:val="57122BC6"/>
    <w:rsid w:val="5714693E"/>
    <w:rsid w:val="571C57F3"/>
    <w:rsid w:val="57201787"/>
    <w:rsid w:val="57212E09"/>
    <w:rsid w:val="57256D9D"/>
    <w:rsid w:val="572648C3"/>
    <w:rsid w:val="572F5526"/>
    <w:rsid w:val="5737087F"/>
    <w:rsid w:val="574014E1"/>
    <w:rsid w:val="57407733"/>
    <w:rsid w:val="57415259"/>
    <w:rsid w:val="574216FD"/>
    <w:rsid w:val="57470E3C"/>
    <w:rsid w:val="5747738E"/>
    <w:rsid w:val="574A05B2"/>
    <w:rsid w:val="574B60D8"/>
    <w:rsid w:val="57560D05"/>
    <w:rsid w:val="575629E4"/>
    <w:rsid w:val="575A03BE"/>
    <w:rsid w:val="57631674"/>
    <w:rsid w:val="57680A38"/>
    <w:rsid w:val="57684EDC"/>
    <w:rsid w:val="576A0C54"/>
    <w:rsid w:val="576B22D6"/>
    <w:rsid w:val="57763155"/>
    <w:rsid w:val="57805D82"/>
    <w:rsid w:val="578810DA"/>
    <w:rsid w:val="578B586A"/>
    <w:rsid w:val="57911D3D"/>
    <w:rsid w:val="57916B02"/>
    <w:rsid w:val="57917F8F"/>
    <w:rsid w:val="57931F59"/>
    <w:rsid w:val="57932DC4"/>
    <w:rsid w:val="5794182D"/>
    <w:rsid w:val="579502B5"/>
    <w:rsid w:val="57996E43"/>
    <w:rsid w:val="57A53A3A"/>
    <w:rsid w:val="57AF48B9"/>
    <w:rsid w:val="57B75B77"/>
    <w:rsid w:val="57BB500C"/>
    <w:rsid w:val="57BE29FA"/>
    <w:rsid w:val="57C14700"/>
    <w:rsid w:val="57C863B8"/>
    <w:rsid w:val="57CA34A1"/>
    <w:rsid w:val="57CA4134"/>
    <w:rsid w:val="57CE2F91"/>
    <w:rsid w:val="57D460CD"/>
    <w:rsid w:val="57D707BF"/>
    <w:rsid w:val="57D85BBE"/>
    <w:rsid w:val="57DB745C"/>
    <w:rsid w:val="57DE0CFA"/>
    <w:rsid w:val="57DF3CA0"/>
    <w:rsid w:val="57E00F16"/>
    <w:rsid w:val="57E44562"/>
    <w:rsid w:val="57E5652D"/>
    <w:rsid w:val="57EF2F07"/>
    <w:rsid w:val="57F16C7F"/>
    <w:rsid w:val="57F347A6"/>
    <w:rsid w:val="57F4051E"/>
    <w:rsid w:val="57F624E8"/>
    <w:rsid w:val="57FA3D86"/>
    <w:rsid w:val="580A1AEF"/>
    <w:rsid w:val="580F5357"/>
    <w:rsid w:val="5814471C"/>
    <w:rsid w:val="581A249A"/>
    <w:rsid w:val="581B1F4E"/>
    <w:rsid w:val="581D1822"/>
    <w:rsid w:val="582232DD"/>
    <w:rsid w:val="58296419"/>
    <w:rsid w:val="582E57DE"/>
    <w:rsid w:val="58490869"/>
    <w:rsid w:val="584E5E80"/>
    <w:rsid w:val="58501BF8"/>
    <w:rsid w:val="585039A6"/>
    <w:rsid w:val="58580AAD"/>
    <w:rsid w:val="585A65D3"/>
    <w:rsid w:val="58676F42"/>
    <w:rsid w:val="58705DF6"/>
    <w:rsid w:val="58711B6E"/>
    <w:rsid w:val="5875165E"/>
    <w:rsid w:val="587578B0"/>
    <w:rsid w:val="587651AC"/>
    <w:rsid w:val="587753D7"/>
    <w:rsid w:val="5886561A"/>
    <w:rsid w:val="5887183A"/>
    <w:rsid w:val="588C0756"/>
    <w:rsid w:val="589046EA"/>
    <w:rsid w:val="58906498"/>
    <w:rsid w:val="589715D5"/>
    <w:rsid w:val="5898534D"/>
    <w:rsid w:val="589A10C5"/>
    <w:rsid w:val="58A3441E"/>
    <w:rsid w:val="58A75590"/>
    <w:rsid w:val="58A80DA5"/>
    <w:rsid w:val="58A86DCE"/>
    <w:rsid w:val="58AD704A"/>
    <w:rsid w:val="58B06B3A"/>
    <w:rsid w:val="58B73A25"/>
    <w:rsid w:val="58BA52C3"/>
    <w:rsid w:val="58BD6B62"/>
    <w:rsid w:val="58BE3005"/>
    <w:rsid w:val="58BF0B2C"/>
    <w:rsid w:val="58C068DB"/>
    <w:rsid w:val="58C61EBA"/>
    <w:rsid w:val="58CD4FF7"/>
    <w:rsid w:val="58D02D39"/>
    <w:rsid w:val="58DA5965"/>
    <w:rsid w:val="58DF4D2A"/>
    <w:rsid w:val="58DF6CF4"/>
    <w:rsid w:val="58E6255C"/>
    <w:rsid w:val="58EA204C"/>
    <w:rsid w:val="58EB7B73"/>
    <w:rsid w:val="58EF691C"/>
    <w:rsid w:val="58F06F37"/>
    <w:rsid w:val="59011144"/>
    <w:rsid w:val="5904132B"/>
    <w:rsid w:val="59080725"/>
    <w:rsid w:val="590D49E1"/>
    <w:rsid w:val="591470C9"/>
    <w:rsid w:val="59157827"/>
    <w:rsid w:val="5919648E"/>
    <w:rsid w:val="591B2943"/>
    <w:rsid w:val="591E6436"/>
    <w:rsid w:val="59205A6E"/>
    <w:rsid w:val="59215342"/>
    <w:rsid w:val="59246BE1"/>
    <w:rsid w:val="592D1F39"/>
    <w:rsid w:val="593C217C"/>
    <w:rsid w:val="593F3A1A"/>
    <w:rsid w:val="594400A5"/>
    <w:rsid w:val="59460EC7"/>
    <w:rsid w:val="59484FC5"/>
    <w:rsid w:val="594D4389"/>
    <w:rsid w:val="59505C28"/>
    <w:rsid w:val="595219A0"/>
    <w:rsid w:val="59527BF2"/>
    <w:rsid w:val="5954396A"/>
    <w:rsid w:val="595B4CF8"/>
    <w:rsid w:val="59613991"/>
    <w:rsid w:val="596811C3"/>
    <w:rsid w:val="596A0A97"/>
    <w:rsid w:val="597162CA"/>
    <w:rsid w:val="597B0EF6"/>
    <w:rsid w:val="597D0AC6"/>
    <w:rsid w:val="597E2795"/>
    <w:rsid w:val="5980475F"/>
    <w:rsid w:val="59837DAB"/>
    <w:rsid w:val="598558D1"/>
    <w:rsid w:val="59861649"/>
    <w:rsid w:val="59883613"/>
    <w:rsid w:val="598A113A"/>
    <w:rsid w:val="598A2EE8"/>
    <w:rsid w:val="598B3EF7"/>
    <w:rsid w:val="59981AA8"/>
    <w:rsid w:val="599C2C1B"/>
    <w:rsid w:val="59A33FA9"/>
    <w:rsid w:val="59A55F73"/>
    <w:rsid w:val="59A65848"/>
    <w:rsid w:val="59A87812"/>
    <w:rsid w:val="59AC5554"/>
    <w:rsid w:val="59B44408"/>
    <w:rsid w:val="59B91A1F"/>
    <w:rsid w:val="59C26B25"/>
    <w:rsid w:val="59C7413C"/>
    <w:rsid w:val="59C90F05"/>
    <w:rsid w:val="59CC1752"/>
    <w:rsid w:val="59CD7278"/>
    <w:rsid w:val="59DB7BE7"/>
    <w:rsid w:val="59E3084A"/>
    <w:rsid w:val="59EE16C8"/>
    <w:rsid w:val="59F111B9"/>
    <w:rsid w:val="59F44805"/>
    <w:rsid w:val="59FF38D6"/>
    <w:rsid w:val="5A0A04CC"/>
    <w:rsid w:val="5A0E58C7"/>
    <w:rsid w:val="5A113609"/>
    <w:rsid w:val="5A1243C8"/>
    <w:rsid w:val="5A13112F"/>
    <w:rsid w:val="5A132EDD"/>
    <w:rsid w:val="5A146C55"/>
    <w:rsid w:val="5A1924BD"/>
    <w:rsid w:val="5A274BDA"/>
    <w:rsid w:val="5A290952"/>
    <w:rsid w:val="5A2C21F1"/>
    <w:rsid w:val="5A2F26E6"/>
    <w:rsid w:val="5A33532D"/>
    <w:rsid w:val="5A3612C1"/>
    <w:rsid w:val="5A3832D0"/>
    <w:rsid w:val="5A38583A"/>
    <w:rsid w:val="5A44578C"/>
    <w:rsid w:val="5A461504"/>
    <w:rsid w:val="5A61633E"/>
    <w:rsid w:val="5A643739"/>
    <w:rsid w:val="5A655703"/>
    <w:rsid w:val="5A673229"/>
    <w:rsid w:val="5A6C6A91"/>
    <w:rsid w:val="5A737E20"/>
    <w:rsid w:val="5A7D47FA"/>
    <w:rsid w:val="5A897643"/>
    <w:rsid w:val="5A8A39A1"/>
    <w:rsid w:val="5A8B5169"/>
    <w:rsid w:val="5A8D6ABD"/>
    <w:rsid w:val="5A932270"/>
    <w:rsid w:val="5A9410D3"/>
    <w:rsid w:val="5A962656"/>
    <w:rsid w:val="5A987886"/>
    <w:rsid w:val="5A9F29C3"/>
    <w:rsid w:val="5A9F6E67"/>
    <w:rsid w:val="5AA24261"/>
    <w:rsid w:val="5AA955EF"/>
    <w:rsid w:val="5AAC3332"/>
    <w:rsid w:val="5AAE2C06"/>
    <w:rsid w:val="5AB04BD0"/>
    <w:rsid w:val="5AB23A35"/>
    <w:rsid w:val="5ABC3575"/>
    <w:rsid w:val="5AC16DDD"/>
    <w:rsid w:val="5AC468CD"/>
    <w:rsid w:val="5ACD5F9A"/>
    <w:rsid w:val="5AD00DCE"/>
    <w:rsid w:val="5AD54636"/>
    <w:rsid w:val="5ADF3408"/>
    <w:rsid w:val="5AE2054A"/>
    <w:rsid w:val="5AE40D1D"/>
    <w:rsid w:val="5AEE74A6"/>
    <w:rsid w:val="5AF05812"/>
    <w:rsid w:val="5AF30F60"/>
    <w:rsid w:val="5AF413B3"/>
    <w:rsid w:val="5B0867BA"/>
    <w:rsid w:val="5B0D2022"/>
    <w:rsid w:val="5B0E7B48"/>
    <w:rsid w:val="5B152C85"/>
    <w:rsid w:val="5B184523"/>
    <w:rsid w:val="5B1E5FDD"/>
    <w:rsid w:val="5B215ACE"/>
    <w:rsid w:val="5B24111A"/>
    <w:rsid w:val="5B266C40"/>
    <w:rsid w:val="5B2763A7"/>
    <w:rsid w:val="5B2B24A8"/>
    <w:rsid w:val="5B3475AF"/>
    <w:rsid w:val="5B3A6B8F"/>
    <w:rsid w:val="5B3E21DC"/>
    <w:rsid w:val="5B413A7A"/>
    <w:rsid w:val="5B44356A"/>
    <w:rsid w:val="5B4812AC"/>
    <w:rsid w:val="5B48305A"/>
    <w:rsid w:val="5B4B6C4F"/>
    <w:rsid w:val="5B4F43E9"/>
    <w:rsid w:val="5B4F7AA0"/>
    <w:rsid w:val="5B525C87"/>
    <w:rsid w:val="5B5B0FE0"/>
    <w:rsid w:val="5B5E141D"/>
    <w:rsid w:val="5B5E287E"/>
    <w:rsid w:val="5B6065F6"/>
    <w:rsid w:val="5B624478"/>
    <w:rsid w:val="5B6836FC"/>
    <w:rsid w:val="5B694D7F"/>
    <w:rsid w:val="5B6A1602"/>
    <w:rsid w:val="5B7025B1"/>
    <w:rsid w:val="5B7756EE"/>
    <w:rsid w:val="5B791466"/>
    <w:rsid w:val="5B7B3430"/>
    <w:rsid w:val="5B7B51DE"/>
    <w:rsid w:val="5B7F07B6"/>
    <w:rsid w:val="5B8027F4"/>
    <w:rsid w:val="5B807B3A"/>
    <w:rsid w:val="5B8338EA"/>
    <w:rsid w:val="5B8816A9"/>
    <w:rsid w:val="5B8D0304"/>
    <w:rsid w:val="5B8D3163"/>
    <w:rsid w:val="5B8F2A37"/>
    <w:rsid w:val="5B8F47E5"/>
    <w:rsid w:val="5B9242D5"/>
    <w:rsid w:val="5B9F799D"/>
    <w:rsid w:val="5BA9508B"/>
    <w:rsid w:val="5BAA161F"/>
    <w:rsid w:val="5BB029AE"/>
    <w:rsid w:val="5BB565A4"/>
    <w:rsid w:val="5BB83CAD"/>
    <w:rsid w:val="5BB97AB4"/>
    <w:rsid w:val="5BC546AB"/>
    <w:rsid w:val="5BC85F49"/>
    <w:rsid w:val="5BCC3C8B"/>
    <w:rsid w:val="5BCC5A39"/>
    <w:rsid w:val="5BCD17B1"/>
    <w:rsid w:val="5BCF552A"/>
    <w:rsid w:val="5BD703C7"/>
    <w:rsid w:val="5BDC37A3"/>
    <w:rsid w:val="5BDD7C46"/>
    <w:rsid w:val="5BDE751B"/>
    <w:rsid w:val="5BE06AA9"/>
    <w:rsid w:val="5BE30FD5"/>
    <w:rsid w:val="5BEA2363"/>
    <w:rsid w:val="5BEF34D6"/>
    <w:rsid w:val="5BFE5E0F"/>
    <w:rsid w:val="5C0056E3"/>
    <w:rsid w:val="5C024D80"/>
    <w:rsid w:val="5C050F4B"/>
    <w:rsid w:val="5C07081F"/>
    <w:rsid w:val="5C0A0310"/>
    <w:rsid w:val="5C11169E"/>
    <w:rsid w:val="5C1178F0"/>
    <w:rsid w:val="5C14118E"/>
    <w:rsid w:val="5C142F3C"/>
    <w:rsid w:val="5C155EAE"/>
    <w:rsid w:val="5C180C7F"/>
    <w:rsid w:val="5C1E200D"/>
    <w:rsid w:val="5C1F4E24"/>
    <w:rsid w:val="5C2515ED"/>
    <w:rsid w:val="5C2D3FFE"/>
    <w:rsid w:val="5C337866"/>
    <w:rsid w:val="5C34538D"/>
    <w:rsid w:val="5C35417E"/>
    <w:rsid w:val="5C3914B8"/>
    <w:rsid w:val="5C403D31"/>
    <w:rsid w:val="5C447CC6"/>
    <w:rsid w:val="5C471564"/>
    <w:rsid w:val="5C4C150A"/>
    <w:rsid w:val="5C4E46A0"/>
    <w:rsid w:val="5C4F0418"/>
    <w:rsid w:val="5C5422EA"/>
    <w:rsid w:val="5C58107B"/>
    <w:rsid w:val="5C5F065B"/>
    <w:rsid w:val="5C653798"/>
    <w:rsid w:val="5C6914DA"/>
    <w:rsid w:val="5C6C4B26"/>
    <w:rsid w:val="5C6D68F5"/>
    <w:rsid w:val="5C6E6AF1"/>
    <w:rsid w:val="5C70754A"/>
    <w:rsid w:val="5C7240A9"/>
    <w:rsid w:val="5C732359"/>
    <w:rsid w:val="5C763BF7"/>
    <w:rsid w:val="5C8207EE"/>
    <w:rsid w:val="5C826389"/>
    <w:rsid w:val="5C85755D"/>
    <w:rsid w:val="5C877BB2"/>
    <w:rsid w:val="5C89392A"/>
    <w:rsid w:val="5C8A31FF"/>
    <w:rsid w:val="5C8E2CEF"/>
    <w:rsid w:val="5C9108EC"/>
    <w:rsid w:val="5C930305"/>
    <w:rsid w:val="5C990832"/>
    <w:rsid w:val="5C9A1694"/>
    <w:rsid w:val="5C9D1184"/>
    <w:rsid w:val="5CA72002"/>
    <w:rsid w:val="5CA93FCD"/>
    <w:rsid w:val="5CAD1AE4"/>
    <w:rsid w:val="5CB63FF4"/>
    <w:rsid w:val="5CBD35D4"/>
    <w:rsid w:val="5CC22998"/>
    <w:rsid w:val="5CCB475A"/>
    <w:rsid w:val="5CCB5CF1"/>
    <w:rsid w:val="5CCE366A"/>
    <w:rsid w:val="5CD93A0D"/>
    <w:rsid w:val="5CDA23D8"/>
    <w:rsid w:val="5CE34EBD"/>
    <w:rsid w:val="5CE62B2B"/>
    <w:rsid w:val="5CE975D4"/>
    <w:rsid w:val="5CED210B"/>
    <w:rsid w:val="5CF05758"/>
    <w:rsid w:val="5CF30D95"/>
    <w:rsid w:val="5CF3349A"/>
    <w:rsid w:val="5CFC40FC"/>
    <w:rsid w:val="5D041203"/>
    <w:rsid w:val="5D042FB1"/>
    <w:rsid w:val="5D0448EB"/>
    <w:rsid w:val="5D072AA1"/>
    <w:rsid w:val="5D096819"/>
    <w:rsid w:val="5D0E5BDE"/>
    <w:rsid w:val="5D172CE4"/>
    <w:rsid w:val="5D1A01F2"/>
    <w:rsid w:val="5D1F7DEB"/>
    <w:rsid w:val="5D292A17"/>
    <w:rsid w:val="5D2B2C34"/>
    <w:rsid w:val="5D2E6280"/>
    <w:rsid w:val="5D331AE8"/>
    <w:rsid w:val="5D3715D8"/>
    <w:rsid w:val="5D3C099D"/>
    <w:rsid w:val="5D414205"/>
    <w:rsid w:val="5D447851"/>
    <w:rsid w:val="5D4B0BE0"/>
    <w:rsid w:val="5D4D4958"/>
    <w:rsid w:val="5D5061F6"/>
    <w:rsid w:val="5D5201C0"/>
    <w:rsid w:val="5D534182"/>
    <w:rsid w:val="5D535CE6"/>
    <w:rsid w:val="5D5E6B65"/>
    <w:rsid w:val="5D5F02DF"/>
    <w:rsid w:val="5D663C6C"/>
    <w:rsid w:val="5D6677C8"/>
    <w:rsid w:val="5D693C48"/>
    <w:rsid w:val="5D706898"/>
    <w:rsid w:val="5D7647EC"/>
    <w:rsid w:val="5D7874FB"/>
    <w:rsid w:val="5D7A1F6F"/>
    <w:rsid w:val="5D861C18"/>
    <w:rsid w:val="5D880594"/>
    <w:rsid w:val="5D912A26"/>
    <w:rsid w:val="5D99194B"/>
    <w:rsid w:val="5D995DEF"/>
    <w:rsid w:val="5D9C768D"/>
    <w:rsid w:val="5DA201A9"/>
    <w:rsid w:val="5DA30A1C"/>
    <w:rsid w:val="5DA622BA"/>
    <w:rsid w:val="5DA87DE0"/>
    <w:rsid w:val="5DAA0534"/>
    <w:rsid w:val="5DAF73C1"/>
    <w:rsid w:val="5DB42C29"/>
    <w:rsid w:val="5DBA1FF8"/>
    <w:rsid w:val="5DC80482"/>
    <w:rsid w:val="5DCB3ACF"/>
    <w:rsid w:val="5DCD6217"/>
    <w:rsid w:val="5DD21301"/>
    <w:rsid w:val="5DD26099"/>
    <w:rsid w:val="5DD63EE7"/>
    <w:rsid w:val="5DD76917"/>
    <w:rsid w:val="5DE0757A"/>
    <w:rsid w:val="5DE828D3"/>
    <w:rsid w:val="5DEB5F1F"/>
    <w:rsid w:val="5DFD637E"/>
    <w:rsid w:val="5E057A41"/>
    <w:rsid w:val="5E07485E"/>
    <w:rsid w:val="5E1C257C"/>
    <w:rsid w:val="5E1D3725"/>
    <w:rsid w:val="5E225DE5"/>
    <w:rsid w:val="5E27164D"/>
    <w:rsid w:val="5E2D4789"/>
    <w:rsid w:val="5E2D6537"/>
    <w:rsid w:val="5E2F0501"/>
    <w:rsid w:val="5E36363E"/>
    <w:rsid w:val="5E37668B"/>
    <w:rsid w:val="5E3B6EA6"/>
    <w:rsid w:val="5E3D49CC"/>
    <w:rsid w:val="5E443FAD"/>
    <w:rsid w:val="5E483371"/>
    <w:rsid w:val="5E4F2952"/>
    <w:rsid w:val="5E541D16"/>
    <w:rsid w:val="5E5E2B95"/>
    <w:rsid w:val="5E602490"/>
    <w:rsid w:val="5E604ADA"/>
    <w:rsid w:val="5E6463FD"/>
    <w:rsid w:val="5E652175"/>
    <w:rsid w:val="5E655CD1"/>
    <w:rsid w:val="5E68756F"/>
    <w:rsid w:val="5E693A13"/>
    <w:rsid w:val="5E6C52B2"/>
    <w:rsid w:val="5E7128C8"/>
    <w:rsid w:val="5E767EDE"/>
    <w:rsid w:val="5E9510CF"/>
    <w:rsid w:val="5E96232F"/>
    <w:rsid w:val="5E99247E"/>
    <w:rsid w:val="5E9A1E1F"/>
    <w:rsid w:val="5E9C51FA"/>
    <w:rsid w:val="5E9F4CA1"/>
    <w:rsid w:val="5EA44A4C"/>
    <w:rsid w:val="5EA52572"/>
    <w:rsid w:val="5EA762EA"/>
    <w:rsid w:val="5EB36A3D"/>
    <w:rsid w:val="5EB822A5"/>
    <w:rsid w:val="5EBE53E1"/>
    <w:rsid w:val="5EC23124"/>
    <w:rsid w:val="5EC42D73"/>
    <w:rsid w:val="5ED13367"/>
    <w:rsid w:val="5ED54C05"/>
    <w:rsid w:val="5ED54C52"/>
    <w:rsid w:val="5EDA221B"/>
    <w:rsid w:val="5EDA35A0"/>
    <w:rsid w:val="5EDB41E5"/>
    <w:rsid w:val="5EDC56F0"/>
    <w:rsid w:val="5EE50BC0"/>
    <w:rsid w:val="5EF332DD"/>
    <w:rsid w:val="5EFD0600"/>
    <w:rsid w:val="5EFF6126"/>
    <w:rsid w:val="5F0674B4"/>
    <w:rsid w:val="5F0B0627"/>
    <w:rsid w:val="5F117C07"/>
    <w:rsid w:val="5F1425C0"/>
    <w:rsid w:val="5F1576F7"/>
    <w:rsid w:val="5F1C6CD8"/>
    <w:rsid w:val="5F2711D9"/>
    <w:rsid w:val="5F2931A3"/>
    <w:rsid w:val="5F2A2BC6"/>
    <w:rsid w:val="5F322057"/>
    <w:rsid w:val="5F3C4C84"/>
    <w:rsid w:val="5F3F29C6"/>
    <w:rsid w:val="5F4104EC"/>
    <w:rsid w:val="5F5024DD"/>
    <w:rsid w:val="5F593A88"/>
    <w:rsid w:val="5F5C70D4"/>
    <w:rsid w:val="5F6441DB"/>
    <w:rsid w:val="5F683CCB"/>
    <w:rsid w:val="5F6D7533"/>
    <w:rsid w:val="5F7206A6"/>
    <w:rsid w:val="5F7A1C50"/>
    <w:rsid w:val="5F7D704B"/>
    <w:rsid w:val="5F7F7267"/>
    <w:rsid w:val="5F812FDF"/>
    <w:rsid w:val="5F84662B"/>
    <w:rsid w:val="5F8605F5"/>
    <w:rsid w:val="5F92436A"/>
    <w:rsid w:val="5F93061C"/>
    <w:rsid w:val="5F97010C"/>
    <w:rsid w:val="5F993E84"/>
    <w:rsid w:val="5F9E593F"/>
    <w:rsid w:val="5FAB1E0A"/>
    <w:rsid w:val="5FB567E4"/>
    <w:rsid w:val="5FB92779"/>
    <w:rsid w:val="5FBE38EB"/>
    <w:rsid w:val="5FC829BC"/>
    <w:rsid w:val="5FCC24AC"/>
    <w:rsid w:val="5FCF3D4A"/>
    <w:rsid w:val="5FCF5AF8"/>
    <w:rsid w:val="5FD27396"/>
    <w:rsid w:val="5FD50C35"/>
    <w:rsid w:val="5FDE21DF"/>
    <w:rsid w:val="5FE377F5"/>
    <w:rsid w:val="5FE64BF0"/>
    <w:rsid w:val="5FEF1CF6"/>
    <w:rsid w:val="5FF4555F"/>
    <w:rsid w:val="60002155"/>
    <w:rsid w:val="6005151A"/>
    <w:rsid w:val="60067040"/>
    <w:rsid w:val="6008725C"/>
    <w:rsid w:val="600D4872"/>
    <w:rsid w:val="60161979"/>
    <w:rsid w:val="603040BD"/>
    <w:rsid w:val="60365B77"/>
    <w:rsid w:val="603911C4"/>
    <w:rsid w:val="603A7B0B"/>
    <w:rsid w:val="603C0CB4"/>
    <w:rsid w:val="604638E0"/>
    <w:rsid w:val="604A517F"/>
    <w:rsid w:val="60563B24"/>
    <w:rsid w:val="60591866"/>
    <w:rsid w:val="605E185A"/>
    <w:rsid w:val="60600E46"/>
    <w:rsid w:val="606049A2"/>
    <w:rsid w:val="606F6C7A"/>
    <w:rsid w:val="60714E01"/>
    <w:rsid w:val="60762418"/>
    <w:rsid w:val="60771CEC"/>
    <w:rsid w:val="60793CB6"/>
    <w:rsid w:val="607D5899"/>
    <w:rsid w:val="608A1A1F"/>
    <w:rsid w:val="608F7035"/>
    <w:rsid w:val="60912DAE"/>
    <w:rsid w:val="609D7126"/>
    <w:rsid w:val="609D79A4"/>
    <w:rsid w:val="60A26D69"/>
    <w:rsid w:val="60B116A2"/>
    <w:rsid w:val="60BB607C"/>
    <w:rsid w:val="60C346C6"/>
    <w:rsid w:val="60C5514D"/>
    <w:rsid w:val="60C73328"/>
    <w:rsid w:val="60C969EB"/>
    <w:rsid w:val="60CE5DB0"/>
    <w:rsid w:val="60CE7B5E"/>
    <w:rsid w:val="60D13AF2"/>
    <w:rsid w:val="60D158A0"/>
    <w:rsid w:val="60D64C64"/>
    <w:rsid w:val="60DD5FF3"/>
    <w:rsid w:val="60E05AE3"/>
    <w:rsid w:val="60E07891"/>
    <w:rsid w:val="60E23609"/>
    <w:rsid w:val="60E70C20"/>
    <w:rsid w:val="60EC4488"/>
    <w:rsid w:val="60F15F42"/>
    <w:rsid w:val="60F261AA"/>
    <w:rsid w:val="60F577E0"/>
    <w:rsid w:val="60F668A1"/>
    <w:rsid w:val="60F8107F"/>
    <w:rsid w:val="60F872D1"/>
    <w:rsid w:val="61025A59"/>
    <w:rsid w:val="61045C75"/>
    <w:rsid w:val="610C0686"/>
    <w:rsid w:val="610F0176"/>
    <w:rsid w:val="611134A9"/>
    <w:rsid w:val="61135EB8"/>
    <w:rsid w:val="61141727"/>
    <w:rsid w:val="61151C31"/>
    <w:rsid w:val="61251748"/>
    <w:rsid w:val="61355E2F"/>
    <w:rsid w:val="613A51F3"/>
    <w:rsid w:val="613E75F5"/>
    <w:rsid w:val="614B7400"/>
    <w:rsid w:val="614C3178"/>
    <w:rsid w:val="614C4E22"/>
    <w:rsid w:val="614D13CA"/>
    <w:rsid w:val="6151078F"/>
    <w:rsid w:val="6155027F"/>
    <w:rsid w:val="615A7643"/>
    <w:rsid w:val="61665FE8"/>
    <w:rsid w:val="616C7377"/>
    <w:rsid w:val="61706E67"/>
    <w:rsid w:val="61730705"/>
    <w:rsid w:val="61734BA9"/>
    <w:rsid w:val="61736957"/>
    <w:rsid w:val="61794D15"/>
    <w:rsid w:val="617C43C3"/>
    <w:rsid w:val="617D3332"/>
    <w:rsid w:val="617F52FC"/>
    <w:rsid w:val="618446C0"/>
    <w:rsid w:val="61897F29"/>
    <w:rsid w:val="618F19E3"/>
    <w:rsid w:val="61907509"/>
    <w:rsid w:val="6198016C"/>
    <w:rsid w:val="61A11716"/>
    <w:rsid w:val="61A62D6C"/>
    <w:rsid w:val="61A82AA5"/>
    <w:rsid w:val="61A92379"/>
    <w:rsid w:val="61B03707"/>
    <w:rsid w:val="61C96577"/>
    <w:rsid w:val="61CB6793"/>
    <w:rsid w:val="61CD6067"/>
    <w:rsid w:val="61D41829"/>
    <w:rsid w:val="61D92C5E"/>
    <w:rsid w:val="61DA0784"/>
    <w:rsid w:val="61E82EA1"/>
    <w:rsid w:val="61ED495B"/>
    <w:rsid w:val="61F061FA"/>
    <w:rsid w:val="61F21F72"/>
    <w:rsid w:val="61F50987"/>
    <w:rsid w:val="61F730E4"/>
    <w:rsid w:val="61FA2BD4"/>
    <w:rsid w:val="61FC06FB"/>
    <w:rsid w:val="61FE26C5"/>
    <w:rsid w:val="62015D11"/>
    <w:rsid w:val="62053A53"/>
    <w:rsid w:val="6208709F"/>
    <w:rsid w:val="620A1069"/>
    <w:rsid w:val="620D2908"/>
    <w:rsid w:val="620F48D2"/>
    <w:rsid w:val="62134708"/>
    <w:rsid w:val="621912AD"/>
    <w:rsid w:val="621A5025"/>
    <w:rsid w:val="6223212B"/>
    <w:rsid w:val="622F0AD0"/>
    <w:rsid w:val="623954AB"/>
    <w:rsid w:val="623C31ED"/>
    <w:rsid w:val="623F6839"/>
    <w:rsid w:val="62465E1A"/>
    <w:rsid w:val="62483940"/>
    <w:rsid w:val="624A590A"/>
    <w:rsid w:val="624C1682"/>
    <w:rsid w:val="624C462A"/>
    <w:rsid w:val="6256605D"/>
    <w:rsid w:val="62593D9F"/>
    <w:rsid w:val="625B3673"/>
    <w:rsid w:val="625C73EB"/>
    <w:rsid w:val="625D388F"/>
    <w:rsid w:val="625E1FC6"/>
    <w:rsid w:val="6260512D"/>
    <w:rsid w:val="626369CC"/>
    <w:rsid w:val="62662018"/>
    <w:rsid w:val="627961EF"/>
    <w:rsid w:val="628949F0"/>
    <w:rsid w:val="628D3A49"/>
    <w:rsid w:val="628F77C1"/>
    <w:rsid w:val="62922E0D"/>
    <w:rsid w:val="62942C9F"/>
    <w:rsid w:val="629628FD"/>
    <w:rsid w:val="629D0130"/>
    <w:rsid w:val="62A0552A"/>
    <w:rsid w:val="62A274F4"/>
    <w:rsid w:val="62A74B0A"/>
    <w:rsid w:val="62AC2121"/>
    <w:rsid w:val="62AF1C11"/>
    <w:rsid w:val="62B15989"/>
    <w:rsid w:val="62B47227"/>
    <w:rsid w:val="62B611F1"/>
    <w:rsid w:val="62B62F9F"/>
    <w:rsid w:val="62BE1E54"/>
    <w:rsid w:val="62BE3C02"/>
    <w:rsid w:val="62C0797A"/>
    <w:rsid w:val="62C90F25"/>
    <w:rsid w:val="62CF4061"/>
    <w:rsid w:val="62D90A3C"/>
    <w:rsid w:val="62DD677E"/>
    <w:rsid w:val="62E0626E"/>
    <w:rsid w:val="62EA2C49"/>
    <w:rsid w:val="62FC79CB"/>
    <w:rsid w:val="62FE04A2"/>
    <w:rsid w:val="62FF2765"/>
    <w:rsid w:val="630048F7"/>
    <w:rsid w:val="63024A04"/>
    <w:rsid w:val="63116428"/>
    <w:rsid w:val="631303F2"/>
    <w:rsid w:val="631D4DCC"/>
    <w:rsid w:val="631E481B"/>
    <w:rsid w:val="631F0B45"/>
    <w:rsid w:val="63215DB8"/>
    <w:rsid w:val="6324615B"/>
    <w:rsid w:val="632757F0"/>
    <w:rsid w:val="632A1297"/>
    <w:rsid w:val="632C14B3"/>
    <w:rsid w:val="633345F0"/>
    <w:rsid w:val="633D0FCB"/>
    <w:rsid w:val="633F4D43"/>
    <w:rsid w:val="63402869"/>
    <w:rsid w:val="63415B9D"/>
    <w:rsid w:val="634405AB"/>
    <w:rsid w:val="63442359"/>
    <w:rsid w:val="634560D1"/>
    <w:rsid w:val="635B76A3"/>
    <w:rsid w:val="636429FB"/>
    <w:rsid w:val="636C18B0"/>
    <w:rsid w:val="636D5D54"/>
    <w:rsid w:val="636F7DBB"/>
    <w:rsid w:val="63713082"/>
    <w:rsid w:val="637D586B"/>
    <w:rsid w:val="63827325"/>
    <w:rsid w:val="6384067A"/>
    <w:rsid w:val="63870498"/>
    <w:rsid w:val="638C3D00"/>
    <w:rsid w:val="63952BB5"/>
    <w:rsid w:val="63A1155A"/>
    <w:rsid w:val="63A728E8"/>
    <w:rsid w:val="63A948B2"/>
    <w:rsid w:val="63AB687C"/>
    <w:rsid w:val="63B3128D"/>
    <w:rsid w:val="63B40502"/>
    <w:rsid w:val="63B55005"/>
    <w:rsid w:val="63B77B8E"/>
    <w:rsid w:val="63BA6ABF"/>
    <w:rsid w:val="63BC45E5"/>
    <w:rsid w:val="63BD3EBA"/>
    <w:rsid w:val="63BF40D6"/>
    <w:rsid w:val="63E91153"/>
    <w:rsid w:val="63E92F01"/>
    <w:rsid w:val="63F20007"/>
    <w:rsid w:val="63F43D7F"/>
    <w:rsid w:val="63FE4BFE"/>
    <w:rsid w:val="64032214"/>
    <w:rsid w:val="64033FC2"/>
    <w:rsid w:val="640D4E41"/>
    <w:rsid w:val="64144421"/>
    <w:rsid w:val="64175CC0"/>
    <w:rsid w:val="641C32D6"/>
    <w:rsid w:val="641E0DFC"/>
    <w:rsid w:val="642A59F3"/>
    <w:rsid w:val="64300B2F"/>
    <w:rsid w:val="64354398"/>
    <w:rsid w:val="64373C6C"/>
    <w:rsid w:val="64393E88"/>
    <w:rsid w:val="643B19AE"/>
    <w:rsid w:val="645079A9"/>
    <w:rsid w:val="645B3DFE"/>
    <w:rsid w:val="645F2AA0"/>
    <w:rsid w:val="645F6B22"/>
    <w:rsid w:val="64630F05"/>
    <w:rsid w:val="64634A61"/>
    <w:rsid w:val="646475B1"/>
    <w:rsid w:val="646E3234"/>
    <w:rsid w:val="647C5B23"/>
    <w:rsid w:val="647F342B"/>
    <w:rsid w:val="64852C29"/>
    <w:rsid w:val="64882719"/>
    <w:rsid w:val="64884B62"/>
    <w:rsid w:val="648A4EA0"/>
    <w:rsid w:val="648C045C"/>
    <w:rsid w:val="648C220A"/>
    <w:rsid w:val="64917820"/>
    <w:rsid w:val="64966BE4"/>
    <w:rsid w:val="64A15589"/>
    <w:rsid w:val="64A5151D"/>
    <w:rsid w:val="64A62BA0"/>
    <w:rsid w:val="64AC70A5"/>
    <w:rsid w:val="64B33C3A"/>
    <w:rsid w:val="64B4350F"/>
    <w:rsid w:val="64B654D9"/>
    <w:rsid w:val="64BE130D"/>
    <w:rsid w:val="64C03C61"/>
    <w:rsid w:val="64C5571C"/>
    <w:rsid w:val="64C86FBA"/>
    <w:rsid w:val="64D140C0"/>
    <w:rsid w:val="64D73325"/>
    <w:rsid w:val="64DB1D80"/>
    <w:rsid w:val="64DD4813"/>
    <w:rsid w:val="64DE67DD"/>
    <w:rsid w:val="64DF64A1"/>
    <w:rsid w:val="64E421D7"/>
    <w:rsid w:val="64E75692"/>
    <w:rsid w:val="64EC2CA8"/>
    <w:rsid w:val="64F82F1D"/>
    <w:rsid w:val="64F8789F"/>
    <w:rsid w:val="64F97173"/>
    <w:rsid w:val="650A4AEB"/>
    <w:rsid w:val="650E70C3"/>
    <w:rsid w:val="65130235"/>
    <w:rsid w:val="65150451"/>
    <w:rsid w:val="65167D25"/>
    <w:rsid w:val="65181CEF"/>
    <w:rsid w:val="652266CA"/>
    <w:rsid w:val="65271F32"/>
    <w:rsid w:val="65297A59"/>
    <w:rsid w:val="652C12F7"/>
    <w:rsid w:val="653004DD"/>
    <w:rsid w:val="653603C7"/>
    <w:rsid w:val="653E2AE1"/>
    <w:rsid w:val="6546685C"/>
    <w:rsid w:val="654900FB"/>
    <w:rsid w:val="654C0E8B"/>
    <w:rsid w:val="65510D5D"/>
    <w:rsid w:val="65515201"/>
    <w:rsid w:val="655B5C3A"/>
    <w:rsid w:val="655B6B85"/>
    <w:rsid w:val="655D0948"/>
    <w:rsid w:val="655F347A"/>
    <w:rsid w:val="65640A91"/>
    <w:rsid w:val="65660CAD"/>
    <w:rsid w:val="656B62C3"/>
    <w:rsid w:val="656C203B"/>
    <w:rsid w:val="65736F26"/>
    <w:rsid w:val="65757142"/>
    <w:rsid w:val="657A6506"/>
    <w:rsid w:val="657F58CB"/>
    <w:rsid w:val="658729D1"/>
    <w:rsid w:val="65877335"/>
    <w:rsid w:val="6589499B"/>
    <w:rsid w:val="658E3D60"/>
    <w:rsid w:val="65907AD8"/>
    <w:rsid w:val="6598698C"/>
    <w:rsid w:val="659D21F5"/>
    <w:rsid w:val="659F5F6D"/>
    <w:rsid w:val="65A76BCF"/>
    <w:rsid w:val="65AD780B"/>
    <w:rsid w:val="65B03CD6"/>
    <w:rsid w:val="65B512EC"/>
    <w:rsid w:val="65B763A9"/>
    <w:rsid w:val="65B80DDC"/>
    <w:rsid w:val="65B8702E"/>
    <w:rsid w:val="65BA4B55"/>
    <w:rsid w:val="65BD2897"/>
    <w:rsid w:val="65C854C3"/>
    <w:rsid w:val="65CD2ADA"/>
    <w:rsid w:val="65CE0600"/>
    <w:rsid w:val="65D24040"/>
    <w:rsid w:val="65D71C0B"/>
    <w:rsid w:val="65DA6FA5"/>
    <w:rsid w:val="65E41BD1"/>
    <w:rsid w:val="65E46075"/>
    <w:rsid w:val="65E9368C"/>
    <w:rsid w:val="65ED4F2A"/>
    <w:rsid w:val="65F04D80"/>
    <w:rsid w:val="65FA7647"/>
    <w:rsid w:val="66083B12"/>
    <w:rsid w:val="660B3602"/>
    <w:rsid w:val="660F30F2"/>
    <w:rsid w:val="661029C7"/>
    <w:rsid w:val="66171FA7"/>
    <w:rsid w:val="6618187B"/>
    <w:rsid w:val="661C4D25"/>
    <w:rsid w:val="662326FA"/>
    <w:rsid w:val="66240220"/>
    <w:rsid w:val="662841B4"/>
    <w:rsid w:val="66287D10"/>
    <w:rsid w:val="662A7F2C"/>
    <w:rsid w:val="662B15AE"/>
    <w:rsid w:val="662D3578"/>
    <w:rsid w:val="662E0238"/>
    <w:rsid w:val="662F5543"/>
    <w:rsid w:val="66320B8F"/>
    <w:rsid w:val="663568D1"/>
    <w:rsid w:val="663743F7"/>
    <w:rsid w:val="663D66D2"/>
    <w:rsid w:val="663F505A"/>
    <w:rsid w:val="66417024"/>
    <w:rsid w:val="66430FEE"/>
    <w:rsid w:val="664E34EF"/>
    <w:rsid w:val="665C20B0"/>
    <w:rsid w:val="665E7BD6"/>
    <w:rsid w:val="665F56FC"/>
    <w:rsid w:val="66660838"/>
    <w:rsid w:val="666E595E"/>
    <w:rsid w:val="66723681"/>
    <w:rsid w:val="6672542F"/>
    <w:rsid w:val="66763171"/>
    <w:rsid w:val="667733BA"/>
    <w:rsid w:val="667B0788"/>
    <w:rsid w:val="667C005C"/>
    <w:rsid w:val="667F70DE"/>
    <w:rsid w:val="668313EA"/>
    <w:rsid w:val="66860EDB"/>
    <w:rsid w:val="66882EA5"/>
    <w:rsid w:val="668A367F"/>
    <w:rsid w:val="668F5FE1"/>
    <w:rsid w:val="668F7750"/>
    <w:rsid w:val="668F7D8F"/>
    <w:rsid w:val="6692162D"/>
    <w:rsid w:val="66925AD1"/>
    <w:rsid w:val="66967370"/>
    <w:rsid w:val="66A01F9C"/>
    <w:rsid w:val="66A866E1"/>
    <w:rsid w:val="66AA4BC9"/>
    <w:rsid w:val="66B21CD0"/>
    <w:rsid w:val="66B477F6"/>
    <w:rsid w:val="66B6356E"/>
    <w:rsid w:val="66B9305E"/>
    <w:rsid w:val="66BA7155"/>
    <w:rsid w:val="66C0263F"/>
    <w:rsid w:val="66C739CD"/>
    <w:rsid w:val="66CD6B09"/>
    <w:rsid w:val="66D02156"/>
    <w:rsid w:val="66D32372"/>
    <w:rsid w:val="66D41C46"/>
    <w:rsid w:val="66D71736"/>
    <w:rsid w:val="66E83943"/>
    <w:rsid w:val="66F10A4A"/>
    <w:rsid w:val="66F26570"/>
    <w:rsid w:val="66F422E8"/>
    <w:rsid w:val="66F83B86"/>
    <w:rsid w:val="66F916AD"/>
    <w:rsid w:val="66FB5425"/>
    <w:rsid w:val="66FC2F4B"/>
    <w:rsid w:val="66FD73EF"/>
    <w:rsid w:val="670361B5"/>
    <w:rsid w:val="6707201B"/>
    <w:rsid w:val="67083E2C"/>
    <w:rsid w:val="670F0ED0"/>
    <w:rsid w:val="67135CAA"/>
    <w:rsid w:val="67177D85"/>
    <w:rsid w:val="671B7875"/>
    <w:rsid w:val="671D35ED"/>
    <w:rsid w:val="671D539B"/>
    <w:rsid w:val="6723497B"/>
    <w:rsid w:val="67281F92"/>
    <w:rsid w:val="672E75A8"/>
    <w:rsid w:val="67395F4D"/>
    <w:rsid w:val="67401089"/>
    <w:rsid w:val="67452271"/>
    <w:rsid w:val="67486190"/>
    <w:rsid w:val="674A1F08"/>
    <w:rsid w:val="674C5C80"/>
    <w:rsid w:val="674F5770"/>
    <w:rsid w:val="67566AFF"/>
    <w:rsid w:val="675863D3"/>
    <w:rsid w:val="675E59B4"/>
    <w:rsid w:val="675F3C06"/>
    <w:rsid w:val="675F58CD"/>
    <w:rsid w:val="6760797E"/>
    <w:rsid w:val="676905E0"/>
    <w:rsid w:val="67713939"/>
    <w:rsid w:val="6773320D"/>
    <w:rsid w:val="67772538"/>
    <w:rsid w:val="677B6565"/>
    <w:rsid w:val="677D408C"/>
    <w:rsid w:val="6780592A"/>
    <w:rsid w:val="678C42CF"/>
    <w:rsid w:val="6796514D"/>
    <w:rsid w:val="67966EFB"/>
    <w:rsid w:val="67980EC5"/>
    <w:rsid w:val="67A05FCC"/>
    <w:rsid w:val="67A36D83"/>
    <w:rsid w:val="67A7735B"/>
    <w:rsid w:val="67A84C4E"/>
    <w:rsid w:val="67A930D3"/>
    <w:rsid w:val="67A94E81"/>
    <w:rsid w:val="67B7211E"/>
    <w:rsid w:val="67B850C4"/>
    <w:rsid w:val="67BA0E3C"/>
    <w:rsid w:val="67BB4BB4"/>
    <w:rsid w:val="67BC2E06"/>
    <w:rsid w:val="67BD092C"/>
    <w:rsid w:val="67BF28F6"/>
    <w:rsid w:val="67BF6452"/>
    <w:rsid w:val="67C223E6"/>
    <w:rsid w:val="67C2410F"/>
    <w:rsid w:val="67CA4DF7"/>
    <w:rsid w:val="67CD5013"/>
    <w:rsid w:val="67CE2B39"/>
    <w:rsid w:val="67D31EFE"/>
    <w:rsid w:val="67D4384D"/>
    <w:rsid w:val="67D619EE"/>
    <w:rsid w:val="67D6379C"/>
    <w:rsid w:val="67DB0F00"/>
    <w:rsid w:val="67E4410B"/>
    <w:rsid w:val="67F2570F"/>
    <w:rsid w:val="67F72090"/>
    <w:rsid w:val="67FA2386"/>
    <w:rsid w:val="68040309"/>
    <w:rsid w:val="68064081"/>
    <w:rsid w:val="681349F0"/>
    <w:rsid w:val="6817628E"/>
    <w:rsid w:val="681C38A5"/>
    <w:rsid w:val="681D761D"/>
    <w:rsid w:val="68264723"/>
    <w:rsid w:val="68352BB8"/>
    <w:rsid w:val="6836628F"/>
    <w:rsid w:val="683926A8"/>
    <w:rsid w:val="683C3F47"/>
    <w:rsid w:val="683C5CF5"/>
    <w:rsid w:val="683D381B"/>
    <w:rsid w:val="683E7CBF"/>
    <w:rsid w:val="68444BA9"/>
    <w:rsid w:val="684A0885"/>
    <w:rsid w:val="68580655"/>
    <w:rsid w:val="685C6397"/>
    <w:rsid w:val="685E3EBD"/>
    <w:rsid w:val="68660FC4"/>
    <w:rsid w:val="68686AEA"/>
    <w:rsid w:val="686A0AB4"/>
    <w:rsid w:val="6870599E"/>
    <w:rsid w:val="6873723D"/>
    <w:rsid w:val="68776D2D"/>
    <w:rsid w:val="6878082B"/>
    <w:rsid w:val="68863414"/>
    <w:rsid w:val="688D6550"/>
    <w:rsid w:val="689773CF"/>
    <w:rsid w:val="689C49E5"/>
    <w:rsid w:val="689C63C4"/>
    <w:rsid w:val="689E42BA"/>
    <w:rsid w:val="689F035A"/>
    <w:rsid w:val="689F7F7E"/>
    <w:rsid w:val="68A613C0"/>
    <w:rsid w:val="68AB2E7A"/>
    <w:rsid w:val="68AB4C28"/>
    <w:rsid w:val="68AD6BF3"/>
    <w:rsid w:val="68B27218"/>
    <w:rsid w:val="68B27D65"/>
    <w:rsid w:val="68B91208"/>
    <w:rsid w:val="68BD4776"/>
    <w:rsid w:val="68C25ABF"/>
    <w:rsid w:val="68C53F3C"/>
    <w:rsid w:val="68CD2DF1"/>
    <w:rsid w:val="68D0643D"/>
    <w:rsid w:val="68D4417F"/>
    <w:rsid w:val="68DB01BE"/>
    <w:rsid w:val="68DE0B5A"/>
    <w:rsid w:val="68DE4FFE"/>
    <w:rsid w:val="68E677DD"/>
    <w:rsid w:val="68E862E0"/>
    <w:rsid w:val="68F10571"/>
    <w:rsid w:val="68F20AA9"/>
    <w:rsid w:val="68F40B0F"/>
    <w:rsid w:val="68F6059A"/>
    <w:rsid w:val="68FC1C9C"/>
    <w:rsid w:val="690F564E"/>
    <w:rsid w:val="691427CE"/>
    <w:rsid w:val="691D5B26"/>
    <w:rsid w:val="6920124D"/>
    <w:rsid w:val="692A3D9F"/>
    <w:rsid w:val="692B0CE1"/>
    <w:rsid w:val="692D1AE1"/>
    <w:rsid w:val="69313380"/>
    <w:rsid w:val="693B41FE"/>
    <w:rsid w:val="693E784B"/>
    <w:rsid w:val="69562DE6"/>
    <w:rsid w:val="695766FA"/>
    <w:rsid w:val="695A5F7D"/>
    <w:rsid w:val="695D23C7"/>
    <w:rsid w:val="6965127B"/>
    <w:rsid w:val="69653029"/>
    <w:rsid w:val="69676DA1"/>
    <w:rsid w:val="6974607D"/>
    <w:rsid w:val="69750D65"/>
    <w:rsid w:val="697D65C5"/>
    <w:rsid w:val="69852CC0"/>
    <w:rsid w:val="69855479"/>
    <w:rsid w:val="69872FA0"/>
    <w:rsid w:val="698A6F34"/>
    <w:rsid w:val="6990454A"/>
    <w:rsid w:val="699045E6"/>
    <w:rsid w:val="69912070"/>
    <w:rsid w:val="69937B96"/>
    <w:rsid w:val="699A7177"/>
    <w:rsid w:val="699C1E2D"/>
    <w:rsid w:val="69AA4EE0"/>
    <w:rsid w:val="69B813AB"/>
    <w:rsid w:val="69B83AA1"/>
    <w:rsid w:val="69B875FD"/>
    <w:rsid w:val="69BB533F"/>
    <w:rsid w:val="69BE2739"/>
    <w:rsid w:val="69BF6BDD"/>
    <w:rsid w:val="69C51D1A"/>
    <w:rsid w:val="69C61962"/>
    <w:rsid w:val="69C73CE4"/>
    <w:rsid w:val="69C935B8"/>
    <w:rsid w:val="69CA10DE"/>
    <w:rsid w:val="69D87C9F"/>
    <w:rsid w:val="69DB153D"/>
    <w:rsid w:val="69DB32EB"/>
    <w:rsid w:val="69EA352F"/>
    <w:rsid w:val="69EB79D2"/>
    <w:rsid w:val="69EC374B"/>
    <w:rsid w:val="69EE74C3"/>
    <w:rsid w:val="69F06D97"/>
    <w:rsid w:val="69F543AD"/>
    <w:rsid w:val="69F83E9D"/>
    <w:rsid w:val="6A06480C"/>
    <w:rsid w:val="6A0B3BD1"/>
    <w:rsid w:val="6A0D2B9F"/>
    <w:rsid w:val="6A0E36C1"/>
    <w:rsid w:val="6A1011E7"/>
    <w:rsid w:val="6A160FCF"/>
    <w:rsid w:val="6A1D3904"/>
    <w:rsid w:val="6A2133F4"/>
    <w:rsid w:val="6A242EE4"/>
    <w:rsid w:val="6A296146"/>
    <w:rsid w:val="6A3749C6"/>
    <w:rsid w:val="6A3D42E7"/>
    <w:rsid w:val="6A3F1ACC"/>
    <w:rsid w:val="6A3F58F4"/>
    <w:rsid w:val="6A413A96"/>
    <w:rsid w:val="6A4175F2"/>
    <w:rsid w:val="6A4470E3"/>
    <w:rsid w:val="6A525DA3"/>
    <w:rsid w:val="6A5512F0"/>
    <w:rsid w:val="6A590DE0"/>
    <w:rsid w:val="6A5B4C9F"/>
    <w:rsid w:val="6A5C267E"/>
    <w:rsid w:val="6A6257BB"/>
    <w:rsid w:val="6A636E98"/>
    <w:rsid w:val="6A6F45A5"/>
    <w:rsid w:val="6A753740"/>
    <w:rsid w:val="6A794FDE"/>
    <w:rsid w:val="6A7C062B"/>
    <w:rsid w:val="6A8F72B9"/>
    <w:rsid w:val="6A9040D6"/>
    <w:rsid w:val="6A9242F2"/>
    <w:rsid w:val="6A9C2A7B"/>
    <w:rsid w:val="6A9F3684"/>
    <w:rsid w:val="6AA61B4B"/>
    <w:rsid w:val="6AA97307"/>
    <w:rsid w:val="6AAB7F50"/>
    <w:rsid w:val="6AB9362D"/>
    <w:rsid w:val="6ABC311D"/>
    <w:rsid w:val="6AC02C0D"/>
    <w:rsid w:val="6AC370B0"/>
    <w:rsid w:val="6ACB15B2"/>
    <w:rsid w:val="6AD2649C"/>
    <w:rsid w:val="6AD71D05"/>
    <w:rsid w:val="6AD761A9"/>
    <w:rsid w:val="6ADC37BF"/>
    <w:rsid w:val="6ADE0AE4"/>
    <w:rsid w:val="6AE508C6"/>
    <w:rsid w:val="6AE52674"/>
    <w:rsid w:val="6AE5513B"/>
    <w:rsid w:val="6AEA5EDC"/>
    <w:rsid w:val="6AF200E6"/>
    <w:rsid w:val="6AF20FCD"/>
    <w:rsid w:val="6AF26B3F"/>
    <w:rsid w:val="6AF94CF3"/>
    <w:rsid w:val="6AFC79BD"/>
    <w:rsid w:val="6AFE54E3"/>
    <w:rsid w:val="6B0369FE"/>
    <w:rsid w:val="6B054AC4"/>
    <w:rsid w:val="6B0C5E52"/>
    <w:rsid w:val="6B1B7E43"/>
    <w:rsid w:val="6B222A6A"/>
    <w:rsid w:val="6B266A9A"/>
    <w:rsid w:val="6B272C8C"/>
    <w:rsid w:val="6B364C7D"/>
    <w:rsid w:val="6B413622"/>
    <w:rsid w:val="6B43383E"/>
    <w:rsid w:val="6B4355EC"/>
    <w:rsid w:val="6B4750DC"/>
    <w:rsid w:val="6B4A0729"/>
    <w:rsid w:val="6B517D09"/>
    <w:rsid w:val="6B560E7C"/>
    <w:rsid w:val="6B655563"/>
    <w:rsid w:val="6B6C069F"/>
    <w:rsid w:val="6B721A2E"/>
    <w:rsid w:val="6B7439F8"/>
    <w:rsid w:val="6B7457A6"/>
    <w:rsid w:val="6B793DC3"/>
    <w:rsid w:val="6B7A7502"/>
    <w:rsid w:val="6B80239C"/>
    <w:rsid w:val="6B8D38E9"/>
    <w:rsid w:val="6B923E7E"/>
    <w:rsid w:val="6B9320D0"/>
    <w:rsid w:val="6B981494"/>
    <w:rsid w:val="6B985938"/>
    <w:rsid w:val="6B99520C"/>
    <w:rsid w:val="6BA0659B"/>
    <w:rsid w:val="6BA20F53"/>
    <w:rsid w:val="6BAC3CEF"/>
    <w:rsid w:val="6BAC4F3F"/>
    <w:rsid w:val="6BB46349"/>
    <w:rsid w:val="6BB67B6C"/>
    <w:rsid w:val="6BBF2EC5"/>
    <w:rsid w:val="6BC06C3D"/>
    <w:rsid w:val="6BC404DB"/>
    <w:rsid w:val="6BC77FCB"/>
    <w:rsid w:val="6BCA3618"/>
    <w:rsid w:val="6BD24498"/>
    <w:rsid w:val="6BD44496"/>
    <w:rsid w:val="6BD91256"/>
    <w:rsid w:val="6BDA7CFF"/>
    <w:rsid w:val="6BDB5825"/>
    <w:rsid w:val="6BE84699"/>
    <w:rsid w:val="6BFB1A23"/>
    <w:rsid w:val="6BFD579B"/>
    <w:rsid w:val="6C0703C8"/>
    <w:rsid w:val="6C094140"/>
    <w:rsid w:val="6C10344F"/>
    <w:rsid w:val="6C240F7A"/>
    <w:rsid w:val="6C2B055A"/>
    <w:rsid w:val="6C310293"/>
    <w:rsid w:val="6C353187"/>
    <w:rsid w:val="6C384A25"/>
    <w:rsid w:val="6C3E3329"/>
    <w:rsid w:val="6C4258A4"/>
    <w:rsid w:val="6C4E4249"/>
    <w:rsid w:val="6C515AE7"/>
    <w:rsid w:val="6C57134F"/>
    <w:rsid w:val="6C5D7FE5"/>
    <w:rsid w:val="6C7672FB"/>
    <w:rsid w:val="6C77379F"/>
    <w:rsid w:val="6C77554D"/>
    <w:rsid w:val="6C951E77"/>
    <w:rsid w:val="6C9854C4"/>
    <w:rsid w:val="6CB0280D"/>
    <w:rsid w:val="6CB22A29"/>
    <w:rsid w:val="6CB71DEE"/>
    <w:rsid w:val="6CBA368C"/>
    <w:rsid w:val="6CBF5146"/>
    <w:rsid w:val="6CC4450B"/>
    <w:rsid w:val="6CC462B9"/>
    <w:rsid w:val="6CC90D79"/>
    <w:rsid w:val="6CCB5899"/>
    <w:rsid w:val="6CD429A0"/>
    <w:rsid w:val="6CD81D64"/>
    <w:rsid w:val="6CDD61B3"/>
    <w:rsid w:val="6CE40709"/>
    <w:rsid w:val="6CE60925"/>
    <w:rsid w:val="6CEC3190"/>
    <w:rsid w:val="6CF05300"/>
    <w:rsid w:val="6CF43042"/>
    <w:rsid w:val="6CFA7F2C"/>
    <w:rsid w:val="6CFC5EFF"/>
    <w:rsid w:val="6D01750D"/>
    <w:rsid w:val="6D042B59"/>
    <w:rsid w:val="6D0B038C"/>
    <w:rsid w:val="6D0B3EE8"/>
    <w:rsid w:val="6D0B5C71"/>
    <w:rsid w:val="6D0D4104"/>
    <w:rsid w:val="6D0D7C60"/>
    <w:rsid w:val="6D1A237D"/>
    <w:rsid w:val="6D1B05CF"/>
    <w:rsid w:val="6D21370B"/>
    <w:rsid w:val="6D222A82"/>
    <w:rsid w:val="6D231231"/>
    <w:rsid w:val="6D2356D5"/>
    <w:rsid w:val="6D2A25C0"/>
    <w:rsid w:val="6D2D524B"/>
    <w:rsid w:val="6D325918"/>
    <w:rsid w:val="6D45389E"/>
    <w:rsid w:val="6D4713C4"/>
    <w:rsid w:val="6D4F64CA"/>
    <w:rsid w:val="6D561607"/>
    <w:rsid w:val="6D567859"/>
    <w:rsid w:val="6D5B09CB"/>
    <w:rsid w:val="6D5B6C1D"/>
    <w:rsid w:val="6D5D0BE7"/>
    <w:rsid w:val="6D635AD2"/>
    <w:rsid w:val="6D6830E8"/>
    <w:rsid w:val="6D800432"/>
    <w:rsid w:val="6D837F22"/>
    <w:rsid w:val="6D8668BF"/>
    <w:rsid w:val="6D8C327A"/>
    <w:rsid w:val="6D8F68C7"/>
    <w:rsid w:val="6D952DD1"/>
    <w:rsid w:val="6D9914F3"/>
    <w:rsid w:val="6D9956BA"/>
    <w:rsid w:val="6D99606A"/>
    <w:rsid w:val="6DA22A9E"/>
    <w:rsid w:val="6DA265FA"/>
    <w:rsid w:val="6DB12CE1"/>
    <w:rsid w:val="6DB4457F"/>
    <w:rsid w:val="6DB97FB3"/>
    <w:rsid w:val="6DBB3B60"/>
    <w:rsid w:val="6DBC51E2"/>
    <w:rsid w:val="6DC26C9C"/>
    <w:rsid w:val="6DC870F0"/>
    <w:rsid w:val="6DC9002B"/>
    <w:rsid w:val="6DD10C8D"/>
    <w:rsid w:val="6DD32C57"/>
    <w:rsid w:val="6DFC351E"/>
    <w:rsid w:val="6DFE57FA"/>
    <w:rsid w:val="6E027099"/>
    <w:rsid w:val="6E067091"/>
    <w:rsid w:val="6E0A419F"/>
    <w:rsid w:val="6E0B0643"/>
    <w:rsid w:val="6E0F7A08"/>
    <w:rsid w:val="6E1312A6"/>
    <w:rsid w:val="6E14501E"/>
    <w:rsid w:val="6E1B63AC"/>
    <w:rsid w:val="6E1E7AB9"/>
    <w:rsid w:val="6E25722B"/>
    <w:rsid w:val="6E280F9B"/>
    <w:rsid w:val="6E290AC9"/>
    <w:rsid w:val="6E3000AA"/>
    <w:rsid w:val="6E380D0C"/>
    <w:rsid w:val="6E3D4575"/>
    <w:rsid w:val="6E414065"/>
    <w:rsid w:val="6E453429"/>
    <w:rsid w:val="6E46167B"/>
    <w:rsid w:val="6E5237C4"/>
    <w:rsid w:val="6E5A0C83"/>
    <w:rsid w:val="6E62222D"/>
    <w:rsid w:val="6E623FDB"/>
    <w:rsid w:val="6E625129"/>
    <w:rsid w:val="6E645FA5"/>
    <w:rsid w:val="6E65267E"/>
    <w:rsid w:val="6E6912A9"/>
    <w:rsid w:val="6E6C09B6"/>
    <w:rsid w:val="6E71421E"/>
    <w:rsid w:val="6E784210"/>
    <w:rsid w:val="6E821BA6"/>
    <w:rsid w:val="6E82467D"/>
    <w:rsid w:val="6E8421A4"/>
    <w:rsid w:val="6E843F52"/>
    <w:rsid w:val="6E873E81"/>
    <w:rsid w:val="6E8757F0"/>
    <w:rsid w:val="6E8C2E06"/>
    <w:rsid w:val="6E9543B1"/>
    <w:rsid w:val="6EA03633"/>
    <w:rsid w:val="6EA16987"/>
    <w:rsid w:val="6EA2262A"/>
    <w:rsid w:val="6EA3143E"/>
    <w:rsid w:val="6EA463A2"/>
    <w:rsid w:val="6EA72431"/>
    <w:rsid w:val="6EB011EB"/>
    <w:rsid w:val="6EB34837"/>
    <w:rsid w:val="6EB53936"/>
    <w:rsid w:val="6EC66318"/>
    <w:rsid w:val="6ED07197"/>
    <w:rsid w:val="6ED21161"/>
    <w:rsid w:val="6ED6693F"/>
    <w:rsid w:val="6ED8604B"/>
    <w:rsid w:val="6EE36ECA"/>
    <w:rsid w:val="6EE844E0"/>
    <w:rsid w:val="6EEE3AC1"/>
    <w:rsid w:val="6EEE70ED"/>
    <w:rsid w:val="6EF62209"/>
    <w:rsid w:val="6EF70BC7"/>
    <w:rsid w:val="6EFC7F8C"/>
    <w:rsid w:val="6EFF5CCE"/>
    <w:rsid w:val="6F046E40"/>
    <w:rsid w:val="6F06705D"/>
    <w:rsid w:val="6F084B83"/>
    <w:rsid w:val="6F0D15DF"/>
    <w:rsid w:val="6F0F4163"/>
    <w:rsid w:val="6F0F5F11"/>
    <w:rsid w:val="6F141779"/>
    <w:rsid w:val="6F1654F2"/>
    <w:rsid w:val="6F1718B7"/>
    <w:rsid w:val="6F247756"/>
    <w:rsid w:val="6F257B89"/>
    <w:rsid w:val="6F2B0871"/>
    <w:rsid w:val="6F304979"/>
    <w:rsid w:val="6F370FC4"/>
    <w:rsid w:val="6F392F8E"/>
    <w:rsid w:val="6F3E2352"/>
    <w:rsid w:val="6F3E5FCD"/>
    <w:rsid w:val="6F413BF1"/>
    <w:rsid w:val="6F435BBB"/>
    <w:rsid w:val="6F4436E1"/>
    <w:rsid w:val="6F484143"/>
    <w:rsid w:val="6F502086"/>
    <w:rsid w:val="6F51609F"/>
    <w:rsid w:val="6F574271"/>
    <w:rsid w:val="6F593630"/>
    <w:rsid w:val="6F5C0A2B"/>
    <w:rsid w:val="6F5C4ECE"/>
    <w:rsid w:val="6F5D0D50"/>
    <w:rsid w:val="6F5E47A3"/>
    <w:rsid w:val="6F6124E5"/>
    <w:rsid w:val="6F653758"/>
    <w:rsid w:val="6F667AFB"/>
    <w:rsid w:val="6F683873"/>
    <w:rsid w:val="6F750F26"/>
    <w:rsid w:val="6F7A7103"/>
    <w:rsid w:val="6F7B72E9"/>
    <w:rsid w:val="6F8445D4"/>
    <w:rsid w:val="6F865AA7"/>
    <w:rsid w:val="6F8A5598"/>
    <w:rsid w:val="6F8D5C1A"/>
    <w:rsid w:val="6F8E342E"/>
    <w:rsid w:val="6F975F07"/>
    <w:rsid w:val="6F977CB5"/>
    <w:rsid w:val="6F991C7F"/>
    <w:rsid w:val="6FA0300D"/>
    <w:rsid w:val="6FA20366"/>
    <w:rsid w:val="6FA8133A"/>
    <w:rsid w:val="6FA81EC2"/>
    <w:rsid w:val="6FAC19B2"/>
    <w:rsid w:val="6FB2689C"/>
    <w:rsid w:val="6FB937F0"/>
    <w:rsid w:val="6FB940CF"/>
    <w:rsid w:val="6FC0720B"/>
    <w:rsid w:val="6FC52A74"/>
    <w:rsid w:val="6FC565D0"/>
    <w:rsid w:val="6FCA008A"/>
    <w:rsid w:val="6FCC3E02"/>
    <w:rsid w:val="6FCF56A0"/>
    <w:rsid w:val="6FCF744E"/>
    <w:rsid w:val="6FD27139"/>
    <w:rsid w:val="6FD35191"/>
    <w:rsid w:val="6FDE3B35"/>
    <w:rsid w:val="6FDE58E3"/>
    <w:rsid w:val="6FE32EFA"/>
    <w:rsid w:val="6FE4739E"/>
    <w:rsid w:val="6FE74798"/>
    <w:rsid w:val="6FEC0000"/>
    <w:rsid w:val="6FEC0BE2"/>
    <w:rsid w:val="6FF26DA9"/>
    <w:rsid w:val="6FF60C27"/>
    <w:rsid w:val="6FFD045F"/>
    <w:rsid w:val="6FFE7D34"/>
    <w:rsid w:val="70024DE8"/>
    <w:rsid w:val="700A66D9"/>
    <w:rsid w:val="701632CF"/>
    <w:rsid w:val="701E2184"/>
    <w:rsid w:val="702754DC"/>
    <w:rsid w:val="702A0B29"/>
    <w:rsid w:val="702C62AB"/>
    <w:rsid w:val="702E29A8"/>
    <w:rsid w:val="703419A7"/>
    <w:rsid w:val="703802C8"/>
    <w:rsid w:val="704240C4"/>
    <w:rsid w:val="70473489"/>
    <w:rsid w:val="704C6CF1"/>
    <w:rsid w:val="704E663D"/>
    <w:rsid w:val="704F058F"/>
    <w:rsid w:val="70512559"/>
    <w:rsid w:val="705160B5"/>
    <w:rsid w:val="705636CC"/>
    <w:rsid w:val="70585696"/>
    <w:rsid w:val="70587444"/>
    <w:rsid w:val="705A140E"/>
    <w:rsid w:val="706109EE"/>
    <w:rsid w:val="7064228D"/>
    <w:rsid w:val="70691651"/>
    <w:rsid w:val="706B73FC"/>
    <w:rsid w:val="70710506"/>
    <w:rsid w:val="70764214"/>
    <w:rsid w:val="70781894"/>
    <w:rsid w:val="707D334E"/>
    <w:rsid w:val="708446DD"/>
    <w:rsid w:val="7084648B"/>
    <w:rsid w:val="708C39AE"/>
    <w:rsid w:val="70952446"/>
    <w:rsid w:val="709A3F00"/>
    <w:rsid w:val="70A00DEB"/>
    <w:rsid w:val="70A24B63"/>
    <w:rsid w:val="70A304C1"/>
    <w:rsid w:val="70B623BC"/>
    <w:rsid w:val="70BA1EAD"/>
    <w:rsid w:val="70BD374B"/>
    <w:rsid w:val="70C1123E"/>
    <w:rsid w:val="70C40F7D"/>
    <w:rsid w:val="70CC0E40"/>
    <w:rsid w:val="70CD2B48"/>
    <w:rsid w:val="70D171F6"/>
    <w:rsid w:val="70D215C6"/>
    <w:rsid w:val="70D6480D"/>
    <w:rsid w:val="70D72A5F"/>
    <w:rsid w:val="70DE203F"/>
    <w:rsid w:val="70DF36C1"/>
    <w:rsid w:val="70E138DD"/>
    <w:rsid w:val="70E7584C"/>
    <w:rsid w:val="70FF3D63"/>
    <w:rsid w:val="71020071"/>
    <w:rsid w:val="71031AA6"/>
    <w:rsid w:val="71033854"/>
    <w:rsid w:val="71096990"/>
    <w:rsid w:val="710C022E"/>
    <w:rsid w:val="710F044A"/>
    <w:rsid w:val="71126EE7"/>
    <w:rsid w:val="711F61B4"/>
    <w:rsid w:val="711F7F62"/>
    <w:rsid w:val="71225007"/>
    <w:rsid w:val="71265794"/>
    <w:rsid w:val="712B6906"/>
    <w:rsid w:val="712F289B"/>
    <w:rsid w:val="7130216F"/>
    <w:rsid w:val="71353C29"/>
    <w:rsid w:val="713559D7"/>
    <w:rsid w:val="7137174F"/>
    <w:rsid w:val="713A123F"/>
    <w:rsid w:val="713D1D16"/>
    <w:rsid w:val="71467BE4"/>
    <w:rsid w:val="714A1482"/>
    <w:rsid w:val="714B0D57"/>
    <w:rsid w:val="71551BD5"/>
    <w:rsid w:val="71600CA6"/>
    <w:rsid w:val="716360A0"/>
    <w:rsid w:val="71654E27"/>
    <w:rsid w:val="716E1E47"/>
    <w:rsid w:val="71724EAC"/>
    <w:rsid w:val="717958C4"/>
    <w:rsid w:val="71807A85"/>
    <w:rsid w:val="71834994"/>
    <w:rsid w:val="71883D59"/>
    <w:rsid w:val="71956476"/>
    <w:rsid w:val="71970440"/>
    <w:rsid w:val="719E73CE"/>
    <w:rsid w:val="71A60683"/>
    <w:rsid w:val="71AD37BF"/>
    <w:rsid w:val="71B20DD6"/>
    <w:rsid w:val="71B27028"/>
    <w:rsid w:val="71B35E90"/>
    <w:rsid w:val="71B903B6"/>
    <w:rsid w:val="71BB2380"/>
    <w:rsid w:val="71BC1C54"/>
    <w:rsid w:val="71BE777B"/>
    <w:rsid w:val="71C034F3"/>
    <w:rsid w:val="71C50B09"/>
    <w:rsid w:val="71C823A7"/>
    <w:rsid w:val="71CD20B4"/>
    <w:rsid w:val="71CD5C10"/>
    <w:rsid w:val="71D40D4C"/>
    <w:rsid w:val="71D7083C"/>
    <w:rsid w:val="71DB657E"/>
    <w:rsid w:val="71DC40A5"/>
    <w:rsid w:val="71DE606F"/>
    <w:rsid w:val="71E3138C"/>
    <w:rsid w:val="71E60A7F"/>
    <w:rsid w:val="71E76CD1"/>
    <w:rsid w:val="71EA4A14"/>
    <w:rsid w:val="71F6500C"/>
    <w:rsid w:val="71F87130"/>
    <w:rsid w:val="71FD64F5"/>
    <w:rsid w:val="720D24B0"/>
    <w:rsid w:val="72113D4E"/>
    <w:rsid w:val="721B2E1F"/>
    <w:rsid w:val="721D6B97"/>
    <w:rsid w:val="721F290F"/>
    <w:rsid w:val="72275320"/>
    <w:rsid w:val="7229553C"/>
    <w:rsid w:val="722A4E10"/>
    <w:rsid w:val="722E4900"/>
    <w:rsid w:val="722F68CA"/>
    <w:rsid w:val="723914F7"/>
    <w:rsid w:val="723B0DCB"/>
    <w:rsid w:val="723D4B43"/>
    <w:rsid w:val="723E2669"/>
    <w:rsid w:val="72402885"/>
    <w:rsid w:val="724265FE"/>
    <w:rsid w:val="724A3704"/>
    <w:rsid w:val="725974A3"/>
    <w:rsid w:val="725A130B"/>
    <w:rsid w:val="725B146D"/>
    <w:rsid w:val="726245AA"/>
    <w:rsid w:val="72641B5B"/>
    <w:rsid w:val="72671BC0"/>
    <w:rsid w:val="72691DDC"/>
    <w:rsid w:val="72695938"/>
    <w:rsid w:val="726A345E"/>
    <w:rsid w:val="726B5B54"/>
    <w:rsid w:val="726C367A"/>
    <w:rsid w:val="726C71D7"/>
    <w:rsid w:val="72760055"/>
    <w:rsid w:val="72785B7B"/>
    <w:rsid w:val="72800ED4"/>
    <w:rsid w:val="72802C82"/>
    <w:rsid w:val="72824C4C"/>
    <w:rsid w:val="72834520"/>
    <w:rsid w:val="72873462"/>
    <w:rsid w:val="728C1627"/>
    <w:rsid w:val="728E516B"/>
    <w:rsid w:val="72914E8F"/>
    <w:rsid w:val="72A11576"/>
    <w:rsid w:val="72A2214B"/>
    <w:rsid w:val="72A526E9"/>
    <w:rsid w:val="72A746B3"/>
    <w:rsid w:val="72A93F87"/>
    <w:rsid w:val="72AB1549"/>
    <w:rsid w:val="72B03567"/>
    <w:rsid w:val="72B8241C"/>
    <w:rsid w:val="72B97C37"/>
    <w:rsid w:val="72BF7C4E"/>
    <w:rsid w:val="72C963D7"/>
    <w:rsid w:val="72CC4119"/>
    <w:rsid w:val="72D54D7C"/>
    <w:rsid w:val="72DD1E82"/>
    <w:rsid w:val="72E2292C"/>
    <w:rsid w:val="72E43D8B"/>
    <w:rsid w:val="72EF6671"/>
    <w:rsid w:val="72F62F44"/>
    <w:rsid w:val="72F86822"/>
    <w:rsid w:val="72FE3595"/>
    <w:rsid w:val="730218E9"/>
    <w:rsid w:val="73076EFF"/>
    <w:rsid w:val="730C2768"/>
    <w:rsid w:val="730E028E"/>
    <w:rsid w:val="730F1B13"/>
    <w:rsid w:val="731764E9"/>
    <w:rsid w:val="7318110C"/>
    <w:rsid w:val="7318735E"/>
    <w:rsid w:val="731E2BC7"/>
    <w:rsid w:val="731F06ED"/>
    <w:rsid w:val="731F249B"/>
    <w:rsid w:val="73216213"/>
    <w:rsid w:val="732775A1"/>
    <w:rsid w:val="7329331A"/>
    <w:rsid w:val="732A2E71"/>
    <w:rsid w:val="732B7092"/>
    <w:rsid w:val="7336722F"/>
    <w:rsid w:val="733811D8"/>
    <w:rsid w:val="733F6699"/>
    <w:rsid w:val="73440153"/>
    <w:rsid w:val="73441F01"/>
    <w:rsid w:val="73497518"/>
    <w:rsid w:val="73530396"/>
    <w:rsid w:val="735C36EF"/>
    <w:rsid w:val="73612AB3"/>
    <w:rsid w:val="73614861"/>
    <w:rsid w:val="73740A39"/>
    <w:rsid w:val="73797DFD"/>
    <w:rsid w:val="737E24ED"/>
    <w:rsid w:val="73840550"/>
    <w:rsid w:val="73852C46"/>
    <w:rsid w:val="738D1AFA"/>
    <w:rsid w:val="73915877"/>
    <w:rsid w:val="73972979"/>
    <w:rsid w:val="73993FFB"/>
    <w:rsid w:val="73A17354"/>
    <w:rsid w:val="73A40BF2"/>
    <w:rsid w:val="73A56290"/>
    <w:rsid w:val="73A66718"/>
    <w:rsid w:val="73AF381F"/>
    <w:rsid w:val="73B02001"/>
    <w:rsid w:val="73B2330F"/>
    <w:rsid w:val="73B54BAD"/>
    <w:rsid w:val="73C86317"/>
    <w:rsid w:val="73CB617F"/>
    <w:rsid w:val="73CF5C6F"/>
    <w:rsid w:val="73D9089C"/>
    <w:rsid w:val="73E060CE"/>
    <w:rsid w:val="73E3796C"/>
    <w:rsid w:val="73EF00BF"/>
    <w:rsid w:val="73F25E01"/>
    <w:rsid w:val="73F41B79"/>
    <w:rsid w:val="73F73418"/>
    <w:rsid w:val="73FC0F7D"/>
    <w:rsid w:val="73FE6554"/>
    <w:rsid w:val="740075DD"/>
    <w:rsid w:val="74031DBD"/>
    <w:rsid w:val="740F42BD"/>
    <w:rsid w:val="74130252"/>
    <w:rsid w:val="741D2E7E"/>
    <w:rsid w:val="7420296E"/>
    <w:rsid w:val="74203020"/>
    <w:rsid w:val="74220495"/>
    <w:rsid w:val="7428537F"/>
    <w:rsid w:val="742F2BB2"/>
    <w:rsid w:val="742F670E"/>
    <w:rsid w:val="74322196"/>
    <w:rsid w:val="74343D24"/>
    <w:rsid w:val="74363F40"/>
    <w:rsid w:val="74367A9C"/>
    <w:rsid w:val="7439758C"/>
    <w:rsid w:val="744321B9"/>
    <w:rsid w:val="74454183"/>
    <w:rsid w:val="744A79EB"/>
    <w:rsid w:val="744C72C0"/>
    <w:rsid w:val="744E128A"/>
    <w:rsid w:val="745148D6"/>
    <w:rsid w:val="74542618"/>
    <w:rsid w:val="74566390"/>
    <w:rsid w:val="74575C64"/>
    <w:rsid w:val="745E5245"/>
    <w:rsid w:val="745F3497"/>
    <w:rsid w:val="746565D3"/>
    <w:rsid w:val="746F7452"/>
    <w:rsid w:val="747527E1"/>
    <w:rsid w:val="74806A79"/>
    <w:rsid w:val="7487479C"/>
    <w:rsid w:val="7487654A"/>
    <w:rsid w:val="7490551B"/>
    <w:rsid w:val="749173C8"/>
    <w:rsid w:val="74A0760B"/>
    <w:rsid w:val="74A662B1"/>
    <w:rsid w:val="74A72748"/>
    <w:rsid w:val="74AE74E6"/>
    <w:rsid w:val="74B30B29"/>
    <w:rsid w:val="74B35591"/>
    <w:rsid w:val="74B51309"/>
    <w:rsid w:val="74BD01BD"/>
    <w:rsid w:val="74BE7A92"/>
    <w:rsid w:val="74C27582"/>
    <w:rsid w:val="74C6415A"/>
    <w:rsid w:val="74CC6652"/>
    <w:rsid w:val="74D3178F"/>
    <w:rsid w:val="74E25E76"/>
    <w:rsid w:val="74E97204"/>
    <w:rsid w:val="74EA0887"/>
    <w:rsid w:val="74EE0377"/>
    <w:rsid w:val="74EF26AC"/>
    <w:rsid w:val="74FC6F38"/>
    <w:rsid w:val="74FF07D6"/>
    <w:rsid w:val="75096F5F"/>
    <w:rsid w:val="75100706"/>
    <w:rsid w:val="75104791"/>
    <w:rsid w:val="751122B7"/>
    <w:rsid w:val="75197F8B"/>
    <w:rsid w:val="751B4EE4"/>
    <w:rsid w:val="75324707"/>
    <w:rsid w:val="753F0BD2"/>
    <w:rsid w:val="753F6E24"/>
    <w:rsid w:val="75412B9C"/>
    <w:rsid w:val="754937FF"/>
    <w:rsid w:val="754E52B9"/>
    <w:rsid w:val="75530B22"/>
    <w:rsid w:val="755503F6"/>
    <w:rsid w:val="755723C0"/>
    <w:rsid w:val="755D54FC"/>
    <w:rsid w:val="7561323F"/>
    <w:rsid w:val="75622B13"/>
    <w:rsid w:val="75680129"/>
    <w:rsid w:val="7568637B"/>
    <w:rsid w:val="75752846"/>
    <w:rsid w:val="757A1C0A"/>
    <w:rsid w:val="757A7E5C"/>
    <w:rsid w:val="757C043C"/>
    <w:rsid w:val="757F5473"/>
    <w:rsid w:val="758331B5"/>
    <w:rsid w:val="758F7D6B"/>
    <w:rsid w:val="759E7FEF"/>
    <w:rsid w:val="75AD0232"/>
    <w:rsid w:val="75B0387E"/>
    <w:rsid w:val="75B710B1"/>
    <w:rsid w:val="75B72E5F"/>
    <w:rsid w:val="75B93C1B"/>
    <w:rsid w:val="75BA294F"/>
    <w:rsid w:val="75BE5F9B"/>
    <w:rsid w:val="75C612F4"/>
    <w:rsid w:val="75D532E5"/>
    <w:rsid w:val="75D752AF"/>
    <w:rsid w:val="75DD2DA3"/>
    <w:rsid w:val="75DD762C"/>
    <w:rsid w:val="75E40392"/>
    <w:rsid w:val="75E91215"/>
    <w:rsid w:val="75EB0D5A"/>
    <w:rsid w:val="75EC750B"/>
    <w:rsid w:val="75ED062E"/>
    <w:rsid w:val="75ED4AD2"/>
    <w:rsid w:val="75EF084A"/>
    <w:rsid w:val="75FB2615"/>
    <w:rsid w:val="75FC4D15"/>
    <w:rsid w:val="76051E1C"/>
    <w:rsid w:val="7608190C"/>
    <w:rsid w:val="760836BA"/>
    <w:rsid w:val="760D37EB"/>
    <w:rsid w:val="76134845"/>
    <w:rsid w:val="761402B1"/>
    <w:rsid w:val="761756AB"/>
    <w:rsid w:val="761B2048"/>
    <w:rsid w:val="762027B2"/>
    <w:rsid w:val="762322A2"/>
    <w:rsid w:val="76236746"/>
    <w:rsid w:val="762A1882"/>
    <w:rsid w:val="762B090A"/>
    <w:rsid w:val="762B1157"/>
    <w:rsid w:val="762B73A9"/>
    <w:rsid w:val="762C12D2"/>
    <w:rsid w:val="762C55FB"/>
    <w:rsid w:val="76326989"/>
    <w:rsid w:val="76361656"/>
    <w:rsid w:val="763922F4"/>
    <w:rsid w:val="763E0EEF"/>
    <w:rsid w:val="76402E54"/>
    <w:rsid w:val="76424E1E"/>
    <w:rsid w:val="764741E2"/>
    <w:rsid w:val="76481D09"/>
    <w:rsid w:val="764A782F"/>
    <w:rsid w:val="764D731F"/>
    <w:rsid w:val="765014D9"/>
    <w:rsid w:val="765B435D"/>
    <w:rsid w:val="765C21DE"/>
    <w:rsid w:val="765C57B4"/>
    <w:rsid w:val="765E777E"/>
    <w:rsid w:val="76621D63"/>
    <w:rsid w:val="7662726E"/>
    <w:rsid w:val="766528BB"/>
    <w:rsid w:val="76654669"/>
    <w:rsid w:val="76684159"/>
    <w:rsid w:val="766905FD"/>
    <w:rsid w:val="766A7ED1"/>
    <w:rsid w:val="766D176F"/>
    <w:rsid w:val="766F7295"/>
    <w:rsid w:val="76760624"/>
    <w:rsid w:val="76832D41"/>
    <w:rsid w:val="768947FB"/>
    <w:rsid w:val="768E1E11"/>
    <w:rsid w:val="76905B4B"/>
    <w:rsid w:val="76911902"/>
    <w:rsid w:val="76944F4E"/>
    <w:rsid w:val="769A6A08"/>
    <w:rsid w:val="769B008A"/>
    <w:rsid w:val="769C4061"/>
    <w:rsid w:val="76A50F09"/>
    <w:rsid w:val="76AC04E9"/>
    <w:rsid w:val="76AC1B32"/>
    <w:rsid w:val="76AD7DBE"/>
    <w:rsid w:val="76B64EC4"/>
    <w:rsid w:val="76BD26F7"/>
    <w:rsid w:val="76BE1FCB"/>
    <w:rsid w:val="76C770D1"/>
    <w:rsid w:val="76C9109B"/>
    <w:rsid w:val="76CA0970"/>
    <w:rsid w:val="76CA6401"/>
    <w:rsid w:val="76D96E05"/>
    <w:rsid w:val="76DA5057"/>
    <w:rsid w:val="76DD4B47"/>
    <w:rsid w:val="76E77774"/>
    <w:rsid w:val="76EC6B38"/>
    <w:rsid w:val="76F0554B"/>
    <w:rsid w:val="76F36118"/>
    <w:rsid w:val="76F52136"/>
    <w:rsid w:val="76F8372F"/>
    <w:rsid w:val="76F854DD"/>
    <w:rsid w:val="77020109"/>
    <w:rsid w:val="770420D4"/>
    <w:rsid w:val="770E4D00"/>
    <w:rsid w:val="77170059"/>
    <w:rsid w:val="77197FA1"/>
    <w:rsid w:val="77212C85"/>
    <w:rsid w:val="772938E8"/>
    <w:rsid w:val="772C5186"/>
    <w:rsid w:val="773109EF"/>
    <w:rsid w:val="77342251"/>
    <w:rsid w:val="773504DF"/>
    <w:rsid w:val="773A5AF5"/>
    <w:rsid w:val="773C7ABF"/>
    <w:rsid w:val="773D7394"/>
    <w:rsid w:val="774150D6"/>
    <w:rsid w:val="77440722"/>
    <w:rsid w:val="77446974"/>
    <w:rsid w:val="774B075C"/>
    <w:rsid w:val="774C75D7"/>
    <w:rsid w:val="774E334F"/>
    <w:rsid w:val="77562203"/>
    <w:rsid w:val="775766A7"/>
    <w:rsid w:val="775C3CBE"/>
    <w:rsid w:val="776155EB"/>
    <w:rsid w:val="7763329E"/>
    <w:rsid w:val="776B3F01"/>
    <w:rsid w:val="776D5ECB"/>
    <w:rsid w:val="777234E1"/>
    <w:rsid w:val="77752FD1"/>
    <w:rsid w:val="77764653"/>
    <w:rsid w:val="777C4360"/>
    <w:rsid w:val="777D1E86"/>
    <w:rsid w:val="77896DD2"/>
    <w:rsid w:val="77901BB9"/>
    <w:rsid w:val="779276DF"/>
    <w:rsid w:val="77935205"/>
    <w:rsid w:val="7798281C"/>
    <w:rsid w:val="779A2A38"/>
    <w:rsid w:val="779D6084"/>
    <w:rsid w:val="77A13DC6"/>
    <w:rsid w:val="77A86F03"/>
    <w:rsid w:val="77AD62C7"/>
    <w:rsid w:val="77AE203F"/>
    <w:rsid w:val="77B51620"/>
    <w:rsid w:val="77B91110"/>
    <w:rsid w:val="77BF424C"/>
    <w:rsid w:val="77C019A9"/>
    <w:rsid w:val="77C16217"/>
    <w:rsid w:val="77C402E0"/>
    <w:rsid w:val="77C655DB"/>
    <w:rsid w:val="77CA0A7C"/>
    <w:rsid w:val="77CB0E43"/>
    <w:rsid w:val="77CF345E"/>
    <w:rsid w:val="77D73344"/>
    <w:rsid w:val="77DA1086"/>
    <w:rsid w:val="77DE2925"/>
    <w:rsid w:val="77E67A2B"/>
    <w:rsid w:val="77E837A3"/>
    <w:rsid w:val="77EB3293"/>
    <w:rsid w:val="77F263D0"/>
    <w:rsid w:val="77F43248"/>
    <w:rsid w:val="77F43EF6"/>
    <w:rsid w:val="78055D58"/>
    <w:rsid w:val="78061E7B"/>
    <w:rsid w:val="780B1240"/>
    <w:rsid w:val="780F6F82"/>
    <w:rsid w:val="78130758"/>
    <w:rsid w:val="781520BE"/>
    <w:rsid w:val="781A76D5"/>
    <w:rsid w:val="781C344D"/>
    <w:rsid w:val="781F4CEB"/>
    <w:rsid w:val="78283BA0"/>
    <w:rsid w:val="782A7F03"/>
    <w:rsid w:val="78324A1E"/>
    <w:rsid w:val="78342545"/>
    <w:rsid w:val="783553B5"/>
    <w:rsid w:val="7840713B"/>
    <w:rsid w:val="78414C61"/>
    <w:rsid w:val="78436C2C"/>
    <w:rsid w:val="784529A4"/>
    <w:rsid w:val="78462278"/>
    <w:rsid w:val="7847671C"/>
    <w:rsid w:val="784F55D0"/>
    <w:rsid w:val="78574485"/>
    <w:rsid w:val="785B3F75"/>
    <w:rsid w:val="785C1A9B"/>
    <w:rsid w:val="785E3900"/>
    <w:rsid w:val="78670B6C"/>
    <w:rsid w:val="78685455"/>
    <w:rsid w:val="786D3CA8"/>
    <w:rsid w:val="78713799"/>
    <w:rsid w:val="78714583"/>
    <w:rsid w:val="78743289"/>
    <w:rsid w:val="7879089F"/>
    <w:rsid w:val="788C2381"/>
    <w:rsid w:val="789456D9"/>
    <w:rsid w:val="789B25C4"/>
    <w:rsid w:val="78A27DF6"/>
    <w:rsid w:val="78A43B6E"/>
    <w:rsid w:val="78AC2A23"/>
    <w:rsid w:val="78AC47D1"/>
    <w:rsid w:val="78AF42C1"/>
    <w:rsid w:val="78B813C8"/>
    <w:rsid w:val="78BE2756"/>
    <w:rsid w:val="78C0027C"/>
    <w:rsid w:val="78C7785D"/>
    <w:rsid w:val="78CD525D"/>
    <w:rsid w:val="78CF4EC4"/>
    <w:rsid w:val="78D45AD6"/>
    <w:rsid w:val="78DE0702"/>
    <w:rsid w:val="78E17AF7"/>
    <w:rsid w:val="78E75809"/>
    <w:rsid w:val="78EA354B"/>
    <w:rsid w:val="78EC2E1F"/>
    <w:rsid w:val="78F10436"/>
    <w:rsid w:val="78F41CD4"/>
    <w:rsid w:val="78F817C4"/>
    <w:rsid w:val="790740FD"/>
    <w:rsid w:val="790E2D96"/>
    <w:rsid w:val="79195106"/>
    <w:rsid w:val="791F31F5"/>
    <w:rsid w:val="792702FB"/>
    <w:rsid w:val="79273E57"/>
    <w:rsid w:val="792C5912"/>
    <w:rsid w:val="792C76C0"/>
    <w:rsid w:val="792E168A"/>
    <w:rsid w:val="79330A4E"/>
    <w:rsid w:val="794763E3"/>
    <w:rsid w:val="794964C4"/>
    <w:rsid w:val="794A5D98"/>
    <w:rsid w:val="795135CA"/>
    <w:rsid w:val="79515378"/>
    <w:rsid w:val="79616DC4"/>
    <w:rsid w:val="79646E59"/>
    <w:rsid w:val="79652BD2"/>
    <w:rsid w:val="79690914"/>
    <w:rsid w:val="796B01E8"/>
    <w:rsid w:val="796D2246"/>
    <w:rsid w:val="796E5F2A"/>
    <w:rsid w:val="797177C8"/>
    <w:rsid w:val="797B41A3"/>
    <w:rsid w:val="797D7F1B"/>
    <w:rsid w:val="798412AA"/>
    <w:rsid w:val="798E037A"/>
    <w:rsid w:val="79927E6B"/>
    <w:rsid w:val="79960FDD"/>
    <w:rsid w:val="79987C90"/>
    <w:rsid w:val="799A0ACD"/>
    <w:rsid w:val="799F465D"/>
    <w:rsid w:val="79AD6A52"/>
    <w:rsid w:val="79B37DE1"/>
    <w:rsid w:val="79B576B5"/>
    <w:rsid w:val="79C478F8"/>
    <w:rsid w:val="79C8388C"/>
    <w:rsid w:val="79C913B2"/>
    <w:rsid w:val="79CE69C9"/>
    <w:rsid w:val="79D00993"/>
    <w:rsid w:val="79D0629D"/>
    <w:rsid w:val="79D35D8D"/>
    <w:rsid w:val="79DD09BA"/>
    <w:rsid w:val="79DD6C0C"/>
    <w:rsid w:val="79DF0BD6"/>
    <w:rsid w:val="79E61F64"/>
    <w:rsid w:val="79E820BE"/>
    <w:rsid w:val="79EB1329"/>
    <w:rsid w:val="79ED50A1"/>
    <w:rsid w:val="79EE2BC7"/>
    <w:rsid w:val="7A04063C"/>
    <w:rsid w:val="7A044199"/>
    <w:rsid w:val="7A0917AF"/>
    <w:rsid w:val="7A095DCE"/>
    <w:rsid w:val="7A0A5C53"/>
    <w:rsid w:val="7A0E55E5"/>
    <w:rsid w:val="7A102B3D"/>
    <w:rsid w:val="7A140880"/>
    <w:rsid w:val="7A230AC3"/>
    <w:rsid w:val="7A252A8D"/>
    <w:rsid w:val="7A262361"/>
    <w:rsid w:val="7A27429B"/>
    <w:rsid w:val="7A28761C"/>
    <w:rsid w:val="7A2B7977"/>
    <w:rsid w:val="7A301431"/>
    <w:rsid w:val="7A3031E0"/>
    <w:rsid w:val="7A304F8E"/>
    <w:rsid w:val="7A432F13"/>
    <w:rsid w:val="7A4A42A1"/>
    <w:rsid w:val="7A4E3666"/>
    <w:rsid w:val="7A5C2227"/>
    <w:rsid w:val="7A5E0E2C"/>
    <w:rsid w:val="7A5E5F9F"/>
    <w:rsid w:val="7A603AC5"/>
    <w:rsid w:val="7A6335B5"/>
    <w:rsid w:val="7A6510B3"/>
    <w:rsid w:val="7A6510DB"/>
    <w:rsid w:val="7A792DD8"/>
    <w:rsid w:val="7A794B87"/>
    <w:rsid w:val="7A7A20E2"/>
    <w:rsid w:val="7A7B08FF"/>
    <w:rsid w:val="7A7C01D3"/>
    <w:rsid w:val="7A85665E"/>
    <w:rsid w:val="7A862644"/>
    <w:rsid w:val="7A911ED0"/>
    <w:rsid w:val="7A9714CA"/>
    <w:rsid w:val="7A97325F"/>
    <w:rsid w:val="7A9B68AB"/>
    <w:rsid w:val="7A9D6AC7"/>
    <w:rsid w:val="7AA53BCD"/>
    <w:rsid w:val="7AAA4D40"/>
    <w:rsid w:val="7AAB2866"/>
    <w:rsid w:val="7AB83901"/>
    <w:rsid w:val="7AC322A6"/>
    <w:rsid w:val="7AC35E02"/>
    <w:rsid w:val="7AC53928"/>
    <w:rsid w:val="7AC758F2"/>
    <w:rsid w:val="7ACA7190"/>
    <w:rsid w:val="7ACB4CB6"/>
    <w:rsid w:val="7ACD0A2E"/>
    <w:rsid w:val="7ACE4ED2"/>
    <w:rsid w:val="7AD1051F"/>
    <w:rsid w:val="7AD324E9"/>
    <w:rsid w:val="7AD4000F"/>
    <w:rsid w:val="7AD973D3"/>
    <w:rsid w:val="7ADC6EC3"/>
    <w:rsid w:val="7AE244DA"/>
    <w:rsid w:val="7AEF46D7"/>
    <w:rsid w:val="7AF07139"/>
    <w:rsid w:val="7AF16AD7"/>
    <w:rsid w:val="7B022DCE"/>
    <w:rsid w:val="7B0326A2"/>
    <w:rsid w:val="7B072192"/>
    <w:rsid w:val="7B0C1557"/>
    <w:rsid w:val="7B114DBF"/>
    <w:rsid w:val="7B116B6D"/>
    <w:rsid w:val="7B1B3E90"/>
    <w:rsid w:val="7B1E74DC"/>
    <w:rsid w:val="7B2F16E9"/>
    <w:rsid w:val="7B2F250F"/>
    <w:rsid w:val="7B310FBD"/>
    <w:rsid w:val="7B3659F1"/>
    <w:rsid w:val="7B3960C4"/>
    <w:rsid w:val="7B4128F5"/>
    <w:rsid w:val="7B450F17"/>
    <w:rsid w:val="7B474C85"/>
    <w:rsid w:val="7B4927AB"/>
    <w:rsid w:val="7B524756"/>
    <w:rsid w:val="7B551150"/>
    <w:rsid w:val="7B5A49B8"/>
    <w:rsid w:val="7B5A6766"/>
    <w:rsid w:val="7B65510B"/>
    <w:rsid w:val="7B66335D"/>
    <w:rsid w:val="7B681A01"/>
    <w:rsid w:val="7B7517F2"/>
    <w:rsid w:val="7B77646C"/>
    <w:rsid w:val="7B786BEC"/>
    <w:rsid w:val="7B7A6E08"/>
    <w:rsid w:val="7B86410F"/>
    <w:rsid w:val="7B915F00"/>
    <w:rsid w:val="7B94617F"/>
    <w:rsid w:val="7B9B4B89"/>
    <w:rsid w:val="7BA7127F"/>
    <w:rsid w:val="7BAB0715"/>
    <w:rsid w:val="7BB20608"/>
    <w:rsid w:val="7BB33D05"/>
    <w:rsid w:val="7BBA0FB3"/>
    <w:rsid w:val="7BBD0AA3"/>
    <w:rsid w:val="7BBF4D5C"/>
    <w:rsid w:val="7BC167E5"/>
    <w:rsid w:val="7BCE0F02"/>
    <w:rsid w:val="7BCF5A02"/>
    <w:rsid w:val="7BD3539E"/>
    <w:rsid w:val="7BD5403F"/>
    <w:rsid w:val="7BD77DB7"/>
    <w:rsid w:val="7BE75B20"/>
    <w:rsid w:val="7BEB1AB4"/>
    <w:rsid w:val="7BEB3862"/>
    <w:rsid w:val="7BEB5610"/>
    <w:rsid w:val="7BFA1CF7"/>
    <w:rsid w:val="7C09018C"/>
    <w:rsid w:val="7C0B7A60"/>
    <w:rsid w:val="7C1F175E"/>
    <w:rsid w:val="7C211032"/>
    <w:rsid w:val="7C245596"/>
    <w:rsid w:val="7C286864"/>
    <w:rsid w:val="7C2B3C5E"/>
    <w:rsid w:val="7C321491"/>
    <w:rsid w:val="7C3A20F4"/>
    <w:rsid w:val="7C3E7E36"/>
    <w:rsid w:val="7C47478B"/>
    <w:rsid w:val="7C482A62"/>
    <w:rsid w:val="7C4D0079"/>
    <w:rsid w:val="7C52743D"/>
    <w:rsid w:val="7C570EF7"/>
    <w:rsid w:val="7C574A54"/>
    <w:rsid w:val="7C5B09E8"/>
    <w:rsid w:val="7C5E4034"/>
    <w:rsid w:val="7C6158D2"/>
    <w:rsid w:val="7C7C270C"/>
    <w:rsid w:val="7C7E46D6"/>
    <w:rsid w:val="7C80044E"/>
    <w:rsid w:val="7C815F74"/>
    <w:rsid w:val="7C9020F0"/>
    <w:rsid w:val="7C907F65"/>
    <w:rsid w:val="7C9C1C43"/>
    <w:rsid w:val="7C9C2DAE"/>
    <w:rsid w:val="7C9E08D4"/>
    <w:rsid w:val="7CAB4D9F"/>
    <w:rsid w:val="7CAD4FBB"/>
    <w:rsid w:val="7CB02B6A"/>
    <w:rsid w:val="7CB1685A"/>
    <w:rsid w:val="7CB42860"/>
    <w:rsid w:val="7CB504C8"/>
    <w:rsid w:val="7CBC51FE"/>
    <w:rsid w:val="7CBE4AD3"/>
    <w:rsid w:val="7CC059B8"/>
    <w:rsid w:val="7CC3033B"/>
    <w:rsid w:val="7CC40628"/>
    <w:rsid w:val="7CC52305"/>
    <w:rsid w:val="7CC83BA3"/>
    <w:rsid w:val="7CCF0A8E"/>
    <w:rsid w:val="7CD97B5E"/>
    <w:rsid w:val="7CDD764F"/>
    <w:rsid w:val="7CE54755"/>
    <w:rsid w:val="7CEF2EDE"/>
    <w:rsid w:val="7D021F92"/>
    <w:rsid w:val="7D0270B5"/>
    <w:rsid w:val="7D0A5F6A"/>
    <w:rsid w:val="7D0B583E"/>
    <w:rsid w:val="7D1312C2"/>
    <w:rsid w:val="7D142945"/>
    <w:rsid w:val="7D1666BD"/>
    <w:rsid w:val="7D1C7A4B"/>
    <w:rsid w:val="7D1E5E01"/>
    <w:rsid w:val="7D225061"/>
    <w:rsid w:val="7D225E49"/>
    <w:rsid w:val="7D24527D"/>
    <w:rsid w:val="7D284642"/>
    <w:rsid w:val="7D2F777E"/>
    <w:rsid w:val="7D315490"/>
    <w:rsid w:val="7D36003F"/>
    <w:rsid w:val="7D360B0D"/>
    <w:rsid w:val="7D364FB1"/>
    <w:rsid w:val="7D376633"/>
    <w:rsid w:val="7D3923AB"/>
    <w:rsid w:val="7D3B6123"/>
    <w:rsid w:val="7D3D1E9B"/>
    <w:rsid w:val="7D425312"/>
    <w:rsid w:val="7D4E22FA"/>
    <w:rsid w:val="7D4F1BCF"/>
    <w:rsid w:val="7D60202E"/>
    <w:rsid w:val="7D620E6E"/>
    <w:rsid w:val="7D676F18"/>
    <w:rsid w:val="7D6C6CD2"/>
    <w:rsid w:val="7D6E02A7"/>
    <w:rsid w:val="7D6F2271"/>
    <w:rsid w:val="7D715FE9"/>
    <w:rsid w:val="7D7B29C4"/>
    <w:rsid w:val="7D7F0706"/>
    <w:rsid w:val="7D821FA4"/>
    <w:rsid w:val="7D845D1C"/>
    <w:rsid w:val="7D8B58BA"/>
    <w:rsid w:val="7D9D422B"/>
    <w:rsid w:val="7DA10BFA"/>
    <w:rsid w:val="7DA95783"/>
    <w:rsid w:val="7DB163E5"/>
    <w:rsid w:val="7DC124DF"/>
    <w:rsid w:val="7DC46119"/>
    <w:rsid w:val="7DC600E3"/>
    <w:rsid w:val="7DC66335"/>
    <w:rsid w:val="7DC71FDC"/>
    <w:rsid w:val="7DCB56F9"/>
    <w:rsid w:val="7DDB3462"/>
    <w:rsid w:val="7DEC38C1"/>
    <w:rsid w:val="7DED1B13"/>
    <w:rsid w:val="7DF369FE"/>
    <w:rsid w:val="7DFC3B04"/>
    <w:rsid w:val="7E002EC9"/>
    <w:rsid w:val="7E096221"/>
    <w:rsid w:val="7E0B3D48"/>
    <w:rsid w:val="7E0B46AE"/>
    <w:rsid w:val="7E10135E"/>
    <w:rsid w:val="7E1150D6"/>
    <w:rsid w:val="7E176B90"/>
    <w:rsid w:val="7E244E09"/>
    <w:rsid w:val="7E2E3EDA"/>
    <w:rsid w:val="7E307C52"/>
    <w:rsid w:val="7E372D8F"/>
    <w:rsid w:val="7E374B3D"/>
    <w:rsid w:val="7E3A63DB"/>
    <w:rsid w:val="7E3E411D"/>
    <w:rsid w:val="7E53749D"/>
    <w:rsid w:val="7E5B252E"/>
    <w:rsid w:val="7E5C45A3"/>
    <w:rsid w:val="7E663674"/>
    <w:rsid w:val="7E694F12"/>
    <w:rsid w:val="7E6E2E4D"/>
    <w:rsid w:val="7E6F077A"/>
    <w:rsid w:val="7E722019"/>
    <w:rsid w:val="7E7676CE"/>
    <w:rsid w:val="7E7A711F"/>
    <w:rsid w:val="7E8104AE"/>
    <w:rsid w:val="7E81400A"/>
    <w:rsid w:val="7E834226"/>
    <w:rsid w:val="7E837D82"/>
    <w:rsid w:val="7E9B156F"/>
    <w:rsid w:val="7EAF0B77"/>
    <w:rsid w:val="7EB51F05"/>
    <w:rsid w:val="7EB729B4"/>
    <w:rsid w:val="7EBB39C0"/>
    <w:rsid w:val="7EBC7738"/>
    <w:rsid w:val="7EBD6A6B"/>
    <w:rsid w:val="7EBE6F11"/>
    <w:rsid w:val="7EBE700C"/>
    <w:rsid w:val="7EC02D84"/>
    <w:rsid w:val="7EC108AA"/>
    <w:rsid w:val="7EC40A46"/>
    <w:rsid w:val="7EC565EC"/>
    <w:rsid w:val="7EC81C39"/>
    <w:rsid w:val="7ED427A2"/>
    <w:rsid w:val="7ED54355"/>
    <w:rsid w:val="7EE06F82"/>
    <w:rsid w:val="7EE2719E"/>
    <w:rsid w:val="7EE30DF1"/>
    <w:rsid w:val="7EE60311"/>
    <w:rsid w:val="7EED78F1"/>
    <w:rsid w:val="7EEF18BB"/>
    <w:rsid w:val="7EF26CB5"/>
    <w:rsid w:val="7EFC5D86"/>
    <w:rsid w:val="7F01514B"/>
    <w:rsid w:val="7F0215EE"/>
    <w:rsid w:val="7F0F1615"/>
    <w:rsid w:val="7F121106"/>
    <w:rsid w:val="7F17496E"/>
    <w:rsid w:val="7F1B26B0"/>
    <w:rsid w:val="7F1D7197"/>
    <w:rsid w:val="7F1F1200"/>
    <w:rsid w:val="7F272E03"/>
    <w:rsid w:val="7F280929"/>
    <w:rsid w:val="7F2826D7"/>
    <w:rsid w:val="7F3217A8"/>
    <w:rsid w:val="7F364DF4"/>
    <w:rsid w:val="7F4B32F8"/>
    <w:rsid w:val="7F533BF8"/>
    <w:rsid w:val="7F546400"/>
    <w:rsid w:val="7F596D35"/>
    <w:rsid w:val="7F5B0CFF"/>
    <w:rsid w:val="7F5D6825"/>
    <w:rsid w:val="7F6000C3"/>
    <w:rsid w:val="7F604567"/>
    <w:rsid w:val="7F627118"/>
    <w:rsid w:val="7F6A0F42"/>
    <w:rsid w:val="7F743B6E"/>
    <w:rsid w:val="7F762AF8"/>
    <w:rsid w:val="7F765B38"/>
    <w:rsid w:val="7F784A39"/>
    <w:rsid w:val="7F7D2A23"/>
    <w:rsid w:val="7F7E49ED"/>
    <w:rsid w:val="7F806B50"/>
    <w:rsid w:val="7F833D8D"/>
    <w:rsid w:val="7F89586C"/>
    <w:rsid w:val="7F8A4872"/>
    <w:rsid w:val="7F8B1AD7"/>
    <w:rsid w:val="7F985AAF"/>
    <w:rsid w:val="7F9F0DD2"/>
    <w:rsid w:val="7FA44454"/>
    <w:rsid w:val="7FA91A6A"/>
    <w:rsid w:val="7FB14DC3"/>
    <w:rsid w:val="7FB81CAD"/>
    <w:rsid w:val="7FB83A5B"/>
    <w:rsid w:val="7FBE4DEA"/>
    <w:rsid w:val="7FC225F7"/>
    <w:rsid w:val="7FC22B2C"/>
    <w:rsid w:val="7FC76394"/>
    <w:rsid w:val="7FCB7C32"/>
    <w:rsid w:val="7FCC7507"/>
    <w:rsid w:val="7FCE59B4"/>
    <w:rsid w:val="7FCE7723"/>
    <w:rsid w:val="7FD840FD"/>
    <w:rsid w:val="7FE02FB2"/>
    <w:rsid w:val="7FE23868"/>
    <w:rsid w:val="7FE24F7C"/>
    <w:rsid w:val="7FE42AA2"/>
    <w:rsid w:val="7FE44850"/>
    <w:rsid w:val="7FE50608"/>
    <w:rsid w:val="7FEE56CF"/>
    <w:rsid w:val="7FF30F37"/>
    <w:rsid w:val="7FF802FC"/>
    <w:rsid w:val="7FF8654D"/>
    <w:rsid w:val="7FFA22C6"/>
    <w:rsid w:val="7FFA4074"/>
    <w:rsid w:val="7FFC4290"/>
    <w:rsid w:val="7FFD1DB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7"/>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link w:val="48"/>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link w:val="49"/>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link w:val="50"/>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6">
    <w:name w:val="heading 5"/>
    <w:basedOn w:val="1"/>
    <w:next w:val="1"/>
    <w:link w:val="51"/>
    <w:qFormat/>
    <w:uiPriority w:val="0"/>
    <w:pPr>
      <w:keepNext/>
      <w:keepLines/>
      <w:numPr>
        <w:ilvl w:val="4"/>
        <w:numId w:val="1"/>
      </w:numPr>
      <w:spacing w:before="280" w:after="290" w:line="376" w:lineRule="auto"/>
      <w:outlineLvl w:val="4"/>
    </w:pPr>
    <w:rPr>
      <w:b/>
      <w:sz w:val="28"/>
      <w:szCs w:val="20"/>
    </w:rPr>
  </w:style>
  <w:style w:type="paragraph" w:styleId="7">
    <w:name w:val="heading 6"/>
    <w:basedOn w:val="1"/>
    <w:next w:val="1"/>
    <w:link w:val="52"/>
    <w:qFormat/>
    <w:uiPriority w:val="0"/>
    <w:pPr>
      <w:keepNext/>
      <w:keepLines/>
      <w:numPr>
        <w:ilvl w:val="5"/>
        <w:numId w:val="1"/>
      </w:numPr>
      <w:spacing w:before="240" w:after="64" w:line="320" w:lineRule="auto"/>
      <w:outlineLvl w:val="5"/>
    </w:pPr>
    <w:rPr>
      <w:rFonts w:ascii="Arial" w:hAnsi="Arial" w:eastAsia="黑体"/>
      <w:b/>
      <w:szCs w:val="20"/>
    </w:rPr>
  </w:style>
  <w:style w:type="character" w:default="1" w:styleId="41">
    <w:name w:val="Default Paragraph Font"/>
    <w:semiHidden/>
    <w:qFormat/>
    <w:uiPriority w:val="0"/>
  </w:style>
  <w:style w:type="table" w:default="1" w:styleId="39">
    <w:name w:val="Normal Table"/>
    <w:semiHidden/>
    <w:qFormat/>
    <w:uiPriority w:val="0"/>
    <w:pPr>
      <w:keepNext w:val="0"/>
      <w:keepLines w:val="0"/>
      <w:widowControl/>
      <w:suppressLineNumbers w:val="0"/>
      <w:spacing w:before="0" w:beforeAutospacing="0" w:after="0" w:afterAutospacing="0"/>
      <w:ind w:left="0" w:right="0"/>
    </w:pPr>
    <w:rPr>
      <w:rFonts w:ascii="Calibri" w:hAnsi="Calibri" w:cs="Calibri"/>
      <w:kern w:val="2"/>
      <w:sz w:val="21"/>
      <w:szCs w:val="22"/>
    </w:rPr>
    <w:tblPr>
      <w:tblCellMar>
        <w:top w:w="0" w:type="dxa"/>
        <w:left w:w="108" w:type="dxa"/>
        <w:bottom w:w="0" w:type="dxa"/>
        <w:right w:w="108" w:type="dxa"/>
      </w:tblCellMar>
    </w:tblPr>
  </w:style>
  <w:style w:type="paragraph" w:styleId="8">
    <w:name w:val="toc 7"/>
    <w:basedOn w:val="1"/>
    <w:next w:val="1"/>
    <w:link w:val="53"/>
    <w:qFormat/>
    <w:uiPriority w:val="39"/>
    <w:pPr>
      <w:ind w:left="2520" w:leftChars="1200"/>
    </w:pPr>
  </w:style>
  <w:style w:type="paragraph" w:styleId="9">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0">
    <w:name w:val="toa heading"/>
    <w:basedOn w:val="1"/>
    <w:next w:val="1"/>
    <w:unhideWhenUsed/>
    <w:qFormat/>
    <w:uiPriority w:val="0"/>
    <w:pPr>
      <w:spacing w:before="120" w:beforeLines="0" w:afterLines="0"/>
    </w:pPr>
    <w:rPr>
      <w:rFonts w:hint="default" w:ascii="Cambria" w:hAnsi="Cambria"/>
      <w:sz w:val="24"/>
    </w:rPr>
  </w:style>
  <w:style w:type="paragraph" w:styleId="11">
    <w:name w:val="annotation text"/>
    <w:basedOn w:val="1"/>
    <w:link w:val="54"/>
    <w:qFormat/>
    <w:uiPriority w:val="99"/>
    <w:pPr>
      <w:jc w:val="left"/>
    </w:pPr>
  </w:style>
  <w:style w:type="paragraph" w:styleId="12">
    <w:name w:val="Body Text"/>
    <w:basedOn w:val="1"/>
    <w:next w:val="13"/>
    <w:link w:val="55"/>
    <w:qFormat/>
    <w:uiPriority w:val="0"/>
    <w:pPr>
      <w:tabs>
        <w:tab w:val="left" w:pos="567"/>
      </w:tabs>
      <w:spacing w:before="120" w:line="22" w:lineRule="atLeast"/>
    </w:pPr>
    <w:rPr>
      <w:rFonts w:ascii="宋体" w:hAnsi="宋体"/>
      <w:sz w:val="24"/>
    </w:rPr>
  </w:style>
  <w:style w:type="paragraph" w:styleId="13">
    <w:name w:val="Body Text First Indent"/>
    <w:basedOn w:val="12"/>
    <w:next w:val="1"/>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4">
    <w:name w:val="Body Text Indent"/>
    <w:basedOn w:val="1"/>
    <w:qFormat/>
    <w:uiPriority w:val="0"/>
    <w:pPr>
      <w:spacing w:line="360" w:lineRule="auto"/>
      <w:ind w:firstLine="570"/>
    </w:pPr>
    <w:rPr>
      <w:sz w:val="24"/>
    </w:rPr>
  </w:style>
  <w:style w:type="paragraph" w:styleId="15">
    <w:name w:val="toc 5"/>
    <w:basedOn w:val="1"/>
    <w:next w:val="1"/>
    <w:qFormat/>
    <w:uiPriority w:val="39"/>
    <w:pPr>
      <w:ind w:left="1680" w:leftChars="800"/>
    </w:pPr>
  </w:style>
  <w:style w:type="paragraph" w:styleId="16">
    <w:name w:val="toc 3"/>
    <w:basedOn w:val="1"/>
    <w:next w:val="1"/>
    <w:qFormat/>
    <w:uiPriority w:val="39"/>
    <w:pPr>
      <w:tabs>
        <w:tab w:val="left" w:pos="1260"/>
        <w:tab w:val="right" w:leader="dot" w:pos="8630"/>
      </w:tabs>
      <w:ind w:left="840" w:leftChars="400"/>
    </w:pPr>
  </w:style>
  <w:style w:type="paragraph" w:styleId="17">
    <w:name w:val="Plain Text"/>
    <w:basedOn w:val="1"/>
    <w:next w:val="9"/>
    <w:link w:val="56"/>
    <w:qFormat/>
    <w:uiPriority w:val="0"/>
    <w:rPr>
      <w:rFonts w:ascii="宋体" w:hAnsi="Courier New"/>
      <w:szCs w:val="20"/>
    </w:rPr>
  </w:style>
  <w:style w:type="paragraph" w:styleId="18">
    <w:name w:val="toc 8"/>
    <w:basedOn w:val="1"/>
    <w:next w:val="1"/>
    <w:qFormat/>
    <w:uiPriority w:val="39"/>
    <w:pPr>
      <w:ind w:left="2940" w:leftChars="1400"/>
    </w:pPr>
  </w:style>
  <w:style w:type="paragraph" w:styleId="19">
    <w:name w:val="Date"/>
    <w:basedOn w:val="1"/>
    <w:next w:val="1"/>
    <w:link w:val="57"/>
    <w:qFormat/>
    <w:uiPriority w:val="0"/>
    <w:pPr>
      <w:ind w:left="100" w:leftChars="2500"/>
    </w:pPr>
    <w:rPr>
      <w:rFonts w:ascii="仿宋_GB2312" w:hAnsi="宋体" w:eastAsia="仿宋_GB2312"/>
      <w:color w:val="000000"/>
      <w:sz w:val="24"/>
    </w:rPr>
  </w:style>
  <w:style w:type="paragraph" w:styleId="20">
    <w:name w:val="Body Text Indent 2"/>
    <w:basedOn w:val="1"/>
    <w:link w:val="58"/>
    <w:qFormat/>
    <w:uiPriority w:val="0"/>
    <w:pPr>
      <w:ind w:firstLine="480" w:firstLineChars="200"/>
    </w:pPr>
    <w:rPr>
      <w:rFonts w:ascii="仿宋_GB2312" w:eastAsia="仿宋_GB2312"/>
      <w:sz w:val="24"/>
    </w:rPr>
  </w:style>
  <w:style w:type="paragraph" w:styleId="21">
    <w:name w:val="Balloon Text"/>
    <w:basedOn w:val="1"/>
    <w:link w:val="59"/>
    <w:qFormat/>
    <w:uiPriority w:val="0"/>
    <w:rPr>
      <w:sz w:val="18"/>
      <w:szCs w:val="18"/>
    </w:rPr>
  </w:style>
  <w:style w:type="paragraph" w:styleId="22">
    <w:name w:val="footer"/>
    <w:basedOn w:val="1"/>
    <w:qFormat/>
    <w:uiPriority w:val="0"/>
    <w:pPr>
      <w:tabs>
        <w:tab w:val="center" w:pos="4153"/>
        <w:tab w:val="right" w:pos="8306"/>
      </w:tabs>
      <w:snapToGrid w:val="0"/>
      <w:jc w:val="left"/>
    </w:pPr>
    <w:rPr>
      <w:sz w:val="18"/>
    </w:rPr>
  </w:style>
  <w:style w:type="paragraph" w:styleId="23">
    <w:name w:val="header"/>
    <w:basedOn w:val="1"/>
    <w:link w:val="60"/>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style>
  <w:style w:type="paragraph" w:styleId="25">
    <w:name w:val="toc 4"/>
    <w:basedOn w:val="1"/>
    <w:next w:val="1"/>
    <w:qFormat/>
    <w:uiPriority w:val="39"/>
    <w:pPr>
      <w:ind w:left="1260" w:leftChars="600"/>
    </w:pPr>
  </w:style>
  <w:style w:type="paragraph" w:styleId="26">
    <w:name w:val="List"/>
    <w:basedOn w:val="1"/>
    <w:qFormat/>
    <w:uiPriority w:val="0"/>
    <w:pPr>
      <w:keepNext w:val="0"/>
      <w:keepLines w:val="0"/>
      <w:widowControl w:val="0"/>
      <w:suppressLineNumbers w:val="0"/>
      <w:adjustRightInd w:val="0"/>
      <w:snapToGrid w:val="0"/>
      <w:spacing w:before="0" w:beforeAutospacing="0" w:after="0" w:afterAutospacing="0" w:line="360" w:lineRule="auto"/>
      <w:ind w:left="200" w:right="0" w:hanging="200" w:hangingChars="200"/>
      <w:contextualSpacing/>
      <w:jc w:val="both"/>
    </w:pPr>
    <w:rPr>
      <w:rFonts w:hint="eastAsia" w:ascii="宋体" w:hAnsi="Times New Roman" w:eastAsia="宋体" w:cs="Times New Roman"/>
      <w:snapToGrid/>
      <w:kern w:val="0"/>
      <w:sz w:val="24"/>
      <w:szCs w:val="20"/>
      <w:lang w:val="en-US" w:eastAsia="zh-CN" w:bidi="ar"/>
    </w:rPr>
  </w:style>
  <w:style w:type="paragraph" w:styleId="27">
    <w:name w:val="footnote text"/>
    <w:basedOn w:val="1"/>
    <w:next w:val="12"/>
    <w:link w:val="61"/>
    <w:qFormat/>
    <w:uiPriority w:val="0"/>
    <w:pPr>
      <w:keepNext w:val="0"/>
      <w:keepLines w:val="0"/>
      <w:widowControl w:val="0"/>
      <w:suppressLineNumbers w:val="0"/>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28">
    <w:name w:val="toc 6"/>
    <w:basedOn w:val="1"/>
    <w:next w:val="1"/>
    <w:qFormat/>
    <w:uiPriority w:val="39"/>
    <w:pPr>
      <w:ind w:left="2100" w:leftChars="1000"/>
    </w:pPr>
  </w:style>
  <w:style w:type="paragraph" w:styleId="29">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0">
    <w:name w:val="toc 2"/>
    <w:basedOn w:val="1"/>
    <w:next w:val="1"/>
    <w:qFormat/>
    <w:uiPriority w:val="39"/>
    <w:pPr>
      <w:ind w:left="420" w:leftChars="200"/>
    </w:pPr>
  </w:style>
  <w:style w:type="paragraph" w:styleId="31">
    <w:name w:val="toc 9"/>
    <w:basedOn w:val="1"/>
    <w:next w:val="1"/>
    <w:qFormat/>
    <w:uiPriority w:val="39"/>
    <w:pPr>
      <w:ind w:left="3360" w:leftChars="1600"/>
    </w:pPr>
  </w:style>
  <w:style w:type="paragraph" w:styleId="3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3">
    <w:name w:val="Normal (Web)"/>
    <w:basedOn w:val="1"/>
    <w:next w:val="34"/>
    <w:qFormat/>
    <w:uiPriority w:val="0"/>
    <w:pPr>
      <w:pBdr>
        <w:top w:val="none" w:color="auto" w:sz="0" w:space="0"/>
        <w:left w:val="none" w:color="auto" w:sz="0" w:space="0"/>
        <w:bottom w:val="none" w:color="auto" w:sz="0" w:space="0"/>
        <w:right w:val="none" w:color="auto" w:sz="0" w:space="0"/>
      </w:pBdr>
      <w:spacing w:before="0" w:beforeAutospacing="0" w:after="0" w:afterAutospacing="0" w:line="270" w:lineRule="atLeast"/>
      <w:ind w:left="0" w:right="0"/>
      <w:jc w:val="left"/>
    </w:pPr>
    <w:rPr>
      <w:color w:val="666666"/>
      <w:kern w:val="0"/>
      <w:sz w:val="24"/>
      <w:lang w:val="en-US" w:eastAsia="zh-CN" w:bidi="ar"/>
    </w:rPr>
  </w:style>
  <w:style w:type="paragraph" w:customStyle="1" w:styleId="34">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35">
    <w:name w:val="index 1"/>
    <w:basedOn w:val="1"/>
    <w:next w:val="1"/>
    <w:semiHidden/>
    <w:qFormat/>
    <w:uiPriority w:val="0"/>
    <w:rPr>
      <w:szCs w:val="20"/>
    </w:rPr>
  </w:style>
  <w:style w:type="paragraph" w:styleId="36">
    <w:name w:val="Title"/>
    <w:basedOn w:val="1"/>
    <w:qFormat/>
    <w:uiPriority w:val="0"/>
    <w:pPr>
      <w:spacing w:before="240" w:after="60"/>
      <w:jc w:val="center"/>
      <w:outlineLvl w:val="0"/>
    </w:pPr>
    <w:rPr>
      <w:rFonts w:ascii="Arial" w:hAnsi="Arial" w:cs="Arial"/>
      <w:b/>
      <w:bCs/>
      <w:sz w:val="32"/>
      <w:szCs w:val="32"/>
    </w:rPr>
  </w:style>
  <w:style w:type="paragraph" w:styleId="37">
    <w:name w:val="annotation subject"/>
    <w:basedOn w:val="11"/>
    <w:next w:val="11"/>
    <w:link w:val="62"/>
    <w:qFormat/>
    <w:uiPriority w:val="0"/>
    <w:rPr>
      <w:b/>
      <w:bCs/>
    </w:rPr>
  </w:style>
  <w:style w:type="paragraph" w:styleId="38">
    <w:name w:val="Body Text First Indent 2"/>
    <w:basedOn w:val="14"/>
    <w:qFormat/>
    <w:uiPriority w:val="0"/>
    <w:pPr>
      <w:ind w:firstLine="420" w:firstLineChars="200"/>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basedOn w:val="41"/>
    <w:qFormat/>
    <w:uiPriority w:val="22"/>
    <w:rPr>
      <w:b/>
    </w:rPr>
  </w:style>
  <w:style w:type="character" w:styleId="43">
    <w:name w:val="page number"/>
    <w:basedOn w:val="41"/>
    <w:qFormat/>
    <w:uiPriority w:val="0"/>
  </w:style>
  <w:style w:type="character" w:styleId="44">
    <w:name w:val="Emphasis"/>
    <w:basedOn w:val="41"/>
    <w:qFormat/>
    <w:uiPriority w:val="0"/>
  </w:style>
  <w:style w:type="character" w:styleId="45">
    <w:name w:val="Hyperlink"/>
    <w:basedOn w:val="41"/>
    <w:qFormat/>
    <w:uiPriority w:val="99"/>
    <w:rPr>
      <w:color w:val="2B2B2B"/>
      <w:u w:val="none"/>
    </w:rPr>
  </w:style>
  <w:style w:type="character" w:styleId="46">
    <w:name w:val="annotation reference"/>
    <w:qFormat/>
    <w:uiPriority w:val="99"/>
    <w:rPr>
      <w:sz w:val="21"/>
      <w:szCs w:val="21"/>
    </w:rPr>
  </w:style>
  <w:style w:type="character" w:customStyle="1" w:styleId="47">
    <w:name w:val="标题 1 Char"/>
    <w:link w:val="2"/>
    <w:qFormat/>
    <w:uiPriority w:val="0"/>
    <w:rPr>
      <w:rFonts w:ascii="宋体"/>
      <w:b/>
      <w:kern w:val="44"/>
      <w:sz w:val="32"/>
    </w:rPr>
  </w:style>
  <w:style w:type="character" w:customStyle="1" w:styleId="48">
    <w:name w:val="标题 2 Char"/>
    <w:link w:val="3"/>
    <w:qFormat/>
    <w:uiPriority w:val="0"/>
    <w:rPr>
      <w:rFonts w:ascii="Arial" w:hAnsi="Arial" w:eastAsia="黑体"/>
      <w:b/>
      <w:sz w:val="30"/>
    </w:rPr>
  </w:style>
  <w:style w:type="character" w:customStyle="1" w:styleId="49">
    <w:name w:val="标题 3 Char"/>
    <w:link w:val="4"/>
    <w:qFormat/>
    <w:uiPriority w:val="0"/>
    <w:rPr>
      <w:rFonts w:ascii="宋体"/>
      <w:b/>
      <w:sz w:val="24"/>
      <w:u w:val="single"/>
    </w:rPr>
  </w:style>
  <w:style w:type="character" w:customStyle="1" w:styleId="50">
    <w:name w:val="标题 4 Char"/>
    <w:link w:val="5"/>
    <w:qFormat/>
    <w:uiPriority w:val="0"/>
    <w:rPr>
      <w:rFonts w:ascii="Arial" w:hAnsi="Arial" w:eastAsia="黑体"/>
      <w:b/>
      <w:bCs/>
      <w:sz w:val="28"/>
      <w:szCs w:val="28"/>
    </w:rPr>
  </w:style>
  <w:style w:type="character" w:customStyle="1" w:styleId="51">
    <w:name w:val="标题 5 Char"/>
    <w:link w:val="6"/>
    <w:qFormat/>
    <w:uiPriority w:val="0"/>
    <w:rPr>
      <w:b/>
      <w:sz w:val="28"/>
      <w:szCs w:val="20"/>
    </w:rPr>
  </w:style>
  <w:style w:type="character" w:customStyle="1" w:styleId="52">
    <w:name w:val="标题 6 Char"/>
    <w:link w:val="7"/>
    <w:qFormat/>
    <w:uiPriority w:val="0"/>
    <w:rPr>
      <w:rFonts w:ascii="Arial" w:hAnsi="Arial" w:eastAsia="黑体"/>
      <w:b/>
      <w:szCs w:val="20"/>
    </w:rPr>
  </w:style>
  <w:style w:type="character" w:customStyle="1" w:styleId="53">
    <w:name w:val="目录 7 Char"/>
    <w:link w:val="8"/>
    <w:qFormat/>
    <w:uiPriority w:val="39"/>
  </w:style>
  <w:style w:type="character" w:customStyle="1" w:styleId="54">
    <w:name w:val="批注文字 Char"/>
    <w:link w:val="11"/>
    <w:qFormat/>
    <w:uiPriority w:val="99"/>
    <w:rPr>
      <w:kern w:val="2"/>
      <w:sz w:val="21"/>
      <w:szCs w:val="24"/>
    </w:rPr>
  </w:style>
  <w:style w:type="character" w:customStyle="1" w:styleId="55">
    <w:name w:val="正文文本 Char"/>
    <w:link w:val="12"/>
    <w:qFormat/>
    <w:uiPriority w:val="0"/>
    <w:rPr>
      <w:rFonts w:ascii="宋体" w:hAnsi="宋体"/>
      <w:kern w:val="2"/>
      <w:sz w:val="24"/>
      <w:szCs w:val="24"/>
    </w:rPr>
  </w:style>
  <w:style w:type="character" w:customStyle="1" w:styleId="56">
    <w:name w:val="纯文本 Char"/>
    <w:link w:val="17"/>
    <w:qFormat/>
    <w:uiPriority w:val="0"/>
    <w:rPr>
      <w:rFonts w:ascii="宋体" w:hAnsi="Courier New"/>
      <w:kern w:val="2"/>
      <w:sz w:val="21"/>
    </w:rPr>
  </w:style>
  <w:style w:type="character" w:customStyle="1" w:styleId="57">
    <w:name w:val="日期 Char"/>
    <w:link w:val="19"/>
    <w:qFormat/>
    <w:uiPriority w:val="0"/>
    <w:rPr>
      <w:rFonts w:ascii="仿宋_GB2312" w:hAnsi="宋体" w:eastAsia="仿宋_GB2312"/>
      <w:color w:val="000000"/>
      <w:kern w:val="2"/>
      <w:sz w:val="24"/>
      <w:szCs w:val="24"/>
    </w:rPr>
  </w:style>
  <w:style w:type="character" w:customStyle="1" w:styleId="58">
    <w:name w:val="正文文本缩进 2 Char"/>
    <w:link w:val="20"/>
    <w:qFormat/>
    <w:uiPriority w:val="0"/>
    <w:rPr>
      <w:rFonts w:ascii="仿宋_GB2312" w:eastAsia="仿宋_GB2312"/>
      <w:sz w:val="24"/>
    </w:rPr>
  </w:style>
  <w:style w:type="character" w:customStyle="1" w:styleId="59">
    <w:name w:val="批注框文本 Char"/>
    <w:link w:val="21"/>
    <w:qFormat/>
    <w:uiPriority w:val="0"/>
    <w:rPr>
      <w:kern w:val="2"/>
      <w:sz w:val="18"/>
      <w:szCs w:val="18"/>
    </w:rPr>
  </w:style>
  <w:style w:type="character" w:customStyle="1" w:styleId="60">
    <w:name w:val="页眉 Char"/>
    <w:link w:val="23"/>
    <w:qFormat/>
    <w:uiPriority w:val="0"/>
    <w:rPr>
      <w:kern w:val="2"/>
      <w:sz w:val="18"/>
      <w:szCs w:val="18"/>
    </w:rPr>
  </w:style>
  <w:style w:type="character" w:customStyle="1" w:styleId="61">
    <w:name w:val="脚注文本 Char"/>
    <w:basedOn w:val="41"/>
    <w:link w:val="27"/>
    <w:qFormat/>
    <w:uiPriority w:val="0"/>
    <w:rPr>
      <w:rFonts w:hint="default" w:ascii="Times New Roman" w:hAnsi="Times New Roman" w:eastAsia="宋体" w:cs="Times New Roman"/>
      <w:sz w:val="18"/>
      <w:szCs w:val="18"/>
    </w:rPr>
  </w:style>
  <w:style w:type="character" w:customStyle="1" w:styleId="62">
    <w:name w:val="批注主题 Char"/>
    <w:link w:val="37"/>
    <w:qFormat/>
    <w:uiPriority w:val="0"/>
    <w:rPr>
      <w:b/>
      <w:bCs/>
      <w:kern w:val="2"/>
      <w:sz w:val="21"/>
      <w:szCs w:val="24"/>
    </w:rPr>
  </w:style>
  <w:style w:type="paragraph" w:customStyle="1" w:styleId="63">
    <w:name w:val="表格文字"/>
    <w:basedOn w:val="1"/>
    <w:next w:val="12"/>
    <w:qFormat/>
    <w:uiPriority w:val="0"/>
    <w:pPr>
      <w:spacing w:before="25" w:after="25"/>
      <w:jc w:val="left"/>
    </w:pPr>
    <w:rPr>
      <w:bCs/>
      <w:spacing w:val="10"/>
      <w:kern w:val="0"/>
      <w:sz w:val="24"/>
      <w:szCs w:val="20"/>
    </w:rPr>
  </w:style>
  <w:style w:type="paragraph" w:customStyle="1" w:styleId="64">
    <w:name w:val="正文1"/>
    <w:qFormat/>
    <w:uiPriority w:val="0"/>
    <w:pPr>
      <w:widowControl w:val="0"/>
      <w:adjustRightInd w:val="0"/>
      <w:spacing w:after="160" w:line="312" w:lineRule="atLeast"/>
      <w:jc w:val="both"/>
      <w:textAlignment w:val="baseline"/>
    </w:pPr>
    <w:rPr>
      <w:rFonts w:ascii="宋体" w:hAnsi="Calibri" w:eastAsia="宋体" w:cs="Times New Roman"/>
      <w:sz w:val="34"/>
      <w:szCs w:val="22"/>
      <w:lang w:val="en-US" w:eastAsia="zh-CN" w:bidi="ar-SA"/>
    </w:rPr>
  </w:style>
  <w:style w:type="character" w:customStyle="1" w:styleId="65">
    <w:name w:val="font01"/>
    <w:basedOn w:val="41"/>
    <w:qFormat/>
    <w:uiPriority w:val="0"/>
    <w:rPr>
      <w:rFonts w:hint="eastAsia" w:ascii="宋体" w:hAnsi="宋体" w:eastAsia="宋体" w:cs="宋体"/>
      <w:color w:val="000000"/>
      <w:sz w:val="24"/>
      <w:szCs w:val="24"/>
      <w:u w:val="none"/>
    </w:rPr>
  </w:style>
  <w:style w:type="character" w:customStyle="1" w:styleId="66">
    <w:name w:val="font61"/>
    <w:basedOn w:val="41"/>
    <w:qFormat/>
    <w:uiPriority w:val="0"/>
    <w:rPr>
      <w:rFonts w:hint="eastAsia" w:ascii="仿宋" w:hAnsi="仿宋" w:eastAsia="仿宋" w:cs="仿宋"/>
      <w:color w:val="000000"/>
      <w:sz w:val="24"/>
      <w:szCs w:val="24"/>
      <w:u w:val="none"/>
    </w:rPr>
  </w:style>
  <w:style w:type="character" w:customStyle="1" w:styleId="67">
    <w:name w:val="font11"/>
    <w:basedOn w:val="41"/>
    <w:qFormat/>
    <w:uiPriority w:val="0"/>
    <w:rPr>
      <w:rFonts w:hint="eastAsia" w:ascii="仿宋" w:hAnsi="仿宋" w:eastAsia="仿宋" w:cs="仿宋"/>
      <w:color w:val="000000"/>
      <w:sz w:val="24"/>
      <w:szCs w:val="24"/>
      <w:u w:val="none"/>
    </w:rPr>
  </w:style>
  <w:style w:type="character" w:customStyle="1" w:styleId="68">
    <w:name w:val="正文缩进 Char1"/>
    <w:link w:val="69"/>
    <w:qFormat/>
    <w:uiPriority w:val="0"/>
    <w:rPr>
      <w:rFonts w:ascii="宋体"/>
      <w:sz w:val="24"/>
    </w:rPr>
  </w:style>
  <w:style w:type="paragraph" w:customStyle="1" w:styleId="69">
    <w:name w:val="正文缩进1"/>
    <w:basedOn w:val="1"/>
    <w:link w:val="68"/>
    <w:qFormat/>
    <w:uiPriority w:val="0"/>
    <w:pPr>
      <w:autoSpaceDE w:val="0"/>
      <w:autoSpaceDN w:val="0"/>
      <w:adjustRightInd w:val="0"/>
      <w:ind w:firstLine="420"/>
      <w:jc w:val="left"/>
    </w:pPr>
    <w:rPr>
      <w:rFonts w:ascii="宋体"/>
      <w:kern w:val="0"/>
      <w:sz w:val="24"/>
      <w:szCs w:val="20"/>
    </w:rPr>
  </w:style>
  <w:style w:type="character" w:customStyle="1" w:styleId="70">
    <w:name w:val="font31"/>
    <w:basedOn w:val="41"/>
    <w:qFormat/>
    <w:uiPriority w:val="0"/>
    <w:rPr>
      <w:rFonts w:ascii="Arial" w:hAnsi="Arial" w:cs="Arial"/>
      <w:color w:val="000000"/>
      <w:sz w:val="24"/>
      <w:szCs w:val="24"/>
      <w:u w:val="none"/>
    </w:rPr>
  </w:style>
  <w:style w:type="character" w:customStyle="1" w:styleId="71">
    <w:name w:val="纯文本 Char1"/>
    <w:link w:val="72"/>
    <w:qFormat/>
    <w:uiPriority w:val="0"/>
    <w:rPr>
      <w:rFonts w:ascii="宋体" w:hAnsi="Courier New"/>
    </w:rPr>
  </w:style>
  <w:style w:type="paragraph" w:customStyle="1" w:styleId="72">
    <w:name w:val="纯文本1"/>
    <w:basedOn w:val="1"/>
    <w:link w:val="71"/>
    <w:qFormat/>
    <w:uiPriority w:val="0"/>
    <w:rPr>
      <w:rFonts w:ascii="宋体" w:hAnsi="Courier New"/>
      <w:kern w:val="0"/>
      <w:sz w:val="20"/>
      <w:szCs w:val="20"/>
    </w:rPr>
  </w:style>
  <w:style w:type="character" w:customStyle="1" w:styleId="73">
    <w:name w:val="font91"/>
    <w:qFormat/>
    <w:uiPriority w:val="0"/>
    <w:rPr>
      <w:rFonts w:hint="eastAsia" w:ascii="宋体" w:hAnsi="宋体" w:eastAsia="宋体" w:cs="宋体"/>
      <w:color w:val="000000"/>
      <w:sz w:val="21"/>
      <w:szCs w:val="21"/>
      <w:u w:val="none"/>
    </w:rPr>
  </w:style>
  <w:style w:type="character" w:customStyle="1" w:styleId="74">
    <w:name w:val="批注文字 Char1"/>
    <w:semiHidden/>
    <w:qFormat/>
    <w:uiPriority w:val="99"/>
    <w:rPr>
      <w:kern w:val="2"/>
      <w:sz w:val="21"/>
      <w:szCs w:val="24"/>
    </w:rPr>
  </w:style>
  <w:style w:type="character" w:customStyle="1" w:styleId="75">
    <w:name w:val="font21"/>
    <w:basedOn w:val="41"/>
    <w:qFormat/>
    <w:uiPriority w:val="0"/>
    <w:rPr>
      <w:rFonts w:hint="eastAsia" w:ascii="仿宋" w:hAnsi="仿宋" w:eastAsia="仿宋" w:cs="仿宋"/>
      <w:color w:val="000000"/>
      <w:sz w:val="24"/>
      <w:szCs w:val="24"/>
      <w:u w:val="none"/>
    </w:rPr>
  </w:style>
  <w:style w:type="character" w:customStyle="1" w:styleId="76">
    <w:name w:val="font112"/>
    <w:basedOn w:val="41"/>
    <w:qFormat/>
    <w:uiPriority w:val="0"/>
    <w:rPr>
      <w:rFonts w:hint="eastAsia" w:ascii="宋体" w:hAnsi="宋体" w:eastAsia="宋体" w:cs="宋体"/>
      <w:color w:val="000000"/>
      <w:sz w:val="24"/>
      <w:szCs w:val="24"/>
      <w:u w:val="none"/>
    </w:rPr>
  </w:style>
  <w:style w:type="character" w:customStyle="1" w:styleId="77">
    <w:name w:val="font131"/>
    <w:qFormat/>
    <w:uiPriority w:val="0"/>
    <w:rPr>
      <w:rFonts w:hint="eastAsia" w:ascii="宋体" w:hAnsi="宋体" w:eastAsia="宋体" w:cs="宋体"/>
      <w:color w:val="000000"/>
      <w:sz w:val="21"/>
      <w:szCs w:val="21"/>
      <w:u w:val="none"/>
    </w:rPr>
  </w:style>
  <w:style w:type="character" w:customStyle="1" w:styleId="78">
    <w:name w:val="批注主题 Char1"/>
    <w:semiHidden/>
    <w:qFormat/>
    <w:uiPriority w:val="99"/>
    <w:rPr>
      <w:b/>
      <w:bCs/>
      <w:kern w:val="2"/>
      <w:sz w:val="21"/>
      <w:szCs w:val="24"/>
    </w:rPr>
  </w:style>
  <w:style w:type="character" w:customStyle="1" w:styleId="79">
    <w:name w:val="批注框文本 Char1"/>
    <w:semiHidden/>
    <w:qFormat/>
    <w:uiPriority w:val="99"/>
    <w:rPr>
      <w:kern w:val="2"/>
      <w:sz w:val="18"/>
      <w:szCs w:val="18"/>
    </w:rPr>
  </w:style>
  <w:style w:type="character" w:customStyle="1" w:styleId="80">
    <w:name w:val="font51"/>
    <w:basedOn w:val="41"/>
    <w:qFormat/>
    <w:uiPriority w:val="0"/>
    <w:rPr>
      <w:rFonts w:ascii="Arial" w:hAnsi="Arial" w:cs="Arial"/>
      <w:color w:val="000000"/>
      <w:sz w:val="24"/>
      <w:szCs w:val="24"/>
      <w:u w:val="none"/>
    </w:rPr>
  </w:style>
  <w:style w:type="character" w:customStyle="1" w:styleId="81">
    <w:name w:val="font81"/>
    <w:basedOn w:val="41"/>
    <w:qFormat/>
    <w:uiPriority w:val="0"/>
    <w:rPr>
      <w:rFonts w:ascii="Noto Sans Mono CJK JP Regular" w:hAnsi="Noto Sans Mono CJK JP Regular" w:eastAsia="Noto Sans Mono CJK JP Regular" w:cs="Noto Sans Mono CJK JP Regular"/>
      <w:color w:val="000000"/>
      <w:sz w:val="22"/>
      <w:szCs w:val="22"/>
      <w:u w:val="none"/>
    </w:rPr>
  </w:style>
  <w:style w:type="paragraph" w:customStyle="1" w:styleId="82">
    <w:name w:val="列表段落1"/>
    <w:basedOn w:val="1"/>
    <w:qFormat/>
    <w:uiPriority w:val="34"/>
    <w:pPr>
      <w:ind w:firstLine="420" w:firstLineChars="200"/>
    </w:pPr>
  </w:style>
  <w:style w:type="paragraph" w:customStyle="1" w:styleId="83">
    <w:name w:val="Heading 5"/>
    <w:basedOn w:val="1"/>
    <w:qFormat/>
    <w:uiPriority w:val="1"/>
    <w:pPr>
      <w:spacing w:before="46"/>
      <w:ind w:left="1146"/>
      <w:jc w:val="center"/>
      <w:outlineLvl w:val="5"/>
    </w:pPr>
    <w:rPr>
      <w:rFonts w:ascii="黑体" w:hAnsi="黑体" w:eastAsia="黑体" w:cs="黑体"/>
      <w:b/>
      <w:bCs/>
      <w:sz w:val="28"/>
      <w:szCs w:val="28"/>
    </w:rPr>
  </w:style>
  <w:style w:type="paragraph" w:customStyle="1" w:styleId="84">
    <w:name w:val="列出段落2"/>
    <w:basedOn w:val="1"/>
    <w:qFormat/>
    <w:uiPriority w:val="1"/>
    <w:pPr>
      <w:ind w:left="107" w:firstLine="480"/>
    </w:pPr>
  </w:style>
  <w:style w:type="paragraph" w:customStyle="1" w:styleId="85">
    <w:name w:val="_Style 0"/>
    <w:qFormat/>
    <w:uiPriority w:val="1"/>
    <w:pPr>
      <w:adjustRightInd w:val="0"/>
      <w:snapToGrid w:val="0"/>
    </w:pPr>
    <w:rPr>
      <w:rFonts w:ascii="Tahoma" w:hAnsi="Tahoma" w:eastAsia="宋体" w:cs="Times New Roman"/>
      <w:kern w:val="0"/>
      <w:sz w:val="22"/>
      <w:szCs w:val="22"/>
      <w:lang w:val="en-US" w:eastAsia="zh-CN" w:bidi="ar-SA"/>
    </w:rPr>
  </w:style>
  <w:style w:type="paragraph" w:customStyle="1" w:styleId="86">
    <w:name w:val="索引 11"/>
    <w:basedOn w:val="1"/>
    <w:next w:val="1"/>
    <w:qFormat/>
    <w:uiPriority w:val="0"/>
    <w:pPr>
      <w:spacing w:line="360" w:lineRule="auto"/>
    </w:pPr>
    <w:rPr>
      <w:rFonts w:ascii="仿宋_GB2312" w:eastAsia="仿宋_GB2312"/>
      <w:sz w:val="24"/>
      <w:szCs w:val="20"/>
    </w:rPr>
  </w:style>
  <w:style w:type="paragraph" w:styleId="87">
    <w:name w:val="List Paragraph"/>
    <w:basedOn w:val="1"/>
    <w:qFormat/>
    <w:uiPriority w:val="1"/>
    <w:pPr>
      <w:ind w:left="107" w:firstLine="480"/>
    </w:pPr>
  </w:style>
  <w:style w:type="paragraph" w:customStyle="1" w:styleId="88">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
      <w:color w:val="000000"/>
      <w:kern w:val="0"/>
      <w:sz w:val="24"/>
      <w:szCs w:val="20"/>
      <w:lang w:val="zh-CN"/>
    </w:rPr>
  </w:style>
  <w:style w:type="paragraph" w:customStyle="1" w:styleId="89">
    <w:name w:val="Heading 3"/>
    <w:basedOn w:val="1"/>
    <w:qFormat/>
    <w:uiPriority w:val="1"/>
    <w:pPr>
      <w:ind w:left="748"/>
      <w:outlineLvl w:val="3"/>
    </w:pPr>
    <w:rPr>
      <w:b/>
      <w:bCs/>
      <w:sz w:val="32"/>
      <w:szCs w:val="32"/>
    </w:rPr>
  </w:style>
  <w:style w:type="paragraph" w:customStyle="1" w:styleId="90">
    <w:name w:val="列出段落1"/>
    <w:basedOn w:val="1"/>
    <w:qFormat/>
    <w:uiPriority w:val="0"/>
    <w:pPr>
      <w:ind w:firstLine="420" w:firstLineChars="200"/>
    </w:pPr>
    <w:rPr>
      <w:rFonts w:ascii="Calibri" w:hAnsi="Calibri"/>
      <w:szCs w:val="22"/>
    </w:rPr>
  </w:style>
  <w:style w:type="paragraph" w:styleId="91">
    <w:name w:val="No Spacing"/>
    <w:qFormat/>
    <w:uiPriority w:val="1"/>
    <w:pPr>
      <w:adjustRightInd w:val="0"/>
      <w:snapToGrid w:val="0"/>
    </w:pPr>
    <w:rPr>
      <w:rFonts w:ascii="Tahoma" w:hAnsi="Tahoma" w:eastAsia="宋体" w:cs="Times New Roman"/>
      <w:kern w:val="0"/>
      <w:sz w:val="22"/>
      <w:szCs w:val="22"/>
      <w:lang w:val="en-US" w:eastAsia="zh-CN" w:bidi="ar-SA"/>
    </w:rPr>
  </w:style>
  <w:style w:type="paragraph" w:customStyle="1" w:styleId="92">
    <w:name w:val="p0"/>
    <w:basedOn w:val="1"/>
    <w:unhideWhenUsed/>
    <w:qFormat/>
    <w:uiPriority w:val="0"/>
    <w:pPr>
      <w:spacing w:beforeLines="0" w:afterLines="0"/>
    </w:pPr>
    <w:rPr>
      <w:rFonts w:hint="default" w:ascii="Times New Roman" w:hAnsi="Times New Roman" w:eastAsia="宋体"/>
      <w:kern w:val="0"/>
      <w:sz w:val="21"/>
    </w:rPr>
  </w:style>
  <w:style w:type="paragraph" w:customStyle="1" w:styleId="93">
    <w:name w:val="Heading 6"/>
    <w:basedOn w:val="1"/>
    <w:qFormat/>
    <w:uiPriority w:val="1"/>
    <w:pPr>
      <w:ind w:left="950" w:hanging="363"/>
      <w:outlineLvl w:val="6"/>
    </w:pPr>
    <w:rPr>
      <w:b/>
      <w:bCs/>
      <w:sz w:val="24"/>
      <w:szCs w:val="24"/>
    </w:rPr>
  </w:style>
  <w:style w:type="paragraph" w:customStyle="1" w:styleId="94">
    <w:name w:val="Table Paragraph"/>
    <w:basedOn w:val="1"/>
    <w:qFormat/>
    <w:uiPriority w:val="1"/>
    <w:rPr>
      <w:rFonts w:ascii="宋体" w:hAnsi="宋体" w:cs="宋体"/>
      <w:lang w:val="zh-CN" w:bidi="zh-CN"/>
    </w:rPr>
  </w:style>
  <w:style w:type="paragraph" w:customStyle="1" w:styleId="95">
    <w:name w:val="_Style 3"/>
    <w:basedOn w:val="1"/>
    <w:qFormat/>
    <w:uiPriority w:val="99"/>
    <w:pPr>
      <w:autoSpaceDE w:val="0"/>
      <w:autoSpaceDN w:val="0"/>
      <w:spacing w:line="360" w:lineRule="auto"/>
      <w:ind w:firstLine="420" w:firstLineChars="200"/>
      <w:jc w:val="left"/>
    </w:pPr>
    <w:rPr>
      <w:rFonts w:cs="Times New Roman"/>
      <w:color w:val="auto"/>
      <w:kern w:val="0"/>
      <w:sz w:val="24"/>
      <w:szCs w:val="21"/>
      <w:lang w:val="zh-CN"/>
    </w:rPr>
  </w:style>
  <w:style w:type="paragraph" w:customStyle="1" w:styleId="96">
    <w:name w:val="列出段落"/>
    <w:basedOn w:val="1"/>
    <w:qFormat/>
    <w:uiPriority w:val="34"/>
    <w:pPr>
      <w:widowControl/>
      <w:ind w:firstLine="420" w:firstLineChars="200"/>
      <w:jc w:val="left"/>
    </w:pPr>
    <w:rPr>
      <w:kern w:val="0"/>
      <w:sz w:val="24"/>
    </w:rPr>
  </w:style>
  <w:style w:type="paragraph" w:customStyle="1" w:styleId="97">
    <w:name w:val="Heading 2"/>
    <w:basedOn w:val="1"/>
    <w:qFormat/>
    <w:uiPriority w:val="1"/>
    <w:pPr>
      <w:spacing w:before="255"/>
      <w:ind w:left="1146" w:right="1424"/>
      <w:jc w:val="center"/>
      <w:outlineLvl w:val="2"/>
    </w:pPr>
    <w:rPr>
      <w:b/>
      <w:bCs/>
      <w:sz w:val="36"/>
      <w:szCs w:val="36"/>
    </w:rPr>
  </w:style>
  <w:style w:type="paragraph" w:customStyle="1" w:styleId="98">
    <w:name w:val="Char"/>
    <w:basedOn w:val="1"/>
    <w:qFormat/>
    <w:uiPriority w:val="0"/>
    <w:pPr>
      <w:tabs>
        <w:tab w:val="left" w:pos="360"/>
      </w:tabs>
    </w:pPr>
    <w:rPr>
      <w:sz w:val="24"/>
    </w:rPr>
  </w:style>
  <w:style w:type="paragraph" w:customStyle="1" w:styleId="99">
    <w:name w:val="标题2"/>
    <w:basedOn w:val="3"/>
    <w:next w:val="1"/>
    <w:qFormat/>
    <w:uiPriority w:val="0"/>
    <w:rPr>
      <w:rFonts w:ascii="仿宋_GB2312" w:hAnsi="Arial" w:eastAsia="仿宋_GB2312" w:cs="Times New Roman"/>
      <w:szCs w:val="28"/>
    </w:rPr>
  </w:style>
  <w:style w:type="table" w:customStyle="1" w:styleId="100">
    <w:name w:val="Table Normal"/>
    <w:unhideWhenUsed/>
    <w:qFormat/>
    <w:uiPriority w:val="2"/>
    <w:tblPr>
      <w:tblCellMar>
        <w:top w:w="0" w:type="dxa"/>
        <w:left w:w="0" w:type="dxa"/>
        <w:bottom w:w="0" w:type="dxa"/>
        <w:right w:w="0" w:type="dxa"/>
      </w:tblCellMar>
    </w:tblPr>
  </w:style>
  <w:style w:type="character" w:customStyle="1" w:styleId="101">
    <w:name w:val="font41"/>
    <w:basedOn w:val="41"/>
    <w:qFormat/>
    <w:uiPriority w:val="0"/>
    <w:rPr>
      <w:rFonts w:hint="eastAsia" w:ascii="宋体" w:hAnsi="宋体" w:eastAsia="宋体" w:cs="宋体"/>
      <w:color w:val="000000"/>
      <w:sz w:val="22"/>
      <w:szCs w:val="22"/>
      <w:u w:val="none"/>
    </w:rPr>
  </w:style>
  <w:style w:type="paragraph" w:customStyle="1" w:styleId="102">
    <w:name w:val="List Paragraph_5ac2670b-336d-4e21-832f-f0d58d7dc020"/>
    <w:basedOn w:val="1"/>
    <w:qFormat/>
    <w:uiPriority w:val="34"/>
    <w:pPr>
      <w:ind w:firstLine="420" w:firstLineChars="200"/>
    </w:pPr>
  </w:style>
  <w:style w:type="paragraph" w:customStyle="1" w:styleId="103">
    <w:name w:val="Body text|3"/>
    <w:basedOn w:val="1"/>
    <w:qFormat/>
    <w:uiPriority w:val="0"/>
    <w:pPr>
      <w:spacing w:after="340"/>
      <w:jc w:val="center"/>
    </w:pPr>
    <w:rPr>
      <w:rFonts w:ascii="宋体" w:hAnsi="宋体" w:eastAsia="宋体" w:cs="宋体"/>
      <w:sz w:val="32"/>
      <w:szCs w:val="32"/>
      <w:lang w:val="zh-TW" w:eastAsia="zh-TW" w:bidi="zh-TW"/>
    </w:rPr>
  </w:style>
  <w:style w:type="paragraph" w:customStyle="1" w:styleId="104">
    <w:name w:val="Body text|1"/>
    <w:basedOn w:val="1"/>
    <w:qFormat/>
    <w:uiPriority w:val="0"/>
    <w:pPr>
      <w:spacing w:line="396" w:lineRule="auto"/>
    </w:pPr>
    <w:rPr>
      <w:rFonts w:ascii="宋体" w:hAnsi="宋体" w:eastAsia="宋体" w:cs="宋体"/>
      <w:lang w:val="zh-TW" w:eastAsia="zh-TW" w:bidi="zh-TW"/>
    </w:rPr>
  </w:style>
  <w:style w:type="paragraph" w:customStyle="1" w:styleId="105">
    <w:name w:val="列出段落3"/>
    <w:basedOn w:val="1"/>
    <w:qFormat/>
    <w:uiPriority w:val="1"/>
    <w:pPr>
      <w:ind w:left="107" w:firstLine="480"/>
    </w:pPr>
  </w:style>
  <w:style w:type="paragraph" w:customStyle="1" w:styleId="106">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kern w:val="2"/>
      <w:sz w:val="24"/>
    </w:rPr>
  </w:style>
  <w:style w:type="paragraph" w:customStyle="1" w:styleId="107">
    <w:name w:val="Default"/>
    <w:qFormat/>
    <w:uiPriority w:val="0"/>
    <w:pPr>
      <w:widowControl w:val="0"/>
      <w:autoSpaceDE w:val="0"/>
      <w:autoSpaceDN w:val="0"/>
    </w:pPr>
    <w:rPr>
      <w:rFonts w:ascii="宋体" w:hAnsi="Calibri" w:eastAsia="宋体" w:cs="宋体"/>
      <w:color w:val="000000"/>
      <w:sz w:val="24"/>
      <w:szCs w:val="24"/>
      <w:lang w:val="en-US" w:eastAsia="zh-CN" w:bidi="ar-SA"/>
    </w:rPr>
  </w:style>
  <w:style w:type="character" w:customStyle="1" w:styleId="108">
    <w:name w:val="NormalCharacter"/>
    <w:semiHidden/>
    <w:qFormat/>
    <w:uiPriority w:val="0"/>
  </w:style>
  <w:style w:type="paragraph" w:customStyle="1" w:styleId="109">
    <w:name w:val="_Style 2"/>
    <w:basedOn w:val="1"/>
    <w:qFormat/>
    <w:uiPriority w:val="0"/>
    <w:pPr>
      <w:ind w:firstLine="200" w:firstLineChars="200"/>
    </w:pPr>
    <w:rPr>
      <w:rFonts w:ascii="Calibri" w:hAnsi="Calibri"/>
      <w:sz w:val="28"/>
      <w:szCs w:val="22"/>
    </w:rPr>
  </w:style>
  <w:style w:type="character" w:customStyle="1" w:styleId="110">
    <w:name w:val="font71"/>
    <w:basedOn w:val="41"/>
    <w:qFormat/>
    <w:uiPriority w:val="0"/>
    <w:rPr>
      <w:rFonts w:hint="eastAsia" w:ascii="宋体" w:hAnsi="宋体" w:eastAsia="宋体" w:cs="宋体"/>
      <w:color w:val="000000"/>
      <w:sz w:val="24"/>
      <w:szCs w:val="24"/>
      <w:u w:val="none"/>
    </w:rPr>
  </w:style>
  <w:style w:type="character" w:customStyle="1" w:styleId="111">
    <w:name w:val="font111"/>
    <w:basedOn w:val="41"/>
    <w:qFormat/>
    <w:uiPriority w:val="0"/>
    <w:rPr>
      <w:rFonts w:hint="eastAsia" w:ascii="宋体" w:hAnsi="宋体" w:eastAsia="宋体" w:cs="宋体"/>
      <w:color w:val="000000"/>
      <w:sz w:val="24"/>
      <w:szCs w:val="24"/>
      <w:u w:val="none"/>
    </w:rPr>
  </w:style>
  <w:style w:type="paragraph" w:customStyle="1" w:styleId="112">
    <w:name w:val="_Style 20"/>
    <w:basedOn w:val="1"/>
    <w:qFormat/>
    <w:uiPriority w:val="0"/>
    <w:rPr>
      <w:rFonts w:ascii="Tahoma" w:hAnsi="Tahoma"/>
      <w:sz w:val="24"/>
      <w:szCs w:val="20"/>
    </w:rPr>
  </w:style>
  <w:style w:type="paragraph" w:customStyle="1" w:styleId="113">
    <w:name w:val="Table Text"/>
    <w:basedOn w:val="1"/>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94</Pages>
  <Words>52146</Words>
  <Characters>56324</Characters>
  <Lines>234</Lines>
  <Paragraphs>65</Paragraphs>
  <TotalTime>29</TotalTime>
  <ScaleCrop>false</ScaleCrop>
  <LinksUpToDate>false</LinksUpToDate>
  <CharactersWithSpaces>61929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2018-08-15T03:05:00Z</dcterms:created>
  <dc:creator>USER-</dc:creator>
  <cp:lastModifiedBy>菡萏</cp:lastModifiedBy>
  <cp:lastPrinted>2025-04-08T08:36:00Z</cp:lastPrinted>
  <dcterms:modified xsi:type="dcterms:W3CDTF">2025-04-11T02:35:01Z</dcterms:modified>
  <dc:title>02年杜范本稿</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EFCD20D9B8594662AD091D93CC900FF2_13</vt:lpwstr>
  </property>
  <property fmtid="{D5CDD505-2E9C-101B-9397-08002B2CF9AE}" pid="4" name="KSOTemplateDocerSaveRecord">
    <vt:lpwstr>eyJoZGlkIjoiOTE3ZWYwOTUxY2JkNTJmNzQyMDlmMzk4NDZiNzRjMGEiLCJ1c2VySWQiOiIyNTAyNTA0MTMifQ==</vt:lpwstr>
  </property>
</Properties>
</file>