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142A57">
      <w:pPr>
        <w:spacing w:line="760" w:lineRule="exact"/>
        <w:jc w:val="center"/>
        <w:rPr>
          <w:rFonts w:hint="eastAsia" w:ascii="仿宋" w:hAnsi="仿宋" w:eastAsia="仿宋" w:cs="仿宋"/>
          <w:b/>
          <w:bCs/>
          <w:color w:val="auto"/>
          <w:sz w:val="40"/>
          <w:szCs w:val="40"/>
          <w:highlight w:val="none"/>
          <w:lang w:eastAsia="zh-CN"/>
        </w:rPr>
      </w:pPr>
      <w:r>
        <w:rPr>
          <w:rFonts w:hint="eastAsia" w:ascii="仿宋" w:hAnsi="仿宋" w:eastAsia="仿宋" w:cs="仿宋"/>
          <w:b/>
          <w:bCs/>
          <w:color w:val="auto"/>
          <w:sz w:val="40"/>
          <w:szCs w:val="40"/>
          <w:highlight w:val="none"/>
          <w:lang w:eastAsia="zh-CN"/>
        </w:rPr>
        <w:t>克州GAJ无人机导航诱骗设备采购项目</w:t>
      </w:r>
    </w:p>
    <w:p w14:paraId="2EAB18DC">
      <w:pPr>
        <w:spacing w:line="760" w:lineRule="exact"/>
        <w:jc w:val="center"/>
        <w:rPr>
          <w:rFonts w:hint="default"/>
          <w:color w:val="auto"/>
          <w:highlight w:val="none"/>
          <w:lang w:val="en-US"/>
        </w:rPr>
      </w:pPr>
      <w:r>
        <w:rPr>
          <w:rFonts w:hint="eastAsia" w:ascii="仿宋" w:hAnsi="仿宋" w:eastAsia="仿宋" w:cs="仿宋"/>
          <w:b/>
          <w:bCs/>
          <w:color w:val="auto"/>
          <w:sz w:val="40"/>
          <w:szCs w:val="40"/>
          <w:highlight w:val="none"/>
          <w:lang w:eastAsia="zh-CN"/>
        </w:rPr>
        <w:t>项目编号：KZZB-20</w:t>
      </w:r>
      <w:r>
        <w:rPr>
          <w:rFonts w:hint="eastAsia" w:ascii="仿宋" w:hAnsi="仿宋" w:eastAsia="仿宋" w:cs="仿宋"/>
          <w:b/>
          <w:bCs/>
          <w:color w:val="auto"/>
          <w:sz w:val="40"/>
          <w:szCs w:val="40"/>
          <w:highlight w:val="none"/>
          <w:lang w:val="en-US" w:eastAsia="zh-CN"/>
        </w:rPr>
        <w:t>25027</w:t>
      </w:r>
    </w:p>
    <w:p w14:paraId="13A7D367">
      <w:pPr>
        <w:pStyle w:val="27"/>
        <w:rPr>
          <w:rFonts w:ascii="仿宋" w:hAnsi="仿宋" w:eastAsia="仿宋" w:cs="仿宋"/>
          <w:color w:val="auto"/>
          <w:highlight w:val="none"/>
        </w:rPr>
      </w:pPr>
    </w:p>
    <w:p w14:paraId="2F3CAA6D">
      <w:pPr>
        <w:pStyle w:val="27"/>
        <w:jc w:val="center"/>
        <w:rPr>
          <w:rFonts w:ascii="仿宋" w:hAnsi="仿宋" w:eastAsia="仿宋" w:cs="仿宋"/>
          <w:b/>
          <w:color w:val="auto"/>
          <w:sz w:val="96"/>
          <w:szCs w:val="96"/>
          <w:highlight w:val="none"/>
        </w:rPr>
      </w:pPr>
      <w:r>
        <w:rPr>
          <w:rFonts w:hint="eastAsia" w:ascii="仿宋" w:hAnsi="仿宋" w:eastAsia="仿宋" w:cs="仿宋"/>
          <w:b/>
          <w:color w:val="auto"/>
          <w:sz w:val="96"/>
          <w:szCs w:val="96"/>
          <w:highlight w:val="none"/>
        </w:rPr>
        <w:drawing>
          <wp:anchor distT="0" distB="0" distL="114300" distR="114300" simplePos="0" relativeHeight="251665408" behindDoc="1" locked="0" layoutInCell="1" allowOverlap="1">
            <wp:simplePos x="0" y="0"/>
            <wp:positionH relativeFrom="column">
              <wp:posOffset>1935480</wp:posOffset>
            </wp:positionH>
            <wp:positionV relativeFrom="page">
              <wp:posOffset>2784475</wp:posOffset>
            </wp:positionV>
            <wp:extent cx="2440940" cy="2383155"/>
            <wp:effectExtent l="0" t="0" r="16510" b="17145"/>
            <wp:wrapNone/>
            <wp:docPr id="1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
                    <pic:cNvPicPr>
                      <a:picLocks noChangeAspect="1"/>
                    </pic:cNvPicPr>
                  </pic:nvPicPr>
                  <pic:blipFill>
                    <a:blip r:embed="rId15" cstate="print"/>
                    <a:stretch>
                      <a:fillRect/>
                    </a:stretch>
                  </pic:blipFill>
                  <pic:spPr>
                    <a:xfrm>
                      <a:off x="0" y="0"/>
                      <a:ext cx="2440940" cy="2383155"/>
                    </a:xfrm>
                    <a:prstGeom prst="rect">
                      <a:avLst/>
                    </a:prstGeom>
                    <a:noFill/>
                    <a:ln>
                      <a:noFill/>
                    </a:ln>
                  </pic:spPr>
                </pic:pic>
              </a:graphicData>
            </a:graphic>
          </wp:anchor>
        </w:drawing>
      </w:r>
      <w:r>
        <w:rPr>
          <w:rFonts w:hint="eastAsia" w:ascii="仿宋" w:hAnsi="仿宋" w:eastAsia="仿宋" w:cs="仿宋"/>
          <w:b/>
          <w:color w:val="auto"/>
          <w:sz w:val="96"/>
          <w:szCs w:val="96"/>
          <w:highlight w:val="none"/>
        </w:rPr>
        <w:t>招</w:t>
      </w:r>
    </w:p>
    <w:p w14:paraId="1C33D9CC">
      <w:pPr>
        <w:pStyle w:val="27"/>
        <w:jc w:val="center"/>
        <w:rPr>
          <w:rFonts w:ascii="仿宋" w:hAnsi="仿宋" w:eastAsia="仿宋" w:cs="仿宋"/>
          <w:b/>
          <w:bCs/>
          <w:color w:val="auto"/>
          <w:sz w:val="96"/>
          <w:szCs w:val="96"/>
          <w:highlight w:val="none"/>
        </w:rPr>
      </w:pPr>
      <w:r>
        <w:rPr>
          <w:rFonts w:hint="eastAsia" w:ascii="仿宋" w:hAnsi="仿宋" w:eastAsia="仿宋" w:cs="仿宋"/>
          <w:b/>
          <w:color w:val="auto"/>
          <w:sz w:val="96"/>
          <w:szCs w:val="96"/>
          <w:highlight w:val="none"/>
        </w:rPr>
        <w:t>标</w:t>
      </w:r>
    </w:p>
    <w:p w14:paraId="5E27A867">
      <w:pPr>
        <w:pStyle w:val="27"/>
        <w:jc w:val="center"/>
        <w:rPr>
          <w:rFonts w:ascii="仿宋" w:hAnsi="仿宋" w:eastAsia="仿宋" w:cs="仿宋"/>
          <w:b/>
          <w:bCs/>
          <w:color w:val="auto"/>
          <w:sz w:val="96"/>
          <w:szCs w:val="96"/>
          <w:highlight w:val="none"/>
        </w:rPr>
      </w:pPr>
      <w:r>
        <w:rPr>
          <w:rFonts w:hint="eastAsia" w:ascii="仿宋" w:hAnsi="仿宋" w:eastAsia="仿宋" w:cs="仿宋"/>
          <w:b/>
          <w:bCs/>
          <w:color w:val="auto"/>
          <w:sz w:val="96"/>
          <w:szCs w:val="96"/>
          <w:highlight w:val="none"/>
        </w:rPr>
        <w:t>文</w:t>
      </w:r>
    </w:p>
    <w:p w14:paraId="36304C22">
      <w:pPr>
        <w:pStyle w:val="27"/>
        <w:jc w:val="center"/>
        <w:rPr>
          <w:rFonts w:ascii="仿宋" w:hAnsi="仿宋" w:eastAsia="仿宋" w:cs="仿宋"/>
          <w:color w:val="auto"/>
          <w:sz w:val="84"/>
          <w:szCs w:val="84"/>
          <w:highlight w:val="none"/>
        </w:rPr>
      </w:pPr>
      <w:r>
        <w:rPr>
          <w:rFonts w:hint="eastAsia" w:ascii="仿宋" w:hAnsi="仿宋" w:eastAsia="仿宋" w:cs="仿宋"/>
          <w:b/>
          <w:bCs/>
          <w:color w:val="auto"/>
          <w:sz w:val="96"/>
          <w:szCs w:val="96"/>
          <w:highlight w:val="none"/>
        </w:rPr>
        <w:t>件</w:t>
      </w:r>
    </w:p>
    <w:p w14:paraId="5194B097">
      <w:pPr>
        <w:pStyle w:val="27"/>
        <w:rPr>
          <w:rFonts w:ascii="仿宋" w:hAnsi="仿宋" w:eastAsia="仿宋" w:cs="仿宋"/>
          <w:color w:val="auto"/>
          <w:highlight w:val="none"/>
        </w:rPr>
      </w:pPr>
    </w:p>
    <w:p w14:paraId="47C0513C">
      <w:pPr>
        <w:spacing w:line="700" w:lineRule="exact"/>
        <w:rPr>
          <w:rFonts w:hint="eastAsia" w:ascii="仿宋" w:hAnsi="仿宋" w:eastAsia="仿宋" w:cs="仿宋"/>
          <w:color w:val="auto"/>
          <w:sz w:val="32"/>
          <w:szCs w:val="32"/>
          <w:highlight w:val="none"/>
          <w:lang w:eastAsia="zh-CN"/>
        </w:rPr>
      </w:pPr>
    </w:p>
    <w:p w14:paraId="2C27C06E">
      <w:pPr>
        <w:spacing w:line="700" w:lineRule="exact"/>
        <w:rPr>
          <w:rFonts w:ascii="仿宋" w:hAnsi="仿宋" w:eastAsia="仿宋" w:cs="仿宋"/>
          <w:color w:val="auto"/>
          <w:sz w:val="32"/>
          <w:szCs w:val="32"/>
          <w:lang w:eastAsia="zh-CN"/>
        </w:rPr>
      </w:pPr>
      <w:r>
        <w:rPr>
          <w:rFonts w:hint="eastAsia" w:ascii="仿宋" w:hAnsi="仿宋" w:eastAsia="仿宋" w:cs="仿宋"/>
          <w:color w:val="auto"/>
          <w:sz w:val="32"/>
          <w:szCs w:val="32"/>
          <w:lang w:eastAsia="zh-CN"/>
        </w:rPr>
        <w:t>采购单位：克孜勒苏柯尔克孜自治州公安局</w:t>
      </w:r>
    </w:p>
    <w:p w14:paraId="299B1740">
      <w:pPr>
        <w:spacing w:line="700" w:lineRule="exact"/>
        <w:rPr>
          <w:rFonts w:ascii="仿宋" w:hAnsi="仿宋" w:eastAsia="仿宋" w:cs="仿宋"/>
          <w:color w:val="auto"/>
          <w:sz w:val="32"/>
          <w:szCs w:val="32"/>
          <w:lang w:eastAsia="zh-CN"/>
        </w:rPr>
      </w:pPr>
      <w:r>
        <w:rPr>
          <w:rFonts w:hint="eastAsia" w:ascii="仿宋" w:hAnsi="仿宋" w:eastAsia="仿宋" w:cs="仿宋"/>
          <w:color w:val="auto"/>
          <w:sz w:val="32"/>
          <w:szCs w:val="32"/>
          <w:lang w:eastAsia="zh-CN"/>
        </w:rPr>
        <w:t xml:space="preserve">联 系 人：木先生 </w:t>
      </w:r>
    </w:p>
    <w:p w14:paraId="4C6696E9">
      <w:pPr>
        <w:spacing w:line="700" w:lineRule="exact"/>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联系电话：</w:t>
      </w:r>
      <w:r>
        <w:rPr>
          <w:rFonts w:hint="eastAsia" w:ascii="仿宋" w:hAnsi="仿宋" w:eastAsia="仿宋" w:cs="仿宋"/>
          <w:color w:val="auto"/>
          <w:sz w:val="32"/>
          <w:szCs w:val="32"/>
          <w:lang w:val="en-US" w:eastAsia="zh-CN"/>
        </w:rPr>
        <w:t>18099083275</w:t>
      </w:r>
    </w:p>
    <w:p w14:paraId="5B106F42">
      <w:pPr>
        <w:spacing w:line="700" w:lineRule="exact"/>
        <w:rPr>
          <w:rFonts w:ascii="仿宋" w:hAnsi="仿宋" w:eastAsia="仿宋" w:cs="仿宋"/>
          <w:color w:val="auto"/>
          <w:sz w:val="32"/>
          <w:szCs w:val="32"/>
          <w:lang w:eastAsia="zh-CN"/>
        </w:rPr>
      </w:pPr>
      <w:r>
        <w:rPr>
          <w:rFonts w:hint="eastAsia" w:ascii="仿宋" w:hAnsi="仿宋" w:eastAsia="仿宋" w:cs="仿宋"/>
          <w:color w:val="auto"/>
          <w:sz w:val="32"/>
          <w:szCs w:val="32"/>
          <w:lang w:eastAsia="zh-CN"/>
        </w:rPr>
        <w:t>代理机构：鼎建项目管理有限公司</w:t>
      </w:r>
    </w:p>
    <w:p w14:paraId="434D21D2">
      <w:pPr>
        <w:spacing w:line="700" w:lineRule="exact"/>
        <w:rPr>
          <w:rFonts w:ascii="仿宋" w:hAnsi="仿宋" w:eastAsia="仿宋" w:cs="仿宋"/>
          <w:color w:val="auto"/>
          <w:sz w:val="32"/>
          <w:szCs w:val="32"/>
          <w:lang w:eastAsia="zh-CN"/>
        </w:rPr>
      </w:pPr>
      <w:r>
        <w:rPr>
          <w:rFonts w:hint="eastAsia" w:ascii="仿宋" w:hAnsi="仿宋" w:eastAsia="仿宋" w:cs="仿宋"/>
          <w:color w:val="auto"/>
          <w:sz w:val="32"/>
          <w:szCs w:val="32"/>
          <w:lang w:eastAsia="zh-CN"/>
        </w:rPr>
        <w:t>联 系 人：朱先生</w:t>
      </w:r>
    </w:p>
    <w:p w14:paraId="7CCDEA8F">
      <w:pPr>
        <w:spacing w:line="700" w:lineRule="exact"/>
        <w:rPr>
          <w:rFonts w:ascii="仿宋" w:hAnsi="仿宋" w:eastAsia="仿宋" w:cs="仿宋"/>
          <w:b/>
          <w:color w:val="auto"/>
          <w:sz w:val="32"/>
          <w:szCs w:val="32"/>
          <w:lang w:eastAsia="zh-CN"/>
        </w:rPr>
      </w:pPr>
      <w:r>
        <w:rPr>
          <w:rFonts w:hint="eastAsia" w:ascii="仿宋" w:hAnsi="仿宋" w:eastAsia="仿宋" w:cs="仿宋"/>
          <w:color w:val="auto"/>
          <w:sz w:val="32"/>
          <w:szCs w:val="32"/>
          <w:lang w:eastAsia="zh-CN"/>
        </w:rPr>
        <w:t>联系电话：</w:t>
      </w:r>
      <w:r>
        <w:rPr>
          <w:rFonts w:hint="eastAsia" w:ascii="仿宋" w:hAnsi="仿宋" w:eastAsia="仿宋" w:cs="仿宋"/>
          <w:color w:val="auto"/>
          <w:sz w:val="32"/>
          <w:szCs w:val="32"/>
          <w:lang w:val="en-US" w:eastAsia="zh-CN"/>
        </w:rPr>
        <w:t>18609088999</w:t>
      </w:r>
    </w:p>
    <w:p w14:paraId="72EABBB8">
      <w:pPr>
        <w:pStyle w:val="25"/>
        <w:rPr>
          <w:rFonts w:hint="eastAsia"/>
        </w:rPr>
      </w:pPr>
    </w:p>
    <w:p w14:paraId="202F4748">
      <w:pPr>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招投标监督管理机构备案登记栏</w:t>
      </w:r>
    </w:p>
    <w:tbl>
      <w:tblPr>
        <w:tblStyle w:val="20"/>
        <w:tblW w:w="85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40206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5" w:hRule="atLeast"/>
          <w:jc w:val="center"/>
        </w:trPr>
        <w:tc>
          <w:tcPr>
            <w:tcW w:w="8527" w:type="dxa"/>
          </w:tcPr>
          <w:p w14:paraId="58392383">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rPr>
            </w:pPr>
          </w:p>
          <w:p w14:paraId="2C051618">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rPr>
            </w:pPr>
          </w:p>
          <w:p w14:paraId="3E5A01DF">
            <w:pPr>
              <w:pageBreakBefore w:val="0"/>
              <w:widowControl w:val="0"/>
              <w:kinsoku/>
              <w:wordWrap/>
              <w:overflowPunct/>
              <w:topLinePunct w:val="0"/>
              <w:autoSpaceDE/>
              <w:autoSpaceDN/>
              <w:bidi w:val="0"/>
              <w:adjustRightInd/>
              <w:snapToGrid/>
              <w:spacing w:line="500" w:lineRule="exact"/>
              <w:ind w:left="1600" w:hanging="1600" w:hangingChars="500"/>
              <w:jc w:val="left"/>
              <w:textAlignment w:val="auto"/>
              <w:rPr>
                <w:rFonts w:hint="eastAsia" w:ascii="仿宋" w:hAnsi="仿宋" w:eastAsia="仿宋" w:cs="仿宋"/>
                <w:color w:val="auto"/>
                <w:w w:val="95"/>
                <w:sz w:val="32"/>
                <w:szCs w:val="32"/>
                <w:lang w:val="en-US" w:eastAsia="zh-CN"/>
              </w:rPr>
            </w:pPr>
            <w:r>
              <w:rPr>
                <w:rFonts w:hint="eastAsia" w:ascii="仿宋" w:hAnsi="仿宋" w:eastAsia="仿宋" w:cs="仿宋"/>
                <w:color w:val="auto"/>
                <w:sz w:val="32"/>
                <w:szCs w:val="32"/>
              </w:rPr>
              <w:t>采购单位：</w:t>
            </w:r>
            <w:r>
              <w:rPr>
                <w:rFonts w:hint="eastAsia" w:ascii="仿宋" w:hAnsi="仿宋" w:eastAsia="仿宋" w:cs="仿宋"/>
                <w:color w:val="auto"/>
                <w:sz w:val="32"/>
                <w:szCs w:val="32"/>
                <w:lang w:eastAsia="zh-CN"/>
              </w:rPr>
              <w:t>克孜勒苏柯尔克孜自治州公安局</w:t>
            </w:r>
            <w:r>
              <w:rPr>
                <w:rFonts w:hint="eastAsia" w:ascii="仿宋" w:hAnsi="仿宋" w:eastAsia="仿宋" w:cs="仿宋"/>
                <w:color w:val="auto"/>
                <w:w w:val="95"/>
                <w:sz w:val="32"/>
                <w:szCs w:val="32"/>
                <w:lang w:eastAsia="zh-CN"/>
              </w:rPr>
              <w:t>（盖章）</w:t>
            </w:r>
          </w:p>
          <w:p w14:paraId="58DCABFB">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 xml:space="preserve"> </w:t>
            </w:r>
            <w:r>
              <w:rPr>
                <w:rFonts w:hint="eastAsia" w:ascii="仿宋" w:hAnsi="仿宋" w:eastAsia="仿宋" w:cs="仿宋"/>
                <w:color w:val="auto"/>
                <w:sz w:val="32"/>
                <w:szCs w:val="32"/>
                <w:lang w:val="en-US" w:eastAsia="zh-CN"/>
              </w:rPr>
              <w:t xml:space="preserve">                                           </w:t>
            </w:r>
          </w:p>
          <w:p w14:paraId="7096DF29">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14:paraId="6A1BD830">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14:paraId="744DA0A2">
            <w:pPr>
              <w:pageBreakBefore w:val="0"/>
              <w:widowControl w:val="0"/>
              <w:kinsoku/>
              <w:wordWrap/>
              <w:overflowPunct/>
              <w:topLinePunct w:val="0"/>
              <w:autoSpaceDE/>
              <w:autoSpaceDN/>
              <w:bidi w:val="0"/>
              <w:adjustRightInd/>
              <w:snapToGrid/>
              <w:spacing w:line="500" w:lineRule="exact"/>
              <w:ind w:left="3520" w:hanging="3520" w:hangingChars="1100"/>
              <w:jc w:val="left"/>
              <w:textAlignment w:val="auto"/>
              <w:rPr>
                <w:rFonts w:hint="eastAsia" w:ascii="仿宋" w:hAnsi="仿宋" w:eastAsia="仿宋" w:cs="仿宋"/>
                <w:color w:val="auto"/>
                <w:sz w:val="32"/>
                <w:szCs w:val="32"/>
              </w:rPr>
            </w:pPr>
          </w:p>
          <w:p w14:paraId="072685B6">
            <w:pPr>
              <w:pageBreakBefore w:val="0"/>
              <w:widowControl w:val="0"/>
              <w:kinsoku/>
              <w:wordWrap/>
              <w:overflowPunct/>
              <w:topLinePunct w:val="0"/>
              <w:autoSpaceDE/>
              <w:autoSpaceDN/>
              <w:bidi w:val="0"/>
              <w:adjustRightInd/>
              <w:snapToGrid/>
              <w:spacing w:line="500" w:lineRule="exact"/>
              <w:ind w:left="3520" w:hanging="3520" w:hangingChars="1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采购项目名称：克州GAJ无人机导航诱骗设备采购项目</w:t>
            </w:r>
          </w:p>
          <w:p w14:paraId="6ADD9D2D">
            <w:pPr>
              <w:pageBreakBefore w:val="0"/>
              <w:widowControl w:val="0"/>
              <w:kinsoku/>
              <w:wordWrap/>
              <w:overflowPunct/>
              <w:topLinePunct w:val="0"/>
              <w:autoSpaceDE/>
              <w:autoSpaceDN/>
              <w:bidi w:val="0"/>
              <w:adjustRightInd/>
              <w:snapToGrid/>
              <w:spacing w:line="500" w:lineRule="exact"/>
              <w:ind w:left="3520" w:hanging="3520" w:hangingChars="1100"/>
              <w:jc w:val="both"/>
              <w:textAlignment w:val="auto"/>
              <w:rPr>
                <w:rFonts w:hint="eastAsia" w:ascii="仿宋" w:hAnsi="仿宋" w:eastAsia="仿宋" w:cs="仿宋"/>
                <w:color w:val="auto"/>
                <w:sz w:val="32"/>
                <w:szCs w:val="32"/>
                <w:lang w:eastAsia="zh-CN"/>
              </w:rPr>
            </w:pPr>
          </w:p>
          <w:p w14:paraId="2F203E18">
            <w:pPr>
              <w:pageBreakBefore w:val="0"/>
              <w:widowControl w:val="0"/>
              <w:kinsoku/>
              <w:wordWrap/>
              <w:overflowPunct/>
              <w:topLinePunct w:val="0"/>
              <w:autoSpaceDE/>
              <w:autoSpaceDN/>
              <w:bidi w:val="0"/>
              <w:adjustRightInd/>
              <w:snapToGrid/>
              <w:spacing w:line="500" w:lineRule="exact"/>
              <w:ind w:left="3520" w:hanging="3520" w:hangingChars="1100"/>
              <w:jc w:val="left"/>
              <w:textAlignment w:val="auto"/>
              <w:rPr>
                <w:rFonts w:hint="eastAsia" w:ascii="仿宋" w:hAnsi="仿宋" w:eastAsia="仿宋" w:cs="仿宋"/>
                <w:color w:val="auto"/>
                <w:sz w:val="32"/>
                <w:szCs w:val="32"/>
                <w:lang w:eastAsia="zh-CN"/>
              </w:rPr>
            </w:pPr>
          </w:p>
          <w:p w14:paraId="069B265A">
            <w:pPr>
              <w:pageBreakBefore w:val="0"/>
              <w:widowControl w:val="0"/>
              <w:kinsoku/>
              <w:wordWrap/>
              <w:overflowPunct/>
              <w:topLinePunct w:val="0"/>
              <w:autoSpaceDE/>
              <w:autoSpaceDN/>
              <w:bidi w:val="0"/>
              <w:adjustRightInd/>
              <w:snapToGrid/>
              <w:spacing w:line="500" w:lineRule="exact"/>
              <w:ind w:left="3520" w:hanging="3520" w:hangingChars="1100"/>
              <w:jc w:val="left"/>
              <w:textAlignment w:val="auto"/>
              <w:rPr>
                <w:rFonts w:hint="eastAsia" w:ascii="仿宋" w:hAnsi="仿宋" w:eastAsia="仿宋" w:cs="仿宋"/>
                <w:color w:val="auto"/>
                <w:sz w:val="32"/>
                <w:szCs w:val="32"/>
                <w:lang w:eastAsia="zh-CN"/>
              </w:rPr>
            </w:pPr>
          </w:p>
          <w:p w14:paraId="01B5443B">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14:paraId="57BCA32E">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14:paraId="7D506879">
            <w:pPr>
              <w:keepNext w:val="0"/>
              <w:keepLines w:val="0"/>
              <w:pageBreakBefore w:val="0"/>
              <w:widowControl w:val="0"/>
              <w:shd w:val="clea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代理机构：</w:t>
            </w:r>
            <w:r>
              <w:rPr>
                <w:rFonts w:hint="eastAsia" w:ascii="仿宋" w:hAnsi="仿宋" w:eastAsia="仿宋" w:cs="仿宋"/>
                <w:color w:val="auto"/>
                <w:sz w:val="32"/>
                <w:szCs w:val="32"/>
                <w:lang w:eastAsia="zh-CN"/>
              </w:rPr>
              <w:t>鼎建项目管理有限公司（盖章）</w:t>
            </w:r>
          </w:p>
          <w:p w14:paraId="006A3F05">
            <w:pPr>
              <w:pStyle w:val="4"/>
              <w:jc w:val="center"/>
              <w:rPr>
                <w:rFonts w:hint="eastAsia" w:ascii="仿宋" w:hAnsi="仿宋" w:eastAsia="仿宋" w:cs="仿宋"/>
                <w:color w:val="auto"/>
              </w:rPr>
            </w:pPr>
          </w:p>
          <w:p w14:paraId="0DE3E22E">
            <w:pPr>
              <w:pStyle w:val="4"/>
              <w:jc w:val="center"/>
              <w:rPr>
                <w:rFonts w:hint="eastAsia" w:ascii="仿宋" w:hAnsi="仿宋" w:eastAsia="仿宋" w:cs="仿宋"/>
                <w:color w:val="auto"/>
              </w:rPr>
            </w:pPr>
          </w:p>
          <w:p w14:paraId="28C95CEC">
            <w:pPr>
              <w:pStyle w:val="4"/>
              <w:jc w:val="center"/>
              <w:rPr>
                <w:rFonts w:hint="eastAsia" w:ascii="仿宋" w:hAnsi="仿宋" w:eastAsia="仿宋" w:cs="仿宋"/>
                <w:color w:val="auto"/>
              </w:rPr>
            </w:pPr>
            <w:r>
              <w:rPr>
                <w:rFonts w:hint="eastAsia" w:ascii="仿宋" w:hAnsi="仿宋" w:eastAsia="仿宋" w:cs="仿宋"/>
                <w:color w:val="auto"/>
              </w:rPr>
              <w:t>日  期：20</w:t>
            </w:r>
            <w:r>
              <w:rPr>
                <w:rFonts w:hint="eastAsia" w:ascii="仿宋" w:hAnsi="仿宋" w:eastAsia="仿宋" w:cs="仿宋"/>
                <w:color w:val="auto"/>
                <w:lang w:val="en-US" w:eastAsia="zh-CN"/>
              </w:rPr>
              <w:t>25</w:t>
            </w:r>
            <w:r>
              <w:rPr>
                <w:rFonts w:hint="eastAsia" w:ascii="仿宋" w:hAnsi="仿宋" w:eastAsia="仿宋" w:cs="仿宋"/>
                <w:color w:val="auto"/>
              </w:rPr>
              <w:t>年</w:t>
            </w:r>
            <w:r>
              <w:rPr>
                <w:rFonts w:hint="eastAsia" w:ascii="仿宋" w:hAnsi="仿宋" w:eastAsia="仿宋" w:cs="仿宋"/>
                <w:color w:val="auto"/>
                <w:lang w:val="en-US" w:eastAsia="zh-CN"/>
              </w:rPr>
              <w:t>3</w:t>
            </w:r>
            <w:r>
              <w:rPr>
                <w:rFonts w:hint="eastAsia" w:ascii="仿宋" w:hAnsi="仿宋" w:eastAsia="仿宋" w:cs="仿宋"/>
                <w:color w:val="auto"/>
              </w:rPr>
              <w:t>月</w:t>
            </w:r>
          </w:p>
          <w:p w14:paraId="622BE10A">
            <w:pPr>
              <w:pStyle w:val="4"/>
              <w:rPr>
                <w:rFonts w:hint="eastAsia" w:ascii="仿宋" w:hAnsi="仿宋" w:eastAsia="仿宋" w:cs="仿宋"/>
                <w:color w:val="auto"/>
              </w:rPr>
            </w:pPr>
          </w:p>
        </w:tc>
      </w:tr>
    </w:tbl>
    <w:p w14:paraId="74F45A82">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color w:val="auto"/>
          <w:sz w:val="44"/>
          <w:szCs w:val="44"/>
        </w:rPr>
      </w:pPr>
    </w:p>
    <w:p w14:paraId="4463F744">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color w:val="auto"/>
          <w:sz w:val="44"/>
          <w:szCs w:val="44"/>
        </w:rPr>
        <w:sectPr>
          <w:headerReference r:id="rId5" w:type="default"/>
          <w:footerReference r:id="rId6" w:type="default"/>
          <w:pgSz w:w="11906" w:h="16838"/>
          <w:pgMar w:top="1440" w:right="1080" w:bottom="1440" w:left="1080" w:header="851" w:footer="992" w:gutter="0"/>
          <w:pgNumType w:fmt="decimal" w:start="1"/>
          <w:cols w:space="720" w:num="1"/>
          <w:docGrid w:type="linesAndChars" w:linePitch="312" w:charSpace="0"/>
        </w:sectPr>
      </w:pPr>
    </w:p>
    <w:p w14:paraId="4B40165E">
      <w:pPr>
        <w:rPr>
          <w:rFonts w:hint="eastAsia" w:ascii="仿宋" w:hAnsi="仿宋" w:eastAsia="仿宋" w:cs="仿宋"/>
          <w:color w:val="auto"/>
          <w:lang w:val="zh-CN"/>
        </w:rPr>
      </w:pPr>
    </w:p>
    <w:p w14:paraId="3353D252">
      <w:pPr>
        <w:pStyle w:val="29"/>
        <w:spacing w:before="0" w:line="360" w:lineRule="auto"/>
        <w:jc w:val="center"/>
        <w:rPr>
          <w:rFonts w:hint="eastAsia" w:ascii="仿宋" w:hAnsi="仿宋" w:eastAsia="仿宋" w:cs="仿宋"/>
          <w:color w:val="auto"/>
          <w:sz w:val="44"/>
          <w:szCs w:val="44"/>
          <w:lang w:val="zh-CN"/>
        </w:rPr>
      </w:pPr>
    </w:p>
    <w:p w14:paraId="2C384F74">
      <w:pPr>
        <w:pStyle w:val="29"/>
        <w:spacing w:before="0" w:line="360" w:lineRule="auto"/>
        <w:jc w:val="center"/>
        <w:rPr>
          <w:rFonts w:hint="eastAsia" w:ascii="仿宋" w:hAnsi="仿宋" w:eastAsia="仿宋" w:cs="仿宋"/>
          <w:color w:val="auto"/>
          <w:sz w:val="44"/>
          <w:szCs w:val="44"/>
          <w:lang w:val="zh-CN"/>
        </w:rPr>
      </w:pPr>
      <w:r>
        <w:rPr>
          <w:rFonts w:hint="eastAsia" w:ascii="仿宋" w:hAnsi="仿宋" w:eastAsia="仿宋" w:cs="仿宋"/>
          <w:color w:val="auto"/>
          <w:sz w:val="44"/>
          <w:szCs w:val="44"/>
          <w:lang w:val="zh-CN"/>
        </w:rPr>
        <w:t>目    录</w:t>
      </w:r>
    </w:p>
    <w:p w14:paraId="5A16EA85">
      <w:pPr>
        <w:rPr>
          <w:rFonts w:hint="eastAsia" w:ascii="仿宋" w:hAnsi="仿宋" w:eastAsia="仿宋" w:cs="仿宋"/>
          <w:color w:val="auto"/>
          <w:sz w:val="30"/>
          <w:szCs w:val="30"/>
          <w:lang w:val="zh-CN"/>
        </w:rPr>
      </w:pPr>
    </w:p>
    <w:p w14:paraId="4BFD844E">
      <w:pPr>
        <w:spacing w:line="360" w:lineRule="auto"/>
        <w:rPr>
          <w:rFonts w:hint="eastAsia" w:ascii="仿宋" w:hAnsi="仿宋" w:eastAsia="仿宋" w:cs="仿宋"/>
          <w:color w:val="auto"/>
          <w:sz w:val="30"/>
          <w:szCs w:val="30"/>
        </w:rPr>
      </w:pPr>
    </w:p>
    <w:p w14:paraId="1F912809">
      <w:pPr>
        <w:widowControl/>
        <w:jc w:val="left"/>
        <w:rPr>
          <w:rFonts w:hint="eastAsia" w:ascii="仿宋" w:hAnsi="仿宋" w:eastAsia="仿宋" w:cs="仿宋"/>
          <w:color w:val="auto"/>
          <w:sz w:val="30"/>
          <w:szCs w:val="30"/>
        </w:rPr>
      </w:pPr>
    </w:p>
    <w:p w14:paraId="5C24A316">
      <w:pPr>
        <w:spacing w:line="360" w:lineRule="auto"/>
        <w:ind w:firstLine="1800" w:firstLineChars="600"/>
        <w:rPr>
          <w:rFonts w:hint="eastAsia" w:ascii="仿宋" w:hAnsi="仿宋" w:eastAsia="仿宋" w:cs="仿宋"/>
          <w:b/>
          <w:color w:val="auto"/>
          <w:sz w:val="30"/>
          <w:szCs w:val="30"/>
        </w:rPr>
      </w:pPr>
      <w:r>
        <w:rPr>
          <w:rFonts w:hint="eastAsia" w:ascii="仿宋" w:hAnsi="仿宋" w:eastAsia="仿宋" w:cs="仿宋"/>
          <w:b/>
          <w:color w:val="auto"/>
          <w:sz w:val="30"/>
          <w:szCs w:val="30"/>
        </w:rPr>
        <w:t>第一</w:t>
      </w:r>
      <w:r>
        <w:rPr>
          <w:rFonts w:hint="eastAsia" w:ascii="仿宋" w:hAnsi="仿宋" w:eastAsia="仿宋" w:cs="仿宋"/>
          <w:b/>
          <w:color w:val="auto"/>
          <w:sz w:val="30"/>
          <w:szCs w:val="30"/>
          <w:lang w:eastAsia="zh-CN"/>
        </w:rPr>
        <w:t>章</w:t>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eastAsia="zh-CN"/>
        </w:rPr>
        <w:t>招标</w:t>
      </w:r>
      <w:r>
        <w:rPr>
          <w:rFonts w:hint="eastAsia" w:ascii="仿宋" w:hAnsi="仿宋" w:eastAsia="仿宋" w:cs="仿宋"/>
          <w:b/>
          <w:color w:val="auto"/>
          <w:sz w:val="30"/>
          <w:szCs w:val="30"/>
        </w:rPr>
        <w:t>公告</w:t>
      </w:r>
    </w:p>
    <w:p w14:paraId="0C669CB5">
      <w:pPr>
        <w:spacing w:line="360" w:lineRule="auto"/>
        <w:ind w:firstLine="1800" w:firstLineChars="600"/>
        <w:rPr>
          <w:rFonts w:hint="eastAsia" w:ascii="仿宋" w:hAnsi="仿宋" w:eastAsia="仿宋" w:cs="仿宋"/>
          <w:color w:val="auto"/>
        </w:rPr>
      </w:pPr>
      <w:r>
        <w:rPr>
          <w:rFonts w:hint="eastAsia" w:ascii="仿宋" w:hAnsi="仿宋" w:eastAsia="仿宋" w:cs="仿宋"/>
          <w:b/>
          <w:color w:val="auto"/>
          <w:sz w:val="30"/>
          <w:szCs w:val="30"/>
        </w:rPr>
        <w:t>第二</w:t>
      </w:r>
      <w:r>
        <w:rPr>
          <w:rFonts w:hint="eastAsia" w:ascii="仿宋" w:hAnsi="仿宋" w:eastAsia="仿宋" w:cs="仿宋"/>
          <w:b/>
          <w:color w:val="auto"/>
          <w:sz w:val="30"/>
          <w:szCs w:val="30"/>
          <w:lang w:eastAsia="zh-CN"/>
        </w:rPr>
        <w:t>章</w:t>
      </w:r>
      <w:r>
        <w:rPr>
          <w:rFonts w:hint="eastAsia" w:ascii="仿宋" w:hAnsi="仿宋" w:eastAsia="仿宋" w:cs="仿宋"/>
          <w:b/>
          <w:color w:val="auto"/>
          <w:sz w:val="30"/>
          <w:szCs w:val="30"/>
        </w:rPr>
        <w:t xml:space="preserve">      供应商须知</w:t>
      </w:r>
    </w:p>
    <w:p w14:paraId="6A6A0CE4">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第三</w:t>
      </w:r>
      <w:r>
        <w:rPr>
          <w:rFonts w:hint="eastAsia" w:ascii="仿宋" w:hAnsi="仿宋" w:eastAsia="仿宋" w:cs="仿宋"/>
          <w:b/>
          <w:color w:val="auto"/>
          <w:sz w:val="30"/>
          <w:szCs w:val="30"/>
          <w:lang w:eastAsia="zh-CN"/>
        </w:rPr>
        <w:t>章</w:t>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eastAsia="zh-CN"/>
        </w:rPr>
        <w:t>评标办法</w:t>
      </w:r>
    </w:p>
    <w:p w14:paraId="23378F46">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第四</w:t>
      </w:r>
      <w:r>
        <w:rPr>
          <w:rFonts w:hint="eastAsia" w:ascii="仿宋" w:hAnsi="仿宋" w:eastAsia="仿宋" w:cs="仿宋"/>
          <w:b/>
          <w:color w:val="auto"/>
          <w:sz w:val="30"/>
          <w:szCs w:val="30"/>
          <w:lang w:eastAsia="zh-CN"/>
        </w:rPr>
        <w:t>章</w:t>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eastAsia="zh-CN"/>
        </w:rPr>
        <w:t>技术规格数量及质量要求</w:t>
      </w:r>
    </w:p>
    <w:p w14:paraId="63CFD15B">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第五</w:t>
      </w:r>
      <w:r>
        <w:rPr>
          <w:rFonts w:hint="eastAsia" w:ascii="仿宋" w:hAnsi="仿宋" w:eastAsia="仿宋" w:cs="仿宋"/>
          <w:b/>
          <w:color w:val="auto"/>
          <w:sz w:val="30"/>
          <w:szCs w:val="30"/>
          <w:lang w:eastAsia="zh-CN"/>
        </w:rPr>
        <w:t>章</w:t>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eastAsia="zh-CN"/>
        </w:rPr>
        <w:t>合同（参考）</w:t>
      </w:r>
    </w:p>
    <w:p w14:paraId="2F9F505A">
      <w:pPr>
        <w:pStyle w:val="26"/>
        <w:ind w:firstLine="1800" w:firstLineChars="600"/>
        <w:rPr>
          <w:rFonts w:hint="eastAsia" w:ascii="仿宋" w:hAnsi="仿宋" w:eastAsia="仿宋" w:cs="仿宋"/>
          <w:color w:val="auto"/>
          <w:lang w:val="en-US"/>
        </w:rPr>
      </w:pPr>
      <w:r>
        <w:rPr>
          <w:rFonts w:hint="eastAsia" w:ascii="仿宋" w:hAnsi="仿宋" w:eastAsia="仿宋" w:cs="仿宋"/>
          <w:b/>
          <w:color w:val="auto"/>
          <w:sz w:val="30"/>
          <w:szCs w:val="30"/>
          <w:lang w:eastAsia="zh-CN"/>
        </w:rPr>
        <w:t>第六章</w:t>
      </w:r>
      <w:r>
        <w:rPr>
          <w:rFonts w:hint="eastAsia" w:ascii="仿宋" w:hAnsi="仿宋" w:eastAsia="仿宋" w:cs="仿宋"/>
          <w:b/>
          <w:color w:val="auto"/>
          <w:sz w:val="30"/>
          <w:szCs w:val="30"/>
        </w:rPr>
        <w:t xml:space="preserve"> </w:t>
      </w:r>
      <w:r>
        <w:rPr>
          <w:rFonts w:hint="eastAsia" w:ascii="仿宋" w:hAnsi="仿宋" w:eastAsia="仿宋" w:cs="仿宋"/>
          <w:b/>
          <w:color w:val="auto"/>
          <w:sz w:val="30"/>
          <w:szCs w:val="30"/>
          <w:lang w:val="en-US" w:eastAsia="zh-CN"/>
        </w:rPr>
        <w:t xml:space="preserve">     投标文件格式</w:t>
      </w:r>
    </w:p>
    <w:p w14:paraId="42739DB5">
      <w:pPr>
        <w:pStyle w:val="7"/>
        <w:numPr>
          <w:ilvl w:val="0"/>
          <w:numId w:val="0"/>
        </w:numPr>
        <w:ind w:leftChars="0" w:right="0" w:rightChars="0"/>
        <w:rPr>
          <w:rFonts w:hint="eastAsia" w:ascii="仿宋" w:hAnsi="仿宋" w:eastAsia="仿宋" w:cs="仿宋"/>
          <w:color w:val="auto"/>
        </w:rPr>
      </w:pPr>
    </w:p>
    <w:p w14:paraId="3E0029ED">
      <w:pPr>
        <w:rPr>
          <w:rFonts w:hint="eastAsia" w:ascii="仿宋" w:hAnsi="仿宋" w:eastAsia="仿宋" w:cs="仿宋"/>
          <w:color w:val="auto"/>
        </w:rPr>
      </w:pPr>
    </w:p>
    <w:p w14:paraId="6D199B4C">
      <w:pPr>
        <w:pStyle w:val="4"/>
        <w:rPr>
          <w:rFonts w:hint="eastAsia" w:ascii="仿宋" w:hAnsi="仿宋" w:eastAsia="仿宋" w:cs="仿宋"/>
          <w:color w:val="auto"/>
          <w:lang w:val="en-US" w:eastAsia="zh-CN"/>
        </w:rPr>
      </w:pPr>
    </w:p>
    <w:p w14:paraId="590B8CA3">
      <w:pPr>
        <w:rPr>
          <w:rFonts w:hint="eastAsia" w:ascii="仿宋" w:hAnsi="仿宋" w:eastAsia="仿宋" w:cs="仿宋"/>
          <w:color w:val="auto"/>
        </w:rPr>
      </w:pPr>
    </w:p>
    <w:p w14:paraId="0BCEFE3F">
      <w:pPr>
        <w:pStyle w:val="4"/>
        <w:rPr>
          <w:rFonts w:hint="eastAsia" w:ascii="仿宋" w:hAnsi="仿宋" w:eastAsia="仿宋" w:cs="仿宋"/>
          <w:color w:val="auto"/>
        </w:rPr>
      </w:pPr>
    </w:p>
    <w:p w14:paraId="70CB17F9">
      <w:pPr>
        <w:rPr>
          <w:rFonts w:hint="eastAsia" w:ascii="仿宋" w:hAnsi="仿宋" w:eastAsia="仿宋" w:cs="仿宋"/>
          <w:color w:val="auto"/>
        </w:rPr>
      </w:pPr>
    </w:p>
    <w:p w14:paraId="23E954F1">
      <w:pPr>
        <w:pStyle w:val="4"/>
        <w:rPr>
          <w:rFonts w:hint="eastAsia" w:ascii="仿宋" w:hAnsi="仿宋" w:eastAsia="仿宋" w:cs="仿宋"/>
          <w:color w:val="auto"/>
        </w:rPr>
      </w:pPr>
    </w:p>
    <w:p w14:paraId="514A0ADB">
      <w:pPr>
        <w:rPr>
          <w:rFonts w:hint="eastAsia" w:ascii="仿宋" w:hAnsi="仿宋" w:eastAsia="仿宋" w:cs="仿宋"/>
          <w:color w:val="auto"/>
        </w:rPr>
      </w:pPr>
    </w:p>
    <w:p w14:paraId="3D532A22">
      <w:pPr>
        <w:pStyle w:val="4"/>
        <w:rPr>
          <w:rFonts w:hint="eastAsia" w:ascii="仿宋" w:hAnsi="仿宋" w:eastAsia="仿宋" w:cs="仿宋"/>
          <w:color w:val="auto"/>
        </w:rPr>
      </w:pPr>
    </w:p>
    <w:p w14:paraId="5895B974">
      <w:pPr>
        <w:rPr>
          <w:rFonts w:hint="eastAsia" w:ascii="仿宋" w:hAnsi="仿宋" w:eastAsia="仿宋" w:cs="仿宋"/>
          <w:color w:val="auto"/>
        </w:rPr>
      </w:pPr>
    </w:p>
    <w:p w14:paraId="4D92314F">
      <w:pPr>
        <w:pStyle w:val="30"/>
        <w:keepNext/>
        <w:keepLines/>
        <w:widowControl w:val="0"/>
        <w:shd w:val="clear" w:color="auto" w:fill="auto"/>
        <w:bidi w:val="0"/>
        <w:spacing w:before="120" w:after="300" w:line="240" w:lineRule="auto"/>
        <w:ind w:left="0" w:right="0" w:firstLine="0"/>
        <w:jc w:val="center"/>
        <w:rPr>
          <w:rFonts w:hint="eastAsia" w:ascii="仿宋" w:hAnsi="仿宋" w:eastAsia="仿宋" w:cs="仿宋"/>
          <w:b/>
          <w:bCs/>
          <w:color w:val="auto"/>
          <w:spacing w:val="0"/>
          <w:w w:val="100"/>
          <w:position w:val="0"/>
          <w:sz w:val="36"/>
          <w:szCs w:val="36"/>
        </w:rPr>
        <w:sectPr>
          <w:footerReference r:id="rId7" w:type="default"/>
          <w:pgSz w:w="11906" w:h="16838"/>
          <w:pgMar w:top="1440" w:right="1080" w:bottom="1440" w:left="1080" w:header="851" w:footer="992" w:gutter="0"/>
          <w:pgNumType w:fmt="decimal" w:start="1"/>
          <w:cols w:space="720" w:num="1"/>
          <w:docGrid w:type="linesAndChars" w:linePitch="312" w:charSpace="0"/>
        </w:sectPr>
      </w:pPr>
    </w:p>
    <w:p w14:paraId="1EE49848">
      <w:pPr>
        <w:pStyle w:val="30"/>
        <w:keepNext/>
        <w:keepLines/>
        <w:widowControl w:val="0"/>
        <w:shd w:val="clear" w:color="auto" w:fill="auto"/>
        <w:bidi w:val="0"/>
        <w:spacing w:before="120" w:after="300" w:line="240" w:lineRule="auto"/>
        <w:ind w:left="0" w:right="0" w:firstLine="0"/>
        <w:jc w:val="center"/>
        <w:rPr>
          <w:rFonts w:hint="eastAsia" w:ascii="仿宋" w:hAnsi="仿宋" w:eastAsia="仿宋" w:cs="仿宋"/>
          <w:b/>
          <w:bCs/>
          <w:color w:val="auto"/>
          <w:spacing w:val="0"/>
          <w:w w:val="100"/>
          <w:position w:val="0"/>
          <w:sz w:val="36"/>
          <w:szCs w:val="36"/>
          <w:lang w:eastAsia="zh-CN"/>
        </w:rPr>
      </w:pPr>
      <w:r>
        <w:rPr>
          <w:rFonts w:hint="eastAsia" w:ascii="仿宋" w:hAnsi="仿宋" w:eastAsia="仿宋" w:cs="仿宋"/>
          <w:b/>
          <w:bCs/>
          <w:color w:val="auto"/>
          <w:spacing w:val="0"/>
          <w:w w:val="100"/>
          <w:position w:val="0"/>
          <w:sz w:val="36"/>
          <w:szCs w:val="36"/>
        </w:rPr>
        <w:t>第一</w:t>
      </w:r>
      <w:r>
        <w:rPr>
          <w:rFonts w:hint="eastAsia" w:ascii="仿宋" w:hAnsi="仿宋" w:eastAsia="仿宋" w:cs="仿宋"/>
          <w:b/>
          <w:bCs/>
          <w:color w:val="auto"/>
          <w:spacing w:val="0"/>
          <w:w w:val="100"/>
          <w:position w:val="0"/>
          <w:sz w:val="36"/>
          <w:szCs w:val="36"/>
          <w:lang w:eastAsia="zh-CN"/>
        </w:rPr>
        <w:t>章</w:t>
      </w:r>
      <w:r>
        <w:rPr>
          <w:rFonts w:hint="eastAsia" w:ascii="仿宋" w:hAnsi="仿宋" w:eastAsia="仿宋" w:cs="仿宋"/>
          <w:b/>
          <w:bCs/>
          <w:color w:val="auto"/>
          <w:spacing w:val="0"/>
          <w:w w:val="100"/>
          <w:position w:val="0"/>
          <w:sz w:val="36"/>
          <w:szCs w:val="36"/>
          <w:lang w:val="en-US" w:eastAsia="zh-CN"/>
        </w:rPr>
        <w:t xml:space="preserve"> </w:t>
      </w:r>
      <w:r>
        <w:rPr>
          <w:rFonts w:hint="eastAsia" w:ascii="仿宋" w:hAnsi="仿宋" w:eastAsia="仿宋" w:cs="仿宋"/>
          <w:b/>
          <w:bCs/>
          <w:color w:val="auto"/>
          <w:spacing w:val="0"/>
          <w:w w:val="100"/>
          <w:position w:val="0"/>
          <w:sz w:val="36"/>
          <w:szCs w:val="36"/>
          <w:lang w:eastAsia="zh-CN"/>
        </w:rPr>
        <w:t>招标公告</w:t>
      </w:r>
      <w:bookmarkStart w:id="0" w:name="_Toc28359001"/>
      <w:bookmarkStart w:id="1" w:name="_Toc35393789"/>
    </w:p>
    <w:bookmarkEnd w:id="0"/>
    <w:bookmarkEnd w:id="1"/>
    <w:p w14:paraId="59F30DB3">
      <w:pPr>
        <w:pStyle w:val="2"/>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i w:val="0"/>
          <w:iCs w:val="0"/>
          <w:caps w:val="0"/>
          <w:color w:val="000000"/>
          <w:spacing w:val="0"/>
          <w:kern w:val="0"/>
          <w:sz w:val="32"/>
          <w:szCs w:val="32"/>
          <w:lang w:val="en-US" w:eastAsia="zh-CN" w:bidi="ar"/>
        </w:rPr>
      </w:pPr>
      <w:r>
        <w:rPr>
          <w:rFonts w:hint="eastAsia" w:ascii="仿宋" w:hAnsi="仿宋" w:eastAsia="仿宋" w:cs="仿宋"/>
          <w:b/>
          <w:bCs/>
          <w:i w:val="0"/>
          <w:iCs w:val="0"/>
          <w:caps w:val="0"/>
          <w:color w:val="000000"/>
          <w:spacing w:val="0"/>
          <w:kern w:val="0"/>
          <w:sz w:val="32"/>
          <w:szCs w:val="32"/>
          <w:lang w:val="en-US" w:eastAsia="zh-CN" w:bidi="ar"/>
        </w:rPr>
        <w:t>克州GAJ无人机导航诱骗设备采购项目</w:t>
      </w:r>
    </w:p>
    <w:p w14:paraId="1DD35673">
      <w:pPr>
        <w:pStyle w:val="2"/>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i w:val="0"/>
          <w:iCs w:val="0"/>
          <w:caps w:val="0"/>
          <w:color w:val="000000"/>
          <w:spacing w:val="0"/>
          <w:kern w:val="0"/>
          <w:sz w:val="32"/>
          <w:szCs w:val="32"/>
          <w:lang w:val="en-US" w:eastAsia="zh-CN" w:bidi="ar"/>
        </w:rPr>
      </w:pPr>
      <w:r>
        <w:rPr>
          <w:rFonts w:hint="eastAsia" w:ascii="仿宋" w:hAnsi="仿宋" w:eastAsia="仿宋" w:cs="仿宋"/>
          <w:b/>
          <w:bCs/>
          <w:i w:val="0"/>
          <w:iCs w:val="0"/>
          <w:caps w:val="0"/>
          <w:color w:val="000000"/>
          <w:spacing w:val="0"/>
          <w:kern w:val="0"/>
          <w:sz w:val="32"/>
          <w:szCs w:val="32"/>
          <w:lang w:val="en-US" w:eastAsia="zh-CN" w:bidi="ar"/>
        </w:rPr>
        <w:t>公开招标公告</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43"/>
      </w:tblGrid>
      <w:tr w14:paraId="1331B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9743" w:type="dxa"/>
            <w:noWrap w:val="0"/>
            <w:vAlign w:val="top"/>
          </w:tcPr>
          <w:p w14:paraId="57571C0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240" w:lineRule="auto"/>
              <w:ind w:left="0" w:right="0" w:firstLine="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lang w:eastAsia="zh-CN"/>
              </w:rPr>
              <w:t>项目概况</w:t>
            </w:r>
          </w:p>
          <w:p w14:paraId="76F60E8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240" w:lineRule="auto"/>
              <w:ind w:left="0" w:right="0" w:firstLine="480" w:firstLineChars="200"/>
              <w:jc w:val="left"/>
              <w:textAlignment w:val="auto"/>
              <w:rPr>
                <w:b w:val="0"/>
                <w:bCs w:val="0"/>
                <w:color w:val="auto"/>
                <w:sz w:val="36"/>
                <w:szCs w:val="36"/>
                <w:vertAlign w:val="baseline"/>
              </w:rPr>
            </w:pPr>
            <w:r>
              <w:rPr>
                <w:rFonts w:hint="eastAsia" w:ascii="仿宋" w:hAnsi="仿宋" w:eastAsia="仿宋" w:cs="仿宋"/>
                <w:i w:val="0"/>
                <w:iCs w:val="0"/>
                <w:caps w:val="0"/>
                <w:color w:val="000000"/>
                <w:spacing w:val="0"/>
                <w:sz w:val="24"/>
                <w:szCs w:val="24"/>
                <w:lang w:val="en-US" w:eastAsia="zh-CN"/>
              </w:rPr>
              <w:t>克州GAJ无人机导航诱骗设备采购项目</w:t>
            </w:r>
            <w:r>
              <w:rPr>
                <w:rFonts w:hint="eastAsia" w:ascii="仿宋" w:hAnsi="仿宋" w:eastAsia="仿宋" w:cs="仿宋"/>
                <w:i w:val="0"/>
                <w:iCs w:val="0"/>
                <w:caps w:val="0"/>
                <w:color w:val="000000"/>
                <w:spacing w:val="0"/>
                <w:sz w:val="24"/>
                <w:szCs w:val="24"/>
                <w:lang w:eastAsia="zh-CN"/>
              </w:rPr>
              <w:t>招标项目</w:t>
            </w:r>
            <w:r>
              <w:rPr>
                <w:rFonts w:hint="eastAsia" w:ascii="仿宋" w:hAnsi="仿宋" w:eastAsia="仿宋" w:cs="仿宋"/>
                <w:i w:val="0"/>
                <w:iCs w:val="0"/>
                <w:caps w:val="0"/>
                <w:color w:val="000000"/>
                <w:spacing w:val="0"/>
                <w:sz w:val="24"/>
                <w:szCs w:val="24"/>
              </w:rPr>
              <w:t>的潜在供应商应在政采云平台线上获取采购文件，并于</w:t>
            </w:r>
            <w:r>
              <w:rPr>
                <w:rFonts w:hint="eastAsia" w:ascii="仿宋" w:hAnsi="仿宋" w:eastAsia="仿宋" w:cs="仿宋"/>
                <w:i w:val="0"/>
                <w:iCs w:val="0"/>
                <w:caps w:val="0"/>
                <w:color w:val="auto"/>
                <w:spacing w:val="0"/>
                <w:sz w:val="24"/>
                <w:szCs w:val="24"/>
              </w:rPr>
              <w:t>202</w:t>
            </w:r>
            <w:r>
              <w:rPr>
                <w:rFonts w:hint="eastAsia" w:ascii="仿宋" w:hAnsi="仿宋" w:eastAsia="仿宋" w:cs="仿宋"/>
                <w:i w:val="0"/>
                <w:iCs w:val="0"/>
                <w:caps w:val="0"/>
                <w:color w:val="auto"/>
                <w:spacing w:val="0"/>
                <w:sz w:val="24"/>
                <w:szCs w:val="24"/>
                <w:lang w:val="en-US" w:eastAsia="zh-CN"/>
              </w:rPr>
              <w:t>5</w:t>
            </w:r>
            <w:r>
              <w:rPr>
                <w:rFonts w:hint="eastAsia" w:ascii="仿宋" w:hAnsi="仿宋" w:eastAsia="仿宋" w:cs="仿宋"/>
                <w:i w:val="0"/>
                <w:iCs w:val="0"/>
                <w:caps w:val="0"/>
                <w:color w:val="auto"/>
                <w:spacing w:val="0"/>
                <w:sz w:val="24"/>
                <w:szCs w:val="24"/>
              </w:rPr>
              <w:t>年</w:t>
            </w:r>
            <w:r>
              <w:rPr>
                <w:rFonts w:hint="eastAsia" w:ascii="仿宋" w:hAnsi="仿宋" w:eastAsia="仿宋" w:cs="仿宋"/>
                <w:i w:val="0"/>
                <w:iCs w:val="0"/>
                <w:caps w:val="0"/>
                <w:color w:val="auto"/>
                <w:spacing w:val="0"/>
                <w:sz w:val="24"/>
                <w:szCs w:val="24"/>
                <w:lang w:val="en-US" w:eastAsia="zh-CN"/>
              </w:rPr>
              <w:t xml:space="preserve">4 </w:t>
            </w:r>
            <w:r>
              <w:rPr>
                <w:rFonts w:hint="eastAsia" w:ascii="仿宋" w:hAnsi="仿宋" w:eastAsia="仿宋" w:cs="仿宋"/>
                <w:i w:val="0"/>
                <w:iCs w:val="0"/>
                <w:caps w:val="0"/>
                <w:color w:val="auto"/>
                <w:spacing w:val="0"/>
                <w:sz w:val="24"/>
                <w:szCs w:val="24"/>
              </w:rPr>
              <w:t>月</w:t>
            </w:r>
            <w:r>
              <w:rPr>
                <w:rFonts w:hint="eastAsia" w:ascii="仿宋" w:hAnsi="仿宋" w:eastAsia="仿宋" w:cs="仿宋"/>
                <w:i w:val="0"/>
                <w:iCs w:val="0"/>
                <w:caps w:val="0"/>
                <w:color w:val="auto"/>
                <w:spacing w:val="0"/>
                <w:sz w:val="24"/>
                <w:szCs w:val="24"/>
                <w:lang w:val="en-US" w:eastAsia="zh-CN"/>
              </w:rPr>
              <w:t xml:space="preserve">1 </w:t>
            </w:r>
            <w:r>
              <w:rPr>
                <w:rFonts w:hint="eastAsia" w:ascii="仿宋" w:hAnsi="仿宋" w:eastAsia="仿宋" w:cs="仿宋"/>
                <w:i w:val="0"/>
                <w:iCs w:val="0"/>
                <w:caps w:val="0"/>
                <w:color w:val="auto"/>
                <w:spacing w:val="0"/>
                <w:sz w:val="24"/>
                <w:szCs w:val="24"/>
              </w:rPr>
              <w:t xml:space="preserve">日 </w:t>
            </w:r>
            <w:r>
              <w:rPr>
                <w:rFonts w:hint="eastAsia" w:ascii="仿宋" w:hAnsi="仿宋" w:eastAsia="仿宋" w:cs="仿宋"/>
                <w:i w:val="0"/>
                <w:iCs w:val="0"/>
                <w:caps w:val="0"/>
                <w:color w:val="000000"/>
                <w:spacing w:val="0"/>
                <w:sz w:val="24"/>
                <w:szCs w:val="24"/>
              </w:rPr>
              <w:t>10:30（北京时间）前提交响应文件。  </w:t>
            </w:r>
            <w:r>
              <w:rPr>
                <w:rFonts w:hint="eastAsia"/>
                <w:b w:val="0"/>
                <w:bCs w:val="0"/>
                <w:color w:val="auto"/>
                <w:sz w:val="36"/>
                <w:szCs w:val="36"/>
                <w:vertAlign w:val="baseline"/>
              </w:rPr>
              <w:t> </w:t>
            </w:r>
          </w:p>
        </w:tc>
      </w:tr>
    </w:tbl>
    <w:p w14:paraId="73C2B4B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一、项目基本情况</w:t>
      </w:r>
    </w:p>
    <w:p w14:paraId="22326E3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default" w:ascii="仿宋" w:hAnsi="仿宋" w:eastAsia="仿宋" w:cs="仿宋"/>
          <w:i w:val="0"/>
          <w:iCs w:val="0"/>
          <w:caps w:val="0"/>
          <w:color w:val="FF0000"/>
          <w:spacing w:val="0"/>
          <w:sz w:val="24"/>
          <w:szCs w:val="24"/>
          <w:lang w:val="en-US" w:eastAsia="zh-CN"/>
        </w:rPr>
      </w:pPr>
      <w:r>
        <w:rPr>
          <w:rFonts w:hint="eastAsia" w:ascii="仿宋" w:hAnsi="仿宋" w:eastAsia="仿宋" w:cs="仿宋"/>
          <w:b w:val="0"/>
          <w:bCs w:val="0"/>
          <w:i w:val="0"/>
          <w:iCs w:val="0"/>
          <w:caps w:val="0"/>
          <w:color w:val="auto"/>
          <w:spacing w:val="0"/>
          <w:sz w:val="24"/>
          <w:szCs w:val="24"/>
        </w:rPr>
        <w:t>项目编号：KZZB-20</w:t>
      </w:r>
      <w:r>
        <w:rPr>
          <w:rFonts w:hint="eastAsia" w:ascii="仿宋" w:hAnsi="仿宋" w:eastAsia="仿宋" w:cs="仿宋"/>
          <w:b w:val="0"/>
          <w:bCs w:val="0"/>
          <w:i w:val="0"/>
          <w:iCs w:val="0"/>
          <w:caps w:val="0"/>
          <w:color w:val="auto"/>
          <w:spacing w:val="0"/>
          <w:sz w:val="24"/>
          <w:szCs w:val="24"/>
          <w:lang w:val="en-US" w:eastAsia="zh-CN"/>
        </w:rPr>
        <w:t>25027</w:t>
      </w:r>
    </w:p>
    <w:p w14:paraId="3985859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rPr>
        <w:t>项目名称：</w:t>
      </w:r>
      <w:r>
        <w:rPr>
          <w:rFonts w:hint="eastAsia" w:ascii="仿宋" w:hAnsi="仿宋" w:eastAsia="仿宋" w:cs="仿宋"/>
          <w:i w:val="0"/>
          <w:iCs w:val="0"/>
          <w:caps w:val="0"/>
          <w:color w:val="000000"/>
          <w:spacing w:val="0"/>
          <w:sz w:val="24"/>
          <w:szCs w:val="24"/>
          <w:lang w:val="en-US" w:eastAsia="zh-CN"/>
        </w:rPr>
        <w:t>克州GAJ无人机导航诱骗设备采购项目</w:t>
      </w:r>
    </w:p>
    <w:p w14:paraId="5C3051E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i w:val="0"/>
          <w:iCs w:val="0"/>
          <w:caps w:val="0"/>
          <w:color w:val="auto"/>
          <w:spacing w:val="0"/>
          <w:sz w:val="24"/>
          <w:szCs w:val="24"/>
        </w:rPr>
      </w:pPr>
      <w:r>
        <w:rPr>
          <w:rFonts w:hint="eastAsia" w:ascii="仿宋" w:hAnsi="仿宋" w:eastAsia="仿宋" w:cs="仿宋"/>
          <w:i w:val="0"/>
          <w:iCs w:val="0"/>
          <w:caps w:val="0"/>
          <w:color w:val="000000"/>
          <w:spacing w:val="0"/>
          <w:sz w:val="24"/>
          <w:szCs w:val="24"/>
        </w:rPr>
        <w:t>采购方式：</w:t>
      </w:r>
      <w:r>
        <w:rPr>
          <w:rFonts w:hint="eastAsia" w:ascii="仿宋" w:hAnsi="仿宋" w:eastAsia="仿宋" w:cs="仿宋"/>
          <w:i w:val="0"/>
          <w:iCs w:val="0"/>
          <w:caps w:val="0"/>
          <w:color w:val="000000"/>
          <w:spacing w:val="0"/>
          <w:sz w:val="24"/>
          <w:szCs w:val="24"/>
          <w:lang w:eastAsia="zh-CN"/>
        </w:rPr>
        <w:t>公开招标</w:t>
      </w:r>
    </w:p>
    <w:p w14:paraId="5B15AF7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default"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预算金额（元）：</w:t>
      </w:r>
      <w:r>
        <w:rPr>
          <w:rFonts w:hint="eastAsia" w:ascii="仿宋" w:hAnsi="仿宋" w:eastAsia="仿宋" w:cs="仿宋"/>
          <w:i w:val="0"/>
          <w:iCs w:val="0"/>
          <w:caps w:val="0"/>
          <w:color w:val="auto"/>
          <w:spacing w:val="0"/>
          <w:sz w:val="24"/>
          <w:szCs w:val="24"/>
          <w:lang w:val="en-US" w:eastAsia="zh-CN"/>
        </w:rPr>
        <w:t>620000</w:t>
      </w:r>
    </w:p>
    <w:p w14:paraId="63DBF01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default"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最高限价（元）：</w:t>
      </w:r>
      <w:r>
        <w:rPr>
          <w:rFonts w:hint="eastAsia" w:ascii="仿宋" w:hAnsi="仿宋" w:eastAsia="仿宋" w:cs="仿宋"/>
          <w:i w:val="0"/>
          <w:iCs w:val="0"/>
          <w:caps w:val="0"/>
          <w:color w:val="auto"/>
          <w:spacing w:val="0"/>
          <w:sz w:val="24"/>
          <w:szCs w:val="24"/>
          <w:lang w:val="en-US" w:eastAsia="zh-CN"/>
        </w:rPr>
        <w:t>620000</w:t>
      </w:r>
    </w:p>
    <w:p w14:paraId="0814206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i w:val="0"/>
          <w:iCs w:val="0"/>
          <w:caps w:val="0"/>
          <w:color w:val="auto"/>
          <w:spacing w:val="0"/>
          <w:sz w:val="24"/>
          <w:szCs w:val="24"/>
        </w:rPr>
      </w:pPr>
      <w:r>
        <w:rPr>
          <w:rFonts w:hint="eastAsia" w:ascii="仿宋" w:hAnsi="仿宋" w:eastAsia="仿宋" w:cs="仿宋"/>
          <w:i w:val="0"/>
          <w:iCs w:val="0"/>
          <w:caps w:val="0"/>
          <w:color w:val="auto"/>
          <w:spacing w:val="0"/>
          <w:sz w:val="24"/>
          <w:szCs w:val="24"/>
        </w:rPr>
        <w:t>采购需求：</w:t>
      </w:r>
    </w:p>
    <w:p w14:paraId="085933CA">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标项名称:</w:t>
      </w:r>
      <w:r>
        <w:rPr>
          <w:rFonts w:hint="eastAsia" w:ascii="仿宋" w:hAnsi="仿宋" w:eastAsia="仿宋" w:cs="仿宋"/>
          <w:i w:val="0"/>
          <w:iCs w:val="0"/>
          <w:caps w:val="0"/>
          <w:color w:val="000000"/>
          <w:spacing w:val="0"/>
          <w:sz w:val="24"/>
          <w:szCs w:val="24"/>
          <w:lang w:val="en-US" w:eastAsia="zh-CN"/>
        </w:rPr>
        <w:t>克州GAJ无人机导航诱骗设备采购项目</w:t>
      </w:r>
    </w:p>
    <w:p w14:paraId="18CAC27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数量</w:t>
      </w:r>
      <w:r>
        <w:rPr>
          <w:rFonts w:hint="eastAsia" w:ascii="仿宋" w:hAnsi="仿宋" w:eastAsia="仿宋" w:cs="仿宋"/>
          <w:i w:val="0"/>
          <w:iCs w:val="0"/>
          <w:caps w:val="0"/>
          <w:color w:val="000000"/>
          <w:spacing w:val="0"/>
          <w:sz w:val="24"/>
          <w:szCs w:val="24"/>
          <w:lang w:eastAsia="zh-CN"/>
        </w:rPr>
        <w:t>：</w:t>
      </w:r>
      <w:r>
        <w:rPr>
          <w:rFonts w:hint="eastAsia" w:ascii="仿宋" w:hAnsi="仿宋" w:eastAsia="仿宋" w:cs="仿宋"/>
          <w:i w:val="0"/>
          <w:iCs w:val="0"/>
          <w:caps w:val="0"/>
          <w:color w:val="000000"/>
          <w:spacing w:val="0"/>
          <w:sz w:val="24"/>
          <w:szCs w:val="24"/>
        </w:rPr>
        <w:t>1</w:t>
      </w:r>
    </w:p>
    <w:p w14:paraId="2A14A93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rPr>
        <w:t>   预算金额（元）:</w:t>
      </w:r>
      <w:r>
        <w:rPr>
          <w:rFonts w:hint="eastAsia" w:ascii="仿宋" w:hAnsi="仿宋" w:eastAsia="仿宋" w:cs="仿宋"/>
          <w:i w:val="0"/>
          <w:iCs w:val="0"/>
          <w:caps w:val="0"/>
          <w:color w:val="auto"/>
          <w:spacing w:val="0"/>
          <w:sz w:val="24"/>
          <w:szCs w:val="24"/>
          <w:lang w:val="en-US" w:eastAsia="zh-CN"/>
        </w:rPr>
        <w:t>620000</w:t>
      </w:r>
    </w:p>
    <w:p w14:paraId="25B7266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w:t>
      </w:r>
      <w:r>
        <w:rPr>
          <w:rFonts w:hint="eastAsia" w:ascii="仿宋" w:hAnsi="仿宋" w:eastAsia="仿宋" w:cs="仿宋"/>
          <w:i w:val="0"/>
          <w:iCs w:val="0"/>
          <w:caps w:val="0"/>
          <w:color w:val="000000"/>
          <w:spacing w:val="0"/>
          <w:sz w:val="24"/>
          <w:szCs w:val="24"/>
          <w:lang w:eastAsia="zh-CN"/>
        </w:rPr>
        <w:t>单位：批</w:t>
      </w:r>
    </w:p>
    <w:p w14:paraId="29FE23E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简要规格描述或项目基本概况介绍、用途</w:t>
      </w:r>
      <w:r>
        <w:rPr>
          <w:rFonts w:hint="eastAsia" w:ascii="仿宋" w:hAnsi="仿宋" w:eastAsia="仿宋" w:cs="仿宋"/>
          <w:b/>
          <w:bCs/>
          <w:i w:val="0"/>
          <w:iCs w:val="0"/>
          <w:caps w:val="0"/>
          <w:color w:val="000000"/>
          <w:spacing w:val="0"/>
          <w:sz w:val="24"/>
          <w:szCs w:val="24"/>
        </w:rPr>
        <w:t>：</w:t>
      </w:r>
      <w:r>
        <w:rPr>
          <w:rFonts w:hint="eastAsia" w:ascii="仿宋" w:hAnsi="仿宋" w:eastAsia="仿宋" w:cs="仿宋"/>
          <w:b w:val="0"/>
          <w:bCs w:val="0"/>
          <w:i w:val="0"/>
          <w:iCs w:val="0"/>
          <w:caps w:val="0"/>
          <w:color w:val="000000"/>
          <w:spacing w:val="0"/>
          <w:sz w:val="24"/>
          <w:szCs w:val="24"/>
          <w:lang w:eastAsia="zh-CN"/>
        </w:rPr>
        <w:t>采购无人机导航诱导设备；（具体采购内容详见采购清单）</w:t>
      </w:r>
    </w:p>
    <w:p w14:paraId="04F02B5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   备注：</w:t>
      </w:r>
    </w:p>
    <w:p w14:paraId="5D875EA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240" w:firstLineChars="100"/>
        <w:jc w:val="left"/>
        <w:textAlignment w:val="auto"/>
        <w:rPr>
          <w:rFonts w:hint="eastAsia" w:ascii="仿宋" w:hAnsi="仿宋" w:eastAsia="仿宋" w:cs="仿宋"/>
          <w:i w:val="0"/>
          <w:iCs w:val="0"/>
          <w:caps w:val="0"/>
          <w:color w:val="auto"/>
          <w:spacing w:val="0"/>
          <w:sz w:val="24"/>
          <w:szCs w:val="24"/>
          <w:lang w:eastAsia="zh-CN"/>
        </w:rPr>
      </w:pPr>
      <w:r>
        <w:rPr>
          <w:rFonts w:hint="eastAsia" w:ascii="仿宋" w:hAnsi="仿宋" w:eastAsia="仿宋" w:cs="仿宋"/>
          <w:i w:val="0"/>
          <w:iCs w:val="0"/>
          <w:caps w:val="0"/>
          <w:color w:val="auto"/>
          <w:spacing w:val="0"/>
          <w:sz w:val="24"/>
          <w:szCs w:val="24"/>
        </w:rPr>
        <w:t>合同履约期限：</w:t>
      </w:r>
      <w:r>
        <w:rPr>
          <w:rFonts w:hint="eastAsia" w:ascii="仿宋" w:hAnsi="仿宋" w:eastAsia="仿宋" w:cs="仿宋"/>
          <w:i w:val="0"/>
          <w:iCs w:val="0"/>
          <w:caps w:val="0"/>
          <w:color w:val="auto"/>
          <w:spacing w:val="0"/>
          <w:sz w:val="24"/>
          <w:szCs w:val="24"/>
          <w:lang w:eastAsia="zh-CN"/>
        </w:rPr>
        <w:t>自合同签订之日起</w:t>
      </w:r>
      <w:r>
        <w:rPr>
          <w:rFonts w:hint="eastAsia" w:ascii="仿宋" w:hAnsi="仿宋" w:eastAsia="仿宋" w:cs="仿宋"/>
          <w:i w:val="0"/>
          <w:iCs w:val="0"/>
          <w:caps w:val="0"/>
          <w:color w:val="auto"/>
          <w:spacing w:val="0"/>
          <w:sz w:val="24"/>
          <w:szCs w:val="24"/>
          <w:lang w:val="en-US" w:eastAsia="zh-CN"/>
        </w:rPr>
        <w:t>30</w:t>
      </w:r>
      <w:r>
        <w:rPr>
          <w:rFonts w:hint="eastAsia" w:ascii="仿宋" w:hAnsi="仿宋" w:eastAsia="仿宋" w:cs="仿宋"/>
          <w:i w:val="0"/>
          <w:iCs w:val="0"/>
          <w:caps w:val="0"/>
          <w:color w:val="auto"/>
          <w:spacing w:val="0"/>
          <w:sz w:val="24"/>
          <w:szCs w:val="24"/>
          <w:lang w:eastAsia="zh-CN"/>
        </w:rPr>
        <w:t>天内完成供货</w:t>
      </w:r>
      <w:r>
        <w:rPr>
          <w:rFonts w:hint="eastAsia" w:ascii="仿宋" w:hAnsi="仿宋" w:eastAsia="仿宋" w:cs="仿宋"/>
          <w:i w:val="0"/>
          <w:iCs w:val="0"/>
          <w:caps w:val="0"/>
          <w:color w:val="auto"/>
          <w:spacing w:val="0"/>
          <w:sz w:val="24"/>
          <w:szCs w:val="24"/>
          <w:lang w:val="en-US" w:eastAsia="zh-CN"/>
        </w:rPr>
        <w:t>并调试安装完成，并投入使用</w:t>
      </w:r>
      <w:r>
        <w:rPr>
          <w:rFonts w:hint="eastAsia" w:ascii="仿宋" w:hAnsi="仿宋" w:eastAsia="仿宋" w:cs="仿宋"/>
          <w:i w:val="0"/>
          <w:iCs w:val="0"/>
          <w:caps w:val="0"/>
          <w:color w:val="auto"/>
          <w:spacing w:val="0"/>
          <w:sz w:val="24"/>
          <w:szCs w:val="24"/>
          <w:lang w:eastAsia="zh-CN"/>
        </w:rPr>
        <w:t>；</w:t>
      </w:r>
    </w:p>
    <w:p w14:paraId="2EFF432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240" w:firstLineChars="10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本项目</w:t>
      </w:r>
      <w:r>
        <w:rPr>
          <w:rFonts w:hint="eastAsia" w:ascii="仿宋" w:hAnsi="仿宋" w:eastAsia="仿宋" w:cs="仿宋"/>
          <w:b w:val="0"/>
          <w:bCs w:val="0"/>
          <w:i w:val="0"/>
          <w:iCs w:val="0"/>
          <w:caps w:val="0"/>
          <w:color w:val="000000"/>
          <w:spacing w:val="0"/>
          <w:sz w:val="24"/>
          <w:szCs w:val="24"/>
          <w:lang w:eastAsia="zh-CN"/>
        </w:rPr>
        <w:t>不</w:t>
      </w:r>
      <w:r>
        <w:rPr>
          <w:rFonts w:hint="eastAsia" w:ascii="仿宋" w:hAnsi="仿宋" w:eastAsia="仿宋" w:cs="仿宋"/>
          <w:b w:val="0"/>
          <w:bCs w:val="0"/>
          <w:i w:val="0"/>
          <w:iCs w:val="0"/>
          <w:caps w:val="0"/>
          <w:color w:val="000000"/>
          <w:spacing w:val="0"/>
          <w:sz w:val="24"/>
          <w:szCs w:val="24"/>
        </w:rPr>
        <w:t>接受联合体投标。</w:t>
      </w:r>
    </w:p>
    <w:p w14:paraId="47D6C16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二、申请人的资格要求：</w:t>
      </w:r>
    </w:p>
    <w:p w14:paraId="2D11D23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1.满足《中华人民共和国政府采购法》第二十二条规定；</w:t>
      </w:r>
    </w:p>
    <w:p w14:paraId="6F0090F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rPr>
        <w:t>2.落实政府采购政策需满足的资格要求：</w:t>
      </w:r>
      <w:r>
        <w:rPr>
          <w:rFonts w:hint="eastAsia" w:ascii="仿宋" w:hAnsi="仿宋" w:eastAsia="仿宋" w:cs="仿宋"/>
          <w:b w:val="0"/>
          <w:bCs w:val="0"/>
          <w:i w:val="0"/>
          <w:iCs w:val="0"/>
          <w:caps w:val="0"/>
          <w:color w:val="000000"/>
          <w:spacing w:val="0"/>
          <w:sz w:val="24"/>
          <w:szCs w:val="24"/>
          <w:lang w:val="en-US" w:eastAsia="zh-CN"/>
        </w:rPr>
        <w:t>本项目为非专门面向中小企业</w:t>
      </w:r>
      <w:r>
        <w:rPr>
          <w:rFonts w:hint="eastAsia" w:ascii="仿宋" w:hAnsi="仿宋" w:eastAsia="仿宋" w:cs="仿宋"/>
          <w:b w:val="0"/>
          <w:bCs w:val="0"/>
          <w:i w:val="0"/>
          <w:iCs w:val="0"/>
          <w:caps w:val="0"/>
          <w:color w:val="000000"/>
          <w:spacing w:val="0"/>
          <w:sz w:val="24"/>
          <w:szCs w:val="24"/>
        </w:rPr>
        <w:t> </w:t>
      </w:r>
      <w:r>
        <w:rPr>
          <w:rFonts w:hint="eastAsia" w:ascii="仿宋" w:hAnsi="仿宋" w:eastAsia="仿宋" w:cs="仿宋"/>
          <w:b w:val="0"/>
          <w:bCs w:val="0"/>
          <w:i w:val="0"/>
          <w:iCs w:val="0"/>
          <w:caps w:val="0"/>
          <w:color w:val="000000"/>
          <w:spacing w:val="0"/>
          <w:sz w:val="24"/>
          <w:szCs w:val="24"/>
          <w:lang w:eastAsia="zh-CN"/>
        </w:rPr>
        <w:t>。</w:t>
      </w:r>
    </w:p>
    <w:p w14:paraId="52ACCAF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 3.本项目的特定资格要求：</w:t>
      </w:r>
    </w:p>
    <w:p w14:paraId="615DFB3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（1</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rPr>
        <w:t>具备三证合一营业执照副本；</w:t>
      </w:r>
    </w:p>
    <w:p w14:paraId="25BF8E5A">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（2</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rPr>
        <w:t>法定代表人投标需提供法定代表人资格证明书，委托代理人投标需提供法定代表人授权委托书；</w:t>
      </w:r>
    </w:p>
    <w:p w14:paraId="2A8CB19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lang w:val="en-US" w:eastAsia="zh-CN"/>
        </w:rPr>
        <w:t>3</w:t>
      </w:r>
      <w:r>
        <w:rPr>
          <w:rFonts w:hint="eastAsia" w:ascii="仿宋" w:hAnsi="仿宋" w:eastAsia="仿宋" w:cs="仿宋"/>
          <w:b w:val="0"/>
          <w:bCs w:val="0"/>
          <w:i w:val="0"/>
          <w:iCs w:val="0"/>
          <w:caps w:val="0"/>
          <w:color w:val="000000"/>
          <w:spacing w:val="0"/>
          <w:sz w:val="24"/>
          <w:szCs w:val="24"/>
          <w:lang w:eastAsia="zh-CN"/>
        </w:rPr>
        <w:t>）投标企业须提供投标人（被授权在职人员）近6个月内任意一个月有效的社保证明；</w:t>
      </w:r>
    </w:p>
    <w:p w14:paraId="11D4511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lang w:val="en-US" w:eastAsia="zh-CN"/>
        </w:rPr>
      </w:pPr>
      <w:r>
        <w:rPr>
          <w:rFonts w:hint="eastAsia" w:ascii="仿宋" w:hAnsi="仿宋" w:eastAsia="仿宋" w:cs="仿宋"/>
          <w:b w:val="0"/>
          <w:bCs w:val="0"/>
          <w:i w:val="0"/>
          <w:iCs w:val="0"/>
          <w:caps w:val="0"/>
          <w:color w:val="000000"/>
          <w:spacing w:val="0"/>
          <w:sz w:val="24"/>
          <w:szCs w:val="24"/>
        </w:rPr>
        <w:t>（</w:t>
      </w:r>
      <w:r>
        <w:rPr>
          <w:rFonts w:hint="eastAsia" w:ascii="仿宋" w:hAnsi="仿宋" w:eastAsia="仿宋" w:cs="仿宋"/>
          <w:b w:val="0"/>
          <w:bCs w:val="0"/>
          <w:i w:val="0"/>
          <w:iCs w:val="0"/>
          <w:caps w:val="0"/>
          <w:color w:val="000000"/>
          <w:spacing w:val="0"/>
          <w:sz w:val="24"/>
          <w:szCs w:val="24"/>
          <w:lang w:val="en-US" w:eastAsia="zh-CN"/>
        </w:rPr>
        <w:t>4</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p>
    <w:p w14:paraId="6462273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bCs/>
          <w:i w:val="0"/>
          <w:iCs w:val="0"/>
          <w:caps w:val="0"/>
          <w:color w:val="000000"/>
          <w:spacing w:val="0"/>
          <w:sz w:val="24"/>
          <w:szCs w:val="24"/>
        </w:rPr>
      </w:pPr>
      <w:r>
        <w:rPr>
          <w:rFonts w:hint="eastAsia" w:ascii="仿宋" w:hAnsi="仿宋" w:eastAsia="仿宋" w:cs="仿宋"/>
          <w:b/>
          <w:bCs/>
          <w:i w:val="0"/>
          <w:iCs w:val="0"/>
          <w:caps w:val="0"/>
          <w:color w:val="000000"/>
          <w:spacing w:val="0"/>
          <w:sz w:val="24"/>
          <w:szCs w:val="24"/>
        </w:rPr>
        <w:t>三、获取</w:t>
      </w:r>
      <w:r>
        <w:rPr>
          <w:rFonts w:hint="eastAsia" w:ascii="仿宋" w:hAnsi="仿宋" w:eastAsia="仿宋" w:cs="仿宋"/>
          <w:b/>
          <w:bCs/>
          <w:i w:val="0"/>
          <w:iCs w:val="0"/>
          <w:caps w:val="0"/>
          <w:color w:val="000000"/>
          <w:spacing w:val="0"/>
          <w:sz w:val="24"/>
          <w:szCs w:val="24"/>
          <w:lang w:eastAsia="zh-CN"/>
        </w:rPr>
        <w:t>采购</w:t>
      </w:r>
      <w:r>
        <w:rPr>
          <w:rFonts w:hint="eastAsia" w:ascii="仿宋" w:hAnsi="仿宋" w:eastAsia="仿宋" w:cs="仿宋"/>
          <w:b/>
          <w:bCs/>
          <w:i w:val="0"/>
          <w:iCs w:val="0"/>
          <w:caps w:val="0"/>
          <w:color w:val="000000"/>
          <w:spacing w:val="0"/>
          <w:sz w:val="24"/>
          <w:szCs w:val="24"/>
        </w:rPr>
        <w:t>文件</w:t>
      </w:r>
    </w:p>
    <w:p w14:paraId="6DED0FF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i w:val="0"/>
          <w:iCs w:val="0"/>
          <w:caps w:val="0"/>
          <w:color w:val="auto"/>
          <w:spacing w:val="0"/>
          <w:sz w:val="24"/>
          <w:szCs w:val="24"/>
        </w:rPr>
      </w:pPr>
      <w:r>
        <w:rPr>
          <w:rFonts w:hint="eastAsia" w:ascii="仿宋" w:hAnsi="仿宋" w:eastAsia="仿宋" w:cs="仿宋"/>
          <w:i w:val="0"/>
          <w:iCs w:val="0"/>
          <w:caps w:val="0"/>
          <w:color w:val="auto"/>
          <w:spacing w:val="0"/>
          <w:sz w:val="24"/>
          <w:szCs w:val="24"/>
        </w:rPr>
        <w:t>时间：20</w:t>
      </w:r>
      <w:r>
        <w:rPr>
          <w:rFonts w:hint="eastAsia" w:ascii="仿宋" w:hAnsi="仿宋" w:eastAsia="仿宋" w:cs="仿宋"/>
          <w:i w:val="0"/>
          <w:iCs w:val="0"/>
          <w:caps w:val="0"/>
          <w:color w:val="auto"/>
          <w:spacing w:val="0"/>
          <w:sz w:val="24"/>
          <w:szCs w:val="24"/>
          <w:lang w:val="en-US" w:eastAsia="zh-CN"/>
        </w:rPr>
        <w:t>25</w:t>
      </w:r>
      <w:r>
        <w:rPr>
          <w:rFonts w:hint="eastAsia" w:ascii="仿宋" w:hAnsi="仿宋" w:eastAsia="仿宋" w:cs="仿宋"/>
          <w:i w:val="0"/>
          <w:iCs w:val="0"/>
          <w:caps w:val="0"/>
          <w:color w:val="auto"/>
          <w:spacing w:val="0"/>
          <w:sz w:val="24"/>
          <w:szCs w:val="24"/>
        </w:rPr>
        <w:t>年</w:t>
      </w:r>
      <w:r>
        <w:rPr>
          <w:rFonts w:hint="eastAsia" w:ascii="仿宋" w:hAnsi="仿宋" w:eastAsia="仿宋" w:cs="仿宋"/>
          <w:i w:val="0"/>
          <w:iCs w:val="0"/>
          <w:caps w:val="0"/>
          <w:color w:val="auto"/>
          <w:spacing w:val="0"/>
          <w:sz w:val="24"/>
          <w:szCs w:val="24"/>
          <w:lang w:val="en-US" w:eastAsia="zh-CN"/>
        </w:rPr>
        <w:t xml:space="preserve">3 </w:t>
      </w:r>
      <w:r>
        <w:rPr>
          <w:rFonts w:hint="eastAsia" w:ascii="仿宋" w:hAnsi="仿宋" w:eastAsia="仿宋" w:cs="仿宋"/>
          <w:i w:val="0"/>
          <w:iCs w:val="0"/>
          <w:caps w:val="0"/>
          <w:color w:val="auto"/>
          <w:spacing w:val="0"/>
          <w:sz w:val="24"/>
          <w:szCs w:val="24"/>
        </w:rPr>
        <w:t>月</w:t>
      </w:r>
      <w:r>
        <w:rPr>
          <w:rFonts w:hint="eastAsia" w:ascii="仿宋" w:hAnsi="仿宋" w:eastAsia="仿宋" w:cs="仿宋"/>
          <w:i w:val="0"/>
          <w:iCs w:val="0"/>
          <w:caps w:val="0"/>
          <w:color w:val="auto"/>
          <w:spacing w:val="0"/>
          <w:sz w:val="24"/>
          <w:szCs w:val="24"/>
          <w:lang w:val="en-US" w:eastAsia="zh-CN"/>
        </w:rPr>
        <w:t xml:space="preserve">12 </w:t>
      </w:r>
      <w:r>
        <w:rPr>
          <w:rFonts w:hint="eastAsia" w:ascii="仿宋" w:hAnsi="仿宋" w:eastAsia="仿宋" w:cs="仿宋"/>
          <w:i w:val="0"/>
          <w:iCs w:val="0"/>
          <w:caps w:val="0"/>
          <w:color w:val="auto"/>
          <w:spacing w:val="0"/>
          <w:sz w:val="24"/>
          <w:szCs w:val="24"/>
        </w:rPr>
        <w:t>日至202</w:t>
      </w:r>
      <w:r>
        <w:rPr>
          <w:rFonts w:hint="eastAsia" w:ascii="仿宋" w:hAnsi="仿宋" w:eastAsia="仿宋" w:cs="仿宋"/>
          <w:i w:val="0"/>
          <w:iCs w:val="0"/>
          <w:caps w:val="0"/>
          <w:color w:val="auto"/>
          <w:spacing w:val="0"/>
          <w:sz w:val="24"/>
          <w:szCs w:val="24"/>
          <w:lang w:val="en-US" w:eastAsia="zh-CN"/>
        </w:rPr>
        <w:t>5</w:t>
      </w:r>
      <w:r>
        <w:rPr>
          <w:rFonts w:hint="eastAsia" w:ascii="仿宋" w:hAnsi="仿宋" w:eastAsia="仿宋" w:cs="仿宋"/>
          <w:i w:val="0"/>
          <w:iCs w:val="0"/>
          <w:caps w:val="0"/>
          <w:color w:val="auto"/>
          <w:spacing w:val="0"/>
          <w:sz w:val="24"/>
          <w:szCs w:val="24"/>
        </w:rPr>
        <w:t>年</w:t>
      </w:r>
      <w:r>
        <w:rPr>
          <w:rFonts w:hint="eastAsia" w:ascii="仿宋" w:hAnsi="仿宋" w:eastAsia="仿宋" w:cs="仿宋"/>
          <w:i w:val="0"/>
          <w:iCs w:val="0"/>
          <w:caps w:val="0"/>
          <w:color w:val="auto"/>
          <w:spacing w:val="0"/>
          <w:sz w:val="24"/>
          <w:szCs w:val="24"/>
          <w:lang w:val="en-US" w:eastAsia="zh-CN"/>
        </w:rPr>
        <w:t xml:space="preserve"> 3</w:t>
      </w:r>
      <w:r>
        <w:rPr>
          <w:rFonts w:hint="eastAsia" w:ascii="仿宋" w:hAnsi="仿宋" w:eastAsia="仿宋" w:cs="仿宋"/>
          <w:i w:val="0"/>
          <w:iCs w:val="0"/>
          <w:caps w:val="0"/>
          <w:color w:val="auto"/>
          <w:spacing w:val="0"/>
          <w:sz w:val="24"/>
          <w:szCs w:val="24"/>
        </w:rPr>
        <w:t>月</w:t>
      </w:r>
      <w:r>
        <w:rPr>
          <w:rFonts w:hint="eastAsia" w:ascii="仿宋" w:hAnsi="仿宋" w:eastAsia="仿宋" w:cs="仿宋"/>
          <w:i w:val="0"/>
          <w:iCs w:val="0"/>
          <w:caps w:val="0"/>
          <w:color w:val="auto"/>
          <w:spacing w:val="0"/>
          <w:sz w:val="24"/>
          <w:szCs w:val="24"/>
          <w:lang w:val="en-US" w:eastAsia="zh-CN"/>
        </w:rPr>
        <w:t xml:space="preserve">19 </w:t>
      </w:r>
      <w:r>
        <w:rPr>
          <w:rFonts w:hint="eastAsia" w:ascii="仿宋" w:hAnsi="仿宋" w:eastAsia="仿宋" w:cs="仿宋"/>
          <w:i w:val="0"/>
          <w:iCs w:val="0"/>
          <w:caps w:val="0"/>
          <w:color w:val="auto"/>
          <w:spacing w:val="0"/>
          <w:sz w:val="24"/>
          <w:szCs w:val="24"/>
        </w:rPr>
        <w:t>日，每天上午10:00至</w:t>
      </w:r>
      <w:r>
        <w:rPr>
          <w:rFonts w:hint="eastAsia" w:ascii="仿宋" w:hAnsi="仿宋" w:eastAsia="仿宋" w:cs="仿宋"/>
          <w:i w:val="0"/>
          <w:iCs w:val="0"/>
          <w:caps w:val="0"/>
          <w:color w:val="auto"/>
          <w:spacing w:val="0"/>
          <w:sz w:val="24"/>
          <w:szCs w:val="24"/>
          <w:lang w:val="en-US" w:eastAsia="zh-CN"/>
        </w:rPr>
        <w:t>14</w:t>
      </w:r>
      <w:r>
        <w:rPr>
          <w:rFonts w:hint="eastAsia" w:ascii="仿宋" w:hAnsi="仿宋" w:eastAsia="仿宋" w:cs="仿宋"/>
          <w:i w:val="0"/>
          <w:iCs w:val="0"/>
          <w:caps w:val="0"/>
          <w:color w:val="auto"/>
          <w:spacing w:val="0"/>
          <w:sz w:val="24"/>
          <w:szCs w:val="24"/>
        </w:rPr>
        <w:t>:</w:t>
      </w:r>
      <w:r>
        <w:rPr>
          <w:rFonts w:hint="eastAsia" w:ascii="仿宋" w:hAnsi="仿宋" w:eastAsia="仿宋" w:cs="仿宋"/>
          <w:i w:val="0"/>
          <w:iCs w:val="0"/>
          <w:caps w:val="0"/>
          <w:color w:val="auto"/>
          <w:spacing w:val="0"/>
          <w:sz w:val="24"/>
          <w:szCs w:val="24"/>
          <w:lang w:val="en-US" w:eastAsia="zh-CN"/>
        </w:rPr>
        <w:t>00</w:t>
      </w:r>
      <w:r>
        <w:rPr>
          <w:rFonts w:hint="eastAsia" w:ascii="仿宋" w:hAnsi="仿宋" w:eastAsia="仿宋" w:cs="仿宋"/>
          <w:i w:val="0"/>
          <w:iCs w:val="0"/>
          <w:caps w:val="0"/>
          <w:color w:val="auto"/>
          <w:spacing w:val="0"/>
          <w:sz w:val="24"/>
          <w:szCs w:val="24"/>
        </w:rPr>
        <w:t>，下午16:</w:t>
      </w:r>
      <w:r>
        <w:rPr>
          <w:rFonts w:hint="eastAsia" w:ascii="仿宋" w:hAnsi="仿宋" w:eastAsia="仿宋" w:cs="仿宋"/>
          <w:i w:val="0"/>
          <w:iCs w:val="0"/>
          <w:caps w:val="0"/>
          <w:color w:val="auto"/>
          <w:spacing w:val="0"/>
          <w:sz w:val="24"/>
          <w:szCs w:val="24"/>
          <w:lang w:val="en-US" w:eastAsia="zh-CN"/>
        </w:rPr>
        <w:t>00</w:t>
      </w:r>
      <w:r>
        <w:rPr>
          <w:rFonts w:hint="eastAsia" w:ascii="仿宋" w:hAnsi="仿宋" w:eastAsia="仿宋" w:cs="仿宋"/>
          <w:i w:val="0"/>
          <w:iCs w:val="0"/>
          <w:caps w:val="0"/>
          <w:color w:val="auto"/>
          <w:spacing w:val="0"/>
          <w:sz w:val="24"/>
          <w:szCs w:val="24"/>
        </w:rPr>
        <w:t>至</w:t>
      </w:r>
      <w:r>
        <w:rPr>
          <w:rFonts w:hint="eastAsia" w:ascii="仿宋" w:hAnsi="仿宋" w:eastAsia="仿宋" w:cs="仿宋"/>
          <w:i w:val="0"/>
          <w:iCs w:val="0"/>
          <w:caps w:val="0"/>
          <w:color w:val="auto"/>
          <w:spacing w:val="0"/>
          <w:sz w:val="24"/>
          <w:szCs w:val="24"/>
          <w:lang w:val="en-US" w:eastAsia="zh-CN"/>
        </w:rPr>
        <w:t>19</w:t>
      </w:r>
      <w:r>
        <w:rPr>
          <w:rFonts w:hint="eastAsia" w:ascii="仿宋" w:hAnsi="仿宋" w:eastAsia="仿宋" w:cs="仿宋"/>
          <w:i w:val="0"/>
          <w:iCs w:val="0"/>
          <w:caps w:val="0"/>
          <w:color w:val="auto"/>
          <w:spacing w:val="0"/>
          <w:sz w:val="24"/>
          <w:szCs w:val="24"/>
        </w:rPr>
        <w:t>:</w:t>
      </w:r>
      <w:r>
        <w:rPr>
          <w:rFonts w:hint="eastAsia" w:ascii="仿宋" w:hAnsi="仿宋" w:eastAsia="仿宋" w:cs="仿宋"/>
          <w:i w:val="0"/>
          <w:iCs w:val="0"/>
          <w:caps w:val="0"/>
          <w:color w:val="auto"/>
          <w:spacing w:val="0"/>
          <w:sz w:val="24"/>
          <w:szCs w:val="24"/>
          <w:lang w:val="en-US" w:eastAsia="zh-CN"/>
        </w:rPr>
        <w:t>30</w:t>
      </w:r>
      <w:r>
        <w:rPr>
          <w:rFonts w:hint="eastAsia" w:ascii="仿宋" w:hAnsi="仿宋" w:eastAsia="仿宋" w:cs="仿宋"/>
          <w:i w:val="0"/>
          <w:iCs w:val="0"/>
          <w:caps w:val="0"/>
          <w:color w:val="auto"/>
          <w:spacing w:val="0"/>
          <w:sz w:val="24"/>
          <w:szCs w:val="24"/>
        </w:rPr>
        <w:t>（北京时间，法定节假日除外）</w:t>
      </w:r>
    </w:p>
    <w:p w14:paraId="4D3EAE6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地点：</w:t>
      </w:r>
      <w:r>
        <w:rPr>
          <w:rFonts w:hint="default" w:ascii="Calibri" w:hAnsi="Calibri" w:eastAsia="仿宋" w:cs="仿宋"/>
          <w:color w:val="auto"/>
          <w:lang w:val="en-US" w:eastAsia="zh-CN"/>
        </w:rPr>
        <w:t>政采云平台线上  </w:t>
      </w:r>
      <w:r>
        <w:rPr>
          <w:rFonts w:hint="eastAsia" w:ascii="仿宋" w:hAnsi="仿宋" w:eastAsia="仿宋" w:cs="仿宋"/>
          <w:i w:val="0"/>
          <w:iCs w:val="0"/>
          <w:caps w:val="0"/>
          <w:color w:val="000000"/>
          <w:spacing w:val="0"/>
          <w:sz w:val="24"/>
          <w:szCs w:val="24"/>
        </w:rPr>
        <w:t xml:space="preserve"> </w:t>
      </w:r>
    </w:p>
    <w:p w14:paraId="5122D89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i w:val="0"/>
          <w:iCs w:val="0"/>
          <w:caps w:val="0"/>
          <w:color w:val="000000"/>
          <w:spacing w:val="0"/>
          <w:sz w:val="24"/>
          <w:szCs w:val="24"/>
        </w:rPr>
      </w:pPr>
      <w:r>
        <w:rPr>
          <w:rFonts w:hint="default" w:ascii="Calibri" w:hAnsi="Calibri" w:eastAsia="仿宋" w:cs="仿宋"/>
          <w:color w:val="auto"/>
          <w:lang w:val="en-US" w:eastAsia="zh-CN"/>
        </w:rPr>
        <w:t>方式：供应商登录政采云平台https://www.zcygov.cn/在线申请获取采购文件（进入“项目采购”应用，在获取采购文件菜单中选择项目，申请获取采购文件）</w:t>
      </w:r>
    </w:p>
    <w:p w14:paraId="7781B30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售价（元）：0</w:t>
      </w:r>
    </w:p>
    <w:p w14:paraId="6EAA717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bCs/>
          <w:i w:val="0"/>
          <w:iCs w:val="0"/>
          <w:caps w:val="0"/>
          <w:color w:val="000000"/>
          <w:spacing w:val="0"/>
          <w:sz w:val="24"/>
          <w:szCs w:val="24"/>
        </w:rPr>
      </w:pPr>
      <w:r>
        <w:rPr>
          <w:rFonts w:hint="eastAsia" w:ascii="仿宋" w:hAnsi="仿宋" w:eastAsia="仿宋" w:cs="仿宋"/>
          <w:b/>
          <w:bCs/>
          <w:i w:val="0"/>
          <w:iCs w:val="0"/>
          <w:caps w:val="0"/>
          <w:color w:val="000000"/>
          <w:spacing w:val="0"/>
          <w:sz w:val="24"/>
          <w:szCs w:val="24"/>
        </w:rPr>
        <w:t>四、提交投标文件截止时间、开标时间和地点</w:t>
      </w:r>
    </w:p>
    <w:p w14:paraId="2F2D9C3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lang w:val="en-US" w:eastAsia="zh-CN"/>
        </w:rPr>
      </w:pPr>
      <w:r>
        <w:rPr>
          <w:rFonts w:hint="eastAsia" w:ascii="仿宋" w:hAnsi="仿宋" w:eastAsia="仿宋" w:cs="仿宋"/>
          <w:b w:val="0"/>
          <w:bCs w:val="0"/>
          <w:i w:val="0"/>
          <w:iCs w:val="0"/>
          <w:caps w:val="0"/>
          <w:color w:val="000000"/>
          <w:spacing w:val="0"/>
          <w:sz w:val="24"/>
          <w:szCs w:val="24"/>
          <w:lang w:val="en-US" w:eastAsia="zh-CN"/>
        </w:rPr>
        <w:t>提交投标文件截止时间：2025年04月01日 10:30（北京时间）</w:t>
      </w:r>
    </w:p>
    <w:p w14:paraId="6CE1CB9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lang w:val="en-US" w:eastAsia="zh-CN"/>
        </w:rPr>
      </w:pPr>
      <w:r>
        <w:rPr>
          <w:rFonts w:hint="eastAsia" w:ascii="仿宋" w:hAnsi="仿宋" w:eastAsia="仿宋" w:cs="仿宋"/>
          <w:b w:val="0"/>
          <w:bCs w:val="0"/>
          <w:i w:val="0"/>
          <w:iCs w:val="0"/>
          <w:caps w:val="0"/>
          <w:color w:val="000000"/>
          <w:spacing w:val="0"/>
          <w:sz w:val="24"/>
          <w:szCs w:val="24"/>
          <w:lang w:val="en-US" w:eastAsia="zh-CN"/>
        </w:rPr>
        <w:t>投标地点：政府采购云平台（www.zcygov.cn）供应商应于递交投标文件截止时间之前将电子投标文件上传到“政采云”平台。 </w:t>
      </w:r>
    </w:p>
    <w:p w14:paraId="44DC6AB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lang w:val="en-US" w:eastAsia="zh-CN"/>
        </w:rPr>
      </w:pPr>
      <w:r>
        <w:rPr>
          <w:rFonts w:hint="eastAsia" w:ascii="仿宋" w:hAnsi="仿宋" w:eastAsia="仿宋" w:cs="仿宋"/>
          <w:b w:val="0"/>
          <w:bCs w:val="0"/>
          <w:i w:val="0"/>
          <w:iCs w:val="0"/>
          <w:caps w:val="0"/>
          <w:color w:val="000000"/>
          <w:spacing w:val="0"/>
          <w:sz w:val="24"/>
          <w:szCs w:val="24"/>
          <w:lang w:val="en-US" w:eastAsia="zh-CN"/>
        </w:rPr>
        <w:t>开标时间：2025年04月01日 10:30（北京时间）</w:t>
      </w:r>
    </w:p>
    <w:p w14:paraId="4249489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lang w:val="en-US" w:eastAsia="zh-CN"/>
        </w:rPr>
      </w:pPr>
      <w:r>
        <w:rPr>
          <w:rFonts w:hint="eastAsia" w:ascii="仿宋" w:hAnsi="仿宋" w:eastAsia="仿宋" w:cs="仿宋"/>
          <w:b w:val="0"/>
          <w:bCs w:val="0"/>
          <w:i w:val="0"/>
          <w:iCs w:val="0"/>
          <w:caps w:val="0"/>
          <w:color w:val="000000"/>
          <w:spacing w:val="0"/>
          <w:sz w:val="24"/>
          <w:szCs w:val="24"/>
          <w:lang w:val="en-US" w:eastAsia="zh-CN"/>
        </w:rPr>
        <w:t>开标地点：投标人登录政采云平台https://www.zcygov.cn/，进入“项目采购-开标评标-右边选择对应项目点击“进入项目”进入开标大厅。</w:t>
      </w:r>
    </w:p>
    <w:p w14:paraId="7F8C4B9A">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bCs/>
          <w:i w:val="0"/>
          <w:iCs w:val="0"/>
          <w:caps w:val="0"/>
          <w:color w:val="000000"/>
          <w:spacing w:val="0"/>
          <w:sz w:val="24"/>
          <w:szCs w:val="24"/>
        </w:rPr>
      </w:pPr>
      <w:r>
        <w:rPr>
          <w:rFonts w:hint="eastAsia" w:ascii="仿宋" w:hAnsi="仿宋" w:eastAsia="仿宋" w:cs="仿宋"/>
          <w:b/>
          <w:bCs/>
          <w:i w:val="0"/>
          <w:iCs w:val="0"/>
          <w:caps w:val="0"/>
          <w:color w:val="000000"/>
          <w:spacing w:val="0"/>
          <w:sz w:val="24"/>
          <w:szCs w:val="24"/>
          <w:lang w:eastAsia="zh-CN"/>
        </w:rPr>
        <w:t>五</w:t>
      </w:r>
      <w:r>
        <w:rPr>
          <w:rFonts w:hint="eastAsia" w:ascii="仿宋" w:hAnsi="仿宋" w:eastAsia="仿宋" w:cs="仿宋"/>
          <w:b/>
          <w:bCs/>
          <w:i w:val="0"/>
          <w:iCs w:val="0"/>
          <w:caps w:val="0"/>
          <w:color w:val="000000"/>
          <w:spacing w:val="0"/>
          <w:sz w:val="24"/>
          <w:szCs w:val="24"/>
        </w:rPr>
        <w:t>、公告期限</w:t>
      </w:r>
    </w:p>
    <w:p w14:paraId="1CAF604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jc w:val="left"/>
        <w:textAlignment w:val="auto"/>
        <w:rPr>
          <w:rFonts w:hint="eastAsia" w:ascii="仿宋" w:hAnsi="仿宋" w:eastAsia="仿宋" w:cs="仿宋"/>
          <w:b w:val="0"/>
          <w:bCs w:val="0"/>
          <w:i w:val="0"/>
          <w:iCs w:val="0"/>
          <w:caps w:val="0"/>
          <w:color w:val="000000"/>
          <w:spacing w:val="0"/>
          <w:sz w:val="24"/>
          <w:szCs w:val="24"/>
          <w:lang w:val="en-US" w:eastAsia="zh-CN"/>
        </w:rPr>
      </w:pPr>
      <w:r>
        <w:rPr>
          <w:rFonts w:hint="eastAsia" w:ascii="仿宋" w:hAnsi="仿宋" w:eastAsia="仿宋" w:cs="仿宋"/>
          <w:b w:val="0"/>
          <w:bCs w:val="0"/>
          <w:i w:val="0"/>
          <w:iCs w:val="0"/>
          <w:caps w:val="0"/>
          <w:color w:val="000000"/>
          <w:spacing w:val="0"/>
          <w:sz w:val="24"/>
          <w:szCs w:val="24"/>
          <w:lang w:val="en-US" w:eastAsia="zh-CN"/>
        </w:rPr>
        <w:t>自本公告发布之日起5个工作日。</w:t>
      </w:r>
    </w:p>
    <w:p w14:paraId="621D7AF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bCs/>
          <w:i w:val="0"/>
          <w:iCs w:val="0"/>
          <w:caps w:val="0"/>
          <w:color w:val="000000"/>
          <w:spacing w:val="0"/>
          <w:sz w:val="24"/>
          <w:szCs w:val="24"/>
        </w:rPr>
      </w:pPr>
      <w:r>
        <w:rPr>
          <w:rFonts w:hint="eastAsia" w:ascii="仿宋" w:hAnsi="仿宋" w:eastAsia="仿宋" w:cs="仿宋"/>
          <w:b/>
          <w:bCs/>
          <w:i w:val="0"/>
          <w:iCs w:val="0"/>
          <w:caps w:val="0"/>
          <w:color w:val="000000"/>
          <w:spacing w:val="0"/>
          <w:sz w:val="24"/>
          <w:szCs w:val="24"/>
          <w:lang w:eastAsia="zh-CN"/>
        </w:rPr>
        <w:t>六</w:t>
      </w:r>
      <w:r>
        <w:rPr>
          <w:rFonts w:hint="eastAsia" w:ascii="仿宋" w:hAnsi="仿宋" w:eastAsia="仿宋" w:cs="仿宋"/>
          <w:b/>
          <w:bCs/>
          <w:i w:val="0"/>
          <w:iCs w:val="0"/>
          <w:caps w:val="0"/>
          <w:color w:val="000000"/>
          <w:spacing w:val="0"/>
          <w:sz w:val="24"/>
          <w:szCs w:val="24"/>
        </w:rPr>
        <w:t>、其他补充事宜</w:t>
      </w:r>
    </w:p>
    <w:p w14:paraId="4DD4B234">
      <w:pPr>
        <w:pStyle w:val="17"/>
        <w:keepNext w:val="0"/>
        <w:keepLines w:val="0"/>
        <w:pageBreakBefore w:val="0"/>
        <w:widowControl/>
        <w:numPr>
          <w:ilvl w:val="0"/>
          <w:numId w:val="0"/>
        </w:numPr>
        <w:suppressLineNumbers w:val="0"/>
        <w:kinsoku/>
        <w:wordWrap/>
        <w:overflowPunct/>
        <w:topLinePunct w:val="0"/>
        <w:autoSpaceDE/>
        <w:autoSpaceDN/>
        <w:bidi w:val="0"/>
        <w:adjustRightInd/>
        <w:snapToGrid/>
        <w:spacing w:before="75" w:beforeAutospacing="0" w:after="75" w:afterAutospacing="0" w:line="420" w:lineRule="exact"/>
        <w:ind w:leftChars="0" w:right="0" w:rightChars="0" w:firstLine="480" w:firstLineChars="20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lang w:eastAsia="zh-CN"/>
        </w:rPr>
        <w:t>1、本项目实行网上投标，采用电子投标文件。</w:t>
      </w:r>
    </w:p>
    <w:p w14:paraId="086D89EB">
      <w:pPr>
        <w:pStyle w:val="17"/>
        <w:keepNext w:val="0"/>
        <w:keepLines w:val="0"/>
        <w:pageBreakBefore w:val="0"/>
        <w:widowControl/>
        <w:numPr>
          <w:ilvl w:val="0"/>
          <w:numId w:val="0"/>
        </w:numPr>
        <w:suppressLineNumbers w:val="0"/>
        <w:kinsoku/>
        <w:wordWrap/>
        <w:overflowPunct/>
        <w:topLinePunct w:val="0"/>
        <w:autoSpaceDE/>
        <w:autoSpaceDN/>
        <w:bidi w:val="0"/>
        <w:adjustRightInd/>
        <w:snapToGrid/>
        <w:spacing w:before="75" w:beforeAutospacing="0" w:after="75" w:afterAutospacing="0" w:line="420" w:lineRule="exact"/>
        <w:ind w:leftChars="0" w:right="0" w:rightChars="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lang w:eastAsia="zh-CN"/>
        </w:rPr>
        <w:t> </w:t>
      </w:r>
      <w:r>
        <w:rPr>
          <w:rFonts w:hint="eastAsia" w:ascii="仿宋" w:hAnsi="仿宋" w:eastAsia="仿宋" w:cs="仿宋"/>
          <w:b w:val="0"/>
          <w:bCs w:val="0"/>
          <w:i w:val="0"/>
          <w:iCs w:val="0"/>
          <w:caps w:val="0"/>
          <w:color w:val="000000"/>
          <w:spacing w:val="0"/>
          <w:sz w:val="24"/>
          <w:szCs w:val="24"/>
          <w:lang w:val="en-US" w:eastAsia="zh-CN"/>
        </w:rPr>
        <w:t xml:space="preserve"> </w:t>
      </w:r>
      <w:r>
        <w:rPr>
          <w:rFonts w:hint="eastAsia" w:ascii="仿宋" w:hAnsi="仿宋" w:eastAsia="仿宋" w:cs="仿宋"/>
          <w:b w:val="0"/>
          <w:bCs w:val="0"/>
          <w:i w:val="0"/>
          <w:iCs w:val="0"/>
          <w:caps w:val="0"/>
          <w:color w:val="000000"/>
          <w:spacing w:val="0"/>
          <w:sz w:val="24"/>
          <w:szCs w:val="24"/>
          <w:lang w:eastAsia="zh-CN"/>
        </w:rPr>
        <w:t> </w:t>
      </w:r>
      <w:r>
        <w:rPr>
          <w:rFonts w:hint="eastAsia" w:ascii="仿宋" w:hAnsi="仿宋" w:eastAsia="仿宋" w:cs="仿宋"/>
          <w:b w:val="0"/>
          <w:bCs w:val="0"/>
          <w:i w:val="0"/>
          <w:iCs w:val="0"/>
          <w:caps w:val="0"/>
          <w:color w:val="000000"/>
          <w:spacing w:val="0"/>
          <w:sz w:val="24"/>
          <w:szCs w:val="24"/>
          <w:lang w:val="en-US" w:eastAsia="zh-CN"/>
        </w:rPr>
        <w:t xml:space="preserve"> </w:t>
      </w:r>
      <w:r>
        <w:rPr>
          <w:rFonts w:hint="eastAsia" w:ascii="仿宋" w:hAnsi="仿宋" w:eastAsia="仿宋" w:cs="仿宋"/>
          <w:b w:val="0"/>
          <w:bCs w:val="0"/>
          <w:i w:val="0"/>
          <w:iCs w:val="0"/>
          <w:caps w:val="0"/>
          <w:color w:val="000000"/>
          <w:spacing w:val="0"/>
          <w:sz w:val="24"/>
          <w:szCs w:val="24"/>
          <w:lang w:eastAsia="zh-CN"/>
        </w:rPr>
        <w:t>  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7EE310D7">
      <w:pPr>
        <w:pStyle w:val="17"/>
        <w:keepNext w:val="0"/>
        <w:keepLines w:val="0"/>
        <w:pageBreakBefore w:val="0"/>
        <w:widowControl/>
        <w:numPr>
          <w:ilvl w:val="0"/>
          <w:numId w:val="0"/>
        </w:numPr>
        <w:suppressLineNumbers w:val="0"/>
        <w:kinsoku/>
        <w:wordWrap/>
        <w:overflowPunct/>
        <w:topLinePunct w:val="0"/>
        <w:autoSpaceDE/>
        <w:autoSpaceDN/>
        <w:bidi w:val="0"/>
        <w:adjustRightInd/>
        <w:snapToGrid/>
        <w:spacing w:before="75" w:beforeAutospacing="0" w:after="75" w:afterAutospacing="0" w:line="420" w:lineRule="exact"/>
        <w:ind w:leftChars="0" w:right="0" w:rightChars="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lang w:eastAsia="zh-CN"/>
        </w:rPr>
        <w:t>   </w:t>
      </w:r>
      <w:r>
        <w:rPr>
          <w:rFonts w:hint="eastAsia" w:ascii="仿宋" w:hAnsi="仿宋" w:eastAsia="仿宋" w:cs="仿宋"/>
          <w:b w:val="0"/>
          <w:bCs w:val="0"/>
          <w:i w:val="0"/>
          <w:iCs w:val="0"/>
          <w:caps w:val="0"/>
          <w:color w:val="000000"/>
          <w:spacing w:val="0"/>
          <w:sz w:val="24"/>
          <w:szCs w:val="24"/>
          <w:lang w:val="en-US" w:eastAsia="zh-CN"/>
        </w:rPr>
        <w:t xml:space="preserve">  </w:t>
      </w:r>
      <w:r>
        <w:rPr>
          <w:rFonts w:hint="eastAsia" w:ascii="仿宋" w:hAnsi="仿宋" w:eastAsia="仿宋" w:cs="仿宋"/>
          <w:b w:val="0"/>
          <w:bCs w:val="0"/>
          <w:i w:val="0"/>
          <w:iCs w:val="0"/>
          <w:caps w:val="0"/>
          <w:color w:val="000000"/>
          <w:spacing w:val="0"/>
          <w:sz w:val="24"/>
          <w:szCs w:val="24"/>
          <w:lang w:eastAsia="zh-CN"/>
        </w:rPr>
        <w:t> 3、供应商将政采云电子交易客户端下载、安装完成后，可通过账号密码或CA登录客户端进行投标文件的制作。在使用政采云投标客户端时，建议使用WIN7及以上操作系统。</w:t>
      </w:r>
    </w:p>
    <w:p w14:paraId="3A1270E7">
      <w:pPr>
        <w:pStyle w:val="17"/>
        <w:keepNext w:val="0"/>
        <w:keepLines w:val="0"/>
        <w:pageBreakBefore w:val="0"/>
        <w:widowControl/>
        <w:numPr>
          <w:ilvl w:val="0"/>
          <w:numId w:val="0"/>
        </w:numPr>
        <w:suppressLineNumbers w:val="0"/>
        <w:kinsoku/>
        <w:wordWrap/>
        <w:overflowPunct/>
        <w:topLinePunct w:val="0"/>
        <w:autoSpaceDE/>
        <w:autoSpaceDN/>
        <w:bidi w:val="0"/>
        <w:adjustRightInd/>
        <w:snapToGrid/>
        <w:spacing w:before="75" w:beforeAutospacing="0" w:after="75" w:afterAutospacing="0" w:line="420" w:lineRule="exact"/>
        <w:ind w:leftChars="0" w:right="0" w:rightChars="0"/>
        <w:jc w:val="left"/>
        <w:textAlignment w:val="auto"/>
        <w:rPr>
          <w:rFonts w:hint="eastAsia" w:ascii="仿宋" w:hAnsi="仿宋" w:eastAsia="仿宋" w:cs="仿宋"/>
          <w:b/>
          <w:bCs/>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lang w:eastAsia="zh-CN"/>
        </w:rPr>
        <w:t>  </w:t>
      </w:r>
      <w:r>
        <w:rPr>
          <w:rFonts w:hint="eastAsia" w:ascii="仿宋" w:hAnsi="仿宋" w:eastAsia="仿宋" w:cs="仿宋"/>
          <w:b w:val="0"/>
          <w:bCs w:val="0"/>
          <w:i w:val="0"/>
          <w:iCs w:val="0"/>
          <w:caps w:val="0"/>
          <w:color w:val="000000"/>
          <w:spacing w:val="0"/>
          <w:sz w:val="24"/>
          <w:szCs w:val="24"/>
          <w:lang w:val="en-US" w:eastAsia="zh-CN"/>
        </w:rPr>
        <w:t xml:space="preserve"> </w:t>
      </w:r>
      <w:r>
        <w:rPr>
          <w:rFonts w:hint="eastAsia" w:ascii="仿宋" w:hAnsi="仿宋" w:eastAsia="仿宋" w:cs="仿宋"/>
          <w:b w:val="0"/>
          <w:bCs w:val="0"/>
          <w:i w:val="0"/>
          <w:iCs w:val="0"/>
          <w:caps w:val="0"/>
          <w:color w:val="000000"/>
          <w:spacing w:val="0"/>
          <w:sz w:val="24"/>
          <w:szCs w:val="24"/>
          <w:lang w:eastAsia="zh-CN"/>
        </w:rPr>
        <w:t>  4、其他事项：</w:t>
      </w:r>
      <w:r>
        <w:rPr>
          <w:rFonts w:hint="eastAsia" w:ascii="仿宋" w:hAnsi="仿宋" w:eastAsia="仿宋" w:cs="仿宋"/>
          <w:b w:val="0"/>
          <w:bCs w:val="0"/>
          <w:i w:val="0"/>
          <w:iCs w:val="0"/>
          <w:caps w:val="0"/>
          <w:color w:val="000000"/>
          <w:spacing w:val="0"/>
          <w:sz w:val="24"/>
          <w:szCs w:val="24"/>
          <w:lang w:val="en-US" w:eastAsia="zh-CN"/>
        </w:rPr>
        <w:t>/</w:t>
      </w:r>
      <w:r>
        <w:rPr>
          <w:rFonts w:hint="eastAsia" w:ascii="仿宋" w:hAnsi="仿宋" w:eastAsia="仿宋" w:cs="仿宋"/>
          <w:b w:val="0"/>
          <w:bCs w:val="0"/>
          <w:i w:val="0"/>
          <w:iCs w:val="0"/>
          <w:caps w:val="0"/>
          <w:color w:val="000000"/>
          <w:spacing w:val="0"/>
          <w:sz w:val="24"/>
          <w:szCs w:val="24"/>
          <w:lang w:eastAsia="zh-CN"/>
        </w:rPr>
        <w:t> </w:t>
      </w:r>
      <w:r>
        <w:rPr>
          <w:rFonts w:hint="eastAsia" w:ascii="仿宋" w:hAnsi="仿宋" w:eastAsia="仿宋" w:cs="仿宋"/>
          <w:b/>
          <w:bCs/>
          <w:i w:val="0"/>
          <w:iCs w:val="0"/>
          <w:caps w:val="0"/>
          <w:color w:val="000000"/>
          <w:spacing w:val="0"/>
          <w:sz w:val="24"/>
          <w:szCs w:val="24"/>
          <w:lang w:eastAsia="zh-CN"/>
        </w:rPr>
        <w:t> </w:t>
      </w:r>
    </w:p>
    <w:p w14:paraId="7DEB6AAB">
      <w:pPr>
        <w:pStyle w:val="17"/>
        <w:keepNext w:val="0"/>
        <w:keepLines w:val="0"/>
        <w:pageBreakBefore w:val="0"/>
        <w:widowControl/>
        <w:numPr>
          <w:ilvl w:val="0"/>
          <w:numId w:val="0"/>
        </w:numPr>
        <w:suppressLineNumbers w:val="0"/>
        <w:kinsoku/>
        <w:wordWrap/>
        <w:overflowPunct/>
        <w:topLinePunct w:val="0"/>
        <w:autoSpaceDE/>
        <w:autoSpaceDN/>
        <w:bidi w:val="0"/>
        <w:adjustRightInd/>
        <w:snapToGrid/>
        <w:spacing w:before="75" w:beforeAutospacing="0" w:after="75" w:afterAutospacing="0" w:line="420" w:lineRule="exact"/>
        <w:ind w:leftChars="0" w:right="0" w:rightChars="0"/>
        <w:jc w:val="left"/>
        <w:textAlignment w:val="auto"/>
        <w:rPr>
          <w:rFonts w:hint="eastAsia" w:ascii="仿宋" w:hAnsi="仿宋" w:eastAsia="仿宋" w:cs="仿宋"/>
          <w:b/>
          <w:bCs/>
          <w:i w:val="0"/>
          <w:iCs w:val="0"/>
          <w:caps w:val="0"/>
          <w:color w:val="000000"/>
          <w:spacing w:val="0"/>
          <w:sz w:val="24"/>
          <w:szCs w:val="24"/>
        </w:rPr>
      </w:pPr>
      <w:r>
        <w:rPr>
          <w:rFonts w:hint="eastAsia" w:ascii="仿宋" w:hAnsi="仿宋" w:eastAsia="仿宋" w:cs="仿宋"/>
          <w:b/>
          <w:bCs/>
          <w:i w:val="0"/>
          <w:iCs w:val="0"/>
          <w:caps w:val="0"/>
          <w:color w:val="000000"/>
          <w:spacing w:val="0"/>
          <w:sz w:val="24"/>
          <w:szCs w:val="24"/>
          <w:lang w:eastAsia="zh-CN"/>
        </w:rPr>
        <w:t>七</w:t>
      </w:r>
      <w:r>
        <w:rPr>
          <w:rFonts w:hint="eastAsia" w:ascii="仿宋" w:hAnsi="仿宋" w:eastAsia="仿宋" w:cs="仿宋"/>
          <w:b/>
          <w:bCs/>
          <w:i w:val="0"/>
          <w:iCs w:val="0"/>
          <w:caps w:val="0"/>
          <w:color w:val="000000"/>
          <w:spacing w:val="0"/>
          <w:sz w:val="24"/>
          <w:szCs w:val="24"/>
        </w:rPr>
        <w:t>、对本次采购提出询问，请按以下方式联系</w:t>
      </w:r>
    </w:p>
    <w:p w14:paraId="332E612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1.采购人信息</w:t>
      </w:r>
    </w:p>
    <w:p w14:paraId="6F6F075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名 称：克孜勒苏柯尔克孜自治州公安局</w:t>
      </w:r>
    </w:p>
    <w:p w14:paraId="7F80465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地 址：阿图什市帕米尔路100院</w:t>
      </w:r>
    </w:p>
    <w:p w14:paraId="2054B40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default"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rPr>
        <w:t>联系方式：</w:t>
      </w:r>
      <w:r>
        <w:rPr>
          <w:rFonts w:hint="eastAsia" w:ascii="仿宋" w:hAnsi="仿宋" w:eastAsia="仿宋" w:cs="仿宋"/>
          <w:i w:val="0"/>
          <w:iCs w:val="0"/>
          <w:caps w:val="0"/>
          <w:color w:val="000000"/>
          <w:spacing w:val="0"/>
          <w:sz w:val="24"/>
          <w:szCs w:val="24"/>
          <w:lang w:val="en-US" w:eastAsia="zh-CN"/>
        </w:rPr>
        <w:t>18099083275</w:t>
      </w:r>
    </w:p>
    <w:p w14:paraId="2EEDF5F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2.采购代理机构信息</w:t>
      </w:r>
    </w:p>
    <w:p w14:paraId="5F6832B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名 称：鼎建项目管理有限公司　　　　　　　　   　</w:t>
      </w:r>
    </w:p>
    <w:p w14:paraId="39D86BA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地 址：阿图什市光明北路12号博格拉A座四楼　  　</w:t>
      </w:r>
    </w:p>
    <w:p w14:paraId="0E5B198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项目联系人：朱先生</w:t>
      </w:r>
    </w:p>
    <w:p w14:paraId="06C6367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电  话：18609088999</w:t>
      </w:r>
    </w:p>
    <w:p w14:paraId="5F6DD6D0">
      <w:pPr>
        <w:rPr>
          <w:rFonts w:hint="eastAsia" w:ascii="仿宋" w:hAnsi="仿宋" w:eastAsia="仿宋" w:cs="仿宋"/>
          <w:color w:val="auto"/>
        </w:rPr>
      </w:pPr>
    </w:p>
    <w:p w14:paraId="0CB6A622">
      <w:pPr>
        <w:pStyle w:val="26"/>
        <w:rPr>
          <w:rFonts w:hint="eastAsia" w:ascii="仿宋" w:hAnsi="仿宋" w:eastAsia="仿宋" w:cs="仿宋"/>
          <w:color w:val="auto"/>
        </w:rPr>
      </w:pPr>
    </w:p>
    <w:p w14:paraId="7542B544">
      <w:pPr>
        <w:pStyle w:val="26"/>
        <w:ind w:left="0" w:leftChars="0" w:firstLine="0" w:firstLineChars="0"/>
        <w:rPr>
          <w:rFonts w:hint="eastAsia" w:ascii="仿宋" w:hAnsi="仿宋" w:eastAsia="仿宋" w:cs="仿宋"/>
          <w:color w:val="auto"/>
        </w:rPr>
      </w:pPr>
    </w:p>
    <w:p w14:paraId="56CB9C97">
      <w:pPr>
        <w:pStyle w:val="26"/>
        <w:ind w:left="0" w:leftChars="0" w:firstLine="0" w:firstLineChars="0"/>
        <w:rPr>
          <w:rFonts w:hint="eastAsia" w:ascii="仿宋" w:hAnsi="仿宋" w:eastAsia="仿宋" w:cs="仿宋"/>
          <w:color w:val="auto"/>
        </w:rPr>
      </w:pPr>
    </w:p>
    <w:p w14:paraId="12BC3D0C">
      <w:pPr>
        <w:pStyle w:val="26"/>
        <w:ind w:left="0" w:leftChars="0" w:firstLine="0" w:firstLineChars="0"/>
        <w:rPr>
          <w:rFonts w:hint="eastAsia" w:ascii="仿宋" w:hAnsi="仿宋" w:eastAsia="仿宋" w:cs="仿宋"/>
          <w:color w:val="auto"/>
        </w:rPr>
      </w:pPr>
    </w:p>
    <w:p w14:paraId="59D44103">
      <w:pPr>
        <w:pStyle w:val="26"/>
        <w:ind w:left="0" w:leftChars="0" w:firstLine="0" w:firstLineChars="0"/>
        <w:rPr>
          <w:rFonts w:hint="eastAsia" w:ascii="仿宋" w:hAnsi="仿宋" w:eastAsia="仿宋" w:cs="仿宋"/>
          <w:color w:val="auto"/>
        </w:rPr>
      </w:pPr>
    </w:p>
    <w:p w14:paraId="606FE697">
      <w:pPr>
        <w:pStyle w:val="26"/>
        <w:ind w:left="0" w:leftChars="0" w:firstLine="0" w:firstLineChars="0"/>
        <w:rPr>
          <w:rFonts w:hint="eastAsia" w:ascii="仿宋" w:hAnsi="仿宋" w:eastAsia="仿宋" w:cs="仿宋"/>
          <w:color w:val="auto"/>
        </w:rPr>
      </w:pPr>
    </w:p>
    <w:p w14:paraId="5B32CFD2">
      <w:pPr>
        <w:pStyle w:val="26"/>
        <w:ind w:left="0" w:leftChars="0" w:firstLine="0" w:firstLineChars="0"/>
        <w:rPr>
          <w:rFonts w:hint="eastAsia" w:ascii="仿宋" w:hAnsi="仿宋" w:eastAsia="仿宋" w:cs="仿宋"/>
          <w:color w:val="auto"/>
        </w:rPr>
      </w:pPr>
    </w:p>
    <w:p w14:paraId="7F70CD42">
      <w:pPr>
        <w:pStyle w:val="26"/>
        <w:ind w:left="0" w:leftChars="0" w:firstLine="0" w:firstLineChars="0"/>
        <w:rPr>
          <w:rFonts w:hint="eastAsia" w:ascii="仿宋" w:hAnsi="仿宋" w:eastAsia="仿宋" w:cs="仿宋"/>
          <w:color w:val="auto"/>
        </w:rPr>
      </w:pPr>
    </w:p>
    <w:p w14:paraId="58127195">
      <w:pPr>
        <w:pStyle w:val="26"/>
        <w:ind w:left="0" w:leftChars="0" w:firstLine="0" w:firstLineChars="0"/>
        <w:rPr>
          <w:rFonts w:hint="eastAsia" w:ascii="仿宋" w:hAnsi="仿宋" w:eastAsia="仿宋" w:cs="仿宋"/>
          <w:color w:val="auto"/>
        </w:rPr>
      </w:pPr>
    </w:p>
    <w:p w14:paraId="16C30F16">
      <w:pPr>
        <w:pStyle w:val="26"/>
        <w:ind w:left="0" w:leftChars="0" w:firstLine="0" w:firstLineChars="0"/>
        <w:rPr>
          <w:rFonts w:hint="eastAsia" w:ascii="仿宋" w:hAnsi="仿宋" w:eastAsia="仿宋" w:cs="仿宋"/>
          <w:color w:val="auto"/>
        </w:rPr>
      </w:pPr>
    </w:p>
    <w:p w14:paraId="25EF7AF2">
      <w:pPr>
        <w:pStyle w:val="26"/>
        <w:ind w:left="0" w:leftChars="0" w:firstLine="0" w:firstLineChars="0"/>
        <w:rPr>
          <w:rFonts w:hint="eastAsia" w:ascii="仿宋" w:hAnsi="仿宋" w:eastAsia="仿宋" w:cs="仿宋"/>
          <w:color w:val="auto"/>
        </w:rPr>
      </w:pPr>
    </w:p>
    <w:p w14:paraId="1697D307">
      <w:pPr>
        <w:pStyle w:val="26"/>
        <w:ind w:left="0" w:leftChars="0" w:firstLine="0" w:firstLineChars="0"/>
        <w:rPr>
          <w:rFonts w:hint="eastAsia" w:ascii="仿宋" w:hAnsi="仿宋" w:eastAsia="仿宋" w:cs="仿宋"/>
          <w:color w:val="auto"/>
        </w:rPr>
      </w:pPr>
    </w:p>
    <w:p w14:paraId="1ED97D3E">
      <w:pPr>
        <w:pStyle w:val="26"/>
        <w:ind w:left="0" w:leftChars="0" w:firstLine="0" w:firstLineChars="0"/>
        <w:rPr>
          <w:rFonts w:hint="eastAsia" w:ascii="仿宋" w:hAnsi="仿宋" w:eastAsia="仿宋" w:cs="仿宋"/>
          <w:color w:val="auto"/>
        </w:rPr>
      </w:pPr>
    </w:p>
    <w:p w14:paraId="517DEDF1">
      <w:pPr>
        <w:pStyle w:val="26"/>
        <w:ind w:left="0" w:leftChars="0" w:firstLine="0" w:firstLineChars="0"/>
        <w:rPr>
          <w:rFonts w:hint="eastAsia" w:ascii="仿宋" w:hAnsi="仿宋" w:eastAsia="仿宋" w:cs="仿宋"/>
          <w:color w:val="auto"/>
        </w:rPr>
      </w:pPr>
    </w:p>
    <w:p w14:paraId="105EB0B8">
      <w:pPr>
        <w:pStyle w:val="26"/>
        <w:ind w:left="0" w:leftChars="0" w:firstLine="0" w:firstLineChars="0"/>
        <w:rPr>
          <w:rFonts w:hint="eastAsia" w:ascii="仿宋" w:hAnsi="仿宋" w:eastAsia="仿宋" w:cs="仿宋"/>
          <w:color w:val="auto"/>
        </w:rPr>
      </w:pPr>
    </w:p>
    <w:p w14:paraId="232F8D8F">
      <w:pPr>
        <w:pStyle w:val="30"/>
        <w:keepNext/>
        <w:keepLines/>
        <w:widowControl w:val="0"/>
        <w:shd w:val="clear" w:color="auto" w:fill="auto"/>
        <w:bidi w:val="0"/>
        <w:spacing w:before="0" w:after="240" w:line="240" w:lineRule="auto"/>
        <w:ind w:left="0" w:right="0" w:firstLine="0"/>
        <w:jc w:val="both"/>
        <w:rPr>
          <w:rFonts w:hint="eastAsia" w:ascii="仿宋" w:hAnsi="仿宋" w:eastAsia="仿宋" w:cs="仿宋"/>
          <w:b/>
          <w:bCs/>
          <w:color w:val="auto"/>
          <w:spacing w:val="0"/>
          <w:w w:val="100"/>
          <w:position w:val="0"/>
        </w:rPr>
      </w:pPr>
    </w:p>
    <w:p w14:paraId="3F70288A">
      <w:pPr>
        <w:pStyle w:val="30"/>
        <w:keepNext/>
        <w:keepLines/>
        <w:widowControl w:val="0"/>
        <w:shd w:val="clear" w:color="auto" w:fill="auto"/>
        <w:bidi w:val="0"/>
        <w:spacing w:before="0" w:after="240" w:line="240" w:lineRule="auto"/>
        <w:ind w:left="0" w:right="0" w:firstLine="0"/>
        <w:jc w:val="both"/>
        <w:rPr>
          <w:rFonts w:hint="eastAsia" w:ascii="仿宋" w:hAnsi="仿宋" w:eastAsia="仿宋" w:cs="仿宋"/>
          <w:b/>
          <w:bCs/>
          <w:color w:val="auto"/>
          <w:spacing w:val="0"/>
          <w:w w:val="100"/>
          <w:position w:val="0"/>
        </w:rPr>
      </w:pPr>
    </w:p>
    <w:p w14:paraId="39834726">
      <w:pPr>
        <w:rPr>
          <w:rFonts w:hint="eastAsia" w:ascii="仿宋" w:hAnsi="仿宋" w:eastAsia="仿宋" w:cs="仿宋"/>
          <w:color w:val="auto"/>
        </w:rPr>
      </w:pPr>
    </w:p>
    <w:p w14:paraId="405B04D7">
      <w:pPr>
        <w:pStyle w:val="30"/>
        <w:keepNext/>
        <w:keepLines/>
        <w:widowControl w:val="0"/>
        <w:shd w:val="clear" w:color="auto" w:fill="auto"/>
        <w:bidi w:val="0"/>
        <w:spacing w:before="0" w:after="240" w:line="240" w:lineRule="auto"/>
        <w:ind w:left="0" w:right="0" w:firstLine="0"/>
        <w:jc w:val="center"/>
        <w:rPr>
          <w:rFonts w:hint="eastAsia" w:ascii="仿宋" w:hAnsi="仿宋" w:eastAsia="仿宋" w:cs="仿宋"/>
          <w:b/>
          <w:bCs/>
          <w:color w:val="auto"/>
        </w:rPr>
      </w:pPr>
      <w:r>
        <w:rPr>
          <w:rFonts w:hint="eastAsia" w:ascii="仿宋" w:hAnsi="仿宋" w:eastAsia="仿宋" w:cs="仿宋"/>
          <w:b/>
          <w:bCs/>
          <w:color w:val="auto"/>
          <w:spacing w:val="0"/>
          <w:w w:val="100"/>
          <w:position w:val="0"/>
        </w:rPr>
        <w:t>第二</w:t>
      </w:r>
      <w:r>
        <w:rPr>
          <w:rFonts w:hint="eastAsia" w:ascii="仿宋" w:hAnsi="仿宋" w:eastAsia="仿宋" w:cs="仿宋"/>
          <w:b/>
          <w:bCs/>
          <w:color w:val="auto"/>
          <w:spacing w:val="0"/>
          <w:w w:val="100"/>
          <w:position w:val="0"/>
          <w:lang w:eastAsia="zh-CN"/>
        </w:rPr>
        <w:t>章</w:t>
      </w:r>
      <w:r>
        <w:rPr>
          <w:rFonts w:hint="eastAsia" w:ascii="仿宋" w:hAnsi="仿宋" w:eastAsia="仿宋" w:cs="仿宋"/>
          <w:b/>
          <w:bCs/>
          <w:color w:val="auto"/>
          <w:spacing w:val="0"/>
          <w:w w:val="100"/>
          <w:position w:val="0"/>
          <w:lang w:val="en-US" w:eastAsia="zh-CN"/>
        </w:rPr>
        <w:t xml:space="preserve"> </w:t>
      </w:r>
      <w:r>
        <w:rPr>
          <w:rFonts w:hint="eastAsia" w:ascii="仿宋" w:hAnsi="仿宋" w:eastAsia="仿宋" w:cs="仿宋"/>
          <w:b/>
          <w:bCs/>
          <w:color w:val="auto"/>
          <w:spacing w:val="0"/>
          <w:w w:val="100"/>
          <w:position w:val="0"/>
        </w:rPr>
        <w:t>供应商须知</w:t>
      </w:r>
    </w:p>
    <w:p w14:paraId="2ACA0453">
      <w:pPr>
        <w:pStyle w:val="31"/>
        <w:keepNext w:val="0"/>
        <w:keepLines w:val="0"/>
        <w:widowControl w:val="0"/>
        <w:shd w:val="clear" w:color="auto" w:fill="auto"/>
        <w:bidi w:val="0"/>
        <w:spacing w:before="0" w:after="0" w:line="240" w:lineRule="auto"/>
        <w:ind w:right="0"/>
        <w:jc w:val="center"/>
        <w:rPr>
          <w:rFonts w:hint="eastAsia" w:ascii="仿宋" w:hAnsi="仿宋" w:eastAsia="仿宋" w:cs="仿宋"/>
          <w:color w:val="auto"/>
          <w:spacing w:val="0"/>
          <w:w w:val="100"/>
          <w:position w:val="0"/>
          <w:sz w:val="28"/>
          <w:szCs w:val="28"/>
        </w:rPr>
      </w:pPr>
      <w:r>
        <w:rPr>
          <w:rFonts w:hint="eastAsia" w:ascii="仿宋" w:hAnsi="仿宋" w:eastAsia="仿宋" w:cs="仿宋"/>
          <w:b/>
          <w:bCs/>
          <w:color w:val="auto"/>
          <w:spacing w:val="0"/>
          <w:w w:val="100"/>
          <w:position w:val="0"/>
          <w:sz w:val="28"/>
          <w:szCs w:val="28"/>
          <w:lang w:eastAsia="zh-CN"/>
        </w:rPr>
        <w:t>供应商</w:t>
      </w:r>
      <w:r>
        <w:rPr>
          <w:rFonts w:hint="eastAsia" w:ascii="仿宋" w:hAnsi="仿宋" w:eastAsia="仿宋" w:cs="仿宋"/>
          <w:b/>
          <w:bCs/>
          <w:color w:val="auto"/>
          <w:spacing w:val="0"/>
          <w:w w:val="100"/>
          <w:position w:val="0"/>
          <w:sz w:val="28"/>
          <w:szCs w:val="28"/>
        </w:rPr>
        <w:t>须知前附表</w:t>
      </w:r>
    </w:p>
    <w:tbl>
      <w:tblPr>
        <w:tblStyle w:val="19"/>
        <w:tblW w:w="9670" w:type="dxa"/>
        <w:jc w:val="center"/>
        <w:tblLayout w:type="fixed"/>
        <w:tblCellMar>
          <w:top w:w="0" w:type="dxa"/>
          <w:left w:w="108" w:type="dxa"/>
          <w:bottom w:w="0" w:type="dxa"/>
          <w:right w:w="108" w:type="dxa"/>
        </w:tblCellMar>
      </w:tblPr>
      <w:tblGrid>
        <w:gridCol w:w="485"/>
        <w:gridCol w:w="1665"/>
        <w:gridCol w:w="7520"/>
      </w:tblGrid>
      <w:tr w14:paraId="71E5AFBB">
        <w:tblPrEx>
          <w:tblCellMar>
            <w:top w:w="0" w:type="dxa"/>
            <w:left w:w="108" w:type="dxa"/>
            <w:bottom w:w="0" w:type="dxa"/>
            <w:right w:w="108" w:type="dxa"/>
          </w:tblCellMar>
        </w:tblPrEx>
        <w:trPr>
          <w:trHeight w:val="28"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1D741B41">
            <w:pPr>
              <w:widowControl/>
              <w:spacing w:line="334" w:lineRule="exact"/>
              <w:jc w:val="center"/>
              <w:rPr>
                <w:rFonts w:hint="eastAsia" w:ascii="仿宋" w:hAnsi="仿宋" w:eastAsia="仿宋" w:cs="仿宋"/>
                <w:b/>
                <w:color w:val="auto"/>
                <w:szCs w:val="21"/>
              </w:rPr>
            </w:pPr>
            <w:r>
              <w:rPr>
                <w:rFonts w:hint="eastAsia" w:ascii="仿宋" w:hAnsi="仿宋" w:eastAsia="仿宋" w:cs="仿宋"/>
                <w:b/>
                <w:color w:val="auto"/>
                <w:szCs w:val="21"/>
              </w:rPr>
              <w:t>序 号</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2093664C">
            <w:pPr>
              <w:widowControl/>
              <w:spacing w:line="334" w:lineRule="exact"/>
              <w:jc w:val="center"/>
              <w:rPr>
                <w:rFonts w:hint="eastAsia" w:ascii="仿宋" w:hAnsi="仿宋" w:eastAsia="仿宋" w:cs="仿宋"/>
                <w:b/>
                <w:color w:val="auto"/>
                <w:szCs w:val="21"/>
              </w:rPr>
            </w:pPr>
            <w:r>
              <w:rPr>
                <w:rFonts w:hint="eastAsia" w:ascii="仿宋" w:hAnsi="仿宋" w:eastAsia="仿宋" w:cs="仿宋"/>
                <w:b/>
                <w:color w:val="auto"/>
                <w:szCs w:val="21"/>
              </w:rPr>
              <w:t>名  称</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75A8F714">
            <w:pPr>
              <w:widowControl/>
              <w:spacing w:line="334" w:lineRule="exact"/>
              <w:jc w:val="center"/>
              <w:rPr>
                <w:rFonts w:hint="eastAsia" w:ascii="仿宋" w:hAnsi="仿宋" w:eastAsia="仿宋" w:cs="仿宋"/>
                <w:b/>
                <w:color w:val="auto"/>
                <w:szCs w:val="21"/>
              </w:rPr>
            </w:pPr>
            <w:r>
              <w:rPr>
                <w:rFonts w:hint="eastAsia" w:ascii="仿宋" w:hAnsi="仿宋" w:eastAsia="仿宋" w:cs="仿宋"/>
                <w:b/>
                <w:color w:val="auto"/>
                <w:szCs w:val="21"/>
              </w:rPr>
              <w:t>编  列  内  容</w:t>
            </w:r>
          </w:p>
        </w:tc>
      </w:tr>
      <w:tr w14:paraId="31F50708">
        <w:tblPrEx>
          <w:tblCellMar>
            <w:top w:w="0" w:type="dxa"/>
            <w:left w:w="108" w:type="dxa"/>
            <w:bottom w:w="0" w:type="dxa"/>
            <w:right w:w="108" w:type="dxa"/>
          </w:tblCellMar>
        </w:tblPrEx>
        <w:trPr>
          <w:trHeight w:val="28"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770AF3E0">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3867F1F7">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项目名称</w:t>
            </w:r>
          </w:p>
          <w:p w14:paraId="2A00F767">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w:t>
            </w:r>
          </w:p>
          <w:p w14:paraId="637358FE">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采购内容</w:t>
            </w:r>
          </w:p>
          <w:p w14:paraId="2CAA8FB7">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供货期</w:t>
            </w:r>
          </w:p>
          <w:p w14:paraId="16E6646A">
            <w:pPr>
              <w:shd w:val="clear" w:color="auto" w:fill="auto"/>
              <w:spacing w:line="360" w:lineRule="auto"/>
              <w:jc w:val="center"/>
              <w:rPr>
                <w:rFonts w:hint="default" w:ascii="仿宋" w:hAnsi="仿宋" w:eastAsia="仿宋" w:cs="仿宋"/>
                <w:color w:val="auto"/>
                <w:highlight w:val="none"/>
                <w:lang w:val="en-US" w:eastAsia="zh-CN"/>
              </w:rPr>
            </w:pPr>
          </w:p>
        </w:tc>
        <w:tc>
          <w:tcPr>
            <w:tcW w:w="7520" w:type="dxa"/>
            <w:tcBorders>
              <w:top w:val="single" w:color="auto" w:sz="4" w:space="0"/>
              <w:left w:val="single" w:color="auto" w:sz="4" w:space="0"/>
              <w:bottom w:val="single" w:color="auto" w:sz="4" w:space="0"/>
              <w:right w:val="single" w:color="auto" w:sz="4" w:space="0"/>
            </w:tcBorders>
            <w:noWrap w:val="0"/>
            <w:vAlign w:val="center"/>
          </w:tcPr>
          <w:p w14:paraId="609F0CBC">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项目名称：克州GAJ无人机导航诱骗设备采购项目</w:t>
            </w:r>
          </w:p>
          <w:p w14:paraId="25EA9645">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项目编号：KZZB-2025027</w:t>
            </w:r>
          </w:p>
          <w:p w14:paraId="76B0CDF1">
            <w:pPr>
              <w:shd w:val="clear" w:color="auto" w:fill="auto"/>
              <w:spacing w:line="360" w:lineRule="auto"/>
              <w:rPr>
                <w:rFonts w:hint="eastAsia" w:ascii="仿宋" w:hAnsi="仿宋" w:eastAsia="仿宋" w:cs="仿宋"/>
                <w:color w:val="auto"/>
                <w:lang w:eastAsia="zh-CN"/>
              </w:rPr>
            </w:pPr>
            <w:r>
              <w:rPr>
                <w:rFonts w:hint="eastAsia" w:ascii="仿宋" w:hAnsi="仿宋" w:eastAsia="仿宋" w:cs="仿宋"/>
                <w:color w:val="auto"/>
                <w:highlight w:val="none"/>
                <w:lang w:val="en-US" w:eastAsia="zh-CN"/>
              </w:rPr>
              <w:t>采购内容：</w:t>
            </w:r>
            <w:r>
              <w:rPr>
                <w:rFonts w:hint="eastAsia" w:ascii="仿宋" w:hAnsi="仿宋" w:eastAsia="仿宋" w:cs="仿宋"/>
                <w:color w:val="auto"/>
                <w:lang w:eastAsia="zh-CN"/>
              </w:rPr>
              <w:t>采购无人机导航诱导设备；（具体采购内容详见采购清单）</w:t>
            </w:r>
          </w:p>
          <w:p w14:paraId="4620BA4E">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供货期：</w:t>
            </w:r>
            <w:r>
              <w:rPr>
                <w:rFonts w:hint="eastAsia" w:ascii="仿宋" w:hAnsi="仿宋" w:eastAsia="仿宋" w:cs="仿宋"/>
                <w:color w:val="auto"/>
                <w:highlight w:val="none"/>
                <w:lang w:eastAsia="zh-CN"/>
              </w:rPr>
              <w:t>自合同签订之日起30天内完成供货</w:t>
            </w:r>
            <w:r>
              <w:rPr>
                <w:rFonts w:hint="eastAsia" w:ascii="仿宋" w:hAnsi="仿宋" w:eastAsia="仿宋" w:cs="仿宋"/>
                <w:color w:val="auto"/>
                <w:highlight w:val="none"/>
                <w:lang w:val="en-US" w:eastAsia="zh-CN"/>
              </w:rPr>
              <w:t>并调试安装完成，并投入使用</w:t>
            </w:r>
            <w:r>
              <w:rPr>
                <w:rFonts w:hint="eastAsia" w:ascii="仿宋" w:hAnsi="仿宋" w:eastAsia="仿宋" w:cs="仿宋"/>
                <w:color w:val="auto"/>
                <w:highlight w:val="none"/>
                <w:lang w:eastAsia="zh-CN"/>
              </w:rPr>
              <w:t>。</w:t>
            </w:r>
          </w:p>
        </w:tc>
      </w:tr>
      <w:tr w14:paraId="04175B86">
        <w:tblPrEx>
          <w:tblCellMar>
            <w:top w:w="0" w:type="dxa"/>
            <w:left w:w="108" w:type="dxa"/>
            <w:bottom w:w="0" w:type="dxa"/>
            <w:right w:w="108" w:type="dxa"/>
          </w:tblCellMar>
        </w:tblPrEx>
        <w:trPr>
          <w:trHeight w:val="9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08F49A11">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767BBBD0">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采购人信息</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27989C7A">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名  称：</w:t>
            </w:r>
            <w:r>
              <w:rPr>
                <w:rFonts w:hint="eastAsia" w:ascii="仿宋" w:hAnsi="仿宋" w:eastAsia="仿宋" w:cs="仿宋"/>
                <w:color w:val="auto"/>
                <w:lang w:eastAsia="zh-CN"/>
              </w:rPr>
              <w:t>克孜勒苏柯尔克孜自治州公安局</w:t>
            </w:r>
          </w:p>
          <w:p w14:paraId="095D3B3B">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联系人：</w:t>
            </w:r>
            <w:r>
              <w:rPr>
                <w:rFonts w:hint="eastAsia" w:ascii="仿宋" w:hAnsi="仿宋" w:eastAsia="仿宋" w:cs="仿宋"/>
                <w:color w:val="auto"/>
                <w:lang w:eastAsia="zh-CN"/>
              </w:rPr>
              <w:t>木先生   电  话：</w:t>
            </w:r>
            <w:r>
              <w:rPr>
                <w:rFonts w:hint="eastAsia" w:ascii="仿宋" w:hAnsi="仿宋" w:eastAsia="仿宋" w:cs="仿宋"/>
                <w:color w:val="auto"/>
                <w:lang w:val="en-US" w:eastAsia="zh-CN"/>
              </w:rPr>
              <w:t>18099083275</w:t>
            </w:r>
          </w:p>
        </w:tc>
      </w:tr>
      <w:tr w14:paraId="5F18CA15">
        <w:tblPrEx>
          <w:tblCellMar>
            <w:top w:w="0" w:type="dxa"/>
            <w:left w:w="108" w:type="dxa"/>
            <w:bottom w:w="0" w:type="dxa"/>
            <w:right w:w="108" w:type="dxa"/>
          </w:tblCellMar>
        </w:tblPrEx>
        <w:trPr>
          <w:trHeight w:val="873"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1E22359D">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4801352C">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采购代理机构</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13BC319D">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名  称：鼎建项目管理有限公司</w:t>
            </w:r>
          </w:p>
          <w:p w14:paraId="3B4386A4">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地  址：阿图什市光明北路12号博格拉A座四楼</w:t>
            </w:r>
          </w:p>
          <w:p w14:paraId="2D2F2D68">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联系人：朱先生       电  话：18609088999</w:t>
            </w:r>
          </w:p>
        </w:tc>
      </w:tr>
      <w:tr w14:paraId="75B72E94">
        <w:tblPrEx>
          <w:tblCellMar>
            <w:top w:w="0" w:type="dxa"/>
            <w:left w:w="108" w:type="dxa"/>
            <w:bottom w:w="0" w:type="dxa"/>
            <w:right w:w="108" w:type="dxa"/>
          </w:tblCellMar>
        </w:tblPrEx>
        <w:trPr>
          <w:trHeight w:val="144"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73F61587">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4</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2093E018">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最终交货地点</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290EBF79">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采购单位指定地点</w:t>
            </w:r>
          </w:p>
        </w:tc>
      </w:tr>
      <w:tr w14:paraId="06FD5FB3">
        <w:tblPrEx>
          <w:tblCellMar>
            <w:top w:w="0" w:type="dxa"/>
            <w:left w:w="108" w:type="dxa"/>
            <w:bottom w:w="0" w:type="dxa"/>
            <w:right w:w="108" w:type="dxa"/>
          </w:tblCellMar>
        </w:tblPrEx>
        <w:trPr>
          <w:trHeight w:val="366"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450EC957">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212EF73A">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资格要求</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63AC56BE">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1.满足《中华人民共和国政府采购法》第二十二条规定；</w:t>
            </w:r>
          </w:p>
          <w:p w14:paraId="11DD72FB">
            <w:pPr>
              <w:shd w:val="clear" w:color="auto" w:fill="auto"/>
              <w:spacing w:line="360" w:lineRule="auto"/>
              <w:rPr>
                <w:rFonts w:hint="eastAsia" w:ascii="仿宋" w:hAnsi="仿宋" w:eastAsia="仿宋" w:cs="仿宋"/>
                <w:color w:val="auto"/>
                <w:highlight w:val="none"/>
                <w:shd w:val="clear"/>
                <w:lang w:val="en-US" w:eastAsia="zh-CN"/>
              </w:rPr>
            </w:pPr>
            <w:r>
              <w:rPr>
                <w:rFonts w:hint="eastAsia" w:ascii="仿宋" w:hAnsi="仿宋" w:eastAsia="仿宋" w:cs="仿宋"/>
                <w:color w:val="auto"/>
                <w:highlight w:val="none"/>
                <w:lang w:eastAsia="zh-CN"/>
              </w:rPr>
              <w:t>2.落实政府采购政策需满足的资格要求：</w:t>
            </w:r>
            <w:r>
              <w:rPr>
                <w:rFonts w:hint="eastAsia" w:ascii="仿宋" w:hAnsi="仿宋" w:eastAsia="仿宋" w:cs="仿宋"/>
                <w:color w:val="auto"/>
                <w:highlight w:val="none"/>
                <w:shd w:val="clear"/>
                <w:lang w:val="en-US" w:eastAsia="zh-CN"/>
              </w:rPr>
              <w:t>本项目为非专门面向中小企业。</w:t>
            </w:r>
          </w:p>
          <w:p w14:paraId="3A567084">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3.本项目的特定资格要求：</w:t>
            </w:r>
          </w:p>
          <w:p w14:paraId="5487EDAF">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（1</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rPr>
              <w:t>具备三证合一营业执照副本；</w:t>
            </w:r>
          </w:p>
          <w:p w14:paraId="46D0753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rPr>
            </w:pPr>
            <w:r>
              <w:rPr>
                <w:rFonts w:hint="eastAsia" w:ascii="仿宋" w:hAnsi="仿宋" w:eastAsia="仿宋" w:cs="仿宋"/>
                <w:b w:val="0"/>
                <w:bCs w:val="0"/>
                <w:i w:val="0"/>
                <w:iCs w:val="0"/>
                <w:caps w:val="0"/>
                <w:color w:val="000000"/>
                <w:spacing w:val="0"/>
                <w:sz w:val="24"/>
                <w:szCs w:val="24"/>
              </w:rPr>
              <w:t>（2</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rPr>
              <w:t>法定代表人投标需提供法定代表人资格证明书，委托代理人投标需提供法定代表人授权委托书；</w:t>
            </w:r>
          </w:p>
          <w:p w14:paraId="17FAF53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lang w:eastAsia="zh-CN"/>
              </w:rPr>
            </w:pP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lang w:val="en-US" w:eastAsia="zh-CN"/>
              </w:rPr>
              <w:t>3</w:t>
            </w:r>
            <w:r>
              <w:rPr>
                <w:rFonts w:hint="eastAsia" w:ascii="仿宋" w:hAnsi="仿宋" w:eastAsia="仿宋" w:cs="仿宋"/>
                <w:b w:val="0"/>
                <w:bCs w:val="0"/>
                <w:i w:val="0"/>
                <w:iCs w:val="0"/>
                <w:caps w:val="0"/>
                <w:color w:val="000000"/>
                <w:spacing w:val="0"/>
                <w:sz w:val="24"/>
                <w:szCs w:val="24"/>
                <w:lang w:eastAsia="zh-CN"/>
              </w:rPr>
              <w:t>）投标企业须提供投标人（被授权在职人员）近6个月内任意一个月有效的社保证明；</w:t>
            </w:r>
          </w:p>
          <w:p w14:paraId="0A1A816F">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0"/>
              <w:jc w:val="left"/>
              <w:textAlignment w:val="auto"/>
              <w:rPr>
                <w:rFonts w:hint="eastAsia" w:ascii="仿宋" w:hAnsi="仿宋" w:eastAsia="仿宋" w:cs="仿宋"/>
                <w:b w:val="0"/>
                <w:bCs w:val="0"/>
                <w:i w:val="0"/>
                <w:iCs w:val="0"/>
                <w:caps w:val="0"/>
                <w:color w:val="000000"/>
                <w:spacing w:val="0"/>
                <w:sz w:val="24"/>
                <w:szCs w:val="24"/>
                <w:lang w:val="en-US" w:eastAsia="zh-CN"/>
              </w:rPr>
            </w:pPr>
            <w:r>
              <w:rPr>
                <w:rFonts w:hint="eastAsia" w:ascii="仿宋" w:hAnsi="仿宋" w:eastAsia="仿宋" w:cs="仿宋"/>
                <w:b w:val="0"/>
                <w:bCs w:val="0"/>
                <w:i w:val="0"/>
                <w:iCs w:val="0"/>
                <w:caps w:val="0"/>
                <w:color w:val="000000"/>
                <w:spacing w:val="0"/>
                <w:sz w:val="24"/>
                <w:szCs w:val="24"/>
              </w:rPr>
              <w:t>（</w:t>
            </w:r>
            <w:r>
              <w:rPr>
                <w:rFonts w:hint="eastAsia" w:ascii="仿宋" w:hAnsi="仿宋" w:eastAsia="仿宋" w:cs="仿宋"/>
                <w:b w:val="0"/>
                <w:bCs w:val="0"/>
                <w:i w:val="0"/>
                <w:iCs w:val="0"/>
                <w:caps w:val="0"/>
                <w:color w:val="000000"/>
                <w:spacing w:val="0"/>
                <w:sz w:val="24"/>
                <w:szCs w:val="24"/>
                <w:lang w:val="en-US" w:eastAsia="zh-CN"/>
              </w:rPr>
              <w:t>4</w:t>
            </w:r>
            <w:r>
              <w:rPr>
                <w:rFonts w:hint="eastAsia" w:ascii="仿宋" w:hAnsi="仿宋" w:eastAsia="仿宋" w:cs="仿宋"/>
                <w:b w:val="0"/>
                <w:bCs w:val="0"/>
                <w:i w:val="0"/>
                <w:iCs w:val="0"/>
                <w:caps w:val="0"/>
                <w:color w:val="000000"/>
                <w:spacing w:val="0"/>
                <w:sz w:val="24"/>
                <w:szCs w:val="24"/>
                <w:lang w:eastAsia="zh-CN"/>
              </w:rPr>
              <w:t>）</w:t>
            </w:r>
            <w:r>
              <w:rPr>
                <w:rFonts w:hint="eastAsia" w:ascii="仿宋" w:hAnsi="仿宋" w:eastAsia="仿宋" w:cs="仿宋"/>
                <w:b w:val="0"/>
                <w:bCs w:val="0"/>
                <w:i w:val="0"/>
                <w:iCs w:val="0"/>
                <w:caps w:val="0"/>
                <w:color w:val="000000"/>
                <w:spacing w:val="0"/>
                <w:sz w:val="24"/>
                <w:szCs w:val="24"/>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p>
          <w:p w14:paraId="5A73949A">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4.本项目不接受联合体投标。</w:t>
            </w:r>
          </w:p>
        </w:tc>
      </w:tr>
      <w:tr w14:paraId="383969A9">
        <w:tblPrEx>
          <w:tblCellMar>
            <w:top w:w="0" w:type="dxa"/>
            <w:left w:w="108" w:type="dxa"/>
            <w:bottom w:w="0" w:type="dxa"/>
            <w:right w:w="108" w:type="dxa"/>
          </w:tblCellMar>
        </w:tblPrEx>
        <w:trPr>
          <w:trHeight w:val="366"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757AB45F">
            <w:pPr>
              <w:shd w:val="clear" w:color="auto" w:fill="auto"/>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6C1B9C38">
            <w:pPr>
              <w:shd w:val="clear" w:color="auto" w:fill="auto"/>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付款方式</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1769B934">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color w:val="auto"/>
                <w:highlight w:val="none"/>
                <w:lang w:eastAsia="zh-CN"/>
              </w:rPr>
            </w:pPr>
            <w:r>
              <w:rPr>
                <w:rFonts w:hint="eastAsia" w:ascii="仿宋" w:hAnsi="仿宋" w:eastAsia="仿宋" w:cs="仿宋"/>
                <w:b w:val="0"/>
                <w:bCs w:val="0"/>
                <w:color w:val="auto"/>
                <w:highlight w:val="none"/>
                <w:lang w:val="en-US" w:eastAsia="zh-CN"/>
              </w:rPr>
              <w:t>乙方完成供货验收合格后一次性支付全部货款。（具体以签订合同为准）</w:t>
            </w:r>
          </w:p>
        </w:tc>
      </w:tr>
      <w:tr w14:paraId="6A11380E">
        <w:tblPrEx>
          <w:tblCellMar>
            <w:top w:w="0" w:type="dxa"/>
            <w:left w:w="108" w:type="dxa"/>
            <w:bottom w:w="0" w:type="dxa"/>
            <w:right w:w="108" w:type="dxa"/>
          </w:tblCellMar>
        </w:tblPrEx>
        <w:trPr>
          <w:trHeight w:val="9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50C36277">
            <w:pPr>
              <w:shd w:val="clear" w:color="auto" w:fill="auto"/>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7</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05383CD2">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资金来源</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3BDE23F5">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债券资金</w:t>
            </w:r>
          </w:p>
        </w:tc>
      </w:tr>
      <w:tr w14:paraId="5501EC03">
        <w:tblPrEx>
          <w:tblCellMar>
            <w:top w:w="0" w:type="dxa"/>
            <w:left w:w="108" w:type="dxa"/>
            <w:bottom w:w="0" w:type="dxa"/>
            <w:right w:w="108" w:type="dxa"/>
          </w:tblCellMar>
        </w:tblPrEx>
        <w:trPr>
          <w:trHeight w:val="9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32A2CB9C">
            <w:pPr>
              <w:shd w:val="clear" w:color="auto" w:fill="auto"/>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8</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69578EC3">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招标方式</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1762F213">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公开招标(本项目采用网上电子招投标)  </w:t>
            </w:r>
          </w:p>
        </w:tc>
      </w:tr>
      <w:tr w14:paraId="0D9A55B3">
        <w:tblPrEx>
          <w:tblCellMar>
            <w:top w:w="0" w:type="dxa"/>
            <w:left w:w="108" w:type="dxa"/>
            <w:bottom w:w="0" w:type="dxa"/>
            <w:right w:w="108" w:type="dxa"/>
          </w:tblCellMar>
        </w:tblPrEx>
        <w:trPr>
          <w:trHeight w:val="9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752B61F4">
            <w:pPr>
              <w:shd w:val="clear" w:color="auto" w:fill="auto"/>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9</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6E641455">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供应商信用查询</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1751E761">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1、查询渠道：信用中国（网址：http://www.creditchina.gov.cn）、中国政府采购网(网址：http://www.ccgp.gov.cn）。</w:t>
            </w:r>
          </w:p>
          <w:p w14:paraId="49E63B45">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2、截止时点：开标后评标前。</w:t>
            </w:r>
          </w:p>
          <w:p w14:paraId="307B06E2">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3、信用信息查询记录和证据留存的具体方式：由采购组织机构在规定查询时间内打印信用信息查询记录并归入项目档案。</w:t>
            </w:r>
          </w:p>
          <w:p w14:paraId="02E29196">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0A556D5A">
        <w:tblPrEx>
          <w:tblCellMar>
            <w:top w:w="0" w:type="dxa"/>
            <w:left w:w="108" w:type="dxa"/>
            <w:bottom w:w="0" w:type="dxa"/>
            <w:right w:w="108" w:type="dxa"/>
          </w:tblCellMar>
        </w:tblPrEx>
        <w:trPr>
          <w:trHeight w:val="535"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2DA77989">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10</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1F4E6728">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是否接受联合体投标</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6D3DC166">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■不接受</w:t>
            </w:r>
          </w:p>
          <w:p w14:paraId="2ECF7F3C">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□接  受</w:t>
            </w:r>
          </w:p>
        </w:tc>
      </w:tr>
      <w:tr w14:paraId="6468D6A4">
        <w:tblPrEx>
          <w:tblCellMar>
            <w:top w:w="0" w:type="dxa"/>
            <w:left w:w="108" w:type="dxa"/>
            <w:bottom w:w="0" w:type="dxa"/>
            <w:right w:w="108" w:type="dxa"/>
          </w:tblCellMar>
        </w:tblPrEx>
        <w:trPr>
          <w:trHeight w:val="28"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170A9CC9">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11</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5B4F6E92">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投标截止时间 （开标时间）</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203CBA53">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截止时间：2025年4 月1 日上午10时30分（北京时间）</w:t>
            </w:r>
          </w:p>
        </w:tc>
      </w:tr>
      <w:tr w14:paraId="6B1F72C3">
        <w:tblPrEx>
          <w:tblCellMar>
            <w:top w:w="0" w:type="dxa"/>
            <w:left w:w="108" w:type="dxa"/>
            <w:bottom w:w="0" w:type="dxa"/>
            <w:right w:w="108" w:type="dxa"/>
          </w:tblCellMar>
        </w:tblPrEx>
        <w:trPr>
          <w:trHeight w:val="30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59E4A90F">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12</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47EB15A4">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投标有效期</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3F16E72C">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 60 天</w:t>
            </w:r>
          </w:p>
        </w:tc>
      </w:tr>
      <w:tr w14:paraId="5E55C981">
        <w:tblPrEx>
          <w:tblCellMar>
            <w:top w:w="0" w:type="dxa"/>
            <w:left w:w="108" w:type="dxa"/>
            <w:bottom w:w="0" w:type="dxa"/>
            <w:right w:w="108" w:type="dxa"/>
          </w:tblCellMar>
        </w:tblPrEx>
        <w:trPr>
          <w:trHeight w:val="638"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52F4A3FD">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13</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258FE681">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投标保证金</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14130D38">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政府采购投标保证金要求：</w:t>
            </w:r>
          </w:p>
          <w:p w14:paraId="4B41E42B">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投标保证金交纳方式：投标保证金应当以支票、汇票、本票、网上银行支付或者金融机构、担保机构出具的保函等非现金形式交纳。</w:t>
            </w:r>
          </w:p>
          <w:p w14:paraId="09164733">
            <w:pPr>
              <w:shd w:val="clear" w:color="auto" w:fill="auto"/>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highlight w:val="none"/>
                <w:lang w:val="en-US" w:eastAsia="zh-CN"/>
              </w:rPr>
              <w:t xml:space="preserve">投标保证金的金额： </w:t>
            </w:r>
            <w:r>
              <w:rPr>
                <w:rFonts w:hint="eastAsia" w:ascii="仿宋" w:hAnsi="仿宋" w:eastAsia="仿宋" w:cs="仿宋"/>
                <w:b w:val="0"/>
                <w:bCs w:val="0"/>
                <w:color w:val="auto"/>
                <w:sz w:val="24"/>
                <w:szCs w:val="24"/>
                <w:highlight w:val="none"/>
                <w:lang w:val="en-US" w:eastAsia="zh-CN"/>
              </w:rPr>
              <w:t>10000.00元    大写：壹万元整</w:t>
            </w:r>
          </w:p>
          <w:p w14:paraId="2DAFA300">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投标保证金交纳要求：</w:t>
            </w:r>
          </w:p>
          <w:p w14:paraId="54DD1B1F">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1、投标保证金以电汇、网银形式提交的，应在投标截止前以总公司的基本账户一次性汇入指定账户（以到账时间为准），不接受现金及任何个人汇款。汇款凭证作为该项目投标保证金的缴纳依据。</w:t>
            </w:r>
          </w:p>
          <w:p w14:paraId="31D3EAD8">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2、其他特殊情况处理：有效投标保证金成功交纳后，截止开标时间，供应商无正当理由不参加该项目投标且不递交弃标函，投标保证金不予退还。</w:t>
            </w:r>
          </w:p>
          <w:p w14:paraId="55DC8139">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户名：克孜勒苏柯尔克孜自治州政务服务和公共资源交易中心</w:t>
            </w:r>
          </w:p>
          <w:p w14:paraId="242AD184">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账号：30456301040005069</w:t>
            </w:r>
          </w:p>
          <w:p w14:paraId="23FFB584">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行名：中国农业银行阿图什市天山分理处</w:t>
            </w:r>
          </w:p>
          <w:p w14:paraId="497E272F">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行号：103893045636</w:t>
            </w:r>
          </w:p>
          <w:p w14:paraId="489357C5">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联系人：帕女士</w:t>
            </w:r>
          </w:p>
          <w:p w14:paraId="1293F40F">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电话：0908-4220265    15809081090</w:t>
            </w:r>
          </w:p>
          <w:p w14:paraId="30E8D4E9">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（备注：必须写清楚xx公司xx项目保证金）</w:t>
            </w:r>
          </w:p>
          <w:p w14:paraId="038694AE">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二、申请退还投标保证金资料（招投标结束中标结果公示后）：</w:t>
            </w:r>
          </w:p>
          <w:p w14:paraId="17FD0C07">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1、投标企业：待开标完成后，未中标企业3个工作日内政资中心将收取的项目投标保证金按投标企业基本户退回。</w:t>
            </w:r>
          </w:p>
          <w:p w14:paraId="0980322C">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2、中标企业：需提供已签订合同复印件一份，复印件每页需加盖企业鲜章（并携带合同原件，由中心工作人员核对后退还）。</w:t>
            </w:r>
          </w:p>
          <w:p w14:paraId="73205D96">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三、其他特殊情况处理：</w:t>
            </w:r>
          </w:p>
          <w:p w14:paraId="10BA7CA1">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1、按照招标文件要求规定：投标企业无正当理由不参加该项目投标且在规定开标时间前不递交弃标函，投标保证金不予退还。                             </w:t>
            </w:r>
          </w:p>
        </w:tc>
      </w:tr>
      <w:tr w14:paraId="60F45FB2">
        <w:tblPrEx>
          <w:tblCellMar>
            <w:top w:w="0" w:type="dxa"/>
            <w:left w:w="108" w:type="dxa"/>
            <w:bottom w:w="0" w:type="dxa"/>
            <w:right w:w="108" w:type="dxa"/>
          </w:tblCellMar>
        </w:tblPrEx>
        <w:trPr>
          <w:trHeight w:val="545"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3AE523A4">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14</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410BEC1C">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是否允许递交备选投标方案</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7D99364B">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■不允许</w:t>
            </w:r>
          </w:p>
          <w:p w14:paraId="3AE6C726">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□允  许</w:t>
            </w:r>
          </w:p>
        </w:tc>
      </w:tr>
      <w:tr w14:paraId="463E5D1A">
        <w:tblPrEx>
          <w:tblCellMar>
            <w:top w:w="0" w:type="dxa"/>
            <w:left w:w="108" w:type="dxa"/>
            <w:bottom w:w="0" w:type="dxa"/>
            <w:right w:w="108" w:type="dxa"/>
          </w:tblCellMar>
        </w:tblPrEx>
        <w:trPr>
          <w:trHeight w:val="67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47E3916E">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15</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737A264E">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招标文件领取</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01B20C23">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时间：2025年3 月12 日至2025年3 月19 日，每天上午10:00至14:00，下午16:00至19：30（北京时间，节假日除外）</w:t>
            </w:r>
          </w:p>
          <w:p w14:paraId="5C856162">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地点：供应商登陆政采云平台http://www.zcygov.cn/，在线申请获取招标文件 （登录政府采购云平台 → 项目采购 → 获取招标文件 →申请，审核通过后可下载招标文件 ，如有操作性问题，可与政采云在线客服进行咨询，咨询电话：95763）。</w:t>
            </w:r>
          </w:p>
          <w:p w14:paraId="614E527E">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方式：（1）线上获取（登录政府采购云平台 → 项目采购 → 获取招标文件 → 申请，审核通过后可下载招标文件 ）。本次招标不提供纸质版招标文件 。</w:t>
            </w:r>
          </w:p>
          <w:p w14:paraId="1DE0A562">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（2）供应商获取招标文件 前应注册成为政府采购云平台正式供应商。</w:t>
            </w:r>
          </w:p>
        </w:tc>
      </w:tr>
      <w:tr w14:paraId="59503BFF">
        <w:tblPrEx>
          <w:tblCellMar>
            <w:top w:w="0" w:type="dxa"/>
            <w:left w:w="108" w:type="dxa"/>
            <w:bottom w:w="0" w:type="dxa"/>
            <w:right w:w="108" w:type="dxa"/>
          </w:tblCellMar>
        </w:tblPrEx>
        <w:trPr>
          <w:trHeight w:val="67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49D4C4E3">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16</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655875CF">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投标文件形式</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5889ECEC">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电子投标文件包括“电子加密投标文件”和“备份投标文件”，在投标文件编制完成后同时生成。</w:t>
            </w:r>
          </w:p>
          <w:p w14:paraId="2199FD94">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1、“电子加密投标文件”是指通过“政采云电子交易客户端”完成投标文件编制后生成并加密的数据电文形式的投标文件。</w:t>
            </w:r>
          </w:p>
          <w:p w14:paraId="0B3BC451">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2、“备份投标文件”是指与“电子加密投标文件”同时生成的数据电文形式的电子文件（备份标书，用于供应商标书解密异常时应急使用），其他方式编制的备份投标文件视为无效备份投标文件。</w:t>
            </w:r>
          </w:p>
        </w:tc>
      </w:tr>
      <w:tr w14:paraId="0998F335">
        <w:tblPrEx>
          <w:tblCellMar>
            <w:top w:w="0" w:type="dxa"/>
            <w:left w:w="108" w:type="dxa"/>
            <w:bottom w:w="0" w:type="dxa"/>
            <w:right w:w="108" w:type="dxa"/>
          </w:tblCellMar>
        </w:tblPrEx>
        <w:trPr>
          <w:trHeight w:val="731"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4F4C7C0D">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17</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2B452B5D">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投标文件要求</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06C40990">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1、一份电子加密标书（“.jmbs”格式），一份备份标书文件（“.bfbs”格式）。</w:t>
            </w:r>
          </w:p>
          <w:p w14:paraId="2CC78926">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2、每份电子投标文件应包括资格证明文件和商务及技术文件两部分。</w:t>
            </w:r>
          </w:p>
        </w:tc>
      </w:tr>
      <w:tr w14:paraId="79667F90">
        <w:tblPrEx>
          <w:tblCellMar>
            <w:top w:w="0" w:type="dxa"/>
            <w:left w:w="108" w:type="dxa"/>
            <w:bottom w:w="0" w:type="dxa"/>
            <w:right w:w="108" w:type="dxa"/>
          </w:tblCellMar>
        </w:tblPrEx>
        <w:trPr>
          <w:trHeight w:val="731" w:hRule="atLeast"/>
          <w:jc w:val="center"/>
        </w:trPr>
        <w:tc>
          <w:tcPr>
            <w:tcW w:w="485" w:type="dxa"/>
            <w:vMerge w:val="restart"/>
            <w:tcBorders>
              <w:top w:val="single" w:color="auto" w:sz="4" w:space="0"/>
              <w:left w:val="single" w:color="auto" w:sz="4" w:space="0"/>
              <w:right w:val="single" w:color="auto" w:sz="4" w:space="0"/>
            </w:tcBorders>
            <w:noWrap w:val="0"/>
            <w:vAlign w:val="center"/>
          </w:tcPr>
          <w:p w14:paraId="0CC9442B">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18</w:t>
            </w:r>
          </w:p>
        </w:tc>
        <w:tc>
          <w:tcPr>
            <w:tcW w:w="1665" w:type="dxa"/>
            <w:vMerge w:val="restart"/>
            <w:tcBorders>
              <w:top w:val="single" w:color="auto" w:sz="4" w:space="0"/>
              <w:left w:val="single" w:color="auto" w:sz="4" w:space="0"/>
              <w:right w:val="single" w:color="auto" w:sz="4" w:space="0"/>
            </w:tcBorders>
            <w:noWrap w:val="0"/>
            <w:vAlign w:val="center"/>
          </w:tcPr>
          <w:p w14:paraId="481976C6">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投标文件的上传和递交</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73FDA5D8">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1.电子加密投标文件：投标文件制作完成并生成加密标书，在投标截止时间前，供应商需将加密的投标文件上传至政采云平台，在开标时间开始后，待采购组织机构发出解密通知后30分钟内解密投标文件。</w:t>
            </w:r>
          </w:p>
          <w:p w14:paraId="460BD49F">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a.供应商未能在投标截止时间前成功上传电子加密投标文件的投标无效。</w:t>
            </w:r>
          </w:p>
          <w:p w14:paraId="20288C4B">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b.供应商成功上传电子加密投标文件后，可自行打印投标文件接收回执。</w:t>
            </w:r>
          </w:p>
        </w:tc>
      </w:tr>
      <w:tr w14:paraId="095BFA34">
        <w:tblPrEx>
          <w:tblCellMar>
            <w:top w:w="0" w:type="dxa"/>
            <w:left w:w="108" w:type="dxa"/>
            <w:bottom w:w="0" w:type="dxa"/>
            <w:right w:w="108" w:type="dxa"/>
          </w:tblCellMar>
        </w:tblPrEx>
        <w:trPr>
          <w:trHeight w:val="90" w:hRule="atLeast"/>
          <w:jc w:val="center"/>
        </w:trPr>
        <w:tc>
          <w:tcPr>
            <w:tcW w:w="485" w:type="dxa"/>
            <w:vMerge w:val="continue"/>
            <w:tcBorders>
              <w:left w:val="single" w:color="auto" w:sz="4" w:space="0"/>
              <w:bottom w:val="single" w:color="auto" w:sz="4" w:space="0"/>
              <w:right w:val="single" w:color="auto" w:sz="4" w:space="0"/>
            </w:tcBorders>
            <w:noWrap w:val="0"/>
            <w:vAlign w:val="center"/>
          </w:tcPr>
          <w:p w14:paraId="135D08CF">
            <w:pPr>
              <w:shd w:val="clear" w:color="auto" w:fill="auto"/>
              <w:spacing w:line="360" w:lineRule="auto"/>
              <w:rPr>
                <w:rFonts w:hint="eastAsia" w:ascii="仿宋" w:hAnsi="仿宋" w:eastAsia="仿宋" w:cs="仿宋"/>
                <w:color w:val="auto"/>
                <w:highlight w:val="none"/>
                <w:lang w:val="en-US" w:eastAsia="zh-CN"/>
              </w:rPr>
            </w:pPr>
          </w:p>
        </w:tc>
        <w:tc>
          <w:tcPr>
            <w:tcW w:w="1665" w:type="dxa"/>
            <w:vMerge w:val="continue"/>
            <w:tcBorders>
              <w:left w:val="single" w:color="auto" w:sz="4" w:space="0"/>
              <w:bottom w:val="single" w:color="auto" w:sz="4" w:space="0"/>
              <w:right w:val="single" w:color="auto" w:sz="4" w:space="0"/>
            </w:tcBorders>
            <w:noWrap w:val="0"/>
            <w:vAlign w:val="center"/>
          </w:tcPr>
          <w:p w14:paraId="1D1A35EB">
            <w:pPr>
              <w:shd w:val="clear" w:color="auto" w:fill="auto"/>
              <w:spacing w:line="360" w:lineRule="auto"/>
              <w:rPr>
                <w:rFonts w:hint="eastAsia" w:ascii="仿宋" w:hAnsi="仿宋" w:eastAsia="仿宋" w:cs="仿宋"/>
                <w:color w:val="auto"/>
                <w:highlight w:val="none"/>
                <w:lang w:val="en-US" w:eastAsia="zh-CN"/>
              </w:rPr>
            </w:pPr>
          </w:p>
        </w:tc>
        <w:tc>
          <w:tcPr>
            <w:tcW w:w="7520" w:type="dxa"/>
            <w:tcBorders>
              <w:top w:val="single" w:color="auto" w:sz="4" w:space="0"/>
              <w:left w:val="single" w:color="auto" w:sz="4" w:space="0"/>
              <w:bottom w:val="single" w:color="auto" w:sz="4" w:space="0"/>
              <w:right w:val="single" w:color="auto" w:sz="4" w:space="0"/>
            </w:tcBorders>
            <w:noWrap w:val="0"/>
            <w:vAlign w:val="center"/>
          </w:tcPr>
          <w:p w14:paraId="0E64EA98">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2.备份投标文件：供应商在投标截止时间前将加密的投标文件上传至政府采购云平台，还可以在投标截止时间前以电子邮件方式提供备份投标文件1份（接收人邮箱：3265613387</w:t>
            </w:r>
            <w:r>
              <w:rPr>
                <w:rFonts w:hint="eastAsia" w:ascii="仿宋" w:hAnsi="仿宋" w:eastAsia="仿宋" w:cs="仿宋"/>
                <w:color w:val="auto"/>
                <w:highlight w:val="none"/>
                <w:lang w:eastAsia="zh-CN"/>
              </w:rPr>
              <w:t>@qq.com</w:t>
            </w:r>
            <w:r>
              <w:rPr>
                <w:rFonts w:hint="eastAsia" w:ascii="仿宋" w:hAnsi="仿宋" w:eastAsia="仿宋" w:cs="仿宋"/>
                <w:color w:val="auto"/>
                <w:highlight w:val="none"/>
                <w:lang w:val="en-US" w:eastAsia="zh-CN"/>
              </w:rPr>
              <w:t>，接收人：朱先生，电话：18609088999），“备份投标文件”由供应商自愿提供，招标文件不作强制性要求；如不提供或未按要求提供的，当电子投标文件无法解密时，将导致无备份投标文件而失去投标资格。</w:t>
            </w:r>
          </w:p>
          <w:p w14:paraId="5335D60F">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14:paraId="46F975E2">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14:paraId="5019E79D">
        <w:tblPrEx>
          <w:tblCellMar>
            <w:top w:w="0" w:type="dxa"/>
            <w:left w:w="108" w:type="dxa"/>
            <w:bottom w:w="0" w:type="dxa"/>
            <w:right w:w="108" w:type="dxa"/>
          </w:tblCellMar>
        </w:tblPrEx>
        <w:trPr>
          <w:trHeight w:val="823"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363DD148">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19</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0171A9B5">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评标委员会的组建</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560CB8D2">
            <w:pPr>
              <w:shd w:val="clear" w:color="auto" w:fill="auto"/>
              <w:spacing w:line="360" w:lineRule="auto"/>
              <w:rPr>
                <w:rFonts w:hint="eastAsia"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评标委员会由招标人依法组建；采购人代表1人，评审专家4人，共5人。</w:t>
            </w:r>
          </w:p>
          <w:p w14:paraId="118055B2">
            <w:pPr>
              <w:shd w:val="clear" w:color="auto" w:fill="auto"/>
              <w:spacing w:line="360" w:lineRule="auto"/>
              <w:rPr>
                <w:rFonts w:hint="eastAsia"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评标专家确定方式：专家评委由招标人在开标前从政采云专家库中随机抽取</w:t>
            </w:r>
          </w:p>
        </w:tc>
      </w:tr>
      <w:tr w14:paraId="00BD9F6A">
        <w:tblPrEx>
          <w:tblCellMar>
            <w:top w:w="0" w:type="dxa"/>
            <w:left w:w="108" w:type="dxa"/>
            <w:bottom w:w="0" w:type="dxa"/>
            <w:right w:w="108" w:type="dxa"/>
          </w:tblCellMar>
        </w:tblPrEx>
        <w:trPr>
          <w:trHeight w:val="823"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48C9962E">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20</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38BBC05C">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是否授权评标委员会确定中标候选人</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6141B22F">
            <w:pPr>
              <w:shd w:val="clear" w:color="auto" w:fill="auto"/>
              <w:spacing w:line="360" w:lineRule="auto"/>
              <w:rPr>
                <w:rFonts w:hint="eastAsia" w:ascii="仿宋" w:hAnsi="仿宋" w:eastAsia="仿宋" w:cs="仿宋"/>
                <w:color w:val="auto"/>
                <w:highlight w:val="none"/>
                <w:lang w:val="zh-CN" w:eastAsia="zh-CN"/>
              </w:rPr>
            </w:pPr>
            <w:r>
              <w:rPr>
                <w:rFonts w:hint="eastAsia" w:ascii="仿宋" w:hAnsi="仿宋" w:eastAsia="仿宋" w:cs="仿宋"/>
                <w:color w:val="auto"/>
                <w:highlight w:val="none"/>
                <w:lang w:val="en-US" w:eastAsia="zh-CN"/>
              </w:rPr>
              <w:t>是</w:t>
            </w:r>
            <w:r>
              <w:rPr>
                <w:rFonts w:hint="eastAsia" w:ascii="仿宋" w:hAnsi="仿宋" w:eastAsia="仿宋" w:cs="仿宋"/>
                <w:color w:val="auto"/>
                <w:highlight w:val="none"/>
                <w:lang w:val="en-US" w:eastAsia="zh-CN"/>
              </w:rPr>
              <w:tab/>
            </w:r>
          </w:p>
        </w:tc>
      </w:tr>
      <w:tr w14:paraId="34FA34DD">
        <w:tblPrEx>
          <w:tblCellMar>
            <w:top w:w="0" w:type="dxa"/>
            <w:left w:w="108" w:type="dxa"/>
            <w:bottom w:w="0" w:type="dxa"/>
            <w:right w:w="108" w:type="dxa"/>
          </w:tblCellMar>
        </w:tblPrEx>
        <w:trPr>
          <w:trHeight w:val="756"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63181B39">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21</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5D385E85">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递交投标文件地点</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71FD84C4">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投标截止时间：2025年4 月 1日上午10时30分（北京时间）</w:t>
            </w:r>
          </w:p>
          <w:p w14:paraId="329879BF">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投标地点：新疆政府采购云平台（www.zcygov.cn）</w:t>
            </w:r>
          </w:p>
        </w:tc>
      </w:tr>
      <w:tr w14:paraId="578588F1">
        <w:tblPrEx>
          <w:tblCellMar>
            <w:top w:w="0" w:type="dxa"/>
            <w:left w:w="108" w:type="dxa"/>
            <w:bottom w:w="0" w:type="dxa"/>
            <w:right w:w="108" w:type="dxa"/>
          </w:tblCellMar>
        </w:tblPrEx>
        <w:trPr>
          <w:trHeight w:val="710" w:hRule="atLeast"/>
          <w:jc w:val="center"/>
        </w:trPr>
        <w:tc>
          <w:tcPr>
            <w:tcW w:w="485" w:type="dxa"/>
            <w:tcBorders>
              <w:top w:val="single" w:color="auto" w:sz="4" w:space="0"/>
              <w:left w:val="single" w:color="auto" w:sz="4" w:space="0"/>
              <w:right w:val="single" w:color="auto" w:sz="4" w:space="0"/>
            </w:tcBorders>
            <w:noWrap w:val="0"/>
            <w:vAlign w:val="center"/>
          </w:tcPr>
          <w:p w14:paraId="4E5AFC81">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22</w:t>
            </w:r>
          </w:p>
        </w:tc>
        <w:tc>
          <w:tcPr>
            <w:tcW w:w="1665" w:type="dxa"/>
            <w:tcBorders>
              <w:top w:val="single" w:color="auto" w:sz="4" w:space="0"/>
              <w:left w:val="single" w:color="auto" w:sz="4" w:space="0"/>
              <w:right w:val="single" w:color="auto" w:sz="4" w:space="0"/>
            </w:tcBorders>
            <w:noWrap w:val="0"/>
            <w:vAlign w:val="center"/>
          </w:tcPr>
          <w:p w14:paraId="7C8E2646">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开标时间和地点</w:t>
            </w:r>
          </w:p>
        </w:tc>
        <w:tc>
          <w:tcPr>
            <w:tcW w:w="7520" w:type="dxa"/>
            <w:tcBorders>
              <w:top w:val="single" w:color="auto" w:sz="4" w:space="0"/>
              <w:left w:val="single" w:color="auto" w:sz="4" w:space="0"/>
              <w:right w:val="single" w:color="auto" w:sz="4" w:space="0"/>
            </w:tcBorders>
            <w:noWrap w:val="0"/>
            <w:vAlign w:val="center"/>
          </w:tcPr>
          <w:p w14:paraId="50097948">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开标时间：2025年4 月 1日上午10时30分（北京时间）</w:t>
            </w:r>
          </w:p>
          <w:p w14:paraId="6375DFE6">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开标地点：新疆政府采购云平台（www.zcygov.cn）         </w:t>
            </w:r>
          </w:p>
        </w:tc>
      </w:tr>
      <w:tr w14:paraId="224A31FA">
        <w:tblPrEx>
          <w:tblCellMar>
            <w:top w:w="0" w:type="dxa"/>
            <w:left w:w="108" w:type="dxa"/>
            <w:bottom w:w="0" w:type="dxa"/>
            <w:right w:w="108" w:type="dxa"/>
          </w:tblCellMar>
        </w:tblPrEx>
        <w:trPr>
          <w:trHeight w:val="710" w:hRule="atLeast"/>
          <w:jc w:val="center"/>
        </w:trPr>
        <w:tc>
          <w:tcPr>
            <w:tcW w:w="485" w:type="dxa"/>
            <w:vMerge w:val="restart"/>
            <w:tcBorders>
              <w:top w:val="single" w:color="auto" w:sz="4" w:space="0"/>
              <w:left w:val="single" w:color="auto" w:sz="4" w:space="0"/>
              <w:right w:val="single" w:color="auto" w:sz="4" w:space="0"/>
            </w:tcBorders>
            <w:noWrap w:val="0"/>
            <w:vAlign w:val="center"/>
          </w:tcPr>
          <w:p w14:paraId="6C4ABCC7">
            <w:pPr>
              <w:shd w:val="clear" w:color="auto" w:fill="auto"/>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23</w:t>
            </w:r>
          </w:p>
        </w:tc>
        <w:tc>
          <w:tcPr>
            <w:tcW w:w="1665" w:type="dxa"/>
            <w:vMerge w:val="restart"/>
            <w:tcBorders>
              <w:top w:val="single" w:color="auto" w:sz="4" w:space="0"/>
              <w:left w:val="single" w:color="auto" w:sz="4" w:space="0"/>
              <w:right w:val="single" w:color="auto" w:sz="4" w:space="0"/>
            </w:tcBorders>
            <w:noWrap w:val="0"/>
            <w:vAlign w:val="center"/>
          </w:tcPr>
          <w:p w14:paraId="5DEE1AD0">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重要说明</w:t>
            </w:r>
          </w:p>
        </w:tc>
        <w:tc>
          <w:tcPr>
            <w:tcW w:w="7520" w:type="dxa"/>
            <w:tcBorders>
              <w:top w:val="single" w:color="auto" w:sz="4" w:space="0"/>
              <w:left w:val="single" w:color="auto" w:sz="4" w:space="0"/>
              <w:right w:val="single" w:color="auto" w:sz="4" w:space="0"/>
            </w:tcBorders>
            <w:noWrap w:val="0"/>
            <w:vAlign w:val="center"/>
          </w:tcPr>
          <w:p w14:paraId="164E3488">
            <w:pPr>
              <w:spacing w:line="360" w:lineRule="auto"/>
              <w:rPr>
                <w:rFonts w:ascii="仿宋" w:hAnsi="仿宋" w:eastAsia="仿宋" w:cs="仿宋"/>
                <w:color w:val="auto"/>
                <w:lang w:eastAsia="zh-CN"/>
              </w:rPr>
            </w:pPr>
            <w:r>
              <w:rPr>
                <w:rFonts w:hint="eastAsia" w:ascii="仿宋" w:hAnsi="仿宋" w:eastAsia="仿宋" w:cs="仿宋"/>
                <w:color w:val="auto"/>
                <w:lang w:eastAsia="zh-CN"/>
              </w:rPr>
              <w:t>1.本项目采用全流程不见面电子开评标，投标供应商需要使用CA加密设备，供应商可通过新疆数字证书认证中心官网（https://www.xjca.com.cn/）或下载“新疆政务通”APP自行进行申领。</w:t>
            </w:r>
          </w:p>
          <w:p w14:paraId="632D6CA5">
            <w:pPr>
              <w:spacing w:line="360" w:lineRule="auto"/>
              <w:rPr>
                <w:rFonts w:ascii="仿宋" w:hAnsi="仿宋" w:eastAsia="仿宋" w:cs="仿宋"/>
                <w:color w:val="auto"/>
                <w:lang w:eastAsia="zh-CN"/>
              </w:rPr>
            </w:pPr>
            <w:r>
              <w:rPr>
                <w:rFonts w:hint="eastAsia" w:ascii="仿宋" w:hAnsi="仿宋" w:eastAsia="仿宋" w:cs="仿宋"/>
                <w:color w:val="auto"/>
                <w:lang w:eastAsia="zh-CN"/>
              </w:rPr>
              <w:t>2.本项目实行网上投标，采用加密电子投标文件(供应商须使用CA加密设备通过政采云电子投标客户端制作投标文件)。若供应商参与投标，自行承担投标一切费用。</w:t>
            </w:r>
          </w:p>
          <w:p w14:paraId="6E8D7C34">
            <w:pPr>
              <w:spacing w:line="360" w:lineRule="auto"/>
              <w:rPr>
                <w:rFonts w:ascii="仿宋" w:hAnsi="仿宋" w:eastAsia="仿宋" w:cs="仿宋"/>
                <w:color w:val="auto"/>
                <w:lang w:eastAsia="zh-CN"/>
              </w:rPr>
            </w:pPr>
            <w:r>
              <w:rPr>
                <w:rFonts w:hint="eastAsia" w:ascii="仿宋" w:hAnsi="仿宋" w:eastAsia="仿宋" w:cs="仿宋"/>
                <w:color w:val="auto"/>
                <w:lang w:eastAsia="zh-CN"/>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0FCCC545">
            <w:pPr>
              <w:spacing w:line="360" w:lineRule="auto"/>
              <w:rPr>
                <w:rFonts w:ascii="仿宋" w:hAnsi="仿宋" w:eastAsia="仿宋" w:cs="仿宋"/>
                <w:color w:val="auto"/>
                <w:lang w:eastAsia="zh-CN"/>
              </w:rPr>
            </w:pPr>
            <w:r>
              <w:rPr>
                <w:rFonts w:hint="eastAsia" w:ascii="仿宋" w:hAnsi="仿宋" w:eastAsia="仿宋" w:cs="仿宋"/>
                <w:color w:val="auto"/>
                <w:lang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0A6F5B14">
            <w:pPr>
              <w:spacing w:line="360" w:lineRule="auto"/>
              <w:rPr>
                <w:rFonts w:ascii="仿宋" w:hAnsi="仿宋" w:eastAsia="仿宋" w:cs="仿宋"/>
                <w:color w:val="auto"/>
                <w:lang w:eastAsia="zh-CN"/>
              </w:rPr>
            </w:pPr>
            <w:r>
              <w:rPr>
                <w:rFonts w:hint="eastAsia" w:ascii="仿宋" w:hAnsi="仿宋" w:eastAsia="仿宋" w:cs="仿宋"/>
                <w:color w:val="auto"/>
                <w:lang w:eastAsia="zh-CN"/>
              </w:rPr>
              <w:t>5.供应商在开标时须使用制作加密电子投标文件所使用的CA锁及电脑，电脑须提前配置好浏览器（建议使用谷歌浏览器），以便开标时解锁。</w:t>
            </w:r>
          </w:p>
          <w:p w14:paraId="056A4253">
            <w:pPr>
              <w:spacing w:line="360" w:lineRule="auto"/>
              <w:rPr>
                <w:rFonts w:hint="eastAsia" w:ascii="仿宋" w:hAnsi="仿宋" w:eastAsia="仿宋" w:cs="仿宋"/>
                <w:color w:val="auto"/>
                <w:lang w:eastAsia="zh-CN"/>
              </w:rPr>
            </w:pPr>
            <w:r>
              <w:rPr>
                <w:rFonts w:hint="eastAsia" w:ascii="仿宋" w:hAnsi="仿宋" w:eastAsia="仿宋" w:cs="仿宋"/>
                <w:color w:val="auto"/>
                <w:lang w:eastAsia="zh-CN"/>
              </w:rPr>
              <w:t>6.供应商对不见面开评标系统的技术操作咨询，可通过https://edu.zcygov.cn/luban/xinjiang-e-biding自助查询，也可在政采云帮助中心常见问题解答和操作流程讲解视频中自助查询，网址为：</w:t>
            </w:r>
            <w:r>
              <w:rPr>
                <w:rFonts w:hint="eastAsia" w:ascii="仿宋" w:hAnsi="仿宋" w:eastAsia="仿宋" w:cs="仿宋"/>
                <w:color w:val="auto"/>
                <w:lang w:eastAsia="zh-CN"/>
              </w:rPr>
              <w:fldChar w:fldCharType="begin"/>
            </w:r>
            <w:r>
              <w:rPr>
                <w:rFonts w:hint="eastAsia" w:ascii="仿宋" w:hAnsi="仿宋" w:eastAsia="仿宋" w:cs="仿宋"/>
                <w:color w:val="auto"/>
                <w:lang w:eastAsia="zh-CN"/>
              </w:rPr>
              <w:instrText xml:space="preserve"> HYPERLINK "https://service.zcygov.cn/#/help，\“项目采购\”—\“操作流程-电子招投标\”—\“政府采购项目电子交易管理操作指南-供应商\”版面获取操作指南。" </w:instrText>
            </w:r>
            <w:r>
              <w:rPr>
                <w:rFonts w:hint="eastAsia" w:ascii="仿宋" w:hAnsi="仿宋" w:eastAsia="仿宋" w:cs="仿宋"/>
                <w:color w:val="auto"/>
                <w:lang w:eastAsia="zh-CN"/>
              </w:rPr>
              <w:fldChar w:fldCharType="separate"/>
            </w:r>
            <w:r>
              <w:rPr>
                <w:rFonts w:hint="eastAsia" w:ascii="仿宋" w:hAnsi="仿宋" w:eastAsia="仿宋" w:cs="仿宋"/>
                <w:color w:val="auto"/>
                <w:lang w:eastAsia="zh-CN"/>
              </w:rPr>
              <w:t>https://service.zcygov.cn/#/help，“项目采购”—“操作流程-电子招投标”—“政府采购项目电子交易管理操作指南-供应商”版面获取操作指南。</w:t>
            </w:r>
            <w:r>
              <w:rPr>
                <w:rFonts w:hint="eastAsia" w:ascii="仿宋" w:hAnsi="仿宋" w:eastAsia="仿宋" w:cs="仿宋"/>
                <w:color w:val="auto"/>
                <w:lang w:eastAsia="zh-CN"/>
              </w:rPr>
              <w:fldChar w:fldCharType="end"/>
            </w:r>
          </w:p>
          <w:p w14:paraId="0912A69D">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lang w:eastAsia="zh-CN"/>
              </w:rPr>
              <w:t>7.为了保证开评标顺利进行，政采云线上开标功能完全实现，供应商开标所使用的电脑设备须具有视频及语音功能。</w:t>
            </w:r>
          </w:p>
        </w:tc>
      </w:tr>
      <w:tr w14:paraId="16D5E4F7">
        <w:tblPrEx>
          <w:tblCellMar>
            <w:top w:w="0" w:type="dxa"/>
            <w:left w:w="108" w:type="dxa"/>
            <w:bottom w:w="0" w:type="dxa"/>
            <w:right w:w="108" w:type="dxa"/>
          </w:tblCellMar>
        </w:tblPrEx>
        <w:trPr>
          <w:trHeight w:val="710" w:hRule="atLeast"/>
          <w:jc w:val="center"/>
        </w:trPr>
        <w:tc>
          <w:tcPr>
            <w:tcW w:w="485" w:type="dxa"/>
            <w:vMerge w:val="continue"/>
            <w:tcBorders>
              <w:left w:val="single" w:color="auto" w:sz="4" w:space="0"/>
              <w:bottom w:val="single" w:color="auto" w:sz="4" w:space="0"/>
              <w:right w:val="single" w:color="auto" w:sz="4" w:space="0"/>
            </w:tcBorders>
            <w:noWrap w:val="0"/>
            <w:vAlign w:val="center"/>
          </w:tcPr>
          <w:p w14:paraId="75B39B2B">
            <w:pPr>
              <w:shd w:val="clear" w:color="auto" w:fill="auto"/>
              <w:spacing w:line="360" w:lineRule="auto"/>
              <w:rPr>
                <w:rFonts w:hint="eastAsia" w:ascii="仿宋" w:hAnsi="仿宋" w:eastAsia="仿宋" w:cs="仿宋"/>
                <w:color w:val="auto"/>
                <w:highlight w:val="none"/>
                <w:lang w:val="en-US" w:eastAsia="zh-CN"/>
              </w:rPr>
            </w:pPr>
          </w:p>
        </w:tc>
        <w:tc>
          <w:tcPr>
            <w:tcW w:w="1665" w:type="dxa"/>
            <w:vMerge w:val="continue"/>
            <w:tcBorders>
              <w:left w:val="single" w:color="auto" w:sz="4" w:space="0"/>
              <w:bottom w:val="single" w:color="auto" w:sz="4" w:space="0"/>
              <w:right w:val="single" w:color="auto" w:sz="4" w:space="0"/>
            </w:tcBorders>
            <w:noWrap w:val="0"/>
            <w:vAlign w:val="center"/>
          </w:tcPr>
          <w:p w14:paraId="6F804C84">
            <w:pPr>
              <w:shd w:val="clear" w:color="auto" w:fill="auto"/>
              <w:spacing w:line="360" w:lineRule="auto"/>
              <w:rPr>
                <w:rFonts w:hint="eastAsia" w:ascii="仿宋" w:hAnsi="仿宋" w:eastAsia="仿宋" w:cs="仿宋"/>
                <w:color w:val="auto"/>
                <w:highlight w:val="none"/>
                <w:lang w:val="en-US" w:eastAsia="zh-CN"/>
              </w:rPr>
            </w:pPr>
          </w:p>
        </w:tc>
        <w:tc>
          <w:tcPr>
            <w:tcW w:w="7520" w:type="dxa"/>
            <w:tcBorders>
              <w:top w:val="single" w:color="auto" w:sz="4" w:space="0"/>
              <w:left w:val="single" w:color="auto" w:sz="4" w:space="0"/>
              <w:bottom w:val="single" w:color="auto" w:sz="4" w:space="0"/>
              <w:right w:val="single" w:color="auto" w:sz="4" w:space="0"/>
            </w:tcBorders>
            <w:noWrap w:val="0"/>
            <w:vAlign w:val="center"/>
          </w:tcPr>
          <w:p w14:paraId="4080044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1、电子招投标情况说明：</w:t>
            </w:r>
          </w:p>
          <w:p w14:paraId="4808550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（1）电子招投标：本项目以数据电文形式，依托“政府采购云平台（www.zcygov.cn）”进行招投标活动。</w:t>
            </w:r>
          </w:p>
          <w:p w14:paraId="203B607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5AF61AE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（3）招标文件 的获取：使用账号登录或者短信验证码或者使用CA登录政采云平台；进入“项目采购”应用，在获取招标文件 菜单中选择项目，获取招标文件 。</w:t>
            </w:r>
          </w:p>
          <w:p w14:paraId="540C4A8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（4）投标文件的制作：在“政采云电子交易客户端”中完成“填写基本信息”、“导入投标文件”、“标书关联”、“标书检查”、“电子签名”、“生成电子标书”等操作。</w:t>
            </w:r>
          </w:p>
          <w:p w14:paraId="21F3C5E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5）投标文件的传输递交：供应商在投标截止时间前将加密的投标文件上传至政府采购云平台，还可以在投标截止时间前以电子邮件方式提供备份投标文件1份（接收人邮箱：3265613387@qq.com，接收人：朱先生，电话：</w:t>
            </w:r>
            <w:r>
              <w:rPr>
                <w:rFonts w:hint="eastAsia" w:ascii="仿宋" w:hAnsi="仿宋" w:eastAsia="仿宋" w:cs="仿宋"/>
                <w:color w:val="auto"/>
                <w:highlight w:val="none"/>
                <w:lang w:val="en-US" w:eastAsia="zh-CN"/>
              </w:rPr>
              <w:t>18609088999</w:t>
            </w:r>
            <w:r>
              <w:rPr>
                <w:rFonts w:hint="eastAsia" w:ascii="仿宋" w:hAnsi="仿宋" w:eastAsia="仿宋" w:cs="仿宋"/>
                <w:color w:val="auto"/>
                <w:highlight w:val="none"/>
                <w:lang w:eastAsia="zh-CN"/>
              </w:rPr>
              <w:t>），备份投标文件可以打包压缩并加密，压缩包命名为“XX单位备份投标文件”，加密密码由供应商自行保管（“备份投标文件”由供应商自愿提供，招标文件 不作强制性要求；如不提供或未按要求提供的，当电子投标文件无法解密时，将导致无备份投标文件而失去投标资格）。</w:t>
            </w:r>
          </w:p>
          <w:p w14:paraId="2E98756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（6）投标文件的解密：供应商按照平台提示和招标文件 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764B780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（7）具体操作指南：详见政采云平台“服务中心-帮助文档-项目采购-操作流程-电子招投标-政府采购项目电子交易管理操作指南-供应商”。</w:t>
            </w:r>
          </w:p>
          <w:p w14:paraId="27F2521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（8）供应商在进行上述操作时，如遇技术问题可登录政采云（https://</w:t>
            </w:r>
            <w:r>
              <w:rPr>
                <w:color w:val="auto"/>
                <w:highlight w:val="none"/>
              </w:rPr>
              <w:fldChar w:fldCharType="begin"/>
            </w:r>
            <w:r>
              <w:rPr>
                <w:color w:val="auto"/>
                <w:highlight w:val="none"/>
              </w:rPr>
              <w:instrText xml:space="preserve"> HYPERLINK "http://www.zcygov.cn/" \h </w:instrText>
            </w:r>
            <w:r>
              <w:rPr>
                <w:color w:val="auto"/>
                <w:highlight w:val="none"/>
              </w:rPr>
              <w:fldChar w:fldCharType="separate"/>
            </w:r>
            <w:r>
              <w:rPr>
                <w:rFonts w:hint="eastAsia" w:ascii="仿宋" w:hAnsi="仿宋" w:eastAsia="仿宋" w:cs="仿宋"/>
                <w:color w:val="auto"/>
                <w:highlight w:val="none"/>
                <w:lang w:eastAsia="zh-CN"/>
              </w:rPr>
              <w:t>www.zcygov.cn/</w:t>
            </w:r>
            <w:r>
              <w:rPr>
                <w:rFonts w:hint="eastAsia" w:ascii="仿宋" w:hAnsi="仿宋" w:eastAsia="仿宋" w:cs="仿宋"/>
                <w:color w:val="auto"/>
                <w:highlight w:val="none"/>
                <w:lang w:eastAsia="zh-CN"/>
              </w:rPr>
              <w:fldChar w:fldCharType="end"/>
            </w:r>
            <w:r>
              <w:rPr>
                <w:rFonts w:hint="eastAsia" w:ascii="仿宋" w:hAnsi="仿宋" w:eastAsia="仿宋" w:cs="仿宋"/>
                <w:color w:val="auto"/>
                <w:highlight w:val="none"/>
                <w:lang w:eastAsia="zh-CN"/>
              </w:rPr>
              <w:t>），点击右侧咨询小采，获取采小蜜智能服务管家帮助，或拨打政采云服务热线 95763 获取热线服务帮助。</w:t>
            </w:r>
          </w:p>
          <w:p w14:paraId="603E14D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温馨提醒：供应商应提前上传，以便在上传时遇到技术问题，有充足的时间请教平台的技术人员。</w:t>
            </w:r>
          </w:p>
          <w:p w14:paraId="0226AE1E">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2、供应商认为招标文件 使自己的权益受到损害的，可以自收到招标文件之日（招标文件 公告期限届满之前收到招标文件 的，以完成获取招标文件 申请后下载招标文件 的时间为准）或者招标文件 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 或逾期提出的不予受理、答复。</w:t>
            </w:r>
          </w:p>
        </w:tc>
      </w:tr>
      <w:tr w14:paraId="0E74FE18">
        <w:tblPrEx>
          <w:tblCellMar>
            <w:top w:w="0" w:type="dxa"/>
            <w:left w:w="108" w:type="dxa"/>
            <w:bottom w:w="0" w:type="dxa"/>
            <w:right w:w="108" w:type="dxa"/>
          </w:tblCellMar>
        </w:tblPrEx>
        <w:trPr>
          <w:trHeight w:val="71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7536F0D4">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24</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5DD8B821">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中标候选人公示媒介</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4DFAAA26">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克州公共资源交易中心网、新疆政府采购网，公示期为一个工作日。</w:t>
            </w:r>
          </w:p>
        </w:tc>
      </w:tr>
      <w:tr w14:paraId="0316605B">
        <w:tblPrEx>
          <w:tblCellMar>
            <w:top w:w="0" w:type="dxa"/>
            <w:left w:w="108" w:type="dxa"/>
            <w:bottom w:w="0" w:type="dxa"/>
            <w:right w:w="108" w:type="dxa"/>
          </w:tblCellMar>
        </w:tblPrEx>
        <w:trPr>
          <w:trHeight w:val="41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67A2B423">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25</w:t>
            </w:r>
          </w:p>
        </w:tc>
        <w:tc>
          <w:tcPr>
            <w:tcW w:w="9185" w:type="dxa"/>
            <w:gridSpan w:val="2"/>
            <w:tcBorders>
              <w:top w:val="single" w:color="auto" w:sz="4" w:space="0"/>
              <w:left w:val="single" w:color="auto" w:sz="4" w:space="0"/>
              <w:bottom w:val="single" w:color="auto" w:sz="4" w:space="0"/>
              <w:right w:val="single" w:color="auto" w:sz="4" w:space="0"/>
            </w:tcBorders>
            <w:noWrap w:val="0"/>
            <w:vAlign w:val="center"/>
          </w:tcPr>
          <w:p w14:paraId="5327F270">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招标代理服务费</w:t>
            </w:r>
          </w:p>
        </w:tc>
      </w:tr>
      <w:tr w14:paraId="6056EB09">
        <w:tblPrEx>
          <w:tblCellMar>
            <w:top w:w="0" w:type="dxa"/>
            <w:left w:w="108" w:type="dxa"/>
            <w:bottom w:w="0" w:type="dxa"/>
            <w:right w:w="108" w:type="dxa"/>
          </w:tblCellMar>
        </w:tblPrEx>
        <w:trPr>
          <w:trHeight w:val="410"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4C86B495">
            <w:pPr>
              <w:shd w:val="clear" w:color="auto" w:fill="auto"/>
              <w:spacing w:line="360" w:lineRule="auto"/>
              <w:rPr>
                <w:rFonts w:hint="eastAsia" w:ascii="仿宋" w:hAnsi="仿宋" w:eastAsia="仿宋" w:cs="仿宋"/>
                <w:color w:val="auto"/>
                <w:highlight w:val="none"/>
                <w:lang w:val="en-US" w:eastAsia="zh-CN"/>
              </w:rPr>
            </w:pPr>
          </w:p>
        </w:tc>
        <w:tc>
          <w:tcPr>
            <w:tcW w:w="9185" w:type="dxa"/>
            <w:gridSpan w:val="2"/>
            <w:tcBorders>
              <w:top w:val="single" w:color="auto" w:sz="4" w:space="0"/>
              <w:left w:val="single" w:color="auto" w:sz="4" w:space="0"/>
              <w:bottom w:val="single" w:color="auto" w:sz="4" w:space="0"/>
              <w:right w:val="single" w:color="auto" w:sz="4" w:space="0"/>
            </w:tcBorders>
            <w:noWrap w:val="0"/>
            <w:vAlign w:val="center"/>
          </w:tcPr>
          <w:p w14:paraId="0D07A8DF">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招标代理费根据《中华人民共和国招标投标法》、《中华人民共和国招标投标法实施条例》、《国家发展改革委关于进一步放开建设项目专业服务价格的通知》（发改价格【2015】299号）文件等规定收费基准价格计取。</w:t>
            </w:r>
            <w:r>
              <w:rPr>
                <w:rFonts w:hint="default" w:ascii="仿宋" w:hAnsi="仿宋" w:eastAsia="仿宋" w:cs="仿宋"/>
                <w:color w:val="auto"/>
                <w:lang w:val="en-US" w:eastAsia="zh-CN"/>
              </w:rPr>
              <w:t>本项目招标代理费：</w:t>
            </w:r>
            <w:r>
              <w:rPr>
                <w:rFonts w:hint="eastAsia" w:ascii="仿宋" w:hAnsi="仿宋" w:eastAsia="仿宋" w:cs="仿宋"/>
                <w:color w:val="auto"/>
                <w:lang w:val="en-US" w:eastAsia="zh-CN"/>
              </w:rPr>
              <w:t>9796.00</w:t>
            </w:r>
            <w:r>
              <w:rPr>
                <w:rFonts w:hint="default" w:ascii="仿宋" w:hAnsi="仿宋" w:eastAsia="仿宋" w:cs="仿宋"/>
                <w:color w:val="auto"/>
                <w:lang w:val="en-US" w:eastAsia="zh-CN"/>
              </w:rPr>
              <w:t>元。招标代理费在中标通知书发放之日前由中标人缴纳。</w:t>
            </w:r>
          </w:p>
        </w:tc>
      </w:tr>
      <w:tr w14:paraId="7173ACC6">
        <w:tblPrEx>
          <w:tblCellMar>
            <w:top w:w="0" w:type="dxa"/>
            <w:left w:w="108" w:type="dxa"/>
            <w:bottom w:w="0" w:type="dxa"/>
            <w:right w:w="108" w:type="dxa"/>
          </w:tblCellMar>
        </w:tblPrEx>
        <w:trPr>
          <w:trHeight w:val="84"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449990C6">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26</w:t>
            </w:r>
          </w:p>
        </w:tc>
        <w:tc>
          <w:tcPr>
            <w:tcW w:w="9185" w:type="dxa"/>
            <w:gridSpan w:val="2"/>
            <w:tcBorders>
              <w:top w:val="single" w:color="auto" w:sz="4" w:space="0"/>
              <w:left w:val="single" w:color="auto" w:sz="4" w:space="0"/>
              <w:bottom w:val="single" w:color="auto" w:sz="4" w:space="0"/>
              <w:right w:val="single" w:color="auto" w:sz="4" w:space="0"/>
            </w:tcBorders>
            <w:noWrap w:val="0"/>
            <w:vAlign w:val="center"/>
          </w:tcPr>
          <w:p w14:paraId="03C17EB8">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评标办法：本项目采用</w:t>
            </w:r>
            <w:r>
              <w:rPr>
                <w:rFonts w:hint="eastAsia" w:ascii="仿宋" w:hAnsi="仿宋" w:eastAsia="仿宋" w:cs="仿宋"/>
                <w:b/>
                <w:bCs/>
                <w:color w:val="auto"/>
                <w:highlight w:val="none"/>
                <w:lang w:val="en-US" w:eastAsia="zh-CN"/>
              </w:rPr>
              <w:t>综合评分法</w:t>
            </w:r>
          </w:p>
        </w:tc>
      </w:tr>
      <w:tr w14:paraId="7A114459">
        <w:tblPrEx>
          <w:tblCellMar>
            <w:top w:w="0" w:type="dxa"/>
            <w:left w:w="108" w:type="dxa"/>
            <w:bottom w:w="0" w:type="dxa"/>
            <w:right w:w="108" w:type="dxa"/>
          </w:tblCellMar>
        </w:tblPrEx>
        <w:trPr>
          <w:trHeight w:val="84"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094558FA">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27</w:t>
            </w:r>
          </w:p>
        </w:tc>
        <w:tc>
          <w:tcPr>
            <w:tcW w:w="9185" w:type="dxa"/>
            <w:gridSpan w:val="2"/>
            <w:tcBorders>
              <w:top w:val="single" w:color="auto" w:sz="4" w:space="0"/>
              <w:left w:val="single" w:color="auto" w:sz="4" w:space="0"/>
              <w:bottom w:val="single" w:color="auto" w:sz="4" w:space="0"/>
              <w:right w:val="single" w:color="auto" w:sz="4" w:space="0"/>
            </w:tcBorders>
            <w:noWrap w:val="0"/>
            <w:vAlign w:val="center"/>
          </w:tcPr>
          <w:p w14:paraId="27163EF4">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不管投标结果如何，投标人均应承担自己投标所需一切费用。</w:t>
            </w:r>
          </w:p>
        </w:tc>
      </w:tr>
      <w:tr w14:paraId="4F88776F">
        <w:tblPrEx>
          <w:tblCellMar>
            <w:top w:w="0" w:type="dxa"/>
            <w:left w:w="108" w:type="dxa"/>
            <w:bottom w:w="0" w:type="dxa"/>
            <w:right w:w="108" w:type="dxa"/>
          </w:tblCellMar>
        </w:tblPrEx>
        <w:trPr>
          <w:trHeight w:val="84" w:hRule="atLeast"/>
          <w:jc w:val="center"/>
        </w:trPr>
        <w:tc>
          <w:tcPr>
            <w:tcW w:w="485" w:type="dxa"/>
            <w:tcBorders>
              <w:top w:val="single" w:color="auto" w:sz="4" w:space="0"/>
              <w:left w:val="single" w:color="auto" w:sz="4" w:space="0"/>
              <w:bottom w:val="single" w:color="auto" w:sz="4" w:space="0"/>
              <w:right w:val="single" w:color="auto" w:sz="4" w:space="0"/>
            </w:tcBorders>
            <w:noWrap w:val="0"/>
            <w:vAlign w:val="center"/>
          </w:tcPr>
          <w:p w14:paraId="03497B4A">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28</w:t>
            </w:r>
          </w:p>
        </w:tc>
        <w:tc>
          <w:tcPr>
            <w:tcW w:w="9185" w:type="dxa"/>
            <w:gridSpan w:val="2"/>
            <w:tcBorders>
              <w:top w:val="single" w:color="auto" w:sz="4" w:space="0"/>
              <w:left w:val="single" w:color="auto" w:sz="4" w:space="0"/>
              <w:bottom w:val="single" w:color="auto" w:sz="4" w:space="0"/>
              <w:right w:val="single" w:color="auto" w:sz="4" w:space="0"/>
            </w:tcBorders>
            <w:noWrap w:val="0"/>
            <w:vAlign w:val="center"/>
          </w:tcPr>
          <w:p w14:paraId="61FD44FE">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b/>
                <w:bCs/>
                <w:color w:val="auto"/>
                <w:lang w:eastAsia="zh-CN"/>
              </w:rPr>
              <w:t>本次招标预算价：</w:t>
            </w:r>
            <w:r>
              <w:rPr>
                <w:rFonts w:hint="eastAsia" w:ascii="仿宋" w:hAnsi="仿宋" w:eastAsia="仿宋" w:cs="仿宋"/>
                <w:b/>
                <w:bCs/>
                <w:color w:val="auto"/>
                <w:lang w:val="en-US" w:eastAsia="zh-CN"/>
              </w:rPr>
              <w:t>620000</w:t>
            </w:r>
            <w:r>
              <w:rPr>
                <w:rFonts w:hint="eastAsia" w:ascii="仿宋" w:hAnsi="仿宋" w:eastAsia="仿宋" w:cs="仿宋"/>
                <w:b/>
                <w:bCs/>
                <w:color w:val="auto"/>
                <w:lang w:eastAsia="zh-CN"/>
              </w:rPr>
              <w:t>.00元，投标总报价超过招标预算价的按废标处理。</w:t>
            </w:r>
          </w:p>
        </w:tc>
      </w:tr>
      <w:tr w14:paraId="5322E9A6">
        <w:tblPrEx>
          <w:tblCellMar>
            <w:top w:w="0" w:type="dxa"/>
            <w:left w:w="108" w:type="dxa"/>
            <w:bottom w:w="0" w:type="dxa"/>
            <w:right w:w="108" w:type="dxa"/>
          </w:tblCellMar>
        </w:tblPrEx>
        <w:trPr>
          <w:trHeight w:val="84" w:hRule="atLeast"/>
          <w:jc w:val="center"/>
        </w:trPr>
        <w:tc>
          <w:tcPr>
            <w:tcW w:w="485" w:type="dxa"/>
            <w:vMerge w:val="restart"/>
            <w:tcBorders>
              <w:top w:val="single" w:color="auto" w:sz="4" w:space="0"/>
              <w:left w:val="single" w:color="auto" w:sz="4" w:space="0"/>
              <w:right w:val="single" w:color="auto" w:sz="4" w:space="0"/>
            </w:tcBorders>
            <w:noWrap w:val="0"/>
            <w:vAlign w:val="center"/>
          </w:tcPr>
          <w:p w14:paraId="4258C37B">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29</w:t>
            </w:r>
          </w:p>
        </w:tc>
        <w:tc>
          <w:tcPr>
            <w:tcW w:w="1665" w:type="dxa"/>
            <w:vMerge w:val="restart"/>
            <w:tcBorders>
              <w:top w:val="single" w:color="auto" w:sz="4" w:space="0"/>
              <w:left w:val="single" w:color="auto" w:sz="4" w:space="0"/>
              <w:right w:val="single" w:color="auto" w:sz="4" w:space="0"/>
            </w:tcBorders>
            <w:noWrap w:val="0"/>
            <w:vAlign w:val="center"/>
          </w:tcPr>
          <w:p w14:paraId="6F55B90F">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中小微企业政策文件</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392D6162">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1）根据财政部、工业和信息化部关于印发《政府采购促进中小企业发展管理办法》的通知（财库[2020]46号）和（财库[2022]19号），供应商所投产品的制造商属于《工业和信息化部、国家统计局、国家发展和改革委员会、财政部关于印发中小企业划型标准规定的通知》（工信部联企业[2011]300号）中规定的小型、微型企业标准的，按招标文件格式提供《中小企业声明函》。</w:t>
            </w:r>
          </w:p>
        </w:tc>
      </w:tr>
      <w:tr w14:paraId="0A987836">
        <w:tblPrEx>
          <w:tblCellMar>
            <w:top w:w="0" w:type="dxa"/>
            <w:left w:w="108" w:type="dxa"/>
            <w:bottom w:w="0" w:type="dxa"/>
            <w:right w:w="108" w:type="dxa"/>
          </w:tblCellMar>
        </w:tblPrEx>
        <w:trPr>
          <w:trHeight w:val="84" w:hRule="atLeast"/>
          <w:jc w:val="center"/>
        </w:trPr>
        <w:tc>
          <w:tcPr>
            <w:tcW w:w="485" w:type="dxa"/>
            <w:vMerge w:val="continue"/>
            <w:tcBorders>
              <w:left w:val="single" w:color="auto" w:sz="4" w:space="0"/>
              <w:right w:val="single" w:color="auto" w:sz="4" w:space="0"/>
            </w:tcBorders>
            <w:noWrap w:val="0"/>
            <w:vAlign w:val="center"/>
          </w:tcPr>
          <w:p w14:paraId="2C3AB37A">
            <w:pPr>
              <w:shd w:val="clear" w:color="auto" w:fill="auto"/>
              <w:spacing w:line="360" w:lineRule="auto"/>
              <w:rPr>
                <w:rFonts w:hint="eastAsia" w:ascii="仿宋" w:hAnsi="仿宋" w:eastAsia="仿宋" w:cs="仿宋"/>
                <w:color w:val="auto"/>
                <w:highlight w:val="none"/>
                <w:lang w:val="en-US" w:eastAsia="zh-CN"/>
              </w:rPr>
            </w:pPr>
          </w:p>
        </w:tc>
        <w:tc>
          <w:tcPr>
            <w:tcW w:w="1665" w:type="dxa"/>
            <w:vMerge w:val="continue"/>
            <w:tcBorders>
              <w:left w:val="single" w:color="auto" w:sz="4" w:space="0"/>
              <w:right w:val="single" w:color="auto" w:sz="4" w:space="0"/>
            </w:tcBorders>
            <w:noWrap w:val="0"/>
            <w:vAlign w:val="center"/>
          </w:tcPr>
          <w:p w14:paraId="512D5CBF">
            <w:pPr>
              <w:shd w:val="clear" w:color="auto" w:fill="auto"/>
              <w:spacing w:line="360" w:lineRule="auto"/>
              <w:rPr>
                <w:rFonts w:hint="eastAsia" w:ascii="仿宋" w:hAnsi="仿宋" w:eastAsia="仿宋" w:cs="仿宋"/>
                <w:color w:val="auto"/>
                <w:highlight w:val="none"/>
                <w:lang w:val="en-US" w:eastAsia="zh-CN"/>
              </w:rPr>
            </w:pPr>
          </w:p>
        </w:tc>
        <w:tc>
          <w:tcPr>
            <w:tcW w:w="7520" w:type="dxa"/>
            <w:tcBorders>
              <w:top w:val="single" w:color="auto" w:sz="4" w:space="0"/>
              <w:left w:val="single" w:color="auto" w:sz="4" w:space="0"/>
              <w:bottom w:val="single" w:color="auto" w:sz="4" w:space="0"/>
              <w:right w:val="single" w:color="auto" w:sz="4" w:space="0"/>
            </w:tcBorders>
            <w:noWrap w:val="0"/>
            <w:vAlign w:val="center"/>
          </w:tcPr>
          <w:p w14:paraId="645D7E4B">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14:paraId="07557F04">
        <w:tblPrEx>
          <w:tblCellMar>
            <w:top w:w="0" w:type="dxa"/>
            <w:left w:w="108" w:type="dxa"/>
            <w:bottom w:w="0" w:type="dxa"/>
            <w:right w:w="108" w:type="dxa"/>
          </w:tblCellMar>
        </w:tblPrEx>
        <w:trPr>
          <w:trHeight w:val="84" w:hRule="atLeast"/>
          <w:jc w:val="center"/>
        </w:trPr>
        <w:tc>
          <w:tcPr>
            <w:tcW w:w="485" w:type="dxa"/>
            <w:vMerge w:val="continue"/>
            <w:tcBorders>
              <w:left w:val="single" w:color="auto" w:sz="4" w:space="0"/>
              <w:bottom w:val="single" w:color="auto" w:sz="4" w:space="0"/>
              <w:right w:val="single" w:color="auto" w:sz="4" w:space="0"/>
            </w:tcBorders>
            <w:noWrap w:val="0"/>
            <w:vAlign w:val="center"/>
          </w:tcPr>
          <w:p w14:paraId="2AE1A120">
            <w:pPr>
              <w:shd w:val="clear" w:color="auto" w:fill="auto"/>
              <w:spacing w:line="360" w:lineRule="auto"/>
              <w:rPr>
                <w:rFonts w:hint="eastAsia" w:ascii="仿宋" w:hAnsi="仿宋" w:eastAsia="仿宋" w:cs="仿宋"/>
                <w:color w:val="auto"/>
                <w:highlight w:val="none"/>
                <w:lang w:val="en-US" w:eastAsia="zh-CN"/>
              </w:rPr>
            </w:pPr>
          </w:p>
        </w:tc>
        <w:tc>
          <w:tcPr>
            <w:tcW w:w="1665" w:type="dxa"/>
            <w:vMerge w:val="continue"/>
            <w:tcBorders>
              <w:left w:val="single" w:color="auto" w:sz="4" w:space="0"/>
              <w:bottom w:val="single" w:color="auto" w:sz="4" w:space="0"/>
              <w:right w:val="single" w:color="auto" w:sz="4" w:space="0"/>
            </w:tcBorders>
            <w:noWrap w:val="0"/>
            <w:vAlign w:val="center"/>
          </w:tcPr>
          <w:p w14:paraId="2F547F71">
            <w:pPr>
              <w:shd w:val="clear" w:color="auto" w:fill="auto"/>
              <w:spacing w:line="360" w:lineRule="auto"/>
              <w:rPr>
                <w:rFonts w:hint="eastAsia" w:ascii="仿宋" w:hAnsi="仿宋" w:eastAsia="仿宋" w:cs="仿宋"/>
                <w:color w:val="auto"/>
                <w:highlight w:val="none"/>
                <w:lang w:val="en-US" w:eastAsia="zh-CN"/>
              </w:rPr>
            </w:pPr>
          </w:p>
        </w:tc>
        <w:tc>
          <w:tcPr>
            <w:tcW w:w="7520" w:type="dxa"/>
            <w:tcBorders>
              <w:top w:val="single" w:color="auto" w:sz="4" w:space="0"/>
              <w:left w:val="single" w:color="auto" w:sz="4" w:space="0"/>
              <w:bottom w:val="single" w:color="auto" w:sz="4" w:space="0"/>
              <w:right w:val="single" w:color="auto" w:sz="4" w:space="0"/>
            </w:tcBorders>
            <w:noWrap w:val="0"/>
            <w:vAlign w:val="center"/>
          </w:tcPr>
          <w:p w14:paraId="5D1E0EAF">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根据财政部、民政部、中国残疾人联合会《关于促进残疾人就业政府采购政策的通知》（财库[2017]141号），在政府采购活动中，残疾人福利性单位视同小型、微型企业。供应商属于残疾人福利性单位的，按照招标文件格式提供残疾人福利性单位声明函。</w:t>
            </w:r>
          </w:p>
        </w:tc>
      </w:tr>
      <w:tr w14:paraId="4E11742D">
        <w:tblPrEx>
          <w:tblCellMar>
            <w:top w:w="0" w:type="dxa"/>
            <w:left w:w="108" w:type="dxa"/>
            <w:bottom w:w="0" w:type="dxa"/>
            <w:right w:w="108" w:type="dxa"/>
          </w:tblCellMar>
        </w:tblPrEx>
        <w:trPr>
          <w:trHeight w:val="995" w:hRule="atLeast"/>
          <w:jc w:val="center"/>
        </w:trPr>
        <w:tc>
          <w:tcPr>
            <w:tcW w:w="485" w:type="dxa"/>
            <w:vMerge w:val="restart"/>
            <w:tcBorders>
              <w:top w:val="single" w:color="auto" w:sz="4" w:space="0"/>
              <w:left w:val="single" w:color="auto" w:sz="4" w:space="0"/>
              <w:right w:val="single" w:color="auto" w:sz="4" w:space="0"/>
            </w:tcBorders>
            <w:noWrap w:val="0"/>
            <w:vAlign w:val="center"/>
          </w:tcPr>
          <w:p w14:paraId="117C2AC0">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30</w:t>
            </w:r>
          </w:p>
        </w:tc>
        <w:tc>
          <w:tcPr>
            <w:tcW w:w="1665" w:type="dxa"/>
            <w:vMerge w:val="restart"/>
            <w:tcBorders>
              <w:top w:val="single" w:color="auto" w:sz="4" w:space="0"/>
              <w:left w:val="single" w:color="auto" w:sz="4" w:space="0"/>
              <w:right w:val="single" w:color="auto" w:sz="4" w:space="0"/>
            </w:tcBorders>
            <w:noWrap w:val="0"/>
            <w:vAlign w:val="center"/>
          </w:tcPr>
          <w:p w14:paraId="32E66CED">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中小微企业政策文件说明</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57FC3FBF">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b/>
                <w:bCs/>
                <w:color w:val="auto"/>
                <w:highlight w:val="none"/>
                <w:lang w:eastAsia="zh-CN"/>
              </w:rPr>
              <w:t>1）支持中小企业发展：给予小型和微型企业产品的价格10%-20%的扣除，用扣除后的价格参与评审，</w:t>
            </w:r>
            <w:r>
              <w:rPr>
                <w:rFonts w:hint="eastAsia" w:ascii="仿宋" w:hAnsi="仿宋" w:eastAsia="仿宋" w:cs="仿宋"/>
                <w:b/>
                <w:bCs/>
                <w:color w:val="auto"/>
                <w:highlight w:val="none"/>
                <w:u w:val="single"/>
                <w:lang w:eastAsia="zh-CN"/>
              </w:rPr>
              <w:t>本项目具体扣除比例为10%</w:t>
            </w:r>
            <w:r>
              <w:rPr>
                <w:rFonts w:hint="eastAsia" w:ascii="仿宋" w:hAnsi="仿宋" w:eastAsia="仿宋" w:cs="仿宋"/>
                <w:color w:val="auto"/>
                <w:highlight w:val="none"/>
                <w:lang w:eastAsia="zh-CN"/>
              </w:rPr>
              <w:t>。用扣除后的价格参与评审。残疾人福利性单位视同小型、微型企业，享受同等价格扣除，但同时属于残疾人福利性单位和小微企业的，不重复价格扣除。</w:t>
            </w:r>
          </w:p>
        </w:tc>
      </w:tr>
      <w:tr w14:paraId="56285FD9">
        <w:tblPrEx>
          <w:tblCellMar>
            <w:top w:w="0" w:type="dxa"/>
            <w:left w:w="108" w:type="dxa"/>
            <w:bottom w:w="0" w:type="dxa"/>
            <w:right w:w="108" w:type="dxa"/>
          </w:tblCellMar>
        </w:tblPrEx>
        <w:trPr>
          <w:trHeight w:val="506" w:hRule="atLeast"/>
          <w:jc w:val="center"/>
        </w:trPr>
        <w:tc>
          <w:tcPr>
            <w:tcW w:w="485" w:type="dxa"/>
            <w:vMerge w:val="continue"/>
            <w:tcBorders>
              <w:left w:val="single" w:color="auto" w:sz="4" w:space="0"/>
              <w:right w:val="single" w:color="auto" w:sz="4" w:space="0"/>
            </w:tcBorders>
            <w:noWrap w:val="0"/>
            <w:vAlign w:val="center"/>
          </w:tcPr>
          <w:p w14:paraId="3FD90297">
            <w:pPr>
              <w:shd w:val="clear" w:color="auto" w:fill="auto"/>
              <w:spacing w:line="360" w:lineRule="auto"/>
              <w:rPr>
                <w:rFonts w:hint="eastAsia" w:ascii="仿宋" w:hAnsi="仿宋" w:eastAsia="仿宋" w:cs="仿宋"/>
                <w:color w:val="auto"/>
                <w:highlight w:val="none"/>
                <w:lang w:val="en-US" w:eastAsia="zh-CN"/>
              </w:rPr>
            </w:pPr>
          </w:p>
        </w:tc>
        <w:tc>
          <w:tcPr>
            <w:tcW w:w="1665" w:type="dxa"/>
            <w:vMerge w:val="continue"/>
            <w:tcBorders>
              <w:left w:val="single" w:color="auto" w:sz="4" w:space="0"/>
              <w:right w:val="single" w:color="auto" w:sz="4" w:space="0"/>
            </w:tcBorders>
            <w:noWrap w:val="0"/>
            <w:vAlign w:val="center"/>
          </w:tcPr>
          <w:p w14:paraId="694E2144">
            <w:pPr>
              <w:shd w:val="clear" w:color="auto" w:fill="auto"/>
              <w:spacing w:line="360" w:lineRule="auto"/>
              <w:rPr>
                <w:rFonts w:hint="eastAsia" w:ascii="仿宋" w:hAnsi="仿宋" w:eastAsia="仿宋" w:cs="仿宋"/>
                <w:color w:val="auto"/>
                <w:highlight w:val="none"/>
                <w:lang w:val="en-US" w:eastAsia="zh-CN"/>
              </w:rPr>
            </w:pPr>
          </w:p>
        </w:tc>
        <w:tc>
          <w:tcPr>
            <w:tcW w:w="7520" w:type="dxa"/>
            <w:tcBorders>
              <w:top w:val="single" w:color="auto" w:sz="4" w:space="0"/>
              <w:left w:val="single" w:color="auto" w:sz="4" w:space="0"/>
              <w:bottom w:val="single" w:color="auto" w:sz="4" w:space="0"/>
              <w:right w:val="single" w:color="auto" w:sz="4" w:space="0"/>
            </w:tcBorders>
            <w:noWrap w:val="0"/>
            <w:vAlign w:val="center"/>
          </w:tcPr>
          <w:p w14:paraId="2CB08227">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2</w:t>
            </w:r>
            <w:r>
              <w:rPr>
                <w:rFonts w:hint="eastAsia" w:ascii="仿宋" w:hAnsi="仿宋" w:eastAsia="仿宋" w:cs="仿宋"/>
                <w:b/>
                <w:bCs/>
                <w:color w:val="auto"/>
                <w:highlight w:val="none"/>
                <w:lang w:eastAsia="zh-CN"/>
              </w:rPr>
              <w:t>）不符合上述适用情形的供应商无需提供上述声明函件。</w:t>
            </w:r>
          </w:p>
        </w:tc>
      </w:tr>
      <w:tr w14:paraId="5100FFE0">
        <w:tblPrEx>
          <w:tblCellMar>
            <w:top w:w="0" w:type="dxa"/>
            <w:left w:w="108" w:type="dxa"/>
            <w:bottom w:w="0" w:type="dxa"/>
            <w:right w:w="108" w:type="dxa"/>
          </w:tblCellMar>
        </w:tblPrEx>
        <w:trPr>
          <w:trHeight w:val="506" w:hRule="atLeast"/>
          <w:jc w:val="center"/>
        </w:trPr>
        <w:tc>
          <w:tcPr>
            <w:tcW w:w="485" w:type="dxa"/>
            <w:vMerge w:val="continue"/>
            <w:tcBorders>
              <w:left w:val="single" w:color="auto" w:sz="4" w:space="0"/>
              <w:right w:val="single" w:color="auto" w:sz="4" w:space="0"/>
            </w:tcBorders>
            <w:noWrap w:val="0"/>
            <w:vAlign w:val="center"/>
          </w:tcPr>
          <w:p w14:paraId="4778774B">
            <w:pPr>
              <w:shd w:val="clear" w:color="auto" w:fill="auto"/>
              <w:spacing w:line="360" w:lineRule="auto"/>
              <w:rPr>
                <w:rFonts w:hint="eastAsia" w:ascii="仿宋" w:hAnsi="仿宋" w:eastAsia="仿宋" w:cs="仿宋"/>
                <w:color w:val="auto"/>
                <w:highlight w:val="none"/>
                <w:lang w:val="en-US" w:eastAsia="zh-CN"/>
              </w:rPr>
            </w:pPr>
          </w:p>
        </w:tc>
        <w:tc>
          <w:tcPr>
            <w:tcW w:w="1665" w:type="dxa"/>
            <w:vMerge w:val="continue"/>
            <w:tcBorders>
              <w:left w:val="single" w:color="auto" w:sz="4" w:space="0"/>
              <w:right w:val="single" w:color="auto" w:sz="4" w:space="0"/>
            </w:tcBorders>
            <w:noWrap w:val="0"/>
            <w:vAlign w:val="center"/>
          </w:tcPr>
          <w:p w14:paraId="2779D640">
            <w:pPr>
              <w:shd w:val="clear" w:color="auto" w:fill="auto"/>
              <w:spacing w:line="360" w:lineRule="auto"/>
              <w:rPr>
                <w:rFonts w:hint="eastAsia" w:ascii="仿宋" w:hAnsi="仿宋" w:eastAsia="仿宋" w:cs="仿宋"/>
                <w:color w:val="auto"/>
                <w:highlight w:val="none"/>
                <w:lang w:val="en-US" w:eastAsia="zh-CN"/>
              </w:rPr>
            </w:pPr>
          </w:p>
        </w:tc>
        <w:tc>
          <w:tcPr>
            <w:tcW w:w="7520" w:type="dxa"/>
            <w:tcBorders>
              <w:top w:val="single" w:color="auto" w:sz="4" w:space="0"/>
              <w:left w:val="single" w:color="auto" w:sz="4" w:space="0"/>
              <w:bottom w:val="single" w:color="auto" w:sz="4" w:space="0"/>
              <w:right w:val="single" w:color="auto" w:sz="4" w:space="0"/>
            </w:tcBorders>
            <w:noWrap w:val="0"/>
            <w:vAlign w:val="center"/>
          </w:tcPr>
          <w:p w14:paraId="413BC11D">
            <w:pPr>
              <w:shd w:val="clear" w:color="auto" w:fill="auto"/>
              <w:spacing w:line="360" w:lineRule="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3</w:t>
            </w:r>
            <w:r>
              <w:rPr>
                <w:rFonts w:hint="eastAsia" w:ascii="仿宋" w:hAnsi="仿宋" w:eastAsia="仿宋" w:cs="仿宋"/>
                <w:b/>
                <w:bCs/>
                <w:color w:val="auto"/>
                <w:highlight w:val="none"/>
                <w:lang w:eastAsia="zh-CN"/>
              </w:rPr>
              <w:t>）本项目所属行业：工业</w:t>
            </w:r>
          </w:p>
        </w:tc>
      </w:tr>
      <w:tr w14:paraId="1202B488">
        <w:tblPrEx>
          <w:tblCellMar>
            <w:top w:w="0" w:type="dxa"/>
            <w:left w:w="108" w:type="dxa"/>
            <w:bottom w:w="0" w:type="dxa"/>
            <w:right w:w="108" w:type="dxa"/>
          </w:tblCellMar>
        </w:tblPrEx>
        <w:trPr>
          <w:trHeight w:val="721" w:hRule="atLeast"/>
          <w:jc w:val="center"/>
        </w:trPr>
        <w:tc>
          <w:tcPr>
            <w:tcW w:w="485" w:type="dxa"/>
            <w:vMerge w:val="continue"/>
            <w:tcBorders>
              <w:left w:val="single" w:color="auto" w:sz="4" w:space="0"/>
              <w:bottom w:val="single" w:color="auto" w:sz="4" w:space="0"/>
              <w:right w:val="single" w:color="auto" w:sz="4" w:space="0"/>
            </w:tcBorders>
            <w:noWrap w:val="0"/>
            <w:vAlign w:val="center"/>
          </w:tcPr>
          <w:p w14:paraId="0E6493D0">
            <w:pPr>
              <w:shd w:val="clear" w:color="auto" w:fill="auto"/>
              <w:spacing w:line="360" w:lineRule="auto"/>
              <w:rPr>
                <w:rFonts w:hint="eastAsia" w:ascii="仿宋" w:hAnsi="仿宋" w:eastAsia="仿宋" w:cs="仿宋"/>
                <w:color w:val="auto"/>
                <w:highlight w:val="none"/>
                <w:lang w:val="en-US" w:eastAsia="zh-CN"/>
              </w:rPr>
            </w:pPr>
          </w:p>
        </w:tc>
        <w:tc>
          <w:tcPr>
            <w:tcW w:w="1665" w:type="dxa"/>
            <w:vMerge w:val="continue"/>
            <w:tcBorders>
              <w:left w:val="single" w:color="auto" w:sz="4" w:space="0"/>
              <w:bottom w:val="single" w:color="auto" w:sz="4" w:space="0"/>
              <w:right w:val="single" w:color="auto" w:sz="4" w:space="0"/>
            </w:tcBorders>
            <w:noWrap w:val="0"/>
            <w:vAlign w:val="center"/>
          </w:tcPr>
          <w:p w14:paraId="72DF28C9">
            <w:pPr>
              <w:shd w:val="clear" w:color="auto" w:fill="auto"/>
              <w:spacing w:line="360" w:lineRule="auto"/>
              <w:rPr>
                <w:rFonts w:hint="eastAsia" w:ascii="仿宋" w:hAnsi="仿宋" w:eastAsia="仿宋" w:cs="仿宋"/>
                <w:color w:val="auto"/>
                <w:highlight w:val="none"/>
                <w:lang w:val="en-US" w:eastAsia="zh-CN"/>
              </w:rPr>
            </w:pPr>
          </w:p>
        </w:tc>
        <w:tc>
          <w:tcPr>
            <w:tcW w:w="7520" w:type="dxa"/>
            <w:tcBorders>
              <w:top w:val="single" w:color="auto" w:sz="4" w:space="0"/>
              <w:left w:val="single" w:color="auto" w:sz="4" w:space="0"/>
              <w:bottom w:val="single" w:color="auto" w:sz="4" w:space="0"/>
              <w:right w:val="single" w:color="auto" w:sz="4" w:space="0"/>
            </w:tcBorders>
            <w:noWrap w:val="0"/>
            <w:vAlign w:val="center"/>
          </w:tcPr>
          <w:p w14:paraId="4A5CF78E">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b/>
                <w:color w:val="auto"/>
                <w:sz w:val="24"/>
                <w:szCs w:val="24"/>
                <w:highlight w:val="none"/>
                <w:lang w:eastAsia="zh-CN"/>
              </w:rPr>
              <w:t>着重提醒：投标供应商在提供《中小企业声明函》时，必须将招标文件采购标的物全部列入《中小企业声明函》，否则不享受扣除价格政策。</w:t>
            </w:r>
          </w:p>
        </w:tc>
      </w:tr>
      <w:tr w14:paraId="7EA42717">
        <w:tblPrEx>
          <w:tblCellMar>
            <w:top w:w="0" w:type="dxa"/>
            <w:left w:w="108" w:type="dxa"/>
            <w:bottom w:w="0" w:type="dxa"/>
            <w:right w:w="108" w:type="dxa"/>
          </w:tblCellMar>
        </w:tblPrEx>
        <w:trPr>
          <w:trHeight w:val="90" w:hRule="atLeast"/>
          <w:jc w:val="center"/>
        </w:trPr>
        <w:tc>
          <w:tcPr>
            <w:tcW w:w="485" w:type="dxa"/>
            <w:tcBorders>
              <w:left w:val="single" w:color="auto" w:sz="4" w:space="0"/>
              <w:bottom w:val="single" w:color="auto" w:sz="4" w:space="0"/>
              <w:right w:val="single" w:color="auto" w:sz="4" w:space="0"/>
            </w:tcBorders>
            <w:noWrap w:val="0"/>
            <w:vAlign w:val="center"/>
          </w:tcPr>
          <w:p w14:paraId="4C8469EA">
            <w:pPr>
              <w:shd w:val="clear" w:color="auto" w:fill="auto"/>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31</w:t>
            </w:r>
          </w:p>
        </w:tc>
        <w:tc>
          <w:tcPr>
            <w:tcW w:w="1665" w:type="dxa"/>
            <w:tcBorders>
              <w:left w:val="single" w:color="auto" w:sz="4" w:space="0"/>
              <w:bottom w:val="single" w:color="auto" w:sz="4" w:space="0"/>
              <w:right w:val="single" w:color="auto" w:sz="4" w:space="0"/>
            </w:tcBorders>
            <w:noWrap w:val="0"/>
            <w:vAlign w:val="center"/>
          </w:tcPr>
          <w:p w14:paraId="150CD316">
            <w:pPr>
              <w:shd w:val="clear" w:color="auto" w:fill="auto"/>
              <w:spacing w:line="360" w:lineRule="auto"/>
              <w:jc w:val="both"/>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履约保证金</w:t>
            </w:r>
          </w:p>
          <w:p w14:paraId="3AB8337E">
            <w:pPr>
              <w:shd w:val="clear" w:color="auto" w:fill="auto"/>
              <w:spacing w:line="360" w:lineRule="auto"/>
              <w:rPr>
                <w:rFonts w:hint="eastAsia" w:ascii="仿宋" w:hAnsi="仿宋" w:eastAsia="仿宋" w:cs="仿宋"/>
                <w:color w:val="auto"/>
                <w:highlight w:val="none"/>
                <w:lang w:val="en-US" w:eastAsia="zh-CN"/>
              </w:rPr>
            </w:pPr>
          </w:p>
        </w:tc>
        <w:tc>
          <w:tcPr>
            <w:tcW w:w="7520" w:type="dxa"/>
            <w:tcBorders>
              <w:top w:val="single" w:color="auto" w:sz="4" w:space="0"/>
              <w:left w:val="single" w:color="auto" w:sz="4" w:space="0"/>
              <w:bottom w:val="single" w:color="auto" w:sz="4" w:space="0"/>
              <w:right w:val="single" w:color="auto" w:sz="4" w:space="0"/>
            </w:tcBorders>
            <w:noWrap w:val="0"/>
            <w:vAlign w:val="center"/>
          </w:tcPr>
          <w:p w14:paraId="145B07A6">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zh-CN" w:eastAsia="zh-CN"/>
              </w:rPr>
              <w:t>成交人</w:t>
            </w:r>
            <w:r>
              <w:rPr>
                <w:rFonts w:hint="eastAsia" w:ascii="仿宋" w:hAnsi="仿宋" w:eastAsia="仿宋" w:cs="仿宋"/>
                <w:color w:val="auto"/>
                <w:highlight w:val="none"/>
                <w:lang w:eastAsia="zh-CN"/>
              </w:rPr>
              <w:t>应在领取《</w:t>
            </w:r>
            <w:r>
              <w:rPr>
                <w:rFonts w:hint="eastAsia" w:ascii="仿宋" w:hAnsi="仿宋" w:eastAsia="仿宋" w:cs="仿宋"/>
                <w:color w:val="auto"/>
                <w:highlight w:val="none"/>
                <w:lang w:val="zh-CN" w:eastAsia="zh-CN"/>
              </w:rPr>
              <w:t>成交通知书</w:t>
            </w:r>
            <w:r>
              <w:rPr>
                <w:rFonts w:hint="eastAsia" w:ascii="仿宋" w:hAnsi="仿宋" w:eastAsia="仿宋" w:cs="仿宋"/>
                <w:color w:val="auto"/>
                <w:highlight w:val="none"/>
                <w:lang w:eastAsia="zh-CN"/>
              </w:rPr>
              <w:t>》后的十个日历日内，办理履约保证金，</w:t>
            </w:r>
            <w:r>
              <w:rPr>
                <w:rFonts w:hint="eastAsia" w:ascii="仿宋" w:hAnsi="仿宋" w:eastAsia="仿宋" w:cs="仿宋"/>
                <w:color w:val="auto"/>
                <w:highlight w:val="none"/>
                <w:lang w:val="zh-CN" w:eastAsia="zh-CN"/>
              </w:rPr>
              <w:t>金额不超过合同总价的10%，</w:t>
            </w:r>
            <w:r>
              <w:rPr>
                <w:rFonts w:hint="eastAsia" w:ascii="仿宋" w:hAnsi="仿宋" w:eastAsia="仿宋" w:cs="仿宋"/>
                <w:color w:val="auto"/>
                <w:highlight w:val="none"/>
                <w:lang w:eastAsia="zh-CN"/>
              </w:rPr>
              <w:t>否则招标人可取消</w:t>
            </w:r>
            <w:r>
              <w:rPr>
                <w:rFonts w:hint="eastAsia" w:ascii="仿宋" w:hAnsi="仿宋" w:eastAsia="仿宋" w:cs="仿宋"/>
                <w:color w:val="auto"/>
                <w:highlight w:val="none"/>
                <w:lang w:val="zh-CN" w:eastAsia="zh-CN"/>
              </w:rPr>
              <w:t>成交人</w:t>
            </w:r>
            <w:r>
              <w:rPr>
                <w:rFonts w:hint="eastAsia" w:ascii="仿宋" w:hAnsi="仿宋" w:eastAsia="仿宋" w:cs="仿宋"/>
                <w:color w:val="auto"/>
                <w:highlight w:val="none"/>
                <w:lang w:eastAsia="zh-CN"/>
              </w:rPr>
              <w:t>的</w:t>
            </w:r>
            <w:r>
              <w:rPr>
                <w:rFonts w:hint="eastAsia" w:ascii="仿宋" w:hAnsi="仿宋" w:eastAsia="仿宋" w:cs="仿宋"/>
                <w:color w:val="auto"/>
                <w:highlight w:val="none"/>
                <w:lang w:val="zh-CN" w:eastAsia="zh-CN"/>
              </w:rPr>
              <w:t>成交</w:t>
            </w:r>
            <w:r>
              <w:rPr>
                <w:rFonts w:hint="eastAsia" w:ascii="仿宋" w:hAnsi="仿宋" w:eastAsia="仿宋" w:cs="仿宋"/>
                <w:color w:val="auto"/>
                <w:highlight w:val="none"/>
                <w:lang w:eastAsia="zh-CN"/>
              </w:rPr>
              <w:t>资格，并没收其投标保证金。</w:t>
            </w:r>
          </w:p>
        </w:tc>
      </w:tr>
      <w:tr w14:paraId="118E9100">
        <w:tblPrEx>
          <w:tblCellMar>
            <w:top w:w="0" w:type="dxa"/>
            <w:left w:w="108" w:type="dxa"/>
            <w:bottom w:w="0" w:type="dxa"/>
            <w:right w:w="108" w:type="dxa"/>
          </w:tblCellMar>
        </w:tblPrEx>
        <w:trPr>
          <w:trHeight w:val="84" w:hRule="atLeast"/>
          <w:jc w:val="center"/>
        </w:trPr>
        <w:tc>
          <w:tcPr>
            <w:tcW w:w="2150" w:type="dxa"/>
            <w:gridSpan w:val="2"/>
            <w:tcBorders>
              <w:top w:val="single" w:color="auto" w:sz="4" w:space="0"/>
              <w:left w:val="single" w:color="auto" w:sz="4" w:space="0"/>
              <w:bottom w:val="single" w:color="auto" w:sz="4" w:space="0"/>
              <w:right w:val="single" w:color="auto" w:sz="4" w:space="0"/>
            </w:tcBorders>
            <w:noWrap w:val="0"/>
            <w:vAlign w:val="center"/>
          </w:tcPr>
          <w:p w14:paraId="7F9C5DB9">
            <w:pPr>
              <w:shd w:val="clear" w:color="auto" w:fill="auto"/>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备注</w:t>
            </w:r>
          </w:p>
        </w:tc>
        <w:tc>
          <w:tcPr>
            <w:tcW w:w="7520" w:type="dxa"/>
            <w:tcBorders>
              <w:top w:val="single" w:color="auto" w:sz="4" w:space="0"/>
              <w:left w:val="single" w:color="auto" w:sz="4" w:space="0"/>
              <w:bottom w:val="single" w:color="auto" w:sz="4" w:space="0"/>
              <w:right w:val="single" w:color="auto" w:sz="4" w:space="0"/>
            </w:tcBorders>
            <w:noWrap w:val="0"/>
            <w:vAlign w:val="center"/>
          </w:tcPr>
          <w:p w14:paraId="09A12A0C">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eastAsia="zh-CN"/>
              </w:rPr>
              <w:t>着重提醒各投标人注意，并认真查看招标文件中的每一个条款及要求，因误读招标文件而造成的后果，招标人概不负责。</w:t>
            </w:r>
          </w:p>
          <w:p w14:paraId="6EA215C6">
            <w:pPr>
              <w:shd w:val="clear" w:color="auto" w:fill="auto"/>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2、投标人使用相同IP地址的，一经发现，相关部门将进一步核实，查实后按串通投标处理。</w:t>
            </w:r>
          </w:p>
          <w:p w14:paraId="6A3C17CA">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lang w:eastAsia="zh-CN"/>
              </w:rPr>
              <w:t>为保证本项目质量，良好的售后服务，最低报价不作为中标的唯一依据。</w:t>
            </w:r>
          </w:p>
          <w:p w14:paraId="75C6B6BC">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采购人若发现成交候选供应商在投标过程中提供虚假证明文件，故意隐瞒公司不良信誉和财务状况，以及其他可能对合同圆满履行造成风险的因素等，则按规定取消其成交资格，监管部门依法进行处理。</w:t>
            </w:r>
          </w:p>
          <w:p w14:paraId="42433584">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其它：</w:t>
            </w:r>
          </w:p>
          <w:p w14:paraId="0E7BEE64">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（1）投标企业严格遵守国家的法律法规及招标纪律，无违法违纪及商业贿赂行为。</w:t>
            </w:r>
          </w:p>
          <w:p w14:paraId="0F2F702B">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（2）不管投标结果如何，供应商均应自行承担投标所需一切费用。</w:t>
            </w:r>
          </w:p>
          <w:p w14:paraId="3802880C">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（3）供应商应以书面形式保证中标后由本公司组织实施，不得以任何理由将项目转包给其他机构。</w:t>
            </w:r>
          </w:p>
          <w:p w14:paraId="26134897">
            <w:pPr>
              <w:shd w:val="clear" w:color="auto" w:fill="auto"/>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）招标文件中如出现前后不一致情况，均以前附表内容为准。</w:t>
            </w:r>
          </w:p>
        </w:tc>
      </w:tr>
    </w:tbl>
    <w:p w14:paraId="2D385C83">
      <w:pPr>
        <w:pageBreakBefore/>
        <w:shd w:val="clear" w:color="auto" w:fill="auto"/>
        <w:spacing w:before="312" w:beforeLines="100" w:after="312" w:afterLines="100" w:line="440" w:lineRule="exact"/>
        <w:jc w:val="center"/>
        <w:outlineLvl w:val="1"/>
        <w:rPr>
          <w:rFonts w:hint="eastAsia" w:ascii="仿宋" w:hAnsi="仿宋" w:eastAsia="仿宋" w:cs="仿宋"/>
          <w:b/>
          <w:color w:val="auto"/>
          <w:sz w:val="28"/>
          <w:szCs w:val="32"/>
          <w:highlight w:val="none"/>
        </w:rPr>
      </w:pPr>
      <w:r>
        <w:rPr>
          <w:rFonts w:hint="eastAsia" w:ascii="仿宋" w:hAnsi="仿宋" w:eastAsia="仿宋" w:cs="仿宋"/>
          <w:b/>
          <w:color w:val="auto"/>
          <w:sz w:val="28"/>
          <w:szCs w:val="28"/>
          <w:highlight w:val="none"/>
        </w:rPr>
        <w:t>二、投标人须知</w:t>
      </w:r>
    </w:p>
    <w:p w14:paraId="0D14929E">
      <w:pPr>
        <w:shd w:val="clear" w:color="auto" w:fill="auto"/>
        <w:spacing w:line="440" w:lineRule="exact"/>
        <w:jc w:val="center"/>
        <w:outlineLvl w:val="2"/>
        <w:rPr>
          <w:rFonts w:hint="eastAsia" w:ascii="仿宋" w:hAnsi="仿宋" w:eastAsia="仿宋" w:cs="仿宋"/>
          <w:color w:val="auto"/>
          <w:sz w:val="28"/>
          <w:szCs w:val="28"/>
          <w:highlight w:val="none"/>
        </w:rPr>
      </w:pPr>
      <w:bookmarkStart w:id="2" w:name="_Toc469495724"/>
      <w:r>
        <w:rPr>
          <w:rFonts w:hint="eastAsia" w:ascii="仿宋" w:hAnsi="仿宋" w:eastAsia="仿宋" w:cs="仿宋"/>
          <w:b/>
          <w:color w:val="auto"/>
          <w:sz w:val="28"/>
          <w:szCs w:val="28"/>
          <w:highlight w:val="none"/>
        </w:rPr>
        <w:t>（一）</w:t>
      </w:r>
      <w:r>
        <w:rPr>
          <w:rFonts w:hint="eastAsia" w:ascii="仿宋" w:hAnsi="仿宋" w:eastAsia="仿宋" w:cs="仿宋"/>
          <w:b/>
          <w:color w:val="auto"/>
          <w:sz w:val="28"/>
          <w:szCs w:val="32"/>
          <w:highlight w:val="none"/>
        </w:rPr>
        <w:t>总  则</w:t>
      </w:r>
      <w:bookmarkEnd w:id="2"/>
    </w:p>
    <w:p w14:paraId="4A9BEB26">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1.项目概况</w:t>
      </w:r>
    </w:p>
    <w:p w14:paraId="59C2D802">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1.1本次招标采购项目名称：见投标人须知前附表。</w:t>
      </w:r>
    </w:p>
    <w:p w14:paraId="2F6BEBB4">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项目编号：见投标人须知前附表。</w:t>
      </w:r>
      <w:bookmarkStart w:id="75" w:name="_GoBack"/>
      <w:bookmarkEnd w:id="75"/>
    </w:p>
    <w:p w14:paraId="23EDD07F">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招标人：见投标人须知前附表。</w:t>
      </w:r>
    </w:p>
    <w:p w14:paraId="6D2F4B08">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 xml:space="preserve">  供货期：见投标人须知前附表。</w:t>
      </w:r>
    </w:p>
    <w:p w14:paraId="421683F0">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供货地点：见投标人须知前附表。</w:t>
      </w:r>
    </w:p>
    <w:p w14:paraId="4F6F6224">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1.2招标人及联系人: 见投标人须知前附表。</w:t>
      </w:r>
    </w:p>
    <w:p w14:paraId="17D95743">
      <w:pPr>
        <w:shd w:val="clear" w:color="auto" w:fill="auto"/>
        <w:snapToGrid w:val="0"/>
        <w:spacing w:line="440" w:lineRule="exact"/>
        <w:ind w:firstLine="600" w:firstLineChars="2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代理机构及联系人: 见投标人须知前附表。</w:t>
      </w:r>
    </w:p>
    <w:p w14:paraId="5EFD3007">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1.3资金来源：见投标人须知前附表。</w:t>
      </w:r>
    </w:p>
    <w:p w14:paraId="0633AABA">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1.4本项目预算：见投标人须知前附表。</w:t>
      </w:r>
    </w:p>
    <w:p w14:paraId="006AB3A8">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1.5本项目控制价：见投标人须知前附表。</w:t>
      </w:r>
    </w:p>
    <w:p w14:paraId="702D2980">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2.招标范围：</w:t>
      </w:r>
    </w:p>
    <w:p w14:paraId="6B23266D">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2.1 采购内容：见投标人须知前附表。</w:t>
      </w:r>
    </w:p>
    <w:p w14:paraId="55AD1361">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 技术要求：详见</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第四章采购内容及技术要求。</w:t>
      </w:r>
    </w:p>
    <w:p w14:paraId="3CC0852C">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3.标包划分：</w:t>
      </w:r>
    </w:p>
    <w:p w14:paraId="5D0F9754">
      <w:pPr>
        <w:shd w:val="clear" w:color="auto" w:fill="auto"/>
        <w:snapToGrid w:val="0"/>
        <w:spacing w:line="440" w:lineRule="exact"/>
        <w:ind w:firstLine="48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3.1本项目划分：</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1</w:t>
      </w:r>
      <w:r>
        <w:rPr>
          <w:rFonts w:hint="eastAsia" w:ascii="仿宋" w:hAnsi="仿宋" w:eastAsia="仿宋" w:cs="仿宋"/>
          <w:color w:val="auto"/>
          <w:szCs w:val="21"/>
          <w:highlight w:val="none"/>
        </w:rPr>
        <w:t>个包</w:t>
      </w:r>
      <w:r>
        <w:rPr>
          <w:rFonts w:hint="eastAsia" w:ascii="仿宋" w:hAnsi="仿宋" w:eastAsia="仿宋" w:cs="仿宋"/>
          <w:color w:val="auto"/>
          <w:kern w:val="0"/>
          <w:szCs w:val="21"/>
          <w:highlight w:val="none"/>
        </w:rPr>
        <w:t>。</w:t>
      </w:r>
    </w:p>
    <w:p w14:paraId="1E79664E">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4.招标方式：</w:t>
      </w:r>
    </w:p>
    <w:p w14:paraId="2796BE9A">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4.1本项目招标方式：见投标人须知前附表。</w:t>
      </w:r>
    </w:p>
    <w:p w14:paraId="32019F20">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5.计价方式：</w:t>
      </w:r>
    </w:p>
    <w:p w14:paraId="04D96F8B">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5.1本次招标项目合同采用</w:t>
      </w:r>
      <w:r>
        <w:rPr>
          <w:rFonts w:hint="eastAsia" w:ascii="仿宋" w:hAnsi="仿宋" w:eastAsia="仿宋" w:cs="仿宋"/>
          <w:color w:val="auto"/>
          <w:szCs w:val="21"/>
          <w:highlight w:val="none"/>
          <w:u w:val="single"/>
        </w:rPr>
        <w:t xml:space="preserve">   固定</w:t>
      </w:r>
      <w:r>
        <w:rPr>
          <w:rFonts w:hint="eastAsia" w:ascii="仿宋" w:hAnsi="仿宋" w:eastAsia="仿宋" w:cs="仿宋"/>
          <w:color w:val="auto"/>
          <w:szCs w:val="21"/>
          <w:highlight w:val="none"/>
          <w:u w:val="single"/>
          <w:lang w:val="en-US" w:eastAsia="zh-CN"/>
        </w:rPr>
        <w:t>总价</w:t>
      </w:r>
      <w:r>
        <w:rPr>
          <w:rFonts w:hint="eastAsia" w:ascii="仿宋" w:hAnsi="仿宋" w:eastAsia="仿宋" w:cs="仿宋"/>
          <w:color w:val="auto"/>
          <w:szCs w:val="21"/>
          <w:highlight w:val="none"/>
          <w:u w:val="single"/>
        </w:rPr>
        <w:t xml:space="preserve"> 。</w:t>
      </w:r>
    </w:p>
    <w:p w14:paraId="71F33165">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6.评标办法：</w:t>
      </w:r>
    </w:p>
    <w:p w14:paraId="47085887">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6.1本次招标评标采用</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eastAsia="zh-CN"/>
        </w:rPr>
        <w:t>综合评分</w:t>
      </w:r>
      <w:r>
        <w:rPr>
          <w:rFonts w:hint="eastAsia" w:ascii="仿宋" w:hAnsi="仿宋" w:eastAsia="仿宋" w:cs="仿宋"/>
          <w:color w:val="auto"/>
          <w:szCs w:val="21"/>
          <w:highlight w:val="none"/>
          <w:u w:val="single"/>
        </w:rPr>
        <w:t xml:space="preserve">法 </w:t>
      </w:r>
      <w:r>
        <w:rPr>
          <w:rFonts w:hint="eastAsia" w:ascii="仿宋" w:hAnsi="仿宋" w:eastAsia="仿宋" w:cs="仿宋"/>
          <w:color w:val="auto"/>
          <w:szCs w:val="21"/>
          <w:highlight w:val="none"/>
        </w:rPr>
        <w:t>（详见第三章评标办法）</w:t>
      </w:r>
    </w:p>
    <w:p w14:paraId="0F87FAD5">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7.投标人资格：</w:t>
      </w:r>
    </w:p>
    <w:p w14:paraId="2FB71403">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7.1参与采购活动的投标人必须是满足《中华人民共和国政府采购法》规定条件的法人、其他组织或者自然人：</w:t>
      </w:r>
    </w:p>
    <w:p w14:paraId="3AA4D26F">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7.2由于政府采购项目的差异性，投标人在参与具体政府采购项目活动时，应仔细阅读该项目的资质要求,具体见投标人须知前附表。</w:t>
      </w:r>
    </w:p>
    <w:p w14:paraId="0C25936A">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7.3根据电子化政府采购的特点，各供应商在开标前应确保成为新疆维吾尔自治区政府采购网正式注册入库供应商，并完成CA数字证书申领。因未注册入库、未办理CA数字证书等原因造成无法投标或投标失败等后果由供应商自行承担。</w:t>
      </w:r>
    </w:p>
    <w:p w14:paraId="39B22B2A">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7.4投标人必须确保自己在信息库中注册的信息真实、准确，并保证投标文件中的有关信息与库中的信息相一致。否则，投标人因此蒙受损失，招标人概不负责。</w:t>
      </w:r>
    </w:p>
    <w:p w14:paraId="44E90843">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8. 投标费用</w:t>
      </w:r>
    </w:p>
    <w:p w14:paraId="753165C1">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8.1投标人准备和参加投标活动发生的费用自理。</w:t>
      </w:r>
    </w:p>
    <w:p w14:paraId="55735327">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9.</w:t>
      </w:r>
      <w:bookmarkStart w:id="3" w:name="_Toc247527563"/>
      <w:bookmarkStart w:id="4" w:name="_Toc247513962"/>
      <w:bookmarkStart w:id="5" w:name="_Toc144974507"/>
      <w:bookmarkStart w:id="6" w:name="_Toc152042315"/>
      <w:bookmarkStart w:id="7" w:name="_Toc296602429"/>
      <w:bookmarkStart w:id="8" w:name="_Toc152045539"/>
      <w:bookmarkStart w:id="9" w:name="_Toc247592876"/>
      <w:r>
        <w:rPr>
          <w:rFonts w:hint="eastAsia" w:ascii="仿宋" w:hAnsi="仿宋" w:eastAsia="仿宋" w:cs="仿宋"/>
          <w:b/>
          <w:color w:val="auto"/>
          <w:szCs w:val="21"/>
          <w:highlight w:val="none"/>
        </w:rPr>
        <w:t xml:space="preserve"> 踏勘现场</w:t>
      </w:r>
      <w:bookmarkEnd w:id="3"/>
      <w:bookmarkEnd w:id="4"/>
      <w:bookmarkEnd w:id="5"/>
      <w:bookmarkEnd w:id="6"/>
      <w:bookmarkEnd w:id="7"/>
      <w:bookmarkEnd w:id="8"/>
      <w:bookmarkEnd w:id="9"/>
    </w:p>
    <w:p w14:paraId="1C576B42">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9.1 投标人须知前附表规定组织踏勘现场的，招标人按投标人须知前附表规定的时间、地点组织投标人踏勘项目现场。</w:t>
      </w:r>
      <w:r>
        <w:rPr>
          <w:rFonts w:hint="eastAsia" w:ascii="仿宋" w:hAnsi="仿宋" w:eastAsia="仿宋" w:cs="仿宋"/>
          <w:color w:val="auto"/>
          <w:szCs w:val="21"/>
          <w:highlight w:val="none"/>
          <w:lang w:eastAsia="zh-CN"/>
        </w:rPr>
        <w:t>如需踏勘现场，</w:t>
      </w:r>
      <w:r>
        <w:rPr>
          <w:rFonts w:hint="eastAsia" w:ascii="仿宋" w:hAnsi="仿宋" w:eastAsia="仿宋" w:cs="仿宋"/>
          <w:color w:val="auto"/>
          <w:highlight w:val="none"/>
          <w:lang w:eastAsia="zh-CN"/>
        </w:rPr>
        <w:t>投标人自行踏勘现场的，可咨询本项目采购人或采购代理机构联系人。</w:t>
      </w:r>
      <w:r>
        <w:rPr>
          <w:rFonts w:hint="eastAsia" w:ascii="仿宋" w:hAnsi="仿宋" w:eastAsia="仿宋" w:cs="仿宋"/>
          <w:b/>
          <w:bCs/>
          <w:color w:val="auto"/>
          <w:highlight w:val="none"/>
          <w:lang w:eastAsia="zh-CN"/>
        </w:rPr>
        <w:t>投标人自行踏勘现场的，可咨询本项目采购人或采购代理机构联系人。</w:t>
      </w:r>
      <w:r>
        <w:rPr>
          <w:rFonts w:hint="eastAsia" w:ascii="仿宋" w:hAnsi="仿宋" w:eastAsia="仿宋" w:cs="仿宋"/>
          <w:b/>
          <w:bCs/>
          <w:color w:val="auto"/>
          <w:szCs w:val="21"/>
          <w:highlight w:val="none"/>
        </w:rPr>
        <w:t xml:space="preserve"> </w:t>
      </w:r>
    </w:p>
    <w:p w14:paraId="7C7EB364">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9.2 投标人踏勘现场发生的费用自理。</w:t>
      </w:r>
    </w:p>
    <w:p w14:paraId="04BD8A27">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9.3 除招标人的原因外，投标人自行负责在踏勘现场中所发生的人员伤亡和财产损失。</w:t>
      </w:r>
    </w:p>
    <w:p w14:paraId="5FA176A9">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9.4 招标人在踏勘现场中介绍的场地和相关的周边环境情况，供投标人在编制投标文件时参考，招标人不对投标人据此作出的判断和决策负责。</w:t>
      </w:r>
      <w:bookmarkStart w:id="10" w:name="_Toc247527564"/>
      <w:bookmarkStart w:id="11" w:name="_Toc152042316"/>
      <w:bookmarkStart w:id="12" w:name="_Toc144974508"/>
      <w:bookmarkStart w:id="13" w:name="_Toc247513963"/>
      <w:bookmarkStart w:id="14" w:name="_Toc296602430"/>
      <w:bookmarkStart w:id="15" w:name="_Toc152045540"/>
      <w:bookmarkStart w:id="16" w:name="_Toc247592877"/>
    </w:p>
    <w:p w14:paraId="2CD97091">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10. 投标预备会</w:t>
      </w:r>
      <w:bookmarkEnd w:id="10"/>
      <w:bookmarkEnd w:id="11"/>
      <w:bookmarkEnd w:id="12"/>
      <w:bookmarkEnd w:id="13"/>
      <w:bookmarkEnd w:id="14"/>
      <w:bookmarkEnd w:id="15"/>
      <w:bookmarkEnd w:id="16"/>
    </w:p>
    <w:p w14:paraId="774DE783">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10.1投标人须知前附表规定召开投标预备会的，招标人按投标人须知前附表规定的时间和地点召开投标预备会，澄清投标人提出的问题。</w:t>
      </w:r>
    </w:p>
    <w:p w14:paraId="11904B80">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10.2投标人应在投标人须知前附表规定的时间前，将提出的问题送达招标人，以便招标人澄清。</w:t>
      </w:r>
    </w:p>
    <w:p w14:paraId="508C2776">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10.3招标人在投标人须知前附表规定的时间，将对投标人所提的问题进行澄清。该澄清内容为</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的组成部分。</w:t>
      </w:r>
    </w:p>
    <w:p w14:paraId="044C49D9">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11. 联合投标</w:t>
      </w:r>
    </w:p>
    <w:p w14:paraId="24394552">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14:paraId="51B457A3">
      <w:pPr>
        <w:shd w:val="clear" w:color="auto" w:fill="auto"/>
        <w:spacing w:line="40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257D2512">
      <w:pPr>
        <w:shd w:val="clear" w:color="auto" w:fill="auto"/>
        <w:spacing w:line="400" w:lineRule="exact"/>
        <w:ind w:firstLine="470" w:firstLineChars="196"/>
        <w:rPr>
          <w:rFonts w:hint="eastAsia" w:ascii="仿宋" w:hAnsi="仿宋" w:eastAsia="仿宋" w:cs="仿宋"/>
          <w:color w:val="auto"/>
          <w:szCs w:val="21"/>
          <w:highlight w:val="none"/>
        </w:rPr>
      </w:pPr>
      <w:r>
        <w:rPr>
          <w:rFonts w:hint="eastAsia" w:ascii="仿宋" w:hAnsi="仿宋" w:eastAsia="仿宋" w:cs="仿宋"/>
          <w:color w:val="auto"/>
          <w:szCs w:val="21"/>
          <w:highlight w:val="none"/>
        </w:rPr>
        <w:t>11.3 联合体应当确定其中一个单位为投标的全权代表，负责参加投标的一切事务，并承担投标及履约中应承担的全部责任与义务。</w:t>
      </w:r>
    </w:p>
    <w:p w14:paraId="0F5F608E">
      <w:pPr>
        <w:pStyle w:val="8"/>
        <w:shd w:val="clear" w:color="auto" w:fill="auto"/>
        <w:spacing w:after="0" w:line="400" w:lineRule="exact"/>
        <w:ind w:left="0" w:leftChars="0" w:firstLine="484" w:firstLineChars="202"/>
        <w:rPr>
          <w:rFonts w:hint="eastAsia" w:ascii="仿宋" w:hAnsi="仿宋" w:eastAsia="仿宋" w:cs="仿宋"/>
          <w:color w:val="auto"/>
          <w:szCs w:val="21"/>
          <w:highlight w:val="none"/>
        </w:rPr>
      </w:pPr>
      <w:r>
        <w:rPr>
          <w:rFonts w:hint="eastAsia" w:ascii="仿宋" w:hAnsi="仿宋" w:eastAsia="仿宋" w:cs="仿宋"/>
          <w:color w:val="auto"/>
          <w:szCs w:val="21"/>
          <w:highlight w:val="none"/>
        </w:rPr>
        <w:t>11.4 联合体各方应当共同与招标人签订采购合同，就采购合同约定的事项对招标人承担连带责任。</w:t>
      </w:r>
    </w:p>
    <w:p w14:paraId="18739578">
      <w:pPr>
        <w:shd w:val="clear" w:color="auto" w:fill="auto"/>
        <w:spacing w:line="440" w:lineRule="exact"/>
        <w:ind w:firstLine="470" w:firstLineChars="196"/>
        <w:jc w:val="left"/>
        <w:rPr>
          <w:rFonts w:hint="eastAsia" w:ascii="仿宋" w:hAnsi="仿宋" w:eastAsia="仿宋" w:cs="仿宋"/>
          <w:b/>
          <w:color w:val="auto"/>
          <w:szCs w:val="21"/>
          <w:highlight w:val="none"/>
          <w:lang w:eastAsia="zh-CN"/>
        </w:rPr>
      </w:pPr>
      <w:r>
        <w:rPr>
          <w:rFonts w:hint="eastAsia" w:ascii="仿宋" w:hAnsi="仿宋" w:eastAsia="仿宋" w:cs="仿宋"/>
          <w:b/>
          <w:color w:val="auto"/>
          <w:szCs w:val="21"/>
          <w:highlight w:val="none"/>
        </w:rPr>
        <w:t>12.招标代理费</w:t>
      </w:r>
      <w:r>
        <w:rPr>
          <w:rFonts w:hint="eastAsia" w:ascii="仿宋" w:hAnsi="仿宋" w:eastAsia="仿宋" w:cs="仿宋"/>
          <w:b/>
          <w:color w:val="auto"/>
          <w:szCs w:val="21"/>
          <w:highlight w:val="none"/>
          <w:lang w:eastAsia="zh-CN"/>
        </w:rPr>
        <w:t>：</w:t>
      </w:r>
      <w:r>
        <w:rPr>
          <w:rFonts w:hint="eastAsia" w:ascii="仿宋" w:hAnsi="仿宋" w:eastAsia="仿宋" w:cs="仿宋"/>
          <w:color w:val="auto"/>
          <w:szCs w:val="21"/>
          <w:highlight w:val="none"/>
          <w:lang w:eastAsia="zh-CN"/>
        </w:rPr>
        <w:t>见供应商须知前附表。</w:t>
      </w:r>
    </w:p>
    <w:p w14:paraId="7A6BE77E">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13.投标人应注意的事项</w:t>
      </w:r>
    </w:p>
    <w:p w14:paraId="19682E18">
      <w:pPr>
        <w:shd w:val="clear" w:color="auto" w:fill="auto"/>
        <w:spacing w:line="44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color w:val="auto"/>
          <w:szCs w:val="21"/>
          <w:highlight w:val="none"/>
        </w:rPr>
        <w:t>13.1投标人一旦按规定缴纳了投标保证金并参加投标，即被认为接受了本</w:t>
      </w:r>
      <w:r>
        <w:rPr>
          <w:rFonts w:hint="eastAsia" w:ascii="仿宋" w:hAnsi="仿宋" w:eastAsia="仿宋" w:cs="仿宋"/>
          <w:color w:val="auto"/>
          <w:szCs w:val="21"/>
          <w:highlight w:val="none"/>
          <w:lang w:eastAsia="zh-CN"/>
        </w:rPr>
        <w:t>采购</w:t>
      </w:r>
      <w:r>
        <w:rPr>
          <w:rFonts w:hint="eastAsia" w:ascii="仿宋" w:hAnsi="仿宋" w:eastAsia="仿宋" w:cs="仿宋"/>
          <w:color w:val="auto"/>
          <w:szCs w:val="21"/>
          <w:highlight w:val="none"/>
        </w:rPr>
        <w:t>文件中的所有条件和规定。投标人必须严格按</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的要求编制投标文件，投标文件宜编制页码和目录，以便评委审核。否则，由此产生的一切后果由投标人承担。</w:t>
      </w:r>
    </w:p>
    <w:p w14:paraId="11782C0D">
      <w:pPr>
        <w:shd w:val="clear" w:color="auto" w:fill="auto"/>
        <w:spacing w:line="44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2</w:t>
      </w:r>
      <w:r>
        <w:rPr>
          <w:rFonts w:hint="eastAsia" w:ascii="仿宋" w:hAnsi="仿宋" w:eastAsia="仿宋" w:cs="仿宋"/>
          <w:bCs/>
          <w:color w:val="auto"/>
          <w:szCs w:val="21"/>
          <w:highlight w:val="none"/>
        </w:rPr>
        <w:t xml:space="preserve"> 投标人对采购内容中规定的技术参数、规格等要求必须完全响应或优于</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中的要求。</w:t>
      </w:r>
    </w:p>
    <w:p w14:paraId="6EFDB749">
      <w:pPr>
        <w:shd w:val="clear" w:color="auto" w:fill="auto"/>
        <w:spacing w:line="440" w:lineRule="exact"/>
        <w:ind w:firstLine="470" w:firstLineChars="196"/>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所有投标人的投标保证金都应在</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规定的投标保证金缴纳截止日期前缴纳。</w:t>
      </w:r>
    </w:p>
    <w:p w14:paraId="41C9FB15">
      <w:pPr>
        <w:shd w:val="clear" w:color="auto" w:fill="auto"/>
        <w:spacing w:line="440" w:lineRule="exact"/>
        <w:ind w:firstLine="470" w:firstLineChars="196"/>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4</w:t>
      </w:r>
      <w:r>
        <w:rPr>
          <w:rFonts w:hint="eastAsia" w:ascii="仿宋" w:hAnsi="仿宋" w:eastAsia="仿宋" w:cs="仿宋"/>
          <w:bCs/>
          <w:color w:val="auto"/>
          <w:szCs w:val="21"/>
          <w:highlight w:val="none"/>
        </w:rPr>
        <w:t>单位负责人为同一人或者存在直接控股、管理关系的不同供应商，不得参加同一合同项下的政府采购活动。</w:t>
      </w:r>
      <w:r>
        <w:rPr>
          <w:rFonts w:hint="eastAsia" w:ascii="仿宋" w:hAnsi="仿宋" w:eastAsia="仿宋" w:cs="仿宋"/>
          <w:color w:val="auto"/>
          <w:szCs w:val="21"/>
          <w:highlight w:val="none"/>
        </w:rPr>
        <w:t>为采购项目提供整体设计、规范编制或者项目管理、监理、检测等服务的供应商，不得再参加该采购项目的其他采购活动。</w:t>
      </w:r>
    </w:p>
    <w:p w14:paraId="51000BF0">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5</w:t>
      </w:r>
      <w:r>
        <w:rPr>
          <w:rFonts w:hint="eastAsia" w:ascii="仿宋" w:hAnsi="仿宋" w:eastAsia="仿宋" w:cs="仿宋"/>
          <w:bCs/>
          <w:color w:val="auto"/>
          <w:szCs w:val="21"/>
          <w:highlight w:val="none"/>
        </w:rPr>
        <w:t>本项目只接受</w:t>
      </w:r>
      <w:r>
        <w:rPr>
          <w:rFonts w:hint="eastAsia" w:ascii="仿宋" w:hAnsi="仿宋" w:eastAsia="仿宋" w:cs="仿宋"/>
          <w:color w:val="auto"/>
          <w:szCs w:val="21"/>
          <w:highlight w:val="none"/>
        </w:rPr>
        <w:t>成为新疆维吾尔自治区政府采购网正式注册入库并完成CA数字证书申领供应商</w:t>
      </w:r>
      <w:r>
        <w:rPr>
          <w:rFonts w:hint="eastAsia" w:ascii="仿宋" w:hAnsi="仿宋" w:eastAsia="仿宋" w:cs="仿宋"/>
          <w:color w:val="auto"/>
          <w:szCs w:val="21"/>
          <w:highlight w:val="none"/>
          <w:lang w:eastAsia="zh-CN"/>
        </w:rPr>
        <w:t>参与投标</w:t>
      </w:r>
      <w:r>
        <w:rPr>
          <w:rFonts w:hint="eastAsia" w:ascii="仿宋" w:hAnsi="仿宋" w:eastAsia="仿宋" w:cs="仿宋"/>
          <w:color w:val="auto"/>
          <w:szCs w:val="21"/>
          <w:highlight w:val="none"/>
        </w:rPr>
        <w:t>。因未注册入库、未办理CA数字证书等原因造成无法投标或投标失败等后果由供应商自行承担。</w:t>
      </w:r>
    </w:p>
    <w:p w14:paraId="09E69F84">
      <w:pPr>
        <w:shd w:val="clear" w:color="auto" w:fill="auto"/>
        <w:wordWrap w:val="0"/>
        <w:spacing w:line="44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6</w:t>
      </w:r>
      <w:r>
        <w:rPr>
          <w:rFonts w:hint="eastAsia" w:ascii="仿宋" w:hAnsi="仿宋" w:eastAsia="仿宋" w:cs="仿宋"/>
          <w:bCs/>
          <w:color w:val="auto"/>
          <w:szCs w:val="21"/>
          <w:highlight w:val="none"/>
        </w:rPr>
        <w:t xml:space="preserve">  投标人被视为充分熟悉本招标项目所在地的与履行合同有关的各种情况，包括但不限于：</w:t>
      </w:r>
    </w:p>
    <w:p w14:paraId="3FFF5CAE">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（1）国家对本次投标货物和服务的生产、安装调试、验收、维修等有关法律、法规及行业管理标准；</w:t>
      </w:r>
    </w:p>
    <w:p w14:paraId="79C50B93">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eastAsia="zh-CN"/>
        </w:rPr>
        <w:t>本地区</w:t>
      </w:r>
      <w:r>
        <w:rPr>
          <w:rFonts w:hint="eastAsia" w:ascii="仿宋" w:hAnsi="仿宋" w:eastAsia="仿宋" w:cs="仿宋"/>
          <w:bCs/>
          <w:color w:val="auto"/>
          <w:szCs w:val="21"/>
          <w:highlight w:val="none"/>
        </w:rPr>
        <w:t>有关管理部门的相关规定；</w:t>
      </w:r>
    </w:p>
    <w:p w14:paraId="23C98C18">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（3）招标人的相关场地情况、基础建设、电力供应情况及相关设计标准。</w:t>
      </w:r>
    </w:p>
    <w:p w14:paraId="390202F7">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不再对上述情况进行描述。</w:t>
      </w:r>
    </w:p>
    <w:p w14:paraId="60C03183">
      <w:pPr>
        <w:shd w:val="clear" w:color="auto" w:fill="auto"/>
        <w:spacing w:before="312" w:beforeLines="100" w:after="312" w:afterLines="100" w:line="440" w:lineRule="exact"/>
        <w:jc w:val="center"/>
        <w:outlineLvl w:val="2"/>
        <w:rPr>
          <w:rFonts w:hint="eastAsia" w:ascii="仿宋" w:hAnsi="仿宋" w:eastAsia="仿宋" w:cs="仿宋"/>
          <w:b/>
          <w:color w:val="auto"/>
          <w:sz w:val="28"/>
          <w:szCs w:val="28"/>
          <w:highlight w:val="none"/>
          <w:lang w:eastAsia="zh-CN"/>
        </w:rPr>
      </w:pPr>
      <w:bookmarkStart w:id="17" w:name="_Toc469495725"/>
      <w:r>
        <w:rPr>
          <w:rFonts w:hint="eastAsia" w:ascii="仿宋" w:hAnsi="仿宋" w:eastAsia="仿宋" w:cs="仿宋"/>
          <w:b/>
          <w:color w:val="auto"/>
          <w:sz w:val="28"/>
          <w:szCs w:val="28"/>
          <w:highlight w:val="none"/>
        </w:rPr>
        <w:t>（二）</w:t>
      </w:r>
      <w:bookmarkEnd w:id="17"/>
      <w:r>
        <w:rPr>
          <w:rFonts w:hint="eastAsia" w:ascii="仿宋" w:hAnsi="仿宋" w:eastAsia="仿宋" w:cs="仿宋"/>
          <w:b/>
          <w:color w:val="auto"/>
          <w:sz w:val="28"/>
          <w:szCs w:val="28"/>
          <w:highlight w:val="none"/>
          <w:lang w:eastAsia="zh-CN"/>
        </w:rPr>
        <w:t>招标文件</w:t>
      </w:r>
    </w:p>
    <w:p w14:paraId="3F7BF515">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14</w:t>
      </w:r>
      <w:r>
        <w:rPr>
          <w:rFonts w:hint="eastAsia" w:ascii="仿宋" w:hAnsi="仿宋" w:eastAsia="仿宋" w:cs="仿宋"/>
          <w:b/>
          <w:color w:val="auto"/>
          <w:szCs w:val="21"/>
          <w:highlight w:val="none"/>
        </w:rPr>
        <w:t xml:space="preserve">. </w:t>
      </w:r>
      <w:r>
        <w:rPr>
          <w:rFonts w:hint="eastAsia" w:ascii="仿宋" w:hAnsi="仿宋" w:eastAsia="仿宋" w:cs="仿宋"/>
          <w:b/>
          <w:color w:val="auto"/>
          <w:szCs w:val="21"/>
          <w:highlight w:val="none"/>
          <w:lang w:eastAsia="zh-CN"/>
        </w:rPr>
        <w:t>采购文件</w:t>
      </w:r>
      <w:r>
        <w:rPr>
          <w:rFonts w:hint="eastAsia" w:ascii="仿宋" w:hAnsi="仿宋" w:eastAsia="仿宋" w:cs="仿宋"/>
          <w:b/>
          <w:color w:val="auto"/>
          <w:szCs w:val="21"/>
          <w:highlight w:val="none"/>
        </w:rPr>
        <w:t>的编制依据</w:t>
      </w:r>
    </w:p>
    <w:p w14:paraId="17C513A2">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根据《中华人民共和国政府采购法》、《政府采购货物和服务招标投标管理办法》和《中华人民共和国合同法》</w:t>
      </w:r>
      <w:r>
        <w:rPr>
          <w:rFonts w:hint="eastAsia" w:ascii="仿宋" w:hAnsi="仿宋" w:eastAsia="仿宋" w:cs="仿宋"/>
          <w:color w:val="auto"/>
          <w:spacing w:val="-2"/>
          <w:szCs w:val="21"/>
          <w:highlight w:val="none"/>
        </w:rPr>
        <w:t>等相关法律法规和规章及部、省、市级规范性文件的规定，编制本</w:t>
      </w:r>
      <w:r>
        <w:rPr>
          <w:rFonts w:hint="eastAsia" w:ascii="仿宋" w:hAnsi="仿宋" w:eastAsia="仿宋" w:cs="仿宋"/>
          <w:color w:val="auto"/>
          <w:spacing w:val="-2"/>
          <w:szCs w:val="21"/>
          <w:highlight w:val="none"/>
          <w:lang w:eastAsia="zh-CN"/>
        </w:rPr>
        <w:t>采购文件</w:t>
      </w:r>
      <w:r>
        <w:rPr>
          <w:rFonts w:hint="eastAsia" w:ascii="仿宋" w:hAnsi="仿宋" w:eastAsia="仿宋" w:cs="仿宋"/>
          <w:color w:val="auto"/>
          <w:spacing w:val="-2"/>
          <w:szCs w:val="21"/>
          <w:highlight w:val="none"/>
        </w:rPr>
        <w:t>。</w:t>
      </w:r>
    </w:p>
    <w:p w14:paraId="1405DACB">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15</w:t>
      </w:r>
      <w:r>
        <w:rPr>
          <w:rFonts w:hint="eastAsia" w:ascii="仿宋" w:hAnsi="仿宋" w:eastAsia="仿宋" w:cs="仿宋"/>
          <w:b/>
          <w:color w:val="auto"/>
          <w:szCs w:val="21"/>
          <w:highlight w:val="none"/>
        </w:rPr>
        <w:t xml:space="preserve">. </w:t>
      </w:r>
      <w:r>
        <w:rPr>
          <w:rFonts w:hint="eastAsia" w:ascii="仿宋" w:hAnsi="仿宋" w:eastAsia="仿宋" w:cs="仿宋"/>
          <w:b/>
          <w:color w:val="auto"/>
          <w:szCs w:val="21"/>
          <w:highlight w:val="none"/>
          <w:lang w:eastAsia="zh-CN"/>
        </w:rPr>
        <w:t>采购文件</w:t>
      </w:r>
      <w:r>
        <w:rPr>
          <w:rFonts w:hint="eastAsia" w:ascii="仿宋" w:hAnsi="仿宋" w:eastAsia="仿宋" w:cs="仿宋"/>
          <w:b/>
          <w:color w:val="auto"/>
          <w:szCs w:val="21"/>
          <w:highlight w:val="none"/>
        </w:rPr>
        <w:t>的组成</w:t>
      </w:r>
    </w:p>
    <w:p w14:paraId="60505139">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包括内容：</w:t>
      </w:r>
    </w:p>
    <w:p w14:paraId="4462A3EE">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第一章  </w:t>
      </w:r>
      <w:r>
        <w:rPr>
          <w:rFonts w:hint="eastAsia" w:ascii="仿宋" w:hAnsi="仿宋" w:eastAsia="仿宋" w:cs="仿宋"/>
          <w:color w:val="auto"/>
          <w:szCs w:val="21"/>
          <w:highlight w:val="none"/>
          <w:lang w:eastAsia="zh-CN"/>
        </w:rPr>
        <w:t>招</w:t>
      </w:r>
      <w:r>
        <w:rPr>
          <w:rFonts w:hint="eastAsia" w:ascii="仿宋" w:hAnsi="仿宋" w:eastAsia="仿宋" w:cs="仿宋"/>
          <w:color w:val="auto"/>
          <w:szCs w:val="21"/>
          <w:highlight w:val="none"/>
        </w:rPr>
        <w:t>标公告</w:t>
      </w:r>
    </w:p>
    <w:p w14:paraId="1DD4FF62">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第二章  投标须知</w:t>
      </w:r>
    </w:p>
    <w:p w14:paraId="20A7F08B">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第三章  评标办法</w:t>
      </w:r>
    </w:p>
    <w:p w14:paraId="299A3FE1">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第四章  采购内容及技术要求</w:t>
      </w:r>
    </w:p>
    <w:p w14:paraId="35BD1D86">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第五章  合同条款及格式</w:t>
      </w:r>
    </w:p>
    <w:p w14:paraId="51D9F572">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第六章  投标文件格式文本</w:t>
      </w:r>
    </w:p>
    <w:p w14:paraId="1A77F18B">
      <w:pPr>
        <w:shd w:val="clear" w:color="auto" w:fill="auto"/>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.2 除1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.1内容外，招标答疑亦为</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的组成部分，对招标人和投标人起约束作用。</w:t>
      </w:r>
    </w:p>
    <w:p w14:paraId="07973ADC">
      <w:pPr>
        <w:pStyle w:val="10"/>
        <w:shd w:val="clear" w:color="auto" w:fill="auto"/>
        <w:wordWrap w:val="0"/>
        <w:spacing w:line="400" w:lineRule="exact"/>
        <w:rPr>
          <w:rFonts w:hint="eastAsia" w:ascii="仿宋" w:hAnsi="仿宋" w:eastAsia="仿宋" w:cs="仿宋"/>
          <w:color w:val="auto"/>
          <w:szCs w:val="21"/>
          <w:highlight w:val="none"/>
          <w:lang w:val="en-US"/>
        </w:rPr>
      </w:pPr>
      <w:r>
        <w:rPr>
          <w:rFonts w:hint="eastAsia" w:ascii="仿宋" w:hAnsi="仿宋" w:eastAsia="仿宋" w:cs="仿宋"/>
          <w:color w:val="auto"/>
          <w:szCs w:val="21"/>
          <w:highlight w:val="none"/>
        </w:rPr>
        <w:t xml:space="preserve">   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.3</w:t>
      </w:r>
      <w:r>
        <w:rPr>
          <w:rFonts w:hint="eastAsia" w:ascii="仿宋" w:hAnsi="仿宋" w:eastAsia="仿宋" w:cs="仿宋"/>
          <w:color w:val="auto"/>
          <w:szCs w:val="21"/>
          <w:highlight w:val="none"/>
          <w:u w:val="none" w:color="auto"/>
        </w:rPr>
        <w:t>投标人应仔细阅读和检查</w:t>
      </w:r>
      <w:r>
        <w:rPr>
          <w:rFonts w:hint="eastAsia" w:ascii="仿宋" w:hAnsi="仿宋" w:eastAsia="仿宋" w:cs="仿宋"/>
          <w:color w:val="auto"/>
          <w:szCs w:val="21"/>
          <w:highlight w:val="none"/>
          <w:u w:val="none" w:color="auto"/>
          <w:lang w:eastAsia="zh-CN"/>
        </w:rPr>
        <w:t>采购文件</w:t>
      </w:r>
      <w:r>
        <w:rPr>
          <w:rFonts w:hint="eastAsia" w:ascii="仿宋" w:hAnsi="仿宋" w:eastAsia="仿宋" w:cs="仿宋"/>
          <w:color w:val="auto"/>
          <w:szCs w:val="21"/>
          <w:highlight w:val="none"/>
          <w:u w:val="none" w:color="auto"/>
        </w:rPr>
        <w:t>的全部内容。如发现缺页或附件不全，应及时向招标人提出，以便补齐。如有疑问，投标人应在</w:t>
      </w:r>
      <w:r>
        <w:rPr>
          <w:rFonts w:hint="eastAsia" w:ascii="仿宋" w:hAnsi="仿宋" w:eastAsia="仿宋" w:cs="仿宋"/>
          <w:color w:val="auto"/>
          <w:szCs w:val="21"/>
          <w:highlight w:val="none"/>
        </w:rPr>
        <w:t>以书面形式一次性向采购人和采购代理机构提出同一环节的质疑</w:t>
      </w:r>
      <w:r>
        <w:rPr>
          <w:rFonts w:hint="eastAsia" w:ascii="仿宋" w:hAnsi="仿宋" w:eastAsia="仿宋" w:cs="仿宋"/>
          <w:color w:val="auto"/>
          <w:szCs w:val="21"/>
          <w:highlight w:val="none"/>
          <w:u w:val="none" w:color="auto"/>
        </w:rPr>
        <w:t>。</w:t>
      </w:r>
    </w:p>
    <w:p w14:paraId="5C773B21">
      <w:pPr>
        <w:shd w:val="clear" w:color="auto" w:fill="auto"/>
        <w:wordWrap w:val="0"/>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的澄清将在</w:t>
      </w:r>
      <w:r>
        <w:rPr>
          <w:rFonts w:hint="eastAsia" w:ascii="仿宋" w:hAnsi="仿宋" w:eastAsia="仿宋" w:cs="仿宋"/>
          <w:color w:val="auto"/>
          <w:szCs w:val="21"/>
          <w:highlight w:val="none"/>
          <w:lang w:eastAsia="zh-CN"/>
        </w:rPr>
        <w:t>政采云平台“更正公告”栏目予以公告</w:t>
      </w:r>
      <w:r>
        <w:rPr>
          <w:rFonts w:hint="eastAsia" w:ascii="仿宋" w:hAnsi="仿宋" w:eastAsia="仿宋" w:cs="仿宋"/>
          <w:color w:val="auto"/>
          <w:szCs w:val="21"/>
          <w:highlight w:val="none"/>
        </w:rPr>
        <w:t>，但不指明澄清问题的来源。如果澄清内容影响投标文件编制的，将相应延长投标截止时间。</w:t>
      </w:r>
    </w:p>
    <w:p w14:paraId="6155EF2A">
      <w:pPr>
        <w:shd w:val="clear" w:color="auto" w:fill="auto"/>
        <w:spacing w:line="440" w:lineRule="exact"/>
        <w:ind w:firstLine="480"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1</w:t>
      </w:r>
      <w:r>
        <w:rPr>
          <w:rFonts w:hint="eastAsia" w:ascii="仿宋" w:hAnsi="仿宋" w:eastAsia="仿宋" w:cs="仿宋"/>
          <w:b/>
          <w:bCs/>
          <w:color w:val="auto"/>
          <w:szCs w:val="21"/>
          <w:highlight w:val="none"/>
          <w:lang w:val="en-US" w:eastAsia="zh-CN"/>
        </w:rPr>
        <w:t>6</w:t>
      </w:r>
      <w:r>
        <w:rPr>
          <w:rFonts w:hint="eastAsia" w:ascii="仿宋" w:hAnsi="仿宋" w:eastAsia="仿宋" w:cs="仿宋"/>
          <w:b/>
          <w:bCs/>
          <w:color w:val="auto"/>
          <w:szCs w:val="21"/>
          <w:highlight w:val="none"/>
        </w:rPr>
        <w:t xml:space="preserve">. </w:t>
      </w:r>
      <w:r>
        <w:rPr>
          <w:rFonts w:hint="eastAsia" w:ascii="仿宋" w:hAnsi="仿宋" w:eastAsia="仿宋" w:cs="仿宋"/>
          <w:b/>
          <w:bCs/>
          <w:color w:val="auto"/>
          <w:szCs w:val="21"/>
          <w:highlight w:val="none"/>
          <w:lang w:eastAsia="zh-CN"/>
        </w:rPr>
        <w:t>采购文件</w:t>
      </w:r>
      <w:r>
        <w:rPr>
          <w:rFonts w:hint="eastAsia" w:ascii="仿宋" w:hAnsi="仿宋" w:eastAsia="仿宋" w:cs="仿宋"/>
          <w:b/>
          <w:bCs/>
          <w:color w:val="auto"/>
          <w:szCs w:val="21"/>
          <w:highlight w:val="none"/>
        </w:rPr>
        <w:t>的修改、补充、解释</w:t>
      </w:r>
    </w:p>
    <w:p w14:paraId="51993B0B">
      <w:pPr>
        <w:shd w:val="clear" w:color="auto" w:fill="auto"/>
        <w:wordWrap w:val="0"/>
        <w:spacing w:line="400" w:lineRule="exact"/>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发出后，招标人在规定的投标截止时间前可对</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进行必要的修改和补充，并以</w:t>
      </w:r>
      <w:r>
        <w:rPr>
          <w:rFonts w:hint="eastAsia" w:ascii="仿宋" w:hAnsi="仿宋" w:eastAsia="仿宋" w:cs="仿宋"/>
          <w:color w:val="auto"/>
          <w:szCs w:val="21"/>
          <w:highlight w:val="none"/>
          <w:lang w:eastAsia="zh-CN"/>
        </w:rPr>
        <w:t>更正</w:t>
      </w:r>
      <w:r>
        <w:rPr>
          <w:rFonts w:hint="eastAsia" w:ascii="仿宋" w:hAnsi="仿宋" w:eastAsia="仿宋" w:cs="仿宋"/>
          <w:color w:val="auto"/>
          <w:szCs w:val="21"/>
          <w:highlight w:val="none"/>
        </w:rPr>
        <w:t>公告形式在</w:t>
      </w:r>
      <w:r>
        <w:rPr>
          <w:rFonts w:hint="eastAsia" w:ascii="仿宋" w:hAnsi="仿宋" w:eastAsia="仿宋" w:cs="仿宋"/>
          <w:color w:val="auto"/>
          <w:szCs w:val="21"/>
          <w:highlight w:val="none"/>
          <w:lang w:eastAsia="zh-CN"/>
        </w:rPr>
        <w:t>政采云平台</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eastAsia="zh-CN"/>
        </w:rPr>
        <w:t>更正公告</w:t>
      </w:r>
      <w:r>
        <w:rPr>
          <w:rFonts w:hint="eastAsia" w:ascii="仿宋" w:hAnsi="仿宋" w:eastAsia="仿宋" w:cs="仿宋"/>
          <w:color w:val="auto"/>
          <w:szCs w:val="21"/>
          <w:highlight w:val="none"/>
        </w:rPr>
        <w:t>”栏目予以公告，请各位投标人注意查看有关澄清内容，如不及时查看造成后果由投标人自负。</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的修改、补充等内容作为</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的组成部分，具有约束作用。</w:t>
      </w:r>
    </w:p>
    <w:p w14:paraId="327FC234">
      <w:pPr>
        <w:shd w:val="clear" w:color="auto" w:fill="auto"/>
        <w:wordWrap w:val="0"/>
        <w:spacing w:line="400" w:lineRule="exact"/>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16</w:t>
      </w:r>
      <w:r>
        <w:rPr>
          <w:rFonts w:hint="eastAsia" w:ascii="仿宋" w:hAnsi="仿宋" w:eastAsia="仿宋" w:cs="仿宋"/>
          <w:color w:val="auto"/>
          <w:szCs w:val="21"/>
          <w:highlight w:val="none"/>
        </w:rPr>
        <w:t xml:space="preserve">.2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33CDB25A">
      <w:pPr>
        <w:shd w:val="clear" w:color="auto" w:fill="auto"/>
        <w:wordWrap w:val="0"/>
        <w:spacing w:line="400" w:lineRule="exact"/>
        <w:ind w:firstLine="360" w:firstLineChars="150"/>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val="en-US" w:eastAsia="zh-CN"/>
        </w:rPr>
        <w:t>6</w:t>
      </w:r>
      <w:r>
        <w:rPr>
          <w:rFonts w:hint="eastAsia" w:ascii="仿宋" w:hAnsi="仿宋" w:eastAsia="仿宋" w:cs="仿宋"/>
          <w:bCs/>
          <w:color w:val="auto"/>
          <w:szCs w:val="21"/>
          <w:highlight w:val="none"/>
        </w:rPr>
        <w:t>.</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 xml:space="preserve"> </w:t>
      </w:r>
      <w:r>
        <w:rPr>
          <w:rFonts w:hint="eastAsia" w:ascii="仿宋" w:hAnsi="仿宋" w:eastAsia="仿宋" w:cs="仿宋"/>
          <w:color w:val="auto"/>
          <w:szCs w:val="21"/>
          <w:highlight w:val="none"/>
        </w:rPr>
        <w:t>供应商在规定的时间内未对采购文件提出疑问、质疑或要求澄清的，将视其为无异议。</w:t>
      </w:r>
    </w:p>
    <w:p w14:paraId="6D4AFF80">
      <w:pPr>
        <w:shd w:val="clear" w:color="auto" w:fill="auto"/>
        <w:spacing w:line="40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val="en-US" w:eastAsia="zh-CN"/>
        </w:rPr>
        <w:t>6</w:t>
      </w:r>
      <w:r>
        <w:rPr>
          <w:rFonts w:hint="eastAsia" w:ascii="仿宋" w:hAnsi="仿宋" w:eastAsia="仿宋" w:cs="仿宋"/>
          <w:bCs/>
          <w:color w:val="auto"/>
          <w:szCs w:val="21"/>
          <w:highlight w:val="none"/>
        </w:rPr>
        <w:t>.</w:t>
      </w:r>
      <w:r>
        <w:rPr>
          <w:rFonts w:hint="eastAsia" w:ascii="仿宋" w:hAnsi="仿宋" w:eastAsia="仿宋" w:cs="仿宋"/>
          <w:bCs/>
          <w:color w:val="auto"/>
          <w:szCs w:val="21"/>
          <w:highlight w:val="none"/>
          <w:lang w:val="en-US" w:eastAsia="zh-CN"/>
        </w:rPr>
        <w:t>4</w:t>
      </w:r>
      <w:r>
        <w:rPr>
          <w:rFonts w:hint="eastAsia" w:ascii="仿宋" w:hAnsi="仿宋" w:eastAsia="仿宋" w:cs="仿宋"/>
          <w:bCs/>
          <w:color w:val="auto"/>
          <w:szCs w:val="21"/>
          <w:highlight w:val="none"/>
        </w:rPr>
        <w:t xml:space="preserve"> </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的解释</w:t>
      </w:r>
    </w:p>
    <w:p w14:paraId="20F7E259">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由招标人（或其委托的招标代理机构）负责解释。</w:t>
      </w:r>
    </w:p>
    <w:p w14:paraId="4928BCE4">
      <w:pPr>
        <w:shd w:val="clear" w:color="auto" w:fill="auto"/>
        <w:spacing w:line="400" w:lineRule="exac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   </w:t>
      </w:r>
      <w:r>
        <w:rPr>
          <w:rFonts w:hint="eastAsia" w:ascii="仿宋" w:hAnsi="仿宋" w:eastAsia="仿宋" w:cs="仿宋"/>
          <w:b/>
          <w:color w:val="auto"/>
          <w:szCs w:val="21"/>
          <w:highlight w:val="none"/>
          <w:lang w:val="en-US" w:eastAsia="zh-CN"/>
        </w:rPr>
        <w:t>17</w:t>
      </w:r>
      <w:r>
        <w:rPr>
          <w:rFonts w:hint="eastAsia" w:ascii="仿宋" w:hAnsi="仿宋" w:eastAsia="仿宋" w:cs="仿宋"/>
          <w:b/>
          <w:color w:val="auto"/>
          <w:szCs w:val="21"/>
          <w:highlight w:val="none"/>
        </w:rPr>
        <w:t xml:space="preserve">. </w:t>
      </w:r>
      <w:r>
        <w:rPr>
          <w:rFonts w:hint="eastAsia" w:ascii="仿宋" w:hAnsi="仿宋" w:eastAsia="仿宋" w:cs="仿宋"/>
          <w:b/>
          <w:color w:val="auto"/>
          <w:szCs w:val="21"/>
          <w:highlight w:val="none"/>
          <w:lang w:eastAsia="zh-CN"/>
        </w:rPr>
        <w:t>采购文件</w:t>
      </w:r>
      <w:r>
        <w:rPr>
          <w:rFonts w:hint="eastAsia" w:ascii="仿宋" w:hAnsi="仿宋" w:eastAsia="仿宋" w:cs="仿宋"/>
          <w:b/>
          <w:color w:val="auto"/>
          <w:szCs w:val="21"/>
          <w:highlight w:val="none"/>
        </w:rPr>
        <w:t>的发出</w:t>
      </w:r>
    </w:p>
    <w:p w14:paraId="23284CDA">
      <w:pPr>
        <w:shd w:val="clear" w:color="auto" w:fill="auto"/>
        <w:spacing w:line="400" w:lineRule="exact"/>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的澄清、修改、补充及招标答疑等均应报</w:t>
      </w:r>
      <w:r>
        <w:rPr>
          <w:rFonts w:hint="eastAsia" w:ascii="仿宋" w:hAnsi="仿宋" w:eastAsia="仿宋" w:cs="仿宋"/>
          <w:color w:val="auto"/>
          <w:szCs w:val="21"/>
          <w:highlight w:val="none"/>
          <w:lang w:eastAsia="zh-CN"/>
        </w:rPr>
        <w:t>相关部门</w:t>
      </w:r>
      <w:r>
        <w:rPr>
          <w:rFonts w:hint="eastAsia" w:ascii="仿宋" w:hAnsi="仿宋" w:eastAsia="仿宋" w:cs="仿宋"/>
          <w:color w:val="auto"/>
          <w:szCs w:val="21"/>
          <w:highlight w:val="none"/>
        </w:rPr>
        <w:t>备案后，方可发出。</w:t>
      </w:r>
    </w:p>
    <w:p w14:paraId="244B6D4E">
      <w:pPr>
        <w:shd w:val="clear" w:color="auto" w:fill="auto"/>
        <w:spacing w:line="440" w:lineRule="exact"/>
        <w:ind w:firstLine="319" w:firstLineChars="133"/>
        <w:rPr>
          <w:rFonts w:hint="eastAsia" w:ascii="仿宋" w:hAnsi="仿宋" w:eastAsia="仿宋" w:cs="仿宋"/>
          <w:color w:val="auto"/>
          <w:szCs w:val="21"/>
          <w:highlight w:val="none"/>
        </w:rPr>
      </w:pPr>
      <w:bookmarkStart w:id="18" w:name="_Toc469495726"/>
      <w:r>
        <w:rPr>
          <w:rFonts w:hint="eastAsia" w:ascii="仿宋" w:hAnsi="仿宋" w:eastAsia="仿宋" w:cs="仿宋"/>
          <w:b/>
          <w:color w:val="auto"/>
          <w:szCs w:val="21"/>
          <w:highlight w:val="none"/>
        </w:rPr>
        <w:t>1</w:t>
      </w:r>
      <w:r>
        <w:rPr>
          <w:rFonts w:hint="eastAsia" w:ascii="仿宋" w:hAnsi="仿宋" w:eastAsia="仿宋" w:cs="仿宋"/>
          <w:b/>
          <w:color w:val="auto"/>
          <w:szCs w:val="21"/>
          <w:highlight w:val="none"/>
          <w:lang w:val="en-US" w:eastAsia="zh-CN"/>
        </w:rPr>
        <w:t>8</w:t>
      </w:r>
      <w:r>
        <w:rPr>
          <w:rFonts w:hint="eastAsia" w:ascii="仿宋" w:hAnsi="仿宋" w:eastAsia="仿宋" w:cs="仿宋"/>
          <w:b/>
          <w:color w:val="auto"/>
          <w:szCs w:val="21"/>
          <w:highlight w:val="none"/>
        </w:rPr>
        <w:t xml:space="preserve">. </w:t>
      </w:r>
      <w:r>
        <w:rPr>
          <w:rFonts w:hint="eastAsia" w:ascii="仿宋" w:hAnsi="仿宋" w:eastAsia="仿宋" w:cs="仿宋"/>
          <w:color w:val="auto"/>
          <w:szCs w:val="21"/>
          <w:highlight w:val="none"/>
        </w:rPr>
        <w:t>凡需要设置样品情形时，必须明确是否需要随样品提交检测报告，并明确检测机构的要求、检测内容、</w:t>
      </w:r>
      <w:r>
        <w:rPr>
          <w:rFonts w:hint="eastAsia" w:ascii="仿宋" w:hAnsi="仿宋" w:eastAsia="仿宋" w:cs="仿宋"/>
          <w:b w:val="0"/>
          <w:bCs w:val="0"/>
          <w:color w:val="auto"/>
          <w:szCs w:val="21"/>
          <w:highlight w:val="none"/>
        </w:rPr>
        <w:t>中标样品封存</w:t>
      </w:r>
      <w:r>
        <w:rPr>
          <w:rFonts w:hint="eastAsia" w:ascii="仿宋" w:hAnsi="仿宋" w:eastAsia="仿宋" w:cs="仿宋"/>
          <w:color w:val="auto"/>
          <w:szCs w:val="21"/>
          <w:highlight w:val="none"/>
        </w:rPr>
        <w:t>等事项。（评标委员会无法判断样品是否合格且样品需要提供给第三方权威检测机构检测的,在投标人提供招标人认可的第三方权威检测机构检测报告后，评标委员会推荐的中标候选人方可生效，采购人或代理机构发布中标（成交）结果公告。</w:t>
      </w:r>
    </w:p>
    <w:p w14:paraId="64E72E0E">
      <w:pPr>
        <w:shd w:val="clear" w:color="auto" w:fill="auto"/>
        <w:spacing w:line="400" w:lineRule="exact"/>
        <w:ind w:firstLine="420"/>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中应明确样品送检方式、检测费用支付方法、投标人在规定时间内无法提供第三方权威检测机构检测报告的处理方式。（</w:t>
      </w:r>
      <w:r>
        <w:rPr>
          <w:rFonts w:hint="eastAsia" w:ascii="仿宋" w:hAnsi="仿宋" w:eastAsia="仿宋" w:cs="仿宋"/>
          <w:color w:val="auto"/>
          <w:szCs w:val="21"/>
          <w:highlight w:val="none"/>
          <w:lang w:eastAsia="zh-CN"/>
        </w:rPr>
        <w:t>采购人</w:t>
      </w:r>
      <w:r>
        <w:rPr>
          <w:rFonts w:hint="eastAsia" w:ascii="仿宋" w:hAnsi="仿宋" w:eastAsia="仿宋" w:cs="仿宋"/>
          <w:color w:val="auto"/>
          <w:szCs w:val="21"/>
          <w:highlight w:val="none"/>
        </w:rPr>
        <w:t>根据项目需求按上述要求自行描述）</w:t>
      </w:r>
    </w:p>
    <w:p w14:paraId="326052FE">
      <w:pPr>
        <w:shd w:val="clear" w:color="auto" w:fill="auto"/>
        <w:spacing w:before="312" w:beforeLines="100" w:after="312" w:afterLines="100" w:line="440" w:lineRule="exact"/>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（三）投标文件的编制</w:t>
      </w:r>
      <w:bookmarkEnd w:id="18"/>
    </w:p>
    <w:p w14:paraId="6275D2AE">
      <w:pPr>
        <w:shd w:val="clear" w:color="auto" w:fill="auto"/>
        <w:spacing w:line="440" w:lineRule="exact"/>
        <w:ind w:firstLine="348" w:firstLineChars="145"/>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19</w:t>
      </w:r>
      <w:r>
        <w:rPr>
          <w:rFonts w:hint="eastAsia" w:ascii="仿宋" w:hAnsi="仿宋" w:eastAsia="仿宋" w:cs="仿宋"/>
          <w:b/>
          <w:color w:val="auto"/>
          <w:szCs w:val="21"/>
          <w:highlight w:val="none"/>
        </w:rPr>
        <w:t>. 投标的语言及度量衡单位</w:t>
      </w:r>
    </w:p>
    <w:p w14:paraId="7674A382">
      <w:pPr>
        <w:shd w:val="clear" w:color="auto" w:fill="auto"/>
        <w:spacing w:line="440" w:lineRule="exact"/>
        <w:ind w:firstLine="324" w:firstLineChars="135"/>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19</w:t>
      </w:r>
      <w:r>
        <w:rPr>
          <w:rFonts w:hint="eastAsia" w:ascii="仿宋" w:hAnsi="仿宋" w:eastAsia="仿宋" w:cs="仿宋"/>
          <w:color w:val="auto"/>
          <w:szCs w:val="21"/>
          <w:highlight w:val="none"/>
        </w:rPr>
        <w:t>.1投标人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14:paraId="744DD025">
      <w:pPr>
        <w:shd w:val="clear" w:color="auto" w:fill="auto"/>
        <w:spacing w:line="440" w:lineRule="exact"/>
        <w:ind w:firstLine="324" w:firstLineChars="135"/>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19</w:t>
      </w:r>
      <w:r>
        <w:rPr>
          <w:rFonts w:hint="eastAsia" w:ascii="仿宋" w:hAnsi="仿宋" w:eastAsia="仿宋" w:cs="仿宋"/>
          <w:color w:val="auto"/>
          <w:szCs w:val="21"/>
          <w:highlight w:val="none"/>
        </w:rPr>
        <w:t>.2除</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中另有规定外，投标书所使用的度量衡均须采用法定计量单位。</w:t>
      </w:r>
    </w:p>
    <w:p w14:paraId="63B8A800">
      <w:pPr>
        <w:shd w:val="clear" w:color="auto" w:fill="auto"/>
        <w:spacing w:line="400" w:lineRule="exact"/>
        <w:ind w:firstLine="235"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w:t>
      </w:r>
      <w:r>
        <w:rPr>
          <w:rFonts w:hint="eastAsia" w:ascii="仿宋" w:hAnsi="仿宋" w:eastAsia="仿宋" w:cs="仿宋"/>
          <w:b/>
          <w:color w:val="auto"/>
          <w:szCs w:val="21"/>
          <w:highlight w:val="none"/>
          <w:lang w:val="en-US" w:eastAsia="zh-CN"/>
        </w:rPr>
        <w:t>0</w:t>
      </w:r>
      <w:r>
        <w:rPr>
          <w:rFonts w:hint="eastAsia" w:ascii="仿宋" w:hAnsi="仿宋" w:eastAsia="仿宋" w:cs="仿宋"/>
          <w:b/>
          <w:color w:val="auto"/>
          <w:szCs w:val="21"/>
          <w:highlight w:val="none"/>
        </w:rPr>
        <w:t>. 投标文件的组成</w:t>
      </w:r>
    </w:p>
    <w:p w14:paraId="5F65DCB0">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资格证明文件和商务及技术文件两部分。</w:t>
      </w:r>
    </w:p>
    <w:p w14:paraId="0CF7CE29">
      <w:pPr>
        <w:shd w:val="clear" w:color="auto" w:fill="auto"/>
        <w:spacing w:line="440" w:lineRule="exact"/>
        <w:ind w:firstLine="352" w:firstLineChars="147"/>
        <w:rPr>
          <w:rFonts w:hint="eastAsia" w:ascii="仿宋" w:hAnsi="仿宋" w:eastAsia="仿宋" w:cs="仿宋"/>
          <w:b/>
          <w:color w:val="auto"/>
          <w:szCs w:val="21"/>
          <w:highlight w:val="none"/>
          <w:lang w:eastAsia="zh-CN"/>
        </w:rPr>
      </w:pPr>
      <w:r>
        <w:rPr>
          <w:rFonts w:hint="eastAsia" w:ascii="仿宋" w:hAnsi="仿宋" w:eastAsia="仿宋" w:cs="仿宋"/>
          <w:b/>
          <w:color w:val="auto"/>
          <w:szCs w:val="21"/>
          <w:highlight w:val="none"/>
        </w:rPr>
        <w:t>2</w:t>
      </w:r>
      <w:r>
        <w:rPr>
          <w:rFonts w:hint="eastAsia" w:ascii="仿宋" w:hAnsi="仿宋" w:eastAsia="仿宋" w:cs="仿宋"/>
          <w:b/>
          <w:color w:val="auto"/>
          <w:szCs w:val="21"/>
          <w:highlight w:val="none"/>
          <w:lang w:val="en-US" w:eastAsia="zh-CN"/>
        </w:rPr>
        <w:t>0</w:t>
      </w:r>
      <w:r>
        <w:rPr>
          <w:rFonts w:hint="eastAsia" w:ascii="仿宋" w:hAnsi="仿宋" w:eastAsia="仿宋" w:cs="仿宋"/>
          <w:b/>
          <w:color w:val="auto"/>
          <w:szCs w:val="21"/>
          <w:highlight w:val="none"/>
        </w:rPr>
        <w:t>.1资格证明文件</w:t>
      </w:r>
      <w:r>
        <w:rPr>
          <w:rFonts w:hint="eastAsia" w:ascii="仿宋" w:hAnsi="仿宋" w:eastAsia="仿宋" w:cs="仿宋"/>
          <w:b/>
          <w:color w:val="auto"/>
          <w:szCs w:val="21"/>
          <w:highlight w:val="none"/>
          <w:lang w:eastAsia="zh-CN"/>
        </w:rPr>
        <w:t>（包括但不限于）</w:t>
      </w:r>
    </w:p>
    <w:p w14:paraId="3C3D7B5B">
      <w:pPr>
        <w:shd w:val="clear" w:color="auto" w:fill="auto"/>
        <w:spacing w:line="440" w:lineRule="exact"/>
        <w:ind w:firstLine="352" w:firstLineChars="147"/>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资格证明</w:t>
      </w:r>
      <w:r>
        <w:rPr>
          <w:rFonts w:hint="eastAsia" w:ascii="仿宋" w:hAnsi="仿宋" w:eastAsia="仿宋" w:cs="仿宋"/>
          <w:color w:val="auto"/>
          <w:szCs w:val="21"/>
          <w:highlight w:val="none"/>
          <w:lang w:eastAsia="zh-CN"/>
        </w:rPr>
        <w:t>文件</w:t>
      </w:r>
      <w:r>
        <w:rPr>
          <w:rFonts w:hint="eastAsia" w:ascii="仿宋" w:hAnsi="仿宋" w:eastAsia="仿宋" w:cs="仿宋"/>
          <w:color w:val="auto"/>
          <w:szCs w:val="21"/>
          <w:highlight w:val="none"/>
        </w:rPr>
        <w:t>是证明投标人有资格参加投标和中标后有能力履行合同的文件，这些文件应能满足招标的要求，否则作无效投标处理。</w:t>
      </w:r>
    </w:p>
    <w:p w14:paraId="1117985C">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1、法人或者非法人组织的营业执照等证明文件复印件（须加盖本单位章）或自然人的身份证明复印件;</w:t>
      </w:r>
    </w:p>
    <w:p w14:paraId="04D93206">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2、法定代表人资格证明书；</w:t>
      </w:r>
    </w:p>
    <w:p w14:paraId="5EFD53B9">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3、法定代表人授权书；</w:t>
      </w:r>
    </w:p>
    <w:p w14:paraId="1274A9CD">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4、投标保证金缴纳凭证或投标担保函；</w:t>
      </w:r>
    </w:p>
    <w:p w14:paraId="5C56F746">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5、标企业须提供投标人（被授权在职人员）近6个月内任意一个月有效的社保证明;</w:t>
      </w:r>
    </w:p>
    <w:p w14:paraId="01D204CD">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6、参加政府采购活动前3年内在经营活动中没有重大违法记录的书面声明;</w:t>
      </w:r>
    </w:p>
    <w:p w14:paraId="2C25212F">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参加政府采购活动前三年内，在经营活动中没有重大违法记录；未被“信用中国”（www.creditchina.gov.cn）、中国政府采购网（www.ccgp.gov.cn）列入失信被执行人、税收违法黑名单、政府采购严重违法失信行为记录名单；</w:t>
      </w:r>
    </w:p>
    <w:p w14:paraId="3290034F">
      <w:pPr>
        <w:shd w:val="clear" w:color="auto" w:fill="auto"/>
        <w:spacing w:line="440" w:lineRule="exact"/>
        <w:ind w:firstLine="352"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8、投标人须知资料表要求的其他资格证明文件。</w:t>
      </w:r>
    </w:p>
    <w:p w14:paraId="3C7DE797">
      <w:pPr>
        <w:shd w:val="clear" w:color="auto" w:fill="auto"/>
        <w:spacing w:line="440" w:lineRule="exact"/>
        <w:ind w:firstLine="352" w:firstLineChars="147"/>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2</w:t>
      </w:r>
      <w:r>
        <w:rPr>
          <w:rFonts w:hint="eastAsia" w:ascii="仿宋" w:hAnsi="仿宋" w:eastAsia="仿宋" w:cs="仿宋"/>
          <w:b/>
          <w:color w:val="auto"/>
          <w:szCs w:val="21"/>
          <w:highlight w:val="none"/>
          <w:lang w:val="en-US" w:eastAsia="zh-CN"/>
        </w:rPr>
        <w:t>0</w:t>
      </w:r>
      <w:r>
        <w:rPr>
          <w:rFonts w:hint="eastAsia" w:ascii="仿宋" w:hAnsi="仿宋" w:eastAsia="仿宋" w:cs="仿宋"/>
          <w:b/>
          <w:color w:val="auto"/>
          <w:szCs w:val="21"/>
          <w:highlight w:val="none"/>
        </w:rPr>
        <w:t>.2</w:t>
      </w:r>
      <w:r>
        <w:rPr>
          <w:rFonts w:hint="eastAsia" w:ascii="仿宋" w:hAnsi="仿宋" w:eastAsia="仿宋" w:cs="仿宋"/>
          <w:b/>
          <w:color w:val="auto"/>
          <w:szCs w:val="21"/>
          <w:highlight w:val="none"/>
          <w:lang w:val="en-US" w:eastAsia="zh-CN"/>
        </w:rPr>
        <w:t xml:space="preserve"> 商务及技术文件</w:t>
      </w:r>
      <w:r>
        <w:rPr>
          <w:rFonts w:hint="eastAsia" w:ascii="仿宋" w:hAnsi="仿宋" w:eastAsia="仿宋" w:cs="仿宋"/>
          <w:b/>
          <w:color w:val="auto"/>
          <w:szCs w:val="21"/>
          <w:highlight w:val="none"/>
          <w:lang w:eastAsia="zh-CN"/>
        </w:rPr>
        <w:t>（包括但不限于）</w:t>
      </w:r>
    </w:p>
    <w:p w14:paraId="6C1D989A">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rPr>
        <w:t>1、投标</w:t>
      </w:r>
      <w:r>
        <w:rPr>
          <w:rFonts w:hint="eastAsia" w:ascii="仿宋" w:hAnsi="仿宋" w:eastAsia="仿宋" w:cs="仿宋"/>
          <w:b w:val="0"/>
          <w:bCs/>
          <w:color w:val="auto"/>
          <w:kern w:val="0"/>
          <w:szCs w:val="21"/>
          <w:highlight w:val="none"/>
          <w:u w:val="none"/>
          <w:lang w:eastAsia="zh-CN"/>
        </w:rPr>
        <w:t>函</w:t>
      </w:r>
    </w:p>
    <w:p w14:paraId="4C89664E">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2、开标一览表</w:t>
      </w:r>
    </w:p>
    <w:p w14:paraId="7C190F52">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3、货物说明一览表</w:t>
      </w:r>
    </w:p>
    <w:p w14:paraId="787F9110">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lang w:val="en-US" w:eastAsia="zh-CN"/>
        </w:rPr>
        <w:t>4</w:t>
      </w:r>
      <w:r>
        <w:rPr>
          <w:rFonts w:hint="eastAsia" w:ascii="仿宋" w:hAnsi="仿宋" w:eastAsia="仿宋" w:cs="仿宋"/>
          <w:b w:val="0"/>
          <w:bCs/>
          <w:color w:val="auto"/>
          <w:kern w:val="0"/>
          <w:szCs w:val="21"/>
          <w:highlight w:val="none"/>
          <w:u w:val="none"/>
        </w:rPr>
        <w:t>、投标分项报价表</w:t>
      </w:r>
    </w:p>
    <w:p w14:paraId="53902EDB">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lang w:val="en-US" w:eastAsia="zh-CN"/>
        </w:rPr>
        <w:t>5</w:t>
      </w:r>
      <w:r>
        <w:rPr>
          <w:rFonts w:hint="eastAsia" w:ascii="仿宋" w:hAnsi="仿宋" w:eastAsia="仿宋" w:cs="仿宋"/>
          <w:b w:val="0"/>
          <w:bCs/>
          <w:color w:val="auto"/>
          <w:kern w:val="0"/>
          <w:szCs w:val="21"/>
          <w:highlight w:val="none"/>
          <w:u w:val="none"/>
        </w:rPr>
        <w:t>、技术规格偏离表</w:t>
      </w:r>
    </w:p>
    <w:p w14:paraId="1A429222">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lang w:val="en-US" w:eastAsia="zh-CN"/>
        </w:rPr>
        <w:t>6</w:t>
      </w:r>
      <w:r>
        <w:rPr>
          <w:rFonts w:hint="eastAsia" w:ascii="仿宋" w:hAnsi="仿宋" w:eastAsia="仿宋" w:cs="仿宋"/>
          <w:b w:val="0"/>
          <w:bCs/>
          <w:color w:val="auto"/>
          <w:kern w:val="0"/>
          <w:szCs w:val="21"/>
          <w:highlight w:val="none"/>
          <w:u w:val="none"/>
        </w:rPr>
        <w:t>、商务条款偏离表</w:t>
      </w:r>
    </w:p>
    <w:p w14:paraId="03AED09A">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eastAsia="zh-CN"/>
        </w:rPr>
      </w:pPr>
      <w:r>
        <w:rPr>
          <w:rFonts w:hint="eastAsia" w:ascii="仿宋" w:hAnsi="仿宋" w:eastAsia="仿宋" w:cs="仿宋"/>
          <w:b w:val="0"/>
          <w:bCs/>
          <w:color w:val="auto"/>
          <w:kern w:val="0"/>
          <w:szCs w:val="21"/>
          <w:highlight w:val="none"/>
          <w:u w:val="none"/>
          <w:lang w:val="en-US" w:eastAsia="zh-CN"/>
        </w:rPr>
        <w:t>7、投标人基本情况表</w:t>
      </w:r>
    </w:p>
    <w:p w14:paraId="201CBC15">
      <w:pPr>
        <w:shd w:val="clear" w:color="auto" w:fill="auto"/>
        <w:spacing w:line="400" w:lineRule="exact"/>
        <w:ind w:firstLine="477" w:firstLineChars="199"/>
        <w:rPr>
          <w:rFonts w:hint="default"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8、中标服务费支付承诺书</w:t>
      </w:r>
    </w:p>
    <w:p w14:paraId="0988D484">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val="en-US" w:eastAsia="zh-CN"/>
        </w:rPr>
      </w:pPr>
      <w:r>
        <w:rPr>
          <w:rFonts w:hint="eastAsia" w:ascii="仿宋" w:hAnsi="仿宋" w:eastAsia="仿宋" w:cs="仿宋"/>
          <w:b w:val="0"/>
          <w:bCs/>
          <w:color w:val="auto"/>
          <w:kern w:val="0"/>
          <w:szCs w:val="21"/>
          <w:highlight w:val="none"/>
          <w:u w:val="none"/>
          <w:lang w:val="en-US" w:eastAsia="zh-CN"/>
        </w:rPr>
        <w:t>9、近三年（2022年1月1日至今）类似项目业绩表</w:t>
      </w:r>
    </w:p>
    <w:p w14:paraId="78F7749C">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lang w:val="en-US" w:eastAsia="zh-CN"/>
        </w:rPr>
        <w:t>10</w:t>
      </w:r>
      <w:r>
        <w:rPr>
          <w:rFonts w:hint="eastAsia" w:ascii="仿宋" w:hAnsi="仿宋" w:eastAsia="仿宋" w:cs="仿宋"/>
          <w:b w:val="0"/>
          <w:bCs/>
          <w:color w:val="auto"/>
          <w:kern w:val="0"/>
          <w:szCs w:val="21"/>
          <w:highlight w:val="none"/>
          <w:u w:val="none"/>
        </w:rPr>
        <w:t>、中小企业声明函(</w:t>
      </w:r>
      <w:r>
        <w:rPr>
          <w:rFonts w:hint="eastAsia" w:ascii="仿宋" w:hAnsi="仿宋" w:eastAsia="仿宋" w:cs="仿宋"/>
          <w:b w:val="0"/>
          <w:bCs/>
          <w:color w:val="auto"/>
          <w:kern w:val="0"/>
          <w:szCs w:val="21"/>
          <w:highlight w:val="none"/>
          <w:u w:val="none"/>
          <w:lang w:eastAsia="zh-CN"/>
        </w:rPr>
        <w:t>货物</w:t>
      </w:r>
      <w:r>
        <w:rPr>
          <w:rFonts w:hint="eastAsia" w:ascii="仿宋" w:hAnsi="仿宋" w:eastAsia="仿宋" w:cs="仿宋"/>
          <w:b w:val="0"/>
          <w:bCs/>
          <w:color w:val="auto"/>
          <w:kern w:val="0"/>
          <w:szCs w:val="21"/>
          <w:highlight w:val="none"/>
          <w:u w:val="none"/>
        </w:rPr>
        <w:t>)</w:t>
      </w:r>
    </w:p>
    <w:p w14:paraId="70E9C7CD">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rPr>
      </w:pPr>
      <w:r>
        <w:rPr>
          <w:rFonts w:hint="eastAsia" w:ascii="仿宋" w:hAnsi="仿宋" w:eastAsia="仿宋" w:cs="仿宋"/>
          <w:b w:val="0"/>
          <w:bCs/>
          <w:color w:val="auto"/>
          <w:kern w:val="0"/>
          <w:szCs w:val="21"/>
          <w:highlight w:val="none"/>
          <w:u w:val="none"/>
          <w:lang w:val="en-US" w:eastAsia="zh-CN"/>
        </w:rPr>
        <w:t>11、</w:t>
      </w:r>
      <w:r>
        <w:rPr>
          <w:rFonts w:hint="eastAsia" w:ascii="仿宋" w:hAnsi="仿宋" w:eastAsia="仿宋" w:cs="仿宋"/>
          <w:b w:val="0"/>
          <w:bCs/>
          <w:color w:val="auto"/>
          <w:kern w:val="0"/>
          <w:szCs w:val="21"/>
          <w:highlight w:val="none"/>
          <w:u w:val="none"/>
        </w:rPr>
        <w:t>《残疾人福利性单位声明函》</w:t>
      </w:r>
    </w:p>
    <w:p w14:paraId="5CB593E8">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eastAsia="zh-CN"/>
        </w:rPr>
      </w:pPr>
      <w:r>
        <w:rPr>
          <w:rFonts w:hint="eastAsia" w:ascii="仿宋" w:hAnsi="仿宋" w:eastAsia="仿宋" w:cs="仿宋"/>
          <w:b w:val="0"/>
          <w:bCs/>
          <w:color w:val="auto"/>
          <w:kern w:val="0"/>
          <w:szCs w:val="21"/>
          <w:highlight w:val="none"/>
          <w:u w:val="none"/>
          <w:lang w:val="en-US" w:eastAsia="zh-CN"/>
        </w:rPr>
        <w:t>12、</w:t>
      </w:r>
      <w:r>
        <w:rPr>
          <w:rFonts w:hint="eastAsia" w:ascii="仿宋" w:hAnsi="仿宋" w:eastAsia="仿宋" w:cs="仿宋"/>
          <w:b w:val="0"/>
          <w:bCs/>
          <w:color w:val="auto"/>
          <w:kern w:val="0"/>
          <w:szCs w:val="21"/>
          <w:highlight w:val="none"/>
          <w:u w:val="none"/>
          <w:lang w:eastAsia="zh-CN"/>
        </w:rPr>
        <w:t>评分标准和细则中技术部分证明材料</w:t>
      </w:r>
    </w:p>
    <w:p w14:paraId="62AF40C7">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eastAsia="zh-CN"/>
        </w:rPr>
      </w:pPr>
      <w:r>
        <w:rPr>
          <w:rFonts w:hint="eastAsia" w:ascii="仿宋" w:hAnsi="仿宋" w:eastAsia="仿宋" w:cs="仿宋"/>
          <w:b w:val="0"/>
          <w:bCs/>
          <w:color w:val="auto"/>
          <w:kern w:val="0"/>
          <w:szCs w:val="21"/>
          <w:highlight w:val="none"/>
          <w:u w:val="none"/>
          <w:lang w:val="en-US" w:eastAsia="zh-CN"/>
        </w:rPr>
        <w:t>13、</w:t>
      </w:r>
      <w:r>
        <w:rPr>
          <w:rFonts w:hint="eastAsia" w:ascii="仿宋" w:hAnsi="仿宋" w:eastAsia="仿宋" w:cs="仿宋"/>
          <w:b w:val="0"/>
          <w:bCs/>
          <w:color w:val="auto"/>
          <w:kern w:val="0"/>
          <w:szCs w:val="21"/>
          <w:highlight w:val="none"/>
          <w:u w:val="none"/>
          <w:lang w:eastAsia="zh-CN"/>
        </w:rPr>
        <w:t>评分标准和细则中商务部分证明材料（格式自拟）</w:t>
      </w:r>
    </w:p>
    <w:p w14:paraId="1E527C95">
      <w:pPr>
        <w:shd w:val="clear" w:color="auto" w:fill="auto"/>
        <w:spacing w:line="400" w:lineRule="exact"/>
        <w:ind w:firstLine="477" w:firstLineChars="199"/>
        <w:rPr>
          <w:rFonts w:hint="eastAsia" w:ascii="仿宋" w:hAnsi="仿宋" w:eastAsia="仿宋" w:cs="仿宋"/>
          <w:b w:val="0"/>
          <w:bCs/>
          <w:color w:val="auto"/>
          <w:kern w:val="0"/>
          <w:szCs w:val="21"/>
          <w:highlight w:val="none"/>
          <w:u w:val="none"/>
          <w:lang w:eastAsia="zh-CN"/>
        </w:rPr>
      </w:pPr>
      <w:r>
        <w:rPr>
          <w:rFonts w:hint="eastAsia" w:ascii="仿宋" w:hAnsi="仿宋" w:eastAsia="仿宋" w:cs="仿宋"/>
          <w:b w:val="0"/>
          <w:bCs/>
          <w:color w:val="auto"/>
          <w:kern w:val="0"/>
          <w:szCs w:val="21"/>
          <w:highlight w:val="none"/>
          <w:u w:val="none"/>
          <w:lang w:val="en-US" w:eastAsia="zh-CN"/>
        </w:rPr>
        <w:t>14、</w:t>
      </w:r>
      <w:r>
        <w:rPr>
          <w:rFonts w:hint="eastAsia" w:ascii="仿宋" w:hAnsi="仿宋" w:eastAsia="仿宋" w:cs="仿宋"/>
          <w:b w:val="0"/>
          <w:bCs/>
          <w:color w:val="auto"/>
          <w:kern w:val="0"/>
          <w:szCs w:val="21"/>
          <w:highlight w:val="none"/>
          <w:u w:val="none"/>
          <w:lang w:eastAsia="zh-CN"/>
        </w:rPr>
        <w:t>投标人认为有必要提供的其他证明材料（格式自拟）</w:t>
      </w:r>
    </w:p>
    <w:p w14:paraId="41140153">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b/>
          <w:color w:val="auto"/>
          <w:kern w:val="0"/>
          <w:szCs w:val="21"/>
          <w:highlight w:val="none"/>
          <w:u w:val="single"/>
        </w:rPr>
        <w:t>注：以上材料须</w:t>
      </w:r>
      <w:r>
        <w:rPr>
          <w:rFonts w:hint="eastAsia" w:ascii="仿宋" w:hAnsi="仿宋" w:eastAsia="仿宋" w:cs="仿宋"/>
          <w:b/>
          <w:color w:val="auto"/>
          <w:kern w:val="0"/>
          <w:szCs w:val="21"/>
          <w:highlight w:val="none"/>
          <w:u w:val="single"/>
          <w:lang w:eastAsia="zh-CN"/>
        </w:rPr>
        <w:t>逐页</w:t>
      </w:r>
      <w:r>
        <w:rPr>
          <w:rFonts w:hint="eastAsia" w:ascii="仿宋" w:hAnsi="仿宋" w:eastAsia="仿宋" w:cs="仿宋"/>
          <w:b/>
          <w:color w:val="auto"/>
          <w:kern w:val="0"/>
          <w:szCs w:val="21"/>
          <w:highlight w:val="none"/>
          <w:u w:val="single"/>
        </w:rPr>
        <w:t>加盖单位公章</w:t>
      </w:r>
      <w:r>
        <w:rPr>
          <w:rFonts w:hint="eastAsia" w:ascii="仿宋" w:hAnsi="仿宋" w:eastAsia="仿宋" w:cs="仿宋"/>
          <w:b/>
          <w:color w:val="auto"/>
          <w:kern w:val="0"/>
          <w:szCs w:val="21"/>
          <w:highlight w:val="none"/>
          <w:u w:val="single"/>
          <w:lang w:eastAsia="zh-CN"/>
        </w:rPr>
        <w:t>。</w:t>
      </w:r>
    </w:p>
    <w:p w14:paraId="78FAE97A">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投标文件的要求</w:t>
      </w:r>
    </w:p>
    <w:p w14:paraId="13F7B17C">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49F3A63E">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）投标文件格式应按本采购文件第六章格式要求编制，不得对采购文件格式进行增删更改，否则按无效标处理。</w:t>
      </w:r>
    </w:p>
    <w:p w14:paraId="422E04C1">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 xml:space="preserve">）对采购文件格式可更改的例外情况：采购文件第六章附件格式要求中明确规定表格中行数不够用时可按相同格式增加行数，其他一切内容和格式不得更改。 </w:t>
      </w:r>
    </w:p>
    <w:p w14:paraId="1FAE94D4">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）投标文件为电子投标文件，电子投标文件按“政采云供应商项目采购-电子招投标操作指南”及本采购文件要求制作、加密传输。</w:t>
      </w:r>
    </w:p>
    <w:p w14:paraId="7F689209">
      <w:pPr>
        <w:shd w:val="clear" w:color="auto" w:fill="auto"/>
        <w:spacing w:line="400" w:lineRule="exact"/>
        <w:ind w:firstLine="477" w:firstLineChars="199"/>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）投标文件未在投标截止时间前完成传输的，视为投标文件撤回；投标文件未按时解密也未提供备份投标文件的，亦视为投标文件撤回。</w:t>
      </w:r>
    </w:p>
    <w:p w14:paraId="7571A243">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2</w:t>
      </w:r>
      <w:r>
        <w:rPr>
          <w:rFonts w:hint="eastAsia" w:ascii="仿宋" w:hAnsi="仿宋" w:eastAsia="仿宋" w:cs="仿宋"/>
          <w:b/>
          <w:color w:val="auto"/>
          <w:szCs w:val="21"/>
          <w:highlight w:val="none"/>
          <w:lang w:val="en-US" w:eastAsia="zh-CN"/>
        </w:rPr>
        <w:t>1</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投标报价</w:t>
      </w:r>
    </w:p>
    <w:p w14:paraId="191A4D6D">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.1投标报价文件中的单价和总价全部采用人民币表示。</w:t>
      </w:r>
    </w:p>
    <w:p w14:paraId="252C3208">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.2投标报价表上应清楚地标明投标人拟提供货物的名称、型号、生产厂家、数量、单价和总价。</w:t>
      </w:r>
    </w:p>
    <w:p w14:paraId="3F505125">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.3投标人只允许有一个方案、一个报价。</w:t>
      </w:r>
    </w:p>
    <w:p w14:paraId="2225C938">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4投标人应按“采购内容及技术参数要求”所列货物逐项进行单价报价，并最终按货物总量乘以货物单价报总价。综合单价包括：设备费、安装费、材料费、辅材费、运输费、管理费、利润、风险费用、代理费、调试、验收、培训及后期服务及国家对中标单位征收的各种税费等所有一切费用，综合单价今后将不作任何调整。</w:t>
      </w:r>
    </w:p>
    <w:p w14:paraId="58A4CCCF">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.5投标报价的价格是货物交货地验收价格，其总价即为履行合同的固定总价。</w:t>
      </w:r>
    </w:p>
    <w:p w14:paraId="1FAD0180">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.6技术要求中规定的安装、调试和培训费用应包括在投标价格中。投标文件报价为含税价，招标人不再为此次招标支付任何费用。</w:t>
      </w:r>
    </w:p>
    <w:p w14:paraId="41315041">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.7投标报价应由法定代表人或被授权人签署。</w:t>
      </w:r>
    </w:p>
    <w:p w14:paraId="317FE416">
      <w:pPr>
        <w:shd w:val="clear" w:color="auto" w:fill="auto"/>
        <w:spacing w:line="44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1</w:t>
      </w:r>
      <w:r>
        <w:rPr>
          <w:rFonts w:hint="eastAsia" w:ascii="仿宋" w:hAnsi="仿宋" w:eastAsia="仿宋" w:cs="仿宋"/>
          <w:bCs/>
          <w:color w:val="auto"/>
          <w:szCs w:val="21"/>
          <w:highlight w:val="none"/>
        </w:rPr>
        <w:t>.8</w:t>
      </w:r>
      <w:r>
        <w:rPr>
          <w:rFonts w:hint="eastAsia" w:ascii="仿宋" w:hAnsi="仿宋" w:eastAsia="仿宋" w:cs="仿宋"/>
          <w:b/>
          <w:color w:val="auto"/>
          <w:szCs w:val="21"/>
          <w:highlight w:val="none"/>
        </w:rPr>
        <w:t>投标人投标总报价，不得高于本次招标设置的最高限价，</w:t>
      </w:r>
      <w:r>
        <w:rPr>
          <w:rFonts w:hint="eastAsia" w:ascii="仿宋" w:hAnsi="仿宋" w:eastAsia="仿宋" w:cs="仿宋"/>
          <w:b/>
          <w:bCs/>
          <w:color w:val="auto"/>
          <w:szCs w:val="21"/>
          <w:highlight w:val="none"/>
        </w:rPr>
        <w:t>否则将作为无效投标处理。</w:t>
      </w:r>
    </w:p>
    <w:p w14:paraId="4AEE7F67">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.9如投标文件中未列明全面实现投标货物功能而必须配置的配套或辅助设施及相应技术措施的费用，这些费用将被视为已包含在总投标价中。</w:t>
      </w:r>
    </w:p>
    <w:p w14:paraId="02886B01">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.10总投标价中不得包含</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要求以外的内容，否则，在评标时不予核减，但在授予合同时，招标人有权将这部分价格从其中标价格中扣除。</w:t>
      </w:r>
    </w:p>
    <w:p w14:paraId="01BF4667">
      <w:pPr>
        <w:shd w:val="clear" w:color="auto" w:fill="auto"/>
        <w:spacing w:line="440" w:lineRule="exact"/>
        <w:ind w:firstLine="460" w:firstLineChars="192"/>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.11总投标价中不得缺漏</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所要求的内容，否则，评标时将有效投标中该项内容的最高价计入其评标总价，但在授予合同时，缺漏项目的报价视作已含在其他项目的报价中，这些项目将作为免费赠送而包含在合同内。</w:t>
      </w:r>
      <w:r>
        <w:rPr>
          <w:rFonts w:hint="eastAsia" w:ascii="仿宋" w:hAnsi="仿宋" w:eastAsia="仿宋" w:cs="仿宋"/>
          <w:color w:val="auto"/>
          <w:szCs w:val="21"/>
          <w:highlight w:val="none"/>
          <w:lang w:val="en-US" w:eastAsia="zh-CN"/>
        </w:rPr>
        <w:t xml:space="preserve">    </w:t>
      </w:r>
    </w:p>
    <w:p w14:paraId="20201F04">
      <w:pPr>
        <w:shd w:val="clear" w:color="auto" w:fill="auto"/>
        <w:spacing w:line="440" w:lineRule="exact"/>
        <w:ind w:firstLine="460" w:firstLineChars="192"/>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.12投标人不得对从第三方采购货物的随机备品、备件另行收费，否则在计算评标价时这部分费用将不予扣除，在授予合同时将从中标价格中扣除该部分费用。</w:t>
      </w:r>
    </w:p>
    <w:p w14:paraId="25F5A885">
      <w:pPr>
        <w:shd w:val="clear" w:color="auto" w:fill="auto"/>
        <w:spacing w:line="440" w:lineRule="exact"/>
        <w:ind w:firstLine="460" w:firstLineChars="192"/>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13投标人应根据货物的技术状况列出随机备品备件的清单和数量，并将该备品备件价格计入总投标价，若所提供的产品无需备件，则应在投标文件中说明；无论投标人在报价中列明随机备品备件的数量及价格多少，在质保期内招标人均无需为维护维修保养所需的专用工具和备品备件另行支付费用。</w:t>
      </w:r>
    </w:p>
    <w:p w14:paraId="4870E52F">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w:t>
      </w:r>
      <w:r>
        <w:rPr>
          <w:rFonts w:hint="eastAsia" w:ascii="仿宋" w:hAnsi="仿宋" w:eastAsia="仿宋" w:cs="仿宋"/>
          <w:b/>
          <w:color w:val="auto"/>
          <w:szCs w:val="21"/>
          <w:highlight w:val="none"/>
          <w:lang w:val="en-US" w:eastAsia="zh-CN"/>
        </w:rPr>
        <w:t>2</w:t>
      </w:r>
      <w:r>
        <w:rPr>
          <w:rFonts w:hint="eastAsia" w:ascii="仿宋" w:hAnsi="仿宋" w:eastAsia="仿宋" w:cs="仿宋"/>
          <w:b/>
          <w:color w:val="auto"/>
          <w:szCs w:val="21"/>
          <w:highlight w:val="none"/>
        </w:rPr>
        <w:t>. 投标有效期</w:t>
      </w:r>
    </w:p>
    <w:p w14:paraId="38B6CB46">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.1 除投标人须知前附表另有规定外，投标有效期为60天。</w:t>
      </w:r>
    </w:p>
    <w:p w14:paraId="7FC15AEB">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.2在投标有效期内，投标人撤销或修改其投标文件的，应承担</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和法律规定的责任。</w:t>
      </w:r>
    </w:p>
    <w:p w14:paraId="4EDF9CCE">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39EC2C62">
      <w:pPr>
        <w:shd w:val="clear" w:color="auto" w:fill="auto"/>
        <w:spacing w:line="440" w:lineRule="exact"/>
        <w:ind w:firstLine="460" w:firstLineChars="19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w:t>
      </w:r>
      <w:r>
        <w:rPr>
          <w:rFonts w:hint="eastAsia" w:ascii="仿宋" w:hAnsi="仿宋" w:eastAsia="仿宋" w:cs="仿宋"/>
          <w:b/>
          <w:color w:val="auto"/>
          <w:szCs w:val="21"/>
          <w:highlight w:val="none"/>
          <w:lang w:val="en-US" w:eastAsia="zh-CN"/>
        </w:rPr>
        <w:t>3</w:t>
      </w:r>
      <w:r>
        <w:rPr>
          <w:rFonts w:hint="eastAsia" w:ascii="仿宋" w:hAnsi="仿宋" w:eastAsia="仿宋" w:cs="仿宋"/>
          <w:b/>
          <w:color w:val="auto"/>
          <w:szCs w:val="21"/>
          <w:highlight w:val="none"/>
        </w:rPr>
        <w:t>. 投标保证金</w:t>
      </w:r>
    </w:p>
    <w:p w14:paraId="04118717">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14:paraId="77E19BBD">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.2自中标通知书发出之日起5个工作日内退还未中标投标人的投标保证金，自政府采购合同签订之日起5个工作日内退还中标人的投标保证金。</w:t>
      </w:r>
    </w:p>
    <w:p w14:paraId="55FEA75D">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.3有下列情形之一的，投标保证金将不予退还： </w:t>
      </w:r>
    </w:p>
    <w:p w14:paraId="63BD6B7A">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（1）投标人在规定的投标有效期内撤回或修改其投标文件；</w:t>
      </w:r>
    </w:p>
    <w:p w14:paraId="4E44A095">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（2）中标通知书发出后三十天内，中标人无正当理由拒签合同协议书或未按</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规定提交履约担保。</w:t>
      </w:r>
    </w:p>
    <w:p w14:paraId="64A7216E">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（3）提供虚假材料谋取中标的；</w:t>
      </w:r>
    </w:p>
    <w:p w14:paraId="473BA12F">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（4）经查实属于陪标、串通投标的等。</w:t>
      </w:r>
    </w:p>
    <w:p w14:paraId="62BEF6F1">
      <w:pPr>
        <w:shd w:val="clear" w:color="auto" w:fill="auto"/>
        <w:spacing w:line="400" w:lineRule="exact"/>
        <w:ind w:firstLine="480" w:firstLineChars="200"/>
        <w:rPr>
          <w:rFonts w:hint="eastAsia" w:ascii="仿宋" w:hAnsi="仿宋" w:eastAsia="仿宋" w:cs="仿宋"/>
          <w:color w:val="auto"/>
          <w:szCs w:val="21"/>
          <w:highlight w:val="none"/>
        </w:rPr>
      </w:pPr>
      <w:bookmarkStart w:id="19" w:name="_Toc469495727"/>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.4投标保证金按</w:t>
      </w:r>
      <w:r>
        <w:rPr>
          <w:rFonts w:hint="eastAsia" w:ascii="仿宋" w:hAnsi="仿宋" w:eastAsia="仿宋" w:cs="仿宋"/>
          <w:color w:val="auto"/>
          <w:szCs w:val="21"/>
          <w:highlight w:val="none"/>
          <w:lang w:eastAsia="zh-CN"/>
        </w:rPr>
        <w:t>投标人须知前附表第</w:t>
      </w:r>
      <w:r>
        <w:rPr>
          <w:rFonts w:hint="eastAsia" w:ascii="仿宋" w:hAnsi="仿宋" w:eastAsia="仿宋" w:cs="仿宋"/>
          <w:color w:val="auto"/>
          <w:szCs w:val="21"/>
          <w:highlight w:val="none"/>
          <w:lang w:val="en-US" w:eastAsia="zh-CN"/>
        </w:rPr>
        <w:t>24条</w:t>
      </w:r>
      <w:r>
        <w:rPr>
          <w:rFonts w:hint="eastAsia" w:ascii="仿宋" w:hAnsi="仿宋" w:eastAsia="仿宋" w:cs="仿宋"/>
          <w:color w:val="auto"/>
          <w:szCs w:val="21"/>
          <w:highlight w:val="none"/>
        </w:rPr>
        <w:t>规定执行。</w:t>
      </w:r>
    </w:p>
    <w:p w14:paraId="4736DF67">
      <w:pPr>
        <w:pStyle w:val="2"/>
        <w:shd w:val="clear" w:color="auto" w:fill="auto"/>
        <w:bidi w:val="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（四）</w:t>
      </w:r>
      <w:bookmarkEnd w:id="19"/>
      <w:r>
        <w:rPr>
          <w:rFonts w:hint="eastAsia" w:ascii="仿宋" w:hAnsi="仿宋" w:eastAsia="仿宋" w:cs="仿宋"/>
          <w:color w:val="auto"/>
          <w:sz w:val="28"/>
          <w:szCs w:val="28"/>
          <w:highlight w:val="none"/>
        </w:rPr>
        <w:t>投标文件的制作、上传及递交要求</w:t>
      </w:r>
    </w:p>
    <w:p w14:paraId="7D4A2892">
      <w:pPr>
        <w:shd w:val="clear" w:color="auto" w:fill="auto"/>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24.</w:t>
      </w:r>
      <w:r>
        <w:rPr>
          <w:rFonts w:hint="eastAsia" w:ascii="仿宋" w:hAnsi="仿宋" w:eastAsia="仿宋" w:cs="仿宋"/>
          <w:b/>
          <w:bCs/>
          <w:color w:val="auto"/>
          <w:sz w:val="24"/>
          <w:szCs w:val="24"/>
          <w:highlight w:val="none"/>
        </w:rPr>
        <w:t>投标文件的制作要求</w:t>
      </w:r>
    </w:p>
    <w:p w14:paraId="360B024F">
      <w:pPr>
        <w:pStyle w:val="5"/>
        <w:shd w:val="clear" w:color="auto" w:fill="auto"/>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rPr>
        <w:t>（1）供应商应按照投标文件组成内容及项目招标需求和</w:t>
      </w:r>
      <w:r>
        <w:rPr>
          <w:rFonts w:hint="eastAsia" w:ascii="仿宋" w:hAnsi="仿宋" w:eastAsia="仿宋" w:cs="仿宋"/>
          <w:b w:val="0"/>
          <w:bCs/>
          <w:color w:val="auto"/>
          <w:sz w:val="24"/>
          <w:szCs w:val="24"/>
          <w:highlight w:val="none"/>
          <w:lang w:eastAsia="zh-CN"/>
        </w:rPr>
        <w:t>新疆</w:t>
      </w:r>
      <w:r>
        <w:rPr>
          <w:rFonts w:hint="eastAsia" w:ascii="仿宋" w:hAnsi="仿宋" w:eastAsia="仿宋" w:cs="仿宋"/>
          <w:b w:val="0"/>
          <w:bCs/>
          <w:color w:val="auto"/>
          <w:sz w:val="24"/>
          <w:szCs w:val="24"/>
          <w:highlight w:val="none"/>
        </w:rPr>
        <w:t>政府采购云平台要求制作投标文件，不按采购文件和</w:t>
      </w:r>
      <w:r>
        <w:rPr>
          <w:rFonts w:hint="eastAsia" w:ascii="仿宋" w:hAnsi="仿宋" w:eastAsia="仿宋" w:cs="仿宋"/>
          <w:b w:val="0"/>
          <w:bCs/>
          <w:color w:val="auto"/>
          <w:sz w:val="24"/>
          <w:szCs w:val="24"/>
          <w:highlight w:val="none"/>
          <w:lang w:eastAsia="zh-CN"/>
        </w:rPr>
        <w:t>新疆</w:t>
      </w:r>
      <w:r>
        <w:rPr>
          <w:rFonts w:hint="eastAsia" w:ascii="仿宋" w:hAnsi="仿宋" w:eastAsia="仿宋" w:cs="仿宋"/>
          <w:b w:val="0"/>
          <w:bCs/>
          <w:color w:val="auto"/>
          <w:sz w:val="24"/>
          <w:szCs w:val="24"/>
          <w:highlight w:val="none"/>
        </w:rPr>
        <w:t>政府采购云平台要求制作投标文件的将视情况处理（拒收等），由此产生的责任由供应商自行承担。</w:t>
      </w:r>
    </w:p>
    <w:p w14:paraId="6E207AC0">
      <w:pPr>
        <w:pStyle w:val="5"/>
        <w:shd w:val="clear" w:color="auto" w:fill="auto"/>
        <w:snapToGrid w:val="0"/>
        <w:spacing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Cs/>
          <w:color w:val="auto"/>
          <w:sz w:val="24"/>
          <w:szCs w:val="24"/>
          <w:highlight w:val="none"/>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21FDAB95">
      <w:pPr>
        <w:pStyle w:val="5"/>
        <w:shd w:val="clear" w:color="auto" w:fill="auto"/>
        <w:snapToGrid w:val="0"/>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备份电子投标文件：通过“政采云”平台电子投标工具制作投标文件所产生的备份文件。</w:t>
      </w:r>
    </w:p>
    <w:p w14:paraId="7D053343">
      <w:pPr>
        <w:pStyle w:val="5"/>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（2）供应商应对所提供的全部资料的真实性、有效性承担法律责任，电子投标文件中所须加盖公章部分均采用CA签章。</w:t>
      </w:r>
    </w:p>
    <w:p w14:paraId="073A00B1">
      <w:pPr>
        <w:pStyle w:val="5"/>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（3）投标文件以及供应商与采购组织机构就有关投标事宜的所有来往函电，均应以中文汉语书写。除</w:t>
      </w:r>
      <w:r>
        <w:rPr>
          <w:rFonts w:hint="eastAsia" w:ascii="仿宋" w:hAnsi="仿宋" w:eastAsia="仿宋" w:cs="仿宋"/>
          <w:b w:val="0"/>
          <w:bCs/>
          <w:color w:val="auto"/>
          <w:sz w:val="24"/>
          <w:szCs w:val="24"/>
          <w:highlight w:val="none"/>
          <w:lang w:eastAsia="zh-CN"/>
        </w:rPr>
        <w:t>签章</w:t>
      </w:r>
      <w:r>
        <w:rPr>
          <w:rFonts w:hint="eastAsia" w:ascii="仿宋" w:hAnsi="仿宋" w:eastAsia="仿宋" w:cs="仿宋"/>
          <w:b w:val="0"/>
          <w:bCs/>
          <w:color w:val="auto"/>
          <w:sz w:val="24"/>
          <w:szCs w:val="24"/>
          <w:highlight w:val="none"/>
        </w:rPr>
        <w:t>、盖章、专用名称等特殊情形外，以中文汉语以外的文字表述的投标文件视同未提供。</w:t>
      </w:r>
    </w:p>
    <w:p w14:paraId="75D4669B">
      <w:pPr>
        <w:pStyle w:val="5"/>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（4）投标计量单位，采购文件已有明确规定的，使用采购文件规定的计量单位；采购文件没有规定的，应采用中华人民共和国法定计量单位（货币单位：人民币元）。</w:t>
      </w:r>
    </w:p>
    <w:p w14:paraId="576EC29B">
      <w:pPr>
        <w:pStyle w:val="5"/>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（5）若供应商不按采购文件的要求提供资格审查材料，其风险由供应商自行承担。</w:t>
      </w:r>
    </w:p>
    <w:p w14:paraId="3A4A5D7A">
      <w:pPr>
        <w:pStyle w:val="5"/>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（6）与本次投标无关的内容请不要制作在内，确保投标文件有针对性、简洁明了。</w:t>
      </w:r>
    </w:p>
    <w:p w14:paraId="24467042">
      <w:pPr>
        <w:shd w:val="clear" w:color="auto" w:fill="auto"/>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25.</w:t>
      </w:r>
      <w:r>
        <w:rPr>
          <w:rFonts w:hint="eastAsia" w:ascii="仿宋" w:hAnsi="仿宋" w:eastAsia="仿宋" w:cs="仿宋"/>
          <w:b/>
          <w:bCs/>
          <w:color w:val="auto"/>
          <w:sz w:val="24"/>
          <w:szCs w:val="24"/>
          <w:highlight w:val="none"/>
        </w:rPr>
        <w:t>投标文件的上传</w:t>
      </w:r>
    </w:p>
    <w:p w14:paraId="18DBC377">
      <w:pPr>
        <w:pStyle w:val="5"/>
        <w:shd w:val="clear" w:color="auto" w:fill="auto"/>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bidi="zh-CN"/>
        </w:rPr>
        <w:t>电子加密投标文件（“.jmbs”格式）</w:t>
      </w:r>
      <w:r>
        <w:rPr>
          <w:rFonts w:hint="eastAsia" w:ascii="仿宋" w:hAnsi="仿宋" w:eastAsia="仿宋" w:cs="仿宋"/>
          <w:b/>
          <w:bCs/>
          <w:color w:val="auto"/>
          <w:sz w:val="24"/>
          <w:szCs w:val="24"/>
          <w:highlight w:val="none"/>
        </w:rPr>
        <w:t>：</w:t>
      </w:r>
    </w:p>
    <w:p w14:paraId="5395E57D">
      <w:pPr>
        <w:pStyle w:val="5"/>
        <w:shd w:val="clear" w:color="auto" w:fill="auto"/>
        <w:snapToGrid w:val="0"/>
        <w:spacing w:line="360" w:lineRule="auto"/>
        <w:ind w:firstLine="600" w:firstLineChars="250"/>
        <w:rPr>
          <w:rFonts w:hint="eastAsia" w:ascii="仿宋" w:hAnsi="仿宋" w:eastAsia="仿宋" w:cs="仿宋"/>
          <w:b w:val="0"/>
          <w:bCs/>
          <w:color w:val="auto"/>
          <w:sz w:val="24"/>
          <w:szCs w:val="24"/>
          <w:highlight w:val="none"/>
          <w:lang w:bidi="zh-CN"/>
        </w:rPr>
      </w:pPr>
      <w:r>
        <w:rPr>
          <w:rFonts w:hint="eastAsia" w:ascii="仿宋" w:hAnsi="仿宋" w:eastAsia="仿宋" w:cs="仿宋"/>
          <w:b w:val="0"/>
          <w:bCs/>
          <w:color w:val="auto"/>
          <w:sz w:val="24"/>
          <w:szCs w:val="24"/>
          <w:highlight w:val="none"/>
          <w:lang w:bidi="zh-CN"/>
        </w:rPr>
        <w:t>a.</w:t>
      </w:r>
      <w:r>
        <w:rPr>
          <w:rFonts w:hint="eastAsia" w:ascii="仿宋" w:hAnsi="仿宋" w:eastAsia="仿宋" w:cs="仿宋"/>
          <w:b w:val="0"/>
          <w:bCs/>
          <w:color w:val="auto"/>
          <w:kern w:val="0"/>
          <w:sz w:val="24"/>
          <w:szCs w:val="24"/>
          <w:highlight w:val="none"/>
        </w:rPr>
        <w:t xml:space="preserve"> </w:t>
      </w:r>
      <w:r>
        <w:rPr>
          <w:rFonts w:hint="eastAsia" w:ascii="仿宋" w:hAnsi="仿宋" w:eastAsia="仿宋" w:cs="仿宋"/>
          <w:b w:val="0"/>
          <w:bCs/>
          <w:color w:val="auto"/>
          <w:sz w:val="24"/>
          <w:szCs w:val="24"/>
          <w:highlight w:val="none"/>
          <w:lang w:bidi="zh-CN"/>
        </w:rPr>
        <w:t>供应商应在投标截止时间前将电子加密投标文件成功上传递交至新疆政府采购云平台，否则投标无效；</w:t>
      </w:r>
    </w:p>
    <w:p w14:paraId="154E6486">
      <w:pPr>
        <w:pStyle w:val="5"/>
        <w:shd w:val="clear" w:color="auto" w:fill="auto"/>
        <w:snapToGrid w:val="0"/>
        <w:spacing w:line="360" w:lineRule="auto"/>
        <w:ind w:firstLine="600" w:firstLineChars="25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bidi="zh-CN"/>
        </w:rPr>
        <w:t>b.供应商成功上传电子加密投标文件后，可自行打印投标文件接收回执。</w:t>
      </w:r>
    </w:p>
    <w:p w14:paraId="5EA717A3">
      <w:pPr>
        <w:pStyle w:val="5"/>
        <w:shd w:val="clear" w:color="auto" w:fill="auto"/>
        <w:snapToGrid w:val="0"/>
        <w:spacing w:line="360" w:lineRule="auto"/>
        <w:rPr>
          <w:rFonts w:hint="eastAsia" w:ascii="仿宋" w:hAnsi="仿宋" w:eastAsia="仿宋" w:cs="仿宋"/>
          <w:b/>
          <w:bCs/>
          <w:color w:val="auto"/>
          <w:sz w:val="24"/>
          <w:szCs w:val="24"/>
          <w:highlight w:val="none"/>
          <w:lang w:bidi="zh-CN"/>
        </w:rPr>
      </w:pP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bidi="zh-CN"/>
        </w:rPr>
        <w:t>备份投标文件（“.bfbs”格式）：</w:t>
      </w:r>
    </w:p>
    <w:p w14:paraId="43CCDCEE">
      <w:pPr>
        <w:pStyle w:val="5"/>
        <w:shd w:val="clear" w:color="auto" w:fill="auto"/>
        <w:snapToGrid w:val="0"/>
        <w:spacing w:line="360" w:lineRule="auto"/>
        <w:ind w:firstLine="600" w:firstLineChars="250"/>
        <w:rPr>
          <w:rFonts w:hint="eastAsia" w:ascii="仿宋" w:hAnsi="仿宋" w:eastAsia="仿宋" w:cs="仿宋"/>
          <w:color w:val="auto"/>
          <w:sz w:val="24"/>
          <w:szCs w:val="24"/>
          <w:highlight w:val="none"/>
          <w:lang w:bidi="zh-CN"/>
        </w:rPr>
      </w:pPr>
      <w:r>
        <w:rPr>
          <w:rFonts w:hint="eastAsia" w:ascii="仿宋" w:hAnsi="仿宋" w:eastAsia="仿宋" w:cs="仿宋"/>
          <w:b w:val="0"/>
          <w:bCs/>
          <w:color w:val="auto"/>
          <w:sz w:val="24"/>
          <w:szCs w:val="24"/>
          <w:highlight w:val="none"/>
          <w:lang w:bidi="zh-CN"/>
        </w:rPr>
        <w:t>a.供应商可以将备份投标文件打包压缩并加密，压缩包命名为“XX单位备份投标文件”，加密密码由供应商自行保管；送达时间以采购代理机构实际接收时间为准。</w:t>
      </w:r>
      <w:r>
        <w:rPr>
          <w:rFonts w:hint="eastAsia" w:ascii="仿宋" w:hAnsi="仿宋" w:eastAsia="仿宋" w:cs="仿宋"/>
          <w:color w:val="auto"/>
          <w:sz w:val="24"/>
          <w:szCs w:val="24"/>
          <w:highlight w:val="none"/>
          <w:lang w:bidi="zh-CN"/>
        </w:rPr>
        <w:t>“备份投标文件”以投标截止时间前指定接收邮箱最终收到的文件为准，逾期或未按要求提供的视为未提供，建议供应商提前1日办理邮件提供事宜（接收人邮箱：</w:t>
      </w:r>
      <w:r>
        <w:rPr>
          <w:rFonts w:hint="eastAsia" w:ascii="仿宋" w:hAnsi="仿宋" w:eastAsia="仿宋" w:cs="仿宋"/>
          <w:color w:val="auto"/>
          <w:sz w:val="24"/>
          <w:szCs w:val="24"/>
          <w:highlight w:val="none"/>
          <w:u w:val="single"/>
          <w:lang w:bidi="zh-CN"/>
        </w:rPr>
        <w:fldChar w:fldCharType="begin"/>
      </w:r>
      <w:r>
        <w:rPr>
          <w:rFonts w:hint="eastAsia" w:ascii="仿宋" w:hAnsi="仿宋" w:eastAsia="仿宋" w:cs="仿宋"/>
          <w:color w:val="auto"/>
          <w:sz w:val="24"/>
          <w:szCs w:val="24"/>
          <w:highlight w:val="none"/>
          <w:u w:val="single"/>
          <w:lang w:bidi="zh-CN"/>
        </w:rPr>
        <w:instrText xml:space="preserve"> HYPERLINK "mailto:1207446769@qq.com，接收人：陈加轲，电话：15157655122" </w:instrText>
      </w:r>
      <w:r>
        <w:rPr>
          <w:rFonts w:hint="eastAsia" w:ascii="仿宋" w:hAnsi="仿宋" w:eastAsia="仿宋" w:cs="仿宋"/>
          <w:color w:val="auto"/>
          <w:sz w:val="24"/>
          <w:szCs w:val="24"/>
          <w:highlight w:val="none"/>
          <w:u w:val="single"/>
          <w:lang w:bidi="zh-CN"/>
        </w:rPr>
        <w:fldChar w:fldCharType="separate"/>
      </w:r>
      <w:r>
        <w:rPr>
          <w:rFonts w:hint="eastAsia" w:ascii="仿宋" w:hAnsi="仿宋" w:eastAsia="仿宋" w:cs="仿宋"/>
          <w:color w:val="auto"/>
          <w:szCs w:val="24"/>
          <w:highlight w:val="none"/>
          <w:u w:val="single"/>
          <w:lang w:val="en-US" w:eastAsia="zh-CN" w:bidi="zh-CN"/>
        </w:rPr>
        <w:t>3265613387</w:t>
      </w:r>
      <w:r>
        <w:rPr>
          <w:rFonts w:hint="eastAsia" w:ascii="仿宋" w:hAnsi="仿宋" w:eastAsia="仿宋" w:cs="仿宋"/>
          <w:color w:val="auto"/>
          <w:szCs w:val="24"/>
          <w:highlight w:val="none"/>
          <w:u w:val="single"/>
          <w:lang w:eastAsia="zh-CN" w:bidi="zh-CN"/>
        </w:rPr>
        <w:t>@qq.com</w:t>
      </w:r>
      <w:r>
        <w:rPr>
          <w:rStyle w:val="23"/>
          <w:rFonts w:hint="eastAsia" w:ascii="仿宋" w:hAnsi="仿宋" w:eastAsia="仿宋" w:cs="仿宋"/>
          <w:color w:val="auto"/>
          <w:sz w:val="24"/>
          <w:szCs w:val="24"/>
          <w:highlight w:val="none"/>
          <w:u w:val="single"/>
          <w:lang w:bidi="zh-CN"/>
        </w:rPr>
        <w:t>，接收人：</w:t>
      </w:r>
      <w:r>
        <w:rPr>
          <w:rFonts w:hint="eastAsia" w:ascii="仿宋" w:hAnsi="仿宋" w:eastAsia="仿宋" w:cs="仿宋"/>
          <w:color w:val="auto"/>
          <w:sz w:val="24"/>
          <w:szCs w:val="24"/>
          <w:highlight w:val="none"/>
          <w:u w:val="single"/>
          <w:lang w:bidi="zh-CN"/>
        </w:rPr>
        <w:t>朱先生</w:t>
      </w:r>
      <w:r>
        <w:rPr>
          <w:rStyle w:val="23"/>
          <w:rFonts w:hint="eastAsia" w:ascii="仿宋" w:hAnsi="仿宋" w:eastAsia="仿宋" w:cs="仿宋"/>
          <w:color w:val="auto"/>
          <w:sz w:val="24"/>
          <w:szCs w:val="24"/>
          <w:highlight w:val="none"/>
          <w:u w:val="single"/>
          <w:lang w:bidi="zh-CN"/>
        </w:rPr>
        <w:t>，电话：</w:t>
      </w:r>
      <w:r>
        <w:rPr>
          <w:rFonts w:hint="eastAsia" w:ascii="仿宋" w:hAnsi="仿宋" w:eastAsia="仿宋" w:cs="仿宋"/>
          <w:color w:val="auto"/>
          <w:sz w:val="24"/>
          <w:szCs w:val="24"/>
          <w:highlight w:val="none"/>
          <w:u w:val="single"/>
          <w:lang w:val="en-US" w:bidi="zh-CN"/>
        </w:rPr>
        <w:t>1</w:t>
      </w:r>
      <w:r>
        <w:rPr>
          <w:rFonts w:hint="eastAsia" w:ascii="仿宋" w:hAnsi="仿宋" w:eastAsia="仿宋" w:cs="仿宋"/>
          <w:color w:val="auto"/>
          <w:sz w:val="24"/>
          <w:szCs w:val="24"/>
          <w:highlight w:val="none"/>
          <w:u w:val="single"/>
          <w:lang w:bidi="zh-CN"/>
        </w:rPr>
        <w:fldChar w:fldCharType="end"/>
      </w:r>
      <w:r>
        <w:rPr>
          <w:rFonts w:hint="eastAsia" w:ascii="仿宋" w:hAnsi="仿宋" w:eastAsia="仿宋" w:cs="仿宋"/>
          <w:color w:val="auto"/>
          <w:sz w:val="24"/>
          <w:szCs w:val="24"/>
          <w:highlight w:val="none"/>
          <w:u w:val="single"/>
          <w:lang w:val="en-US" w:bidi="zh-CN"/>
        </w:rPr>
        <w:t>8609088999</w:t>
      </w:r>
      <w:r>
        <w:rPr>
          <w:rFonts w:hint="eastAsia" w:ascii="仿宋" w:hAnsi="仿宋" w:eastAsia="仿宋" w:cs="仿宋"/>
          <w:color w:val="auto"/>
          <w:sz w:val="24"/>
          <w:szCs w:val="24"/>
          <w:highlight w:val="none"/>
          <w:lang w:bidi="zh-CN"/>
        </w:rPr>
        <w:t>）；</w:t>
      </w:r>
    </w:p>
    <w:p w14:paraId="26E97C06">
      <w:pPr>
        <w:pStyle w:val="5"/>
        <w:shd w:val="clear" w:color="auto" w:fill="auto"/>
        <w:snapToGrid w:val="0"/>
        <w:spacing w:line="360" w:lineRule="auto"/>
        <w:ind w:firstLine="600" w:firstLineChars="250"/>
        <w:rPr>
          <w:rFonts w:hint="eastAsia" w:ascii="仿宋" w:hAnsi="仿宋" w:eastAsia="仿宋" w:cs="仿宋"/>
          <w:b w:val="0"/>
          <w:bCs/>
          <w:color w:val="auto"/>
          <w:sz w:val="24"/>
          <w:szCs w:val="24"/>
          <w:highlight w:val="none"/>
          <w:lang w:bidi="zh-CN"/>
        </w:rPr>
      </w:pPr>
      <w:r>
        <w:rPr>
          <w:rFonts w:hint="eastAsia" w:ascii="仿宋" w:hAnsi="仿宋" w:eastAsia="仿宋" w:cs="仿宋"/>
          <w:b w:val="0"/>
          <w:bCs/>
          <w:color w:val="auto"/>
          <w:sz w:val="24"/>
          <w:szCs w:val="24"/>
          <w:highlight w:val="none"/>
          <w:lang w:bidi="zh-CN"/>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6ACB37BF">
      <w:pPr>
        <w:shd w:val="clear" w:color="auto" w:fill="auto"/>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26.</w:t>
      </w:r>
      <w:r>
        <w:rPr>
          <w:rFonts w:hint="eastAsia" w:ascii="仿宋" w:hAnsi="仿宋" w:eastAsia="仿宋" w:cs="仿宋"/>
          <w:b/>
          <w:color w:val="auto"/>
          <w:sz w:val="24"/>
          <w:szCs w:val="24"/>
          <w:highlight w:val="none"/>
        </w:rPr>
        <w:t>投标文件的递交要求</w:t>
      </w:r>
    </w:p>
    <w:p w14:paraId="7EC0B627">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（1）供应商须按照采购文件和政采云平台的要求编制并加密投标文件。在投标文件递交截止时间以前完成投标文件的传输递交，截止时间后递交的投标文件，将被拒收。</w:t>
      </w:r>
    </w:p>
    <w:p w14:paraId="56649E11">
      <w:pPr>
        <w:shd w:val="clear" w:color="auto" w:fill="auto"/>
        <w:tabs>
          <w:tab w:val="left" w:pos="1418"/>
        </w:tabs>
        <w:autoSpaceDE w:val="0"/>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（2）备份电子投标文件必须在投标截止时间前送达指定的投标地点。备份电子投标文件在截止时间后提交，采购组织机构将拒绝接收。</w:t>
      </w:r>
    </w:p>
    <w:p w14:paraId="33BB3175">
      <w:pPr>
        <w:shd w:val="clear" w:color="auto" w:fill="auto"/>
        <w:tabs>
          <w:tab w:val="left" w:pos="1418"/>
        </w:tabs>
        <w:autoSpaceDE w:val="0"/>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（3）如有特殊情况，采购组织机构延长截止时间和开标时间，采购组织机构和供应商的权利和义务将受到新的截止时间和开标时间的约束。</w:t>
      </w:r>
    </w:p>
    <w:p w14:paraId="3807D9FD">
      <w:pPr>
        <w:shd w:val="clear" w:color="auto" w:fill="auto"/>
        <w:snapToGrid w:val="0"/>
        <w:spacing w:line="360" w:lineRule="auto"/>
        <w:ind w:firstLine="480"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27．投标文件的补充、修改与撤回</w:t>
      </w:r>
    </w:p>
    <w:p w14:paraId="09FA87AA">
      <w:pPr>
        <w:shd w:val="clear" w:color="auto" w:fill="auto"/>
        <w:tabs>
          <w:tab w:val="left" w:pos="960"/>
          <w:tab w:val="left" w:pos="1418"/>
        </w:tabs>
        <w:autoSpaceDE w:val="0"/>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14:paraId="774A8691">
      <w:pPr>
        <w:keepNext w:val="0"/>
        <w:keepLines w:val="0"/>
        <w:pageBreakBefore w:val="0"/>
        <w:widowControl w:val="0"/>
        <w:shd w:val="clear" w:color="auto" w:fill="auto"/>
        <w:kinsoku/>
        <w:wordWrap/>
        <w:overflowPunct/>
        <w:topLinePunct w:val="0"/>
        <w:autoSpaceDE/>
        <w:autoSpaceDN/>
        <w:bidi w:val="0"/>
        <w:adjustRightInd/>
        <w:snapToGrid/>
        <w:spacing w:before="313" w:beforeLines="100" w:after="313" w:afterLines="100" w:line="440" w:lineRule="exact"/>
        <w:jc w:val="center"/>
        <w:textAlignment w:val="auto"/>
        <w:outlineLvl w:val="2"/>
        <w:rPr>
          <w:rFonts w:hint="eastAsia" w:ascii="仿宋" w:hAnsi="仿宋" w:eastAsia="仿宋" w:cs="仿宋"/>
          <w:b/>
          <w:bCs/>
          <w:color w:val="auto"/>
          <w:sz w:val="28"/>
          <w:szCs w:val="28"/>
          <w:highlight w:val="none"/>
        </w:rPr>
      </w:pPr>
      <w:bookmarkStart w:id="20" w:name="_Toc469495728"/>
      <w:r>
        <w:rPr>
          <w:rFonts w:hint="eastAsia" w:ascii="仿宋" w:hAnsi="仿宋" w:eastAsia="仿宋" w:cs="仿宋"/>
          <w:b/>
          <w:bCs/>
          <w:color w:val="auto"/>
          <w:sz w:val="28"/>
          <w:szCs w:val="28"/>
          <w:highlight w:val="none"/>
        </w:rPr>
        <w:t>（五）开 标、评标和定标</w:t>
      </w:r>
      <w:bookmarkEnd w:id="20"/>
    </w:p>
    <w:p w14:paraId="03D921BC">
      <w:pPr>
        <w:shd w:val="clear" w:color="auto" w:fill="auto"/>
        <w:snapToGrid w:val="0"/>
        <w:spacing w:line="360" w:lineRule="auto"/>
        <w:ind w:firstLine="480"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28. 开标</w:t>
      </w:r>
    </w:p>
    <w:p w14:paraId="4E099629">
      <w:pPr>
        <w:shd w:val="clear" w:color="auto" w:fill="auto"/>
        <w:snapToGrid w:val="0"/>
        <w:spacing w:line="360" w:lineRule="auto"/>
        <w:ind w:firstLine="480" w:firstLineChars="200"/>
        <w:rPr>
          <w:rFonts w:hint="eastAsia" w:ascii="仿宋" w:hAnsi="仿宋" w:eastAsia="仿宋" w:cs="仿宋"/>
          <w:b/>
          <w:bCs/>
          <w:color w:val="auto"/>
          <w:sz w:val="24"/>
          <w:szCs w:val="24"/>
          <w:highlight w:val="none"/>
          <w:lang w:val="en-US" w:eastAsia="zh-CN"/>
        </w:rPr>
      </w:pPr>
      <w:bookmarkStart w:id="21" w:name="_Toc73975822"/>
      <w:r>
        <w:rPr>
          <w:rFonts w:hint="eastAsia" w:ascii="仿宋" w:hAnsi="仿宋" w:eastAsia="仿宋" w:cs="仿宋"/>
          <w:b/>
          <w:bCs/>
          <w:color w:val="auto"/>
          <w:sz w:val="24"/>
          <w:szCs w:val="24"/>
          <w:highlight w:val="none"/>
          <w:lang w:val="en-US" w:eastAsia="zh-CN"/>
        </w:rPr>
        <w:t>28.1开标邀请</w:t>
      </w:r>
      <w:bookmarkEnd w:id="21"/>
    </w:p>
    <w:p w14:paraId="0CA94FE8">
      <w:pPr>
        <w:pStyle w:val="10"/>
        <w:shd w:val="clear" w:color="auto" w:fill="auto"/>
        <w:snapToGrid w:val="0"/>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开标准备：本项目开标的准备工作由采购组织机构负责落实，开标过程由采购组织机构负责记录；</w:t>
      </w:r>
    </w:p>
    <w:p w14:paraId="6F7F5E28">
      <w:pPr>
        <w:pStyle w:val="10"/>
        <w:shd w:val="clear" w:color="auto" w:fill="auto"/>
        <w:snapToGrid w:val="0"/>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rPr>
        <w:t>开标主持：本项目开标由采购人或者采购代理机构主持；</w:t>
      </w:r>
    </w:p>
    <w:p w14:paraId="1934EA08">
      <w:pPr>
        <w:pStyle w:val="10"/>
        <w:shd w:val="clear" w:color="auto" w:fill="auto"/>
        <w:snapToGrid w:val="0"/>
        <w:spacing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lang w:val="en-US" w:eastAsia="zh-CN"/>
        </w:rPr>
        <w:t>3</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rPr>
        <w:t>开标邀请：本项目采用电子交易，采购组织机构将按照采购文件规定的时间通过“</w:t>
      </w:r>
      <w:r>
        <w:rPr>
          <w:rFonts w:hint="eastAsia" w:ascii="仿宋" w:hAnsi="仿宋" w:eastAsia="仿宋" w:cs="仿宋"/>
          <w:b w:val="0"/>
          <w:color w:val="auto"/>
          <w:sz w:val="24"/>
          <w:szCs w:val="24"/>
          <w:highlight w:val="none"/>
          <w:lang w:eastAsia="zh-CN"/>
        </w:rPr>
        <w:t>新疆</w:t>
      </w:r>
      <w:r>
        <w:rPr>
          <w:rFonts w:hint="eastAsia" w:ascii="仿宋" w:hAnsi="仿宋" w:eastAsia="仿宋" w:cs="仿宋"/>
          <w:b w:val="0"/>
          <w:color w:val="auto"/>
          <w:sz w:val="24"/>
          <w:szCs w:val="24"/>
          <w:highlight w:val="none"/>
        </w:rPr>
        <w:t>政府采购云平台，网址：</w:t>
      </w:r>
      <w:r>
        <w:rPr>
          <w:rFonts w:hint="eastAsia" w:ascii="仿宋" w:hAnsi="仿宋" w:eastAsia="仿宋" w:cs="仿宋"/>
          <w:b w:val="0"/>
          <w:color w:val="auto"/>
          <w:sz w:val="24"/>
          <w:szCs w:val="24"/>
          <w:highlight w:val="none"/>
        </w:rPr>
        <w:fldChar w:fldCharType="begin"/>
      </w:r>
      <w:r>
        <w:rPr>
          <w:rFonts w:hint="eastAsia" w:ascii="仿宋" w:hAnsi="仿宋" w:eastAsia="仿宋" w:cs="仿宋"/>
          <w:b w:val="0"/>
          <w:color w:val="auto"/>
          <w:sz w:val="24"/>
          <w:szCs w:val="24"/>
          <w:highlight w:val="none"/>
        </w:rPr>
        <w:instrText xml:space="preserve">HYPERLINK "http://www.zcygov.cn"</w:instrText>
      </w:r>
      <w:r>
        <w:rPr>
          <w:rFonts w:hint="eastAsia" w:ascii="仿宋" w:hAnsi="仿宋" w:eastAsia="仿宋" w:cs="仿宋"/>
          <w:b w:val="0"/>
          <w:color w:val="auto"/>
          <w:sz w:val="24"/>
          <w:szCs w:val="24"/>
          <w:highlight w:val="none"/>
        </w:rPr>
        <w:fldChar w:fldCharType="separate"/>
      </w:r>
      <w:r>
        <w:rPr>
          <w:rStyle w:val="23"/>
          <w:rFonts w:hint="eastAsia" w:ascii="仿宋" w:hAnsi="仿宋" w:eastAsia="仿宋" w:cs="仿宋"/>
          <w:b w:val="0"/>
          <w:color w:val="auto"/>
          <w:sz w:val="24"/>
          <w:szCs w:val="24"/>
          <w:highlight w:val="none"/>
          <w:u w:val="none"/>
        </w:rPr>
        <w:t>www.zcygov.cn</w:t>
      </w:r>
      <w:r>
        <w:rPr>
          <w:rFonts w:hint="eastAsia" w:ascii="仿宋" w:hAnsi="仿宋" w:eastAsia="仿宋" w:cs="仿宋"/>
          <w:color w:val="auto"/>
          <w:sz w:val="24"/>
          <w:szCs w:val="24"/>
          <w:highlight w:val="none"/>
        </w:rPr>
        <w:fldChar w:fldCharType="end"/>
      </w:r>
      <w:r>
        <w:rPr>
          <w:rFonts w:hint="eastAsia" w:ascii="仿宋" w:hAnsi="仿宋" w:eastAsia="仿宋" w:cs="仿宋"/>
          <w:b w:val="0"/>
          <w:color w:val="auto"/>
          <w:sz w:val="24"/>
          <w:szCs w:val="24"/>
          <w:highlight w:val="none"/>
        </w:rPr>
        <w:t>”组织开标、开启投标响应文件，所有供应商均应当准时在线参加。</w:t>
      </w:r>
    </w:p>
    <w:p w14:paraId="02167763">
      <w:pPr>
        <w:pStyle w:val="10"/>
        <w:shd w:val="clear" w:color="auto" w:fill="auto"/>
        <w:snapToGrid w:val="0"/>
        <w:spacing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lang w:val="en-US" w:eastAsia="zh-CN"/>
        </w:rPr>
        <w:t>4</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67B6353E">
      <w:pPr>
        <w:snapToGrid w:val="0"/>
        <w:spacing w:line="360" w:lineRule="auto"/>
        <w:ind w:firstLine="480" w:firstLineChars="200"/>
        <w:outlineLvl w:val="2"/>
        <w:rPr>
          <w:rFonts w:ascii="仿宋" w:hAnsi="仿宋" w:eastAsia="仿宋" w:cs="仿宋"/>
          <w:b/>
          <w:color w:val="auto"/>
          <w:highlight w:val="none"/>
          <w:lang w:eastAsia="zh-CN"/>
        </w:rPr>
      </w:pPr>
      <w:bookmarkStart w:id="22" w:name="_Toc73975823"/>
      <w:r>
        <w:rPr>
          <w:rFonts w:hint="eastAsia" w:ascii="仿宋" w:hAnsi="仿宋" w:eastAsia="仿宋" w:cs="仿宋"/>
          <w:b/>
          <w:color w:val="auto"/>
          <w:highlight w:val="none"/>
          <w:lang w:eastAsia="zh-CN"/>
        </w:rPr>
        <w:t>2</w:t>
      </w:r>
      <w:r>
        <w:rPr>
          <w:rFonts w:hint="eastAsia" w:ascii="仿宋" w:hAnsi="仿宋" w:eastAsia="仿宋" w:cs="仿宋"/>
          <w:b/>
          <w:color w:val="auto"/>
          <w:highlight w:val="none"/>
          <w:lang w:val="en-US" w:eastAsia="zh-CN"/>
        </w:rPr>
        <w:t>8</w:t>
      </w:r>
      <w:r>
        <w:rPr>
          <w:rFonts w:hint="eastAsia" w:ascii="仿宋" w:hAnsi="仿宋" w:eastAsia="仿宋" w:cs="仿宋"/>
          <w:b/>
          <w:color w:val="auto"/>
          <w:highlight w:val="none"/>
          <w:lang w:eastAsia="zh-CN"/>
        </w:rPr>
        <w:t>.2</w:t>
      </w:r>
      <w:r>
        <w:rPr>
          <w:rFonts w:hint="eastAsia" w:ascii="仿宋" w:hAnsi="仿宋" w:eastAsia="仿宋" w:cs="仿宋"/>
          <w:b/>
          <w:bCs/>
          <w:color w:val="auto"/>
          <w:highlight w:val="none"/>
          <w:lang w:eastAsia="zh-CN"/>
        </w:rPr>
        <w:t>开标程序（先资格、商务技术后报价）</w:t>
      </w:r>
      <w:bookmarkEnd w:id="22"/>
    </w:p>
    <w:p w14:paraId="42E7A1DE">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（1）开标时间到后，主持人宣布开标会议开始。</w:t>
      </w:r>
    </w:p>
    <w:p w14:paraId="767B6EA2">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（2）投标文件解密（</w:t>
      </w:r>
      <w:r>
        <w:rPr>
          <w:rFonts w:hint="eastAsia" w:ascii="仿宋" w:hAnsi="仿宋" w:eastAsia="仿宋" w:cs="仿宋"/>
          <w:b/>
          <w:color w:val="auto"/>
          <w:highlight w:val="none"/>
          <w:lang w:eastAsia="zh-CN"/>
        </w:rPr>
        <w:t>解密规定见《供应商须知前附表》</w:t>
      </w:r>
      <w:r>
        <w:rPr>
          <w:rFonts w:hint="eastAsia" w:ascii="仿宋" w:hAnsi="仿宋" w:eastAsia="仿宋" w:cs="仿宋"/>
          <w:color w:val="auto"/>
          <w:highlight w:val="none"/>
          <w:lang w:eastAsia="zh-CN"/>
        </w:rPr>
        <w:t>）。</w:t>
      </w:r>
    </w:p>
    <w:p w14:paraId="08D2883D">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（3）投标文件解密异常情况处理（</w:t>
      </w:r>
      <w:r>
        <w:rPr>
          <w:rFonts w:hint="eastAsia" w:ascii="仿宋" w:hAnsi="仿宋" w:eastAsia="仿宋" w:cs="仿宋"/>
          <w:b/>
          <w:color w:val="auto"/>
          <w:highlight w:val="none"/>
          <w:lang w:eastAsia="zh-CN"/>
        </w:rPr>
        <w:t>处理办法见《供应商须知前附表》</w:t>
      </w:r>
      <w:r>
        <w:rPr>
          <w:rFonts w:hint="eastAsia" w:ascii="仿宋" w:hAnsi="仿宋" w:eastAsia="仿宋" w:cs="仿宋"/>
          <w:color w:val="auto"/>
          <w:highlight w:val="none"/>
          <w:lang w:eastAsia="zh-CN"/>
        </w:rPr>
        <w:t>）。</w:t>
      </w:r>
    </w:p>
    <w:p w14:paraId="1FDA7763">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（4）公布投标文件解密情况（投标文件成功解密的供应商名单等信息），组织签署</w:t>
      </w:r>
      <w:r>
        <w:rPr>
          <w:rFonts w:hint="eastAsia" w:ascii="仿宋" w:hAnsi="仿宋" w:eastAsia="仿宋" w:cs="仿宋"/>
          <w:b/>
          <w:bCs/>
          <w:color w:val="auto"/>
          <w:highlight w:val="none"/>
          <w:lang w:eastAsia="zh-CN"/>
        </w:rPr>
        <w:t>《政府采购活动现场确认声明书》，供应商应在20分钟内通过邮件形式将经签署的《政府采购活动现场确认声明书》发送至采购代理机构指定邮箱</w:t>
      </w:r>
      <w:r>
        <w:rPr>
          <w:rFonts w:hint="eastAsia" w:ascii="仿宋" w:hAnsi="仿宋" w:eastAsia="仿宋" w:cs="仿宋"/>
          <w:b/>
          <w:bCs/>
          <w:color w:val="auto"/>
          <w:highlight w:val="none"/>
          <w:lang w:val="en-US" w:eastAsia="zh-CN"/>
        </w:rPr>
        <w:t>3265613387</w:t>
      </w:r>
      <w:r>
        <w:rPr>
          <w:rFonts w:hint="eastAsia" w:ascii="仿宋" w:hAnsi="仿宋" w:eastAsia="仿宋" w:cs="仿宋"/>
          <w:b/>
          <w:bCs/>
          <w:color w:val="auto"/>
          <w:highlight w:val="none"/>
          <w:lang w:eastAsia="zh-CN"/>
        </w:rPr>
        <w:t>@qq.com ，逾期发送或未发送的视为无异议</w:t>
      </w:r>
      <w:r>
        <w:rPr>
          <w:rFonts w:hint="eastAsia" w:ascii="仿宋" w:hAnsi="仿宋" w:eastAsia="仿宋" w:cs="仿宋"/>
          <w:color w:val="auto"/>
          <w:highlight w:val="none"/>
          <w:lang w:eastAsia="zh-CN"/>
        </w:rPr>
        <w:t>。</w:t>
      </w:r>
    </w:p>
    <w:p w14:paraId="4E3B9600">
      <w:pPr>
        <w:shd w:val="clear" w:color="auto" w:fill="auto"/>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开启标书信息（资格</w:t>
      </w:r>
      <w:r>
        <w:rPr>
          <w:rFonts w:hint="eastAsia" w:ascii="仿宋" w:hAnsi="仿宋" w:eastAsia="仿宋" w:cs="仿宋"/>
          <w:color w:val="auto"/>
          <w:kern w:val="0"/>
          <w:sz w:val="24"/>
          <w:szCs w:val="24"/>
          <w:highlight w:val="none"/>
          <w:lang w:eastAsia="zh-CN"/>
        </w:rPr>
        <w:t>证明</w:t>
      </w:r>
      <w:r>
        <w:rPr>
          <w:rFonts w:hint="eastAsia" w:ascii="仿宋" w:hAnsi="仿宋" w:eastAsia="仿宋" w:cs="仿宋"/>
          <w:color w:val="auto"/>
          <w:kern w:val="0"/>
          <w:sz w:val="24"/>
          <w:szCs w:val="24"/>
          <w:highlight w:val="none"/>
        </w:rPr>
        <w:t>文件、商务技术文件）。标书信息开启后，首先由采购人或采购代理机构</w:t>
      </w:r>
      <w:r>
        <w:rPr>
          <w:rFonts w:hint="eastAsia" w:ascii="仿宋" w:hAnsi="仿宋" w:eastAsia="仿宋" w:cs="仿宋"/>
          <w:color w:val="auto"/>
          <w:kern w:val="0"/>
          <w:sz w:val="24"/>
          <w:szCs w:val="24"/>
          <w:highlight w:val="none"/>
          <w:lang w:eastAsia="zh-CN"/>
        </w:rPr>
        <w:t>或评审小组</w:t>
      </w:r>
      <w:r>
        <w:rPr>
          <w:rFonts w:hint="eastAsia" w:ascii="仿宋" w:hAnsi="仿宋" w:eastAsia="仿宋" w:cs="仿宋"/>
          <w:color w:val="auto"/>
          <w:kern w:val="0"/>
          <w:sz w:val="24"/>
          <w:szCs w:val="24"/>
          <w:highlight w:val="none"/>
        </w:rPr>
        <w:t>依法对投标供应商的资格</w:t>
      </w:r>
      <w:r>
        <w:rPr>
          <w:rFonts w:hint="eastAsia" w:ascii="仿宋" w:hAnsi="仿宋" w:eastAsia="仿宋" w:cs="仿宋"/>
          <w:color w:val="auto"/>
          <w:kern w:val="0"/>
          <w:sz w:val="24"/>
          <w:szCs w:val="24"/>
          <w:highlight w:val="none"/>
          <w:lang w:eastAsia="zh-CN"/>
        </w:rPr>
        <w:t>证明</w:t>
      </w:r>
      <w:r>
        <w:rPr>
          <w:rFonts w:hint="eastAsia" w:ascii="仿宋" w:hAnsi="仿宋" w:eastAsia="仿宋" w:cs="仿宋"/>
          <w:color w:val="auto"/>
          <w:kern w:val="0"/>
          <w:sz w:val="24"/>
          <w:szCs w:val="24"/>
          <w:highlight w:val="none"/>
        </w:rPr>
        <w:t>文件进行审查（具体见本章“</w:t>
      </w:r>
      <w:r>
        <w:rPr>
          <w:rFonts w:hint="eastAsia" w:ascii="仿宋" w:hAnsi="仿宋" w:eastAsia="仿宋" w:cs="仿宋"/>
          <w:color w:val="auto"/>
          <w:kern w:val="0"/>
          <w:sz w:val="24"/>
          <w:szCs w:val="24"/>
          <w:highlight w:val="none"/>
          <w:lang w:val="en-US" w:eastAsia="zh-CN"/>
        </w:rPr>
        <w:t>29.3</w:t>
      </w:r>
      <w:r>
        <w:rPr>
          <w:rFonts w:hint="eastAsia" w:ascii="仿宋" w:hAnsi="仿宋" w:eastAsia="仿宋" w:cs="仿宋"/>
          <w:color w:val="auto"/>
          <w:kern w:val="0"/>
          <w:sz w:val="24"/>
          <w:szCs w:val="24"/>
          <w:highlight w:val="none"/>
        </w:rPr>
        <w:t xml:space="preserve"> 投标供应商资格审查”）， 审查结束公布投标供应商的资格符合情况。资格审查未获通过的供应商，其商务技术文件及报价文件不再进入评审。</w:t>
      </w:r>
    </w:p>
    <w:p w14:paraId="281E960F">
      <w:pPr>
        <w:shd w:val="clear" w:color="auto" w:fill="auto"/>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商务技术评审结束后，主持人公布商务技术评审无效投标供应商名单和商务技术评审有效投标供应商名单及其商务技术得分情况</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商务技术评审无效的供应商，其报价不再进入评审。</w:t>
      </w:r>
    </w:p>
    <w:p w14:paraId="42D2BC53">
      <w:pPr>
        <w:shd w:val="clear" w:color="auto" w:fill="auto"/>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开启有效投标供应商的报价，公布开标一览表有关内容，</w:t>
      </w:r>
      <w:r>
        <w:rPr>
          <w:rFonts w:hint="eastAsia" w:ascii="仿宋" w:hAnsi="仿宋" w:eastAsia="仿宋" w:cs="仿宋"/>
          <w:color w:val="auto"/>
          <w:sz w:val="24"/>
          <w:szCs w:val="24"/>
          <w:highlight w:val="none"/>
          <w:lang w:bidi="zh-CN"/>
        </w:rPr>
        <w:t>并【开启签章时段】，供应商对开标纪录进行在线签章确认（不予确认的应说明理由，否则视为无异议）</w:t>
      </w:r>
      <w:r>
        <w:rPr>
          <w:rFonts w:hint="eastAsia" w:ascii="仿宋" w:hAnsi="仿宋" w:eastAsia="仿宋" w:cs="仿宋"/>
          <w:color w:val="auto"/>
          <w:kern w:val="0"/>
          <w:sz w:val="24"/>
          <w:szCs w:val="24"/>
          <w:highlight w:val="none"/>
        </w:rPr>
        <w:t>。开标结束后，由评标委员会对报价的合理性、准确性等进行审查核实</w:t>
      </w:r>
      <w:r>
        <w:rPr>
          <w:rFonts w:hint="eastAsia" w:ascii="仿宋" w:hAnsi="仿宋" w:eastAsia="仿宋" w:cs="仿宋"/>
          <w:color w:val="auto"/>
          <w:sz w:val="24"/>
          <w:szCs w:val="24"/>
          <w:highlight w:val="none"/>
        </w:rPr>
        <w:t>。</w:t>
      </w:r>
    </w:p>
    <w:p w14:paraId="2E10A9AD">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评审结束后，采购代理机构在系统上公布评审结果。</w:t>
      </w:r>
    </w:p>
    <w:p w14:paraId="497D971A">
      <w:pPr>
        <w:shd w:val="clear" w:color="auto" w:fill="auto"/>
        <w:snapToGrid w:val="0"/>
        <w:spacing w:line="360" w:lineRule="auto"/>
        <w:ind w:left="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特别情况说明：</w:t>
      </w:r>
    </w:p>
    <w:p w14:paraId="361051B2">
      <w:pPr>
        <w:snapToGrid w:val="0"/>
        <w:spacing w:line="360" w:lineRule="auto"/>
        <w:ind w:firstLine="424" w:firstLineChars="177"/>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（1）本项目采用电子交易，如遇“新疆政府采购云平台”电子化开标或评审程序调整的，按调整后程序执行。</w:t>
      </w:r>
    </w:p>
    <w:p w14:paraId="6767E6B1">
      <w:pPr>
        <w:snapToGrid w:val="0"/>
        <w:spacing w:line="360" w:lineRule="auto"/>
        <w:ind w:firstLine="424" w:firstLineChars="177"/>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（2）开标过程中需要相关当事人进行签章或盖章确认的材料将通过“政府采购云平台”进行，若因“政府采购云平台”技术问题无法进行签章或盖章确认的，采购组织机构将通过电子邮件等形式予以确认，</w:t>
      </w:r>
      <w:r>
        <w:rPr>
          <w:rFonts w:hint="eastAsia" w:ascii="仿宋" w:hAnsi="仿宋" w:eastAsia="仿宋" w:cs="仿宋"/>
          <w:b/>
          <w:color w:val="auto"/>
          <w:highlight w:val="none"/>
          <w:u w:val="single"/>
          <w:lang w:eastAsia="zh-CN"/>
        </w:rPr>
        <w:t>请供应商保证办理投标事宜人员电话畅通、网络在线，签章或盖章确认的时间为20分钟。如未及时签章或盖章确认的，视为无异议</w:t>
      </w:r>
      <w:r>
        <w:rPr>
          <w:rFonts w:hint="eastAsia" w:ascii="仿宋" w:hAnsi="仿宋" w:eastAsia="仿宋" w:cs="仿宋"/>
          <w:b/>
          <w:color w:val="auto"/>
          <w:highlight w:val="none"/>
          <w:lang w:eastAsia="zh-CN"/>
        </w:rPr>
        <w:t>。</w:t>
      </w:r>
    </w:p>
    <w:p w14:paraId="66A12E7A">
      <w:pPr>
        <w:shd w:val="clear" w:color="auto" w:fill="auto"/>
        <w:snapToGrid w:val="0"/>
        <w:spacing w:line="360" w:lineRule="auto"/>
        <w:ind w:firstLine="480" w:firstLineChars="2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28.3</w:t>
      </w:r>
      <w:r>
        <w:rPr>
          <w:rFonts w:hint="eastAsia" w:ascii="仿宋" w:hAnsi="仿宋" w:eastAsia="仿宋" w:cs="仿宋"/>
          <w:b/>
          <w:color w:val="auto"/>
          <w:kern w:val="0"/>
          <w:sz w:val="24"/>
          <w:szCs w:val="24"/>
          <w:highlight w:val="none"/>
        </w:rPr>
        <w:t xml:space="preserve"> 投标供应商资格审查：</w:t>
      </w:r>
    </w:p>
    <w:p w14:paraId="673D3516">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bCs/>
          <w:color w:val="auto"/>
          <w:kern w:val="0"/>
          <w:sz w:val="24"/>
          <w:szCs w:val="24"/>
          <w:highlight w:val="none"/>
        </w:rPr>
        <w:t>开标（标书信息开启）后，采购人或采购代理机构</w:t>
      </w:r>
      <w:r>
        <w:rPr>
          <w:rFonts w:hint="eastAsia" w:ascii="仿宋" w:hAnsi="仿宋" w:eastAsia="仿宋" w:cs="仿宋"/>
          <w:bCs/>
          <w:color w:val="auto"/>
          <w:kern w:val="0"/>
          <w:sz w:val="24"/>
          <w:szCs w:val="24"/>
          <w:highlight w:val="none"/>
          <w:lang w:eastAsia="zh-CN"/>
        </w:rPr>
        <w:t>或</w:t>
      </w:r>
      <w:r>
        <w:rPr>
          <w:rFonts w:hint="eastAsia" w:ascii="仿宋" w:hAnsi="仿宋" w:eastAsia="仿宋" w:cs="仿宋"/>
          <w:color w:val="auto"/>
          <w:kern w:val="0"/>
          <w:sz w:val="24"/>
          <w:szCs w:val="24"/>
          <w:highlight w:val="none"/>
          <w:lang w:eastAsia="zh-CN"/>
        </w:rPr>
        <w:t>评审小组</w:t>
      </w:r>
      <w:r>
        <w:rPr>
          <w:rFonts w:hint="eastAsia" w:ascii="仿宋" w:hAnsi="仿宋" w:eastAsia="仿宋" w:cs="仿宋"/>
          <w:bCs/>
          <w:color w:val="auto"/>
          <w:kern w:val="0"/>
          <w:sz w:val="24"/>
          <w:szCs w:val="24"/>
          <w:highlight w:val="none"/>
        </w:rPr>
        <w:t>首先依法对投标供应商的资格文件进行审查，审查各投标供应商的资格符合情况。</w:t>
      </w:r>
      <w:r>
        <w:rPr>
          <w:rFonts w:hint="eastAsia" w:ascii="仿宋" w:hAnsi="仿宋" w:eastAsia="仿宋" w:cs="仿宋"/>
          <w:color w:val="auto"/>
          <w:sz w:val="24"/>
          <w:szCs w:val="24"/>
          <w:highlight w:val="none"/>
        </w:rPr>
        <w:t>采购人或采购代理机构</w:t>
      </w:r>
      <w:r>
        <w:rPr>
          <w:rFonts w:hint="eastAsia" w:ascii="仿宋" w:hAnsi="仿宋" w:eastAsia="仿宋" w:cs="仿宋"/>
          <w:bCs/>
          <w:color w:val="auto"/>
          <w:kern w:val="0"/>
          <w:sz w:val="24"/>
          <w:szCs w:val="24"/>
          <w:highlight w:val="none"/>
          <w:lang w:eastAsia="zh-CN"/>
        </w:rPr>
        <w:t>或</w:t>
      </w:r>
      <w:r>
        <w:rPr>
          <w:rFonts w:hint="eastAsia" w:ascii="仿宋" w:hAnsi="仿宋" w:eastAsia="仿宋" w:cs="仿宋"/>
          <w:color w:val="auto"/>
          <w:kern w:val="0"/>
          <w:sz w:val="24"/>
          <w:szCs w:val="24"/>
          <w:highlight w:val="none"/>
          <w:lang w:eastAsia="zh-CN"/>
        </w:rPr>
        <w:t>评审小组</w:t>
      </w:r>
      <w:r>
        <w:rPr>
          <w:rFonts w:hint="eastAsia" w:ascii="仿宋" w:hAnsi="仿宋" w:eastAsia="仿宋" w:cs="仿宋"/>
          <w:color w:val="auto"/>
          <w:sz w:val="24"/>
          <w:szCs w:val="24"/>
          <w:highlight w:val="none"/>
        </w:rPr>
        <w:t>对投标供应商所提交的资格证明材料仅负审核的责任。如发现投标供应商所提交的资格证明材料不合法或与事实不符，采购人可取消其中标资格并追究投标供应商的法律责任。</w:t>
      </w:r>
    </w:p>
    <w:p w14:paraId="6850522D">
      <w:pPr>
        <w:pStyle w:val="5"/>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4CCA13E8">
      <w:pPr>
        <w:pStyle w:val="5"/>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r>
        <w:rPr>
          <w:rFonts w:hint="eastAsia" w:ascii="仿宋" w:hAnsi="仿宋" w:eastAsia="仿宋" w:cs="仿宋"/>
          <w:b w:val="0"/>
          <w:bCs/>
          <w:color w:val="auto"/>
          <w:kern w:val="0"/>
          <w:sz w:val="24"/>
          <w:szCs w:val="24"/>
          <w:highlight w:val="none"/>
        </w:rPr>
        <w:t>供应商</w:t>
      </w:r>
      <w:r>
        <w:rPr>
          <w:rFonts w:hint="eastAsia" w:ascii="仿宋" w:hAnsi="仿宋" w:eastAsia="仿宋" w:cs="仿宋"/>
          <w:b w:val="0"/>
          <w:bCs/>
          <w:color w:val="auto"/>
          <w:sz w:val="24"/>
          <w:szCs w:val="24"/>
          <w:highlight w:val="none"/>
        </w:rPr>
        <w:t>信用记录查询与使用：</w:t>
      </w:r>
      <w:r>
        <w:rPr>
          <w:rFonts w:hint="eastAsia" w:ascii="仿宋" w:hAnsi="仿宋" w:eastAsia="仿宋" w:cs="仿宋"/>
          <w:b w:val="0"/>
          <w:bCs/>
          <w:color w:val="auto"/>
          <w:kern w:val="0"/>
          <w:sz w:val="24"/>
          <w:szCs w:val="24"/>
          <w:highlight w:val="none"/>
        </w:rPr>
        <w:t>见《供应商须知前附表》。</w:t>
      </w:r>
    </w:p>
    <w:p w14:paraId="475F54AD">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29.</w:t>
      </w:r>
      <w:r>
        <w:rPr>
          <w:rFonts w:hint="eastAsia" w:ascii="仿宋" w:hAnsi="仿宋" w:eastAsia="仿宋" w:cs="仿宋"/>
          <w:color w:val="auto"/>
          <w:szCs w:val="21"/>
          <w:highlight w:val="none"/>
        </w:rPr>
        <w:t>评审工作的组织</w:t>
      </w:r>
    </w:p>
    <w:p w14:paraId="17D18FE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采购人或采购代理机构负责组织本项目的评审工作，并依据《政府采购货物和服务招标投标管理办法（财政部第87号令）》第四十五条的相关规定履行职责。</w:t>
      </w:r>
    </w:p>
    <w:p w14:paraId="3EB0D359">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 评标委员会的组建</w:t>
      </w:r>
    </w:p>
    <w:p w14:paraId="03597B26">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.1评标委员会由采购人或采购代理机构依法组建，成员由采购人代表和评审专家组成，成员人数为五人或以上单数，其中评审专家不少于成员总数的三分之二。</w:t>
      </w:r>
    </w:p>
    <w:p w14:paraId="0AF862D7">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.2评审专家从</w:t>
      </w:r>
      <w:r>
        <w:rPr>
          <w:rFonts w:hint="eastAsia" w:ascii="仿宋" w:hAnsi="仿宋" w:eastAsia="仿宋" w:cs="仿宋"/>
          <w:color w:val="auto"/>
          <w:szCs w:val="21"/>
          <w:highlight w:val="none"/>
          <w:lang w:eastAsia="zh-CN"/>
        </w:rPr>
        <w:t>新疆</w:t>
      </w:r>
      <w:r>
        <w:rPr>
          <w:rFonts w:hint="eastAsia" w:ascii="仿宋" w:hAnsi="仿宋" w:eastAsia="仿宋" w:cs="仿宋"/>
          <w:color w:val="auto"/>
          <w:szCs w:val="21"/>
          <w:highlight w:val="none"/>
        </w:rPr>
        <w:t>政府采购云平台专家库中通过随机方式抽取产生。评标委员会成员名单在采购结果公告前保密。</w:t>
      </w:r>
    </w:p>
    <w:p w14:paraId="39A0C026">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.评标委员会的职责</w:t>
      </w:r>
    </w:p>
    <w:p w14:paraId="246B9090">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.1审查、评价投标文件是否符合采购文件的商务、技术等实质性要求。</w:t>
      </w:r>
    </w:p>
    <w:p w14:paraId="0FE4D6AF">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.2要求供应商对投标文件有关事项作出澄清或者说明。</w:t>
      </w:r>
    </w:p>
    <w:p w14:paraId="74EEEDBE">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.3对投标文件进行比较和评价。</w:t>
      </w:r>
    </w:p>
    <w:p w14:paraId="4F5B76D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.4确定中标候选人名单，以及根据采购人委托直接确定中标人。</w:t>
      </w:r>
    </w:p>
    <w:p w14:paraId="44370E07">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.5向采购人、采购代理机构或者有关部门报告评审中发现的违法行为。</w:t>
      </w:r>
    </w:p>
    <w:p w14:paraId="21D7E17D">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 评标原则</w:t>
      </w:r>
    </w:p>
    <w:p w14:paraId="37E820A9">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.1评标委员会将遵循公平、公正、科学的原则，对供应商提交的投标文件进行综合评审，评标委员会按照采购文件规定的评标细则进行评分。</w:t>
      </w:r>
    </w:p>
    <w:p w14:paraId="658EFF90">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 xml:space="preserve">.2客观公正对待所有供应商，对所有投标评价均采用相同的程序和标准。 </w:t>
      </w:r>
    </w:p>
    <w:p w14:paraId="099249F1">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.3评标委员会成员对需要共同认定的事项存在争议的，按照少数服从多数的原则作出结论。持不同意见的评标委员会成员应当在评审报告上签署不同意见及理由，否则视为同意评审报告。</w:t>
      </w:r>
    </w:p>
    <w:p w14:paraId="5D3A562B">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6B92C333">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非单一产品采购项目，采购人应当根据采购项目技术构成、产品价格比重等合理确定核心产品，并在采购文件中载明。多家供应商提供的核心产品品牌相同的，按前款规定处理。      </w:t>
      </w:r>
    </w:p>
    <w:p w14:paraId="47605D20">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 评委纪律</w:t>
      </w:r>
    </w:p>
    <w:p w14:paraId="5C332D5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委员会成员必须严格遵守保密规定，不得泄露评审的有关情况，任何单位和个人不得干扰、影响评标的正常进行，评标委员会成员不得私下与投标供应商接触，不得出现浙江省政府采购活动现场组织管理办法中规定的其他禁止行为。</w:t>
      </w:r>
    </w:p>
    <w:p w14:paraId="66ADE43F">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评标程序</w:t>
      </w:r>
    </w:p>
    <w:p w14:paraId="75237318">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1 在评审专家中推选评标委员会组长，采购人代表不得担任评标委员会组长。</w:t>
      </w:r>
    </w:p>
    <w:p w14:paraId="4DC622F7">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1354EE0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3 评审人员对符合资格的供应商的投标文件的有效性、符合性、完整性和响应程度进行审查，确定是否对采购文件作出实质性响应。</w:t>
      </w:r>
    </w:p>
    <w:p w14:paraId="05435E7E">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4 评审人员按采购文件规定的评审方法和评审标准，依法独立对供应商投标文件进行评估、比较，并给予评价或打分，不受任何单位和个人的干预。</w:t>
      </w:r>
    </w:p>
    <w:p w14:paraId="269FD5A7">
      <w:pPr>
        <w:widowControl/>
        <w:shd w:val="clear" w:color="auto" w:fill="auto"/>
        <w:spacing w:line="440" w:lineRule="exact"/>
        <w:ind w:firstLine="48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综合评分法货物项目的价格分值占总分值的比重(即权值)为</w:t>
      </w:r>
      <w:r>
        <w:rPr>
          <w:rFonts w:hint="eastAsia" w:ascii="仿宋" w:hAnsi="仿宋" w:eastAsia="仿宋" w:cs="仿宋"/>
          <w:color w:val="auto"/>
          <w:kern w:val="0"/>
          <w:szCs w:val="21"/>
          <w:highlight w:val="none"/>
          <w:lang w:val="en-US" w:eastAsia="zh-CN"/>
        </w:rPr>
        <w:t>30</w:t>
      </w:r>
      <w:r>
        <w:rPr>
          <w:rFonts w:hint="eastAsia" w:ascii="仿宋" w:hAnsi="仿宋" w:eastAsia="仿宋" w:cs="仿宋"/>
          <w:color w:val="auto"/>
          <w:kern w:val="0"/>
          <w:szCs w:val="21"/>
          <w:highlight w:val="none"/>
        </w:rPr>
        <w:t>％，采购项目中含不同采购对象的，以占项目资金比例最高的采购对象确定其项目属性。其价格不列为评分因素，有特殊情况需要在上述规定范围外设定价格分权重的。</w:t>
      </w:r>
    </w:p>
    <w:p w14:paraId="7851EDA6">
      <w:pPr>
        <w:widowControl/>
        <w:shd w:val="clear" w:color="auto" w:fill="auto"/>
        <w:spacing w:line="440" w:lineRule="exact"/>
        <w:ind w:firstLine="48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综合评分法中的价格分统一采用低价优先法计算，即满足</w:t>
      </w:r>
      <w:r>
        <w:rPr>
          <w:rFonts w:hint="eastAsia" w:ascii="仿宋" w:hAnsi="仿宋" w:eastAsia="仿宋" w:cs="仿宋"/>
          <w:color w:val="auto"/>
          <w:kern w:val="0"/>
          <w:szCs w:val="21"/>
          <w:highlight w:val="none"/>
          <w:lang w:eastAsia="zh-CN"/>
        </w:rPr>
        <w:t>招标</w:t>
      </w:r>
      <w:r>
        <w:rPr>
          <w:rFonts w:hint="eastAsia" w:ascii="仿宋" w:hAnsi="仿宋" w:eastAsia="仿宋" w:cs="仿宋"/>
          <w:color w:val="auto"/>
          <w:kern w:val="0"/>
          <w:szCs w:val="21"/>
          <w:highlight w:val="none"/>
        </w:rPr>
        <w:t>文件要求且最后报价最低的供应商的价格为</w:t>
      </w:r>
      <w:r>
        <w:rPr>
          <w:rFonts w:hint="eastAsia" w:ascii="仿宋" w:hAnsi="仿宋" w:eastAsia="仿宋" w:cs="仿宋"/>
          <w:color w:val="auto"/>
          <w:kern w:val="0"/>
          <w:szCs w:val="21"/>
          <w:highlight w:val="none"/>
          <w:lang w:eastAsia="zh-CN"/>
        </w:rPr>
        <w:t>招标</w:t>
      </w:r>
      <w:r>
        <w:rPr>
          <w:rFonts w:hint="eastAsia" w:ascii="仿宋" w:hAnsi="仿宋" w:eastAsia="仿宋" w:cs="仿宋"/>
          <w:color w:val="auto"/>
          <w:kern w:val="0"/>
          <w:szCs w:val="21"/>
          <w:highlight w:val="none"/>
        </w:rPr>
        <w:t>基准价，其价格分为满分。其他供应商的价格分统一按照下列公式计算：</w:t>
      </w:r>
    </w:p>
    <w:p w14:paraId="34390561">
      <w:pPr>
        <w:widowControl/>
        <w:shd w:val="clear" w:color="auto" w:fill="auto"/>
        <w:spacing w:line="440" w:lineRule="exact"/>
        <w:ind w:firstLine="48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投标</w:t>
      </w:r>
      <w:r>
        <w:rPr>
          <w:rFonts w:hint="eastAsia" w:ascii="仿宋" w:hAnsi="仿宋" w:eastAsia="仿宋" w:cs="仿宋"/>
          <w:color w:val="auto"/>
          <w:kern w:val="0"/>
          <w:szCs w:val="21"/>
          <w:highlight w:val="none"/>
        </w:rPr>
        <w:t>报价得分=（基准价/</w:t>
      </w:r>
      <w:r>
        <w:rPr>
          <w:rFonts w:hint="eastAsia" w:ascii="仿宋" w:hAnsi="仿宋" w:eastAsia="仿宋" w:cs="仿宋"/>
          <w:color w:val="auto"/>
          <w:kern w:val="0"/>
          <w:szCs w:val="21"/>
          <w:highlight w:val="none"/>
          <w:lang w:eastAsia="zh-CN"/>
        </w:rPr>
        <w:t>投标</w:t>
      </w:r>
      <w:r>
        <w:rPr>
          <w:rFonts w:hint="eastAsia" w:ascii="仿宋" w:hAnsi="仿宋" w:eastAsia="仿宋" w:cs="仿宋"/>
          <w:color w:val="auto"/>
          <w:kern w:val="0"/>
          <w:szCs w:val="21"/>
          <w:highlight w:val="none"/>
        </w:rPr>
        <w:t>报价）×价格权值×100</w:t>
      </w:r>
    </w:p>
    <w:p w14:paraId="4435A712">
      <w:pPr>
        <w:widowControl/>
        <w:shd w:val="clear" w:color="auto" w:fill="auto"/>
        <w:spacing w:line="440" w:lineRule="exact"/>
        <w:ind w:firstLine="480"/>
        <w:rPr>
          <w:rFonts w:hint="eastAsia" w:ascii="仿宋" w:hAnsi="仿宋" w:eastAsia="仿宋" w:cs="仿宋"/>
          <w:color w:val="auto"/>
          <w:szCs w:val="21"/>
          <w:highlight w:val="none"/>
          <w:lang w:val="en-US" w:eastAsia="zh-CN"/>
        </w:rPr>
      </w:pPr>
      <w:r>
        <w:rPr>
          <w:rFonts w:hint="eastAsia" w:ascii="仿宋" w:hAnsi="仿宋" w:eastAsia="仿宋" w:cs="仿宋"/>
          <w:color w:val="auto"/>
          <w:kern w:val="0"/>
          <w:szCs w:val="21"/>
          <w:highlight w:val="none"/>
        </w:rPr>
        <w:t>项目评审过程中，不得去掉最后报价中的最高报价和最低报价。</w:t>
      </w:r>
    </w:p>
    <w:p w14:paraId="6FC72AF5">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22DCA0AB">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%以上的）情形的，应由相关人员当场改正或作出书面说明；拒不改正又不作书面说明的，由现场监督员如实记载后存入项目档案资料。</w:t>
      </w:r>
    </w:p>
    <w:p w14:paraId="152894F3">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7 评标委员会根据评审汇总情况和采购文件规定确定中标候选供应商排序名单。</w:t>
      </w:r>
    </w:p>
    <w:p w14:paraId="2F2F63D7">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8 起草评审报告，所有评审人员须在评审报告上</w:t>
      </w:r>
      <w:r>
        <w:rPr>
          <w:rFonts w:hint="eastAsia" w:ascii="仿宋" w:hAnsi="仿宋" w:eastAsia="仿宋" w:cs="仿宋"/>
          <w:color w:val="auto"/>
          <w:szCs w:val="21"/>
          <w:highlight w:val="none"/>
          <w:lang w:eastAsia="zh-CN"/>
        </w:rPr>
        <w:t>签章</w:t>
      </w:r>
      <w:r>
        <w:rPr>
          <w:rFonts w:hint="eastAsia" w:ascii="仿宋" w:hAnsi="仿宋" w:eastAsia="仿宋" w:cs="仿宋"/>
          <w:color w:val="auto"/>
          <w:szCs w:val="21"/>
          <w:highlight w:val="none"/>
        </w:rPr>
        <w:t xml:space="preserve">确认，对自己的评审意见承担法律责任。 </w:t>
      </w:r>
    </w:p>
    <w:p w14:paraId="70500839">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9 采购组织机构对评标委员会评审专家进行评价。</w:t>
      </w:r>
    </w:p>
    <w:p w14:paraId="2D89072E">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10 修改评审结果</w:t>
      </w:r>
    </w:p>
    <w:p w14:paraId="32B66089">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评标结果汇总完成后，除下列情形外，任何人不得修改评标结果：</w:t>
      </w:r>
    </w:p>
    <w:p w14:paraId="2532A595">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（1）分值汇总计算错误的；</w:t>
      </w:r>
    </w:p>
    <w:p w14:paraId="3761CFBF">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（2）分项评分超出评分标准范围的；</w:t>
      </w:r>
    </w:p>
    <w:p w14:paraId="56FEBC5C">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（3）评标委员会成员对客观评审因素评分不一致的；</w:t>
      </w:r>
    </w:p>
    <w:p w14:paraId="407C4452">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（4）经评标委员会认定评分畸高、畸低的。</w:t>
      </w:r>
    </w:p>
    <w:p w14:paraId="36293086">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3ED3BBB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34．澄清、说明或补正的形式</w:t>
      </w:r>
    </w:p>
    <w:p w14:paraId="748E2F82">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34.1对于投标文件中含义不明确、同类问题表述不一致或者有明显文字和计算错误的内容，评标委员会将通过“政府采购云平台”在线询标的方式要求投标供应商在规定的时间内作出必要的澄清、说明或者补正，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auto"/>
          <w:szCs w:val="21"/>
          <w:highlight w:val="none"/>
          <w:lang w:val="en-US" w:eastAsia="zh-CN"/>
        </w:rPr>
        <w:t>投标供应商澄清、说明或补正时间为20分钟</w:t>
      </w:r>
      <w:r>
        <w:rPr>
          <w:rFonts w:hint="eastAsia" w:ascii="仿宋" w:hAnsi="仿宋" w:eastAsia="仿宋" w:cs="仿宋"/>
          <w:b w:val="0"/>
          <w:bCs w:val="0"/>
          <w:color w:val="auto"/>
          <w:szCs w:val="21"/>
          <w:highlight w:val="none"/>
          <w:lang w:val="en-US" w:eastAsia="zh-CN"/>
        </w:rPr>
        <w:t>。</w:t>
      </w:r>
    </w:p>
    <w:p w14:paraId="2FFFDEB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34.2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5899428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34.3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019E2BC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35．错误修正的原则</w:t>
      </w:r>
    </w:p>
    <w:p w14:paraId="50674DD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14:paraId="65E00B1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投标文件报价出现前后不一致的，除采购文件另有规定外，按照下列规定修正：</w:t>
      </w:r>
    </w:p>
    <w:p w14:paraId="5C3013DC">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35.1 投标函中表述的内容与报价表中不一致的，以报价表为准；报价表中的内容与报价明细表不一致的，以报价表为准；</w:t>
      </w:r>
    </w:p>
    <w:p w14:paraId="2F94AA0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35.2 投标文件中的大写金额和小写金额不一致的，以大写金额为准；</w:t>
      </w:r>
    </w:p>
    <w:p w14:paraId="0B055A5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35.3 单价金额小数点或者百分比有明显错位的，以开标一览表的总价为准，并修改单价；</w:t>
      </w:r>
    </w:p>
    <w:p w14:paraId="180681C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35.4 总价金额与按单价汇总金额不一致的，以单价金额计算结果为准；</w:t>
      </w:r>
    </w:p>
    <w:p w14:paraId="4C09F7A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35.5 若用文字表示的数值与用数字表示的数值不一致，以文字表示的数值为准；</w:t>
      </w:r>
    </w:p>
    <w:p w14:paraId="5459E7C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35.6 如有多报（指数量超出采购文件需求）、重报（指同一货物重复报价），其投标总价在评标过程中不予调整，如其中标，其合同价按其投标单价予以调整；</w:t>
      </w:r>
    </w:p>
    <w:p w14:paraId="34A47D8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35.7 对不同文字文本投标文件的解释发生异议的，以中文文本为准；</w:t>
      </w:r>
    </w:p>
    <w:p w14:paraId="0913247A">
      <w:pPr>
        <w:shd w:val="clear" w:color="auto" w:fill="auto"/>
        <w:spacing w:line="440" w:lineRule="exact"/>
        <w:ind w:firstLine="240" w:firstLineChars="100"/>
        <w:jc w:val="left"/>
        <w:rPr>
          <w:rFonts w:hint="eastAsia"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auto"/>
          <w:szCs w:val="21"/>
          <w:highlight w:val="none"/>
          <w:lang w:val="en-US" w:eastAsia="zh-CN"/>
        </w:rPr>
        <w:t>修正应当采用电子询标的形式，并加盖公章（电子印章）。</w:t>
      </w:r>
    </w:p>
    <w:p w14:paraId="155EBF65">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36．无效投标文件</w:t>
      </w:r>
    </w:p>
    <w:p w14:paraId="7C5D3E7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有下列情形之一的，投标文件按无效标处理：</w:t>
      </w:r>
    </w:p>
    <w:p w14:paraId="0B07CCA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 报名的投标人与参加投标的投标人发生实质性变更的且未提供有效证明的；</w:t>
      </w:r>
    </w:p>
    <w:p w14:paraId="2F0C1E0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36.2投标人提交两份或两份以上内容不同的投标文件，未声明哪一份有效的；</w:t>
      </w:r>
    </w:p>
    <w:p w14:paraId="4247041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36.3 投标文件非投标人法定代表人签署的，未提供或提供无效的法定代表人授权书；</w:t>
      </w:r>
    </w:p>
    <w:p w14:paraId="206468F5">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36.4 未按招标文件规定装订；</w:t>
      </w:r>
    </w:p>
    <w:p w14:paraId="67BCE13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36.5 投标文件内容未按招标文件规定签章或盖章的；</w:t>
      </w:r>
    </w:p>
    <w:p w14:paraId="010F9FE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36.6 投标文件组成漏项或未按规定的格式编制或投标文件正、副本份数不足或内容不全或内容字迹模糊辨认不清的等而导致评标活动无法正常进行；</w:t>
      </w:r>
    </w:p>
    <w:p w14:paraId="51AB11C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36.7 投标人未按招标文件变更通知更改投标文件的；</w:t>
      </w:r>
    </w:p>
    <w:p w14:paraId="7E12793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36.8 《开标一览表》和《投标分项报价表》内容不完整且不接受修正意见或字迹不能辨认的或未提供；</w:t>
      </w:r>
    </w:p>
    <w:p w14:paraId="25BC6DD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36.9 标项投标报价超过招标文件规定的预算金额或最高限价</w:t>
      </w:r>
    </w:p>
    <w:p w14:paraId="33A3696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36.10 因投标人原因编制错误造成经评标委员会修正后的报价达到或超过投标报价的0.5%；</w:t>
      </w:r>
    </w:p>
    <w:p w14:paraId="2E87122C">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36.11 投标人的报价明显低于其他通过符合性审查投标人的报价，有可能影响产品质量或者不能诚信履约的，且在规定时间内不能合理说明原因并提供证明材料的；</w:t>
      </w:r>
    </w:p>
    <w:p w14:paraId="13EF461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36.12 未实质性响应招标文件中条款要求的投标文件；</w:t>
      </w:r>
    </w:p>
    <w:p w14:paraId="0FAB75F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36.13 不符合招标范围、技术规格、技术标准的要求无法满足采购人使用要求；</w:t>
      </w:r>
    </w:p>
    <w:p w14:paraId="48455EF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36.14 投标文件附有采购人不能接受的条款；</w:t>
      </w:r>
    </w:p>
    <w:p w14:paraId="50C010B5">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36.15 投标文件中提供了赠品或者与本项目采购无关的其他商品、服务；</w:t>
      </w:r>
    </w:p>
    <w:p w14:paraId="089DCBC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36.16 投标文件中承诺的投标有效期少于招标文件中载明的投标有效期；</w:t>
      </w:r>
    </w:p>
    <w:p w14:paraId="056F073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36.17投标人串通投标，妨碍其他投标人的竞争行为，损害采购人或者其他投标人的合法权益；</w:t>
      </w:r>
    </w:p>
    <w:p w14:paraId="38973EF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36.18违反国家及政府部门相关法律、法规、文件规定或经评标委员会认定的其他属于重大偏离；</w:t>
      </w:r>
    </w:p>
    <w:p w14:paraId="2204991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37．废标</w:t>
      </w:r>
    </w:p>
    <w:p w14:paraId="6998729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37.1 符合招标文件规定废标情形的；</w:t>
      </w:r>
    </w:p>
    <w:p w14:paraId="4DDC61E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37.2 出现影响采购公正的违法、违规行为的；</w:t>
      </w:r>
    </w:p>
    <w:p w14:paraId="695D9FC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37.3 供应商的报价均超过了采购预算（或最高限价），采购人不能支付的;</w:t>
      </w:r>
    </w:p>
    <w:p w14:paraId="7D4B9D8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37.4 因重大变故，采购任务取消的。</w:t>
      </w:r>
    </w:p>
    <w:p w14:paraId="0749FA2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38．突发情况处理</w:t>
      </w:r>
    </w:p>
    <w:p w14:paraId="3485D65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 采购过程中出现以下情形，导致电子交易平台无法正常运行，或者无法保证电子交易的公平、公正和安全时，采购组织机构可中止电子交易活动：</w:t>
      </w:r>
    </w:p>
    <w:p w14:paraId="5647A29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（1）电子交易平台发生故障而无法登录访问的； </w:t>
      </w:r>
    </w:p>
    <w:p w14:paraId="6D084D9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（2）电子交易平台应用或数据库出现错误，不能进行正常操作的；</w:t>
      </w:r>
    </w:p>
    <w:p w14:paraId="600D3FB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（3）电子交易平台发现严重安全漏洞，有潜在泄密危险的；</w:t>
      </w:r>
    </w:p>
    <w:p w14:paraId="589972A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（4）病毒发作导致不能进行正常操作的； </w:t>
      </w:r>
    </w:p>
    <w:p w14:paraId="5E1BADD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（5）其他无法保证电子交易的公平、公正和安全的情况。</w:t>
      </w:r>
    </w:p>
    <w:p w14:paraId="13EEA08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697A425C">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38.2 采购代理机构或评审小组因不可抗力（不可抗力包括但不限于自然灾害、断电、传播疫病等）原因造成电子交易活动无法正常运行的，将采取以下措施：</w:t>
      </w:r>
    </w:p>
    <w:p w14:paraId="1D22FC0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（1）短时间内能消除不可抗力因素的，采购代理机构或评审小组在消除不可抗力因素后继续组织电子交易活动； </w:t>
      </w:r>
    </w:p>
    <w:p w14:paraId="6E2F349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（2）长时间内无法消除不可抗力因素的，采购代理机构或评审小组将中止电子交易活动。中止电子交易活动的，采购人应当重新组织政府采购活动。</w:t>
      </w:r>
    </w:p>
    <w:p w14:paraId="501539B9">
      <w:pPr>
        <w:shd w:val="clear" w:color="auto" w:fill="auto"/>
        <w:snapToGrid w:val="0"/>
        <w:spacing w:line="360" w:lineRule="exact"/>
        <w:ind w:firstLine="421"/>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39</w:t>
      </w:r>
      <w:r>
        <w:rPr>
          <w:rFonts w:hint="eastAsia" w:ascii="仿宋" w:hAnsi="仿宋" w:eastAsia="仿宋" w:cs="仿宋"/>
          <w:b/>
          <w:color w:val="auto"/>
          <w:szCs w:val="21"/>
          <w:highlight w:val="none"/>
        </w:rPr>
        <w:t>. 定标</w:t>
      </w:r>
    </w:p>
    <w:p w14:paraId="660428CF">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Cs w:val="21"/>
          <w:highlight w:val="none"/>
        </w:rPr>
        <w:t xml:space="preserve">   </w:t>
      </w:r>
      <w:bookmarkStart w:id="23" w:name="_Toc469495729"/>
      <w:r>
        <w:rPr>
          <w:rFonts w:hint="eastAsia" w:ascii="仿宋" w:hAnsi="仿宋" w:eastAsia="仿宋" w:cs="仿宋"/>
          <w:b w:val="0"/>
          <w:bCs w:val="0"/>
          <w:color w:val="auto"/>
          <w:szCs w:val="21"/>
          <w:highlight w:val="none"/>
          <w:lang w:val="en-US" w:eastAsia="zh-CN"/>
        </w:rPr>
        <w:t>39.1采购结果确认（确定中标供应商）</w:t>
      </w:r>
    </w:p>
    <w:p w14:paraId="05B4BB2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采购结果确认（确定中标供应商）：本项目由采购人根据评标委员会提交的《评审报告》，通过“政府采购云平台”依法确认采购结果、确定中标供应商。具体流程如下：</w:t>
      </w:r>
    </w:p>
    <w:p w14:paraId="23B67FD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（1）采购代理机构将在评审结束后2个工作日内将评审报告送采购人。</w:t>
      </w:r>
    </w:p>
    <w:p w14:paraId="58D4F8D4">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（2）采购人将在收到评审报告之日起5个工作日内，在评审报告推荐的中标候选供应商名单中按顺序确定中标供应商，并将确认意见以书面形式回复采购代理机构。 </w:t>
      </w:r>
    </w:p>
    <w:p w14:paraId="68D3B89A">
      <w:pPr>
        <w:shd w:val="clear" w:color="auto" w:fill="auto"/>
        <w:spacing w:line="440" w:lineRule="exact"/>
        <w:ind w:firstLine="240" w:firstLineChars="100"/>
        <w:jc w:val="left"/>
        <w:rPr>
          <w:rFonts w:hint="eastAsia"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39.2采购结果经采购人确认后2个工作日内，采购代理机构将在</w:t>
      </w:r>
      <w:r>
        <w:rPr>
          <w:rFonts w:hint="eastAsia" w:ascii="仿宋" w:hAnsi="仿宋" w:eastAsia="仿宋" w:cs="仿宋"/>
          <w:b/>
          <w:bCs/>
          <w:color w:val="auto"/>
          <w:szCs w:val="21"/>
          <w:highlight w:val="none"/>
          <w:lang w:val="en-US" w:eastAsia="zh-CN"/>
        </w:rPr>
        <w:t>克州公共资源交易中心网、新疆政府采购网（www.zjzfcg.gov.cn）上公告采购结果，中标公告期限为1个工作日。</w:t>
      </w:r>
    </w:p>
    <w:p w14:paraId="1BE56CF2">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40. 中标通知书</w:t>
      </w:r>
    </w:p>
    <w:p w14:paraId="1BA13DB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40.1</w:t>
      </w:r>
      <w:r>
        <w:rPr>
          <w:rFonts w:hint="eastAsia" w:ascii="仿宋" w:hAnsi="仿宋" w:eastAsia="仿宋" w:cs="仿宋"/>
          <w:color w:val="auto"/>
          <w:szCs w:val="21"/>
          <w:highlight w:val="none"/>
        </w:rPr>
        <w:t>在</w:t>
      </w:r>
      <w:r>
        <w:rPr>
          <w:rFonts w:hint="eastAsia" w:ascii="仿宋" w:hAnsi="仿宋" w:eastAsia="仿宋" w:cs="仿宋"/>
          <w:color w:val="auto"/>
          <w:szCs w:val="21"/>
          <w:highlight w:val="none"/>
          <w:lang w:eastAsia="zh-CN"/>
        </w:rPr>
        <w:t>中标</w:t>
      </w:r>
      <w:r>
        <w:rPr>
          <w:rFonts w:hint="eastAsia" w:ascii="仿宋" w:hAnsi="仿宋" w:eastAsia="仿宋" w:cs="仿宋"/>
          <w:color w:val="auto"/>
          <w:szCs w:val="21"/>
          <w:highlight w:val="none"/>
        </w:rPr>
        <w:t>通知书发出前，招标人将</w:t>
      </w:r>
      <w:r>
        <w:rPr>
          <w:rFonts w:hint="eastAsia" w:ascii="仿宋" w:hAnsi="仿宋" w:eastAsia="仿宋" w:cs="仿宋"/>
          <w:color w:val="auto"/>
          <w:szCs w:val="21"/>
          <w:highlight w:val="none"/>
          <w:lang w:eastAsia="zh-CN"/>
        </w:rPr>
        <w:t>中标</w:t>
      </w:r>
      <w:r>
        <w:rPr>
          <w:rFonts w:hint="eastAsia" w:ascii="仿宋" w:hAnsi="仿宋" w:eastAsia="仿宋" w:cs="仿宋"/>
          <w:color w:val="auto"/>
          <w:szCs w:val="21"/>
          <w:highlight w:val="none"/>
        </w:rPr>
        <w:t>侯选人的情况在</w:t>
      </w:r>
      <w:r>
        <w:rPr>
          <w:rFonts w:hint="eastAsia" w:ascii="仿宋" w:hAnsi="仿宋" w:eastAsia="仿宋" w:cs="仿宋"/>
          <w:color w:val="auto"/>
          <w:szCs w:val="21"/>
          <w:highlight w:val="none"/>
          <w:lang w:val="en-US" w:eastAsia="zh-CN"/>
        </w:rPr>
        <w:t>克州公共资源交易中心网、</w:t>
      </w:r>
      <w:r>
        <w:rPr>
          <w:rFonts w:hint="eastAsia" w:ascii="仿宋" w:hAnsi="仿宋" w:eastAsia="仿宋" w:cs="仿宋"/>
          <w:color w:val="auto"/>
          <w:szCs w:val="21"/>
          <w:highlight w:val="none"/>
          <w:lang w:eastAsia="zh-CN"/>
        </w:rPr>
        <w:t>新疆政府采购网</w:t>
      </w:r>
      <w:r>
        <w:rPr>
          <w:rFonts w:hint="eastAsia" w:ascii="仿宋" w:hAnsi="仿宋" w:eastAsia="仿宋" w:cs="仿宋"/>
          <w:color w:val="auto"/>
          <w:szCs w:val="21"/>
          <w:highlight w:val="none"/>
        </w:rPr>
        <w:t>予以公示，</w:t>
      </w:r>
      <w:r>
        <w:rPr>
          <w:rFonts w:hint="eastAsia" w:ascii="仿宋" w:hAnsi="仿宋" w:eastAsia="仿宋" w:cs="仿宋"/>
          <w:b/>
          <w:bCs/>
          <w:color w:val="auto"/>
          <w:szCs w:val="21"/>
          <w:highlight w:val="none"/>
        </w:rPr>
        <w:t>公示期为</w:t>
      </w:r>
      <w:r>
        <w:rPr>
          <w:rFonts w:hint="eastAsia" w:ascii="仿宋" w:hAnsi="仿宋" w:eastAsia="仿宋" w:cs="仿宋"/>
          <w:b/>
          <w:bCs/>
          <w:color w:val="auto"/>
          <w:szCs w:val="21"/>
          <w:highlight w:val="none"/>
          <w:lang w:eastAsia="zh-CN"/>
        </w:rPr>
        <w:t>一</w:t>
      </w:r>
      <w:r>
        <w:rPr>
          <w:rFonts w:hint="eastAsia" w:ascii="仿宋" w:hAnsi="仿宋" w:eastAsia="仿宋" w:cs="仿宋"/>
          <w:b/>
          <w:bCs/>
          <w:color w:val="auto"/>
          <w:szCs w:val="21"/>
          <w:highlight w:val="none"/>
        </w:rPr>
        <w:t>个工作日。</w:t>
      </w:r>
      <w:r>
        <w:rPr>
          <w:rFonts w:hint="eastAsia" w:ascii="仿宋" w:hAnsi="仿宋" w:eastAsia="仿宋" w:cs="仿宋"/>
          <w:b/>
          <w:bCs/>
          <w:color w:val="auto"/>
          <w:szCs w:val="21"/>
          <w:highlight w:val="none"/>
          <w:lang w:eastAsia="zh-CN"/>
        </w:rPr>
        <w:t>待公示期结束后，</w:t>
      </w:r>
      <w:r>
        <w:rPr>
          <w:rFonts w:hint="eastAsia" w:ascii="仿宋" w:hAnsi="仿宋" w:eastAsia="仿宋" w:cs="仿宋"/>
          <w:b w:val="0"/>
          <w:bCs w:val="0"/>
          <w:color w:val="auto"/>
          <w:szCs w:val="21"/>
          <w:highlight w:val="none"/>
          <w:lang w:val="en-US" w:eastAsia="zh-CN"/>
        </w:rPr>
        <w:t>采购组织机构向中标人发出中标通知书。</w:t>
      </w:r>
    </w:p>
    <w:p w14:paraId="7AD1C70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40.2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2B009DDC">
      <w:pPr>
        <w:shd w:val="clear" w:color="auto" w:fill="auto"/>
        <w:spacing w:before="156" w:beforeLines="50" w:line="440" w:lineRule="exact"/>
        <w:jc w:val="center"/>
        <w:outlineLvl w:val="2"/>
        <w:rPr>
          <w:rFonts w:hint="eastAsia" w:ascii="仿宋" w:hAnsi="仿宋" w:eastAsia="仿宋" w:cs="仿宋"/>
          <w:color w:val="auto"/>
          <w:sz w:val="28"/>
          <w:szCs w:val="28"/>
          <w:highlight w:val="none"/>
        </w:rPr>
      </w:pPr>
    </w:p>
    <w:p w14:paraId="3D63479A">
      <w:pPr>
        <w:shd w:val="clear" w:color="auto" w:fill="auto"/>
        <w:spacing w:before="156" w:beforeLines="50" w:line="440" w:lineRule="exact"/>
        <w:ind w:firstLine="2800" w:firstLineChars="1000"/>
        <w:jc w:val="both"/>
        <w:outlineLvl w:val="2"/>
        <w:rPr>
          <w:rFonts w:hint="eastAsia" w:ascii="仿宋" w:hAnsi="仿宋" w:eastAsia="仿宋" w:cs="仿宋"/>
          <w:b/>
          <w:bCs/>
          <w:color w:val="auto"/>
          <w:sz w:val="24"/>
          <w:highlight w:val="none"/>
        </w:rPr>
      </w:pPr>
      <w:r>
        <w:rPr>
          <w:rFonts w:hint="eastAsia" w:ascii="仿宋" w:hAnsi="仿宋" w:eastAsia="仿宋" w:cs="仿宋"/>
          <w:b/>
          <w:bCs/>
          <w:color w:val="auto"/>
          <w:sz w:val="28"/>
          <w:szCs w:val="28"/>
          <w:highlight w:val="none"/>
        </w:rPr>
        <w:t>（六）合同的授予</w:t>
      </w:r>
      <w:bookmarkEnd w:id="23"/>
    </w:p>
    <w:p w14:paraId="6EFD4A6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bookmarkStart w:id="24" w:name="_Toc73975842"/>
      <w:bookmarkStart w:id="25" w:name="_Toc469495730"/>
      <w:r>
        <w:rPr>
          <w:rFonts w:hint="eastAsia" w:ascii="仿宋" w:hAnsi="仿宋" w:eastAsia="仿宋" w:cs="仿宋"/>
          <w:b w:val="0"/>
          <w:bCs w:val="0"/>
          <w:color w:val="auto"/>
          <w:szCs w:val="21"/>
          <w:highlight w:val="none"/>
          <w:lang w:val="en-US" w:eastAsia="zh-CN"/>
        </w:rPr>
        <w:t>41．履约保证金</w:t>
      </w:r>
      <w:bookmarkEnd w:id="24"/>
    </w:p>
    <w:p w14:paraId="7838421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41.1 中标供应商在签订合同后5个工作日内向采购人交纳不超过中标价10%的履约保证金（鼓励以银行、保险公司出具的履约保函形式提交；若以电汇、银行转账方式提交的，必须转到采购人的指定账户）。</w:t>
      </w:r>
    </w:p>
    <w:p w14:paraId="3182052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41.2 签订合同后，如中标供应商不按合同约定履约的，履约保证金不予退还，履约保证金不足以赔偿损失的，按实际损失赔偿。</w:t>
      </w:r>
    </w:p>
    <w:p w14:paraId="04B1624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41.3 如果中标供应商在建设期内没有涉及采购人的应付而未付金额或违约行为，采购人在项目验收合格后或提前终止合同后全额无息退还履约保证金。</w:t>
      </w:r>
    </w:p>
    <w:p w14:paraId="3CD8138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bookmarkStart w:id="26" w:name="_Toc73975843"/>
      <w:r>
        <w:rPr>
          <w:rFonts w:hint="eastAsia" w:ascii="仿宋" w:hAnsi="仿宋" w:eastAsia="仿宋" w:cs="仿宋"/>
          <w:b w:val="0"/>
          <w:bCs w:val="0"/>
          <w:color w:val="auto"/>
          <w:szCs w:val="21"/>
          <w:highlight w:val="none"/>
          <w:lang w:val="en-US" w:eastAsia="zh-CN"/>
        </w:rPr>
        <w:t>41．签订合同及公告</w:t>
      </w:r>
      <w:bookmarkEnd w:id="26"/>
    </w:p>
    <w:p w14:paraId="61C90FA8">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41.1采购人在中标通知书发出之日起30日内与中标供应商签订合同。</w:t>
      </w:r>
    </w:p>
    <w:p w14:paraId="7903AE45">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41.2中标供应商拖延、拒签合同的,取消中标资格。</w:t>
      </w:r>
    </w:p>
    <w:p w14:paraId="7665991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41.3 采购文件、中标供应商的投标文件及评标过程中有关澄清文件等均作为签订合同的依据。所签订的合同不得对采购文件和中标供应商的投标文件的内容作实质性修改。</w:t>
      </w:r>
    </w:p>
    <w:p w14:paraId="3FC2DCAC">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41.4采购人应当自政府采购合同签订之日起2个工作日内，在省级以上财政部门指定的政府采购信息发布媒体及相关网站上公告。</w:t>
      </w:r>
    </w:p>
    <w:p w14:paraId="53CC2C9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41.5采购人应当自政府采购合同签订之日起7个工作日内，将政府采购合同副本报同级人民政府财政部门备案以及采购代理机构存档。</w:t>
      </w:r>
    </w:p>
    <w:p w14:paraId="6149CAAF">
      <w:pPr>
        <w:shd w:val="clear" w:color="auto" w:fill="auto"/>
        <w:adjustRightInd w:val="0"/>
        <w:snapToGrid w:val="0"/>
        <w:spacing w:line="440" w:lineRule="exact"/>
        <w:jc w:val="center"/>
        <w:outlineLvl w:val="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（七）纪律和监督</w:t>
      </w:r>
      <w:bookmarkEnd w:id="25"/>
    </w:p>
    <w:p w14:paraId="27CC1156">
      <w:pPr>
        <w:shd w:val="clear" w:color="auto" w:fill="auto"/>
        <w:spacing w:line="440" w:lineRule="exact"/>
        <w:ind w:firstLine="352"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42</w:t>
      </w:r>
      <w:r>
        <w:rPr>
          <w:rFonts w:hint="eastAsia" w:ascii="仿宋" w:hAnsi="仿宋" w:eastAsia="仿宋" w:cs="仿宋"/>
          <w:b/>
          <w:color w:val="auto"/>
          <w:szCs w:val="21"/>
          <w:highlight w:val="none"/>
        </w:rPr>
        <w:t xml:space="preserve">. 对招标人的纪律要求 </w:t>
      </w:r>
    </w:p>
    <w:p w14:paraId="2675422B">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42</w:t>
      </w:r>
      <w:r>
        <w:rPr>
          <w:rFonts w:hint="eastAsia" w:ascii="仿宋" w:hAnsi="仿宋" w:eastAsia="仿宋" w:cs="仿宋"/>
          <w:color w:val="auto"/>
          <w:kern w:val="10"/>
          <w:szCs w:val="21"/>
          <w:highlight w:val="none"/>
        </w:rPr>
        <w:t xml:space="preserve">.1招标人不得泄漏招标投标活动中应当保密的情况和资料，不得与投标人串通损害国家利益，社会公共利益或者他人合法权益。 </w:t>
      </w:r>
    </w:p>
    <w:p w14:paraId="2DC865B9">
      <w:pPr>
        <w:shd w:val="clear" w:color="auto" w:fill="auto"/>
        <w:spacing w:line="440" w:lineRule="exact"/>
        <w:ind w:firstLine="352"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43</w:t>
      </w:r>
      <w:r>
        <w:rPr>
          <w:rFonts w:hint="eastAsia" w:ascii="仿宋" w:hAnsi="仿宋" w:eastAsia="仿宋" w:cs="仿宋"/>
          <w:b/>
          <w:color w:val="auto"/>
          <w:szCs w:val="21"/>
          <w:highlight w:val="none"/>
        </w:rPr>
        <w:t xml:space="preserve">. 对投标人的纪律要求 </w:t>
      </w:r>
    </w:p>
    <w:p w14:paraId="0E78ADFC">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43</w:t>
      </w:r>
      <w:r>
        <w:rPr>
          <w:rFonts w:hint="eastAsia" w:ascii="仿宋" w:hAnsi="仿宋" w:eastAsia="仿宋" w:cs="仿宋"/>
          <w:color w:val="auto"/>
          <w:kern w:val="10"/>
          <w:szCs w:val="21"/>
          <w:highlight w:val="none"/>
        </w:rPr>
        <w:t>.1投标人不得相互串通投标或者与招标人串通投标，不得向招标人或者评标委员会成员行贿谋取中标，不得以他人名义投标或者以其他方式弄虚作假骗取中标；投标人不得以任何方式干扰、影响评标工作。</w:t>
      </w:r>
    </w:p>
    <w:p w14:paraId="001D4A9E">
      <w:pPr>
        <w:shd w:val="clear" w:color="auto" w:fill="auto"/>
        <w:spacing w:line="440" w:lineRule="exact"/>
        <w:ind w:firstLine="352"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44</w:t>
      </w:r>
      <w:r>
        <w:rPr>
          <w:rFonts w:hint="eastAsia" w:ascii="仿宋" w:hAnsi="仿宋" w:eastAsia="仿宋" w:cs="仿宋"/>
          <w:b/>
          <w:color w:val="auto"/>
          <w:szCs w:val="21"/>
          <w:highlight w:val="none"/>
        </w:rPr>
        <w:t xml:space="preserve">. 对评标委员会成员的纪律要求 </w:t>
      </w:r>
    </w:p>
    <w:p w14:paraId="6968B020">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44</w:t>
      </w:r>
      <w:r>
        <w:rPr>
          <w:rFonts w:hint="eastAsia" w:ascii="仿宋" w:hAnsi="仿宋" w:eastAsia="仿宋" w:cs="仿宋"/>
          <w:color w:val="auto"/>
          <w:kern w:val="10"/>
          <w:szCs w:val="21"/>
          <w:highlight w:val="none"/>
        </w:rPr>
        <w:t>.1评标委员会成员不得收受他人的财物或者其他好处，不得向他人透漏对投标文件的评审和比较、中标候选人的推荐情况以及评标有关的其他情况。</w:t>
      </w:r>
    </w:p>
    <w:p w14:paraId="09D9AE6B">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44</w:t>
      </w:r>
      <w:r>
        <w:rPr>
          <w:rFonts w:hint="eastAsia" w:ascii="仿宋" w:hAnsi="仿宋" w:eastAsia="仿宋" w:cs="仿宋"/>
          <w:color w:val="auto"/>
          <w:kern w:val="10"/>
          <w:szCs w:val="21"/>
          <w:highlight w:val="none"/>
        </w:rPr>
        <w:t xml:space="preserve">.2在评标活动中，评标委员会成员不得擅离职守，影响评标程序正常进行，不得使用第三章“评标办法”没有规定的评审因素和标准进行评标。 </w:t>
      </w:r>
    </w:p>
    <w:p w14:paraId="6DD9CAB0">
      <w:pPr>
        <w:shd w:val="clear" w:color="auto" w:fill="auto"/>
        <w:spacing w:line="440" w:lineRule="exact"/>
        <w:ind w:firstLine="352"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45</w:t>
      </w:r>
      <w:r>
        <w:rPr>
          <w:rFonts w:hint="eastAsia" w:ascii="仿宋" w:hAnsi="仿宋" w:eastAsia="仿宋" w:cs="仿宋"/>
          <w:b/>
          <w:color w:val="auto"/>
          <w:szCs w:val="21"/>
          <w:highlight w:val="none"/>
        </w:rPr>
        <w:t xml:space="preserve">. 对与评标活动有关的工作人员的纪律要求 </w:t>
      </w:r>
    </w:p>
    <w:p w14:paraId="7617F00E">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rPr>
        <w:t>4</w:t>
      </w:r>
      <w:r>
        <w:rPr>
          <w:rFonts w:hint="eastAsia" w:ascii="仿宋" w:hAnsi="仿宋" w:eastAsia="仿宋" w:cs="仿宋"/>
          <w:color w:val="auto"/>
          <w:kern w:val="10"/>
          <w:szCs w:val="21"/>
          <w:highlight w:val="none"/>
          <w:lang w:val="en-US" w:eastAsia="zh-CN"/>
        </w:rPr>
        <w:t>5</w:t>
      </w:r>
      <w:r>
        <w:rPr>
          <w:rFonts w:hint="eastAsia" w:ascii="仿宋" w:hAnsi="仿宋" w:eastAsia="仿宋" w:cs="仿宋"/>
          <w:color w:val="auto"/>
          <w:kern w:val="10"/>
          <w:szCs w:val="21"/>
          <w:highlight w:val="none"/>
        </w:rPr>
        <w:t>.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4AAA37FE">
      <w:pPr>
        <w:shd w:val="clear" w:color="auto" w:fill="auto"/>
        <w:spacing w:before="156" w:beforeLines="50" w:after="156" w:afterLines="50" w:line="500" w:lineRule="exact"/>
        <w:ind w:firstLine="840" w:firstLineChars="30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（八）质疑与投诉</w:t>
      </w:r>
    </w:p>
    <w:p w14:paraId="4AAC499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46．质疑和投诉</w:t>
      </w:r>
    </w:p>
    <w:p w14:paraId="78F30D5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46.1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7E179795">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（一）对可以质疑的采购文件提出质疑的，为收到采购文件之日或者采购文件公告期限届满之日；</w:t>
      </w:r>
    </w:p>
    <w:p w14:paraId="4ADA565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（二）对采购过程提出质疑的，为各采购程序环节结束之日；</w:t>
      </w:r>
    </w:p>
    <w:p w14:paraId="018FAC21">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（三）对中标或者成交结果提出质疑的，为中标或者成交结果公告期限届满之日。</w:t>
      </w:r>
    </w:p>
    <w:p w14:paraId="21962FE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46.2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3AB0ACDC">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供应商为自然人的，应当由本人签章；供应商为法人或者其他组织的，应当由法定代表人、主要负责人，或者其授权代表签章或者盖章，并加盖公章。</w:t>
      </w:r>
    </w:p>
    <w:p w14:paraId="5DCFE19E">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46.3供应商质疑、投诉应当有明确的请求和必要的证明材料。供应商投诉的事项不得超出已质疑事项的范围。采购人及采购代理机构按《政府采购质疑和投诉办法》进行处理供应商质疑事项。</w:t>
      </w:r>
    </w:p>
    <w:p w14:paraId="12A5D1D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46.4质疑供应商对采购人、采购代理机构的质疑答复不满意，或者采购人、采购代理机构未在规定期限内作出答复的，供应商可以在答复期满后15个工作日内向同级财政部门提起投诉。</w:t>
      </w:r>
    </w:p>
    <w:p w14:paraId="413288F0">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46.5供应商有下列情形之一的，采购代理机构将克州财政局，将其列入不良行为记录名单：</w:t>
      </w:r>
    </w:p>
    <w:p w14:paraId="555C9C5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（一）一年内三次以上质疑均查无实据的；</w:t>
      </w:r>
    </w:p>
    <w:p w14:paraId="2863B667">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（二）捏造事实或者提供虚假质疑材料的。</w:t>
      </w:r>
    </w:p>
    <w:p w14:paraId="5802BF7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（三）以非法手段取得证明材料。证据来源的合法性存在明显疑问，质疑人无法证明其取得方式合法的，视为以非法手段取得证明材料。</w:t>
      </w:r>
    </w:p>
    <w:p w14:paraId="107DAC20">
      <w:pPr>
        <w:shd w:val="clear" w:color="auto" w:fill="auto"/>
        <w:jc w:val="left"/>
        <w:rPr>
          <w:rFonts w:hint="eastAsia" w:ascii="仿宋" w:hAnsi="仿宋" w:eastAsia="仿宋" w:cs="仿宋"/>
          <w:b/>
          <w:bCs/>
          <w:color w:val="auto"/>
          <w:sz w:val="21"/>
          <w:szCs w:val="21"/>
          <w:highlight w:val="none"/>
          <w:lang w:eastAsia="zh-CN"/>
        </w:rPr>
      </w:pPr>
    </w:p>
    <w:p w14:paraId="2C92D8A6">
      <w:pPr>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附件：</w:t>
      </w:r>
    </w:p>
    <w:p w14:paraId="508F77E1">
      <w:pPr>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32"/>
          <w:szCs w:val="32"/>
          <w:highlight w:val="none"/>
          <w:lang w:eastAsia="zh-CN"/>
        </w:rPr>
        <w:t>政府采购投诉书（范本）、质疑函范本</w:t>
      </w:r>
    </w:p>
    <w:p w14:paraId="2BC95B7D">
      <w:pPr>
        <w:spacing w:line="400" w:lineRule="exact"/>
        <w:jc w:val="center"/>
        <w:rPr>
          <w:rFonts w:ascii="仿宋" w:hAnsi="仿宋" w:eastAsia="仿宋" w:cs="仿宋"/>
          <w:color w:val="auto"/>
          <w:highlight w:val="none"/>
          <w:u w:val="single"/>
          <w:lang w:eastAsia="zh-CN"/>
        </w:rPr>
      </w:pPr>
      <w:r>
        <w:rPr>
          <w:rFonts w:hint="eastAsia" w:ascii="仿宋" w:hAnsi="仿宋" w:eastAsia="仿宋" w:cs="仿宋"/>
          <w:b/>
          <w:bCs/>
          <w:color w:val="auto"/>
          <w:sz w:val="28"/>
          <w:szCs w:val="28"/>
          <w:highlight w:val="none"/>
          <w:lang w:eastAsia="zh-CN"/>
        </w:rPr>
        <w:t>政府采购投诉书（范本）</w:t>
      </w:r>
    </w:p>
    <w:p w14:paraId="101F93D4">
      <w:pPr>
        <w:spacing w:line="400" w:lineRule="exact"/>
        <w:rPr>
          <w:rFonts w:ascii="仿宋" w:hAnsi="仿宋" w:eastAsia="仿宋" w:cs="仿宋"/>
          <w:color w:val="auto"/>
          <w:highlight w:val="none"/>
          <w:lang w:eastAsia="zh-CN"/>
        </w:rPr>
      </w:pPr>
    </w:p>
    <w:p w14:paraId="49D00D51">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outlineLvl w:val="0"/>
        <w:rPr>
          <w:rFonts w:hint="eastAsia" w:ascii="仿宋" w:hAnsi="仿宋" w:eastAsia="仿宋" w:cs="仿宋"/>
          <w:color w:val="auto"/>
          <w:kern w:val="0"/>
          <w:sz w:val="24"/>
          <w:szCs w:val="24"/>
          <w:highlight w:val="none"/>
          <w:lang w:eastAsia="zh-CN"/>
        </w:rPr>
      </w:pPr>
      <w:bookmarkStart w:id="27" w:name="_Toc17515"/>
      <w:r>
        <w:rPr>
          <w:rFonts w:hint="eastAsia" w:ascii="仿宋" w:hAnsi="仿宋" w:eastAsia="仿宋" w:cs="仿宋"/>
          <w:color w:val="auto"/>
          <w:kern w:val="0"/>
          <w:sz w:val="24"/>
          <w:szCs w:val="24"/>
          <w:highlight w:val="none"/>
          <w:lang w:eastAsia="zh-CN"/>
        </w:rPr>
        <w:t>一、投诉相关主体基本情况</w:t>
      </w:r>
    </w:p>
    <w:p w14:paraId="0AAA21E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投诉人：</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 xml:space="preserve">  </w:t>
      </w:r>
    </w:p>
    <w:p w14:paraId="001FB3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地</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址：</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邮</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编：</w:t>
      </w:r>
      <w:r>
        <w:rPr>
          <w:rFonts w:hint="eastAsia" w:ascii="仿宋" w:hAnsi="仿宋" w:eastAsia="仿宋" w:cs="仿宋"/>
          <w:color w:val="auto"/>
          <w:kern w:val="0"/>
          <w:sz w:val="24"/>
          <w:szCs w:val="24"/>
          <w:highlight w:val="none"/>
          <w:u w:val="single"/>
        </w:rPr>
        <w:t xml:space="preserve">             </w:t>
      </w:r>
    </w:p>
    <w:p w14:paraId="3603E3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lang w:val="en-US" w:eastAsia="zh-CN"/>
        </w:rPr>
        <w:t>法定代表人/主要负责人：</w:t>
      </w:r>
      <w:r>
        <w:rPr>
          <w:rFonts w:hint="eastAsia" w:ascii="仿宋" w:hAnsi="仿宋" w:eastAsia="仿宋" w:cs="仿宋"/>
          <w:color w:val="auto"/>
          <w:kern w:val="0"/>
          <w:sz w:val="24"/>
          <w:szCs w:val="24"/>
          <w:highlight w:val="none"/>
          <w:u w:val="single"/>
          <w:lang w:val="en-US" w:eastAsia="zh-CN"/>
        </w:rPr>
        <w:t xml:space="preserve">                             </w:t>
      </w:r>
    </w:p>
    <w:p w14:paraId="5A5CDDF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联系电话：</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p>
    <w:p w14:paraId="09FD3C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地</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址：</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邮</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编：</w:t>
      </w:r>
      <w:r>
        <w:rPr>
          <w:rFonts w:hint="eastAsia" w:ascii="仿宋" w:hAnsi="仿宋" w:eastAsia="仿宋" w:cs="仿宋"/>
          <w:color w:val="auto"/>
          <w:kern w:val="0"/>
          <w:sz w:val="24"/>
          <w:szCs w:val="24"/>
          <w:highlight w:val="none"/>
          <w:u w:val="single"/>
        </w:rPr>
        <w:t xml:space="preserve">             </w:t>
      </w:r>
    </w:p>
    <w:p w14:paraId="4B49620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kern w:val="0"/>
          <w:sz w:val="24"/>
          <w:szCs w:val="24"/>
          <w:highlight w:val="none"/>
          <w:u w:val="none"/>
          <w:lang w:eastAsia="zh-CN"/>
        </w:rPr>
        <w:t>授权代表（如有）：</w:t>
      </w:r>
      <w:r>
        <w:rPr>
          <w:rFonts w:hint="eastAsia" w:ascii="仿宋" w:hAnsi="仿宋" w:eastAsia="仿宋" w:cs="仿宋"/>
          <w:color w:val="auto"/>
          <w:kern w:val="0"/>
          <w:sz w:val="24"/>
          <w:szCs w:val="24"/>
          <w:highlight w:val="none"/>
          <w:u w:val="single"/>
          <w:lang w:val="en-US" w:eastAsia="zh-CN"/>
        </w:rPr>
        <w:t xml:space="preserve">                         </w:t>
      </w:r>
    </w:p>
    <w:p w14:paraId="5923C89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lang w:val="en-US" w:eastAsia="zh-CN"/>
        </w:rPr>
        <w:t>联系电话：</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p>
    <w:p w14:paraId="7F364E3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地</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址：</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邮</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编：</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w:t>
      </w:r>
    </w:p>
    <w:p w14:paraId="77139CE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u w:val="none"/>
          <w:lang w:eastAsia="zh-CN"/>
        </w:rPr>
        <w:t>被投诉人</w:t>
      </w:r>
      <w:r>
        <w:rPr>
          <w:rFonts w:hint="eastAsia" w:ascii="仿宋" w:hAnsi="仿宋" w:eastAsia="仿宋" w:cs="仿宋"/>
          <w:color w:val="auto"/>
          <w:kern w:val="0"/>
          <w:sz w:val="24"/>
          <w:szCs w:val="24"/>
          <w:highlight w:val="none"/>
          <w:u w:val="none"/>
          <w:lang w:val="en-US" w:eastAsia="zh-CN"/>
        </w:rPr>
        <w:t>1：</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p>
    <w:p w14:paraId="654D146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地</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址：</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邮</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编：</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p>
    <w:p w14:paraId="5E02933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lang w:eastAsia="zh-CN"/>
        </w:rPr>
        <w:t>联系人：</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联系电话：</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p>
    <w:p w14:paraId="2C29E14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kern w:val="0"/>
          <w:sz w:val="24"/>
          <w:szCs w:val="24"/>
          <w:highlight w:val="none"/>
          <w:u w:val="none"/>
          <w:lang w:eastAsia="zh-CN"/>
        </w:rPr>
        <w:t>被投诉人</w:t>
      </w:r>
      <w:r>
        <w:rPr>
          <w:rFonts w:hint="eastAsia" w:ascii="仿宋" w:hAnsi="仿宋" w:eastAsia="仿宋" w:cs="仿宋"/>
          <w:color w:val="auto"/>
          <w:kern w:val="0"/>
          <w:sz w:val="24"/>
          <w:szCs w:val="24"/>
          <w:highlight w:val="none"/>
          <w:u w:val="none"/>
          <w:lang w:val="en-US" w:eastAsia="zh-CN"/>
        </w:rPr>
        <w:t>2：</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p>
    <w:p w14:paraId="005C3C8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u w:val="none"/>
          <w:lang w:val="en-US" w:eastAsia="zh-CN"/>
        </w:rPr>
        <w:t>相关供应商</w:t>
      </w:r>
      <w:r>
        <w:rPr>
          <w:rFonts w:hint="eastAsia" w:ascii="仿宋" w:hAnsi="仿宋" w:eastAsia="仿宋" w:cs="仿宋"/>
          <w:color w:val="auto"/>
          <w:kern w:val="0"/>
          <w:sz w:val="24"/>
          <w:szCs w:val="24"/>
          <w:highlight w:val="none"/>
          <w:u w:val="none"/>
          <w:lang w:eastAsia="zh-CN"/>
        </w:rPr>
        <w:t>（如有）</w:t>
      </w:r>
      <w:r>
        <w:rPr>
          <w:rFonts w:hint="eastAsia" w:ascii="仿宋" w:hAnsi="仿宋" w:eastAsia="仿宋" w:cs="仿宋"/>
          <w:color w:val="auto"/>
          <w:kern w:val="0"/>
          <w:sz w:val="24"/>
          <w:szCs w:val="24"/>
          <w:highlight w:val="none"/>
          <w:u w:val="none"/>
          <w:lang w:val="en-US" w:eastAsia="zh-CN"/>
        </w:rPr>
        <w:t>：</w:t>
      </w:r>
      <w:r>
        <w:rPr>
          <w:rFonts w:hint="eastAsia" w:ascii="仿宋" w:hAnsi="仿宋" w:eastAsia="仿宋" w:cs="仿宋"/>
          <w:color w:val="auto"/>
          <w:kern w:val="0"/>
          <w:sz w:val="24"/>
          <w:szCs w:val="24"/>
          <w:highlight w:val="none"/>
          <w:u w:val="single"/>
        </w:rPr>
        <w:t xml:space="preserve">                                        </w:t>
      </w:r>
    </w:p>
    <w:p w14:paraId="4127523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地</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址：</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邮编：</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p>
    <w:p w14:paraId="0560257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联系人：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联系电话：</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p>
    <w:p w14:paraId="0211C3D4">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outlineLvl w:val="0"/>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二、投诉项目基本情况</w:t>
      </w:r>
    </w:p>
    <w:p w14:paraId="62D514B1">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采购项目名称：</w:t>
      </w:r>
    </w:p>
    <w:p w14:paraId="5BA376E3">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eastAsia="zh-CN"/>
        </w:rPr>
        <w:t>采购项目编号：</w:t>
      </w:r>
      <w:r>
        <w:rPr>
          <w:rFonts w:hint="eastAsia" w:ascii="仿宋" w:hAnsi="仿宋" w:eastAsia="仿宋" w:cs="仿宋"/>
          <w:color w:val="auto"/>
          <w:kern w:val="0"/>
          <w:sz w:val="24"/>
          <w:szCs w:val="24"/>
          <w:highlight w:val="none"/>
          <w:lang w:val="en-US" w:eastAsia="zh-CN"/>
        </w:rPr>
        <w:t xml:space="preserve">        包号：</w:t>
      </w:r>
    </w:p>
    <w:p w14:paraId="42371F9A">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采购人名称：</w:t>
      </w:r>
    </w:p>
    <w:p w14:paraId="0F23CF88">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代理机构名称：</w:t>
      </w:r>
    </w:p>
    <w:p w14:paraId="5A854E13">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采购文件公告：是/否 公告期限：</w:t>
      </w:r>
    </w:p>
    <w:p w14:paraId="3B031BA4">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采购结果公告：是/否 公告期限：</w:t>
      </w:r>
    </w:p>
    <w:p w14:paraId="3C68F104">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80" w:firstLineChars="200"/>
        <w:jc w:val="left"/>
        <w:outlineLvl w:val="0"/>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三、质疑基本情况</w:t>
      </w:r>
    </w:p>
    <w:p w14:paraId="1C180168">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投诉人于    年  月  日，向       提出质疑，</w:t>
      </w:r>
    </w:p>
    <w:p w14:paraId="406224CD">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质疑事项为：</w:t>
      </w:r>
    </w:p>
    <w:p w14:paraId="1E5F2188">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采购人/代理机构于    年  月  日，就质疑事项做出了答复/没有在法定期限内做出答复。</w:t>
      </w:r>
    </w:p>
    <w:p w14:paraId="767FB2DC">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80" w:firstLineChars="200"/>
        <w:jc w:val="left"/>
        <w:outlineLvl w:val="0"/>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四、投诉事项具体内容</w:t>
      </w:r>
    </w:p>
    <w:p w14:paraId="18E0531F">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投诉事项1：</w:t>
      </w:r>
    </w:p>
    <w:p w14:paraId="4830C571">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事实依据：</w:t>
      </w:r>
    </w:p>
    <w:p w14:paraId="5C69712E">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法律依据1：</w:t>
      </w:r>
    </w:p>
    <w:p w14:paraId="419C18BC">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法律依据2：</w:t>
      </w:r>
    </w:p>
    <w:p w14:paraId="75BE5434">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p>
    <w:p w14:paraId="519BA164">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投诉事项2：</w:t>
      </w:r>
    </w:p>
    <w:p w14:paraId="12C088D3">
      <w:pPr>
        <w:ind w:firstLine="480" w:firstLineChars="200"/>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sz w:val="24"/>
          <w:szCs w:val="24"/>
          <w:highlight w:val="none"/>
        </w:rPr>
        <w:t>……</w:t>
      </w:r>
    </w:p>
    <w:p w14:paraId="03B2EB0B">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80" w:firstLineChars="200"/>
        <w:jc w:val="left"/>
        <w:outlineLvl w:val="0"/>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五、与投诉事项相关的投诉请求</w:t>
      </w:r>
    </w:p>
    <w:p w14:paraId="06E0AC81">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请求：</w:t>
      </w:r>
    </w:p>
    <w:p w14:paraId="5AF648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eastAsia="zh-CN"/>
        </w:rPr>
        <w:t>签字（签章）</w:t>
      </w:r>
      <w:r>
        <w:rPr>
          <w:rFonts w:hint="eastAsia" w:ascii="仿宋" w:hAnsi="仿宋" w:eastAsia="仿宋" w:cs="仿宋"/>
          <w:color w:val="auto"/>
          <w:kern w:val="0"/>
          <w:sz w:val="22"/>
          <w:szCs w:val="22"/>
          <w:highlight w:val="none"/>
          <w:lang w:eastAsia="zh-CN"/>
        </w:rPr>
        <w:t>（法人代表或负责人、代理人）</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 xml:space="preserve">       </w:t>
      </w:r>
    </w:p>
    <w:p w14:paraId="7D54575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公章</w:t>
      </w:r>
      <w:r>
        <w:rPr>
          <w:rFonts w:hint="eastAsia" w:ascii="仿宋" w:hAnsi="仿宋" w:eastAsia="仿宋" w:cs="仿宋"/>
          <w:color w:val="auto"/>
          <w:kern w:val="0"/>
          <w:sz w:val="22"/>
          <w:szCs w:val="22"/>
          <w:highlight w:val="none"/>
          <w:lang w:eastAsia="zh-CN"/>
        </w:rPr>
        <w:t>（单位）</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 xml:space="preserve">  </w:t>
      </w:r>
    </w:p>
    <w:p w14:paraId="7195FF7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日期：</w:t>
      </w:r>
    </w:p>
    <w:p w14:paraId="7E308C6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480" w:firstLineChars="200"/>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附件：质疑及答复材料</w:t>
      </w:r>
    </w:p>
    <w:p w14:paraId="384095DD">
      <w:pPr>
        <w:rPr>
          <w:rFonts w:hint="eastAsia" w:ascii="仿宋" w:hAnsi="仿宋" w:eastAsia="仿宋" w:cs="仿宋"/>
          <w:b/>
          <w:bCs/>
          <w:color w:val="auto"/>
          <w:kern w:val="0"/>
          <w:sz w:val="32"/>
          <w:szCs w:val="32"/>
          <w:highlight w:val="none"/>
          <w:lang w:eastAsia="zh-CN"/>
        </w:rPr>
      </w:pPr>
      <w:r>
        <w:rPr>
          <w:rFonts w:hint="eastAsia" w:ascii="仿宋" w:hAnsi="仿宋" w:eastAsia="仿宋" w:cs="仿宋"/>
          <w:b/>
          <w:bCs/>
          <w:color w:val="auto"/>
          <w:kern w:val="0"/>
          <w:sz w:val="32"/>
          <w:szCs w:val="32"/>
          <w:highlight w:val="none"/>
          <w:lang w:eastAsia="zh-CN"/>
        </w:rPr>
        <w:br w:type="page"/>
      </w:r>
    </w:p>
    <w:p w14:paraId="3D71E7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outlineLvl w:val="0"/>
        <w:rPr>
          <w:rFonts w:hint="eastAsia" w:ascii="仿宋" w:hAnsi="仿宋" w:eastAsia="仿宋" w:cs="仿宋"/>
          <w:b/>
          <w:bCs/>
          <w:color w:val="auto"/>
          <w:kern w:val="0"/>
          <w:sz w:val="28"/>
          <w:szCs w:val="28"/>
          <w:highlight w:val="none"/>
          <w:lang w:eastAsia="zh-CN"/>
        </w:rPr>
      </w:pPr>
      <w:r>
        <w:rPr>
          <w:rFonts w:hint="eastAsia" w:ascii="仿宋" w:hAnsi="仿宋" w:eastAsia="仿宋" w:cs="仿宋"/>
          <w:b/>
          <w:bCs/>
          <w:color w:val="auto"/>
          <w:kern w:val="0"/>
          <w:sz w:val="28"/>
          <w:szCs w:val="28"/>
          <w:highlight w:val="none"/>
          <w:lang w:eastAsia="zh-CN"/>
        </w:rPr>
        <w:t>投诉书制作说明：</w:t>
      </w:r>
    </w:p>
    <w:p w14:paraId="07FA8CC0">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1.投诉人应当按照《政府采购质疑和投诉办法》（财政部令第94号）规定提起投诉。</w:t>
      </w:r>
    </w:p>
    <w:p w14:paraId="5DC1FC85">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2.投诉人提起投诉时，应当提交投诉书和必要的证明材料，并按照被投诉人和与投诉事项有关的供应商数量提供投诉书副本。</w:t>
      </w:r>
    </w:p>
    <w:p w14:paraId="4FC797D2">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3.投诉人若委托代理人进行投诉的，投诉书应按照要求列明“授权代表”的有关内容，并在附件中提交由投诉人签署的授权委托书。授权委托书应当载明代理人的姓名或者名称、代理事项、具体权限、期限和相关事项。</w:t>
      </w:r>
    </w:p>
    <w:p w14:paraId="3329A844">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4.投诉人若对项目的某一分包进行投诉，投诉书应列明具体分包号。</w:t>
      </w:r>
    </w:p>
    <w:p w14:paraId="67B2B20D">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5.投诉书应简要列明质疑事项，质疑函、质疑答复等作为附件材料提供。</w:t>
      </w:r>
    </w:p>
    <w:p w14:paraId="063B52FE">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6.投诉书的投诉事项应具体、明确，并由必要的事实依据和法律依据。</w:t>
      </w:r>
    </w:p>
    <w:p w14:paraId="0806EE20">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7.投诉书的投诉请求应与投诉事项相关。</w:t>
      </w:r>
    </w:p>
    <w:p w14:paraId="1EAC1B16">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8.投诉人为自然人的，投诉书应当由本人签字；投诉书应当由法定代表人、主要负责人，或者其授权代表签字或者盖章，并加盖公章。</w:t>
      </w:r>
    </w:p>
    <w:p w14:paraId="29C96E0D">
      <w:pPr>
        <w:ind w:left="5783" w:hanging="5760" w:hangingChars="1800"/>
        <w:jc w:val="center"/>
        <w:outlineLvl w:val="0"/>
        <w:rPr>
          <w:rFonts w:hint="eastAsia" w:ascii="仿宋" w:hAnsi="仿宋" w:eastAsia="仿宋" w:cs="仿宋"/>
          <w:b/>
          <w:bCs/>
          <w:color w:val="auto"/>
          <w:sz w:val="32"/>
          <w:szCs w:val="32"/>
          <w:highlight w:val="none"/>
          <w:lang w:eastAsia="zh-CN"/>
        </w:rPr>
      </w:pPr>
    </w:p>
    <w:p w14:paraId="4D182F10">
      <w:pPr>
        <w:ind w:left="5783" w:hanging="5760" w:hangingChars="1800"/>
        <w:jc w:val="center"/>
        <w:outlineLvl w:val="0"/>
        <w:rPr>
          <w:rFonts w:hint="eastAsia" w:ascii="仿宋" w:hAnsi="仿宋" w:eastAsia="仿宋" w:cs="仿宋"/>
          <w:b/>
          <w:bCs/>
          <w:color w:val="auto"/>
          <w:sz w:val="32"/>
          <w:szCs w:val="32"/>
          <w:highlight w:val="none"/>
          <w:lang w:eastAsia="zh-CN"/>
        </w:rPr>
      </w:pPr>
    </w:p>
    <w:p w14:paraId="50BFA690">
      <w:pPr>
        <w:ind w:left="5783" w:hanging="5760" w:hangingChars="1800"/>
        <w:jc w:val="center"/>
        <w:outlineLvl w:val="0"/>
        <w:rPr>
          <w:rFonts w:hint="eastAsia" w:ascii="仿宋" w:hAnsi="仿宋" w:eastAsia="仿宋" w:cs="仿宋"/>
          <w:b/>
          <w:bCs/>
          <w:color w:val="auto"/>
          <w:sz w:val="32"/>
          <w:szCs w:val="32"/>
          <w:highlight w:val="none"/>
          <w:lang w:eastAsia="zh-CN"/>
        </w:rPr>
      </w:pPr>
    </w:p>
    <w:p w14:paraId="57589206">
      <w:pPr>
        <w:ind w:left="5783" w:hanging="5760" w:hangingChars="1800"/>
        <w:jc w:val="center"/>
        <w:outlineLvl w:val="0"/>
        <w:rPr>
          <w:rFonts w:hint="eastAsia" w:ascii="仿宋" w:hAnsi="仿宋" w:eastAsia="仿宋" w:cs="仿宋"/>
          <w:b/>
          <w:bCs/>
          <w:color w:val="auto"/>
          <w:sz w:val="32"/>
          <w:szCs w:val="32"/>
          <w:highlight w:val="none"/>
          <w:lang w:eastAsia="zh-CN"/>
        </w:rPr>
      </w:pPr>
    </w:p>
    <w:p w14:paraId="2CCD8F12">
      <w:pPr>
        <w:ind w:left="5783" w:hanging="5760" w:hangingChars="1800"/>
        <w:jc w:val="center"/>
        <w:outlineLvl w:val="0"/>
        <w:rPr>
          <w:rFonts w:hint="eastAsia" w:ascii="仿宋" w:hAnsi="仿宋" w:eastAsia="仿宋" w:cs="仿宋"/>
          <w:b/>
          <w:bCs/>
          <w:color w:val="auto"/>
          <w:sz w:val="32"/>
          <w:szCs w:val="32"/>
          <w:highlight w:val="none"/>
          <w:lang w:eastAsia="zh-CN"/>
        </w:rPr>
      </w:pPr>
    </w:p>
    <w:p w14:paraId="60AF2D60">
      <w:pPr>
        <w:ind w:left="5783" w:hanging="5760" w:hangingChars="1800"/>
        <w:jc w:val="center"/>
        <w:outlineLvl w:val="0"/>
        <w:rPr>
          <w:rFonts w:hint="eastAsia" w:ascii="仿宋" w:hAnsi="仿宋" w:eastAsia="仿宋" w:cs="仿宋"/>
          <w:b/>
          <w:bCs/>
          <w:color w:val="auto"/>
          <w:sz w:val="32"/>
          <w:szCs w:val="32"/>
          <w:highlight w:val="none"/>
          <w:lang w:eastAsia="zh-CN"/>
        </w:rPr>
      </w:pPr>
    </w:p>
    <w:p w14:paraId="28FC1A25">
      <w:pPr>
        <w:ind w:left="5783" w:hanging="5760" w:hangingChars="1800"/>
        <w:jc w:val="center"/>
        <w:outlineLvl w:val="0"/>
        <w:rPr>
          <w:rFonts w:hint="eastAsia" w:ascii="仿宋" w:hAnsi="仿宋" w:eastAsia="仿宋" w:cs="仿宋"/>
          <w:b/>
          <w:bCs/>
          <w:color w:val="auto"/>
          <w:sz w:val="32"/>
          <w:szCs w:val="32"/>
          <w:highlight w:val="none"/>
          <w:lang w:eastAsia="zh-CN"/>
        </w:rPr>
      </w:pPr>
    </w:p>
    <w:p w14:paraId="3EBC1513">
      <w:pPr>
        <w:ind w:left="5783" w:hanging="5760" w:hangingChars="1800"/>
        <w:jc w:val="center"/>
        <w:outlineLvl w:val="0"/>
        <w:rPr>
          <w:rFonts w:hint="eastAsia" w:ascii="仿宋" w:hAnsi="仿宋" w:eastAsia="仿宋" w:cs="仿宋"/>
          <w:b/>
          <w:bCs/>
          <w:color w:val="auto"/>
          <w:sz w:val="32"/>
          <w:szCs w:val="32"/>
          <w:highlight w:val="none"/>
          <w:lang w:eastAsia="zh-CN"/>
        </w:rPr>
      </w:pPr>
    </w:p>
    <w:p w14:paraId="606D58B2">
      <w:pPr>
        <w:ind w:left="5783" w:hanging="5760" w:hangingChars="1800"/>
        <w:jc w:val="center"/>
        <w:outlineLvl w:val="0"/>
        <w:rPr>
          <w:rFonts w:hint="eastAsia" w:ascii="仿宋" w:hAnsi="仿宋" w:eastAsia="仿宋" w:cs="仿宋"/>
          <w:b/>
          <w:bCs/>
          <w:color w:val="auto"/>
          <w:sz w:val="32"/>
          <w:szCs w:val="32"/>
          <w:highlight w:val="none"/>
          <w:lang w:eastAsia="zh-CN"/>
        </w:rPr>
      </w:pPr>
    </w:p>
    <w:p w14:paraId="5BB3BBDF">
      <w:pPr>
        <w:ind w:left="5783" w:hanging="5760" w:hangingChars="1800"/>
        <w:jc w:val="center"/>
        <w:outlineLvl w:val="0"/>
        <w:rPr>
          <w:rFonts w:ascii="仿宋" w:hAnsi="仿宋" w:eastAsia="仿宋" w:cs="仿宋"/>
          <w:color w:val="auto"/>
          <w:sz w:val="32"/>
          <w:szCs w:val="32"/>
          <w:highlight w:val="none"/>
          <w:lang w:eastAsia="zh-CN"/>
        </w:rPr>
      </w:pPr>
      <w:r>
        <w:rPr>
          <w:rFonts w:hint="eastAsia" w:ascii="仿宋" w:hAnsi="仿宋" w:eastAsia="仿宋" w:cs="仿宋"/>
          <w:b/>
          <w:bCs/>
          <w:color w:val="auto"/>
          <w:sz w:val="32"/>
          <w:szCs w:val="32"/>
          <w:highlight w:val="none"/>
          <w:lang w:eastAsia="zh-CN"/>
        </w:rPr>
        <w:t>投诉相关说明</w:t>
      </w:r>
      <w:bookmarkEnd w:id="27"/>
    </w:p>
    <w:p w14:paraId="550CA8C4">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投诉人应当满足《政府采购法》、《政府采购法实施条例》和《政府采购供应商投诉处理办法》的相关规定。</w:t>
      </w:r>
    </w:p>
    <w:p w14:paraId="3BD90293">
      <w:pPr>
        <w:numPr>
          <w:ilvl w:val="0"/>
          <w:numId w:val="3"/>
        </w:numPr>
        <w:spacing w:line="400" w:lineRule="exact"/>
        <w:ind w:left="4569" w:leftChars="304" w:hanging="3840" w:hangingChars="1600"/>
        <w:outlineLvl w:val="0"/>
        <w:rPr>
          <w:rFonts w:ascii="仿宋" w:hAnsi="仿宋" w:eastAsia="仿宋" w:cs="仿宋"/>
          <w:b/>
          <w:bCs/>
          <w:color w:val="auto"/>
          <w:sz w:val="24"/>
          <w:szCs w:val="24"/>
          <w:highlight w:val="none"/>
        </w:rPr>
      </w:pPr>
      <w:bookmarkStart w:id="28" w:name="_Toc11499"/>
      <w:r>
        <w:rPr>
          <w:rFonts w:hint="eastAsia" w:ascii="仿宋" w:hAnsi="仿宋" w:eastAsia="仿宋" w:cs="仿宋"/>
          <w:b/>
          <w:bCs/>
          <w:color w:val="auto"/>
          <w:sz w:val="24"/>
          <w:szCs w:val="24"/>
          <w:highlight w:val="none"/>
        </w:rPr>
        <w:t>质疑前置及时间要求</w:t>
      </w:r>
      <w:bookmarkEnd w:id="28"/>
    </w:p>
    <w:p w14:paraId="6A495A33">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lang w:eastAsia="zh-CN"/>
        </w:rPr>
        <w:t>《中华人民共和国政府采购法》</w:t>
      </w:r>
      <w:r>
        <w:rPr>
          <w:rFonts w:hint="eastAsia" w:ascii="仿宋" w:hAnsi="仿宋" w:eastAsia="仿宋" w:cs="仿宋"/>
          <w:color w:val="auto"/>
          <w:highlight w:val="none"/>
          <w:shd w:val="clear" w:color="auto" w:fill="FFFFFF"/>
          <w:lang w:eastAsia="zh-CN"/>
        </w:rPr>
        <w:t>第五十一条：供应商对政府采购活动事项有疑问的，可以向采购人提出询问，采购人应当及时作出答复，但答复的内容不得涉及商业秘密。</w:t>
      </w:r>
    </w:p>
    <w:p w14:paraId="35F5D021">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shd w:val="clear" w:color="auto" w:fill="FFFFFF"/>
          <w:lang w:eastAsia="zh-CN"/>
        </w:rPr>
        <w:t xml:space="preserve"> 第五十二条：供应商认为采购文件、采购过程和中标、中标结果使自己的权益受到损害的，可以在知道或者应知其权益受到损害之日起七个工作日内，以书面形式向采购人提出质疑。</w:t>
      </w:r>
    </w:p>
    <w:p w14:paraId="13FD4CCB">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shd w:val="clear" w:color="auto" w:fill="FFFFFF"/>
          <w:lang w:eastAsia="zh-CN"/>
        </w:rPr>
        <w:t xml:space="preserve"> 第五十三条：采购人应当在收到供应商的书面质疑后七个工作日内作出答复，并以书面形式通知质疑供应商和其他有关供应商，但答复的内容不得涉及商业秘密。</w:t>
      </w:r>
    </w:p>
    <w:p w14:paraId="4A9E3DD1">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shd w:val="clear" w:color="auto" w:fill="FFFFFF"/>
          <w:lang w:eastAsia="zh-CN"/>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12F24FAF">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shd w:val="clear" w:color="auto" w:fill="FFFFFF"/>
          <w:lang w:eastAsia="zh-CN"/>
        </w:rPr>
        <w:t xml:space="preserve">  《政府采购实施条例》第五十五条：供应商质疑、投诉应当有明确的请求和必要的证明材料。供应商投诉的事项不得超出质疑事项的范围。</w:t>
      </w:r>
    </w:p>
    <w:p w14:paraId="1CAF421F">
      <w:pPr>
        <w:spacing w:line="400" w:lineRule="exact"/>
        <w:ind w:left="3780" w:hanging="3780" w:hangingChars="1800"/>
        <w:outlineLvl w:val="0"/>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b/>
          <w:bCs/>
          <w:color w:val="auto"/>
          <w:sz w:val="21"/>
          <w:szCs w:val="21"/>
          <w:highlight w:val="none"/>
          <w:lang w:eastAsia="zh-CN"/>
        </w:rPr>
        <w:t xml:space="preserve">   </w:t>
      </w:r>
      <w:bookmarkStart w:id="29" w:name="_Toc13508"/>
      <w:r>
        <w:rPr>
          <w:rFonts w:hint="eastAsia" w:ascii="仿宋" w:hAnsi="仿宋" w:eastAsia="仿宋" w:cs="仿宋"/>
          <w:b/>
          <w:bCs/>
          <w:color w:val="auto"/>
          <w:sz w:val="21"/>
          <w:szCs w:val="21"/>
          <w:highlight w:val="none"/>
          <w:lang w:eastAsia="zh-CN"/>
        </w:rPr>
        <w:t>二、书面方式</w:t>
      </w:r>
      <w:bookmarkEnd w:id="29"/>
    </w:p>
    <w:p w14:paraId="5F84BA72">
      <w:pPr>
        <w:spacing w:line="400" w:lineRule="exact"/>
        <w:ind w:left="3780" w:hanging="3780" w:hangingChars="1800"/>
        <w:rPr>
          <w:rFonts w:ascii="仿宋" w:hAnsi="仿宋" w:eastAsia="仿宋" w:cs="仿宋"/>
          <w:color w:val="auto"/>
          <w:highlight w:val="none"/>
          <w:lang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color w:val="auto"/>
          <w:highlight w:val="none"/>
          <w:lang w:eastAsia="zh-CN"/>
        </w:rPr>
        <w:t>政府采购供应商投诉处理办法》第八条：投诉人投诉</w:t>
      </w:r>
    </w:p>
    <w:p w14:paraId="549850F7">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时，应当提交投诉书，并按照被投诉人以及与投诉事项有关的供应商数量提供投诉书的副本。</w:t>
      </w:r>
    </w:p>
    <w:p w14:paraId="707B7762">
      <w:pPr>
        <w:spacing w:line="400" w:lineRule="exact"/>
        <w:ind w:left="4320" w:hanging="4320" w:hangingChars="18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投诉书应当包括下列主要内容：</w:t>
      </w:r>
    </w:p>
    <w:p w14:paraId="23B5B873">
      <w:pPr>
        <w:numPr>
          <w:ilvl w:val="0"/>
          <w:numId w:val="4"/>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投诉人和被投诉人的名称、地址、电话等；</w:t>
      </w:r>
    </w:p>
    <w:p w14:paraId="3CA07AE2">
      <w:pPr>
        <w:numPr>
          <w:ilvl w:val="0"/>
          <w:numId w:val="4"/>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具体的投诉事项及事实依据；</w:t>
      </w:r>
    </w:p>
    <w:p w14:paraId="3BB51048">
      <w:pPr>
        <w:numPr>
          <w:ilvl w:val="0"/>
          <w:numId w:val="4"/>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质疑和质疑答复情况及相关证明材料；</w:t>
      </w:r>
    </w:p>
    <w:p w14:paraId="74DE53EA">
      <w:pPr>
        <w:numPr>
          <w:ilvl w:val="0"/>
          <w:numId w:val="4"/>
        </w:numPr>
        <w:spacing w:line="400" w:lineRule="exact"/>
        <w:rPr>
          <w:rFonts w:ascii="仿宋" w:hAnsi="仿宋" w:eastAsia="仿宋" w:cs="仿宋"/>
          <w:color w:val="auto"/>
          <w:highlight w:val="none"/>
        </w:rPr>
      </w:pPr>
      <w:r>
        <w:rPr>
          <w:rFonts w:hint="eastAsia" w:ascii="仿宋" w:hAnsi="仿宋" w:eastAsia="仿宋" w:cs="仿宋"/>
          <w:color w:val="auto"/>
          <w:highlight w:val="none"/>
        </w:rPr>
        <w:t>提起投诉的日期。</w:t>
      </w:r>
    </w:p>
    <w:p w14:paraId="6098CE6B">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投诉书应当署名。投诉人为自然人，应当由本人签章；投诉人为法人或者其他组织的，应当由法定代表人或者主要负责人签章并加盖公章。</w:t>
      </w:r>
    </w:p>
    <w:p w14:paraId="2C37A9E1">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37B7907A">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《政府采购供应商投诉处理办法》第十条：投诉人提起投诉应当符合下列条件：</w:t>
      </w:r>
    </w:p>
    <w:p w14:paraId="1F0D2B4C">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投诉人是参与所投诉政府采购活动的供应商；</w:t>
      </w:r>
    </w:p>
    <w:p w14:paraId="074E29CD">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提起投诉诉前已依法进行质疑；</w:t>
      </w:r>
    </w:p>
    <w:p w14:paraId="1E54884D">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投诉书内容符合本办法的规定；</w:t>
      </w:r>
    </w:p>
    <w:p w14:paraId="3BB01C7E">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在投诉有效期内提起投诉；</w:t>
      </w:r>
    </w:p>
    <w:p w14:paraId="0CE15B28">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属于本级财政部门管辖；</w:t>
      </w:r>
    </w:p>
    <w:p w14:paraId="38F98C76">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同一投诉事项未经财政部门投诉处理；</w:t>
      </w:r>
    </w:p>
    <w:p w14:paraId="4C4BA77C">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国务院财政部门规定的其他条件。</w:t>
      </w:r>
    </w:p>
    <w:p w14:paraId="1BD9C078">
      <w:pPr>
        <w:spacing w:line="400" w:lineRule="exact"/>
        <w:ind w:left="4320" w:hanging="4320" w:hangingChars="18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5CD9C0B7">
      <w:pPr>
        <w:outlineLvl w:val="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b/>
          <w:bCs/>
          <w:color w:val="auto"/>
          <w:highlight w:val="none"/>
          <w:lang w:eastAsia="zh-CN"/>
        </w:rPr>
        <w:t xml:space="preserve">   </w:t>
      </w:r>
      <w:bookmarkStart w:id="30" w:name="_Toc5978"/>
      <w:r>
        <w:rPr>
          <w:rFonts w:hint="eastAsia" w:ascii="仿宋" w:hAnsi="仿宋" w:eastAsia="仿宋" w:cs="仿宋"/>
          <w:b/>
          <w:bCs/>
          <w:color w:val="auto"/>
          <w:highlight w:val="none"/>
          <w:lang w:eastAsia="zh-CN"/>
        </w:rPr>
        <w:t>三、虚假、恶意投诉法律责任</w:t>
      </w:r>
      <w:bookmarkEnd w:id="30"/>
    </w:p>
    <w:p w14:paraId="4C69D034">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第七十三条：供应商捏造实施、提供虚假材料或者以非法手段取得证明材料进行投诉的，由财政部门列入不良行为记录名单，禁止其1至3年内参加政府采购活动。</w:t>
      </w:r>
    </w:p>
    <w:p w14:paraId="71DEEDF1">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《政府采购供应商投诉处理办法》第二十六条：投诉人有下列情形之一的，属于虚假、恶意投诉，财政部门应当驳回投诉，将其列入不良行为记录名单，并依法予以处罚：</w:t>
      </w:r>
    </w:p>
    <w:p w14:paraId="3D3A4A5B">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（一）1年内3次以上投诉均查无实据的；</w:t>
      </w:r>
    </w:p>
    <w:p w14:paraId="6942CBEB">
      <w:pPr>
        <w:spacing w:line="40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（二）捏造事实或者提供虚假投诉材料的。</w:t>
      </w:r>
    </w:p>
    <w:p w14:paraId="4794F1F0">
      <w:pPr>
        <w:spacing w:line="400" w:lineRule="exact"/>
        <w:rPr>
          <w:rFonts w:ascii="仿宋" w:hAnsi="仿宋" w:eastAsia="仿宋" w:cs="仿宋"/>
          <w:color w:val="auto"/>
          <w:sz w:val="21"/>
          <w:szCs w:val="21"/>
          <w:highlight w:val="none"/>
          <w:lang w:eastAsia="zh-CN"/>
        </w:rPr>
      </w:pPr>
    </w:p>
    <w:p w14:paraId="74B909B3">
      <w:pPr>
        <w:spacing w:line="400" w:lineRule="exact"/>
        <w:rPr>
          <w:rFonts w:ascii="仿宋" w:hAnsi="仿宋" w:eastAsia="仿宋" w:cs="仿宋"/>
          <w:color w:val="auto"/>
          <w:sz w:val="21"/>
          <w:szCs w:val="21"/>
          <w:highlight w:val="none"/>
          <w:lang w:eastAsia="zh-CN"/>
        </w:rPr>
      </w:pPr>
    </w:p>
    <w:p w14:paraId="5BE8BA87">
      <w:pPr>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递交投诉书地址：克州政府采购办监管办公室</w:t>
      </w:r>
    </w:p>
    <w:p w14:paraId="7C2F110E">
      <w:pPr>
        <w:shd w:val="clear" w:color="auto" w:fill="auto"/>
        <w:jc w:val="right"/>
        <w:rPr>
          <w:rFonts w:hint="eastAsia" w:ascii="仿宋" w:hAnsi="仿宋" w:eastAsia="仿宋" w:cs="仿宋"/>
          <w:color w:val="auto"/>
          <w:sz w:val="32"/>
          <w:szCs w:val="32"/>
          <w:highlight w:val="none"/>
        </w:rPr>
      </w:pPr>
    </w:p>
    <w:p w14:paraId="50E45BDF">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629F4DF4">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65A8CFC1">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5018EAAB">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6BCA3C15">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75F920A1">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38457585">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40AD52D9">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36D16842">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14:paraId="7FD2EA1D">
      <w:pPr>
        <w:pStyle w:val="27"/>
        <w:rPr>
          <w:rFonts w:hint="eastAsia" w:ascii="仿宋" w:hAnsi="仿宋" w:eastAsia="仿宋" w:cs="仿宋"/>
          <w:b/>
          <w:bCs/>
          <w:color w:val="auto"/>
          <w:sz w:val="44"/>
          <w:szCs w:val="44"/>
          <w:highlight w:val="none"/>
        </w:rPr>
      </w:pPr>
    </w:p>
    <w:p w14:paraId="4112D5BE">
      <w:pPr>
        <w:pStyle w:val="27"/>
        <w:rPr>
          <w:rFonts w:hint="eastAsia" w:ascii="仿宋" w:hAnsi="仿宋" w:eastAsia="仿宋" w:cs="仿宋"/>
          <w:b/>
          <w:bCs/>
          <w:color w:val="auto"/>
          <w:sz w:val="44"/>
          <w:szCs w:val="44"/>
          <w:highlight w:val="none"/>
        </w:rPr>
      </w:pPr>
    </w:p>
    <w:p w14:paraId="2947E1AD">
      <w:pPr>
        <w:pStyle w:val="27"/>
        <w:rPr>
          <w:rFonts w:hint="eastAsia" w:ascii="仿宋" w:hAnsi="仿宋" w:eastAsia="仿宋" w:cs="仿宋"/>
          <w:b/>
          <w:bCs/>
          <w:color w:val="auto"/>
          <w:sz w:val="44"/>
          <w:szCs w:val="44"/>
          <w:highlight w:val="none"/>
        </w:rPr>
      </w:pPr>
    </w:p>
    <w:p w14:paraId="39AD0ACF">
      <w:pPr>
        <w:spacing w:line="540" w:lineRule="exact"/>
        <w:jc w:val="center"/>
        <w:outlineLvl w:val="0"/>
        <w:rPr>
          <w:rFonts w:ascii="仿宋" w:hAnsi="仿宋" w:eastAsia="仿宋" w:cs="仿宋"/>
          <w:b/>
          <w:bCs/>
          <w:color w:val="auto"/>
          <w:sz w:val="32"/>
          <w:szCs w:val="32"/>
          <w:highlight w:val="none"/>
          <w:lang w:eastAsia="zh-CN"/>
        </w:rPr>
      </w:pPr>
      <w:bookmarkStart w:id="31" w:name="_Toc469495731"/>
      <w:r>
        <w:rPr>
          <w:rFonts w:hint="eastAsia" w:ascii="仿宋" w:hAnsi="仿宋" w:eastAsia="仿宋" w:cs="仿宋"/>
          <w:b/>
          <w:bCs/>
          <w:color w:val="auto"/>
          <w:sz w:val="32"/>
          <w:szCs w:val="32"/>
          <w:highlight w:val="none"/>
          <w:lang w:eastAsia="zh-CN"/>
        </w:rPr>
        <w:t>质疑函范本</w:t>
      </w:r>
    </w:p>
    <w:p w14:paraId="30CDA656">
      <w:pPr>
        <w:adjustRightInd w:val="0"/>
        <w:snapToGrid w:val="0"/>
        <w:spacing w:beforeLines="100" w:line="540" w:lineRule="exact"/>
        <w:ind w:firstLine="480" w:firstLineChars="200"/>
        <w:outlineLvl w:val="0"/>
        <w:rPr>
          <w:rFonts w:ascii="仿宋" w:hAnsi="仿宋" w:eastAsia="仿宋" w:cs="仿宋"/>
          <w:bCs/>
          <w:color w:val="auto"/>
          <w:highlight w:val="none"/>
          <w:lang w:eastAsia="zh-CN"/>
        </w:rPr>
      </w:pPr>
      <w:bookmarkStart w:id="32" w:name="_Toc9061"/>
      <w:r>
        <w:rPr>
          <w:rFonts w:hint="eastAsia" w:ascii="仿宋" w:hAnsi="仿宋" w:eastAsia="仿宋" w:cs="仿宋"/>
          <w:bCs/>
          <w:color w:val="auto"/>
          <w:highlight w:val="none"/>
          <w:lang w:eastAsia="zh-CN"/>
        </w:rPr>
        <w:t>一、质疑供应商基本信息</w:t>
      </w:r>
      <w:bookmarkEnd w:id="32"/>
    </w:p>
    <w:p w14:paraId="46E0175D">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质疑供应商：</w:t>
      </w:r>
      <w:r>
        <w:rPr>
          <w:rFonts w:hint="eastAsia" w:ascii="仿宋" w:hAnsi="仿宋" w:eastAsia="仿宋" w:cs="仿宋"/>
          <w:color w:val="auto"/>
          <w:highlight w:val="none"/>
          <w:u w:val="dotted"/>
          <w:lang w:eastAsia="zh-CN"/>
        </w:rPr>
        <w:t xml:space="preserve">                         </w:t>
      </w:r>
    </w:p>
    <w:p w14:paraId="2518D74A">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邮编：</w:t>
      </w:r>
      <w:r>
        <w:rPr>
          <w:rFonts w:hint="eastAsia" w:ascii="仿宋" w:hAnsi="仿宋" w:eastAsia="仿宋" w:cs="仿宋"/>
          <w:color w:val="auto"/>
          <w:highlight w:val="none"/>
          <w:u w:val="dotted"/>
          <w:lang w:eastAsia="zh-CN"/>
        </w:rPr>
        <w:t xml:space="preserve">            </w:t>
      </w:r>
    </w:p>
    <w:p w14:paraId="3F170157">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联系人：</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u w:val="dotted"/>
          <w:lang w:eastAsia="zh-CN"/>
        </w:rPr>
        <w:t xml:space="preserve">            </w:t>
      </w:r>
    </w:p>
    <w:p w14:paraId="67525333">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授权代表：</w:t>
      </w:r>
      <w:r>
        <w:rPr>
          <w:rFonts w:hint="eastAsia" w:ascii="仿宋" w:hAnsi="仿宋" w:eastAsia="仿宋" w:cs="仿宋"/>
          <w:color w:val="auto"/>
          <w:highlight w:val="none"/>
          <w:u w:val="dotted"/>
          <w:lang w:eastAsia="zh-CN"/>
        </w:rPr>
        <w:t xml:space="preserve">                                          </w:t>
      </w:r>
    </w:p>
    <w:p w14:paraId="1C17D46C">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u w:val="dotted"/>
          <w:lang w:eastAsia="zh-CN"/>
        </w:rPr>
        <w:t xml:space="preserve">                                          </w:t>
      </w:r>
    </w:p>
    <w:p w14:paraId="4C04F912">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地址： </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邮编：</w:t>
      </w:r>
      <w:r>
        <w:rPr>
          <w:rFonts w:hint="eastAsia" w:ascii="仿宋" w:hAnsi="仿宋" w:eastAsia="仿宋" w:cs="仿宋"/>
          <w:color w:val="auto"/>
          <w:highlight w:val="none"/>
          <w:u w:val="dotted"/>
          <w:lang w:eastAsia="zh-CN"/>
        </w:rPr>
        <w:t xml:space="preserve">               </w:t>
      </w:r>
    </w:p>
    <w:p w14:paraId="127289EB">
      <w:pPr>
        <w:adjustRightInd w:val="0"/>
        <w:snapToGrid w:val="0"/>
        <w:spacing w:line="540" w:lineRule="exact"/>
        <w:ind w:firstLine="480" w:firstLineChars="200"/>
        <w:outlineLvl w:val="0"/>
        <w:rPr>
          <w:rFonts w:ascii="仿宋" w:hAnsi="仿宋" w:eastAsia="仿宋" w:cs="仿宋"/>
          <w:bCs/>
          <w:color w:val="auto"/>
          <w:highlight w:val="none"/>
          <w:lang w:eastAsia="zh-CN"/>
        </w:rPr>
      </w:pPr>
      <w:bookmarkStart w:id="33" w:name="_Toc15938"/>
      <w:r>
        <w:rPr>
          <w:rFonts w:hint="eastAsia" w:ascii="仿宋" w:hAnsi="仿宋" w:eastAsia="仿宋" w:cs="仿宋"/>
          <w:bCs/>
          <w:color w:val="auto"/>
          <w:highlight w:val="none"/>
          <w:lang w:eastAsia="zh-CN"/>
        </w:rPr>
        <w:t>二、质疑项目基本情况</w:t>
      </w:r>
      <w:bookmarkEnd w:id="33"/>
    </w:p>
    <w:p w14:paraId="6B4FD75B">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质疑项目的名称：</w:t>
      </w:r>
      <w:r>
        <w:rPr>
          <w:rFonts w:hint="eastAsia" w:ascii="仿宋" w:hAnsi="仿宋" w:eastAsia="仿宋" w:cs="仿宋"/>
          <w:color w:val="auto"/>
          <w:highlight w:val="none"/>
          <w:u w:val="dotted"/>
          <w:lang w:eastAsia="zh-CN"/>
        </w:rPr>
        <w:t xml:space="preserve">                                     </w:t>
      </w:r>
    </w:p>
    <w:p w14:paraId="261D6EB0">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质疑项目的编号：</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包号：</w:t>
      </w:r>
      <w:r>
        <w:rPr>
          <w:rFonts w:hint="eastAsia" w:ascii="仿宋" w:hAnsi="仿宋" w:eastAsia="仿宋" w:cs="仿宋"/>
          <w:color w:val="auto"/>
          <w:highlight w:val="none"/>
          <w:u w:val="dotted"/>
          <w:lang w:eastAsia="zh-CN"/>
        </w:rPr>
        <w:t xml:space="preserve">                </w:t>
      </w:r>
    </w:p>
    <w:p w14:paraId="5C558F11">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采购人名称：</w:t>
      </w:r>
      <w:r>
        <w:rPr>
          <w:rFonts w:hint="eastAsia" w:ascii="仿宋" w:hAnsi="仿宋" w:eastAsia="仿宋" w:cs="仿宋"/>
          <w:color w:val="auto"/>
          <w:highlight w:val="none"/>
          <w:u w:val="dotted"/>
          <w:lang w:eastAsia="zh-CN"/>
        </w:rPr>
        <w:t xml:space="preserve">                                         </w:t>
      </w:r>
    </w:p>
    <w:p w14:paraId="434E45A8">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采购文件获取日期：</w:t>
      </w:r>
      <w:r>
        <w:rPr>
          <w:rFonts w:hint="eastAsia" w:ascii="仿宋" w:hAnsi="仿宋" w:eastAsia="仿宋" w:cs="仿宋"/>
          <w:color w:val="auto"/>
          <w:highlight w:val="none"/>
          <w:u w:val="dotted"/>
          <w:lang w:eastAsia="zh-CN"/>
        </w:rPr>
        <w:t xml:space="preserve">                                   </w:t>
      </w:r>
    </w:p>
    <w:p w14:paraId="3FA3E96F">
      <w:pPr>
        <w:adjustRightInd w:val="0"/>
        <w:snapToGrid w:val="0"/>
        <w:spacing w:line="540" w:lineRule="exact"/>
        <w:ind w:firstLine="480" w:firstLineChars="200"/>
        <w:outlineLvl w:val="0"/>
        <w:rPr>
          <w:rFonts w:ascii="仿宋" w:hAnsi="仿宋" w:eastAsia="仿宋" w:cs="仿宋"/>
          <w:bCs/>
          <w:color w:val="auto"/>
          <w:highlight w:val="none"/>
          <w:lang w:eastAsia="zh-CN"/>
        </w:rPr>
      </w:pPr>
      <w:bookmarkStart w:id="34" w:name="_Toc18271"/>
      <w:r>
        <w:rPr>
          <w:rFonts w:hint="eastAsia" w:ascii="仿宋" w:hAnsi="仿宋" w:eastAsia="仿宋" w:cs="仿宋"/>
          <w:bCs/>
          <w:color w:val="auto"/>
          <w:highlight w:val="none"/>
          <w:lang w:eastAsia="zh-CN"/>
        </w:rPr>
        <w:t>三、质疑事项具体内容</w:t>
      </w:r>
      <w:bookmarkEnd w:id="34"/>
    </w:p>
    <w:p w14:paraId="20B5988A">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质疑事项1：</w:t>
      </w:r>
      <w:r>
        <w:rPr>
          <w:rFonts w:hint="eastAsia" w:ascii="仿宋" w:hAnsi="仿宋" w:eastAsia="仿宋" w:cs="仿宋"/>
          <w:color w:val="auto"/>
          <w:highlight w:val="none"/>
          <w:u w:val="dotted"/>
          <w:lang w:eastAsia="zh-CN"/>
        </w:rPr>
        <w:t xml:space="preserve">                                         </w:t>
      </w:r>
    </w:p>
    <w:p w14:paraId="57D58EFF">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事实依据：</w:t>
      </w:r>
      <w:r>
        <w:rPr>
          <w:rFonts w:hint="eastAsia" w:ascii="仿宋" w:hAnsi="仿宋" w:eastAsia="仿宋" w:cs="仿宋"/>
          <w:color w:val="auto"/>
          <w:highlight w:val="none"/>
          <w:u w:val="dotted"/>
          <w:lang w:eastAsia="zh-CN"/>
        </w:rPr>
        <w:t xml:space="preserve">                                           </w:t>
      </w:r>
    </w:p>
    <w:p w14:paraId="74D3AC67">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法律依据：</w:t>
      </w:r>
      <w:r>
        <w:rPr>
          <w:rFonts w:hint="eastAsia" w:ascii="仿宋" w:hAnsi="仿宋" w:eastAsia="仿宋" w:cs="仿宋"/>
          <w:color w:val="auto"/>
          <w:highlight w:val="none"/>
          <w:u w:val="dotted"/>
          <w:lang w:eastAsia="zh-CN"/>
        </w:rPr>
        <w:t xml:space="preserve">                                           </w:t>
      </w:r>
    </w:p>
    <w:p w14:paraId="1DEEB2A2">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质疑事项2</w:t>
      </w:r>
    </w:p>
    <w:p w14:paraId="7702A0EE">
      <w:pPr>
        <w:adjustRightInd w:val="0"/>
        <w:snapToGrid w:val="0"/>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p>
    <w:p w14:paraId="7DFBC575">
      <w:pPr>
        <w:adjustRightInd w:val="0"/>
        <w:snapToGrid w:val="0"/>
        <w:spacing w:line="540" w:lineRule="exact"/>
        <w:ind w:firstLine="480" w:firstLineChars="200"/>
        <w:outlineLvl w:val="0"/>
        <w:rPr>
          <w:rFonts w:ascii="仿宋" w:hAnsi="仿宋" w:eastAsia="仿宋" w:cs="仿宋"/>
          <w:bCs/>
          <w:color w:val="auto"/>
          <w:highlight w:val="none"/>
          <w:lang w:eastAsia="zh-CN"/>
        </w:rPr>
      </w:pPr>
      <w:bookmarkStart w:id="35" w:name="_Toc22365"/>
      <w:r>
        <w:rPr>
          <w:rFonts w:hint="eastAsia" w:ascii="仿宋" w:hAnsi="仿宋" w:eastAsia="仿宋" w:cs="仿宋"/>
          <w:bCs/>
          <w:color w:val="auto"/>
          <w:highlight w:val="none"/>
          <w:lang w:eastAsia="zh-CN"/>
        </w:rPr>
        <w:t>四、与质疑事项相关的质疑请求</w:t>
      </w:r>
      <w:bookmarkEnd w:id="35"/>
    </w:p>
    <w:p w14:paraId="10E32C43">
      <w:pPr>
        <w:adjustRightInd w:val="0"/>
        <w:snapToGrid w:val="0"/>
        <w:spacing w:line="540" w:lineRule="exact"/>
        <w:ind w:firstLine="480"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请求：</w:t>
      </w:r>
      <w:r>
        <w:rPr>
          <w:rFonts w:hint="eastAsia" w:ascii="仿宋" w:hAnsi="仿宋" w:eastAsia="仿宋" w:cs="仿宋"/>
          <w:color w:val="auto"/>
          <w:highlight w:val="none"/>
          <w:u w:val="dotted"/>
          <w:lang w:eastAsia="zh-CN"/>
        </w:rPr>
        <w:t xml:space="preserve">                                               </w:t>
      </w:r>
    </w:p>
    <w:p w14:paraId="28C7503A">
      <w:pPr>
        <w:spacing w:line="540"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签章(签章)：                   公章：                      </w:t>
      </w:r>
    </w:p>
    <w:p w14:paraId="3ADB3B81">
      <w:pPr>
        <w:spacing w:line="540" w:lineRule="exact"/>
        <w:ind w:firstLine="480" w:firstLineChars="200"/>
        <w:rPr>
          <w:rFonts w:ascii="仿宋" w:hAnsi="仿宋" w:eastAsia="仿宋" w:cs="仿宋"/>
          <w:b/>
          <w:bCs/>
          <w:color w:val="auto"/>
          <w:highlight w:val="none"/>
          <w:lang w:eastAsia="zh-CN"/>
        </w:rPr>
      </w:pPr>
      <w:r>
        <w:rPr>
          <w:rFonts w:hint="eastAsia" w:ascii="仿宋" w:hAnsi="仿宋" w:eastAsia="仿宋" w:cs="仿宋"/>
          <w:color w:val="auto"/>
          <w:highlight w:val="none"/>
          <w:lang w:eastAsia="zh-CN"/>
        </w:rPr>
        <w:t xml:space="preserve">日期：    </w:t>
      </w:r>
    </w:p>
    <w:p w14:paraId="547FAF86">
      <w:pPr>
        <w:pageBreakBefore/>
        <w:shd w:val="clear" w:color="auto" w:fill="auto"/>
        <w:spacing w:line="440" w:lineRule="exact"/>
        <w:jc w:val="center"/>
        <w:outlineLvl w:val="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第三章  评标办法</w:t>
      </w:r>
      <w:bookmarkEnd w:id="31"/>
    </w:p>
    <w:p w14:paraId="7A8EB2DA">
      <w:pPr>
        <w:shd w:val="clear" w:color="auto" w:fill="auto"/>
        <w:jc w:val="center"/>
        <w:outlineLvl w:val="1"/>
        <w:rPr>
          <w:rFonts w:hint="eastAsia" w:ascii="仿宋" w:hAnsi="仿宋" w:eastAsia="仿宋" w:cs="仿宋"/>
          <w:b/>
          <w:color w:val="auto"/>
          <w:sz w:val="28"/>
          <w:szCs w:val="28"/>
          <w:highlight w:val="none"/>
        </w:rPr>
      </w:pPr>
      <w:bookmarkStart w:id="36" w:name="_Toc469495733"/>
      <w:bookmarkStart w:id="37" w:name="_Toc362983802"/>
      <w:bookmarkStart w:id="38" w:name="_Toc267320058"/>
      <w:bookmarkStart w:id="39" w:name="_Toc363135205"/>
      <w:r>
        <w:rPr>
          <w:rFonts w:hint="eastAsia" w:ascii="仿宋" w:hAnsi="仿宋" w:eastAsia="仿宋" w:cs="仿宋"/>
          <w:b/>
          <w:color w:val="auto"/>
          <w:sz w:val="28"/>
          <w:szCs w:val="28"/>
          <w:highlight w:val="none"/>
        </w:rPr>
        <w:t>一</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总  则</w:t>
      </w:r>
    </w:p>
    <w:p w14:paraId="75921AE0">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1、一般规定</w:t>
      </w:r>
    </w:p>
    <w:p w14:paraId="2717AF99">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1.1本项目的招标按照《中华人民共和国政府采购法》、《政府采购货物和服务招标投标管理办法》及政府采购的有关规定进行。</w:t>
      </w:r>
    </w:p>
    <w:p w14:paraId="0C73A0C9">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1.2评标必须遵循邀请、公平、公正、诚实信用的原则。</w:t>
      </w:r>
    </w:p>
    <w:p w14:paraId="7BEEE266">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1.3招标代理机构组织招标、开标、评标工作，全过程接受政府采购有关部门的监督、管理和指导。</w:t>
      </w:r>
    </w:p>
    <w:p w14:paraId="7B423ADF">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1.4评标按照招标文件规定的内容进行，采取符合招标文件要求的</w:t>
      </w:r>
      <w:r>
        <w:rPr>
          <w:rFonts w:hint="eastAsia" w:ascii="仿宋" w:hAnsi="仿宋" w:eastAsia="仿宋" w:cs="仿宋"/>
          <w:color w:val="auto"/>
          <w:szCs w:val="21"/>
          <w:highlight w:val="none"/>
          <w:lang w:val="en-US" w:eastAsia="zh-CN"/>
        </w:rPr>
        <w:t>综合评分法</w:t>
      </w:r>
      <w:r>
        <w:rPr>
          <w:rFonts w:hint="eastAsia" w:ascii="仿宋" w:hAnsi="仿宋" w:eastAsia="仿宋" w:cs="仿宋"/>
          <w:color w:val="auto"/>
          <w:szCs w:val="21"/>
          <w:highlight w:val="none"/>
        </w:rPr>
        <w:t>；</w:t>
      </w:r>
    </w:p>
    <w:p w14:paraId="22BFCBE0">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1.5本办法的评标对象是指投标人按照招标文件要求提供的有效投标文件，包括投标人应评标委员会要求对原投标文件作出的正式书面澄清文件。</w:t>
      </w:r>
    </w:p>
    <w:p w14:paraId="6512AA81">
      <w:pPr>
        <w:shd w:val="clear" w:color="auto" w:fill="auto"/>
        <w:tabs>
          <w:tab w:val="left" w:pos="567"/>
          <w:tab w:val="left" w:pos="1145"/>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2、评标组织机构的组成</w:t>
      </w:r>
    </w:p>
    <w:p w14:paraId="4CE7D8E7">
      <w:pPr>
        <w:widowControl/>
        <w:shd w:val="clear" w:color="auto" w:fill="auto"/>
        <w:spacing w:line="440" w:lineRule="exact"/>
        <w:ind w:firstLine="480"/>
        <w:rPr>
          <w:rFonts w:hint="eastAsia" w:ascii="仿宋" w:hAnsi="仿宋" w:eastAsia="仿宋" w:cs="仿宋"/>
          <w:b/>
          <w:bCs/>
          <w:color w:val="auto"/>
          <w:kern w:val="0"/>
          <w:szCs w:val="21"/>
          <w:highlight w:val="none"/>
        </w:rPr>
      </w:pPr>
      <w:r>
        <w:rPr>
          <w:rFonts w:hint="eastAsia" w:ascii="仿宋" w:hAnsi="仿宋" w:eastAsia="仿宋" w:cs="仿宋"/>
          <w:b/>
          <w:bCs/>
          <w:color w:val="auto"/>
          <w:szCs w:val="21"/>
          <w:highlight w:val="none"/>
        </w:rPr>
        <w:t>2.1</w:t>
      </w:r>
      <w:r>
        <w:rPr>
          <w:rFonts w:hint="eastAsia" w:ascii="仿宋" w:hAnsi="仿宋" w:eastAsia="仿宋" w:cs="仿宋"/>
          <w:color w:val="auto"/>
          <w:spacing w:val="-2"/>
          <w:sz w:val="24"/>
          <w:szCs w:val="24"/>
          <w:highlight w:val="none"/>
        </w:rPr>
        <w:t xml:space="preserve"> </w:t>
      </w:r>
      <w:r>
        <w:rPr>
          <w:rFonts w:hint="eastAsia" w:ascii="仿宋" w:hAnsi="仿宋" w:eastAsia="仿宋" w:cs="仿宋"/>
          <w:color w:val="auto"/>
          <w:kern w:val="0"/>
          <w:szCs w:val="21"/>
          <w:highlight w:val="none"/>
          <w:lang w:bidi="ar-SA"/>
        </w:rPr>
        <w:t>评标委员会由采购人代表和有关技术、经济等方面的专家组成，成员人数应当为5人</w:t>
      </w:r>
      <w:r>
        <w:rPr>
          <w:rFonts w:hint="eastAsia" w:ascii="仿宋" w:hAnsi="仿宋" w:eastAsia="仿宋" w:cs="仿宋"/>
          <w:color w:val="auto"/>
          <w:kern w:val="0"/>
          <w:szCs w:val="21"/>
          <w:highlight w:val="none"/>
          <w:lang w:eastAsia="zh-CN" w:bidi="ar-SA"/>
        </w:rPr>
        <w:t>或</w:t>
      </w:r>
      <w:r>
        <w:rPr>
          <w:rFonts w:hint="eastAsia" w:ascii="仿宋" w:hAnsi="仿宋" w:eastAsia="仿宋" w:cs="仿宋"/>
          <w:color w:val="auto"/>
          <w:kern w:val="0"/>
          <w:szCs w:val="21"/>
          <w:highlight w:val="none"/>
          <w:lang w:val="en-US" w:eastAsia="zh-CN" w:bidi="ar-SA"/>
        </w:rPr>
        <w:t>5人</w:t>
      </w:r>
      <w:r>
        <w:rPr>
          <w:rFonts w:hint="eastAsia" w:ascii="仿宋" w:hAnsi="仿宋" w:eastAsia="仿宋" w:cs="仿宋"/>
          <w:color w:val="auto"/>
          <w:kern w:val="0"/>
          <w:szCs w:val="21"/>
          <w:highlight w:val="none"/>
          <w:lang w:bidi="ar-SA"/>
        </w:rPr>
        <w:t>以上单数。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7FB34143">
      <w:pPr>
        <w:shd w:val="clear" w:color="auto" w:fill="auto"/>
        <w:tabs>
          <w:tab w:val="left" w:pos="567"/>
          <w:tab w:val="left" w:pos="1145"/>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2.2评标工作组由招标人及有关专家组成，由评标委员会确认，并接受其领导。</w:t>
      </w:r>
    </w:p>
    <w:p w14:paraId="5EFBFC8D">
      <w:pPr>
        <w:shd w:val="clear" w:color="auto" w:fill="auto"/>
        <w:tabs>
          <w:tab w:val="left" w:pos="567"/>
          <w:tab w:val="left" w:pos="1145"/>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2.3评标委员会应相对独立工作，负责评标、撰写技术、商务评标报告。采购代理机构负责评标过程中资料的保管、发放、回收，整理、汇总评标资料。</w:t>
      </w:r>
    </w:p>
    <w:p w14:paraId="4B4D33D3">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3、评标委员会职责</w:t>
      </w:r>
    </w:p>
    <w:p w14:paraId="79ABB697">
      <w:pPr>
        <w:pStyle w:val="36"/>
        <w:shd w:val="clear" w:color="auto" w:fill="auto"/>
        <w:spacing w:before="0" w:beforeAutospacing="0" w:after="0" w:afterAutospacing="0" w:line="440" w:lineRule="exact"/>
        <w:ind w:firstLine="535" w:firstLineChars="25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3.1审查投标文件是否符合招标文件要求，并作出评价；</w:t>
      </w:r>
    </w:p>
    <w:p w14:paraId="00FB1F6A">
      <w:pPr>
        <w:pStyle w:val="36"/>
        <w:shd w:val="clear" w:color="auto" w:fill="auto"/>
        <w:spacing w:before="0" w:beforeAutospacing="0" w:after="0" w:afterAutospacing="0" w:line="440" w:lineRule="exact"/>
        <w:ind w:firstLine="535" w:firstLineChars="25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3.2要求投标人对投标文件有关事项作出解释或者澄清；</w:t>
      </w:r>
    </w:p>
    <w:p w14:paraId="7B9C5629">
      <w:pPr>
        <w:pStyle w:val="36"/>
        <w:shd w:val="clear" w:color="auto" w:fill="auto"/>
        <w:spacing w:before="0" w:beforeAutospacing="0" w:after="0" w:afterAutospacing="0" w:line="440" w:lineRule="exact"/>
        <w:ind w:firstLine="535" w:firstLineChars="25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3.3推荐中标候选人名单；</w:t>
      </w:r>
    </w:p>
    <w:p w14:paraId="73BAAA4A">
      <w:pPr>
        <w:pStyle w:val="36"/>
        <w:shd w:val="clear" w:color="auto" w:fill="auto"/>
        <w:spacing w:before="0" w:beforeAutospacing="0" w:after="0" w:afterAutospacing="0" w:line="440" w:lineRule="exact"/>
        <w:ind w:firstLine="535" w:firstLineChars="25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3.4向招标人、招标代理机构或者有关部门报告非法干预评标工作的行为。</w:t>
      </w:r>
    </w:p>
    <w:p w14:paraId="72A3570A">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4、评标委员会义务</w:t>
      </w:r>
    </w:p>
    <w:p w14:paraId="2438E25D">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4.1遵纪守法，客观、公正、廉洁地履行职责；</w:t>
      </w:r>
    </w:p>
    <w:p w14:paraId="4831F658">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4.2按照招标文件规定的评标方法和评标标准进行评标，对评审意见承担个人责任；</w:t>
      </w:r>
    </w:p>
    <w:p w14:paraId="33EEC573">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4.3对评标过程和结果，以及投标人的商业秘密保密；</w:t>
      </w:r>
    </w:p>
    <w:p w14:paraId="7F193F62">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4.4参与评标报告的起草；</w:t>
      </w:r>
    </w:p>
    <w:p w14:paraId="54F9BF24">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4.5配合有关部门的投诉处理工作；</w:t>
      </w:r>
    </w:p>
    <w:p w14:paraId="0BC97E2D">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4.6配合招标人、招标代理机构答复投标供应商提出的质疑。</w:t>
      </w:r>
    </w:p>
    <w:p w14:paraId="14744CCA">
      <w:pPr>
        <w:shd w:val="clear" w:color="auto" w:fill="auto"/>
        <w:tabs>
          <w:tab w:val="left" w:pos="1547"/>
        </w:tabs>
        <w:spacing w:line="440" w:lineRule="exact"/>
        <w:ind w:firstLine="612" w:firstLineChars="255"/>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 评标程序</w:t>
      </w:r>
    </w:p>
    <w:p w14:paraId="7858783E">
      <w:pPr>
        <w:pStyle w:val="16"/>
        <w:shd w:val="clear" w:color="auto" w:fill="auto"/>
        <w:tabs>
          <w:tab w:val="left" w:pos="720"/>
          <w:tab w:val="clear" w:pos="0"/>
        </w:tabs>
        <w:spacing w:line="440" w:lineRule="exact"/>
        <w:ind w:firstLine="612" w:firstLineChars="255"/>
        <w:rPr>
          <w:rFonts w:hint="eastAsia" w:ascii="仿宋" w:hAnsi="仿宋" w:eastAsia="仿宋" w:cs="仿宋"/>
          <w:bCs/>
          <w:color w:val="auto"/>
          <w:szCs w:val="21"/>
          <w:highlight w:val="none"/>
          <w:lang w:bidi="ar-SA"/>
        </w:rPr>
      </w:pPr>
      <w:r>
        <w:rPr>
          <w:rFonts w:hint="eastAsia" w:ascii="仿宋" w:hAnsi="仿宋" w:eastAsia="仿宋" w:cs="仿宋"/>
          <w:bCs/>
          <w:color w:val="auto"/>
          <w:szCs w:val="21"/>
          <w:highlight w:val="none"/>
          <w:lang w:bidi="ar-SA"/>
        </w:rPr>
        <w:t>5.1本次评标首先由评标委员会对投标人的投标文件进行初审，对未能通过初审的投标文件作无效标处理；</w:t>
      </w:r>
    </w:p>
    <w:p w14:paraId="426A3A7C">
      <w:pPr>
        <w:shd w:val="clear" w:color="auto" w:fill="auto"/>
        <w:tabs>
          <w:tab w:val="left" w:pos="720"/>
        </w:tabs>
        <w:spacing w:line="440" w:lineRule="exact"/>
        <w:ind w:firstLine="612" w:firstLineChars="255"/>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5.2对通过初审的投标人的投标文件进行详细的比较和评价。如需要，进行必要的澄清工作；</w:t>
      </w:r>
    </w:p>
    <w:p w14:paraId="22C63E54">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82"/>
        <w:textAlignment w:val="auto"/>
        <w:outlineLvl w:val="9"/>
        <w:rPr>
          <w:rFonts w:hint="eastAsia" w:ascii="仿宋" w:hAnsi="仿宋" w:eastAsia="仿宋" w:cs="仿宋"/>
          <w:b/>
          <w:bCs/>
          <w:color w:val="auto"/>
          <w:kern w:val="0"/>
          <w:sz w:val="36"/>
          <w:szCs w:val="36"/>
          <w:highlight w:val="none"/>
          <w:lang w:bidi="ar-SA"/>
        </w:rPr>
      </w:pPr>
      <w:r>
        <w:rPr>
          <w:rFonts w:hint="eastAsia" w:ascii="仿宋" w:hAnsi="仿宋" w:eastAsia="仿宋" w:cs="仿宋"/>
          <w:color w:val="auto"/>
          <w:szCs w:val="21"/>
          <w:highlight w:val="none"/>
          <w:lang w:bidi="ar-SA"/>
        </w:rPr>
        <w:t>5.3依据评分标准以及各项权值，各位评委单独就每个投标人的</w:t>
      </w:r>
      <w:r>
        <w:rPr>
          <w:rFonts w:hint="eastAsia" w:ascii="仿宋" w:hAnsi="仿宋" w:eastAsia="仿宋" w:cs="仿宋"/>
          <w:color w:val="auto"/>
          <w:kern w:val="0"/>
          <w:szCs w:val="21"/>
          <w:highlight w:val="none"/>
          <w:lang w:bidi="ar-SA"/>
        </w:rPr>
        <w:t>投标文件进行价格、技术、</w:t>
      </w:r>
      <w:r>
        <w:rPr>
          <w:rFonts w:hint="eastAsia" w:ascii="仿宋" w:hAnsi="仿宋" w:eastAsia="仿宋" w:cs="仿宋"/>
          <w:color w:val="auto"/>
          <w:kern w:val="0"/>
          <w:szCs w:val="21"/>
          <w:highlight w:val="none"/>
          <w:lang w:bidi="ar-SA"/>
        </w:rPr>
        <w:fldChar w:fldCharType="begin"/>
      </w:r>
      <w:r>
        <w:rPr>
          <w:rFonts w:hint="eastAsia" w:ascii="仿宋" w:hAnsi="仿宋" w:eastAsia="仿宋" w:cs="仿宋"/>
          <w:color w:val="auto"/>
          <w:kern w:val="0"/>
          <w:szCs w:val="21"/>
          <w:highlight w:val="none"/>
          <w:lang w:bidi="ar-SA"/>
        </w:rPr>
        <w:instrText xml:space="preserve">HYPERLINK "http://zhidao.baidu.com/search?word=%E8%B4%A2%E5%8A%A1%E7%8A%B6%E5%86%B5&amp;fr=qb_search_exp&amp;ie=utf8&amp;eid_gfrom=151"</w:instrText>
      </w:r>
      <w:r>
        <w:rPr>
          <w:rFonts w:hint="eastAsia" w:ascii="仿宋" w:hAnsi="仿宋" w:eastAsia="仿宋" w:cs="仿宋"/>
          <w:color w:val="auto"/>
          <w:kern w:val="0"/>
          <w:szCs w:val="21"/>
          <w:highlight w:val="none"/>
          <w:lang w:bidi="ar-SA"/>
        </w:rPr>
        <w:fldChar w:fldCharType="separate"/>
      </w:r>
      <w:r>
        <w:rPr>
          <w:rFonts w:hint="eastAsia" w:ascii="仿宋" w:hAnsi="仿宋" w:eastAsia="仿宋" w:cs="仿宋"/>
          <w:color w:val="auto"/>
          <w:kern w:val="0"/>
          <w:szCs w:val="21"/>
          <w:highlight w:val="none"/>
          <w:lang w:bidi="ar-SA"/>
        </w:rPr>
        <w:t>财务状况</w:t>
      </w:r>
      <w:r>
        <w:rPr>
          <w:rFonts w:hint="eastAsia" w:ascii="仿宋" w:hAnsi="仿宋" w:eastAsia="仿宋" w:cs="仿宋"/>
          <w:color w:val="auto"/>
          <w:kern w:val="0"/>
          <w:szCs w:val="21"/>
          <w:highlight w:val="none"/>
          <w:lang w:bidi="ar-SA"/>
        </w:rPr>
        <w:fldChar w:fldCharType="end"/>
      </w:r>
      <w:r>
        <w:rPr>
          <w:rFonts w:hint="eastAsia" w:ascii="仿宋" w:hAnsi="仿宋" w:eastAsia="仿宋" w:cs="仿宋"/>
          <w:color w:val="auto"/>
          <w:kern w:val="0"/>
          <w:szCs w:val="21"/>
          <w:highlight w:val="none"/>
          <w:lang w:bidi="ar-SA"/>
        </w:rPr>
        <w:t>、信誉、业绩、服务、对招标文件的响应程度，以及相应的比重或者权值等各项因素进行综合评审后，按最终综合得分由高向低排序，由评标委员会推荐综合得分最高的投标人为第一中标候选人，综合得分第二名的投标人为第二中标候选人，综合得分第三名的投标人为第三中标候选人。</w:t>
      </w:r>
    </w:p>
    <w:p w14:paraId="47CF0746">
      <w:pPr>
        <w:shd w:val="clear" w:color="auto" w:fill="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二  投标文件初审</w:t>
      </w:r>
      <w:bookmarkEnd w:id="36"/>
      <w:bookmarkEnd w:id="37"/>
    </w:p>
    <w:p w14:paraId="33750EC1">
      <w:pPr>
        <w:shd w:val="clear" w:color="auto" w:fill="auto"/>
        <w:spacing w:line="400" w:lineRule="exact"/>
        <w:ind w:firstLine="352"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6</w:t>
      </w:r>
      <w:r>
        <w:rPr>
          <w:rFonts w:hint="eastAsia" w:ascii="仿宋" w:hAnsi="仿宋" w:eastAsia="仿宋" w:cs="仿宋"/>
          <w:b/>
          <w:color w:val="auto"/>
          <w:szCs w:val="21"/>
          <w:highlight w:val="none"/>
        </w:rPr>
        <w:t>.资格性审查:</w:t>
      </w:r>
    </w:p>
    <w:p w14:paraId="026A50BB">
      <w:pPr>
        <w:shd w:val="clear" w:color="auto" w:fill="auto"/>
        <w:spacing w:line="400" w:lineRule="exact"/>
        <w:ind w:firstLine="352" w:firstLineChars="147"/>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.1评审细则</w:t>
      </w:r>
    </w:p>
    <w:tbl>
      <w:tblPr>
        <w:tblStyle w:val="19"/>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547"/>
        <w:gridCol w:w="6649"/>
        <w:gridCol w:w="555"/>
        <w:gridCol w:w="654"/>
      </w:tblGrid>
      <w:tr w14:paraId="29F8E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81" w:type="dxa"/>
            <w:vMerge w:val="restart"/>
            <w:noWrap w:val="0"/>
            <w:vAlign w:val="center"/>
          </w:tcPr>
          <w:p w14:paraId="02C459D6">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7196" w:type="dxa"/>
            <w:gridSpan w:val="2"/>
            <w:vMerge w:val="restart"/>
            <w:noWrap w:val="0"/>
            <w:vAlign w:val="center"/>
          </w:tcPr>
          <w:p w14:paraId="47159083">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评审内容</w:t>
            </w:r>
          </w:p>
        </w:tc>
        <w:tc>
          <w:tcPr>
            <w:tcW w:w="1209" w:type="dxa"/>
            <w:gridSpan w:val="2"/>
            <w:noWrap w:val="0"/>
            <w:vAlign w:val="center"/>
          </w:tcPr>
          <w:p w14:paraId="5F2CED8D">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评审意见</w:t>
            </w:r>
          </w:p>
        </w:tc>
      </w:tr>
      <w:tr w14:paraId="333C8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881" w:type="dxa"/>
            <w:vMerge w:val="continue"/>
            <w:noWrap w:val="0"/>
            <w:vAlign w:val="center"/>
          </w:tcPr>
          <w:p w14:paraId="6B376838">
            <w:pPr>
              <w:shd w:val="clear" w:color="auto" w:fill="auto"/>
              <w:rPr>
                <w:rFonts w:hint="eastAsia" w:ascii="仿宋" w:hAnsi="仿宋" w:eastAsia="仿宋" w:cs="仿宋"/>
                <w:color w:val="auto"/>
                <w:sz w:val="24"/>
                <w:szCs w:val="24"/>
                <w:highlight w:val="none"/>
              </w:rPr>
            </w:pPr>
          </w:p>
        </w:tc>
        <w:tc>
          <w:tcPr>
            <w:tcW w:w="7196" w:type="dxa"/>
            <w:gridSpan w:val="2"/>
            <w:vMerge w:val="continue"/>
            <w:noWrap w:val="0"/>
            <w:vAlign w:val="top"/>
          </w:tcPr>
          <w:p w14:paraId="280C400C">
            <w:pPr>
              <w:shd w:val="clear" w:color="auto" w:fill="auto"/>
              <w:rPr>
                <w:rFonts w:hint="eastAsia" w:ascii="仿宋" w:hAnsi="仿宋" w:eastAsia="仿宋" w:cs="仿宋"/>
                <w:color w:val="auto"/>
                <w:sz w:val="24"/>
                <w:szCs w:val="24"/>
                <w:highlight w:val="none"/>
              </w:rPr>
            </w:pPr>
          </w:p>
        </w:tc>
        <w:tc>
          <w:tcPr>
            <w:tcW w:w="555" w:type="dxa"/>
            <w:noWrap w:val="0"/>
            <w:vAlign w:val="center"/>
          </w:tcPr>
          <w:p w14:paraId="6A98216F">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w:t>
            </w:r>
          </w:p>
        </w:tc>
        <w:tc>
          <w:tcPr>
            <w:tcW w:w="654" w:type="dxa"/>
            <w:noWrap w:val="0"/>
            <w:vAlign w:val="center"/>
          </w:tcPr>
          <w:p w14:paraId="30B6B120">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否</w:t>
            </w:r>
          </w:p>
        </w:tc>
      </w:tr>
      <w:tr w14:paraId="73866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881" w:type="dxa"/>
            <w:vMerge w:val="restart"/>
            <w:noWrap w:val="0"/>
            <w:vAlign w:val="center"/>
          </w:tcPr>
          <w:p w14:paraId="7F16FC3B">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审</w:t>
            </w:r>
          </w:p>
          <w:p w14:paraId="1109504B">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查</w:t>
            </w:r>
          </w:p>
          <w:p w14:paraId="0951D620">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w:t>
            </w:r>
          </w:p>
          <w:p w14:paraId="203B05FE">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准</w:t>
            </w:r>
          </w:p>
          <w:p w14:paraId="51EA166A">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(适</w:t>
            </w:r>
          </w:p>
          <w:p w14:paraId="6F77D4F0">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w:t>
            </w:r>
          </w:p>
          <w:p w14:paraId="22390CDB">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于</w:t>
            </w:r>
          </w:p>
          <w:p w14:paraId="3770FD7F">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w:t>
            </w:r>
          </w:p>
          <w:p w14:paraId="444CAB3A">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格</w:t>
            </w:r>
          </w:p>
          <w:p w14:paraId="39312AEA">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后</w:t>
            </w:r>
          </w:p>
          <w:p w14:paraId="05A41DC8">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审)</w:t>
            </w:r>
          </w:p>
        </w:tc>
        <w:tc>
          <w:tcPr>
            <w:tcW w:w="547" w:type="dxa"/>
            <w:noWrap w:val="0"/>
            <w:vAlign w:val="center"/>
          </w:tcPr>
          <w:p w14:paraId="7A8EAF68">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649" w:type="dxa"/>
            <w:noWrap w:val="0"/>
            <w:vAlign w:val="center"/>
          </w:tcPr>
          <w:p w14:paraId="4DCEE711">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（三证合一）营业执照</w:t>
            </w:r>
          </w:p>
        </w:tc>
        <w:tc>
          <w:tcPr>
            <w:tcW w:w="555" w:type="dxa"/>
            <w:noWrap w:val="0"/>
            <w:vAlign w:val="top"/>
          </w:tcPr>
          <w:p w14:paraId="611C7252">
            <w:pPr>
              <w:shd w:val="clear" w:color="auto" w:fill="auto"/>
              <w:rPr>
                <w:rFonts w:hint="eastAsia" w:ascii="仿宋" w:hAnsi="仿宋" w:eastAsia="仿宋" w:cs="仿宋"/>
                <w:color w:val="auto"/>
                <w:sz w:val="24"/>
                <w:szCs w:val="24"/>
                <w:highlight w:val="none"/>
              </w:rPr>
            </w:pPr>
          </w:p>
        </w:tc>
        <w:tc>
          <w:tcPr>
            <w:tcW w:w="654" w:type="dxa"/>
            <w:noWrap w:val="0"/>
            <w:vAlign w:val="top"/>
          </w:tcPr>
          <w:p w14:paraId="5A7EFE47">
            <w:pPr>
              <w:shd w:val="clear" w:color="auto" w:fill="auto"/>
              <w:rPr>
                <w:rFonts w:hint="eastAsia" w:ascii="仿宋" w:hAnsi="仿宋" w:eastAsia="仿宋" w:cs="仿宋"/>
                <w:color w:val="auto"/>
                <w:sz w:val="24"/>
                <w:szCs w:val="24"/>
                <w:highlight w:val="none"/>
              </w:rPr>
            </w:pPr>
          </w:p>
        </w:tc>
      </w:tr>
      <w:tr w14:paraId="48914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881" w:type="dxa"/>
            <w:vMerge w:val="continue"/>
            <w:noWrap w:val="0"/>
            <w:vAlign w:val="center"/>
          </w:tcPr>
          <w:p w14:paraId="0F20A8E2">
            <w:pPr>
              <w:shd w:val="clear" w:color="auto" w:fill="auto"/>
              <w:rPr>
                <w:rFonts w:hint="eastAsia" w:ascii="仿宋" w:hAnsi="仿宋" w:eastAsia="仿宋" w:cs="仿宋"/>
                <w:color w:val="auto"/>
                <w:sz w:val="24"/>
                <w:szCs w:val="24"/>
                <w:highlight w:val="none"/>
              </w:rPr>
            </w:pPr>
          </w:p>
        </w:tc>
        <w:tc>
          <w:tcPr>
            <w:tcW w:w="547" w:type="dxa"/>
            <w:noWrap w:val="0"/>
            <w:vAlign w:val="center"/>
          </w:tcPr>
          <w:p w14:paraId="0775F070">
            <w:pPr>
              <w:shd w:val="clear" w:color="auto" w:fill="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6649" w:type="dxa"/>
            <w:noWrap w:val="0"/>
            <w:vAlign w:val="center"/>
          </w:tcPr>
          <w:p w14:paraId="22BC9733">
            <w:pPr>
              <w:widowControl/>
              <w:shd w:val="clear" w:color="auto" w:fill="auto"/>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法定代表人投标需提供法定代表人资格证明书，委托代理人投标需提供法定代表人授权委托书</w:t>
            </w:r>
          </w:p>
        </w:tc>
        <w:tc>
          <w:tcPr>
            <w:tcW w:w="555" w:type="dxa"/>
            <w:noWrap w:val="0"/>
            <w:vAlign w:val="top"/>
          </w:tcPr>
          <w:p w14:paraId="70E8A625">
            <w:pPr>
              <w:shd w:val="clear" w:color="auto" w:fill="auto"/>
              <w:rPr>
                <w:rFonts w:hint="eastAsia" w:ascii="仿宋" w:hAnsi="仿宋" w:eastAsia="仿宋" w:cs="仿宋"/>
                <w:color w:val="auto"/>
                <w:sz w:val="24"/>
                <w:szCs w:val="24"/>
                <w:highlight w:val="none"/>
              </w:rPr>
            </w:pPr>
          </w:p>
        </w:tc>
        <w:tc>
          <w:tcPr>
            <w:tcW w:w="654" w:type="dxa"/>
            <w:noWrap w:val="0"/>
            <w:vAlign w:val="top"/>
          </w:tcPr>
          <w:p w14:paraId="1C6A8E44">
            <w:pPr>
              <w:shd w:val="clear" w:color="auto" w:fill="auto"/>
              <w:rPr>
                <w:rFonts w:hint="eastAsia" w:ascii="仿宋" w:hAnsi="仿宋" w:eastAsia="仿宋" w:cs="仿宋"/>
                <w:color w:val="auto"/>
                <w:sz w:val="24"/>
                <w:szCs w:val="24"/>
                <w:highlight w:val="none"/>
              </w:rPr>
            </w:pPr>
          </w:p>
        </w:tc>
      </w:tr>
      <w:tr w14:paraId="6EBEA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4" w:hRule="atLeast"/>
          <w:jc w:val="center"/>
        </w:trPr>
        <w:tc>
          <w:tcPr>
            <w:tcW w:w="881" w:type="dxa"/>
            <w:vMerge w:val="continue"/>
            <w:noWrap w:val="0"/>
            <w:vAlign w:val="center"/>
          </w:tcPr>
          <w:p w14:paraId="27EBFD1E">
            <w:pPr>
              <w:shd w:val="clear" w:color="auto" w:fill="auto"/>
              <w:rPr>
                <w:rFonts w:hint="eastAsia" w:ascii="仿宋" w:hAnsi="仿宋" w:eastAsia="仿宋" w:cs="仿宋"/>
                <w:color w:val="auto"/>
                <w:sz w:val="24"/>
                <w:szCs w:val="24"/>
                <w:highlight w:val="none"/>
              </w:rPr>
            </w:pPr>
          </w:p>
        </w:tc>
        <w:tc>
          <w:tcPr>
            <w:tcW w:w="547" w:type="dxa"/>
            <w:noWrap w:val="0"/>
            <w:vAlign w:val="center"/>
          </w:tcPr>
          <w:p w14:paraId="6086D33D">
            <w:pPr>
              <w:shd w:val="clear" w:color="auto" w:fill="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6649" w:type="dxa"/>
            <w:noWrap w:val="0"/>
            <w:vAlign w:val="center"/>
          </w:tcPr>
          <w:p w14:paraId="4847C5A6">
            <w:pPr>
              <w:widowControl/>
              <w:shd w:val="clear" w:color="auto" w:fill="auto"/>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参加政府采购活动前三年内，在经营活动中没有重大违法记录；未被“信用中国”（www.creditchina.gov.cn）、中国政府采购网（www.ccgp.gov.cn）列入失信被执行人、税收违法黑名单、政府采购严重违法失信行为记录名单。</w:t>
            </w:r>
          </w:p>
        </w:tc>
        <w:tc>
          <w:tcPr>
            <w:tcW w:w="555" w:type="dxa"/>
            <w:noWrap w:val="0"/>
            <w:vAlign w:val="top"/>
          </w:tcPr>
          <w:p w14:paraId="2AD1069A">
            <w:pPr>
              <w:shd w:val="clear" w:color="auto" w:fill="auto"/>
              <w:rPr>
                <w:rFonts w:hint="eastAsia" w:ascii="仿宋" w:hAnsi="仿宋" w:eastAsia="仿宋" w:cs="仿宋"/>
                <w:color w:val="auto"/>
                <w:sz w:val="24"/>
                <w:szCs w:val="24"/>
                <w:highlight w:val="none"/>
              </w:rPr>
            </w:pPr>
          </w:p>
        </w:tc>
        <w:tc>
          <w:tcPr>
            <w:tcW w:w="654" w:type="dxa"/>
            <w:noWrap w:val="0"/>
            <w:vAlign w:val="top"/>
          </w:tcPr>
          <w:p w14:paraId="41EE4FBA">
            <w:pPr>
              <w:shd w:val="clear" w:color="auto" w:fill="auto"/>
              <w:rPr>
                <w:rFonts w:hint="eastAsia" w:ascii="仿宋" w:hAnsi="仿宋" w:eastAsia="仿宋" w:cs="仿宋"/>
                <w:color w:val="auto"/>
                <w:sz w:val="24"/>
                <w:szCs w:val="24"/>
                <w:highlight w:val="none"/>
              </w:rPr>
            </w:pPr>
          </w:p>
        </w:tc>
      </w:tr>
      <w:tr w14:paraId="701F6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881" w:type="dxa"/>
            <w:vMerge w:val="continue"/>
            <w:noWrap w:val="0"/>
            <w:vAlign w:val="center"/>
          </w:tcPr>
          <w:p w14:paraId="7922D326">
            <w:pPr>
              <w:shd w:val="clear" w:color="auto" w:fill="auto"/>
              <w:rPr>
                <w:rFonts w:hint="eastAsia" w:ascii="仿宋" w:hAnsi="仿宋" w:eastAsia="仿宋" w:cs="仿宋"/>
                <w:color w:val="auto"/>
                <w:sz w:val="24"/>
                <w:szCs w:val="24"/>
                <w:highlight w:val="none"/>
              </w:rPr>
            </w:pPr>
          </w:p>
        </w:tc>
        <w:tc>
          <w:tcPr>
            <w:tcW w:w="547" w:type="dxa"/>
            <w:noWrap w:val="0"/>
            <w:vAlign w:val="center"/>
          </w:tcPr>
          <w:p w14:paraId="60664B4D">
            <w:pPr>
              <w:shd w:val="clear" w:color="auto" w:fill="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6649" w:type="dxa"/>
            <w:noWrap w:val="0"/>
            <w:vAlign w:val="center"/>
          </w:tcPr>
          <w:p w14:paraId="2D41B047">
            <w:pPr>
              <w:widowControl/>
              <w:shd w:val="clear" w:color="auto" w:fill="auto"/>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b w:val="0"/>
                <w:color w:val="auto"/>
                <w:kern w:val="2"/>
                <w:sz w:val="24"/>
                <w:szCs w:val="24"/>
                <w:lang w:val="en-US" w:eastAsia="zh-CN" w:bidi="ar-SA"/>
              </w:rPr>
              <w:t>投标保证金缴纳凭证或投标担保函</w:t>
            </w:r>
          </w:p>
        </w:tc>
        <w:tc>
          <w:tcPr>
            <w:tcW w:w="555" w:type="dxa"/>
            <w:noWrap w:val="0"/>
            <w:vAlign w:val="top"/>
          </w:tcPr>
          <w:p w14:paraId="3EF32668">
            <w:pPr>
              <w:shd w:val="clear" w:color="auto" w:fill="auto"/>
              <w:rPr>
                <w:rFonts w:hint="eastAsia" w:ascii="仿宋" w:hAnsi="仿宋" w:eastAsia="仿宋" w:cs="仿宋"/>
                <w:color w:val="auto"/>
                <w:sz w:val="24"/>
                <w:szCs w:val="24"/>
                <w:highlight w:val="none"/>
              </w:rPr>
            </w:pPr>
          </w:p>
        </w:tc>
        <w:tc>
          <w:tcPr>
            <w:tcW w:w="654" w:type="dxa"/>
            <w:noWrap w:val="0"/>
            <w:vAlign w:val="top"/>
          </w:tcPr>
          <w:p w14:paraId="41011BDB">
            <w:pPr>
              <w:shd w:val="clear" w:color="auto" w:fill="auto"/>
              <w:rPr>
                <w:rFonts w:hint="eastAsia" w:ascii="仿宋" w:hAnsi="仿宋" w:eastAsia="仿宋" w:cs="仿宋"/>
                <w:color w:val="auto"/>
                <w:sz w:val="24"/>
                <w:szCs w:val="24"/>
                <w:highlight w:val="none"/>
              </w:rPr>
            </w:pPr>
          </w:p>
        </w:tc>
      </w:tr>
      <w:tr w14:paraId="04F24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81" w:type="dxa"/>
            <w:vMerge w:val="continue"/>
            <w:noWrap w:val="0"/>
            <w:vAlign w:val="center"/>
          </w:tcPr>
          <w:p w14:paraId="5C207253">
            <w:pPr>
              <w:shd w:val="clear" w:color="auto" w:fill="auto"/>
              <w:rPr>
                <w:rFonts w:hint="eastAsia" w:ascii="仿宋" w:hAnsi="仿宋" w:eastAsia="仿宋" w:cs="仿宋"/>
                <w:color w:val="auto"/>
                <w:sz w:val="24"/>
                <w:szCs w:val="24"/>
                <w:highlight w:val="none"/>
              </w:rPr>
            </w:pPr>
          </w:p>
        </w:tc>
        <w:tc>
          <w:tcPr>
            <w:tcW w:w="547" w:type="dxa"/>
            <w:noWrap w:val="0"/>
            <w:vAlign w:val="center"/>
          </w:tcPr>
          <w:p w14:paraId="29C4BEBF">
            <w:pPr>
              <w:shd w:val="clear" w:color="auto" w:fill="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6649" w:type="dxa"/>
            <w:noWrap w:val="0"/>
            <w:vAlign w:val="center"/>
          </w:tcPr>
          <w:p w14:paraId="2E87253E">
            <w:pPr>
              <w:widowControl/>
              <w:shd w:val="clear" w:color="auto" w:fill="auto"/>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eastAsia="zh-CN" w:bidi="ar"/>
              </w:rPr>
              <w:t>投标企业须提供投标人（被授权在职人员）近6个月内任意一个月有效的社保证明；</w:t>
            </w:r>
          </w:p>
        </w:tc>
        <w:tc>
          <w:tcPr>
            <w:tcW w:w="555" w:type="dxa"/>
            <w:noWrap w:val="0"/>
            <w:vAlign w:val="top"/>
          </w:tcPr>
          <w:p w14:paraId="2159AAB0">
            <w:pPr>
              <w:shd w:val="clear" w:color="auto" w:fill="auto"/>
              <w:rPr>
                <w:rFonts w:hint="eastAsia" w:ascii="仿宋" w:hAnsi="仿宋" w:eastAsia="仿宋" w:cs="仿宋"/>
                <w:color w:val="auto"/>
                <w:sz w:val="24"/>
                <w:szCs w:val="24"/>
                <w:highlight w:val="none"/>
              </w:rPr>
            </w:pPr>
          </w:p>
        </w:tc>
        <w:tc>
          <w:tcPr>
            <w:tcW w:w="654" w:type="dxa"/>
            <w:noWrap w:val="0"/>
            <w:vAlign w:val="top"/>
          </w:tcPr>
          <w:p w14:paraId="3784D884">
            <w:pPr>
              <w:shd w:val="clear" w:color="auto" w:fill="auto"/>
              <w:rPr>
                <w:rFonts w:hint="eastAsia" w:ascii="仿宋" w:hAnsi="仿宋" w:eastAsia="仿宋" w:cs="仿宋"/>
                <w:color w:val="auto"/>
                <w:sz w:val="24"/>
                <w:szCs w:val="24"/>
                <w:highlight w:val="none"/>
              </w:rPr>
            </w:pPr>
          </w:p>
        </w:tc>
      </w:tr>
      <w:tr w14:paraId="7297F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1" w:type="dxa"/>
            <w:vMerge w:val="continue"/>
            <w:noWrap w:val="0"/>
            <w:vAlign w:val="center"/>
          </w:tcPr>
          <w:p w14:paraId="46BDC696">
            <w:pPr>
              <w:shd w:val="clear" w:color="auto" w:fill="auto"/>
              <w:jc w:val="center"/>
              <w:rPr>
                <w:rFonts w:hint="eastAsia" w:ascii="仿宋" w:hAnsi="仿宋" w:eastAsia="仿宋" w:cs="仿宋"/>
                <w:color w:val="auto"/>
                <w:sz w:val="24"/>
                <w:szCs w:val="24"/>
                <w:highlight w:val="none"/>
              </w:rPr>
            </w:pPr>
          </w:p>
        </w:tc>
        <w:tc>
          <w:tcPr>
            <w:tcW w:w="547" w:type="dxa"/>
            <w:noWrap w:val="0"/>
            <w:vAlign w:val="top"/>
          </w:tcPr>
          <w:p w14:paraId="01A0BA96">
            <w:pPr>
              <w:shd w:val="clear" w:color="auto" w:fill="auto"/>
              <w:spacing w:line="440" w:lineRule="exact"/>
              <w:rPr>
                <w:rFonts w:hint="eastAsia" w:ascii="仿宋" w:hAnsi="仿宋" w:eastAsia="仿宋" w:cs="仿宋"/>
                <w:color w:val="auto"/>
                <w:sz w:val="24"/>
                <w:szCs w:val="24"/>
                <w:highlight w:val="none"/>
              </w:rPr>
            </w:pPr>
          </w:p>
        </w:tc>
        <w:tc>
          <w:tcPr>
            <w:tcW w:w="6649" w:type="dxa"/>
            <w:noWrap w:val="0"/>
            <w:vAlign w:val="top"/>
          </w:tcPr>
          <w:p w14:paraId="5D45E3F8">
            <w:pPr>
              <w:shd w:val="clear" w:color="auto" w:fil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结论：是否通过评审（须填写通过或不通过）</w:t>
            </w:r>
          </w:p>
          <w:p w14:paraId="1879E573">
            <w:pPr>
              <w:shd w:val="clear" w:color="auto" w:fil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注：如有一项不合格，作废标处理。</w:t>
            </w:r>
          </w:p>
        </w:tc>
        <w:tc>
          <w:tcPr>
            <w:tcW w:w="1209" w:type="dxa"/>
            <w:gridSpan w:val="2"/>
            <w:noWrap w:val="0"/>
            <w:vAlign w:val="top"/>
          </w:tcPr>
          <w:p w14:paraId="6E2FA54A">
            <w:pPr>
              <w:shd w:val="clear" w:color="auto" w:fill="auto"/>
              <w:rPr>
                <w:rFonts w:hint="eastAsia" w:ascii="仿宋" w:hAnsi="仿宋" w:eastAsia="仿宋" w:cs="仿宋"/>
                <w:color w:val="auto"/>
                <w:sz w:val="24"/>
                <w:szCs w:val="24"/>
                <w:highlight w:val="none"/>
              </w:rPr>
            </w:pPr>
          </w:p>
        </w:tc>
      </w:tr>
    </w:tbl>
    <w:p w14:paraId="30187C4C">
      <w:pPr>
        <w:shd w:val="clear" w:color="auto" w:fill="auto"/>
        <w:spacing w:line="400" w:lineRule="exact"/>
        <w:ind w:firstLine="578" w:firstLineChars="241"/>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6</w:t>
      </w:r>
      <w:r>
        <w:rPr>
          <w:rFonts w:hint="eastAsia" w:ascii="仿宋" w:hAnsi="仿宋" w:eastAsia="仿宋" w:cs="仿宋"/>
          <w:b/>
          <w:color w:val="auto"/>
          <w:szCs w:val="21"/>
          <w:highlight w:val="none"/>
        </w:rPr>
        <w:t>.2如评标专家在检验电子标书过程中，如果由于投标人自身原因导致评标专家无法查看并检验电子标书中以上相关资料的，否决其投标。即使投标单位将原件携带至现场的，同样按无效投标处理。</w:t>
      </w:r>
    </w:p>
    <w:p w14:paraId="6CC6E621">
      <w:pPr>
        <w:shd w:val="clear" w:color="auto" w:fill="auto"/>
        <w:spacing w:before="156" w:beforeLines="50" w:line="440" w:lineRule="exact"/>
        <w:ind w:firstLine="352" w:firstLineChars="147"/>
        <w:rPr>
          <w:rFonts w:hint="eastAsia" w:ascii="仿宋" w:hAnsi="仿宋" w:eastAsia="仿宋" w:cs="仿宋"/>
          <w:b/>
          <w:color w:val="auto"/>
          <w:szCs w:val="21"/>
          <w:highlight w:val="none"/>
          <w:lang w:val="en-US" w:eastAsia="zh-CN"/>
        </w:rPr>
      </w:pPr>
    </w:p>
    <w:p w14:paraId="37C337F0">
      <w:pPr>
        <w:shd w:val="clear" w:color="auto" w:fill="auto"/>
        <w:spacing w:before="156" w:beforeLines="50" w:line="440" w:lineRule="exact"/>
        <w:ind w:firstLine="352"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7</w:t>
      </w:r>
      <w:r>
        <w:rPr>
          <w:rFonts w:hint="eastAsia" w:ascii="仿宋" w:hAnsi="仿宋" w:eastAsia="仿宋" w:cs="仿宋"/>
          <w:b/>
          <w:color w:val="auto"/>
          <w:szCs w:val="21"/>
          <w:highlight w:val="none"/>
        </w:rPr>
        <w:t>.符合性审查</w:t>
      </w:r>
    </w:p>
    <w:p w14:paraId="47073E0D">
      <w:pPr>
        <w:shd w:val="clear" w:color="auto" w:fill="auto"/>
        <w:spacing w:line="440" w:lineRule="exact"/>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．1评审细则</w:t>
      </w:r>
    </w:p>
    <w:tbl>
      <w:tblPr>
        <w:tblStyle w:val="19"/>
        <w:tblpPr w:leftFromText="180" w:rightFromText="180" w:vertAnchor="text" w:horzAnchor="page" w:tblpX="1757" w:tblpY="544"/>
        <w:tblW w:w="8971"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73"/>
        <w:gridCol w:w="689"/>
        <w:gridCol w:w="6143"/>
        <w:gridCol w:w="482"/>
        <w:gridCol w:w="884"/>
      </w:tblGrid>
      <w:tr w14:paraId="105A8F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773" w:type="dxa"/>
            <w:tcBorders>
              <w:top w:val="single" w:color="auto" w:sz="4" w:space="0"/>
              <w:left w:val="single" w:color="auto" w:sz="4" w:space="0"/>
            </w:tcBorders>
            <w:noWrap w:val="0"/>
            <w:vAlign w:val="center"/>
          </w:tcPr>
          <w:p w14:paraId="2AE07232">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6832" w:type="dxa"/>
            <w:gridSpan w:val="2"/>
            <w:tcBorders>
              <w:top w:val="single" w:color="auto" w:sz="4" w:space="0"/>
            </w:tcBorders>
            <w:noWrap w:val="0"/>
            <w:vAlign w:val="center"/>
          </w:tcPr>
          <w:p w14:paraId="4BDA5639">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评审内容</w:t>
            </w:r>
          </w:p>
        </w:tc>
        <w:tc>
          <w:tcPr>
            <w:tcW w:w="1366" w:type="dxa"/>
            <w:gridSpan w:val="2"/>
            <w:tcBorders>
              <w:top w:val="single" w:color="auto" w:sz="4" w:space="0"/>
              <w:right w:val="single" w:color="auto" w:sz="4" w:space="0"/>
            </w:tcBorders>
            <w:noWrap w:val="0"/>
            <w:vAlign w:val="center"/>
          </w:tcPr>
          <w:p w14:paraId="08E02B98">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评审意见</w:t>
            </w:r>
          </w:p>
        </w:tc>
      </w:tr>
      <w:tr w14:paraId="3E3A4A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73" w:type="dxa"/>
            <w:tcBorders>
              <w:left w:val="single" w:color="auto" w:sz="4" w:space="0"/>
              <w:bottom w:val="single" w:color="auto" w:sz="4" w:space="0"/>
            </w:tcBorders>
            <w:noWrap w:val="0"/>
            <w:vAlign w:val="center"/>
          </w:tcPr>
          <w:p w14:paraId="1E82058C">
            <w:pPr>
              <w:shd w:val="clear" w:color="auto" w:fill="auto"/>
              <w:rPr>
                <w:rFonts w:hint="eastAsia" w:ascii="仿宋" w:hAnsi="仿宋" w:eastAsia="仿宋" w:cs="仿宋"/>
                <w:color w:val="auto"/>
                <w:sz w:val="24"/>
                <w:szCs w:val="24"/>
                <w:highlight w:val="none"/>
              </w:rPr>
            </w:pPr>
          </w:p>
        </w:tc>
        <w:tc>
          <w:tcPr>
            <w:tcW w:w="6832" w:type="dxa"/>
            <w:gridSpan w:val="2"/>
            <w:tcBorders>
              <w:bottom w:val="single" w:color="auto" w:sz="4" w:space="0"/>
            </w:tcBorders>
            <w:noWrap w:val="0"/>
            <w:vAlign w:val="top"/>
          </w:tcPr>
          <w:p w14:paraId="458A9A14">
            <w:pPr>
              <w:shd w:val="clear" w:color="auto" w:fill="auto"/>
              <w:rPr>
                <w:rFonts w:hint="eastAsia" w:ascii="仿宋" w:hAnsi="仿宋" w:eastAsia="仿宋" w:cs="仿宋"/>
                <w:color w:val="auto"/>
                <w:sz w:val="24"/>
                <w:szCs w:val="24"/>
                <w:highlight w:val="none"/>
              </w:rPr>
            </w:pPr>
          </w:p>
        </w:tc>
        <w:tc>
          <w:tcPr>
            <w:tcW w:w="482" w:type="dxa"/>
            <w:noWrap w:val="0"/>
            <w:vAlign w:val="center"/>
          </w:tcPr>
          <w:p w14:paraId="4A29A8D5">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w:t>
            </w:r>
          </w:p>
        </w:tc>
        <w:tc>
          <w:tcPr>
            <w:tcW w:w="884" w:type="dxa"/>
            <w:tcBorders>
              <w:right w:val="single" w:color="auto" w:sz="4" w:space="0"/>
            </w:tcBorders>
            <w:noWrap w:val="0"/>
            <w:vAlign w:val="center"/>
          </w:tcPr>
          <w:p w14:paraId="07378188">
            <w:pPr>
              <w:shd w:val="clear" w:color="auto" w:fill="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否</w:t>
            </w:r>
          </w:p>
        </w:tc>
      </w:tr>
      <w:tr w14:paraId="57E10B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0" w:hRule="atLeast"/>
        </w:trPr>
        <w:tc>
          <w:tcPr>
            <w:tcW w:w="773" w:type="dxa"/>
            <w:vMerge w:val="restart"/>
            <w:tcBorders>
              <w:top w:val="single" w:color="auto" w:sz="4" w:space="0"/>
              <w:left w:val="single" w:color="auto" w:sz="4" w:space="0"/>
              <w:right w:val="single" w:color="auto" w:sz="4" w:space="0"/>
            </w:tcBorders>
            <w:noWrap w:val="0"/>
            <w:vAlign w:val="center"/>
          </w:tcPr>
          <w:p w14:paraId="379888CE">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审</w:t>
            </w:r>
          </w:p>
          <w:p w14:paraId="2F50D778">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查</w:t>
            </w:r>
          </w:p>
          <w:p w14:paraId="22E78CE2">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w:t>
            </w:r>
          </w:p>
          <w:p w14:paraId="07E3DF48">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准</w:t>
            </w:r>
          </w:p>
        </w:tc>
        <w:tc>
          <w:tcPr>
            <w:tcW w:w="689" w:type="dxa"/>
            <w:tcBorders>
              <w:top w:val="single" w:color="auto" w:sz="4" w:space="0"/>
              <w:left w:val="single" w:color="auto" w:sz="4" w:space="0"/>
              <w:right w:val="single" w:color="auto" w:sz="4" w:space="0"/>
            </w:tcBorders>
            <w:noWrap w:val="0"/>
            <w:vAlign w:val="center"/>
          </w:tcPr>
          <w:p w14:paraId="17AF5D48">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143" w:type="dxa"/>
            <w:tcBorders>
              <w:top w:val="single" w:color="auto" w:sz="4" w:space="0"/>
              <w:left w:val="single" w:color="auto" w:sz="4" w:space="0"/>
              <w:right w:val="single" w:color="auto" w:sz="4" w:space="0"/>
            </w:tcBorders>
            <w:noWrap w:val="0"/>
            <w:vAlign w:val="center"/>
          </w:tcPr>
          <w:p w14:paraId="3E5A95E5">
            <w:pPr>
              <w:widowControl/>
              <w:shd w:val="clear" w:color="auto" w:fill="auto"/>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由政府立项核准、审批的采购项目, 报价高于设定的采购预算价的</w:t>
            </w:r>
            <w:r>
              <w:rPr>
                <w:rFonts w:hint="eastAsia" w:ascii="仿宋" w:hAnsi="仿宋" w:eastAsia="仿宋" w:cs="仿宋"/>
                <w:color w:val="auto"/>
                <w:kern w:val="0"/>
                <w:sz w:val="24"/>
                <w:szCs w:val="24"/>
                <w:highlight w:val="none"/>
                <w:lang w:eastAsia="zh-CN" w:bidi="ar"/>
              </w:rPr>
              <w:t>。</w:t>
            </w:r>
          </w:p>
        </w:tc>
        <w:tc>
          <w:tcPr>
            <w:tcW w:w="482" w:type="dxa"/>
            <w:tcBorders>
              <w:left w:val="single" w:color="auto" w:sz="4" w:space="0"/>
              <w:right w:val="single" w:color="auto" w:sz="4" w:space="0"/>
            </w:tcBorders>
            <w:noWrap w:val="0"/>
            <w:vAlign w:val="top"/>
          </w:tcPr>
          <w:p w14:paraId="799BC946">
            <w:pPr>
              <w:shd w:val="clear" w:color="auto" w:fill="auto"/>
              <w:jc w:val="center"/>
              <w:rPr>
                <w:rFonts w:hint="eastAsia" w:ascii="仿宋" w:hAnsi="仿宋" w:eastAsia="仿宋" w:cs="仿宋"/>
                <w:b/>
                <w:color w:val="auto"/>
                <w:sz w:val="24"/>
                <w:szCs w:val="24"/>
                <w:highlight w:val="none"/>
              </w:rPr>
            </w:pPr>
          </w:p>
        </w:tc>
        <w:tc>
          <w:tcPr>
            <w:tcW w:w="884" w:type="dxa"/>
            <w:tcBorders>
              <w:left w:val="single" w:color="auto" w:sz="4" w:space="0"/>
              <w:right w:val="single" w:color="auto" w:sz="4" w:space="0"/>
            </w:tcBorders>
            <w:noWrap w:val="0"/>
            <w:vAlign w:val="top"/>
          </w:tcPr>
          <w:p w14:paraId="689B0902">
            <w:pPr>
              <w:shd w:val="clear" w:color="auto" w:fill="auto"/>
              <w:jc w:val="center"/>
              <w:rPr>
                <w:rFonts w:hint="eastAsia" w:ascii="仿宋" w:hAnsi="仿宋" w:eastAsia="仿宋" w:cs="仿宋"/>
                <w:b/>
                <w:color w:val="auto"/>
                <w:sz w:val="24"/>
                <w:szCs w:val="24"/>
                <w:highlight w:val="none"/>
              </w:rPr>
            </w:pPr>
          </w:p>
        </w:tc>
      </w:tr>
      <w:tr w14:paraId="7D68E1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773" w:type="dxa"/>
            <w:vMerge w:val="continue"/>
            <w:tcBorders>
              <w:left w:val="single" w:color="auto" w:sz="4" w:space="0"/>
              <w:right w:val="single" w:color="auto" w:sz="4" w:space="0"/>
            </w:tcBorders>
            <w:noWrap w:val="0"/>
            <w:vAlign w:val="center"/>
          </w:tcPr>
          <w:p w14:paraId="32716104">
            <w:pPr>
              <w:shd w:val="clear" w:color="auto" w:fill="auto"/>
              <w:rPr>
                <w:rFonts w:hint="eastAsia" w:ascii="仿宋" w:hAnsi="仿宋" w:eastAsia="仿宋" w:cs="仿宋"/>
                <w:color w:val="auto"/>
                <w:sz w:val="24"/>
                <w:szCs w:val="24"/>
                <w:highlight w:val="none"/>
              </w:rPr>
            </w:pPr>
          </w:p>
        </w:tc>
        <w:tc>
          <w:tcPr>
            <w:tcW w:w="689" w:type="dxa"/>
            <w:tcBorders>
              <w:top w:val="single" w:color="auto" w:sz="4" w:space="0"/>
              <w:left w:val="single" w:color="auto" w:sz="4" w:space="0"/>
              <w:bottom w:val="single" w:color="auto" w:sz="4" w:space="0"/>
              <w:right w:val="single" w:color="auto" w:sz="4" w:space="0"/>
            </w:tcBorders>
            <w:noWrap w:val="0"/>
            <w:vAlign w:val="center"/>
          </w:tcPr>
          <w:p w14:paraId="447C9F10">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143" w:type="dxa"/>
            <w:tcBorders>
              <w:top w:val="single" w:color="auto" w:sz="4" w:space="0"/>
              <w:left w:val="single" w:color="auto" w:sz="4" w:space="0"/>
              <w:bottom w:val="single" w:color="auto" w:sz="4" w:space="0"/>
              <w:right w:val="single" w:color="auto" w:sz="4" w:space="0"/>
            </w:tcBorders>
            <w:noWrap w:val="0"/>
            <w:vAlign w:val="center"/>
          </w:tcPr>
          <w:p w14:paraId="50A1A3FA">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法定代表人身份证明及授权委托书有效，且符合招标文件规定的格式。</w:t>
            </w:r>
          </w:p>
        </w:tc>
        <w:tc>
          <w:tcPr>
            <w:tcW w:w="482" w:type="dxa"/>
            <w:tcBorders>
              <w:left w:val="single" w:color="auto" w:sz="4" w:space="0"/>
            </w:tcBorders>
            <w:noWrap w:val="0"/>
            <w:vAlign w:val="top"/>
          </w:tcPr>
          <w:p w14:paraId="5FDACA82">
            <w:pPr>
              <w:shd w:val="clear" w:color="auto" w:fill="auto"/>
              <w:rPr>
                <w:rFonts w:hint="eastAsia" w:ascii="仿宋" w:hAnsi="仿宋" w:eastAsia="仿宋" w:cs="仿宋"/>
                <w:color w:val="auto"/>
                <w:sz w:val="24"/>
                <w:szCs w:val="24"/>
                <w:highlight w:val="none"/>
              </w:rPr>
            </w:pPr>
          </w:p>
        </w:tc>
        <w:tc>
          <w:tcPr>
            <w:tcW w:w="884" w:type="dxa"/>
            <w:tcBorders>
              <w:right w:val="single" w:color="auto" w:sz="4" w:space="0"/>
            </w:tcBorders>
            <w:noWrap w:val="0"/>
            <w:vAlign w:val="top"/>
          </w:tcPr>
          <w:p w14:paraId="38980C51">
            <w:pPr>
              <w:shd w:val="clear" w:color="auto" w:fill="auto"/>
              <w:rPr>
                <w:rFonts w:hint="eastAsia" w:ascii="仿宋" w:hAnsi="仿宋" w:eastAsia="仿宋" w:cs="仿宋"/>
                <w:color w:val="auto"/>
                <w:sz w:val="24"/>
                <w:szCs w:val="24"/>
                <w:highlight w:val="none"/>
              </w:rPr>
            </w:pPr>
          </w:p>
        </w:tc>
      </w:tr>
      <w:tr w14:paraId="41D8C4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4" w:hRule="atLeast"/>
        </w:trPr>
        <w:tc>
          <w:tcPr>
            <w:tcW w:w="773" w:type="dxa"/>
            <w:vMerge w:val="continue"/>
            <w:tcBorders>
              <w:left w:val="single" w:color="auto" w:sz="4" w:space="0"/>
              <w:right w:val="single" w:color="auto" w:sz="4" w:space="0"/>
            </w:tcBorders>
            <w:noWrap w:val="0"/>
            <w:vAlign w:val="center"/>
          </w:tcPr>
          <w:p w14:paraId="068B989F">
            <w:pPr>
              <w:shd w:val="clear" w:color="auto" w:fill="auto"/>
              <w:rPr>
                <w:rFonts w:hint="eastAsia" w:ascii="仿宋" w:hAnsi="仿宋" w:eastAsia="仿宋" w:cs="仿宋"/>
                <w:color w:val="auto"/>
                <w:sz w:val="24"/>
                <w:szCs w:val="24"/>
                <w:highlight w:val="none"/>
              </w:rPr>
            </w:pPr>
          </w:p>
        </w:tc>
        <w:tc>
          <w:tcPr>
            <w:tcW w:w="689" w:type="dxa"/>
            <w:tcBorders>
              <w:top w:val="single" w:color="auto" w:sz="4" w:space="0"/>
              <w:left w:val="single" w:color="auto" w:sz="4" w:space="0"/>
              <w:right w:val="single" w:color="auto" w:sz="4" w:space="0"/>
            </w:tcBorders>
            <w:noWrap w:val="0"/>
            <w:vAlign w:val="center"/>
          </w:tcPr>
          <w:p w14:paraId="50DDBC7D">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6143" w:type="dxa"/>
            <w:tcBorders>
              <w:top w:val="single" w:color="auto" w:sz="4" w:space="0"/>
              <w:left w:val="single" w:color="auto" w:sz="4" w:space="0"/>
              <w:right w:val="single" w:color="auto" w:sz="4" w:space="0"/>
            </w:tcBorders>
            <w:noWrap w:val="0"/>
            <w:vAlign w:val="center"/>
          </w:tcPr>
          <w:p w14:paraId="602F363E">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只有一个方案投标。</w:t>
            </w:r>
          </w:p>
        </w:tc>
        <w:tc>
          <w:tcPr>
            <w:tcW w:w="482" w:type="dxa"/>
            <w:tcBorders>
              <w:left w:val="single" w:color="auto" w:sz="4" w:space="0"/>
            </w:tcBorders>
            <w:noWrap w:val="0"/>
            <w:vAlign w:val="top"/>
          </w:tcPr>
          <w:p w14:paraId="3A3989A7">
            <w:pPr>
              <w:shd w:val="clear" w:color="auto" w:fill="auto"/>
              <w:rPr>
                <w:rFonts w:hint="eastAsia" w:ascii="仿宋" w:hAnsi="仿宋" w:eastAsia="仿宋" w:cs="仿宋"/>
                <w:color w:val="auto"/>
                <w:sz w:val="24"/>
                <w:szCs w:val="24"/>
                <w:highlight w:val="none"/>
              </w:rPr>
            </w:pPr>
          </w:p>
        </w:tc>
        <w:tc>
          <w:tcPr>
            <w:tcW w:w="884" w:type="dxa"/>
            <w:tcBorders>
              <w:right w:val="single" w:color="auto" w:sz="4" w:space="0"/>
            </w:tcBorders>
            <w:noWrap w:val="0"/>
            <w:vAlign w:val="top"/>
          </w:tcPr>
          <w:p w14:paraId="11D9E1AE">
            <w:pPr>
              <w:shd w:val="clear" w:color="auto" w:fill="auto"/>
              <w:rPr>
                <w:rFonts w:hint="eastAsia" w:ascii="仿宋" w:hAnsi="仿宋" w:eastAsia="仿宋" w:cs="仿宋"/>
                <w:color w:val="auto"/>
                <w:sz w:val="24"/>
                <w:szCs w:val="24"/>
                <w:highlight w:val="none"/>
              </w:rPr>
            </w:pPr>
          </w:p>
        </w:tc>
      </w:tr>
      <w:tr w14:paraId="12DF38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6" w:hRule="atLeast"/>
        </w:trPr>
        <w:tc>
          <w:tcPr>
            <w:tcW w:w="773" w:type="dxa"/>
            <w:vMerge w:val="continue"/>
            <w:tcBorders>
              <w:left w:val="single" w:color="auto" w:sz="4" w:space="0"/>
              <w:right w:val="single" w:color="auto" w:sz="4" w:space="0"/>
            </w:tcBorders>
            <w:noWrap w:val="0"/>
            <w:vAlign w:val="center"/>
          </w:tcPr>
          <w:p w14:paraId="25DD3C66">
            <w:pPr>
              <w:shd w:val="clear" w:color="auto" w:fill="auto"/>
              <w:rPr>
                <w:rFonts w:hint="eastAsia" w:ascii="仿宋" w:hAnsi="仿宋" w:eastAsia="仿宋" w:cs="仿宋"/>
                <w:color w:val="auto"/>
                <w:sz w:val="24"/>
                <w:szCs w:val="24"/>
                <w:highlight w:val="none"/>
              </w:rPr>
            </w:pPr>
          </w:p>
        </w:tc>
        <w:tc>
          <w:tcPr>
            <w:tcW w:w="689" w:type="dxa"/>
            <w:tcBorders>
              <w:left w:val="single" w:color="auto" w:sz="4" w:space="0"/>
            </w:tcBorders>
            <w:noWrap w:val="0"/>
            <w:vAlign w:val="center"/>
          </w:tcPr>
          <w:p w14:paraId="7059DB09">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p>
        </w:tc>
        <w:tc>
          <w:tcPr>
            <w:tcW w:w="6143" w:type="dxa"/>
            <w:tcBorders>
              <w:right w:val="single" w:color="auto" w:sz="4" w:space="0"/>
            </w:tcBorders>
            <w:noWrap w:val="0"/>
            <w:vAlign w:val="center"/>
          </w:tcPr>
          <w:p w14:paraId="154D13A9">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投标文件内容齐全、无遗漏。</w:t>
            </w:r>
          </w:p>
        </w:tc>
        <w:tc>
          <w:tcPr>
            <w:tcW w:w="482" w:type="dxa"/>
            <w:tcBorders>
              <w:left w:val="single" w:color="auto" w:sz="4" w:space="0"/>
            </w:tcBorders>
            <w:noWrap w:val="0"/>
            <w:vAlign w:val="top"/>
          </w:tcPr>
          <w:p w14:paraId="56669051">
            <w:pPr>
              <w:shd w:val="clear" w:color="auto" w:fill="auto"/>
              <w:rPr>
                <w:rFonts w:hint="eastAsia" w:ascii="仿宋" w:hAnsi="仿宋" w:eastAsia="仿宋" w:cs="仿宋"/>
                <w:color w:val="auto"/>
                <w:sz w:val="24"/>
                <w:szCs w:val="24"/>
                <w:highlight w:val="none"/>
              </w:rPr>
            </w:pPr>
          </w:p>
        </w:tc>
        <w:tc>
          <w:tcPr>
            <w:tcW w:w="884" w:type="dxa"/>
            <w:tcBorders>
              <w:right w:val="single" w:color="auto" w:sz="4" w:space="0"/>
            </w:tcBorders>
            <w:noWrap w:val="0"/>
            <w:vAlign w:val="top"/>
          </w:tcPr>
          <w:p w14:paraId="4F9A290C">
            <w:pPr>
              <w:shd w:val="clear" w:color="auto" w:fill="auto"/>
              <w:rPr>
                <w:rFonts w:hint="eastAsia" w:ascii="仿宋" w:hAnsi="仿宋" w:eastAsia="仿宋" w:cs="仿宋"/>
                <w:color w:val="auto"/>
                <w:sz w:val="24"/>
                <w:szCs w:val="24"/>
                <w:highlight w:val="none"/>
              </w:rPr>
            </w:pPr>
          </w:p>
        </w:tc>
      </w:tr>
      <w:tr w14:paraId="36A39C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73" w:type="dxa"/>
            <w:vMerge w:val="continue"/>
            <w:tcBorders>
              <w:left w:val="single" w:color="auto" w:sz="4" w:space="0"/>
              <w:right w:val="single" w:color="auto" w:sz="4" w:space="0"/>
            </w:tcBorders>
            <w:noWrap w:val="0"/>
            <w:vAlign w:val="center"/>
          </w:tcPr>
          <w:p w14:paraId="524EF086">
            <w:pPr>
              <w:shd w:val="clear" w:color="auto" w:fill="auto"/>
              <w:rPr>
                <w:rFonts w:hint="eastAsia" w:ascii="仿宋" w:hAnsi="仿宋" w:eastAsia="仿宋" w:cs="仿宋"/>
                <w:color w:val="auto"/>
                <w:sz w:val="24"/>
                <w:szCs w:val="24"/>
                <w:highlight w:val="none"/>
              </w:rPr>
            </w:pPr>
          </w:p>
        </w:tc>
        <w:tc>
          <w:tcPr>
            <w:tcW w:w="689" w:type="dxa"/>
            <w:tcBorders>
              <w:left w:val="single" w:color="auto" w:sz="4" w:space="0"/>
              <w:bottom w:val="single" w:color="auto" w:sz="4" w:space="0"/>
            </w:tcBorders>
            <w:noWrap w:val="0"/>
            <w:vAlign w:val="center"/>
          </w:tcPr>
          <w:p w14:paraId="0FA51F80">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6143" w:type="dxa"/>
            <w:tcBorders>
              <w:bottom w:val="single" w:color="auto" w:sz="4" w:space="0"/>
              <w:right w:val="single" w:color="auto" w:sz="4" w:space="0"/>
            </w:tcBorders>
            <w:noWrap w:val="0"/>
            <w:vAlign w:val="center"/>
          </w:tcPr>
          <w:p w14:paraId="406FF737">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对招标文件规定的招标内容全部作出响应。</w:t>
            </w:r>
          </w:p>
        </w:tc>
        <w:tc>
          <w:tcPr>
            <w:tcW w:w="482" w:type="dxa"/>
            <w:tcBorders>
              <w:left w:val="single" w:color="auto" w:sz="4" w:space="0"/>
              <w:bottom w:val="single" w:color="auto" w:sz="4" w:space="0"/>
            </w:tcBorders>
            <w:noWrap w:val="0"/>
            <w:vAlign w:val="top"/>
          </w:tcPr>
          <w:p w14:paraId="721A96A1">
            <w:pPr>
              <w:shd w:val="clear" w:color="auto" w:fill="auto"/>
              <w:rPr>
                <w:rFonts w:hint="eastAsia" w:ascii="仿宋" w:hAnsi="仿宋" w:eastAsia="仿宋" w:cs="仿宋"/>
                <w:color w:val="auto"/>
                <w:sz w:val="24"/>
                <w:szCs w:val="24"/>
                <w:highlight w:val="none"/>
              </w:rPr>
            </w:pPr>
          </w:p>
        </w:tc>
        <w:tc>
          <w:tcPr>
            <w:tcW w:w="884" w:type="dxa"/>
            <w:tcBorders>
              <w:bottom w:val="single" w:color="auto" w:sz="4" w:space="0"/>
              <w:right w:val="single" w:color="auto" w:sz="4" w:space="0"/>
            </w:tcBorders>
            <w:noWrap w:val="0"/>
            <w:vAlign w:val="top"/>
          </w:tcPr>
          <w:p w14:paraId="76785754">
            <w:pPr>
              <w:shd w:val="clear" w:color="auto" w:fill="auto"/>
              <w:rPr>
                <w:rFonts w:hint="eastAsia" w:ascii="仿宋" w:hAnsi="仿宋" w:eastAsia="仿宋" w:cs="仿宋"/>
                <w:color w:val="auto"/>
                <w:sz w:val="24"/>
                <w:szCs w:val="24"/>
                <w:highlight w:val="none"/>
              </w:rPr>
            </w:pPr>
          </w:p>
        </w:tc>
      </w:tr>
      <w:tr w14:paraId="0D33CC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8" w:hRule="atLeast"/>
        </w:trPr>
        <w:tc>
          <w:tcPr>
            <w:tcW w:w="773" w:type="dxa"/>
            <w:vMerge w:val="continue"/>
            <w:tcBorders>
              <w:left w:val="single" w:color="auto" w:sz="4" w:space="0"/>
              <w:right w:val="single" w:color="auto" w:sz="4" w:space="0"/>
            </w:tcBorders>
            <w:noWrap w:val="0"/>
            <w:vAlign w:val="center"/>
          </w:tcPr>
          <w:p w14:paraId="2C47CF53">
            <w:pPr>
              <w:shd w:val="clear" w:color="auto" w:fill="auto"/>
              <w:rPr>
                <w:rFonts w:hint="eastAsia" w:ascii="仿宋" w:hAnsi="仿宋" w:eastAsia="仿宋" w:cs="仿宋"/>
                <w:color w:val="auto"/>
                <w:sz w:val="24"/>
                <w:szCs w:val="24"/>
                <w:highlight w:val="none"/>
              </w:rPr>
            </w:pPr>
          </w:p>
        </w:tc>
        <w:tc>
          <w:tcPr>
            <w:tcW w:w="689" w:type="dxa"/>
            <w:tcBorders>
              <w:top w:val="single" w:color="auto" w:sz="4" w:space="0"/>
              <w:left w:val="single" w:color="auto" w:sz="4" w:space="0"/>
              <w:bottom w:val="single" w:color="auto" w:sz="4" w:space="0"/>
              <w:right w:val="single" w:color="auto" w:sz="4" w:space="0"/>
            </w:tcBorders>
            <w:noWrap w:val="0"/>
            <w:vAlign w:val="center"/>
          </w:tcPr>
          <w:p w14:paraId="18DB07FD">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6143" w:type="dxa"/>
            <w:tcBorders>
              <w:top w:val="single" w:color="auto" w:sz="4" w:space="0"/>
              <w:left w:val="single" w:color="auto" w:sz="4" w:space="0"/>
              <w:bottom w:val="single" w:color="auto" w:sz="4" w:space="0"/>
              <w:right w:val="single" w:color="auto" w:sz="4" w:space="0"/>
            </w:tcBorders>
            <w:noWrap w:val="0"/>
            <w:vAlign w:val="center"/>
          </w:tcPr>
          <w:p w14:paraId="7FAB3F08">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满足招标文件提出的技术和质量要求。</w:t>
            </w:r>
          </w:p>
        </w:tc>
        <w:tc>
          <w:tcPr>
            <w:tcW w:w="482" w:type="dxa"/>
            <w:tcBorders>
              <w:top w:val="single" w:color="auto" w:sz="4" w:space="0"/>
              <w:left w:val="single" w:color="auto" w:sz="4" w:space="0"/>
              <w:bottom w:val="single" w:color="auto" w:sz="4" w:space="0"/>
              <w:right w:val="single" w:color="auto" w:sz="4" w:space="0"/>
            </w:tcBorders>
            <w:noWrap w:val="0"/>
            <w:vAlign w:val="top"/>
          </w:tcPr>
          <w:p w14:paraId="564C489C">
            <w:pPr>
              <w:shd w:val="clear" w:color="auto" w:fill="auto"/>
              <w:rPr>
                <w:rFonts w:hint="eastAsia" w:ascii="仿宋" w:hAnsi="仿宋" w:eastAsia="仿宋" w:cs="仿宋"/>
                <w:color w:val="auto"/>
                <w:sz w:val="24"/>
                <w:szCs w:val="24"/>
                <w:highlight w:val="none"/>
              </w:rPr>
            </w:pPr>
          </w:p>
        </w:tc>
        <w:tc>
          <w:tcPr>
            <w:tcW w:w="884" w:type="dxa"/>
            <w:tcBorders>
              <w:top w:val="single" w:color="auto" w:sz="4" w:space="0"/>
              <w:left w:val="single" w:color="auto" w:sz="4" w:space="0"/>
              <w:bottom w:val="single" w:color="auto" w:sz="4" w:space="0"/>
              <w:right w:val="single" w:color="auto" w:sz="4" w:space="0"/>
            </w:tcBorders>
            <w:noWrap w:val="0"/>
            <w:vAlign w:val="top"/>
          </w:tcPr>
          <w:p w14:paraId="6C2C0355">
            <w:pPr>
              <w:shd w:val="clear" w:color="auto" w:fill="auto"/>
              <w:rPr>
                <w:rFonts w:hint="eastAsia" w:ascii="仿宋" w:hAnsi="仿宋" w:eastAsia="仿宋" w:cs="仿宋"/>
                <w:color w:val="auto"/>
                <w:sz w:val="24"/>
                <w:szCs w:val="24"/>
                <w:highlight w:val="none"/>
              </w:rPr>
            </w:pPr>
          </w:p>
        </w:tc>
      </w:tr>
      <w:tr w14:paraId="6D5AA7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1" w:hRule="atLeast"/>
        </w:trPr>
        <w:tc>
          <w:tcPr>
            <w:tcW w:w="773" w:type="dxa"/>
            <w:vMerge w:val="continue"/>
            <w:tcBorders>
              <w:left w:val="single" w:color="auto" w:sz="4" w:space="0"/>
              <w:right w:val="single" w:color="auto" w:sz="4" w:space="0"/>
            </w:tcBorders>
            <w:noWrap w:val="0"/>
            <w:vAlign w:val="center"/>
          </w:tcPr>
          <w:p w14:paraId="22C01584">
            <w:pPr>
              <w:shd w:val="clear" w:color="auto" w:fill="auto"/>
              <w:rPr>
                <w:rFonts w:hint="eastAsia" w:ascii="仿宋" w:hAnsi="仿宋" w:eastAsia="仿宋" w:cs="仿宋"/>
                <w:color w:val="auto"/>
                <w:sz w:val="24"/>
                <w:szCs w:val="24"/>
                <w:highlight w:val="none"/>
              </w:rPr>
            </w:pPr>
          </w:p>
        </w:tc>
        <w:tc>
          <w:tcPr>
            <w:tcW w:w="689" w:type="dxa"/>
            <w:tcBorders>
              <w:top w:val="single" w:color="auto" w:sz="4" w:space="0"/>
              <w:left w:val="single" w:color="auto" w:sz="4" w:space="0"/>
            </w:tcBorders>
            <w:noWrap w:val="0"/>
            <w:vAlign w:val="center"/>
          </w:tcPr>
          <w:p w14:paraId="0D0B411D">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6143" w:type="dxa"/>
            <w:tcBorders>
              <w:top w:val="single" w:color="auto" w:sz="4" w:space="0"/>
              <w:right w:val="single" w:color="auto" w:sz="4" w:space="0"/>
            </w:tcBorders>
            <w:noWrap w:val="0"/>
            <w:vAlign w:val="center"/>
          </w:tcPr>
          <w:p w14:paraId="0B52B43E">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完成期限满足招标文件要求。</w:t>
            </w:r>
          </w:p>
        </w:tc>
        <w:tc>
          <w:tcPr>
            <w:tcW w:w="482" w:type="dxa"/>
            <w:tcBorders>
              <w:top w:val="single" w:color="auto" w:sz="4" w:space="0"/>
              <w:left w:val="single" w:color="auto" w:sz="4" w:space="0"/>
            </w:tcBorders>
            <w:noWrap w:val="0"/>
            <w:vAlign w:val="top"/>
          </w:tcPr>
          <w:p w14:paraId="1D417C18">
            <w:pPr>
              <w:shd w:val="clear" w:color="auto" w:fill="auto"/>
              <w:rPr>
                <w:rFonts w:hint="eastAsia" w:ascii="仿宋" w:hAnsi="仿宋" w:eastAsia="仿宋" w:cs="仿宋"/>
                <w:color w:val="auto"/>
                <w:sz w:val="24"/>
                <w:szCs w:val="24"/>
                <w:highlight w:val="none"/>
              </w:rPr>
            </w:pPr>
          </w:p>
        </w:tc>
        <w:tc>
          <w:tcPr>
            <w:tcW w:w="884" w:type="dxa"/>
            <w:tcBorders>
              <w:top w:val="single" w:color="auto" w:sz="4" w:space="0"/>
              <w:right w:val="single" w:color="auto" w:sz="4" w:space="0"/>
            </w:tcBorders>
            <w:noWrap w:val="0"/>
            <w:vAlign w:val="top"/>
          </w:tcPr>
          <w:p w14:paraId="5E57850D">
            <w:pPr>
              <w:shd w:val="clear" w:color="auto" w:fill="auto"/>
              <w:rPr>
                <w:rFonts w:hint="eastAsia" w:ascii="仿宋" w:hAnsi="仿宋" w:eastAsia="仿宋" w:cs="仿宋"/>
                <w:color w:val="auto"/>
                <w:sz w:val="24"/>
                <w:szCs w:val="24"/>
                <w:highlight w:val="none"/>
              </w:rPr>
            </w:pPr>
          </w:p>
        </w:tc>
      </w:tr>
      <w:tr w14:paraId="4D33C1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8" w:hRule="atLeast"/>
        </w:trPr>
        <w:tc>
          <w:tcPr>
            <w:tcW w:w="773" w:type="dxa"/>
            <w:vMerge w:val="continue"/>
            <w:tcBorders>
              <w:left w:val="single" w:color="auto" w:sz="4" w:space="0"/>
              <w:right w:val="single" w:color="auto" w:sz="4" w:space="0"/>
            </w:tcBorders>
            <w:noWrap w:val="0"/>
            <w:vAlign w:val="center"/>
          </w:tcPr>
          <w:p w14:paraId="74EE5A0E">
            <w:pPr>
              <w:shd w:val="clear" w:color="auto" w:fill="auto"/>
              <w:rPr>
                <w:rFonts w:hint="eastAsia" w:ascii="仿宋" w:hAnsi="仿宋" w:eastAsia="仿宋" w:cs="仿宋"/>
                <w:color w:val="auto"/>
                <w:sz w:val="24"/>
                <w:szCs w:val="24"/>
                <w:highlight w:val="none"/>
              </w:rPr>
            </w:pPr>
          </w:p>
        </w:tc>
        <w:tc>
          <w:tcPr>
            <w:tcW w:w="689" w:type="dxa"/>
            <w:tcBorders>
              <w:left w:val="single" w:color="auto" w:sz="4" w:space="0"/>
            </w:tcBorders>
            <w:noWrap w:val="0"/>
            <w:vAlign w:val="center"/>
          </w:tcPr>
          <w:p w14:paraId="5429C13F">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6143" w:type="dxa"/>
            <w:tcBorders>
              <w:right w:val="single" w:color="auto" w:sz="4" w:space="0"/>
            </w:tcBorders>
            <w:noWrap w:val="0"/>
            <w:vAlign w:val="center"/>
          </w:tcPr>
          <w:p w14:paraId="704DC87C">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售后服务满足招标文件要求。</w:t>
            </w:r>
          </w:p>
        </w:tc>
        <w:tc>
          <w:tcPr>
            <w:tcW w:w="482" w:type="dxa"/>
            <w:tcBorders>
              <w:left w:val="single" w:color="auto" w:sz="4" w:space="0"/>
            </w:tcBorders>
            <w:noWrap w:val="0"/>
            <w:vAlign w:val="top"/>
          </w:tcPr>
          <w:p w14:paraId="70643817">
            <w:pPr>
              <w:shd w:val="clear" w:color="auto" w:fill="auto"/>
              <w:rPr>
                <w:rFonts w:hint="eastAsia" w:ascii="仿宋" w:hAnsi="仿宋" w:eastAsia="仿宋" w:cs="仿宋"/>
                <w:color w:val="auto"/>
                <w:sz w:val="24"/>
                <w:szCs w:val="24"/>
                <w:highlight w:val="none"/>
              </w:rPr>
            </w:pPr>
          </w:p>
        </w:tc>
        <w:tc>
          <w:tcPr>
            <w:tcW w:w="884" w:type="dxa"/>
            <w:tcBorders>
              <w:right w:val="single" w:color="auto" w:sz="4" w:space="0"/>
            </w:tcBorders>
            <w:noWrap w:val="0"/>
            <w:vAlign w:val="top"/>
          </w:tcPr>
          <w:p w14:paraId="2656AD78">
            <w:pPr>
              <w:shd w:val="clear" w:color="auto" w:fill="auto"/>
              <w:rPr>
                <w:rFonts w:hint="eastAsia" w:ascii="仿宋" w:hAnsi="仿宋" w:eastAsia="仿宋" w:cs="仿宋"/>
                <w:color w:val="auto"/>
                <w:sz w:val="24"/>
                <w:szCs w:val="24"/>
                <w:highlight w:val="none"/>
              </w:rPr>
            </w:pPr>
          </w:p>
        </w:tc>
      </w:tr>
      <w:tr w14:paraId="588565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2" w:hRule="atLeast"/>
        </w:trPr>
        <w:tc>
          <w:tcPr>
            <w:tcW w:w="773" w:type="dxa"/>
            <w:vMerge w:val="continue"/>
            <w:tcBorders>
              <w:left w:val="single" w:color="auto" w:sz="4" w:space="0"/>
              <w:right w:val="single" w:color="auto" w:sz="4" w:space="0"/>
            </w:tcBorders>
            <w:noWrap w:val="0"/>
            <w:vAlign w:val="center"/>
          </w:tcPr>
          <w:p w14:paraId="3E607AD1">
            <w:pPr>
              <w:shd w:val="clear" w:color="auto" w:fill="auto"/>
              <w:rPr>
                <w:rFonts w:hint="eastAsia" w:ascii="仿宋" w:hAnsi="仿宋" w:eastAsia="仿宋" w:cs="仿宋"/>
                <w:color w:val="auto"/>
                <w:sz w:val="24"/>
                <w:szCs w:val="24"/>
                <w:highlight w:val="none"/>
              </w:rPr>
            </w:pPr>
          </w:p>
        </w:tc>
        <w:tc>
          <w:tcPr>
            <w:tcW w:w="689" w:type="dxa"/>
            <w:tcBorders>
              <w:left w:val="single" w:color="auto" w:sz="4" w:space="0"/>
            </w:tcBorders>
            <w:noWrap w:val="0"/>
            <w:vAlign w:val="center"/>
          </w:tcPr>
          <w:p w14:paraId="6C43396A">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6143" w:type="dxa"/>
            <w:tcBorders>
              <w:right w:val="single" w:color="auto" w:sz="4" w:space="0"/>
            </w:tcBorders>
            <w:noWrap w:val="0"/>
            <w:vAlign w:val="center"/>
          </w:tcPr>
          <w:p w14:paraId="60452E56">
            <w:pPr>
              <w:widowControl/>
              <w:shd w:val="clear" w:color="auto" w:fill="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投标有效期满足招标文件要求。</w:t>
            </w:r>
          </w:p>
        </w:tc>
        <w:tc>
          <w:tcPr>
            <w:tcW w:w="482" w:type="dxa"/>
            <w:tcBorders>
              <w:left w:val="single" w:color="auto" w:sz="4" w:space="0"/>
            </w:tcBorders>
            <w:noWrap w:val="0"/>
            <w:vAlign w:val="top"/>
          </w:tcPr>
          <w:p w14:paraId="3D76ABD3">
            <w:pPr>
              <w:shd w:val="clear" w:color="auto" w:fill="auto"/>
              <w:rPr>
                <w:rFonts w:hint="eastAsia" w:ascii="仿宋" w:hAnsi="仿宋" w:eastAsia="仿宋" w:cs="仿宋"/>
                <w:color w:val="auto"/>
                <w:sz w:val="24"/>
                <w:szCs w:val="24"/>
                <w:highlight w:val="none"/>
              </w:rPr>
            </w:pPr>
          </w:p>
        </w:tc>
        <w:tc>
          <w:tcPr>
            <w:tcW w:w="884" w:type="dxa"/>
            <w:tcBorders>
              <w:right w:val="single" w:color="auto" w:sz="4" w:space="0"/>
            </w:tcBorders>
            <w:noWrap w:val="0"/>
            <w:vAlign w:val="top"/>
          </w:tcPr>
          <w:p w14:paraId="2369A09A">
            <w:pPr>
              <w:shd w:val="clear" w:color="auto" w:fill="auto"/>
              <w:rPr>
                <w:rFonts w:hint="eastAsia" w:ascii="仿宋" w:hAnsi="仿宋" w:eastAsia="仿宋" w:cs="仿宋"/>
                <w:color w:val="auto"/>
                <w:sz w:val="24"/>
                <w:szCs w:val="24"/>
                <w:highlight w:val="none"/>
              </w:rPr>
            </w:pPr>
          </w:p>
        </w:tc>
      </w:tr>
      <w:tr w14:paraId="07BFC0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73" w:type="dxa"/>
            <w:vMerge w:val="continue"/>
            <w:tcBorders>
              <w:left w:val="single" w:color="auto" w:sz="4" w:space="0"/>
              <w:right w:val="single" w:color="auto" w:sz="4" w:space="0"/>
            </w:tcBorders>
            <w:noWrap w:val="0"/>
            <w:vAlign w:val="center"/>
          </w:tcPr>
          <w:p w14:paraId="205AACB3">
            <w:pPr>
              <w:shd w:val="clear" w:color="auto" w:fill="auto"/>
              <w:rPr>
                <w:rFonts w:hint="eastAsia" w:ascii="仿宋" w:hAnsi="仿宋" w:eastAsia="仿宋" w:cs="仿宋"/>
                <w:color w:val="auto"/>
                <w:sz w:val="24"/>
                <w:szCs w:val="24"/>
                <w:highlight w:val="none"/>
              </w:rPr>
            </w:pPr>
          </w:p>
        </w:tc>
        <w:tc>
          <w:tcPr>
            <w:tcW w:w="689" w:type="dxa"/>
            <w:tcBorders>
              <w:left w:val="single" w:color="auto" w:sz="4" w:space="0"/>
            </w:tcBorders>
            <w:noWrap w:val="0"/>
            <w:vAlign w:val="center"/>
          </w:tcPr>
          <w:p w14:paraId="65DF7CD2">
            <w:pPr>
              <w:shd w:val="clear" w:color="auto" w:fill="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6143" w:type="dxa"/>
            <w:tcBorders>
              <w:right w:val="single" w:color="auto" w:sz="4" w:space="0"/>
            </w:tcBorders>
            <w:noWrap w:val="0"/>
            <w:vAlign w:val="center"/>
          </w:tcPr>
          <w:p w14:paraId="0C646094">
            <w:pPr>
              <w:widowControl/>
              <w:shd w:val="clear" w:color="auto" w:fill="auto"/>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kern w:val="0"/>
                <w:sz w:val="24"/>
                <w:szCs w:val="24"/>
                <w:highlight w:val="none"/>
                <w:lang w:bidi="ar"/>
              </w:rPr>
              <w:t>投标人详细地址、联系人、电话</w:t>
            </w:r>
            <w:r>
              <w:rPr>
                <w:rFonts w:hint="eastAsia" w:ascii="仿宋" w:hAnsi="仿宋" w:eastAsia="仿宋" w:cs="仿宋"/>
                <w:b w:val="0"/>
                <w:bCs w:val="0"/>
                <w:color w:val="auto"/>
                <w:kern w:val="0"/>
                <w:sz w:val="24"/>
                <w:szCs w:val="24"/>
                <w:highlight w:val="none"/>
                <w:lang w:eastAsia="zh-CN" w:bidi="ar"/>
              </w:rPr>
              <w:t>。</w:t>
            </w:r>
          </w:p>
        </w:tc>
        <w:tc>
          <w:tcPr>
            <w:tcW w:w="482" w:type="dxa"/>
            <w:tcBorders>
              <w:left w:val="single" w:color="auto" w:sz="4" w:space="0"/>
            </w:tcBorders>
            <w:noWrap w:val="0"/>
            <w:vAlign w:val="top"/>
          </w:tcPr>
          <w:p w14:paraId="7B97C96A">
            <w:pPr>
              <w:shd w:val="clear" w:color="auto" w:fill="auto"/>
              <w:rPr>
                <w:rFonts w:hint="eastAsia" w:ascii="仿宋" w:hAnsi="仿宋" w:eastAsia="仿宋" w:cs="仿宋"/>
                <w:color w:val="auto"/>
                <w:sz w:val="24"/>
                <w:szCs w:val="24"/>
                <w:highlight w:val="none"/>
              </w:rPr>
            </w:pPr>
          </w:p>
        </w:tc>
        <w:tc>
          <w:tcPr>
            <w:tcW w:w="884" w:type="dxa"/>
            <w:tcBorders>
              <w:right w:val="single" w:color="auto" w:sz="4" w:space="0"/>
            </w:tcBorders>
            <w:noWrap w:val="0"/>
            <w:vAlign w:val="top"/>
          </w:tcPr>
          <w:p w14:paraId="25E66A1F">
            <w:pPr>
              <w:shd w:val="clear" w:color="auto" w:fill="auto"/>
              <w:rPr>
                <w:rFonts w:hint="eastAsia" w:ascii="仿宋" w:hAnsi="仿宋" w:eastAsia="仿宋" w:cs="仿宋"/>
                <w:color w:val="auto"/>
                <w:sz w:val="24"/>
                <w:szCs w:val="24"/>
                <w:highlight w:val="none"/>
              </w:rPr>
            </w:pPr>
          </w:p>
        </w:tc>
      </w:tr>
      <w:tr w14:paraId="1EBFDE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773" w:type="dxa"/>
            <w:tcBorders>
              <w:left w:val="single" w:color="auto" w:sz="4" w:space="0"/>
              <w:bottom w:val="single" w:color="auto" w:sz="4" w:space="0"/>
              <w:right w:val="single" w:color="auto" w:sz="4" w:space="0"/>
            </w:tcBorders>
            <w:noWrap w:val="0"/>
            <w:vAlign w:val="center"/>
          </w:tcPr>
          <w:p w14:paraId="2372DB13">
            <w:pPr>
              <w:shd w:val="clear" w:color="auto" w:fill="auto"/>
              <w:jc w:val="center"/>
              <w:rPr>
                <w:rFonts w:hint="eastAsia" w:ascii="仿宋" w:hAnsi="仿宋" w:eastAsia="仿宋" w:cs="仿宋"/>
                <w:color w:val="auto"/>
                <w:sz w:val="24"/>
                <w:szCs w:val="24"/>
                <w:highlight w:val="none"/>
              </w:rPr>
            </w:pPr>
          </w:p>
        </w:tc>
        <w:tc>
          <w:tcPr>
            <w:tcW w:w="6832" w:type="dxa"/>
            <w:gridSpan w:val="2"/>
            <w:tcBorders>
              <w:left w:val="single" w:color="auto" w:sz="4" w:space="0"/>
              <w:bottom w:val="single" w:color="auto" w:sz="4" w:space="0"/>
              <w:right w:val="single" w:color="auto" w:sz="4" w:space="0"/>
            </w:tcBorders>
            <w:noWrap w:val="0"/>
            <w:vAlign w:val="top"/>
          </w:tcPr>
          <w:p w14:paraId="4D37B983">
            <w:pPr>
              <w:shd w:val="clear" w:color="auto" w:fil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结论：是否通过评审（须填写通过或不通过）</w:t>
            </w:r>
          </w:p>
          <w:p w14:paraId="4F50FB8D">
            <w:pPr>
              <w:shd w:val="clear" w:color="auto" w:fil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注：如有一项不合格，作废标处理。</w:t>
            </w:r>
          </w:p>
        </w:tc>
        <w:tc>
          <w:tcPr>
            <w:tcW w:w="1366" w:type="dxa"/>
            <w:gridSpan w:val="2"/>
            <w:tcBorders>
              <w:left w:val="single" w:color="auto" w:sz="4" w:space="0"/>
              <w:bottom w:val="single" w:color="auto" w:sz="4" w:space="0"/>
              <w:right w:val="single" w:color="auto" w:sz="4" w:space="0"/>
            </w:tcBorders>
            <w:noWrap w:val="0"/>
            <w:vAlign w:val="top"/>
          </w:tcPr>
          <w:p w14:paraId="4C72B557">
            <w:pPr>
              <w:shd w:val="clear" w:color="auto" w:fill="auto"/>
              <w:rPr>
                <w:rFonts w:hint="eastAsia" w:ascii="仿宋" w:hAnsi="仿宋" w:eastAsia="仿宋" w:cs="仿宋"/>
                <w:color w:val="auto"/>
                <w:sz w:val="24"/>
                <w:szCs w:val="24"/>
                <w:highlight w:val="none"/>
              </w:rPr>
            </w:pPr>
          </w:p>
        </w:tc>
      </w:tr>
    </w:tbl>
    <w:p w14:paraId="4875DAA4">
      <w:pPr>
        <w:shd w:val="clear" w:color="auto" w:fill="auto"/>
        <w:bidi w:val="0"/>
        <w:rPr>
          <w:rFonts w:hint="eastAsia" w:ascii="仿宋" w:hAnsi="仿宋" w:eastAsia="仿宋" w:cs="仿宋"/>
          <w:color w:val="auto"/>
          <w:highlight w:val="none"/>
        </w:rPr>
      </w:pPr>
    </w:p>
    <w:p w14:paraId="24C680AA">
      <w:pPr>
        <w:shd w:val="clear" w:color="auto" w:fill="auto"/>
        <w:spacing w:line="400" w:lineRule="exact"/>
        <w:ind w:firstLine="578" w:firstLineChars="241"/>
        <w:rPr>
          <w:rFonts w:hint="eastAsia" w:ascii="仿宋" w:hAnsi="仿宋" w:eastAsia="仿宋" w:cs="仿宋"/>
          <w:color w:val="auto"/>
          <w:szCs w:val="21"/>
          <w:highlight w:val="none"/>
          <w:lang w:val="en-US" w:eastAsia="zh-CN"/>
        </w:rPr>
      </w:pPr>
    </w:p>
    <w:p w14:paraId="7B8C5F25">
      <w:pPr>
        <w:shd w:val="clear" w:color="auto" w:fill="auto"/>
        <w:spacing w:line="400" w:lineRule="exact"/>
        <w:ind w:firstLine="578" w:firstLineChars="241"/>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p w14:paraId="115D37D0">
      <w:pPr>
        <w:shd w:val="clear" w:color="auto" w:fill="auto"/>
        <w:spacing w:line="400" w:lineRule="exact"/>
        <w:ind w:firstLine="578" w:firstLineChars="241"/>
        <w:rPr>
          <w:rFonts w:hint="eastAsia" w:ascii="仿宋" w:hAnsi="仿宋" w:eastAsia="仿宋" w:cs="仿宋"/>
          <w:color w:val="auto"/>
          <w:szCs w:val="21"/>
          <w:highlight w:val="none"/>
        </w:rPr>
      </w:pPr>
    </w:p>
    <w:p w14:paraId="30882723">
      <w:pPr>
        <w:shd w:val="clear" w:color="auto" w:fill="auto"/>
        <w:spacing w:line="400" w:lineRule="exact"/>
        <w:ind w:firstLine="578" w:firstLineChars="241"/>
        <w:rPr>
          <w:rFonts w:hint="eastAsia" w:ascii="仿宋" w:hAnsi="仿宋" w:eastAsia="仿宋" w:cs="仿宋"/>
          <w:color w:val="auto"/>
          <w:szCs w:val="21"/>
          <w:highlight w:val="none"/>
        </w:rPr>
      </w:pPr>
    </w:p>
    <w:p w14:paraId="0C85E6AD">
      <w:pPr>
        <w:shd w:val="clear" w:color="auto" w:fill="auto"/>
        <w:spacing w:line="400" w:lineRule="exact"/>
        <w:ind w:firstLine="578" w:firstLineChars="241"/>
        <w:rPr>
          <w:rFonts w:hint="eastAsia" w:ascii="仿宋" w:hAnsi="仿宋" w:eastAsia="仿宋" w:cs="仿宋"/>
          <w:color w:val="auto"/>
          <w:szCs w:val="21"/>
          <w:highlight w:val="none"/>
        </w:rPr>
      </w:pPr>
    </w:p>
    <w:p w14:paraId="497FF380">
      <w:pPr>
        <w:shd w:val="clear" w:color="auto" w:fill="auto"/>
        <w:spacing w:line="400" w:lineRule="exact"/>
        <w:ind w:firstLine="578" w:firstLineChars="241"/>
        <w:rPr>
          <w:rFonts w:hint="eastAsia" w:ascii="仿宋" w:hAnsi="仿宋" w:eastAsia="仿宋" w:cs="仿宋"/>
          <w:color w:val="auto"/>
          <w:szCs w:val="21"/>
          <w:highlight w:val="none"/>
        </w:rPr>
      </w:pPr>
    </w:p>
    <w:p w14:paraId="25DD6EEA">
      <w:pPr>
        <w:shd w:val="clear" w:color="auto" w:fill="auto"/>
        <w:spacing w:line="400" w:lineRule="exact"/>
        <w:ind w:firstLine="578" w:firstLineChars="241"/>
        <w:rPr>
          <w:rFonts w:hint="eastAsia" w:ascii="仿宋" w:hAnsi="仿宋" w:eastAsia="仿宋" w:cs="仿宋"/>
          <w:color w:val="auto"/>
          <w:szCs w:val="21"/>
          <w:highlight w:val="none"/>
        </w:rPr>
      </w:pPr>
    </w:p>
    <w:p w14:paraId="3FB1919D">
      <w:pPr>
        <w:shd w:val="clear" w:color="auto" w:fill="auto"/>
        <w:spacing w:line="400" w:lineRule="exact"/>
        <w:ind w:firstLine="578" w:firstLineChars="241"/>
        <w:rPr>
          <w:rFonts w:hint="eastAsia" w:ascii="仿宋" w:hAnsi="仿宋" w:eastAsia="仿宋" w:cs="仿宋"/>
          <w:color w:val="auto"/>
          <w:szCs w:val="21"/>
          <w:highlight w:val="none"/>
        </w:rPr>
      </w:pPr>
    </w:p>
    <w:p w14:paraId="42391A1B">
      <w:pPr>
        <w:shd w:val="clear" w:color="auto" w:fill="auto"/>
        <w:spacing w:line="400" w:lineRule="exact"/>
        <w:ind w:firstLine="578" w:firstLineChars="241"/>
        <w:rPr>
          <w:rFonts w:hint="eastAsia" w:ascii="仿宋" w:hAnsi="仿宋" w:eastAsia="仿宋" w:cs="仿宋"/>
          <w:color w:val="auto"/>
          <w:szCs w:val="21"/>
          <w:highlight w:val="none"/>
        </w:rPr>
      </w:pPr>
    </w:p>
    <w:p w14:paraId="6266843C">
      <w:pPr>
        <w:shd w:val="clear" w:color="auto" w:fill="auto"/>
        <w:spacing w:line="400" w:lineRule="exact"/>
        <w:ind w:firstLine="578" w:firstLineChars="241"/>
        <w:rPr>
          <w:rFonts w:hint="eastAsia" w:ascii="仿宋" w:hAnsi="仿宋" w:eastAsia="仿宋" w:cs="仿宋"/>
          <w:color w:val="auto"/>
          <w:szCs w:val="21"/>
          <w:highlight w:val="none"/>
        </w:rPr>
      </w:pPr>
    </w:p>
    <w:p w14:paraId="481E1F7A">
      <w:pPr>
        <w:shd w:val="clear" w:color="auto" w:fill="auto"/>
        <w:spacing w:line="400" w:lineRule="exact"/>
        <w:ind w:firstLine="578" w:firstLineChars="241"/>
        <w:rPr>
          <w:rFonts w:hint="eastAsia" w:ascii="仿宋" w:hAnsi="仿宋" w:eastAsia="仿宋" w:cs="仿宋"/>
          <w:color w:val="auto"/>
          <w:szCs w:val="21"/>
          <w:highlight w:val="none"/>
        </w:rPr>
      </w:pPr>
    </w:p>
    <w:p w14:paraId="389810A2">
      <w:pPr>
        <w:shd w:val="clear" w:color="auto" w:fill="auto"/>
        <w:spacing w:line="400" w:lineRule="exact"/>
        <w:ind w:firstLine="578" w:firstLineChars="241"/>
        <w:rPr>
          <w:rFonts w:hint="eastAsia" w:ascii="仿宋" w:hAnsi="仿宋" w:eastAsia="仿宋" w:cs="仿宋"/>
          <w:color w:val="auto"/>
          <w:szCs w:val="21"/>
          <w:highlight w:val="none"/>
        </w:rPr>
      </w:pPr>
    </w:p>
    <w:p w14:paraId="0BA1FF61">
      <w:pPr>
        <w:shd w:val="clear" w:color="auto" w:fill="auto"/>
        <w:spacing w:line="400" w:lineRule="exact"/>
        <w:ind w:firstLine="578" w:firstLineChars="241"/>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p w14:paraId="04906722">
      <w:pPr>
        <w:shd w:val="clear" w:color="auto" w:fill="auto"/>
        <w:spacing w:line="400" w:lineRule="exact"/>
        <w:ind w:firstLine="578" w:firstLineChars="241"/>
        <w:rPr>
          <w:rFonts w:hint="eastAsia" w:ascii="仿宋" w:hAnsi="仿宋" w:eastAsia="仿宋" w:cs="仿宋"/>
          <w:color w:val="auto"/>
          <w:szCs w:val="21"/>
          <w:highlight w:val="none"/>
          <w:lang w:val="en-US" w:eastAsia="zh-CN"/>
        </w:rPr>
      </w:pPr>
    </w:p>
    <w:p w14:paraId="5AC2D9DB">
      <w:pPr>
        <w:shd w:val="clear" w:color="auto" w:fill="auto"/>
        <w:spacing w:line="400" w:lineRule="exact"/>
        <w:ind w:firstLine="578" w:firstLineChars="241"/>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7.2</w:t>
      </w:r>
      <w:r>
        <w:rPr>
          <w:rFonts w:hint="eastAsia" w:ascii="仿宋" w:hAnsi="仿宋" w:eastAsia="仿宋" w:cs="仿宋"/>
          <w:color w:val="auto"/>
          <w:szCs w:val="21"/>
          <w:highlight w:val="none"/>
        </w:rPr>
        <w:t>评委会判定投标文件的响应性只根据投标文件本身的内容，而不寻求外部的证据，但投标有不真实不正确的内容时除外。</w:t>
      </w:r>
    </w:p>
    <w:p w14:paraId="68499129">
      <w:pPr>
        <w:shd w:val="clear" w:color="auto" w:fill="auto"/>
        <w:spacing w:line="400" w:lineRule="exact"/>
        <w:ind w:firstLine="578" w:firstLineChars="241"/>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.3如果投标文件实质上没有响应</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的要求，评委会将予以拒绝，投标人不得通过修正或撤销不符合要求的偏离或保留，而使其投标成为实质上响应的投标。</w:t>
      </w:r>
    </w:p>
    <w:p w14:paraId="6971414F">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.4投标人可在现场20分钟内对评标委员会的评审结论提出异议，评标委员会根据</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及有关规定对投标人的异议进行复议</w:t>
      </w:r>
    </w:p>
    <w:p w14:paraId="7CD69287">
      <w:pPr>
        <w:shd w:val="clear" w:color="auto" w:fill="auto"/>
        <w:spacing w:line="400" w:lineRule="exact"/>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.5只有通过初审的投标人才能进入下一步评标程序。</w:t>
      </w:r>
    </w:p>
    <w:p w14:paraId="78154E86">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p>
    <w:p w14:paraId="1A788355">
      <w:pPr>
        <w:shd w:val="clear" w:color="auto" w:fill="auto"/>
        <w:spacing w:before="156" w:beforeLines="50" w:line="400" w:lineRule="exact"/>
        <w:jc w:val="center"/>
        <w:outlineLvl w:val="1"/>
        <w:rPr>
          <w:rFonts w:hint="eastAsia" w:ascii="仿宋" w:hAnsi="仿宋" w:eastAsia="仿宋" w:cs="仿宋"/>
          <w:b/>
          <w:color w:val="auto"/>
          <w:sz w:val="24"/>
          <w:highlight w:val="none"/>
        </w:rPr>
      </w:pPr>
      <w:bookmarkStart w:id="40" w:name="_Toc362983803"/>
      <w:bookmarkStart w:id="41" w:name="_Toc469495734"/>
      <w:r>
        <w:rPr>
          <w:rFonts w:hint="eastAsia" w:ascii="仿宋" w:hAnsi="仿宋" w:eastAsia="仿宋" w:cs="仿宋"/>
          <w:b/>
          <w:color w:val="auto"/>
          <w:sz w:val="28"/>
          <w:szCs w:val="28"/>
          <w:highlight w:val="none"/>
        </w:rPr>
        <w:t xml:space="preserve">三  </w:t>
      </w:r>
      <w:r>
        <w:rPr>
          <w:rFonts w:hint="eastAsia" w:ascii="仿宋" w:hAnsi="仿宋" w:eastAsia="仿宋" w:cs="仿宋"/>
          <w:b/>
          <w:color w:val="auto"/>
          <w:sz w:val="24"/>
          <w:highlight w:val="none"/>
        </w:rPr>
        <w:t>投标文件的澄清和补正</w:t>
      </w:r>
      <w:bookmarkEnd w:id="40"/>
      <w:bookmarkEnd w:id="41"/>
    </w:p>
    <w:p w14:paraId="05110AD2">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8．澄清、说明或补正的形式</w:t>
      </w:r>
    </w:p>
    <w:p w14:paraId="7B2ADDF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76CECAB2">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574DB75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07A7825A">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9．错误修正的原则</w:t>
      </w:r>
    </w:p>
    <w:p w14:paraId="61A1F489">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14:paraId="17124D9B">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投标文件报价出现前后不一致的，除采购文件另有规定外，按照下列规定修正：</w:t>
      </w:r>
    </w:p>
    <w:p w14:paraId="0C380CFC">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9.1 投标函中表述的内容与报价表中不一致的，以报价表为准；报价表中的内容与报价明细表不一致的，以报价表为准；</w:t>
      </w:r>
    </w:p>
    <w:p w14:paraId="0A9829C2">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9.2 投标文件中的大写金额和小写金额不一致的，以大写金额为准；</w:t>
      </w:r>
    </w:p>
    <w:p w14:paraId="595A22D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9.3 单价金额小数点或者百分比有明显错位的，以开标一览表的总价为准，并修改单价；</w:t>
      </w:r>
    </w:p>
    <w:p w14:paraId="26F26A9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9.4 总价金额与按单价汇总金额不一致的，以单价金额计算结果为准；</w:t>
      </w:r>
    </w:p>
    <w:p w14:paraId="64353096">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9.5 若用文字表示的数值与用数字表示的数值不一致，以文字表示的数值为准；</w:t>
      </w:r>
    </w:p>
    <w:p w14:paraId="2BE2C413">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9.6 如有多报（指数量超出采购文件需求）、重报（指同一货物重复报价），其投标总价在评标过程中不予调整，如其中标，其合同价按其投标单价予以调整；</w:t>
      </w:r>
    </w:p>
    <w:p w14:paraId="676B405D">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9.7 对不同文字文本投标文件的解释发生异议的，以中文文本为准；</w:t>
      </w:r>
    </w:p>
    <w:p w14:paraId="1E73EB3C">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4C64270F">
      <w:pPr>
        <w:shd w:val="clear" w:color="auto" w:fill="auto"/>
        <w:spacing w:line="400" w:lineRule="exact"/>
        <w:ind w:firstLine="460" w:firstLineChars="192"/>
        <w:rPr>
          <w:rFonts w:hint="eastAsia" w:ascii="仿宋" w:hAnsi="仿宋" w:eastAsia="仿宋" w:cs="仿宋"/>
          <w:color w:val="auto"/>
          <w:szCs w:val="21"/>
          <w:highlight w:val="none"/>
        </w:rPr>
      </w:pPr>
    </w:p>
    <w:p w14:paraId="697E82E7">
      <w:pPr>
        <w:shd w:val="clear" w:color="auto" w:fill="auto"/>
        <w:spacing w:line="400" w:lineRule="exact"/>
        <w:jc w:val="center"/>
        <w:outlineLvl w:val="1"/>
        <w:rPr>
          <w:rFonts w:hint="eastAsia" w:ascii="仿宋" w:hAnsi="仿宋" w:eastAsia="仿宋" w:cs="仿宋"/>
          <w:b/>
          <w:color w:val="auto"/>
          <w:sz w:val="24"/>
          <w:highlight w:val="none"/>
        </w:rPr>
      </w:pPr>
      <w:bookmarkStart w:id="42" w:name="_Toc469495735"/>
      <w:r>
        <w:rPr>
          <w:rFonts w:hint="eastAsia" w:ascii="仿宋" w:hAnsi="仿宋" w:eastAsia="仿宋" w:cs="仿宋"/>
          <w:b/>
          <w:color w:val="auto"/>
          <w:sz w:val="24"/>
          <w:highlight w:val="none"/>
        </w:rPr>
        <w:t>四 比较与评价</w:t>
      </w:r>
      <w:bookmarkEnd w:id="42"/>
    </w:p>
    <w:p w14:paraId="2A10286C">
      <w:pPr>
        <w:shd w:val="clear" w:color="auto" w:fill="auto"/>
        <w:tabs>
          <w:tab w:val="left" w:pos="720"/>
        </w:tabs>
        <w:spacing w:line="440" w:lineRule="exact"/>
        <w:ind w:firstLine="612" w:firstLineChars="255"/>
        <w:rPr>
          <w:rFonts w:hint="eastAsia" w:ascii="仿宋" w:hAnsi="仿宋" w:eastAsia="仿宋" w:cs="仿宋"/>
          <w:color w:val="auto"/>
          <w:szCs w:val="21"/>
          <w:highlight w:val="none"/>
          <w:lang w:bidi="ar-SA"/>
        </w:rPr>
      </w:pPr>
      <w:bookmarkStart w:id="43" w:name="_Toc362983805"/>
      <w:bookmarkStart w:id="44" w:name="_Toc469495736"/>
      <w:r>
        <w:rPr>
          <w:rFonts w:hint="eastAsia" w:ascii="仿宋" w:hAnsi="仿宋" w:eastAsia="仿宋" w:cs="仿宋"/>
          <w:color w:val="auto"/>
          <w:szCs w:val="21"/>
          <w:highlight w:val="none"/>
          <w:lang w:val="en-US" w:eastAsia="zh-CN" w:bidi="ar-SA"/>
        </w:rPr>
        <w:t>10.1</w:t>
      </w:r>
      <w:r>
        <w:rPr>
          <w:rFonts w:hint="eastAsia" w:ascii="仿宋" w:hAnsi="仿宋" w:eastAsia="仿宋" w:cs="仿宋"/>
          <w:color w:val="auto"/>
          <w:szCs w:val="21"/>
          <w:highlight w:val="none"/>
          <w:lang w:bidi="ar-SA"/>
        </w:rPr>
        <w:t>评标委员会按招标文件中规定的评标方法和标准，对资格性检查和符合性检查合格的投标文件进行商务和技术评估、综合比较与评价。</w:t>
      </w:r>
    </w:p>
    <w:p w14:paraId="26068AB5">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10.2</w:t>
      </w:r>
      <w:r>
        <w:rPr>
          <w:rFonts w:hint="eastAsia" w:ascii="仿宋" w:hAnsi="仿宋" w:eastAsia="仿宋" w:cs="仿宋"/>
          <w:color w:val="auto"/>
          <w:szCs w:val="21"/>
          <w:highlight w:val="none"/>
          <w:lang w:bidi="ar-SA"/>
        </w:rPr>
        <w:t>评标委员会根据商务和技术评估的结果，采用综合评分法，分别对投标文件的商务、技术、价格等内容进行打分。其中，商务评估、技术评估、价格评估的评分权值（详见附件1）。</w:t>
      </w:r>
    </w:p>
    <w:p w14:paraId="5AE07304">
      <w:pPr>
        <w:shd w:val="clear" w:color="auto" w:fill="auto"/>
        <w:spacing w:line="440" w:lineRule="exact"/>
        <w:ind w:firstLine="616" w:firstLineChars="257"/>
        <w:rPr>
          <w:rFonts w:hint="eastAsia" w:ascii="仿宋" w:hAnsi="仿宋" w:eastAsia="仿宋" w:cs="仿宋"/>
          <w:bCs/>
          <w:color w:val="auto"/>
          <w:szCs w:val="21"/>
          <w:highlight w:val="none"/>
          <w:lang w:bidi="ar-SA"/>
        </w:rPr>
      </w:pPr>
      <w:r>
        <w:rPr>
          <w:rFonts w:hint="eastAsia" w:ascii="仿宋" w:hAnsi="仿宋" w:eastAsia="仿宋" w:cs="仿宋"/>
          <w:color w:val="auto"/>
          <w:szCs w:val="21"/>
          <w:highlight w:val="none"/>
          <w:lang w:val="en-US" w:eastAsia="zh-CN" w:bidi="ar-SA"/>
        </w:rPr>
        <w:t>10.</w:t>
      </w:r>
      <w:r>
        <w:rPr>
          <w:rFonts w:hint="eastAsia" w:ascii="仿宋" w:hAnsi="仿宋" w:eastAsia="仿宋" w:cs="仿宋"/>
          <w:bCs/>
          <w:color w:val="auto"/>
          <w:szCs w:val="21"/>
          <w:highlight w:val="none"/>
          <w:lang w:val="en-US" w:eastAsia="zh-CN" w:bidi="ar-SA"/>
        </w:rPr>
        <w:t>2.1</w:t>
      </w:r>
      <w:r>
        <w:rPr>
          <w:rFonts w:hint="eastAsia" w:ascii="仿宋" w:hAnsi="仿宋" w:eastAsia="仿宋" w:cs="仿宋"/>
          <w:bCs/>
          <w:color w:val="auto"/>
          <w:szCs w:val="21"/>
          <w:highlight w:val="none"/>
          <w:lang w:bidi="ar-SA"/>
        </w:rPr>
        <w:t>评委打分办法</w:t>
      </w:r>
    </w:p>
    <w:p w14:paraId="2E9AE42A">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bCs/>
          <w:color w:val="auto"/>
          <w:szCs w:val="21"/>
          <w:highlight w:val="none"/>
          <w:lang w:bidi="ar-SA"/>
        </w:rPr>
        <w:t>（1）</w:t>
      </w:r>
      <w:r>
        <w:rPr>
          <w:rFonts w:hint="eastAsia" w:ascii="仿宋" w:hAnsi="仿宋" w:eastAsia="仿宋" w:cs="仿宋"/>
          <w:color w:val="auto"/>
          <w:szCs w:val="21"/>
          <w:highlight w:val="none"/>
          <w:lang w:bidi="ar-SA"/>
        </w:rPr>
        <w:t>参加评分的评委应尽力体现客观、实事求是，避免学派偏见和个人偏好。</w:t>
      </w:r>
    </w:p>
    <w:p w14:paraId="3CFACFBF">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（2）衡量、对比的依据，应以招标文件、投标文件、提供的正式试验数据、质询澄清中的文字为准，口头回答和收集的资料只作为参考。</w:t>
      </w:r>
    </w:p>
    <w:p w14:paraId="428C9B73">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（3）评分主要是为比较各投标人的价格、商务和技术综合排序。</w:t>
      </w:r>
    </w:p>
    <w:p w14:paraId="40F216C4">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（4）评委打分采取记名形式。</w:t>
      </w:r>
    </w:p>
    <w:p w14:paraId="4F5319A9">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（5）各评委根据提供的技术打分表独立自主打分，任何人不得要求评委统一打分或统一确定等次顺序。</w:t>
      </w:r>
    </w:p>
    <w:p w14:paraId="1F3455FF">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（6）对打分表中的每项条款，各评委应根据投标文件、澄清材料、招标文件要求，按满足的程度给投标人打分。</w:t>
      </w:r>
    </w:p>
    <w:p w14:paraId="40A14F1B">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（7）评分程序</w:t>
      </w:r>
    </w:p>
    <w:p w14:paraId="4A9CF153">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1)就投标人的投标文件对照整理出商务、技术评标因素对比表、偏差表，并在经过校核的基础上逐项打分。</w:t>
      </w:r>
    </w:p>
    <w:p w14:paraId="7E71C056">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2)各评委独立完成打分后，将评分表交给代理机构，由代理机构组织进行分数统计。</w:t>
      </w:r>
    </w:p>
    <w:p w14:paraId="3F407723">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3)最终汇总表中各投标人得分应为评委打分的算术平均值。</w:t>
      </w:r>
    </w:p>
    <w:p w14:paraId="064FB47E">
      <w:pPr>
        <w:shd w:val="clear" w:color="auto" w:fill="auto"/>
        <w:spacing w:line="440" w:lineRule="exact"/>
        <w:ind w:firstLine="616" w:firstLineChars="257"/>
        <w:rPr>
          <w:rFonts w:hint="eastAsia" w:ascii="仿宋" w:hAnsi="仿宋" w:eastAsia="仿宋" w:cs="仿宋"/>
          <w:b/>
          <w:bCs/>
          <w:color w:val="auto"/>
          <w:szCs w:val="21"/>
          <w:highlight w:val="none"/>
          <w:lang w:bidi="ar-SA"/>
        </w:rPr>
      </w:pPr>
      <w:r>
        <w:rPr>
          <w:rFonts w:hint="eastAsia" w:ascii="仿宋" w:hAnsi="仿宋" w:eastAsia="仿宋" w:cs="仿宋"/>
          <w:b/>
          <w:bCs/>
          <w:color w:val="auto"/>
          <w:szCs w:val="21"/>
          <w:highlight w:val="none"/>
          <w:lang w:bidi="ar-SA"/>
        </w:rPr>
        <w:t>（8）评分标准和细则（综合评分法评分标准）</w:t>
      </w:r>
    </w:p>
    <w:p w14:paraId="69BF48DD">
      <w:pPr>
        <w:pStyle w:val="5"/>
        <w:keepNext w:val="0"/>
        <w:keepLines w:val="0"/>
        <w:pageBreakBefore w:val="0"/>
        <w:widowControl w:val="0"/>
        <w:kinsoku/>
        <w:wordWrap/>
        <w:overflowPunct/>
        <w:topLinePunct w:val="0"/>
        <w:bidi w:val="0"/>
        <w:snapToGrid/>
        <w:spacing w:line="400" w:lineRule="exact"/>
        <w:jc w:val="center"/>
        <w:textAlignment w:val="auto"/>
        <w:rPr>
          <w:rFonts w:hint="eastAsia" w:ascii="仿宋" w:hAnsi="仿宋" w:eastAsia="仿宋" w:cs="仿宋"/>
          <w:b/>
          <w:bCs/>
          <w:color w:val="auto"/>
          <w:sz w:val="28"/>
          <w:szCs w:val="21"/>
          <w:highlight w:val="none"/>
          <w:lang w:val="en-US" w:eastAsia="zh-CN"/>
        </w:rPr>
      </w:pPr>
      <w:r>
        <w:rPr>
          <w:rFonts w:hint="eastAsia" w:ascii="仿宋" w:hAnsi="仿宋" w:eastAsia="仿宋" w:cs="仿宋"/>
          <w:b/>
          <w:bCs/>
          <w:color w:val="auto"/>
          <w:sz w:val="28"/>
          <w:szCs w:val="21"/>
          <w:highlight w:val="none"/>
          <w:lang w:val="en-US" w:eastAsia="zh-CN"/>
        </w:rPr>
        <w:t>评分标准</w:t>
      </w:r>
    </w:p>
    <w:tbl>
      <w:tblPr>
        <w:tblStyle w:val="19"/>
        <w:tblW w:w="50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1531"/>
        <w:gridCol w:w="7330"/>
      </w:tblGrid>
      <w:tr w14:paraId="3369D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37" w:type="dxa"/>
            <w:vAlign w:val="center"/>
          </w:tcPr>
          <w:p w14:paraId="140257E5">
            <w:pPr>
              <w:spacing w:line="400" w:lineRule="exact"/>
              <w:jc w:val="cente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评分因素</w:t>
            </w:r>
          </w:p>
        </w:tc>
        <w:tc>
          <w:tcPr>
            <w:tcW w:w="1531" w:type="dxa"/>
            <w:vAlign w:val="center"/>
          </w:tcPr>
          <w:p w14:paraId="67C2FAEF">
            <w:pPr>
              <w:spacing w:line="400" w:lineRule="exact"/>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分值</w:t>
            </w:r>
          </w:p>
        </w:tc>
        <w:tc>
          <w:tcPr>
            <w:tcW w:w="7330" w:type="dxa"/>
            <w:vAlign w:val="center"/>
          </w:tcPr>
          <w:p w14:paraId="4B2B3AE4">
            <w:pPr>
              <w:spacing w:line="400" w:lineRule="exact"/>
              <w:jc w:val="center"/>
              <w:rPr>
                <w:rFonts w:hint="eastAsia" w:ascii="仿宋" w:hAnsi="仿宋" w:eastAsia="仿宋" w:cs="仿宋"/>
                <w:color w:val="auto"/>
                <w:sz w:val="21"/>
                <w:szCs w:val="21"/>
              </w:rPr>
            </w:pPr>
            <w:r>
              <w:rPr>
                <w:rFonts w:hint="eastAsia" w:ascii="仿宋" w:hAnsi="仿宋" w:eastAsia="仿宋" w:cs="仿宋"/>
                <w:color w:val="auto"/>
                <w:sz w:val="21"/>
                <w:szCs w:val="21"/>
              </w:rPr>
              <w:t>评审标准</w:t>
            </w:r>
          </w:p>
        </w:tc>
      </w:tr>
      <w:tr w14:paraId="462B0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1137" w:type="dxa"/>
            <w:vAlign w:val="center"/>
          </w:tcPr>
          <w:p w14:paraId="5F3F3166">
            <w:pPr>
              <w:spacing w:line="400" w:lineRule="exact"/>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报价得分</w:t>
            </w:r>
          </w:p>
          <w:p w14:paraId="54BD8B6A">
            <w:pPr>
              <w:spacing w:line="400" w:lineRule="exact"/>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30</w:t>
            </w:r>
            <w:r>
              <w:rPr>
                <w:rFonts w:hint="eastAsia" w:ascii="仿宋" w:hAnsi="仿宋" w:eastAsia="仿宋" w:cs="仿宋"/>
                <w:color w:val="auto"/>
                <w:sz w:val="21"/>
                <w:szCs w:val="21"/>
                <w:lang w:eastAsia="zh-CN"/>
              </w:rPr>
              <w:t>分）</w:t>
            </w:r>
          </w:p>
        </w:tc>
        <w:tc>
          <w:tcPr>
            <w:tcW w:w="1531" w:type="dxa"/>
            <w:vAlign w:val="center"/>
          </w:tcPr>
          <w:p w14:paraId="201A1992">
            <w:pPr>
              <w:spacing w:line="400" w:lineRule="exact"/>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30</w:t>
            </w:r>
            <w:r>
              <w:rPr>
                <w:rFonts w:hint="eastAsia" w:ascii="仿宋" w:hAnsi="仿宋" w:eastAsia="仿宋" w:cs="仿宋"/>
                <w:color w:val="auto"/>
                <w:sz w:val="21"/>
                <w:szCs w:val="21"/>
                <w:lang w:eastAsia="zh-CN"/>
              </w:rPr>
              <w:t>分</w:t>
            </w:r>
          </w:p>
        </w:tc>
        <w:tc>
          <w:tcPr>
            <w:tcW w:w="7330" w:type="dxa"/>
            <w:vAlign w:val="center"/>
          </w:tcPr>
          <w:p w14:paraId="48EE84BC">
            <w:pPr>
              <w:spacing w:line="400" w:lineRule="exact"/>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价格分应当采用低价优先法计算，满足招标文件要求且报价最低的为评审基准价，投标报价得分=（评审基准价/投标报价）×价格权值×100</w:t>
            </w:r>
          </w:p>
          <w:p w14:paraId="05EBB378">
            <w:pPr>
              <w:spacing w:line="400" w:lineRule="exact"/>
              <w:jc w:val="left"/>
              <w:rPr>
                <w:rFonts w:hint="eastAsia" w:ascii="仿宋" w:hAnsi="仿宋" w:eastAsia="仿宋" w:cs="仿宋"/>
                <w:color w:val="auto"/>
                <w:sz w:val="21"/>
                <w:szCs w:val="21"/>
              </w:rPr>
            </w:pPr>
            <w:r>
              <w:rPr>
                <w:rFonts w:hint="eastAsia" w:ascii="仿宋" w:hAnsi="仿宋" w:eastAsia="仿宋" w:cs="仿宋"/>
                <w:b/>
                <w:bCs/>
                <w:color w:val="auto"/>
                <w:sz w:val="21"/>
                <w:szCs w:val="21"/>
                <w:lang w:val="en-US" w:eastAsia="zh-CN"/>
              </w:rPr>
              <w:t>注：投标报价超过采购预算价的按废标处理。</w:t>
            </w:r>
          </w:p>
        </w:tc>
      </w:tr>
      <w:tr w14:paraId="5A66F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7" w:type="dxa"/>
            <w:vMerge w:val="restart"/>
            <w:vAlign w:val="center"/>
          </w:tcPr>
          <w:p w14:paraId="26D65590">
            <w:pPr>
              <w:spacing w:line="400" w:lineRule="exact"/>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商务技术部分</w:t>
            </w:r>
          </w:p>
          <w:p w14:paraId="1BB1080E">
            <w:pPr>
              <w:spacing w:line="400" w:lineRule="exact"/>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（70分）</w:t>
            </w:r>
          </w:p>
          <w:p w14:paraId="2B199370">
            <w:pPr>
              <w:spacing w:line="400" w:lineRule="exact"/>
              <w:jc w:val="center"/>
              <w:rPr>
                <w:rFonts w:hint="eastAsia" w:ascii="仿宋" w:hAnsi="仿宋" w:eastAsia="仿宋" w:cs="仿宋"/>
                <w:color w:val="auto"/>
                <w:sz w:val="21"/>
                <w:szCs w:val="21"/>
                <w:lang w:val="en-US" w:eastAsia="zh-CN"/>
              </w:rPr>
            </w:pPr>
          </w:p>
        </w:tc>
        <w:tc>
          <w:tcPr>
            <w:tcW w:w="1531" w:type="dxa"/>
            <w:vAlign w:val="center"/>
          </w:tcPr>
          <w:p w14:paraId="1EC5A327">
            <w:pPr>
              <w:spacing w:line="400" w:lineRule="exact"/>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技术要求指标</w:t>
            </w:r>
          </w:p>
          <w:p w14:paraId="409BCC0B">
            <w:pPr>
              <w:spacing w:line="400" w:lineRule="exact"/>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（36）</w:t>
            </w:r>
          </w:p>
        </w:tc>
        <w:tc>
          <w:tcPr>
            <w:tcW w:w="7330" w:type="dxa"/>
            <w:vAlign w:val="center"/>
          </w:tcPr>
          <w:p w14:paraId="036B51D6">
            <w:pPr>
              <w:spacing w:line="400" w:lineRule="exact"/>
              <w:jc w:val="left"/>
              <w:rPr>
                <w:rFonts w:hint="eastAsia" w:ascii="仿宋" w:hAnsi="仿宋" w:eastAsia="仿宋" w:cs="仿宋"/>
                <w:b/>
                <w:bCs/>
                <w:color w:val="auto"/>
                <w:sz w:val="21"/>
                <w:szCs w:val="21"/>
                <w:lang w:val="en-US" w:eastAsia="zh-CN"/>
              </w:rPr>
            </w:pPr>
            <w:r>
              <w:rPr>
                <w:rFonts w:hint="eastAsia" w:ascii="仿宋" w:hAnsi="仿宋" w:eastAsia="仿宋" w:cs="仿宋"/>
                <w:color w:val="auto"/>
                <w:sz w:val="21"/>
                <w:szCs w:val="21"/>
                <w:lang w:val="en-US" w:eastAsia="zh-CN"/>
              </w:rPr>
              <w:t>以招标文件的技术参数要求为基准，提供详细技术偏离表。根据所投产品的配置与性能指标的响应程度打分，</w:t>
            </w:r>
            <w:r>
              <w:rPr>
                <w:rFonts w:hint="eastAsia" w:ascii="仿宋" w:hAnsi="仿宋" w:eastAsia="仿宋" w:cs="仿宋"/>
                <w:b/>
                <w:bCs/>
                <w:color w:val="auto"/>
                <w:sz w:val="21"/>
                <w:szCs w:val="21"/>
                <w:lang w:val="en-US" w:eastAsia="zh-CN"/>
              </w:rPr>
              <w:t>参数不允许出现负偏离，如出现负偏离作废标处理。</w:t>
            </w:r>
          </w:p>
          <w:p w14:paraId="51EB6688">
            <w:pPr>
              <w:keepNext w:val="0"/>
              <w:keepLines w:val="0"/>
              <w:pageBreakBefore w:val="0"/>
              <w:widowControl w:val="0"/>
              <w:kinsoku/>
              <w:wordWrap/>
              <w:overflowPunct/>
              <w:topLinePunct w:val="0"/>
              <w:autoSpaceDE/>
              <w:autoSpaceDN/>
              <w:bidi w:val="0"/>
              <w:adjustRightInd/>
              <w:snapToGrid/>
              <w:spacing w:line="240" w:lineRule="atLeast"/>
              <w:jc w:val="lef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1、所投产品技术参数全部满足的得20分；</w:t>
            </w:r>
          </w:p>
          <w:p w14:paraId="4DE20F45">
            <w:pPr>
              <w:keepNext w:val="0"/>
              <w:keepLines w:val="0"/>
              <w:pageBreakBefore w:val="0"/>
              <w:widowControl w:val="0"/>
              <w:kinsoku/>
              <w:wordWrap/>
              <w:overflowPunct/>
              <w:topLinePunct w:val="0"/>
              <w:autoSpaceDE/>
              <w:autoSpaceDN/>
              <w:bidi w:val="0"/>
              <w:adjustRightInd/>
              <w:snapToGrid/>
              <w:spacing w:line="240" w:lineRule="atLeast"/>
              <w:jc w:val="left"/>
              <w:textAlignment w:val="auto"/>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2、标“★”参数指标每优于招标文件要求的一项加2分，最多加6分；标“ ▲” 参数指标每优于招标文件要求的一项加1分，最多加10分。</w:t>
            </w:r>
          </w:p>
          <w:p w14:paraId="0AEFAC8F">
            <w:pPr>
              <w:keepNext w:val="0"/>
              <w:keepLines w:val="0"/>
              <w:pageBreakBefore w:val="0"/>
              <w:widowControl w:val="0"/>
              <w:kinsoku/>
              <w:wordWrap/>
              <w:overflowPunct/>
              <w:topLinePunct w:val="0"/>
              <w:autoSpaceDE/>
              <w:autoSpaceDN/>
              <w:bidi w:val="0"/>
              <w:adjustRightInd/>
              <w:snapToGrid/>
              <w:spacing w:line="240" w:lineRule="atLeast"/>
              <w:jc w:val="left"/>
              <w:textAlignment w:val="auto"/>
              <w:rPr>
                <w:rFonts w:hint="default"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注：正偏离的需提供相关证明材料，不提供的不加分。</w:t>
            </w:r>
          </w:p>
        </w:tc>
      </w:tr>
      <w:tr w14:paraId="4D500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1137" w:type="dxa"/>
            <w:vMerge w:val="continue"/>
            <w:vAlign w:val="center"/>
          </w:tcPr>
          <w:p w14:paraId="3E3935FB">
            <w:pPr>
              <w:spacing w:line="400" w:lineRule="exact"/>
              <w:jc w:val="center"/>
              <w:rPr>
                <w:rFonts w:hint="eastAsia" w:ascii="仿宋" w:hAnsi="仿宋" w:eastAsia="仿宋" w:cs="仿宋"/>
                <w:color w:val="auto"/>
                <w:sz w:val="21"/>
                <w:szCs w:val="21"/>
                <w:lang w:eastAsia="zh-CN"/>
              </w:rPr>
            </w:pPr>
          </w:p>
        </w:tc>
        <w:tc>
          <w:tcPr>
            <w:tcW w:w="1531" w:type="dxa"/>
            <w:vAlign w:val="center"/>
          </w:tcPr>
          <w:p w14:paraId="79C46E0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Times New Roman"/>
                <w:b w:val="0"/>
                <w:color w:val="auto"/>
                <w:sz w:val="21"/>
                <w:szCs w:val="21"/>
                <w:highlight w:val="none"/>
                <w:lang w:val="en-US" w:eastAsia="zh-CN"/>
              </w:rPr>
            </w:pPr>
            <w:r>
              <w:rPr>
                <w:rFonts w:hint="eastAsia" w:ascii="仿宋" w:hAnsi="仿宋" w:eastAsia="仿宋" w:cs="Times New Roman"/>
                <w:b w:val="0"/>
                <w:color w:val="auto"/>
                <w:sz w:val="21"/>
                <w:szCs w:val="21"/>
                <w:highlight w:val="none"/>
                <w:lang w:val="en-US" w:eastAsia="zh-CN"/>
              </w:rPr>
              <w:t>类似业绩</w:t>
            </w:r>
          </w:p>
          <w:p w14:paraId="0385B0B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lang w:val="en-US" w:eastAsia="zh-CN"/>
              </w:rPr>
            </w:pPr>
            <w:r>
              <w:rPr>
                <w:rFonts w:hint="eastAsia" w:ascii="仿宋" w:hAnsi="仿宋" w:eastAsia="仿宋" w:cs="Times New Roman"/>
                <w:b w:val="0"/>
                <w:color w:val="auto"/>
                <w:sz w:val="21"/>
                <w:szCs w:val="21"/>
                <w:highlight w:val="none"/>
                <w:lang w:val="en-US" w:eastAsia="zh-CN"/>
              </w:rPr>
              <w:t>（6分）</w:t>
            </w:r>
          </w:p>
        </w:tc>
        <w:tc>
          <w:tcPr>
            <w:tcW w:w="7330" w:type="dxa"/>
            <w:vAlign w:val="top"/>
          </w:tcPr>
          <w:p w14:paraId="328C0747">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val="0"/>
                <w:bCs w:val="0"/>
                <w:color w:val="auto"/>
                <w:sz w:val="21"/>
                <w:szCs w:val="21"/>
                <w:highlight w:val="none"/>
                <w:lang w:val="en-US" w:eastAsia="zh-CN"/>
              </w:rPr>
              <w:t>提供(2022年1月1日至今）类似业绩，每提供1项业绩得2分，最多得6分。(需提供中标通知书或合同（合同需要加盖公章），不提供不得分）</w:t>
            </w:r>
          </w:p>
        </w:tc>
      </w:tr>
      <w:tr w14:paraId="4FC7E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137" w:type="dxa"/>
            <w:vMerge w:val="continue"/>
            <w:vAlign w:val="center"/>
          </w:tcPr>
          <w:p w14:paraId="0DA01B7D">
            <w:pPr>
              <w:numPr>
                <w:ilvl w:val="0"/>
                <w:numId w:val="0"/>
              </w:numPr>
              <w:spacing w:line="400" w:lineRule="exact"/>
              <w:ind w:firstLine="210" w:firstLineChars="100"/>
              <w:jc w:val="center"/>
              <w:rPr>
                <w:rFonts w:hint="eastAsia" w:ascii="仿宋" w:hAnsi="仿宋" w:eastAsia="仿宋" w:cs="仿宋"/>
                <w:color w:val="auto"/>
                <w:sz w:val="21"/>
                <w:szCs w:val="21"/>
                <w:lang w:val="en-US" w:eastAsia="zh-CN"/>
              </w:rPr>
            </w:pPr>
          </w:p>
        </w:tc>
        <w:tc>
          <w:tcPr>
            <w:tcW w:w="1531" w:type="dxa"/>
            <w:vAlign w:val="center"/>
          </w:tcPr>
          <w:p w14:paraId="474827C0">
            <w:pPr>
              <w:numPr>
                <w:ilvl w:val="0"/>
                <w:numId w:val="0"/>
              </w:numPr>
              <w:spacing w:line="400" w:lineRule="exact"/>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供货、安装、调试方案及应急预案</w:t>
            </w:r>
          </w:p>
          <w:p w14:paraId="5D7DC05B">
            <w:pPr>
              <w:numPr>
                <w:ilvl w:val="0"/>
                <w:numId w:val="0"/>
              </w:numPr>
              <w:spacing w:line="400" w:lineRule="exact"/>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（5分）</w:t>
            </w:r>
          </w:p>
        </w:tc>
        <w:tc>
          <w:tcPr>
            <w:tcW w:w="7330" w:type="dxa"/>
            <w:vAlign w:val="center"/>
          </w:tcPr>
          <w:p w14:paraId="64C3429F">
            <w:pPr>
              <w:numPr>
                <w:ilvl w:val="0"/>
                <w:numId w:val="0"/>
              </w:numPr>
              <w:spacing w:line="240" w:lineRule="auto"/>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方案包括：①供货、安装、调试方案；②解决问题能力；③紧急故障处理预案；④应急预案故障维修响应时间，排除故障时间；</w:t>
            </w:r>
            <w:r>
              <w:rPr>
                <w:rFonts w:hint="eastAsia" w:ascii="仿宋" w:hAnsi="仿宋" w:eastAsia="仿宋" w:cs="仿宋"/>
                <w:b w:val="0"/>
                <w:bCs w:val="0"/>
                <w:color w:val="auto"/>
                <w:sz w:val="21"/>
                <w:szCs w:val="21"/>
                <w:highlight w:val="none"/>
                <w:lang w:val="en-US" w:eastAsia="zh-CN"/>
              </w:rPr>
              <w:t>⑤</w:t>
            </w:r>
            <w:r>
              <w:rPr>
                <w:rFonts w:hint="eastAsia" w:ascii="仿宋" w:hAnsi="仿宋" w:eastAsia="仿宋" w:cs="仿宋"/>
                <w:color w:val="auto"/>
                <w:sz w:val="21"/>
                <w:szCs w:val="21"/>
                <w:lang w:val="en-US" w:eastAsia="zh-CN"/>
              </w:rPr>
              <w:t>应急设备设施投入。供应商以上子项方案全部提供得5分。每子项缺漏一项扣1分，存在缺陷或不足的扣0.5分，扣完为止。</w:t>
            </w:r>
          </w:p>
        </w:tc>
      </w:tr>
      <w:tr w14:paraId="43CE8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137" w:type="dxa"/>
            <w:vMerge w:val="continue"/>
            <w:vAlign w:val="center"/>
          </w:tcPr>
          <w:p w14:paraId="60549C4A">
            <w:pPr>
              <w:keepNext w:val="0"/>
              <w:keepLines w:val="0"/>
              <w:pageBreakBefore w:val="0"/>
              <w:widowControl w:val="0"/>
              <w:numPr>
                <w:ilvl w:val="0"/>
                <w:numId w:val="0"/>
              </w:numPr>
              <w:kinsoku/>
              <w:wordWrap/>
              <w:overflowPunct/>
              <w:topLinePunct w:val="0"/>
              <w:autoSpaceDE/>
              <w:autoSpaceDN/>
              <w:bidi w:val="0"/>
              <w:adjustRightInd/>
              <w:snapToGrid/>
              <w:spacing w:line="240" w:lineRule="atLeast"/>
              <w:jc w:val="center"/>
              <w:textAlignment w:val="auto"/>
              <w:rPr>
                <w:rFonts w:hint="eastAsia" w:ascii="仿宋" w:hAnsi="仿宋" w:eastAsia="仿宋" w:cs="仿宋"/>
                <w:color w:val="auto"/>
                <w:sz w:val="21"/>
                <w:szCs w:val="21"/>
                <w:lang w:val="en-US" w:eastAsia="zh-CN"/>
              </w:rPr>
            </w:pPr>
          </w:p>
        </w:tc>
        <w:tc>
          <w:tcPr>
            <w:tcW w:w="1531" w:type="dxa"/>
            <w:vAlign w:val="center"/>
          </w:tcPr>
          <w:p w14:paraId="6A2485EC">
            <w:pPr>
              <w:keepNext w:val="0"/>
              <w:keepLines w:val="0"/>
              <w:pageBreakBefore w:val="0"/>
              <w:widowControl w:val="0"/>
              <w:numPr>
                <w:ilvl w:val="0"/>
                <w:numId w:val="0"/>
              </w:numPr>
              <w:kinsoku/>
              <w:wordWrap/>
              <w:overflowPunct/>
              <w:topLinePunct w:val="0"/>
              <w:autoSpaceDE/>
              <w:autoSpaceDN/>
              <w:bidi w:val="0"/>
              <w:adjustRightInd/>
              <w:snapToGrid/>
              <w:spacing w:line="240" w:lineRule="atLeast"/>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供货期</w:t>
            </w:r>
          </w:p>
          <w:p w14:paraId="5994C708">
            <w:pPr>
              <w:keepNext w:val="0"/>
              <w:keepLines w:val="0"/>
              <w:pageBreakBefore w:val="0"/>
              <w:widowControl w:val="0"/>
              <w:numPr>
                <w:ilvl w:val="0"/>
                <w:numId w:val="0"/>
              </w:numPr>
              <w:kinsoku/>
              <w:wordWrap/>
              <w:overflowPunct/>
              <w:topLinePunct w:val="0"/>
              <w:autoSpaceDE/>
              <w:autoSpaceDN/>
              <w:bidi w:val="0"/>
              <w:adjustRightInd/>
              <w:snapToGrid/>
              <w:spacing w:line="240" w:lineRule="atLeast"/>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（2分）</w:t>
            </w:r>
          </w:p>
        </w:tc>
        <w:tc>
          <w:tcPr>
            <w:tcW w:w="7330" w:type="dxa"/>
            <w:vAlign w:val="center"/>
          </w:tcPr>
          <w:p w14:paraId="173311A6">
            <w:pPr>
              <w:keepNext w:val="0"/>
              <w:keepLines w:val="0"/>
              <w:pageBreakBefore w:val="0"/>
              <w:widowControl w:val="0"/>
              <w:numPr>
                <w:ilvl w:val="0"/>
                <w:numId w:val="0"/>
              </w:numPr>
              <w:kinsoku/>
              <w:wordWrap/>
              <w:overflowPunct/>
              <w:topLinePunct w:val="0"/>
              <w:autoSpaceDE/>
              <w:autoSpaceDN/>
              <w:bidi w:val="0"/>
              <w:adjustRightInd/>
              <w:snapToGrid/>
              <w:spacing w:line="240" w:lineRule="atLeast"/>
              <w:jc w:val="left"/>
              <w:textAlignment w:val="auto"/>
              <w:rPr>
                <w:rFonts w:hint="eastAsia" w:ascii="仿宋" w:hAnsi="仿宋" w:eastAsia="仿宋" w:cs="仿宋"/>
                <w:color w:val="auto"/>
                <w:sz w:val="21"/>
                <w:szCs w:val="21"/>
                <w:lang w:val="en-US" w:eastAsia="zh-CN"/>
              </w:rPr>
            </w:pPr>
            <w:r>
              <w:rPr>
                <w:rFonts w:hint="eastAsia" w:ascii="仿宋" w:hAnsi="仿宋" w:eastAsia="仿宋" w:cs="仿宋"/>
                <w:b w:val="0"/>
                <w:bCs w:val="0"/>
                <w:color w:val="auto"/>
                <w:sz w:val="21"/>
                <w:szCs w:val="21"/>
                <w:highlight w:val="none"/>
                <w:lang w:val="en-US" w:eastAsia="zh-CN"/>
              </w:rPr>
              <w:t>供货期满足招标文件基础上，每提前5天的加1分，最多得2分。</w:t>
            </w:r>
          </w:p>
        </w:tc>
      </w:tr>
      <w:tr w14:paraId="37CB8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137" w:type="dxa"/>
            <w:vMerge w:val="continue"/>
            <w:vAlign w:val="center"/>
          </w:tcPr>
          <w:p w14:paraId="2031BB42">
            <w:pPr>
              <w:keepNext w:val="0"/>
              <w:keepLines w:val="0"/>
              <w:pageBreakBefore w:val="0"/>
              <w:widowControl w:val="0"/>
              <w:numPr>
                <w:ilvl w:val="0"/>
                <w:numId w:val="0"/>
              </w:numPr>
              <w:kinsoku/>
              <w:wordWrap/>
              <w:overflowPunct/>
              <w:topLinePunct w:val="0"/>
              <w:autoSpaceDE/>
              <w:autoSpaceDN/>
              <w:bidi w:val="0"/>
              <w:adjustRightInd/>
              <w:snapToGrid/>
              <w:spacing w:line="240" w:lineRule="atLeast"/>
              <w:jc w:val="center"/>
              <w:textAlignment w:val="auto"/>
              <w:rPr>
                <w:rFonts w:hint="eastAsia" w:ascii="仿宋" w:hAnsi="仿宋" w:eastAsia="仿宋" w:cs="仿宋"/>
                <w:color w:val="auto"/>
                <w:sz w:val="21"/>
                <w:szCs w:val="21"/>
                <w:lang w:val="en-US" w:eastAsia="zh-CN"/>
              </w:rPr>
            </w:pPr>
          </w:p>
        </w:tc>
        <w:tc>
          <w:tcPr>
            <w:tcW w:w="1531" w:type="dxa"/>
            <w:vAlign w:val="center"/>
          </w:tcPr>
          <w:p w14:paraId="486D438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b w:val="0"/>
                <w:color w:val="auto"/>
                <w:sz w:val="21"/>
                <w:szCs w:val="21"/>
                <w:highlight w:val="none"/>
              </w:rPr>
            </w:pPr>
            <w:r>
              <w:rPr>
                <w:rFonts w:hint="eastAsia" w:ascii="仿宋" w:hAnsi="仿宋" w:eastAsia="仿宋"/>
                <w:b w:val="0"/>
                <w:color w:val="auto"/>
                <w:sz w:val="21"/>
                <w:szCs w:val="21"/>
                <w:highlight w:val="none"/>
              </w:rPr>
              <w:t>质保期</w:t>
            </w:r>
          </w:p>
          <w:p w14:paraId="0A62BB4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lang w:val="en-US" w:eastAsia="zh-CN"/>
              </w:rPr>
            </w:pPr>
            <w:r>
              <w:rPr>
                <w:rFonts w:hint="eastAsia" w:ascii="仿宋" w:hAnsi="仿宋" w:eastAsia="仿宋"/>
                <w:b w:val="0"/>
                <w:color w:val="auto"/>
                <w:sz w:val="21"/>
                <w:szCs w:val="21"/>
                <w:highlight w:val="none"/>
                <w:lang w:eastAsia="zh-CN"/>
              </w:rPr>
              <w:t>（</w:t>
            </w:r>
            <w:r>
              <w:rPr>
                <w:rFonts w:hint="eastAsia" w:ascii="仿宋" w:hAnsi="仿宋" w:eastAsia="仿宋"/>
                <w:b w:val="0"/>
                <w:color w:val="auto"/>
                <w:sz w:val="21"/>
                <w:szCs w:val="21"/>
                <w:highlight w:val="none"/>
                <w:lang w:val="en-US" w:eastAsia="zh-CN"/>
              </w:rPr>
              <w:t>3分</w:t>
            </w:r>
            <w:r>
              <w:rPr>
                <w:rFonts w:hint="eastAsia" w:ascii="仿宋" w:hAnsi="仿宋" w:eastAsia="仿宋"/>
                <w:b w:val="0"/>
                <w:color w:val="auto"/>
                <w:sz w:val="21"/>
                <w:szCs w:val="21"/>
                <w:highlight w:val="none"/>
                <w:lang w:eastAsia="zh-CN"/>
              </w:rPr>
              <w:t>）</w:t>
            </w:r>
          </w:p>
        </w:tc>
        <w:tc>
          <w:tcPr>
            <w:tcW w:w="7330" w:type="dxa"/>
            <w:vAlign w:val="center"/>
          </w:tcPr>
          <w:p w14:paraId="056D7B5E">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质保期满足招标文件基础上，每增加1年加1.5分，最多得3分。</w:t>
            </w:r>
          </w:p>
        </w:tc>
      </w:tr>
      <w:tr w14:paraId="5C5B3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3" w:hRule="atLeast"/>
          <w:jc w:val="center"/>
        </w:trPr>
        <w:tc>
          <w:tcPr>
            <w:tcW w:w="1137" w:type="dxa"/>
            <w:vMerge w:val="continue"/>
            <w:vAlign w:val="center"/>
          </w:tcPr>
          <w:p w14:paraId="24F48A1B">
            <w:pPr>
              <w:keepNext w:val="0"/>
              <w:keepLines w:val="0"/>
              <w:pageBreakBefore w:val="0"/>
              <w:widowControl w:val="0"/>
              <w:numPr>
                <w:ilvl w:val="0"/>
                <w:numId w:val="0"/>
              </w:numPr>
              <w:kinsoku/>
              <w:wordWrap/>
              <w:overflowPunct/>
              <w:topLinePunct w:val="0"/>
              <w:autoSpaceDE/>
              <w:autoSpaceDN/>
              <w:bidi w:val="0"/>
              <w:adjustRightInd/>
              <w:snapToGrid/>
              <w:spacing w:line="240" w:lineRule="atLeast"/>
              <w:jc w:val="center"/>
              <w:textAlignment w:val="auto"/>
              <w:rPr>
                <w:rFonts w:hint="eastAsia" w:ascii="仿宋" w:hAnsi="仿宋" w:eastAsia="仿宋" w:cs="仿宋"/>
                <w:color w:val="auto"/>
                <w:sz w:val="21"/>
                <w:szCs w:val="21"/>
                <w:lang w:val="en-US" w:eastAsia="zh-CN"/>
              </w:rPr>
            </w:pPr>
          </w:p>
        </w:tc>
        <w:tc>
          <w:tcPr>
            <w:tcW w:w="1531" w:type="dxa"/>
            <w:vAlign w:val="center"/>
          </w:tcPr>
          <w:p w14:paraId="0A6542D9">
            <w:pPr>
              <w:keepNext w:val="0"/>
              <w:keepLines w:val="0"/>
              <w:pageBreakBefore w:val="0"/>
              <w:widowControl w:val="0"/>
              <w:numPr>
                <w:ilvl w:val="0"/>
                <w:numId w:val="0"/>
              </w:numPr>
              <w:kinsoku/>
              <w:wordWrap/>
              <w:overflowPunct/>
              <w:topLinePunct w:val="0"/>
              <w:autoSpaceDE/>
              <w:autoSpaceDN/>
              <w:bidi w:val="0"/>
              <w:adjustRightInd/>
              <w:snapToGrid/>
              <w:spacing w:line="240" w:lineRule="atLeast"/>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售后服务</w:t>
            </w:r>
          </w:p>
          <w:p w14:paraId="361B2648">
            <w:pPr>
              <w:keepNext w:val="0"/>
              <w:keepLines w:val="0"/>
              <w:pageBreakBefore w:val="0"/>
              <w:widowControl w:val="0"/>
              <w:numPr>
                <w:ilvl w:val="0"/>
                <w:numId w:val="0"/>
              </w:numPr>
              <w:kinsoku/>
              <w:wordWrap/>
              <w:overflowPunct/>
              <w:topLinePunct w:val="0"/>
              <w:autoSpaceDE/>
              <w:autoSpaceDN/>
              <w:bidi w:val="0"/>
              <w:adjustRightInd/>
              <w:snapToGrid/>
              <w:spacing w:line="240" w:lineRule="atLeast"/>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（14分）</w:t>
            </w:r>
          </w:p>
        </w:tc>
        <w:tc>
          <w:tcPr>
            <w:tcW w:w="7330" w:type="dxa"/>
            <w:vAlign w:val="center"/>
          </w:tcPr>
          <w:p w14:paraId="25B5581E">
            <w:pPr>
              <w:rPr>
                <w:rFonts w:hint="eastAsia" w:ascii="仿宋" w:hAnsi="仿宋" w:eastAsia="仿宋" w:cs="仿宋"/>
                <w:color w:val="auto"/>
                <w:sz w:val="21"/>
                <w:szCs w:val="21"/>
                <w:lang w:val="en-US" w:eastAsia="zh-Hans"/>
              </w:rPr>
            </w:pPr>
            <w:r>
              <w:rPr>
                <w:rFonts w:hint="eastAsia" w:ascii="仿宋" w:hAnsi="仿宋" w:eastAsia="仿宋" w:cs="仿宋"/>
                <w:b/>
                <w:bCs/>
                <w:color w:val="auto"/>
                <w:sz w:val="21"/>
                <w:szCs w:val="21"/>
                <w:highlight w:val="none"/>
                <w:lang w:val="en-US" w:eastAsia="zh-CN"/>
              </w:rPr>
              <w:t>根据投标人售后服务方案进行评分，方案应包括但不限于以下内容：</w:t>
            </w:r>
            <w:r>
              <w:rPr>
                <w:rFonts w:hint="eastAsia" w:ascii="仿宋" w:hAnsi="仿宋" w:eastAsia="仿宋" w:cs="仿宋"/>
                <w:b w:val="0"/>
                <w:bCs w:val="0"/>
                <w:color w:val="auto"/>
                <w:sz w:val="21"/>
                <w:szCs w:val="21"/>
                <w:highlight w:val="none"/>
                <w:lang w:val="en-US" w:eastAsia="zh-CN"/>
              </w:rPr>
              <w:t>①质量保证措施；②质保期内响应时间；③售后人员安排；④售后服务措施、免费技术培训等；⑤厂家技术支持；⑥技术升级服务；⑦质保期满后的后续维修服务等内容进行综合评价：根据方案的完整性、可行性、全面性等进行综合评审，满分14分；每缺一项内容减2分，每有一项内容存在缺陷（缺陷指内容阐述不清晰，存在偏差或过于简略）的减1分，减完为止。未提供方案得0分。</w:t>
            </w:r>
          </w:p>
        </w:tc>
      </w:tr>
      <w:tr w14:paraId="0FC8C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3" w:hRule="atLeast"/>
          <w:jc w:val="center"/>
        </w:trPr>
        <w:tc>
          <w:tcPr>
            <w:tcW w:w="1137" w:type="dxa"/>
            <w:vMerge w:val="continue"/>
            <w:vAlign w:val="center"/>
          </w:tcPr>
          <w:p w14:paraId="31A6D280">
            <w:pPr>
              <w:keepNext w:val="0"/>
              <w:keepLines w:val="0"/>
              <w:pageBreakBefore w:val="0"/>
              <w:widowControl w:val="0"/>
              <w:numPr>
                <w:ilvl w:val="0"/>
                <w:numId w:val="0"/>
              </w:numPr>
              <w:kinsoku/>
              <w:wordWrap/>
              <w:overflowPunct/>
              <w:topLinePunct w:val="0"/>
              <w:autoSpaceDE/>
              <w:autoSpaceDN/>
              <w:bidi w:val="0"/>
              <w:adjustRightInd/>
              <w:snapToGrid/>
              <w:spacing w:line="240" w:lineRule="atLeast"/>
              <w:jc w:val="center"/>
              <w:textAlignment w:val="auto"/>
              <w:rPr>
                <w:rFonts w:hint="eastAsia" w:ascii="仿宋" w:hAnsi="仿宋" w:eastAsia="仿宋" w:cs="仿宋"/>
                <w:color w:val="auto"/>
                <w:sz w:val="21"/>
                <w:szCs w:val="21"/>
                <w:lang w:val="en-US" w:eastAsia="zh-CN"/>
              </w:rPr>
            </w:pPr>
          </w:p>
        </w:tc>
        <w:tc>
          <w:tcPr>
            <w:tcW w:w="1531" w:type="dxa"/>
            <w:vAlign w:val="center"/>
          </w:tcPr>
          <w:p w14:paraId="06B38808">
            <w:pPr>
              <w:spacing w:line="400" w:lineRule="exact"/>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设备使用培训方案</w:t>
            </w:r>
          </w:p>
          <w:p w14:paraId="7202E2F4">
            <w:pPr>
              <w:spacing w:line="400" w:lineRule="exact"/>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（4分）</w:t>
            </w:r>
          </w:p>
        </w:tc>
        <w:tc>
          <w:tcPr>
            <w:tcW w:w="7330" w:type="dxa"/>
            <w:vAlign w:val="center"/>
          </w:tcPr>
          <w:p w14:paraId="191C5F8D">
            <w:pPr>
              <w:keepNext w:val="0"/>
              <w:keepLines w:val="0"/>
              <w:widowControl/>
              <w:suppressLineNumbers w:val="0"/>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培训方案应包括①培训目标、培训方式；②培训计划内容；③培训地点专业人员、现场指导时间安排；④预期培训效果等方面对投标人提供的培训方案进行评价；方案完整、针对性全面的得4分。每缺漏一项扣1分，存在缺陷或不足的扣0.5分，扣完为止。</w:t>
            </w:r>
          </w:p>
        </w:tc>
      </w:tr>
    </w:tbl>
    <w:p w14:paraId="404C1E6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仿宋" w:hAnsi="仿宋" w:eastAsia="仿宋" w:cs="仿宋"/>
          <w:b/>
          <w:bCs/>
          <w:color w:val="auto"/>
          <w:szCs w:val="21"/>
          <w:highlight w:val="none"/>
          <w:lang w:eastAsia="zh-CN" w:bidi="ar-SA"/>
        </w:rPr>
      </w:pPr>
      <w:r>
        <w:rPr>
          <w:rFonts w:hint="eastAsia" w:ascii="仿宋" w:hAnsi="仿宋" w:eastAsia="仿宋" w:cs="仿宋"/>
          <w:b/>
          <w:bCs/>
          <w:color w:val="auto"/>
          <w:sz w:val="24"/>
          <w:szCs w:val="24"/>
          <w:highlight w:val="none"/>
          <w:lang w:eastAsia="zh-CN" w:bidi="ar-SA"/>
        </w:rPr>
        <w:t>如评标专家在检验电子标书过程中，如果由于供应商自身原因导致评标专家无法查看并</w:t>
      </w:r>
      <w:r>
        <w:rPr>
          <w:rFonts w:hint="eastAsia" w:ascii="仿宋" w:hAnsi="仿宋" w:eastAsia="仿宋" w:cs="仿宋"/>
          <w:b/>
          <w:bCs/>
          <w:color w:val="auto"/>
          <w:szCs w:val="21"/>
          <w:highlight w:val="none"/>
          <w:lang w:eastAsia="zh-CN" w:bidi="ar-SA"/>
        </w:rPr>
        <w:t>检验电子标书中以上相关资料的，否决其投标。即使投标单位将原件携带至现场的，同样按无效投标处理。</w:t>
      </w:r>
    </w:p>
    <w:p w14:paraId="318704C3">
      <w:pPr>
        <w:pStyle w:val="25"/>
        <w:rPr>
          <w:rFonts w:hint="eastAsia"/>
        </w:rPr>
      </w:pPr>
    </w:p>
    <w:p w14:paraId="39407624">
      <w:pPr>
        <w:pStyle w:val="39"/>
        <w:shd w:val="clear" w:color="auto" w:fill="auto"/>
        <w:tabs>
          <w:tab w:val="left" w:pos="1701"/>
        </w:tabs>
        <w:spacing w:line="440" w:lineRule="exact"/>
        <w:ind w:left="0"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10.2.2</w:t>
      </w:r>
      <w:r>
        <w:rPr>
          <w:rFonts w:hint="eastAsia" w:ascii="仿宋" w:hAnsi="仿宋" w:eastAsia="仿宋" w:cs="仿宋"/>
          <w:color w:val="auto"/>
          <w:szCs w:val="21"/>
          <w:highlight w:val="none"/>
          <w:lang w:bidi="ar-SA"/>
        </w:rPr>
        <w:t>价格评分方法</w:t>
      </w:r>
    </w:p>
    <w:p w14:paraId="1BB97938">
      <w:pPr>
        <w:shd w:val="clear" w:color="auto" w:fill="auto"/>
        <w:spacing w:line="440" w:lineRule="exact"/>
        <w:ind w:firstLine="616" w:firstLineChars="257"/>
        <w:jc w:val="left"/>
        <w:rPr>
          <w:rFonts w:hint="eastAsia"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bidi="ar-SA"/>
        </w:rPr>
        <w:t>满足招标文件技术要求且投标价格最低的投标报价为评标基准价，其价格分为满分。其他投标人的价格分别按照下列公式计算： 投标报价得分=（评标基准价/投标报价）×价格权重</w:t>
      </w:r>
      <w:r>
        <w:rPr>
          <w:rFonts w:hint="eastAsia" w:ascii="仿宋" w:hAnsi="仿宋" w:eastAsia="仿宋" w:cs="仿宋"/>
          <w:color w:val="auto"/>
          <w:szCs w:val="21"/>
          <w:highlight w:val="none"/>
          <w:lang w:eastAsia="zh-CN" w:bidi="ar-SA"/>
        </w:rPr>
        <w:t>。</w:t>
      </w:r>
    </w:p>
    <w:p w14:paraId="529CF622">
      <w:pPr>
        <w:shd w:val="clear" w:color="auto" w:fill="auto"/>
        <w:spacing w:before="156" w:beforeLines="50" w:line="400" w:lineRule="exact"/>
        <w:jc w:val="center"/>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  推荐中标候选人</w:t>
      </w:r>
      <w:bookmarkEnd w:id="43"/>
      <w:bookmarkEnd w:id="44"/>
    </w:p>
    <w:p w14:paraId="215E4495">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11.1</w:t>
      </w:r>
      <w:r>
        <w:rPr>
          <w:rFonts w:hint="eastAsia" w:ascii="仿宋" w:hAnsi="仿宋" w:eastAsia="仿宋" w:cs="仿宋"/>
          <w:color w:val="auto"/>
          <w:szCs w:val="21"/>
          <w:highlight w:val="none"/>
        </w:rPr>
        <w:t>评标委员会推荐</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名中标候选人，并标明排序。</w:t>
      </w:r>
    </w:p>
    <w:p w14:paraId="4EC55867">
      <w:pPr>
        <w:shd w:val="clear" w:color="auto" w:fill="auto"/>
        <w:spacing w:line="400" w:lineRule="exact"/>
        <w:ind w:firstLine="470" w:firstLineChars="196"/>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11.2</w:t>
      </w:r>
      <w:r>
        <w:rPr>
          <w:rFonts w:hint="eastAsia" w:ascii="仿宋" w:hAnsi="仿宋" w:eastAsia="仿宋" w:cs="仿宋"/>
          <w:color w:val="auto"/>
          <w:szCs w:val="21"/>
          <w:highlight w:val="none"/>
        </w:rPr>
        <w:t>如出现报价相同情况，则由招标人现场抽签确定中标候选人排名顺序。</w:t>
      </w:r>
    </w:p>
    <w:bookmarkEnd w:id="38"/>
    <w:p w14:paraId="6D3FED46">
      <w:pPr>
        <w:shd w:val="clear" w:color="auto" w:fill="auto"/>
        <w:snapToGrid w:val="0"/>
        <w:spacing w:line="40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12.</w:t>
      </w:r>
      <w:r>
        <w:rPr>
          <w:rFonts w:hint="eastAsia" w:ascii="仿宋" w:hAnsi="仿宋" w:eastAsia="仿宋" w:cs="仿宋"/>
          <w:b/>
          <w:color w:val="auto"/>
          <w:szCs w:val="21"/>
          <w:highlight w:val="none"/>
        </w:rPr>
        <w:t>无效投标条款</w:t>
      </w:r>
    </w:p>
    <w:p w14:paraId="36EA476F">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12</w:t>
      </w:r>
      <w:r>
        <w:rPr>
          <w:rFonts w:hint="eastAsia" w:ascii="仿宋" w:hAnsi="仿宋" w:eastAsia="仿宋" w:cs="仿宋"/>
          <w:color w:val="auto"/>
          <w:szCs w:val="21"/>
          <w:highlight w:val="none"/>
        </w:rPr>
        <w:t>.1投标文件有下列情形之一的,其投标文件拒收:</w:t>
      </w:r>
    </w:p>
    <w:p w14:paraId="5C4D9924">
      <w:pPr>
        <w:shd w:val="clear" w:color="auto" w:fill="auto"/>
        <w:snapToGrid w:val="0"/>
        <w:spacing w:line="400" w:lineRule="exact"/>
        <w:rPr>
          <w:rFonts w:hint="eastAsia" w:ascii="仿宋" w:hAnsi="仿宋" w:eastAsia="仿宋" w:cs="仿宋"/>
          <w:b/>
          <w:bCs/>
          <w:color w:val="auto"/>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b/>
          <w:bCs/>
          <w:color w:val="auto"/>
          <w:szCs w:val="21"/>
          <w:highlight w:val="none"/>
        </w:rPr>
        <w:t xml:space="preserve"> (1) 未在开标截止时间前通过网上招标投标系统递交有效电子投标文件的，开标系统不予接收。</w:t>
      </w:r>
    </w:p>
    <w:p w14:paraId="6522BD3F">
      <w:pPr>
        <w:shd w:val="clear" w:color="auto" w:fill="auto"/>
        <w:snapToGrid w:val="0"/>
        <w:spacing w:line="400" w:lineRule="exact"/>
        <w:ind w:firstLine="480"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（2）</w:t>
      </w:r>
      <w:r>
        <w:rPr>
          <w:rFonts w:hint="eastAsia" w:ascii="仿宋" w:hAnsi="仿宋" w:eastAsia="仿宋" w:cs="仿宋"/>
          <w:b/>
          <w:color w:val="auto"/>
          <w:szCs w:val="21"/>
          <w:highlight w:val="none"/>
        </w:rPr>
        <w:t>所有投标人应在规定时间里完成投标文件的解密工作</w:t>
      </w:r>
      <w:r>
        <w:rPr>
          <w:rFonts w:hint="eastAsia" w:ascii="仿宋" w:hAnsi="仿宋" w:eastAsia="仿宋" w:cs="仿宋"/>
          <w:b/>
          <w:bCs/>
          <w:color w:val="auto"/>
          <w:szCs w:val="21"/>
          <w:highlight w:val="none"/>
        </w:rPr>
        <w:t>【投标人</w:t>
      </w:r>
      <w:r>
        <w:rPr>
          <w:rFonts w:hint="eastAsia" w:ascii="仿宋" w:hAnsi="仿宋" w:eastAsia="仿宋" w:cs="仿宋"/>
          <w:b/>
          <w:bCs/>
          <w:color w:val="auto"/>
          <w:szCs w:val="21"/>
          <w:highlight w:val="none"/>
          <w:lang w:eastAsia="zh-CN"/>
        </w:rPr>
        <w:t>使用</w:t>
      </w:r>
      <w:r>
        <w:rPr>
          <w:rFonts w:hint="eastAsia" w:ascii="仿宋" w:hAnsi="仿宋" w:eastAsia="仿宋" w:cs="仿宋"/>
          <w:b/>
          <w:bCs/>
          <w:color w:val="auto"/>
          <w:szCs w:val="21"/>
          <w:highlight w:val="none"/>
        </w:rPr>
        <w:t>其有效加密锁（CA锁）</w:t>
      </w:r>
      <w:r>
        <w:rPr>
          <w:rFonts w:hint="eastAsia" w:ascii="仿宋" w:hAnsi="仿宋" w:eastAsia="仿宋" w:cs="仿宋"/>
          <w:b/>
          <w:bCs/>
          <w:color w:val="auto"/>
          <w:szCs w:val="21"/>
          <w:highlight w:val="none"/>
          <w:lang w:eastAsia="zh-CN"/>
        </w:rPr>
        <w:t>进行</w:t>
      </w:r>
      <w:r>
        <w:rPr>
          <w:rFonts w:hint="eastAsia" w:ascii="仿宋" w:hAnsi="仿宋" w:eastAsia="仿宋" w:cs="仿宋"/>
          <w:b/>
          <w:bCs/>
          <w:color w:val="auto"/>
          <w:szCs w:val="21"/>
          <w:highlight w:val="none"/>
        </w:rPr>
        <w:t>解密（因投标人原因未能提供有效CA锁对其投标文件进行解密的，其投标文件按无效标处理），以网上招投标系统解密倒计时为准】</w:t>
      </w:r>
      <w:r>
        <w:rPr>
          <w:rFonts w:hint="eastAsia" w:ascii="仿宋" w:hAnsi="仿宋" w:eastAsia="仿宋" w:cs="仿宋"/>
          <w:b/>
          <w:color w:val="auto"/>
          <w:szCs w:val="21"/>
          <w:highlight w:val="none"/>
        </w:rPr>
        <w:t>，因系统原因未能成功解密的投标文件，可导入</w:t>
      </w:r>
      <w:r>
        <w:rPr>
          <w:rFonts w:hint="eastAsia" w:ascii="仿宋" w:hAnsi="仿宋" w:eastAsia="仿宋" w:cs="仿宋"/>
          <w:b/>
          <w:color w:val="auto"/>
          <w:szCs w:val="21"/>
          <w:highlight w:val="none"/>
          <w:lang w:eastAsia="zh-CN"/>
        </w:rPr>
        <w:t>备份投标文件</w:t>
      </w:r>
      <w:r>
        <w:rPr>
          <w:rFonts w:hint="eastAsia" w:ascii="仿宋" w:hAnsi="仿宋" w:eastAsia="仿宋" w:cs="仿宋"/>
          <w:b/>
          <w:color w:val="auto"/>
          <w:szCs w:val="21"/>
          <w:highlight w:val="none"/>
        </w:rPr>
        <w:t>。</w:t>
      </w:r>
      <w:r>
        <w:rPr>
          <w:rFonts w:hint="eastAsia" w:ascii="仿宋" w:hAnsi="仿宋" w:eastAsia="仿宋" w:cs="仿宋"/>
          <w:b/>
          <w:color w:val="auto"/>
          <w:szCs w:val="21"/>
          <w:highlight w:val="none"/>
          <w:lang w:eastAsia="zh-CN"/>
        </w:rPr>
        <w:t>备份投标文件</w:t>
      </w:r>
      <w:r>
        <w:rPr>
          <w:rFonts w:hint="eastAsia" w:ascii="仿宋" w:hAnsi="仿宋" w:eastAsia="仿宋" w:cs="仿宋"/>
          <w:b/>
          <w:color w:val="auto"/>
          <w:szCs w:val="21"/>
          <w:highlight w:val="none"/>
        </w:rPr>
        <w:t>也无法导入的，则投标文件被否决。</w:t>
      </w:r>
    </w:p>
    <w:p w14:paraId="4C238898">
      <w:pPr>
        <w:keepNext w:val="0"/>
        <w:keepLines w:val="0"/>
        <w:pageBreakBefore w:val="0"/>
        <w:kinsoku/>
        <w:wordWrap/>
        <w:overflowPunct/>
        <w:topLinePunct w:val="0"/>
        <w:autoSpaceDE/>
        <w:autoSpaceDN/>
        <w:bidi w:val="0"/>
        <w:adjustRightInd/>
        <w:snapToGrid w:val="0"/>
        <w:spacing w:line="360" w:lineRule="auto"/>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eastAsia="zh-CN"/>
        </w:rPr>
        <w:t xml:space="preserve"> 12.2供应商有下列情形之一的,资格审查后其投标作无效投标处理：</w:t>
      </w:r>
    </w:p>
    <w:p w14:paraId="21ACF617">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(1)法定代表人参加开标会议未携带有效的法定代表人身份证明原件和本人身份证的；委托代理人参加开标会议未携带有效的法定代表人授权书和本人身份证；</w:t>
      </w:r>
    </w:p>
    <w:p w14:paraId="43D23FE6">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(2)供应商为本项目提供招标代理服务的；</w:t>
      </w:r>
    </w:p>
    <w:p w14:paraId="09344C49">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(3)供应商与在本项目代理机构存在相互任职或工作的；</w:t>
      </w:r>
    </w:p>
    <w:p w14:paraId="1E013F85">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(4)投标保证金未按规定要求缴纳的；</w:t>
      </w:r>
    </w:p>
    <w:p w14:paraId="26A30210">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(5)评标专家无法查看并检验电子标书中相关资料的；</w:t>
      </w:r>
    </w:p>
    <w:p w14:paraId="2FF751E1">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(6)供应商超出营业范围投标的；</w:t>
      </w:r>
    </w:p>
    <w:p w14:paraId="56E85528">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(7)联合体投标未提交联合体协议的；</w:t>
      </w:r>
    </w:p>
    <w:p w14:paraId="6C6733DF">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(8)被暂停营业的；</w:t>
      </w:r>
    </w:p>
    <w:p w14:paraId="251D567B">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(9)被暂停或取消投标资格的；</w:t>
      </w:r>
    </w:p>
    <w:p w14:paraId="27BDF62D">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(10)财产被接管或冻结的；</w:t>
      </w:r>
    </w:p>
    <w:p w14:paraId="534DB982">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(11)供应商单位负责人为同一人或者存在控股、管理关系的不同单位的；</w:t>
      </w:r>
    </w:p>
    <w:p w14:paraId="35B153C1">
      <w:pPr>
        <w:keepNext w:val="0"/>
        <w:keepLines w:val="0"/>
        <w:pageBreakBefore w:val="0"/>
        <w:kinsoku/>
        <w:wordWrap/>
        <w:overflowPunct/>
        <w:topLinePunct w:val="0"/>
        <w:autoSpaceDE/>
        <w:autoSpaceDN/>
        <w:bidi w:val="0"/>
        <w:adjustRightInd/>
        <w:snapToGrid w:val="0"/>
        <w:spacing w:line="360" w:lineRule="auto"/>
        <w:ind w:firstLine="360" w:firstLineChars="1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（12）供应商基本资格条件和特定资格条件中有一项及以上不符合要求的；</w:t>
      </w:r>
    </w:p>
    <w:p w14:paraId="33CAB5E7">
      <w:pPr>
        <w:keepNext w:val="0"/>
        <w:keepLines w:val="0"/>
        <w:pageBreakBefore w:val="0"/>
        <w:kinsoku/>
        <w:wordWrap/>
        <w:overflowPunct/>
        <w:topLinePunct w:val="0"/>
        <w:autoSpaceDE/>
        <w:autoSpaceDN/>
        <w:bidi w:val="0"/>
        <w:adjustRightInd/>
        <w:snapToGrid w:val="0"/>
        <w:spacing w:line="360" w:lineRule="auto"/>
        <w:ind w:firstLine="360" w:firstLineChars="1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（13）供应商使用相同的MAC地址进行报名的；</w:t>
      </w:r>
    </w:p>
    <w:p w14:paraId="0CBE1048">
      <w:pPr>
        <w:keepNext w:val="0"/>
        <w:keepLines w:val="0"/>
        <w:pageBreakBefore w:val="0"/>
        <w:kinsoku/>
        <w:wordWrap/>
        <w:overflowPunct/>
        <w:topLinePunct w:val="0"/>
        <w:autoSpaceDE/>
        <w:autoSpaceDN/>
        <w:bidi w:val="0"/>
        <w:adjustRightInd/>
        <w:snapToGrid w:val="0"/>
        <w:spacing w:line="400" w:lineRule="exact"/>
        <w:ind w:firstLine="360" w:firstLineChars="1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（14）其它情形，经评标委员会委提出按无效投标处理，并经公共资源交易监督部门核准的；</w:t>
      </w:r>
    </w:p>
    <w:p w14:paraId="0E6C9EBD">
      <w:pPr>
        <w:keepNext w:val="0"/>
        <w:keepLines w:val="0"/>
        <w:pageBreakBefore w:val="0"/>
        <w:kinsoku/>
        <w:wordWrap/>
        <w:overflowPunct/>
        <w:topLinePunct w:val="0"/>
        <w:autoSpaceDE/>
        <w:autoSpaceDN/>
        <w:bidi w:val="0"/>
        <w:adjustRightInd/>
        <w:snapToGrid w:val="0"/>
        <w:spacing w:line="400" w:lineRule="exact"/>
        <w:ind w:firstLine="360" w:firstLineChars="1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（15）供应商使用相同IP地址报名的，一经发现，监管部门将进一步核实，查实后按串通投标处理；</w:t>
      </w:r>
    </w:p>
    <w:p w14:paraId="27547B74">
      <w:pPr>
        <w:keepNext w:val="0"/>
        <w:keepLines w:val="0"/>
        <w:pageBreakBefore w:val="0"/>
        <w:kinsoku/>
        <w:wordWrap/>
        <w:overflowPunct/>
        <w:topLinePunct w:val="0"/>
        <w:autoSpaceDE/>
        <w:autoSpaceDN/>
        <w:bidi w:val="0"/>
        <w:adjustRightInd/>
        <w:snapToGrid w:val="0"/>
        <w:spacing w:line="400" w:lineRule="exact"/>
        <w:ind w:firstLine="360" w:firstLineChars="1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（16）采购文件规定的其它无效投标情形。</w:t>
      </w:r>
    </w:p>
    <w:p w14:paraId="73407C3B">
      <w:pPr>
        <w:keepNext w:val="0"/>
        <w:keepLines w:val="0"/>
        <w:pageBreakBefore w:val="0"/>
        <w:kinsoku/>
        <w:wordWrap/>
        <w:overflowPunct/>
        <w:topLinePunct w:val="0"/>
        <w:autoSpaceDE/>
        <w:autoSpaceDN/>
        <w:bidi w:val="0"/>
        <w:adjustRightInd/>
        <w:snapToGrid w:val="0"/>
        <w:spacing w:line="400" w:lineRule="exact"/>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eastAsia="zh-CN"/>
        </w:rPr>
        <w:t xml:space="preserve"> 12.3 供应商有下列情形之一的,符合性审查后其投标按无效投标处理：</w:t>
      </w:r>
    </w:p>
    <w:p w14:paraId="0FC8A50A">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 投标文件签章、盖章不全，经评标委员会一致认定对开评标内容有实质性影响并经监督部门核准的；</w:t>
      </w:r>
    </w:p>
    <w:p w14:paraId="0D57D149">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(2)未按规定的格式填写，实质性内容不全或关键字迹模糊、无法辨认; 经监督部门核准的；</w:t>
      </w:r>
    </w:p>
    <w:p w14:paraId="3EA16239">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(4)同一供应商提交两个以上不同的投标文件或者投标报价，但采购文件规定提交备选方案的除外；</w:t>
      </w:r>
    </w:p>
    <w:p w14:paraId="505EBFEE">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(3)投标文件没有对采购文件的实质性要求和条件作出响应;</w:t>
      </w:r>
    </w:p>
    <w:p w14:paraId="5988BDFA">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(4)投标报价超出规定的投标限价或公布的采购预算的；</w:t>
      </w:r>
    </w:p>
    <w:p w14:paraId="5E009158">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(5)不按评标委员会要求澄清、说明或补正的，或者评标委员会根据采购文件的规定对采购文件的计算错误进行修正后，供应商不接受修正的投标报价的。</w:t>
      </w:r>
    </w:p>
    <w:p w14:paraId="447862BB">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（6）其它情形，经评标委员会委提出按无效投标处理，并经公共资源交易监督部门核准的；</w:t>
      </w:r>
    </w:p>
    <w:p w14:paraId="4E564635">
      <w:pPr>
        <w:keepNext w:val="0"/>
        <w:keepLines w:val="0"/>
        <w:pageBreakBefore w:val="0"/>
        <w:widowControl/>
        <w:kinsoku/>
        <w:wordWrap/>
        <w:overflowPunct/>
        <w:topLinePunct w:val="0"/>
        <w:autoSpaceDE/>
        <w:autoSpaceDN/>
        <w:bidi w:val="0"/>
        <w:adjustRightInd/>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shd w:val="clear" w:color="auto" w:fill="FFFFFF"/>
          <w:lang w:eastAsia="zh-CN"/>
        </w:rPr>
        <w:t>未按照招标文件的规定提交投标保证金的；</w:t>
      </w:r>
    </w:p>
    <w:p w14:paraId="5D2E07D8">
      <w:pPr>
        <w:keepNext w:val="0"/>
        <w:keepLines w:val="0"/>
        <w:pageBreakBefore w:val="0"/>
        <w:widowControl/>
        <w:kinsoku/>
        <w:wordWrap/>
        <w:overflowPunct/>
        <w:topLinePunct w:val="0"/>
        <w:autoSpaceDE/>
        <w:autoSpaceDN/>
        <w:bidi w:val="0"/>
        <w:adjustRightInd/>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shd w:val="clear" w:color="auto" w:fill="FFFFFF"/>
          <w:lang w:eastAsia="zh-CN"/>
        </w:rPr>
        <w:t>投标文件含有采购人不能接受的附加条件的;</w:t>
      </w:r>
    </w:p>
    <w:p w14:paraId="62D9380C">
      <w:pPr>
        <w:keepNext w:val="0"/>
        <w:keepLines w:val="0"/>
        <w:pageBreakBefore w:val="0"/>
        <w:tabs>
          <w:tab w:val="left" w:pos="1123"/>
        </w:tabs>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（9）采购文件规定的其它无效投标情形。</w:t>
      </w:r>
    </w:p>
    <w:p w14:paraId="725DAA17">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12.4 供应商有下列情形之一的, 详细评审后其投标按无效投标处理：</w:t>
      </w:r>
    </w:p>
    <w:p w14:paraId="66091686">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(1)投标产品不符合必须强制执行的国家标准的；</w:t>
      </w:r>
    </w:p>
    <w:p w14:paraId="19271B93">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(2)供应商有串通投标、弄虚作假、行贿等违法行为；</w:t>
      </w:r>
    </w:p>
    <w:p w14:paraId="0E0AAFF5">
      <w:pPr>
        <w:keepNext w:val="0"/>
        <w:keepLines w:val="0"/>
        <w:pageBreakBefore w:val="0"/>
        <w:kinsoku/>
        <w:wordWrap/>
        <w:overflowPunct/>
        <w:topLinePunct w:val="0"/>
        <w:autoSpaceDE/>
        <w:autoSpaceDN/>
        <w:bidi w:val="0"/>
        <w:adjustRightInd/>
        <w:snapToGrid w:val="0"/>
        <w:spacing w:line="400" w:lineRule="exact"/>
        <w:ind w:firstLine="480"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(3)投标文件含有违反国家法律、法规的内容，或附有招标人不能接受的条件的；</w:t>
      </w:r>
    </w:p>
    <w:p w14:paraId="53292062">
      <w:pPr>
        <w:keepNext w:val="0"/>
        <w:keepLines w:val="0"/>
        <w:pageBreakBefore w:val="0"/>
        <w:kinsoku/>
        <w:wordWrap/>
        <w:overflowPunct/>
        <w:topLinePunct w:val="0"/>
        <w:autoSpaceDE/>
        <w:autoSpaceDN/>
        <w:bidi w:val="0"/>
        <w:adjustRightInd/>
        <w:spacing w:line="400" w:lineRule="exact"/>
        <w:ind w:firstLine="360" w:firstLineChars="1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（4）在同一项目（或同一标段）中有多个供应商有效投标报价接近最高限价，且评标委员会认为报价出现异常的，可以宣布其投标无效；</w:t>
      </w:r>
    </w:p>
    <w:p w14:paraId="7692020E">
      <w:pPr>
        <w:keepNext w:val="0"/>
        <w:keepLines w:val="0"/>
        <w:pageBreakBefore w:val="0"/>
        <w:kinsoku/>
        <w:wordWrap/>
        <w:overflowPunct/>
        <w:topLinePunct w:val="0"/>
        <w:autoSpaceDE/>
        <w:autoSpaceDN/>
        <w:bidi w:val="0"/>
        <w:adjustRightInd/>
        <w:spacing w:line="400" w:lineRule="exact"/>
        <w:ind w:firstLine="360" w:firstLineChars="1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（5）报价明显低于其他供应商，且不能证明报价合理性的投标无效；</w:t>
      </w:r>
    </w:p>
    <w:p w14:paraId="16C9D881">
      <w:pPr>
        <w:keepNext w:val="0"/>
        <w:keepLines w:val="0"/>
        <w:pageBreakBefore w:val="0"/>
        <w:kinsoku/>
        <w:wordWrap/>
        <w:overflowPunct/>
        <w:topLinePunct w:val="0"/>
        <w:autoSpaceDE/>
        <w:autoSpaceDN/>
        <w:bidi w:val="0"/>
        <w:adjustRightInd/>
        <w:spacing w:line="400" w:lineRule="exact"/>
        <w:ind w:firstLine="360" w:firstLineChars="1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（6）拒不确认评标委员会评审修正的投标无效；</w:t>
      </w:r>
    </w:p>
    <w:p w14:paraId="4FD184EF">
      <w:pPr>
        <w:keepNext w:val="0"/>
        <w:keepLines w:val="0"/>
        <w:pageBreakBefore w:val="0"/>
        <w:kinsoku/>
        <w:wordWrap/>
        <w:overflowPunct/>
        <w:topLinePunct w:val="0"/>
        <w:autoSpaceDE/>
        <w:autoSpaceDN/>
        <w:bidi w:val="0"/>
        <w:adjustRightInd/>
        <w:spacing w:line="400" w:lineRule="exact"/>
        <w:ind w:firstLine="360" w:firstLineChars="1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（7）其它情形，经评标委员会委提出按无效投标处理，并经公共资源交易监督部门核准的；</w:t>
      </w:r>
    </w:p>
    <w:p w14:paraId="2F3A7566">
      <w:pPr>
        <w:keepNext w:val="0"/>
        <w:keepLines w:val="0"/>
        <w:pageBreakBefore w:val="0"/>
        <w:kinsoku/>
        <w:wordWrap/>
        <w:overflowPunct/>
        <w:topLinePunct w:val="0"/>
        <w:autoSpaceDE/>
        <w:autoSpaceDN/>
        <w:bidi w:val="0"/>
        <w:adjustRightInd/>
        <w:spacing w:line="400" w:lineRule="exact"/>
        <w:ind w:firstLine="360" w:firstLineChars="1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（8）采购文件规定的其它无效投标情形。</w:t>
      </w:r>
    </w:p>
    <w:p w14:paraId="6247CF62">
      <w:pPr>
        <w:keepNext w:val="0"/>
        <w:keepLines w:val="0"/>
        <w:shd w:val="clear" w:color="auto" w:fill="auto"/>
        <w:kinsoku/>
        <w:wordWrap/>
        <w:overflowPunct/>
        <w:topLinePunct w:val="0"/>
        <w:autoSpaceDE/>
        <w:autoSpaceDN/>
        <w:bidi w:val="0"/>
        <w:adjustRightInd/>
        <w:snapToGrid w:val="0"/>
        <w:spacing w:line="400" w:lineRule="exact"/>
        <w:ind w:firstLine="480" w:firstLineChars="200"/>
        <w:textAlignment w:val="auto"/>
        <w:rPr>
          <w:rFonts w:hint="eastAsia" w:ascii="仿宋" w:hAnsi="仿宋" w:eastAsia="仿宋" w:cs="仿宋"/>
          <w:color w:val="auto"/>
          <w:szCs w:val="21"/>
          <w:highlight w:val="none"/>
        </w:rPr>
      </w:pPr>
    </w:p>
    <w:p w14:paraId="10A89884">
      <w:pPr>
        <w:keepNext w:val="0"/>
        <w:keepLines w:val="0"/>
        <w:pageBreakBefore/>
        <w:shd w:val="clear" w:color="auto" w:fill="auto"/>
        <w:kinsoku/>
        <w:wordWrap/>
        <w:overflowPunct/>
        <w:topLinePunct w:val="0"/>
        <w:autoSpaceDE/>
        <w:autoSpaceDN/>
        <w:bidi w:val="0"/>
        <w:adjustRightInd/>
        <w:spacing w:line="400" w:lineRule="exact"/>
        <w:jc w:val="center"/>
        <w:textAlignment w:val="auto"/>
        <w:outlineLvl w:val="0"/>
        <w:rPr>
          <w:rFonts w:hint="eastAsia" w:ascii="仿宋" w:hAnsi="仿宋" w:eastAsia="仿宋" w:cs="仿宋"/>
          <w:b/>
          <w:color w:val="auto"/>
          <w:sz w:val="32"/>
          <w:szCs w:val="32"/>
          <w:highlight w:val="none"/>
        </w:rPr>
        <w:sectPr>
          <w:footerReference r:id="rId8" w:type="default"/>
          <w:pgSz w:w="11906" w:h="16838"/>
          <w:pgMar w:top="1440" w:right="1080" w:bottom="1440" w:left="1080" w:header="851" w:footer="992" w:gutter="0"/>
          <w:pgNumType w:fmt="decimal" w:start="1"/>
          <w:cols w:space="720" w:num="1"/>
          <w:docGrid w:type="linesAndChars" w:linePitch="312" w:charSpace="0"/>
        </w:sectPr>
      </w:pPr>
      <w:bookmarkStart w:id="45" w:name="_Toc469495737"/>
      <w:bookmarkStart w:id="46" w:name="OLE_LINK4"/>
    </w:p>
    <w:p w14:paraId="2067F434">
      <w:pPr>
        <w:pageBreakBefore/>
        <w:shd w:val="clear" w:color="auto" w:fill="auto"/>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第四章</w:t>
      </w:r>
      <w:r>
        <w:rPr>
          <w:rFonts w:hint="eastAsia" w:ascii="仿宋" w:hAnsi="仿宋" w:eastAsia="仿宋" w:cs="仿宋"/>
          <w:b/>
          <w:color w:val="auto"/>
          <w:sz w:val="32"/>
          <w:szCs w:val="32"/>
          <w:highlight w:val="none"/>
        </w:rPr>
        <w:t xml:space="preserve">  </w:t>
      </w:r>
      <w:bookmarkEnd w:id="39"/>
      <w:bookmarkEnd w:id="45"/>
      <w:r>
        <w:rPr>
          <w:rFonts w:hint="eastAsia" w:ascii="仿宋" w:hAnsi="仿宋" w:eastAsia="仿宋" w:cs="仿宋"/>
          <w:b/>
          <w:color w:val="auto"/>
          <w:sz w:val="32"/>
          <w:szCs w:val="32"/>
          <w:highlight w:val="none"/>
        </w:rPr>
        <w:t>技术规格、数量及质量要求</w:t>
      </w:r>
    </w:p>
    <w:bookmarkEnd w:id="46"/>
    <w:p w14:paraId="491F99A9">
      <w:pPr>
        <w:numPr>
          <w:ilvl w:val="0"/>
          <w:numId w:val="0"/>
        </w:numPr>
        <w:jc w:val="left"/>
        <w:rPr>
          <w:rFonts w:hint="eastAsia" w:ascii="仿宋" w:hAnsi="仿宋" w:eastAsia="仿宋" w:cs="仿宋"/>
          <w:b/>
          <w:bCs/>
          <w:sz w:val="22"/>
          <w:szCs w:val="28"/>
          <w:highlight w:val="none"/>
          <w:lang w:val="en-US" w:eastAsia="zh-CN"/>
        </w:rPr>
      </w:pPr>
      <w:bookmarkStart w:id="47" w:name="_Toc469495740"/>
      <w:r>
        <w:rPr>
          <w:rFonts w:hint="eastAsia" w:ascii="仿宋" w:hAnsi="仿宋" w:eastAsia="仿宋" w:cs="仿宋"/>
          <w:b/>
          <w:bCs/>
          <w:kern w:val="2"/>
          <w:sz w:val="22"/>
          <w:szCs w:val="28"/>
          <w:highlight w:val="none"/>
          <w:lang w:val="en-US" w:eastAsia="zh-CN" w:bidi="ar-SA"/>
        </w:rPr>
        <w:t>1.1主要技术参数</w:t>
      </w:r>
    </w:p>
    <w:p w14:paraId="7D265FE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设备组成清单</w:t>
      </w:r>
    </w:p>
    <w:tbl>
      <w:tblPr>
        <w:tblStyle w:val="20"/>
        <w:tblW w:w="461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92"/>
        <w:gridCol w:w="4999"/>
        <w:gridCol w:w="1472"/>
        <w:gridCol w:w="911"/>
      </w:tblGrid>
      <w:tr w14:paraId="21575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5" w:type="pct"/>
            <w:shd w:val="clear" w:color="auto" w:fill="auto"/>
          </w:tcPr>
          <w:p w14:paraId="254FD82D">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序号</w:t>
            </w:r>
          </w:p>
        </w:tc>
        <w:tc>
          <w:tcPr>
            <w:tcW w:w="2914" w:type="pct"/>
            <w:shd w:val="clear" w:color="auto" w:fill="auto"/>
          </w:tcPr>
          <w:p w14:paraId="68C255FA">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设备名称</w:t>
            </w:r>
          </w:p>
        </w:tc>
        <w:tc>
          <w:tcPr>
            <w:tcW w:w="858" w:type="pct"/>
            <w:shd w:val="clear" w:color="auto" w:fill="auto"/>
          </w:tcPr>
          <w:p w14:paraId="2622CF8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数量</w:t>
            </w:r>
          </w:p>
        </w:tc>
        <w:tc>
          <w:tcPr>
            <w:tcW w:w="531" w:type="pct"/>
            <w:shd w:val="clear" w:color="auto" w:fill="auto"/>
          </w:tcPr>
          <w:p w14:paraId="3348848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单位</w:t>
            </w:r>
          </w:p>
        </w:tc>
      </w:tr>
      <w:tr w14:paraId="1AC46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5" w:type="pct"/>
          </w:tcPr>
          <w:p w14:paraId="1F8498E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w:t>
            </w:r>
          </w:p>
        </w:tc>
        <w:tc>
          <w:tcPr>
            <w:tcW w:w="2914" w:type="pct"/>
          </w:tcPr>
          <w:p w14:paraId="3EECFB1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便携式导航诱骗设备</w:t>
            </w:r>
          </w:p>
        </w:tc>
        <w:tc>
          <w:tcPr>
            <w:tcW w:w="858" w:type="pct"/>
          </w:tcPr>
          <w:p w14:paraId="5120E41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w:t>
            </w:r>
          </w:p>
        </w:tc>
        <w:tc>
          <w:tcPr>
            <w:tcW w:w="531" w:type="pct"/>
          </w:tcPr>
          <w:p w14:paraId="2278A04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套</w:t>
            </w:r>
          </w:p>
        </w:tc>
      </w:tr>
    </w:tbl>
    <w:p w14:paraId="6CF05274">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技术指标</w:t>
      </w:r>
    </w:p>
    <w:p w14:paraId="5A0058C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便携式导航诱骗设备</w:t>
      </w:r>
    </w:p>
    <w:tbl>
      <w:tblPr>
        <w:tblStyle w:val="19"/>
        <w:tblW w:w="8540" w:type="dxa"/>
        <w:jc w:val="center"/>
        <w:tblLayout w:type="fixed"/>
        <w:tblCellMar>
          <w:top w:w="0" w:type="dxa"/>
          <w:left w:w="0" w:type="dxa"/>
          <w:bottom w:w="0" w:type="dxa"/>
          <w:right w:w="0" w:type="dxa"/>
        </w:tblCellMar>
      </w:tblPr>
      <w:tblGrid>
        <w:gridCol w:w="725"/>
        <w:gridCol w:w="7815"/>
      </w:tblGrid>
      <w:tr w14:paraId="16F96A26">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858D0B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序号</w:t>
            </w:r>
          </w:p>
        </w:tc>
        <w:tc>
          <w:tcPr>
            <w:tcW w:w="781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F30A76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技术指标</w:t>
            </w:r>
          </w:p>
        </w:tc>
      </w:tr>
      <w:tr w14:paraId="51B87DC1">
        <w:tblPrEx>
          <w:tblCellMar>
            <w:top w:w="0" w:type="dxa"/>
            <w:left w:w="0" w:type="dxa"/>
            <w:bottom w:w="0" w:type="dxa"/>
            <w:right w:w="0" w:type="dxa"/>
          </w:tblCellMar>
        </w:tblPrEx>
        <w:trPr>
          <w:trHeight w:val="9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032711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w:t>
            </w:r>
          </w:p>
        </w:tc>
        <w:tc>
          <w:tcPr>
            <w:tcW w:w="7815" w:type="dxa"/>
            <w:tcBorders>
              <w:top w:val="single" w:color="000000" w:sz="4" w:space="0"/>
              <w:left w:val="single" w:color="000000" w:sz="4" w:space="0"/>
              <w:bottom w:val="single" w:color="000000" w:sz="4" w:space="0"/>
              <w:right w:val="single" w:color="000000" w:sz="4" w:space="0"/>
            </w:tcBorders>
            <w:shd w:val="clear" w:color="auto" w:fill="FFFFFF"/>
            <w:tcMar>
              <w:top w:w="10" w:type="dxa"/>
              <w:left w:w="10" w:type="dxa"/>
              <w:right w:w="10" w:type="dxa"/>
            </w:tcMar>
            <w:vAlign w:val="bottom"/>
          </w:tcPr>
          <w:p w14:paraId="1E9E526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★设备以背包形态存在，外壳三防等级IP65；重量低于10kg（需提供公安部检测报告）</w:t>
            </w:r>
          </w:p>
        </w:tc>
      </w:tr>
      <w:tr w14:paraId="767002FA">
        <w:tblPrEx>
          <w:tblCellMar>
            <w:top w:w="0" w:type="dxa"/>
            <w:left w:w="0" w:type="dxa"/>
            <w:bottom w:w="0" w:type="dxa"/>
            <w:right w:w="0" w:type="dxa"/>
          </w:tblCellMar>
        </w:tblPrEx>
        <w:trPr>
          <w:trHeight w:val="9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24D5DE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w:t>
            </w:r>
          </w:p>
        </w:tc>
        <w:tc>
          <w:tcPr>
            <w:tcW w:w="7815" w:type="dxa"/>
            <w:tcBorders>
              <w:top w:val="single" w:color="000000" w:sz="4" w:space="0"/>
              <w:left w:val="single" w:color="000000" w:sz="4" w:space="0"/>
              <w:bottom w:val="single" w:color="000000" w:sz="4" w:space="0"/>
              <w:right w:val="single" w:color="000000" w:sz="4" w:space="0"/>
            </w:tcBorders>
            <w:shd w:val="clear" w:color="auto" w:fill="FFFFFF"/>
            <w:tcMar>
              <w:top w:w="10" w:type="dxa"/>
              <w:left w:w="10" w:type="dxa"/>
              <w:right w:w="10" w:type="dxa"/>
            </w:tcMar>
            <w:vAlign w:val="bottom"/>
          </w:tcPr>
          <w:p w14:paraId="262FA66A">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★时间同步精度≤0.2us（需提供公安部检测报告）</w:t>
            </w:r>
          </w:p>
        </w:tc>
      </w:tr>
      <w:tr w14:paraId="7AE8FB44">
        <w:tblPrEx>
          <w:tblCellMar>
            <w:top w:w="0" w:type="dxa"/>
            <w:left w:w="0" w:type="dxa"/>
            <w:bottom w:w="0" w:type="dxa"/>
            <w:right w:w="0" w:type="dxa"/>
          </w:tblCellMar>
        </w:tblPrEx>
        <w:trPr>
          <w:trHeight w:val="9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EC9C8B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3</w:t>
            </w:r>
          </w:p>
        </w:tc>
        <w:tc>
          <w:tcPr>
            <w:tcW w:w="7815" w:type="dxa"/>
            <w:tcBorders>
              <w:top w:val="single" w:color="000000" w:sz="4" w:space="0"/>
              <w:left w:val="single" w:color="000000" w:sz="4" w:space="0"/>
              <w:bottom w:val="single" w:color="000000" w:sz="4" w:space="0"/>
              <w:right w:val="single" w:color="000000" w:sz="4" w:space="0"/>
            </w:tcBorders>
            <w:shd w:val="clear" w:color="auto" w:fill="FFFFFF"/>
            <w:tcMar>
              <w:top w:w="10" w:type="dxa"/>
              <w:left w:w="10" w:type="dxa"/>
              <w:right w:w="10" w:type="dxa"/>
            </w:tcMar>
            <w:vAlign w:val="bottom"/>
          </w:tcPr>
          <w:p w14:paraId="3410B055">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▲展开时间≤ 2 min； 撤收时间≤ 1 min</w:t>
            </w:r>
          </w:p>
        </w:tc>
      </w:tr>
      <w:tr w14:paraId="6FDACC1F">
        <w:tblPrEx>
          <w:tblCellMar>
            <w:top w:w="0" w:type="dxa"/>
            <w:left w:w="0" w:type="dxa"/>
            <w:bottom w:w="0" w:type="dxa"/>
            <w:right w:w="0" w:type="dxa"/>
          </w:tblCellMar>
        </w:tblPrEx>
        <w:trPr>
          <w:trHeight w:val="9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7266EC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4</w:t>
            </w:r>
          </w:p>
        </w:tc>
        <w:tc>
          <w:tcPr>
            <w:tcW w:w="7815" w:type="dxa"/>
            <w:tcBorders>
              <w:top w:val="single" w:color="000000" w:sz="4" w:space="0"/>
              <w:left w:val="single" w:color="000000" w:sz="4" w:space="0"/>
              <w:bottom w:val="single" w:color="000000" w:sz="4" w:space="0"/>
              <w:right w:val="single" w:color="000000" w:sz="4" w:space="0"/>
            </w:tcBorders>
            <w:shd w:val="clear" w:color="auto" w:fill="FFFFFF"/>
            <w:tcMar>
              <w:top w:w="10" w:type="dxa"/>
              <w:left w:w="10" w:type="dxa"/>
              <w:right w:w="10" w:type="dxa"/>
            </w:tcMar>
            <w:vAlign w:val="bottom"/>
          </w:tcPr>
          <w:p w14:paraId="58900C84">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开机时间≤45s，系统准备时间≤3min</w:t>
            </w:r>
          </w:p>
        </w:tc>
      </w:tr>
      <w:tr w14:paraId="460FC3BB">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2AD7A40">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5</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0F23FDF1">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电池供电时间可支持待机4.5小时，持续干扰3小时，电池需可更换</w:t>
            </w:r>
          </w:p>
        </w:tc>
      </w:tr>
      <w:tr w14:paraId="08BA33B9">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9329AB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6</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34B0F56F">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▲无人机诱骗系统开机发射状态功耗≤50W</w:t>
            </w:r>
          </w:p>
        </w:tc>
      </w:tr>
      <w:tr w14:paraId="490D92EE">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F2C9C9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7</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35A15D82">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▲作用距离 ：500m～2km距离可调，最大作用距离不小于2km</w:t>
            </w:r>
          </w:p>
        </w:tc>
      </w:tr>
      <w:tr w14:paraId="36308BFD">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1E1383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8</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09D83282">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▲可通过APP客户端对设备工作模式进行设置</w:t>
            </w:r>
          </w:p>
        </w:tc>
      </w:tr>
      <w:tr w14:paraId="235773FE">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BAA334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9</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2D90754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包需同时具备外部有线连接或无线连接平板电脑内置操作软件系统实现所有诱骗指令的下发的能力，平板电脑可联网，多台背包具备在同一个局域网内协同的能力</w:t>
            </w:r>
          </w:p>
        </w:tc>
      </w:tr>
      <w:tr w14:paraId="20A292D9">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D66BD4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10</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6772F387">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★导航诱骗背包的指挥控制系统具备可拓展性，能连接其他侦测及软打击设备（如雷达、无线电侦测、无线电打击设备等），当侦测到敌方无人机时诱骗自动开启；能有线连接无线电打击设备，对商用无人机如DJI Mavic3及Autel EVO Lite可实现一键炸机的效果（需提供原厂商出具的承诺书）</w:t>
            </w:r>
          </w:p>
        </w:tc>
      </w:tr>
      <w:tr w14:paraId="3C4464FD">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D1120B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11</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39D0950C">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▲发射信道应包括以下：信道1：1575.42±1.023MHz GPS L1、信道2：1602MHz+Nx562.5KHz±511KHz（(N取-7~6)） GLONASS R1、信道3：信道3：1575.42±12.276MHz GALILEO E1、信道4：1561.098±2.046MHz BDS B1</w:t>
            </w:r>
          </w:p>
        </w:tc>
      </w:tr>
      <w:tr w14:paraId="44B56B25">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DDF2AC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12</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3E0D0F96">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诱骗覆盖机型广，能覆盖如下主流机型：大疆AIR 2/AIR 2S/AIR 3/御3/御3C/御3 PRO/御3E/MINI 3 PRO/MINI 4 PRO/MINI SE/精灵四、道通nano/Lite/V2/Max-4T</w:t>
            </w:r>
          </w:p>
        </w:tc>
      </w:tr>
      <w:tr w14:paraId="57A69A97">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F850EA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13</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530AF3F5">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▲无人机诱骗系统同时拦截无人机数量≥6架</w:t>
            </w:r>
          </w:p>
        </w:tc>
      </w:tr>
      <w:tr w14:paraId="54F9604E">
        <w:tblPrEx>
          <w:tblCellMar>
            <w:top w:w="0" w:type="dxa"/>
            <w:left w:w="0" w:type="dxa"/>
            <w:bottom w:w="0" w:type="dxa"/>
            <w:right w:w="0" w:type="dxa"/>
          </w:tblCellMar>
        </w:tblPrEx>
        <w:trPr>
          <w:trHeight w:val="3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97B7B2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14</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313A8D81">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▲设备有效诱骗时间≤8s （需提供公安部一所检测报告）</w:t>
            </w:r>
          </w:p>
        </w:tc>
      </w:tr>
      <w:tr w14:paraId="626A239D">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FE4717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15</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1717DCAE">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具备混合星历模式，可在无GNSS环境或GNSS受到污染环境下开启诱骗</w:t>
            </w:r>
          </w:p>
        </w:tc>
      </w:tr>
      <w:tr w14:paraId="7EDB5CBD">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3D7239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16</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55E0B234">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▲设备两次诱导间隔时间≤5s（需提供公安部一所检测报告）</w:t>
            </w:r>
          </w:p>
        </w:tc>
      </w:tr>
      <w:tr w14:paraId="3C8C6CD1">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F421FB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17</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6965D924">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 设备诱骗成功率≥99%（需提供公安部一所检测报告）</w:t>
            </w:r>
          </w:p>
        </w:tc>
      </w:tr>
      <w:tr w14:paraId="073A3279">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1D847F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18</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0EB53221">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▲支持B3定位与授时（需提供公安部一所检测报告）</w:t>
            </w:r>
          </w:p>
        </w:tc>
      </w:tr>
      <w:tr w14:paraId="462AAE95">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B5660ED">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19</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3CA0C850">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无人机诱骗设备应支持单北斗模式定位功能</w:t>
            </w:r>
          </w:p>
        </w:tc>
      </w:tr>
      <w:tr w14:paraId="4751D769">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18A89F4">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20</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5A03115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▲设备需满足GB/T17626.2-2018 静电放电抗扰度试验严酷等级3级</w:t>
            </w:r>
          </w:p>
        </w:tc>
      </w:tr>
      <w:tr w14:paraId="10C1952B">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DC5243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21</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3B1651F6">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 无人机诱骗系统持续发射时间≥24h</w:t>
            </w:r>
          </w:p>
        </w:tc>
      </w:tr>
      <w:tr w14:paraId="094DCAFF">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84FBF8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22</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678B4005">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▲工作温度：- 20℃~ +55℃</w:t>
            </w:r>
          </w:p>
        </w:tc>
      </w:tr>
      <w:tr w14:paraId="37CECDA9">
        <w:tblPrEx>
          <w:tblCellMar>
            <w:top w:w="0" w:type="dxa"/>
            <w:left w:w="0" w:type="dxa"/>
            <w:bottom w:w="0" w:type="dxa"/>
            <w:right w:w="0" w:type="dxa"/>
          </w:tblCellMar>
        </w:tblPrEx>
        <w:trPr>
          <w:trHeight w:val="2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61D9BE3">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23</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195AD87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▲等效全向辐射功率≤10mW</w:t>
            </w:r>
          </w:p>
        </w:tc>
      </w:tr>
      <w:tr w14:paraId="194C97C7">
        <w:tblPrEx>
          <w:tblCellMar>
            <w:top w:w="0" w:type="dxa"/>
            <w:left w:w="0" w:type="dxa"/>
            <w:bottom w:w="0" w:type="dxa"/>
            <w:right w:w="0" w:type="dxa"/>
          </w:tblCellMar>
        </w:tblPrEx>
        <w:trPr>
          <w:trHeight w:val="264"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FF0121B">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24</w:t>
            </w:r>
          </w:p>
        </w:tc>
        <w:tc>
          <w:tcPr>
            <w:tcW w:w="7815" w:type="dxa"/>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7E35058A">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▲电磁辐射强度：对发射工作状态下的设备架设环境进行环境电场强度测量。根据GB8702-2014《电磁环境控制限值》要求，发射频率范围在30MHz~3000MHz时，环境电场强度应小于12V/m</w:t>
            </w:r>
          </w:p>
        </w:tc>
      </w:tr>
      <w:tr w14:paraId="5102F2F2">
        <w:tblPrEx>
          <w:tblCellMar>
            <w:top w:w="0" w:type="dxa"/>
            <w:left w:w="0" w:type="dxa"/>
            <w:bottom w:w="0" w:type="dxa"/>
            <w:right w:w="0" w:type="dxa"/>
          </w:tblCellMar>
        </w:tblPrEx>
        <w:trPr>
          <w:trHeight w:val="610" w:hRule="atLeast"/>
          <w:jc w:val="center"/>
        </w:trPr>
        <w:tc>
          <w:tcPr>
            <w:tcW w:w="8540"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C2C92B1">
            <w:pPr>
              <w:spacing w:line="400" w:lineRule="exact"/>
              <w:jc w:val="left"/>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着重提示：</w:t>
            </w:r>
            <w:r>
              <w:rPr>
                <w:rFonts w:hint="eastAsia" w:ascii="仿宋" w:hAnsi="仿宋" w:eastAsia="仿宋" w:cs="仿宋"/>
                <w:b/>
                <w:bCs/>
                <w:color w:val="auto"/>
                <w:highlight w:val="none"/>
                <w:lang w:val="en-US" w:eastAsia="zh-CN"/>
              </w:rPr>
              <w:t>参数不允许出现负偏离，如出现负偏离作废标处理。</w:t>
            </w:r>
          </w:p>
        </w:tc>
      </w:tr>
    </w:tbl>
    <w:p w14:paraId="4371DC9D">
      <w:pP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1.2包装要求</w:t>
      </w:r>
    </w:p>
    <w:p w14:paraId="3815CE2F">
      <w:pPr>
        <w:shd w:val="clear" w:color="auto" w:fill="auto"/>
        <w:spacing w:line="264" w:lineRule="auto"/>
        <w:ind w:firstLine="486" w:firstLineChars="200"/>
        <w:outlineLvl w:val="9"/>
        <w:rPr>
          <w:rFonts w:hint="eastAsia" w:ascii="Times New Roman" w:hAnsi="Times New Roman" w:eastAsia="仿宋" w:cs="Times New Roman"/>
          <w:bCs/>
          <w:color w:val="auto"/>
          <w:szCs w:val="21"/>
          <w:highlight w:val="none"/>
        </w:rPr>
      </w:pPr>
      <w:r>
        <w:rPr>
          <w:rFonts w:hint="eastAsia" w:ascii="Times New Roman" w:hAnsi="Times New Roman" w:eastAsia="仿宋" w:cs="Times New Roman"/>
          <w:bCs/>
          <w:color w:val="auto"/>
          <w:szCs w:val="21"/>
          <w:highlight w:val="none"/>
        </w:rPr>
        <w:t>供方应提供货物服务运至合同规定的最终目的地所需要的包装，以防止货物在转运中损坏。这类包装应采取防潮、防晒、防锈、防腐蚀、防震动及防止其它损坏的必要保护措施，从而保护货物能够经受多次搬运、装卸和内陆的长途运输。供方应承担由于其包装或其防护措施不妥而引起货物锈蚀、损坏和丢失的任何损失的责任或费用。</w:t>
      </w:r>
    </w:p>
    <w:p w14:paraId="4D81F363">
      <w:pPr>
        <w:spacing w:line="360" w:lineRule="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1.3商务要求：</w:t>
      </w:r>
    </w:p>
    <w:p w14:paraId="7D486381">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val="0"/>
          <w:bCs w:val="0"/>
          <w:color w:val="auto"/>
          <w:highlight w:val="none"/>
          <w:lang w:eastAsia="zh-CN"/>
        </w:rPr>
      </w:pPr>
      <w:r>
        <w:rPr>
          <w:rFonts w:hint="eastAsia" w:ascii="仿宋" w:hAnsi="仿宋" w:eastAsia="仿宋" w:cs="仿宋"/>
          <w:b/>
          <w:bCs/>
          <w:color w:val="auto"/>
          <w:highlight w:val="none"/>
          <w:lang w:eastAsia="zh-CN"/>
        </w:rPr>
        <w:t>（一）实施（供货）期 ：</w:t>
      </w:r>
      <w:r>
        <w:rPr>
          <w:rFonts w:hint="eastAsia" w:ascii="仿宋" w:hAnsi="仿宋" w:eastAsia="仿宋" w:cs="仿宋"/>
          <w:b w:val="0"/>
          <w:bCs w:val="0"/>
          <w:color w:val="auto"/>
          <w:highlight w:val="none"/>
          <w:lang w:eastAsia="zh-CN"/>
        </w:rPr>
        <w:t>合自合同签订之日起</w:t>
      </w:r>
      <w:r>
        <w:rPr>
          <w:rFonts w:hint="eastAsia" w:ascii="仿宋" w:hAnsi="仿宋" w:eastAsia="仿宋" w:cs="仿宋"/>
          <w:b w:val="0"/>
          <w:bCs w:val="0"/>
          <w:color w:val="auto"/>
          <w:highlight w:val="none"/>
          <w:lang w:val="en-US" w:eastAsia="zh-CN"/>
        </w:rPr>
        <w:t>30</w:t>
      </w:r>
      <w:r>
        <w:rPr>
          <w:rFonts w:hint="eastAsia" w:ascii="仿宋" w:hAnsi="仿宋" w:eastAsia="仿宋" w:cs="仿宋"/>
          <w:b w:val="0"/>
          <w:bCs w:val="0"/>
          <w:color w:val="auto"/>
          <w:highlight w:val="none"/>
          <w:lang w:eastAsia="zh-CN"/>
        </w:rPr>
        <w:t>天内完成供货</w:t>
      </w:r>
      <w:r>
        <w:rPr>
          <w:rFonts w:hint="eastAsia" w:ascii="仿宋" w:hAnsi="仿宋" w:eastAsia="仿宋" w:cs="仿宋"/>
          <w:b w:val="0"/>
          <w:bCs w:val="0"/>
          <w:color w:val="auto"/>
          <w:highlight w:val="none"/>
          <w:lang w:val="en-US" w:eastAsia="zh-CN"/>
        </w:rPr>
        <w:t>并调试安装完成，并投入使用。</w:t>
      </w:r>
    </w:p>
    <w:p w14:paraId="7191A5D1">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200" w:right="0" w:rightChars="0"/>
        <w:textAlignment w:val="auto"/>
        <w:rPr>
          <w:rFonts w:hint="eastAsia" w:ascii="仿宋" w:hAnsi="仿宋" w:eastAsia="仿宋" w:cs="仿宋"/>
          <w:color w:val="auto"/>
          <w:highlight w:val="none"/>
          <w:lang w:eastAsia="zh-CN"/>
        </w:rPr>
      </w:pPr>
      <w:r>
        <w:rPr>
          <w:rFonts w:hint="eastAsia" w:ascii="仿宋" w:hAnsi="仿宋" w:eastAsia="仿宋" w:cs="仿宋"/>
          <w:b/>
          <w:bCs/>
          <w:color w:val="auto"/>
          <w:highlight w:val="none"/>
          <w:lang w:eastAsia="zh-CN"/>
        </w:rPr>
        <w:t>（二）实施（交货）地点</w:t>
      </w:r>
      <w:r>
        <w:rPr>
          <w:rFonts w:hint="eastAsia" w:ascii="仿宋" w:hAnsi="仿宋" w:eastAsia="仿宋" w:cs="仿宋"/>
          <w:color w:val="auto"/>
          <w:highlight w:val="none"/>
          <w:lang w:eastAsia="zh-CN"/>
        </w:rPr>
        <w:t xml:space="preserve"> ：甲方指定地点</w:t>
      </w:r>
    </w:p>
    <w:p w14:paraId="74941D60">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（三）报价要求</w:t>
      </w:r>
    </w:p>
    <w:p w14:paraId="55A972D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投标人报价应为人民币含税全包价，包括招标文件规定的完成通过合同验收并正常运转所必需的有关产品的设计、生产、包装、保险、运输、装卸、安装、调试、培训、税费、验收、保修服务等货到采购人指定地点的一切费用。一旦中标，招标人不再追加支付任何费用。</w:t>
      </w:r>
    </w:p>
    <w:p w14:paraId="1FDC15EF">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（四）质保要求</w:t>
      </w:r>
    </w:p>
    <w:p w14:paraId="06860C2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1、质保期：3年 。</w:t>
      </w:r>
    </w:p>
    <w:p w14:paraId="59F6B2CA">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2、乙方应保证所提供的货物是全新、未使用过的原装合格正品，并完全符合国家标准和行业的相关标准。</w:t>
      </w:r>
    </w:p>
    <w:p w14:paraId="14778B29">
      <w:pPr>
        <w:keepNext w:val="0"/>
        <w:keepLines w:val="0"/>
        <w:pageBreakBefore w:val="0"/>
        <w:widowControl w:val="0"/>
        <w:kinsoku/>
        <w:wordWrap/>
        <w:overflowPunct/>
        <w:topLinePunct w:val="0"/>
        <w:autoSpaceDE/>
        <w:autoSpaceDN/>
        <w:bidi w:val="0"/>
        <w:adjustRightInd/>
        <w:snapToGrid/>
        <w:spacing w:line="460" w:lineRule="exact"/>
        <w:ind w:firstLine="243" w:firstLineChars="1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（五）售后服务、理赔、质量技术及验收保证的承诺</w:t>
      </w:r>
    </w:p>
    <w:p w14:paraId="7A0854A7">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1、售后服务</w:t>
      </w:r>
    </w:p>
    <w:p w14:paraId="196202C2">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1.1产品质量：在合同期内，甲方正常使用乙方所供产品而出现质量问题时，乙方负责。产品使用：甲方在使用乙方所供产品中出现问题需乙方解决时，乙方应无偿解决（退换货）。</w:t>
      </w:r>
    </w:p>
    <w:p w14:paraId="7A9C6DD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1.2质保期内，当采购人遇到使用及技术问题电话咨询不能解决的，须在12小时内到达现场进行处理。    </w:t>
      </w:r>
    </w:p>
    <w:p w14:paraId="74390C56">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1.3质保期内，设备出现故障，须在4小时内响应，</w:t>
      </w:r>
      <w:r>
        <w:rPr>
          <w:rFonts w:hint="eastAsia" w:ascii="仿宋" w:hAnsi="仿宋" w:eastAsia="仿宋" w:cs="仿宋"/>
          <w:b w:val="0"/>
          <w:bCs w:val="0"/>
          <w:color w:val="auto"/>
          <w:highlight w:val="none"/>
          <w:lang w:val="en-US" w:eastAsia="zh-CN"/>
        </w:rPr>
        <w:t>48</w:t>
      </w:r>
      <w:r>
        <w:rPr>
          <w:rFonts w:hint="eastAsia" w:ascii="仿宋" w:hAnsi="仿宋" w:eastAsia="仿宋" w:cs="仿宋"/>
          <w:b w:val="0"/>
          <w:bCs w:val="0"/>
          <w:color w:val="auto"/>
          <w:highlight w:val="none"/>
          <w:lang w:eastAsia="zh-CN"/>
        </w:rPr>
        <w:t>小时内到达现场，一般故障8小时内修复，较大故障24小时内解决问题。每年提供不少于4次回访。</w:t>
      </w:r>
    </w:p>
    <w:p w14:paraId="1FF1E8FF">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2、交货时应提供以下技术或培训资料（如涉及）</w:t>
      </w:r>
    </w:p>
    <w:p w14:paraId="0D2B982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2.1原产地证明书(由制造厂签发)；</w:t>
      </w:r>
    </w:p>
    <w:p w14:paraId="4CC88A62">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2.2提供主机及配套设备的安装图纸及说明；</w:t>
      </w:r>
    </w:p>
    <w:p w14:paraId="435991E0">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2.3提供主机及配套设备使用说明书、维护手册；</w:t>
      </w:r>
    </w:p>
    <w:p w14:paraId="59E2CE4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2.4备件手册、零件及易损件的图纸及相关资料；</w:t>
      </w:r>
    </w:p>
    <w:p w14:paraId="3835CF9D">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2.5其它相关技术资料。</w:t>
      </w:r>
    </w:p>
    <w:p w14:paraId="61532A4C">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3、 安装、现场培训：免费安装并现场培训相关人员至掌握仪器设备操作及日常维护，</w:t>
      </w:r>
    </w:p>
    <w:p w14:paraId="42B8FD4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eastAsia="zh-CN"/>
        </w:rPr>
        <w:t>设备到场后，供应商需至少派1名工程师现场指导安装调试。</w:t>
      </w:r>
    </w:p>
    <w:p w14:paraId="426F900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 xml:space="preserve">4、新购设备随仪器配备必要的维修工具，工具能满足实验室维护人员对设备的 </w:t>
      </w:r>
    </w:p>
    <w:p w14:paraId="40C13EE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正常维护、维修。</w:t>
      </w:r>
    </w:p>
    <w:p w14:paraId="54169F56">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、在质保期内，如果供应商的产品技术升级，供应商应及时通知采购人，如采购人有相应要求，供应商应对采购人购买的产品进行升级服务。</w:t>
      </w:r>
    </w:p>
    <w:p w14:paraId="5194423D">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lang w:eastAsia="zh-CN"/>
        </w:rPr>
        <w:t>、质保期过后，供应商应同样提供免费电话咨询服务，并应承诺提供该产品上门维护服务。</w:t>
      </w:r>
    </w:p>
    <w:p w14:paraId="4D85CE8C">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7、质保期过后，采购人需要继续由原投标人提供售后服务的，该投标人和制造 </w:t>
      </w:r>
    </w:p>
    <w:p w14:paraId="4D1FB35B">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商应以优惠价格提供售后服务。</w:t>
      </w:r>
    </w:p>
    <w:p w14:paraId="49323CA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（六）验收</w:t>
      </w:r>
    </w:p>
    <w:p w14:paraId="5ED5B13D">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1、供应商提供的产品为全新未使用且符合相关法律法规要求的合格产品；</w:t>
      </w:r>
    </w:p>
    <w:p w14:paraId="2669A134">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2、供应商提供的产品型号、规格等特性需与投标文件、合同规定内容完全一致，且满足采购方提出的采购需求。</w:t>
      </w:r>
    </w:p>
    <w:p w14:paraId="2825B8B5">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3、货物验收时，供应商向采购人提供生产厂家出具的验收报告、合格证、厂家资格证件等相关文件。</w:t>
      </w:r>
    </w:p>
    <w:p w14:paraId="673949E2">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、供应商提供的产品需经采购人验收小组验收，进行试验检测，按照技术要求逐项进行测试，测试结果应满足相关要求，试验通过并满足要求为验收合格。</w:t>
      </w:r>
    </w:p>
    <w:p w14:paraId="72F7A355">
      <w:pPr>
        <w:keepNext w:val="0"/>
        <w:keepLines w:val="0"/>
        <w:pageBreakBefore w:val="0"/>
        <w:widowControl w:val="0"/>
        <w:kinsoku/>
        <w:wordWrap/>
        <w:overflowPunct/>
        <w:topLinePunct w:val="0"/>
        <w:autoSpaceDE/>
        <w:autoSpaceDN/>
        <w:bidi w:val="0"/>
        <w:adjustRightInd/>
        <w:snapToGrid/>
        <w:spacing w:line="460" w:lineRule="exact"/>
        <w:ind w:firstLine="356" w:firstLineChars="147"/>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（七）付款方式</w:t>
      </w:r>
    </w:p>
    <w:p w14:paraId="747E5B9F">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b w:val="0"/>
          <w:bCs w:val="0"/>
          <w:color w:val="auto"/>
          <w:highlight w:val="none"/>
          <w:lang w:val="en-US" w:eastAsia="zh-CN"/>
        </w:rPr>
      </w:pPr>
      <w:r>
        <w:rPr>
          <w:rFonts w:hint="eastAsia" w:ascii="仿宋" w:hAnsi="仿宋" w:eastAsia="仿宋" w:cs="仿宋"/>
          <w:b w:val="0"/>
          <w:bCs w:val="0"/>
          <w:color w:val="auto"/>
          <w:highlight w:val="none"/>
          <w:lang w:val="en-US" w:eastAsia="zh-CN"/>
        </w:rPr>
        <w:t>乙方完成供货验收合格后一次性支付全部货款。（具体以签订合同为准）</w:t>
      </w:r>
    </w:p>
    <w:p w14:paraId="254E49E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（八）知识产权</w:t>
      </w:r>
    </w:p>
    <w:p w14:paraId="6399913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采购人在中华人民共和国境内使用供应商提供的货物及服务时免受第三方提出的侵犯其专利权或其它知识产权的起诉。如果第三方提出侵权指控，中标人应承担由此而引起的一切法律责任和费用。</w:t>
      </w:r>
    </w:p>
    <w:p w14:paraId="50CA284B">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bookmarkStart w:id="48" w:name="_Toc20832"/>
      <w:bookmarkStart w:id="49" w:name="_Toc7598"/>
      <w:bookmarkStart w:id="50" w:name="_Toc12239"/>
      <w:bookmarkStart w:id="51" w:name="_Toc439255252"/>
      <w:bookmarkStart w:id="52" w:name="_Toc12840_WPSOffice_Level1"/>
      <w:bookmarkStart w:id="53" w:name="_Toc267320054"/>
      <w:r>
        <w:rPr>
          <w:rFonts w:hint="eastAsia" w:ascii="仿宋" w:hAnsi="仿宋" w:eastAsia="仿宋" w:cs="仿宋"/>
          <w:b/>
          <w:bCs/>
          <w:color w:val="auto"/>
          <w:highlight w:val="none"/>
          <w:lang w:eastAsia="zh-CN"/>
        </w:rPr>
        <w:t>（九）其他</w:t>
      </w:r>
      <w:bookmarkEnd w:id="48"/>
      <w:bookmarkEnd w:id="49"/>
      <w:bookmarkEnd w:id="50"/>
    </w:p>
    <w:bookmarkEnd w:id="51"/>
    <w:bookmarkEnd w:id="52"/>
    <w:bookmarkEnd w:id="53"/>
    <w:p w14:paraId="5970B034">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1、供应商必须在投标文件中对以上条款和服务承诺明确列出，承诺内容必须达到本篇及招标文件其他条款的要求。</w:t>
      </w:r>
    </w:p>
    <w:p w14:paraId="7B0746E2">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2、中标人与采购人签订《协议》后，须与用户方签订《货物采购供应合同》（包括供货范围、需求数量、单价等），明确具体供货数量、供货时间、送达地点等内容。</w:t>
      </w:r>
    </w:p>
    <w:p w14:paraId="3DCF2A4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3、其他未尽事宜由供需双方在采购合同中详细约定。</w:t>
      </w:r>
    </w:p>
    <w:p w14:paraId="0738AD4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 若供应商不能按招标文件规定的交货期正常交货，采购方有权终止采购合同，并将相关情况上报给采购计划主管部门，取消其中标资格。</w:t>
      </w:r>
    </w:p>
    <w:p w14:paraId="160E76CF">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color w:val="auto"/>
          <w:sz w:val="30"/>
          <w:szCs w:val="30"/>
          <w:highlight w:val="none"/>
          <w:lang w:eastAsia="zh-CN"/>
        </w:rPr>
      </w:pPr>
      <w:r>
        <w:rPr>
          <w:rFonts w:hint="eastAsia" w:ascii="仿宋" w:hAnsi="仿宋" w:eastAsia="仿宋" w:cs="仿宋"/>
          <w:color w:val="auto"/>
          <w:highlight w:val="none"/>
          <w:lang w:eastAsia="zh-CN"/>
        </w:rPr>
        <w:t>5、</w:t>
      </w:r>
      <w:r>
        <w:rPr>
          <w:rFonts w:hint="eastAsia" w:ascii="仿宋" w:hAnsi="仿宋" w:eastAsia="仿宋" w:cs="仿宋"/>
          <w:color w:val="auto"/>
          <w:kern w:val="2"/>
          <w:highlight w:val="none"/>
          <w:lang w:eastAsia="zh-CN" w:bidi="ar-SA"/>
        </w:rPr>
        <w:t>其他未尽事宜由供需双方在采购合同中详细约定。</w:t>
      </w:r>
    </w:p>
    <w:p w14:paraId="4476565B">
      <w:pPr>
        <w:spacing w:line="360" w:lineRule="auto"/>
        <w:ind w:firstLine="486" w:firstLineChars="200"/>
        <w:rPr>
          <w:rFonts w:hint="eastAsia" w:ascii="仿宋" w:hAnsi="仿宋" w:eastAsia="仿宋" w:cs="仿宋"/>
          <w:b w:val="0"/>
          <w:color w:val="auto"/>
          <w:kern w:val="2"/>
          <w:sz w:val="24"/>
          <w:szCs w:val="24"/>
          <w:lang w:val="en-US" w:eastAsia="zh-CN" w:bidi="ar-SA"/>
        </w:rPr>
      </w:pPr>
    </w:p>
    <w:p w14:paraId="3034A916">
      <w:pPr>
        <w:spacing w:line="360" w:lineRule="auto"/>
        <w:ind w:firstLine="486" w:firstLineChars="200"/>
        <w:rPr>
          <w:rFonts w:hint="eastAsia" w:ascii="仿宋" w:hAnsi="仿宋" w:eastAsia="仿宋" w:cs="仿宋"/>
          <w:b w:val="0"/>
          <w:color w:val="auto"/>
          <w:kern w:val="2"/>
          <w:sz w:val="24"/>
          <w:szCs w:val="24"/>
          <w:lang w:val="en-US" w:eastAsia="zh-CN" w:bidi="ar-SA"/>
        </w:rPr>
      </w:pPr>
    </w:p>
    <w:p w14:paraId="4E96C2D3">
      <w:pPr>
        <w:spacing w:line="360" w:lineRule="auto"/>
        <w:ind w:firstLine="486" w:firstLineChars="200"/>
        <w:rPr>
          <w:rFonts w:hint="eastAsia" w:ascii="仿宋" w:hAnsi="仿宋" w:eastAsia="仿宋" w:cs="仿宋"/>
          <w:b w:val="0"/>
          <w:color w:val="auto"/>
          <w:kern w:val="2"/>
          <w:sz w:val="24"/>
          <w:szCs w:val="24"/>
          <w:lang w:val="en-US" w:eastAsia="zh-CN" w:bidi="ar-SA"/>
        </w:rPr>
      </w:pPr>
    </w:p>
    <w:p w14:paraId="4ADC6FD9">
      <w:pPr>
        <w:pStyle w:val="25"/>
        <w:rPr>
          <w:rFonts w:hint="eastAsia" w:ascii="仿宋" w:hAnsi="仿宋" w:eastAsia="仿宋" w:cs="仿宋"/>
          <w:b w:val="0"/>
          <w:color w:val="auto"/>
          <w:kern w:val="2"/>
          <w:sz w:val="24"/>
          <w:szCs w:val="24"/>
          <w:lang w:val="en-US" w:eastAsia="zh-CN" w:bidi="ar-SA"/>
        </w:rPr>
      </w:pPr>
    </w:p>
    <w:p w14:paraId="1971C2F2">
      <w:pPr>
        <w:pStyle w:val="25"/>
        <w:rPr>
          <w:rFonts w:hint="eastAsia" w:ascii="仿宋" w:hAnsi="仿宋" w:eastAsia="仿宋" w:cs="仿宋"/>
          <w:b w:val="0"/>
          <w:color w:val="auto"/>
          <w:kern w:val="2"/>
          <w:sz w:val="24"/>
          <w:szCs w:val="24"/>
          <w:lang w:val="en-US" w:eastAsia="zh-CN" w:bidi="ar-SA"/>
        </w:rPr>
      </w:pPr>
    </w:p>
    <w:p w14:paraId="320A2EEF">
      <w:pPr>
        <w:pStyle w:val="25"/>
        <w:rPr>
          <w:rFonts w:hint="eastAsia" w:ascii="仿宋" w:hAnsi="仿宋" w:eastAsia="仿宋" w:cs="仿宋"/>
          <w:b w:val="0"/>
          <w:color w:val="auto"/>
          <w:kern w:val="2"/>
          <w:sz w:val="24"/>
          <w:szCs w:val="24"/>
          <w:lang w:val="en-US" w:eastAsia="zh-CN" w:bidi="ar-SA"/>
        </w:rPr>
      </w:pPr>
    </w:p>
    <w:p w14:paraId="20503DE7">
      <w:pPr>
        <w:pStyle w:val="25"/>
        <w:rPr>
          <w:rFonts w:hint="eastAsia" w:ascii="仿宋" w:hAnsi="仿宋" w:eastAsia="仿宋" w:cs="仿宋"/>
          <w:b w:val="0"/>
          <w:color w:val="auto"/>
          <w:kern w:val="2"/>
          <w:sz w:val="24"/>
          <w:szCs w:val="24"/>
          <w:lang w:val="en-US" w:eastAsia="zh-CN" w:bidi="ar-SA"/>
        </w:rPr>
      </w:pPr>
    </w:p>
    <w:p w14:paraId="45F5B459">
      <w:pPr>
        <w:pStyle w:val="25"/>
        <w:rPr>
          <w:rFonts w:hint="eastAsia" w:ascii="仿宋" w:hAnsi="仿宋" w:eastAsia="仿宋" w:cs="仿宋"/>
          <w:b w:val="0"/>
          <w:color w:val="auto"/>
          <w:kern w:val="2"/>
          <w:sz w:val="24"/>
          <w:szCs w:val="24"/>
          <w:lang w:val="en-US" w:eastAsia="zh-CN" w:bidi="ar-SA"/>
        </w:rPr>
      </w:pPr>
    </w:p>
    <w:bookmarkEnd w:id="47"/>
    <w:p w14:paraId="6B0A6CDA">
      <w:pPr>
        <w:spacing w:line="480" w:lineRule="exact"/>
        <w:jc w:val="center"/>
        <w:outlineLvl w:val="1"/>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第五章 合同条款及格式</w:t>
      </w:r>
      <w:bookmarkStart w:id="54" w:name="_Toc20669"/>
    </w:p>
    <w:p w14:paraId="26284766">
      <w:pPr>
        <w:spacing w:line="480" w:lineRule="exact"/>
        <w:jc w:val="center"/>
        <w:outlineLvl w:val="1"/>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（本合同为合同样稿，最终稿由供需双方协商后确定）</w:t>
      </w:r>
      <w:bookmarkEnd w:id="54"/>
    </w:p>
    <w:p w14:paraId="4D8EF6BA">
      <w:pPr>
        <w:keepNext w:val="0"/>
        <w:keepLines w:val="0"/>
        <w:pageBreakBefore w:val="0"/>
        <w:widowControl/>
        <w:numPr>
          <w:ilvl w:val="0"/>
          <w:numId w:val="6"/>
        </w:numPr>
        <w:kinsoku/>
        <w:wordWrap/>
        <w:overflowPunct/>
        <w:topLinePunct w:val="0"/>
        <w:autoSpaceDE/>
        <w:autoSpaceDN/>
        <w:bidi w:val="0"/>
        <w:adjustRightInd/>
        <w:snapToGrid/>
        <w:spacing w:line="440" w:lineRule="exact"/>
        <w:jc w:val="center"/>
        <w:textAlignment w:val="baseline"/>
        <w:outlineLvl w:val="1"/>
        <w:rPr>
          <w:rFonts w:ascii="宋体"/>
          <w:color w:val="auto"/>
          <w:highlight w:val="none"/>
        </w:rPr>
      </w:pPr>
      <w:r>
        <w:rPr>
          <w:rFonts w:hint="eastAsia" w:ascii="仿宋" w:hAnsi="仿宋" w:eastAsia="仿宋" w:cs="仿宋"/>
          <w:b/>
          <w:color w:val="auto"/>
          <w:sz w:val="30"/>
          <w:szCs w:val="30"/>
          <w:highlight w:val="none"/>
          <w:lang w:eastAsia="zh-CN"/>
        </w:rPr>
        <w:t xml:space="preserve"> </w:t>
      </w:r>
      <w:bookmarkStart w:id="55" w:name="_Toc469495741"/>
      <w:r>
        <w:rPr>
          <w:rFonts w:hint="eastAsia" w:ascii="仿宋" w:hAnsi="仿宋" w:eastAsia="仿宋" w:cs="仿宋"/>
          <w:b/>
          <w:color w:val="auto"/>
          <w:sz w:val="30"/>
          <w:szCs w:val="30"/>
          <w:highlight w:val="none"/>
        </w:rPr>
        <w:t>合同协议书</w:t>
      </w:r>
      <w:bookmarkEnd w:id="55"/>
      <w:r>
        <w:rPr>
          <w:rFonts w:hint="eastAsia" w:ascii="仿宋" w:hAnsi="仿宋" w:eastAsia="仿宋" w:cs="仿宋"/>
          <w:b/>
          <w:color w:val="auto"/>
          <w:sz w:val="30"/>
          <w:szCs w:val="30"/>
          <w:highlight w:val="none"/>
          <w:lang w:eastAsia="zh-CN"/>
        </w:rPr>
        <w:t xml:space="preserve">      </w:t>
      </w:r>
      <w:r>
        <w:rPr>
          <w:rFonts w:hint="eastAsia" w:ascii="仿宋" w:hAnsi="仿宋" w:eastAsia="仿宋" w:cs="仿宋"/>
          <w:b/>
          <w:color w:val="auto"/>
          <w:sz w:val="32"/>
          <w:szCs w:val="32"/>
          <w:highlight w:val="none"/>
        </w:rPr>
        <w:t>合同名称</w:t>
      </w:r>
      <w:r>
        <w:rPr>
          <w:rFonts w:hint="eastAsia" w:ascii="仿宋" w:hAnsi="仿宋" w:eastAsia="仿宋" w:cs="仿宋"/>
          <w:b/>
          <w:color w:val="auto"/>
          <w:highlight w:val="none"/>
        </w:rPr>
        <w:t xml:space="preserve"> </w:t>
      </w:r>
      <w:r>
        <w:rPr>
          <w:rFonts w:hint="eastAsia" w:ascii="宋体"/>
          <w:b/>
          <w:color w:val="auto"/>
          <w:highlight w:val="none"/>
        </w:rPr>
        <w:t xml:space="preserve"> </w:t>
      </w:r>
    </w:p>
    <w:p w14:paraId="02B65D74">
      <w:pPr>
        <w:keepNext w:val="0"/>
        <w:keepLines w:val="0"/>
        <w:pageBreakBefore w:val="0"/>
        <w:widowControl/>
        <w:kinsoku/>
        <w:wordWrap/>
        <w:overflowPunct/>
        <w:topLinePunct w:val="0"/>
        <w:autoSpaceDE/>
        <w:autoSpaceDN/>
        <w:bidi w:val="0"/>
        <w:adjustRightInd/>
        <w:snapToGrid/>
        <w:spacing w:line="440" w:lineRule="exact"/>
        <w:jc w:val="both"/>
        <w:textAlignment w:val="baseline"/>
        <w:outlineLvl w:val="1"/>
        <w:rPr>
          <w:rFonts w:ascii="仿宋" w:hAnsi="仿宋" w:eastAsia="仿宋" w:cs="仿宋"/>
          <w:color w:val="auto"/>
          <w:highlight w:val="none"/>
        </w:rPr>
      </w:pPr>
      <w:r>
        <w:rPr>
          <w:rFonts w:hint="eastAsia" w:ascii="仿宋" w:hAnsi="仿宋" w:eastAsia="仿宋" w:cs="仿宋"/>
          <w:color w:val="auto"/>
          <w:highlight w:val="none"/>
        </w:rPr>
        <w:t>编号</w:t>
      </w:r>
    </w:p>
    <w:p w14:paraId="3D4A8B81">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rPr>
      </w:pPr>
      <w:r>
        <w:rPr>
          <w:rFonts w:hint="eastAsia" w:ascii="仿宋" w:hAnsi="仿宋" w:eastAsia="仿宋" w:cs="仿宋"/>
          <w:color w:val="auto"/>
          <w:highlight w:val="none"/>
        </w:rPr>
        <w:t>买    方：                                   卖    方：</w:t>
      </w:r>
    </w:p>
    <w:p w14:paraId="5DBCAAB7">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rPr>
      </w:pPr>
      <w:r>
        <w:rPr>
          <w:rFonts w:hint="eastAsia" w:ascii="仿宋" w:hAnsi="仿宋" w:eastAsia="仿宋" w:cs="仿宋"/>
          <w:color w:val="auto"/>
          <w:highlight w:val="none"/>
        </w:rPr>
        <w:t>电    话：                                   电    话：</w:t>
      </w:r>
    </w:p>
    <w:p w14:paraId="74667B02">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rPr>
      </w:pPr>
      <w:r>
        <w:rPr>
          <w:rFonts w:hint="eastAsia" w:ascii="仿宋" w:hAnsi="仿宋" w:eastAsia="仿宋" w:cs="仿宋"/>
          <w:color w:val="auto"/>
          <w:highlight w:val="none"/>
        </w:rPr>
        <w:t xml:space="preserve">住    所：                                   住    所：                       </w:t>
      </w:r>
    </w:p>
    <w:p w14:paraId="2BF6291C">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（买方）</w:t>
      </w:r>
      <w:r>
        <w:rPr>
          <w:rFonts w:hint="eastAsia" w:ascii="仿宋" w:hAnsi="仿宋" w:eastAsia="仿宋" w:cs="仿宋"/>
          <w:color w:val="auto"/>
          <w:highlight w:val="none"/>
          <w:lang w:eastAsia="zh-CN"/>
        </w:rPr>
        <w:t>的</w:t>
      </w:r>
      <w:r>
        <w:rPr>
          <w:rFonts w:hint="eastAsia" w:ascii="仿宋" w:hAnsi="仿宋" w:eastAsia="仿宋" w:cs="仿宋"/>
          <w:color w:val="auto"/>
          <w:highlight w:val="none"/>
          <w:u w:val="single"/>
          <w:lang w:eastAsia="zh-CN"/>
        </w:rPr>
        <w:t>（项目名称）</w:t>
      </w:r>
      <w:r>
        <w:rPr>
          <w:rFonts w:hint="eastAsia" w:ascii="仿宋" w:hAnsi="仿宋" w:eastAsia="仿宋" w:cs="仿宋"/>
          <w:color w:val="auto"/>
          <w:highlight w:val="none"/>
          <w:lang w:eastAsia="zh-CN"/>
        </w:rPr>
        <w:t>中所需</w:t>
      </w:r>
      <w:r>
        <w:rPr>
          <w:rFonts w:hint="eastAsia" w:ascii="仿宋" w:hAnsi="仿宋" w:eastAsia="仿宋" w:cs="仿宋"/>
          <w:color w:val="auto"/>
          <w:highlight w:val="none"/>
          <w:u w:val="single"/>
          <w:lang w:eastAsia="zh-CN"/>
        </w:rPr>
        <w:t>（产品名称）</w:t>
      </w:r>
      <w:r>
        <w:rPr>
          <w:rFonts w:hint="eastAsia" w:ascii="仿宋" w:hAnsi="仿宋" w:eastAsia="仿宋" w:cs="仿宋"/>
          <w:color w:val="auto"/>
          <w:highlight w:val="none"/>
          <w:lang w:eastAsia="zh-CN"/>
        </w:rPr>
        <w:t xml:space="preserve"> 经公开招标，确定</w:t>
      </w:r>
      <w:r>
        <w:rPr>
          <w:rFonts w:hint="eastAsia" w:ascii="仿宋" w:hAnsi="仿宋" w:eastAsia="仿宋" w:cs="仿宋"/>
          <w:color w:val="auto"/>
          <w:highlight w:val="none"/>
          <w:u w:val="single"/>
          <w:lang w:eastAsia="zh-CN"/>
        </w:rPr>
        <w:t>（卖方）</w:t>
      </w:r>
      <w:r>
        <w:rPr>
          <w:rFonts w:hint="eastAsia" w:ascii="仿宋" w:hAnsi="仿宋" w:eastAsia="仿宋" w:cs="仿宋"/>
          <w:color w:val="auto"/>
          <w:highlight w:val="none"/>
          <w:lang w:eastAsia="zh-CN"/>
        </w:rPr>
        <w:t>为中标人。按照中华人民共和国民法典的规定，买卖双方同意按照下述的条款和条件，签署本合同。</w:t>
      </w:r>
    </w:p>
    <w:p w14:paraId="66C08769">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1、本合同文件</w:t>
      </w:r>
    </w:p>
    <w:p w14:paraId="683BF75D">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下列每一文件均应作为合同的组成部分进行阅读和解释：</w:t>
      </w:r>
    </w:p>
    <w:p w14:paraId="1A5EB811">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（1）采购文件（2）投标文件（3）中标通知书</w:t>
      </w:r>
    </w:p>
    <w:p w14:paraId="45512CAE">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（4）经双方确认进入合同的其它文件、补充条款或说明</w:t>
      </w:r>
    </w:p>
    <w:p w14:paraId="620C7D37">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2、采购标的、数量、质量要求</w:t>
      </w:r>
    </w:p>
    <w:p w14:paraId="773755AB">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3、合同总价</w:t>
      </w:r>
    </w:p>
    <w:p w14:paraId="40C53450">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合同总价为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元人民币。</w:t>
      </w:r>
    </w:p>
    <w:p w14:paraId="67ED3B84">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val="0"/>
          <w:bCs w:val="0"/>
          <w:color w:val="auto"/>
          <w:highlight w:val="none"/>
          <w:lang w:eastAsia="zh-CN"/>
        </w:rPr>
      </w:pPr>
      <w:r>
        <w:rPr>
          <w:rFonts w:hint="eastAsia" w:ascii="仿宋" w:hAnsi="仿宋" w:eastAsia="仿宋" w:cs="仿宋"/>
          <w:color w:val="auto"/>
          <w:highlight w:val="none"/>
          <w:lang w:eastAsia="zh-CN"/>
        </w:rPr>
        <w:t>4、付款方式</w:t>
      </w:r>
      <w:r>
        <w:rPr>
          <w:rFonts w:hint="eastAsia" w:ascii="仿宋" w:hAnsi="仿宋" w:eastAsia="仿宋" w:cs="仿宋"/>
          <w:b/>
          <w:bCs/>
          <w:color w:val="auto"/>
          <w:highlight w:val="none"/>
          <w:lang w:eastAsia="zh-CN"/>
        </w:rPr>
        <w:t>：</w:t>
      </w:r>
    </w:p>
    <w:p w14:paraId="3BD0A197">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5、合同供货（服务）期限及地点和方式</w:t>
      </w:r>
    </w:p>
    <w:p w14:paraId="4C326D61">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6、验收要求及违约责任</w:t>
      </w:r>
    </w:p>
    <w:p w14:paraId="2E3F8814">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7、违约责任及解决争议方法</w:t>
      </w:r>
    </w:p>
    <w:p w14:paraId="2AD776CF">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8、合同的生效</w:t>
      </w:r>
    </w:p>
    <w:p w14:paraId="7C368280">
      <w:pPr>
        <w:pStyle w:val="8"/>
        <w:spacing w:after="0" w:line="42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合同经双方授权代表签署，买卖双方加盖印章之后生效。</w:t>
      </w:r>
    </w:p>
    <w:p w14:paraId="613173DF">
      <w:pPr>
        <w:pStyle w:val="8"/>
        <w:spacing w:after="0" w:line="42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本合同一式     份，双方各执     份。</w:t>
      </w:r>
    </w:p>
    <w:p w14:paraId="06760A4B">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买  方：                            卖  方：</w:t>
      </w:r>
    </w:p>
    <w:p w14:paraId="2938F5E0">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名  称：（盖章）                    名  称：（盖章）</w:t>
      </w:r>
    </w:p>
    <w:p w14:paraId="4397A592">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法定代表人（或委托代理人签章）：    法定代表人（或委托代理人签章）：</w:t>
      </w:r>
    </w:p>
    <w:p w14:paraId="3C950FBC">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地    址：                          地    址：</w:t>
      </w:r>
    </w:p>
    <w:p w14:paraId="59980A9C">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邮政编码：                          邮政编码：</w:t>
      </w:r>
    </w:p>
    <w:p w14:paraId="31AFC056">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电    话：                          电    话：</w:t>
      </w:r>
    </w:p>
    <w:p w14:paraId="288CB481">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开户银行：                          开户银行：</w:t>
      </w:r>
    </w:p>
    <w:p w14:paraId="218BEC6A">
      <w:pPr>
        <w:pStyle w:val="8"/>
        <w:spacing w:after="0" w:line="360" w:lineRule="exact"/>
        <w:ind w:left="0" w:leftChars="0" w:firstLine="486" w:firstLineChars="200"/>
        <w:rPr>
          <w:rFonts w:ascii="仿宋" w:hAnsi="仿宋" w:eastAsia="仿宋" w:cs="仿宋"/>
          <w:b/>
          <w:color w:val="auto"/>
          <w:sz w:val="30"/>
          <w:szCs w:val="30"/>
          <w:highlight w:val="none"/>
          <w:lang w:eastAsia="zh-CN"/>
        </w:rPr>
      </w:pPr>
      <w:r>
        <w:rPr>
          <w:rFonts w:hint="eastAsia" w:ascii="仿宋" w:hAnsi="仿宋" w:eastAsia="仿宋" w:cs="仿宋"/>
          <w:color w:val="auto"/>
          <w:highlight w:val="none"/>
          <w:u w:color="000000"/>
          <w:lang w:eastAsia="zh-CN"/>
        </w:rPr>
        <w:t>帐    号：                          帐    号：</w:t>
      </w:r>
    </w:p>
    <w:p w14:paraId="200B21A3">
      <w:pPr>
        <w:keepNext w:val="0"/>
        <w:keepLines w:val="0"/>
        <w:widowControl/>
        <w:suppressLineNumbers w:val="0"/>
        <w:jc w:val="center"/>
        <w:rPr>
          <w:rFonts w:hint="default" w:eastAsia="浠垮畫" w:cs="浠垮畫" w:asciiTheme="minorAscii" w:hAnsiTheme="minorAscii"/>
          <w:b/>
          <w:bCs/>
          <w:color w:val="000000"/>
          <w:kern w:val="0"/>
          <w:sz w:val="30"/>
          <w:szCs w:val="30"/>
          <w:lang w:val="en-US" w:eastAsia="zh-CN" w:bidi="ar"/>
        </w:rPr>
      </w:pPr>
    </w:p>
    <w:p w14:paraId="594AA9E7">
      <w:pPr>
        <w:pStyle w:val="8"/>
        <w:spacing w:after="0" w:line="420" w:lineRule="exact"/>
        <w:ind w:left="0" w:leftChars="0" w:firstLine="606" w:firstLineChars="200"/>
        <w:jc w:val="center"/>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二  合同条款</w:t>
      </w:r>
    </w:p>
    <w:p w14:paraId="0B298F05">
      <w:pPr>
        <w:spacing w:line="440" w:lineRule="exact"/>
        <w:rPr>
          <w:rFonts w:ascii="仿宋" w:hAnsi="仿宋" w:eastAsia="仿宋" w:cs="仿宋"/>
          <w:b/>
          <w:color w:val="auto"/>
          <w:szCs w:val="21"/>
          <w:highlight w:val="none"/>
        </w:rPr>
      </w:pPr>
      <w:r>
        <w:rPr>
          <w:rFonts w:hint="eastAsia" w:ascii="仿宋" w:hAnsi="仿宋" w:eastAsia="仿宋" w:cs="仿宋"/>
          <w:b/>
          <w:color w:val="auto"/>
          <w:szCs w:val="21"/>
          <w:highlight w:val="none"/>
        </w:rPr>
        <w:t>一.合同文件</w:t>
      </w:r>
    </w:p>
    <w:p w14:paraId="3C261CB2">
      <w:pPr>
        <w:spacing w:line="44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1、合同文件适用法律</w:t>
      </w:r>
    </w:p>
    <w:p w14:paraId="2B68A074">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适用于合同文件的法律是中华人民共和国现行法律、法规及招标人所在地的地方性法规。</w:t>
      </w:r>
    </w:p>
    <w:p w14:paraId="6AD1FC0E">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2、合同文件组成和解释顺序</w:t>
      </w:r>
    </w:p>
    <w:p w14:paraId="6294C6BE">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(1)合同文件的组成和解释顺序如下：</w:t>
      </w:r>
    </w:p>
    <w:p w14:paraId="51BB05CC">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&lt;1&gt;合同的主要条款；</w:t>
      </w:r>
    </w:p>
    <w:p w14:paraId="5299D756">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&lt;2&gt;合同的一般性条款；</w:t>
      </w:r>
    </w:p>
    <w:p w14:paraId="3A79CB65">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&lt;3&gt;洽商、变更等明确双方权利义务的纪要、协议；</w:t>
      </w:r>
    </w:p>
    <w:p w14:paraId="31968224">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&lt;4&gt;中标通知书、投标文件和采购文件；</w:t>
      </w:r>
    </w:p>
    <w:p w14:paraId="7D9EB2CF">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&lt;5&gt;有关图纸、标准、规范和其它有关技术资料、技术要求。</w:t>
      </w:r>
    </w:p>
    <w:p w14:paraId="6B27D5CB">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&lt;6&gt;合同的主要条款的效力优于合同的一般性条款的效力。</w:t>
      </w:r>
    </w:p>
    <w:p w14:paraId="04D7747B">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3、合同文件使用文字</w:t>
      </w:r>
    </w:p>
    <w:p w14:paraId="28E12EAA">
      <w:pPr>
        <w:pStyle w:val="5"/>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(1)合同文件使用中文书写、解释和说明。</w:t>
      </w:r>
    </w:p>
    <w:p w14:paraId="0FFB88A1">
      <w:pPr>
        <w:pStyle w:val="5"/>
        <w:overflowPunct w:val="0"/>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(2)合同文件使用技术性条款约定的为国家标准和规范；国家没有相应标准、规范时，可使用行业标准、规范。非标货物应按约定的技术性条款的标准和规范。 </w:t>
      </w:r>
    </w:p>
    <w:p w14:paraId="386CB65B">
      <w:pPr>
        <w:spacing w:line="440" w:lineRule="exact"/>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二.标的物的一般条款</w:t>
      </w:r>
    </w:p>
    <w:p w14:paraId="08E8F9EC">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4、完整物权</w:t>
      </w:r>
    </w:p>
    <w:p w14:paraId="39477DC7">
      <w:pPr>
        <w:tabs>
          <w:tab w:val="left" w:pos="660"/>
        </w:tabs>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对于出卖的标的物，卖方应当拥有完整物权，并且卖方负有保证第三人不得向买方主张任何权利（包括知识产权）的义务。</w:t>
      </w:r>
    </w:p>
    <w:p w14:paraId="09B4D390">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5、质量保证</w:t>
      </w:r>
    </w:p>
    <w:p w14:paraId="34A18865">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14:paraId="37A0D442">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14:paraId="6C3C1B0E">
      <w:pPr>
        <w:pStyle w:val="5"/>
        <w:tabs>
          <w:tab w:val="left" w:pos="900"/>
        </w:tabs>
        <w:overflowPunct w:val="0"/>
        <w:spacing w:line="440" w:lineRule="exact"/>
        <w:rPr>
          <w:rFonts w:cs="宋体"/>
          <w:color w:val="auto"/>
          <w:sz w:val="21"/>
          <w:szCs w:val="21"/>
          <w:highlight w:val="none"/>
          <w:u w:color="000000"/>
          <w:lang w:eastAsia="zh-CN"/>
        </w:rPr>
      </w:pPr>
      <w:r>
        <w:rPr>
          <w:rFonts w:hint="eastAsia" w:ascii="仿宋" w:hAnsi="仿宋" w:eastAsia="仿宋" w:cs="仿宋"/>
          <w:color w:val="auto"/>
          <w:szCs w:val="24"/>
          <w:highlight w:val="none"/>
          <w:u w:color="000000"/>
          <w:lang w:eastAsia="zh-CN"/>
        </w:rPr>
        <w:t>(3)除合同主要条款规定外，合同条款中标的物的质量保证期均自标的物通过最终验收之日起计算，且质量保证期按不低于国家标准和卖方承诺的高于国家标准的质保期（卖方有特殊要求的除</w:t>
      </w:r>
      <w:r>
        <w:rPr>
          <w:rFonts w:hint="eastAsia" w:cs="宋体"/>
          <w:color w:val="auto"/>
          <w:sz w:val="21"/>
          <w:szCs w:val="21"/>
          <w:highlight w:val="none"/>
          <w:u w:color="000000"/>
          <w:lang w:eastAsia="zh-CN"/>
        </w:rPr>
        <w:t>外）。</w:t>
      </w:r>
    </w:p>
    <w:p w14:paraId="1E3BCCB7">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6、包装</w:t>
      </w:r>
    </w:p>
    <w:p w14:paraId="4B3AC331">
      <w:pPr>
        <w:pStyle w:val="5"/>
        <w:tabs>
          <w:tab w:val="left" w:pos="900"/>
        </w:tabs>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卖方应当按照约定的包装方式交付标的物。对包装方式没有约定或者约定不明确的，应当按照双方补充协议约定的方式包装，或者按照通用的方式包装，没有通用方式的，应当采取足以保护标的物的包装方式。</w:t>
      </w:r>
    </w:p>
    <w:p w14:paraId="52E8F0D6">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7、伴随服务</w:t>
      </w:r>
    </w:p>
    <w:p w14:paraId="7E08A762">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(1)卖方除应履行按期按量交付合格标的物的义务之外，还应提供下列服务：</w:t>
      </w:r>
    </w:p>
    <w:p w14:paraId="727C8611">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&lt;1&gt;标的物的现场安装或指导安装、启动、调试、监督（如果必须安装、调试的话）；</w:t>
      </w:r>
    </w:p>
    <w:p w14:paraId="54AE17C6">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&lt;2&gt;提供标的物组装和一般维修所必须的工具；</w:t>
      </w:r>
    </w:p>
    <w:p w14:paraId="3F8FC24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&lt;3&gt;在合同规定的期限内对所提供标的物实行运行监督、维修服务的前提条件是该服务并不能免除卖方在质量保证期内所承担的义务；</w:t>
      </w:r>
    </w:p>
    <w:p w14:paraId="55DB420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&lt;4&gt;对买方技术人员的技术指导或培训。</w:t>
      </w:r>
    </w:p>
    <w:p w14:paraId="66F6AF7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(2)除合同另有规定之外，伴随服务的费用均已含在合同价款中，买方不再另行进行支付。</w:t>
      </w:r>
    </w:p>
    <w:p w14:paraId="06F6570A">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三.标的物的交付、检验和验收</w:t>
      </w:r>
    </w:p>
    <w:p w14:paraId="49FDF08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8、标的物的交付</w:t>
      </w:r>
    </w:p>
    <w:p w14:paraId="40B53E15">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(1)标的物的所有权自标的物交付时转移。</w:t>
      </w:r>
    </w:p>
    <w:p w14:paraId="3F80D579">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(2)卖方应当按照约定的期限和约定的地点交付符合采购文件要求的标的物。</w:t>
      </w:r>
    </w:p>
    <w:p w14:paraId="55196000">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(3)卖方应当按照约定或者交易习惯向招标人交付提取标的物单证以外的有关单证和资料。</w:t>
      </w:r>
    </w:p>
    <w:p w14:paraId="29069D54">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9、检验和验收</w:t>
      </w:r>
    </w:p>
    <w:p w14:paraId="414F6748">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在交货时，卖方应配合买方对标的物的质量、规格、性能、数量等进行详细而全面的检验，并出具一份合格检验证明，合格检验证明作为验收的依据，但不能作为有关标的物质量、规格、数量或性能的最终检验结果。</w:t>
      </w:r>
    </w:p>
    <w:p w14:paraId="247AA2A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(2)买方根据合同规定的内容和验收标准进行验收，经检验无误后出具验收合格证明，该证明作为最终付款所需文件的组成部分。</w:t>
      </w:r>
    </w:p>
    <w:p w14:paraId="01D45524">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(3)验收期限自标的物交付之日起三十天内。特殊情况需延长的，双方应在合同条款中约定。</w:t>
      </w:r>
    </w:p>
    <w:p w14:paraId="4A11B24F">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四.对标的物提出异议的时间和办法</w:t>
      </w:r>
    </w:p>
    <w:p w14:paraId="22E98403">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10、对标的物提出异议的时间和办法 </w:t>
      </w:r>
    </w:p>
    <w:p w14:paraId="75858DB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(1)买方在验收过程中，应当于双方约定的检验期间内将标的物的数量或质量不符合约定的情形及处理方式以书面形式通知卖方。</w:t>
      </w:r>
    </w:p>
    <w:p w14:paraId="5FE25DE2">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(2)如买方在验收期满后既不出具验收合格证明又未提出书面异议的视为卖方所交标的物符合合同规定。</w:t>
      </w:r>
    </w:p>
    <w:p w14:paraId="6C2CC809">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(3)卖方应在收到买方书面异议后七天内负责处理问题，否则将视为默认买方提出的异议和处理意见。</w:t>
      </w:r>
    </w:p>
    <w:p w14:paraId="3B7B9499">
      <w:pPr>
        <w:spacing w:line="440" w:lineRule="exact"/>
        <w:rPr>
          <w:rFonts w:ascii="仿宋" w:hAnsi="仿宋" w:eastAsia="仿宋" w:cs="仿宋"/>
          <w:b/>
          <w:color w:val="auto"/>
          <w:highlight w:val="none"/>
        </w:rPr>
      </w:pPr>
      <w:r>
        <w:rPr>
          <w:rFonts w:hint="eastAsia" w:ascii="仿宋" w:hAnsi="仿宋" w:eastAsia="仿宋" w:cs="仿宋"/>
          <w:b/>
          <w:color w:val="auto"/>
          <w:highlight w:val="none"/>
        </w:rPr>
        <w:t>五.合同价款和支付</w:t>
      </w:r>
    </w:p>
    <w:p w14:paraId="25A24A0F">
      <w:pPr>
        <w:spacing w:line="440" w:lineRule="exact"/>
        <w:rPr>
          <w:rFonts w:ascii="仿宋" w:hAnsi="仿宋" w:eastAsia="仿宋" w:cs="仿宋"/>
          <w:color w:val="auto"/>
          <w:highlight w:val="none"/>
        </w:rPr>
      </w:pPr>
      <w:r>
        <w:rPr>
          <w:rFonts w:hint="eastAsia" w:ascii="仿宋" w:hAnsi="仿宋" w:eastAsia="仿宋" w:cs="仿宋"/>
          <w:color w:val="auto"/>
          <w:highlight w:val="none"/>
        </w:rPr>
        <w:t>11、合同价款和支付</w:t>
      </w:r>
    </w:p>
    <w:p w14:paraId="7D016606">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(1)本合同的结算货币为人民币，单位元。</w:t>
      </w:r>
    </w:p>
    <w:p w14:paraId="2DABD5E4">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(2)卖方应按照双方签订的合同规定交货并在合同主要条款规定的期限内持下列单据结算货款：</w:t>
      </w:r>
    </w:p>
    <w:p w14:paraId="4322696E">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&lt;1&gt;合格的销售发票；</w:t>
      </w:r>
    </w:p>
    <w:p w14:paraId="0EF00D94">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&lt;2&gt;买方盖章签收后的送货回单和验收合格证明。</w:t>
      </w:r>
    </w:p>
    <w:p w14:paraId="7166ECF4">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(3)买方应按合同主要条款规定的期限和方式付款。</w:t>
      </w:r>
    </w:p>
    <w:p w14:paraId="0E331D9B">
      <w:pPr>
        <w:pStyle w:val="5"/>
        <w:tabs>
          <w:tab w:val="left" w:pos="540"/>
        </w:tabs>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(4)根据现行税法对买方征收的与本合同有关的一切税费均由买方承担；根据现行税法对卖方征收的与本合同有关的一切税费均由卖方承担。</w:t>
      </w:r>
    </w:p>
    <w:p w14:paraId="735ACE0C">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六.违约责任</w:t>
      </w:r>
    </w:p>
    <w:p w14:paraId="56891FA2">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12、违约责任</w:t>
      </w:r>
    </w:p>
    <w:p w14:paraId="64DC17D3">
      <w:pPr>
        <w:pStyle w:val="5"/>
        <w:spacing w:line="440" w:lineRule="exact"/>
        <w:ind w:firstLine="486" w:firstLineChars="200"/>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合同一方不履行合同义务或者履行合同义务不符合约定的，应当承担继续履行、采取补救措施或者赔偿损失等违约责任。</w:t>
      </w:r>
    </w:p>
    <w:p w14:paraId="2636CCEB">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13、买方违约责任</w:t>
      </w:r>
    </w:p>
    <w:p w14:paraId="7452373A">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(1)在合同生效后，买方要求退货的，应向卖方偿付合同总价款的5%，作为违约金，违约金不足以补偿损失的，卖方有权要求甲方补足。</w:t>
      </w:r>
    </w:p>
    <w:p w14:paraId="47646EE2">
      <w:pPr>
        <w:pStyle w:val="5"/>
        <w:overflowPunct w:val="0"/>
        <w:spacing w:line="440" w:lineRule="exact"/>
        <w:ind w:right="-386" w:rightChars="-159"/>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(2)买方逾期付款的应按照逾期付款金额的每天万分之四支付逾期付款违约金。</w:t>
      </w:r>
    </w:p>
    <w:p w14:paraId="0ED3E5AB">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(3)买方违反合同规定，拒绝接收卖方交付的符合采购文件要求的合格标的物，应当承担卖方由此造成的损失。</w:t>
      </w:r>
    </w:p>
    <w:p w14:paraId="6DABF778">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14、卖方违约责任</w:t>
      </w:r>
    </w:p>
    <w:p w14:paraId="52EF08ED">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(1)卖方不能交货（逾期超过五天视为不能交货），或交货不合格从而影响买方按期正常使用的，应向买方偿付合同总价款5%的违约金，违约金不足以补偿损失的，买方有权要求卖方补足。</w:t>
      </w:r>
    </w:p>
    <w:p w14:paraId="590C047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(2)卖方逾期交货的，应在发货前与买方和政府采购管理部门协商，买方仍需求的，卖方应立即发货并应按照逾期交货部分货款的每天万分之四支付逾期交货违约金，同时承担买方因此遭致的损失费用。</w:t>
      </w:r>
    </w:p>
    <w:p w14:paraId="610BF994">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15、不可抗力</w:t>
      </w:r>
    </w:p>
    <w:p w14:paraId="6C81743E">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(1)因水灾、火灾、地震、战争等不可抗力不能履行合同的，根据不可抗力的影响，部分或者全部免除责任。但合同一方迟延履行后发生不可抗力的，不能免除责任。</w:t>
      </w:r>
    </w:p>
    <w:p w14:paraId="225D40CE">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(2)合同一方因不可抗力不能履行合同的，应当及时通知对方，以减轻可能给对方造成的损失，并应当在合理期限内提供证明。</w:t>
      </w:r>
    </w:p>
    <w:p w14:paraId="2AB8FE49">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七.索赔</w:t>
      </w:r>
    </w:p>
    <w:p w14:paraId="35596FBC">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16、索赔</w:t>
      </w:r>
    </w:p>
    <w:p w14:paraId="54DAC3EB">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(1)买方有权根据当地产品质量检验机构或其它有权威部门出具的检验证书向卖方提出索赔。</w:t>
      </w:r>
    </w:p>
    <w:p w14:paraId="43505BF0">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(2)在本合同规定的检验期和质量保证期内，如果卖方对买方提出的索赔或差异有责任，则卖方应按买方同意的下列一种或多种方式解决索赔事宜：</w:t>
      </w:r>
    </w:p>
    <w:p w14:paraId="28639F09">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&lt;1&gt;卖方同意退货，并按合同规定的货币将货款退还给买方，并承担由此发生的一切损失和费用，包括利息、银行手续费、运费、保险费、检验费、仓储费、装卸费以及为保护退回标的物所需的其它必要费用；</w:t>
      </w:r>
    </w:p>
    <w:p w14:paraId="71385714">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&lt;2&gt;根据标的物的低劣程度、损坏程度以及甲方遭受损失的数额，经双方协商确定降低标的物的价格；</w:t>
      </w:r>
    </w:p>
    <w:p w14:paraId="2BF46271">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14:paraId="50CA92EE">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如果在买方发出索赔通知后七天内，卖方未能答复，上述索赔应视为已被卖方接受。若卖方未在买方提出索赔通知后七天内或买方同意的更长时间内，按照合同规定的任何一种方法解决索赔事宜，买方将从未付款或卖方开具的履约保证金中扣回索赔金额，如果这些金额不足以补偿索赔金额，买方有权向卖方提出对不足部分的补偿。</w:t>
      </w:r>
    </w:p>
    <w:p w14:paraId="341FB467">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(4)买方提出索赔的书面材料应报当地政府采购管理部门备案。卖方同意的索赔方案应报当地政府采购管理部门审核。</w:t>
      </w:r>
    </w:p>
    <w:p w14:paraId="7F21E6DF">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八.履约保证金</w:t>
      </w:r>
    </w:p>
    <w:p w14:paraId="60E6555B">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17、履约保证金</w:t>
      </w:r>
    </w:p>
    <w:p w14:paraId="3219B1C9">
      <w:pPr>
        <w:pStyle w:val="5"/>
        <w:overflowPunct w:val="0"/>
        <w:spacing w:line="440" w:lineRule="exact"/>
        <w:ind w:firstLine="607" w:firstLineChars="250"/>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(1)卖方应在本合同签订时，按采购文件的约定提供相应的履约保证金，保证金的有效期应不低于合同有效期。</w:t>
      </w:r>
    </w:p>
    <w:p w14:paraId="3132885F">
      <w:pPr>
        <w:pStyle w:val="5"/>
        <w:overflowPunct w:val="0"/>
        <w:spacing w:line="440" w:lineRule="exact"/>
        <w:ind w:right="-386" w:rightChars="-159"/>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(2)如果卖方未能履行合同规定的任何义务，买方有权从履约保证金中取得补偿。</w:t>
      </w:r>
    </w:p>
    <w:p w14:paraId="566FC14E">
      <w:pPr>
        <w:pStyle w:val="5"/>
        <w:overflowPunct w:val="0"/>
        <w:spacing w:line="440" w:lineRule="exact"/>
        <w:ind w:right="-1010" w:rightChars="-416"/>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(3)履约保证金（无息）将在卖方履行完合同义务，买方支付合同价款的五天内</w:t>
      </w:r>
    </w:p>
    <w:p w14:paraId="108692B9">
      <w:pPr>
        <w:pStyle w:val="5"/>
        <w:overflowPunct w:val="0"/>
        <w:spacing w:line="440" w:lineRule="exact"/>
        <w:ind w:right="-1010" w:rightChars="-416" w:firstLine="0"/>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退回。</w:t>
      </w:r>
    </w:p>
    <w:p w14:paraId="6369611C">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九.合同的解除和转让</w:t>
      </w:r>
    </w:p>
    <w:p w14:paraId="4EB17F18">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18、合同的解除</w:t>
      </w:r>
    </w:p>
    <w:p w14:paraId="7D3F3B9A">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(1)买方和卖方协商一致，可以解除合同。</w:t>
      </w:r>
    </w:p>
    <w:p w14:paraId="68449F88">
      <w:pPr>
        <w:pStyle w:val="5"/>
        <w:spacing w:line="440" w:lineRule="exact"/>
        <w:rPr>
          <w:rFonts w:ascii="仿宋" w:hAnsi="仿宋" w:eastAsia="仿宋" w:cs="仿宋"/>
          <w:color w:val="auto"/>
          <w:szCs w:val="24"/>
          <w:highlight w:val="none"/>
          <w:u w:color="000000"/>
        </w:rPr>
      </w:pPr>
      <w:r>
        <w:rPr>
          <w:rFonts w:hint="eastAsia" w:ascii="仿宋" w:hAnsi="仿宋" w:eastAsia="仿宋" w:cs="仿宋"/>
          <w:color w:val="auto"/>
          <w:szCs w:val="24"/>
          <w:highlight w:val="none"/>
          <w:u w:color="000000"/>
        </w:rPr>
        <w:t>(2)有下列情形之一，合同一方可以解除合同：</w:t>
      </w:r>
    </w:p>
    <w:p w14:paraId="08ABFB1D">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&lt;1&gt;因不可抗力致使不能实现合同目的，未受不可抗力影响的一方有权解除合同；</w:t>
      </w:r>
    </w:p>
    <w:p w14:paraId="60041EEB">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&lt;2&gt;因合同一方违约导致合同不能履行，另一方有权解除合同。</w:t>
      </w:r>
    </w:p>
    <w:p w14:paraId="75F4250D">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(3)有权解除合同的一方，应当在违约事实或不可抗力发生之后三十天内书面通知对方以主张解除合同，合同在书面通知到达对方时解除。</w:t>
      </w:r>
    </w:p>
    <w:p w14:paraId="1C294D32">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19、合同的转让</w:t>
      </w:r>
    </w:p>
    <w:p w14:paraId="183A87E8">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合同的部分和全部都不得转让。</w:t>
      </w:r>
    </w:p>
    <w:p w14:paraId="1DE2FD5F">
      <w:pPr>
        <w:spacing w:line="440" w:lineRule="exact"/>
        <w:rPr>
          <w:rFonts w:ascii="仿宋" w:hAnsi="仿宋" w:eastAsia="仿宋" w:cs="仿宋"/>
          <w:b/>
          <w:color w:val="auto"/>
          <w:highlight w:val="none"/>
        </w:rPr>
      </w:pPr>
      <w:r>
        <w:rPr>
          <w:rFonts w:hint="eastAsia" w:ascii="仿宋" w:hAnsi="仿宋" w:eastAsia="仿宋" w:cs="仿宋"/>
          <w:b/>
          <w:color w:val="auto"/>
          <w:highlight w:val="none"/>
        </w:rPr>
        <w:t>十.合同的生效</w:t>
      </w:r>
    </w:p>
    <w:p w14:paraId="7DB55808">
      <w:pPr>
        <w:spacing w:line="440" w:lineRule="exact"/>
        <w:rPr>
          <w:rFonts w:ascii="仿宋" w:hAnsi="仿宋" w:eastAsia="仿宋" w:cs="仿宋"/>
          <w:color w:val="auto"/>
          <w:highlight w:val="none"/>
        </w:rPr>
      </w:pPr>
      <w:r>
        <w:rPr>
          <w:rFonts w:hint="eastAsia" w:ascii="仿宋" w:hAnsi="仿宋" w:eastAsia="仿宋" w:cs="仿宋"/>
          <w:color w:val="auto"/>
          <w:highlight w:val="none"/>
        </w:rPr>
        <w:t>20</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合同的生效</w:t>
      </w:r>
    </w:p>
    <w:p w14:paraId="1BFCC7A2">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本合同在双方签字盖章并在招标人收到中标人提交的履约保证金后，经招标采购管理部门备案后生效。</w:t>
      </w:r>
    </w:p>
    <w:p w14:paraId="630A5BD7">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十一. 争议解决</w:t>
      </w:r>
    </w:p>
    <w:p w14:paraId="5BF6A657">
      <w:pPr>
        <w:spacing w:line="440" w:lineRule="exact"/>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21、争议解决</w:t>
      </w:r>
    </w:p>
    <w:p w14:paraId="587C83A2">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 xml:space="preserve"> 买卖双方因合同发生争议，进行调解，协商不成，可选择：</w:t>
      </w:r>
    </w:p>
    <w:p w14:paraId="65009EC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(1)双方同时申请仲裁；</w:t>
      </w:r>
    </w:p>
    <w:p w14:paraId="31EE16D2">
      <w:pPr>
        <w:pStyle w:val="5"/>
        <w:tabs>
          <w:tab w:val="left" w:pos="900"/>
        </w:tabs>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(2)向买方所在地人民法院提起诉讼。</w:t>
      </w:r>
    </w:p>
    <w:p w14:paraId="71E581DC">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十二 .附则</w:t>
      </w:r>
    </w:p>
    <w:p w14:paraId="5D478670">
      <w:pPr>
        <w:spacing w:line="440" w:lineRule="exact"/>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22、合同份数。</w:t>
      </w:r>
    </w:p>
    <w:p w14:paraId="440C14C1">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lang w:eastAsia="zh-CN"/>
        </w:rPr>
        <w:tab/>
      </w:r>
      <w:r>
        <w:rPr>
          <w:rFonts w:hint="eastAsia" w:ascii="仿宋" w:hAnsi="仿宋" w:eastAsia="仿宋" w:cs="仿宋"/>
          <w:color w:val="auto"/>
          <w:highlight w:val="none"/>
          <w:lang w:eastAsia="zh-CN"/>
        </w:rPr>
        <w:t xml:space="preserve"> 本合同一式陆份，买卖双方各执二份，招标代理机构一份，招标采购管理部门一份。</w:t>
      </w:r>
    </w:p>
    <w:p w14:paraId="5D4D18F7">
      <w:pPr>
        <w:spacing w:line="440" w:lineRule="exact"/>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23、未尽事宜</w:t>
      </w:r>
    </w:p>
    <w:p w14:paraId="77BFCDF5">
      <w:pPr>
        <w:spacing w:line="440" w:lineRule="exact"/>
        <w:ind w:firstLine="607" w:firstLineChars="250"/>
        <w:rPr>
          <w:rFonts w:ascii="仿宋" w:hAnsi="仿宋" w:eastAsia="仿宋" w:cs="仿宋"/>
          <w:b/>
          <w:bCs/>
          <w:color w:val="auto"/>
          <w:highlight w:val="none"/>
          <w:lang w:eastAsia="zh-CN"/>
        </w:rPr>
      </w:pPr>
      <w:r>
        <w:rPr>
          <w:rFonts w:hint="eastAsia" w:ascii="仿宋" w:hAnsi="仿宋" w:eastAsia="仿宋" w:cs="仿宋"/>
          <w:color w:val="auto"/>
          <w:highlight w:val="none"/>
          <w:lang w:eastAsia="zh-CN"/>
        </w:rPr>
        <w:t>本合同未尽事宜应按《中华人民共和国政府采购法》、《中华人民共和国民法典》、《中华人民共和国产品质量法》之规定解释。</w:t>
      </w:r>
    </w:p>
    <w:p w14:paraId="2EC764F2">
      <w:pPr>
        <w:pStyle w:val="7"/>
        <w:numPr>
          <w:ilvl w:val="0"/>
          <w:numId w:val="0"/>
        </w:numPr>
        <w:tabs>
          <w:tab w:val="left" w:pos="780"/>
        </w:tabs>
        <w:ind w:leftChars="0"/>
        <w:rPr>
          <w:rFonts w:hint="eastAsia" w:ascii="仿宋" w:hAnsi="仿宋" w:eastAsia="仿宋" w:cs="仿宋"/>
          <w:color w:val="auto"/>
        </w:rPr>
      </w:pPr>
    </w:p>
    <w:p w14:paraId="506BB0D4">
      <w:pPr>
        <w:rPr>
          <w:rFonts w:hint="eastAsia" w:ascii="仿宋" w:hAnsi="仿宋" w:eastAsia="仿宋" w:cs="仿宋"/>
          <w:color w:val="auto"/>
        </w:rPr>
      </w:pPr>
    </w:p>
    <w:p w14:paraId="1154545F">
      <w:pPr>
        <w:rPr>
          <w:rFonts w:hint="eastAsia" w:ascii="仿宋" w:hAnsi="仿宋" w:eastAsia="仿宋" w:cs="仿宋"/>
          <w:color w:val="auto"/>
        </w:rPr>
      </w:pPr>
    </w:p>
    <w:p w14:paraId="799E52DC">
      <w:pPr>
        <w:pStyle w:val="30"/>
        <w:keepNext/>
        <w:keepLines/>
        <w:widowControl w:val="0"/>
        <w:shd w:val="clear" w:color="auto" w:fill="auto"/>
        <w:bidi w:val="0"/>
        <w:spacing w:before="0" w:after="1160" w:line="240" w:lineRule="auto"/>
        <w:ind w:left="0" w:right="0" w:firstLine="0"/>
        <w:jc w:val="center"/>
        <w:rPr>
          <w:rFonts w:hint="eastAsia" w:ascii="仿宋" w:hAnsi="仿宋" w:eastAsia="仿宋" w:cs="仿宋"/>
          <w:b/>
          <w:bCs/>
          <w:color w:val="auto"/>
          <w:sz w:val="36"/>
          <w:szCs w:val="36"/>
        </w:rPr>
      </w:pPr>
      <w:r>
        <w:rPr>
          <w:rFonts w:hint="eastAsia" w:ascii="仿宋" w:hAnsi="仿宋" w:eastAsia="仿宋" w:cs="仿宋"/>
          <w:b/>
          <w:bCs/>
          <w:color w:val="auto"/>
          <w:spacing w:val="0"/>
          <w:w w:val="100"/>
          <w:position w:val="0"/>
          <w:sz w:val="36"/>
          <w:szCs w:val="36"/>
        </w:rPr>
        <w:t>第</w:t>
      </w:r>
      <w:r>
        <w:rPr>
          <w:rFonts w:hint="eastAsia" w:ascii="仿宋" w:hAnsi="仿宋" w:eastAsia="仿宋" w:cs="仿宋"/>
          <w:b/>
          <w:bCs/>
          <w:color w:val="auto"/>
          <w:spacing w:val="0"/>
          <w:w w:val="100"/>
          <w:position w:val="0"/>
          <w:sz w:val="36"/>
          <w:szCs w:val="36"/>
          <w:lang w:eastAsia="zh-CN"/>
        </w:rPr>
        <w:t>六章</w:t>
      </w:r>
      <w:r>
        <w:rPr>
          <w:rFonts w:hint="eastAsia" w:ascii="仿宋" w:hAnsi="仿宋" w:eastAsia="仿宋" w:cs="仿宋"/>
          <w:b/>
          <w:bCs/>
          <w:color w:val="auto"/>
          <w:spacing w:val="0"/>
          <w:w w:val="100"/>
          <w:position w:val="0"/>
          <w:sz w:val="36"/>
          <w:szCs w:val="36"/>
          <w:lang w:val="en-US" w:eastAsia="zh-CN"/>
        </w:rPr>
        <w:t xml:space="preserve">  </w:t>
      </w:r>
      <w:r>
        <w:rPr>
          <w:rFonts w:hint="eastAsia" w:ascii="仿宋" w:hAnsi="仿宋" w:eastAsia="仿宋" w:cs="仿宋"/>
          <w:b/>
          <w:bCs/>
          <w:color w:val="auto"/>
          <w:spacing w:val="0"/>
          <w:w w:val="100"/>
          <w:position w:val="0"/>
          <w:sz w:val="36"/>
          <w:szCs w:val="36"/>
        </w:rPr>
        <w:t>投标文件格式</w:t>
      </w:r>
    </w:p>
    <w:p w14:paraId="5EAC0EBE">
      <w:pPr>
        <w:adjustRightInd w:val="0"/>
        <w:snapToGrid w:val="0"/>
        <w:spacing w:line="360" w:lineRule="auto"/>
        <w:ind w:left="602" w:right="70" w:hanging="602"/>
        <w:jc w:val="right"/>
        <w:rPr>
          <w:rFonts w:hint="eastAsia" w:ascii="仿宋" w:hAnsi="仿宋" w:eastAsia="仿宋" w:cs="仿宋"/>
          <w:b/>
          <w:bCs/>
          <w:color w:val="auto"/>
          <w:sz w:val="28"/>
          <w:szCs w:val="28"/>
          <w:bdr w:val="single" w:color="auto" w:sz="4" w:space="0"/>
        </w:rPr>
      </w:pPr>
      <w:bookmarkStart w:id="56" w:name="bookmark196"/>
      <w:r>
        <w:rPr>
          <w:rFonts w:hint="eastAsia" w:ascii="仿宋" w:hAnsi="仿宋" w:eastAsia="仿宋" w:cs="仿宋"/>
          <w:b/>
          <w:bCs/>
          <w:color w:val="auto"/>
          <w:sz w:val="28"/>
          <w:szCs w:val="28"/>
          <w:bdr w:val="single" w:color="auto" w:sz="4" w:space="0"/>
        </w:rPr>
        <w:t>正/副 本</w:t>
      </w:r>
    </w:p>
    <w:p w14:paraId="7CDEF553">
      <w:pPr>
        <w:adjustRightInd w:val="0"/>
        <w:snapToGrid w:val="0"/>
        <w:spacing w:line="360" w:lineRule="auto"/>
        <w:jc w:val="center"/>
        <w:rPr>
          <w:rFonts w:hint="eastAsia" w:ascii="仿宋" w:hAnsi="仿宋" w:eastAsia="仿宋" w:cs="仿宋"/>
          <w:b/>
          <w:caps/>
          <w:color w:val="auto"/>
          <w:sz w:val="24"/>
          <w:szCs w:val="24"/>
        </w:rPr>
      </w:pPr>
    </w:p>
    <w:p w14:paraId="2EB849BA">
      <w:pPr>
        <w:adjustRightInd w:val="0"/>
        <w:snapToGrid w:val="0"/>
        <w:spacing w:line="360" w:lineRule="auto"/>
        <w:jc w:val="center"/>
        <w:rPr>
          <w:rFonts w:hint="eastAsia" w:ascii="仿宋" w:hAnsi="仿宋" w:eastAsia="仿宋" w:cs="仿宋"/>
          <w:bCs/>
          <w:color w:val="auto"/>
          <w:sz w:val="32"/>
          <w:szCs w:val="32"/>
        </w:rPr>
      </w:pPr>
      <w:r>
        <w:rPr>
          <w:rFonts w:hint="eastAsia" w:ascii="仿宋" w:hAnsi="仿宋" w:eastAsia="仿宋" w:cs="仿宋"/>
          <w:b/>
          <w:caps/>
          <w:color w:val="auto"/>
          <w:sz w:val="32"/>
          <w:szCs w:val="32"/>
        </w:rPr>
        <w:t>（项目名称）</w:t>
      </w:r>
    </w:p>
    <w:p w14:paraId="7E3A0CF9">
      <w:pPr>
        <w:adjustRightInd w:val="0"/>
        <w:snapToGrid w:val="0"/>
        <w:spacing w:line="360" w:lineRule="auto"/>
        <w:jc w:val="both"/>
        <w:rPr>
          <w:rFonts w:hint="eastAsia" w:ascii="仿宋" w:hAnsi="仿宋" w:eastAsia="仿宋" w:cs="仿宋"/>
          <w:bCs/>
          <w:color w:val="auto"/>
          <w:sz w:val="32"/>
          <w:szCs w:val="32"/>
        </w:rPr>
      </w:pPr>
    </w:p>
    <w:p w14:paraId="354D9C7A">
      <w:pPr>
        <w:adjustRightInd w:val="0"/>
        <w:snapToGrid w:val="0"/>
        <w:spacing w:line="360" w:lineRule="auto"/>
        <w:jc w:val="center"/>
        <w:rPr>
          <w:rFonts w:hint="eastAsia" w:ascii="仿宋" w:hAnsi="仿宋" w:eastAsia="仿宋" w:cs="仿宋"/>
          <w:bCs/>
          <w:color w:val="auto"/>
          <w:sz w:val="32"/>
          <w:szCs w:val="32"/>
        </w:rPr>
      </w:pPr>
    </w:p>
    <w:p w14:paraId="6C86CD80">
      <w:pPr>
        <w:adjustRightInd w:val="0"/>
        <w:snapToGrid w:val="0"/>
        <w:spacing w:line="360" w:lineRule="auto"/>
        <w:jc w:val="center"/>
        <w:rPr>
          <w:rFonts w:hint="eastAsia" w:ascii="仿宋" w:hAnsi="仿宋" w:eastAsia="仿宋" w:cs="仿宋"/>
          <w:bCs/>
          <w:color w:val="auto"/>
          <w:sz w:val="32"/>
          <w:szCs w:val="32"/>
          <w:lang w:eastAsia="zh-CN"/>
        </w:rPr>
      </w:pPr>
      <w:r>
        <w:rPr>
          <w:rFonts w:hint="eastAsia" w:ascii="仿宋" w:hAnsi="仿宋" w:eastAsia="仿宋" w:cs="仿宋"/>
          <w:b/>
          <w:bCs/>
          <w:color w:val="auto"/>
          <w:sz w:val="44"/>
          <w:szCs w:val="44"/>
          <w:lang w:eastAsia="zh-CN"/>
        </w:rPr>
        <w:t>投标文件</w:t>
      </w:r>
    </w:p>
    <w:p w14:paraId="660613DB">
      <w:pPr>
        <w:adjustRightInd w:val="0"/>
        <w:snapToGrid w:val="0"/>
        <w:spacing w:line="360" w:lineRule="auto"/>
        <w:jc w:val="center"/>
        <w:rPr>
          <w:rFonts w:hint="eastAsia" w:ascii="仿宋" w:hAnsi="仿宋" w:eastAsia="仿宋" w:cs="仿宋"/>
          <w:bCs/>
          <w:color w:val="auto"/>
          <w:sz w:val="32"/>
          <w:szCs w:val="32"/>
        </w:rPr>
      </w:pPr>
    </w:p>
    <w:p w14:paraId="6E66AEDA">
      <w:pPr>
        <w:adjustRightInd w:val="0"/>
        <w:snapToGrid w:val="0"/>
        <w:spacing w:line="360" w:lineRule="auto"/>
        <w:jc w:val="both"/>
        <w:rPr>
          <w:rFonts w:hint="eastAsia" w:ascii="仿宋" w:hAnsi="仿宋" w:eastAsia="仿宋" w:cs="仿宋"/>
          <w:bCs/>
          <w:color w:val="auto"/>
          <w:sz w:val="32"/>
          <w:szCs w:val="32"/>
        </w:rPr>
      </w:pPr>
    </w:p>
    <w:p w14:paraId="0EB0F308">
      <w:pPr>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0"/>
          <w:kern w:val="0"/>
          <w:sz w:val="28"/>
          <w:szCs w:val="28"/>
          <w:fitText w:val="2810" w:id="1470909418"/>
        </w:rPr>
        <w:t>供应商名称（公章）：</w:t>
      </w:r>
    </w:p>
    <w:p w14:paraId="2986C77F">
      <w:pPr>
        <w:adjustRightInd w:val="0"/>
        <w:snapToGrid w:val="0"/>
        <w:spacing w:line="360" w:lineRule="auto"/>
        <w:ind w:right="-155" w:rightChars="-64"/>
        <w:rPr>
          <w:rFonts w:hint="eastAsia" w:ascii="仿宋" w:hAnsi="仿宋" w:eastAsia="仿宋" w:cs="仿宋"/>
          <w:b/>
          <w:caps/>
          <w:color w:val="auto"/>
          <w:sz w:val="28"/>
          <w:szCs w:val="28"/>
        </w:rPr>
      </w:pPr>
    </w:p>
    <w:p w14:paraId="0ED51DD3">
      <w:pPr>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0"/>
          <w:w w:val="77"/>
          <w:kern w:val="0"/>
          <w:sz w:val="28"/>
          <w:szCs w:val="28"/>
          <w:fitText w:val="2810" w:id="1"/>
        </w:rPr>
        <w:t>法定代表人（</w:t>
      </w:r>
      <w:r>
        <w:rPr>
          <w:rFonts w:hint="eastAsia" w:ascii="仿宋" w:hAnsi="仿宋" w:eastAsia="仿宋" w:cs="仿宋"/>
          <w:b/>
          <w:caps/>
          <w:color w:val="auto"/>
          <w:spacing w:val="0"/>
          <w:w w:val="77"/>
          <w:kern w:val="0"/>
          <w:sz w:val="28"/>
          <w:szCs w:val="28"/>
          <w:fitText w:val="2810" w:id="1"/>
          <w:lang w:eastAsia="zh-CN"/>
        </w:rPr>
        <w:t>签章</w:t>
      </w:r>
      <w:r>
        <w:rPr>
          <w:rFonts w:hint="eastAsia" w:ascii="仿宋" w:hAnsi="仿宋" w:eastAsia="仿宋" w:cs="仿宋"/>
          <w:b/>
          <w:caps/>
          <w:color w:val="auto"/>
          <w:spacing w:val="0"/>
          <w:w w:val="77"/>
          <w:kern w:val="0"/>
          <w:sz w:val="28"/>
          <w:szCs w:val="28"/>
          <w:fitText w:val="2810" w:id="1"/>
        </w:rPr>
        <w:t>或盖章）</w:t>
      </w:r>
      <w:r>
        <w:rPr>
          <w:rFonts w:hint="eastAsia" w:ascii="仿宋" w:hAnsi="仿宋" w:eastAsia="仿宋" w:cs="仿宋"/>
          <w:b/>
          <w:caps/>
          <w:color w:val="auto"/>
          <w:spacing w:val="-1"/>
          <w:w w:val="77"/>
          <w:kern w:val="0"/>
          <w:sz w:val="28"/>
          <w:szCs w:val="28"/>
          <w:fitText w:val="2810" w:id="1"/>
        </w:rPr>
        <w:t>：</w:t>
      </w:r>
    </w:p>
    <w:p w14:paraId="6AACABE5">
      <w:pPr>
        <w:adjustRightInd w:val="0"/>
        <w:snapToGrid w:val="0"/>
        <w:spacing w:line="360" w:lineRule="auto"/>
        <w:ind w:right="-155" w:rightChars="-64"/>
        <w:rPr>
          <w:rFonts w:hint="eastAsia" w:ascii="仿宋" w:hAnsi="仿宋" w:eastAsia="仿宋" w:cs="仿宋"/>
          <w:b/>
          <w:caps/>
          <w:color w:val="auto"/>
          <w:sz w:val="28"/>
          <w:szCs w:val="28"/>
        </w:rPr>
      </w:pPr>
    </w:p>
    <w:p w14:paraId="2FCE71B6">
      <w:pPr>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113"/>
          <w:kern w:val="0"/>
          <w:sz w:val="28"/>
          <w:szCs w:val="28"/>
          <w:fitText w:val="2810" w:id="2"/>
        </w:rPr>
        <w:t>供应商地址</w:t>
      </w:r>
      <w:r>
        <w:rPr>
          <w:rFonts w:hint="eastAsia" w:ascii="仿宋" w:hAnsi="仿宋" w:eastAsia="仿宋" w:cs="仿宋"/>
          <w:b/>
          <w:caps/>
          <w:color w:val="auto"/>
          <w:spacing w:val="0"/>
          <w:kern w:val="0"/>
          <w:sz w:val="28"/>
          <w:szCs w:val="28"/>
          <w:fitText w:val="2810" w:id="2"/>
        </w:rPr>
        <w:t>：</w:t>
      </w:r>
    </w:p>
    <w:p w14:paraId="5BFFFD01">
      <w:pPr>
        <w:adjustRightInd w:val="0"/>
        <w:snapToGrid w:val="0"/>
        <w:spacing w:line="360" w:lineRule="auto"/>
        <w:ind w:right="-155" w:rightChars="-64"/>
        <w:rPr>
          <w:rFonts w:hint="eastAsia" w:ascii="仿宋" w:hAnsi="仿宋" w:eastAsia="仿宋" w:cs="仿宋"/>
          <w:b/>
          <w:caps/>
          <w:color w:val="auto"/>
          <w:sz w:val="28"/>
          <w:szCs w:val="28"/>
        </w:rPr>
      </w:pPr>
    </w:p>
    <w:p w14:paraId="5A5409D2">
      <w:pPr>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281"/>
          <w:kern w:val="0"/>
          <w:sz w:val="28"/>
          <w:szCs w:val="28"/>
          <w:fitText w:val="2810" w:id="3"/>
        </w:rPr>
        <w:t>联系人</w:t>
      </w:r>
      <w:r>
        <w:rPr>
          <w:rFonts w:hint="eastAsia" w:ascii="仿宋" w:hAnsi="仿宋" w:eastAsia="仿宋" w:cs="仿宋"/>
          <w:b/>
          <w:caps/>
          <w:color w:val="auto"/>
          <w:spacing w:val="2"/>
          <w:kern w:val="0"/>
          <w:sz w:val="28"/>
          <w:szCs w:val="28"/>
          <w:fitText w:val="2810" w:id="3"/>
        </w:rPr>
        <w:t>：</w:t>
      </w:r>
    </w:p>
    <w:p w14:paraId="0C5AE198">
      <w:pPr>
        <w:adjustRightInd w:val="0"/>
        <w:snapToGrid w:val="0"/>
        <w:spacing w:line="360" w:lineRule="auto"/>
        <w:ind w:right="-155" w:rightChars="-64"/>
        <w:rPr>
          <w:rFonts w:hint="eastAsia" w:ascii="仿宋" w:hAnsi="仿宋" w:eastAsia="仿宋" w:cs="仿宋"/>
          <w:b/>
          <w:caps/>
          <w:color w:val="auto"/>
          <w:sz w:val="28"/>
          <w:szCs w:val="28"/>
        </w:rPr>
      </w:pPr>
    </w:p>
    <w:p w14:paraId="08006723">
      <w:pPr>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176"/>
          <w:kern w:val="0"/>
          <w:sz w:val="28"/>
          <w:szCs w:val="28"/>
          <w:fitText w:val="2810" w:id="4"/>
        </w:rPr>
        <w:t>联系电话</w:t>
      </w:r>
      <w:r>
        <w:rPr>
          <w:rFonts w:hint="eastAsia" w:ascii="仿宋" w:hAnsi="仿宋" w:eastAsia="仿宋" w:cs="仿宋"/>
          <w:b/>
          <w:caps/>
          <w:color w:val="auto"/>
          <w:spacing w:val="1"/>
          <w:kern w:val="0"/>
          <w:sz w:val="28"/>
          <w:szCs w:val="28"/>
          <w:fitText w:val="2810" w:id="4"/>
        </w:rPr>
        <w:t>：</w:t>
      </w:r>
    </w:p>
    <w:p w14:paraId="4B72CA65">
      <w:pPr>
        <w:adjustRightInd w:val="0"/>
        <w:snapToGrid w:val="0"/>
        <w:spacing w:line="360" w:lineRule="auto"/>
        <w:jc w:val="center"/>
        <w:rPr>
          <w:rFonts w:hint="eastAsia" w:ascii="仿宋" w:hAnsi="仿宋" w:eastAsia="仿宋" w:cs="仿宋"/>
          <w:b/>
          <w:caps/>
          <w:color w:val="auto"/>
          <w:sz w:val="28"/>
          <w:szCs w:val="28"/>
        </w:rPr>
      </w:pPr>
    </w:p>
    <w:p w14:paraId="19904135">
      <w:pPr>
        <w:adjustRightInd w:val="0"/>
        <w:snapToGrid w:val="0"/>
        <w:spacing w:line="360" w:lineRule="auto"/>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_</w:t>
      </w:r>
      <w:r>
        <w:rPr>
          <w:rFonts w:hint="eastAsia" w:ascii="仿宋" w:hAnsi="仿宋" w:eastAsia="仿宋" w:cs="仿宋"/>
          <w:b/>
          <w:color w:val="auto"/>
          <w:sz w:val="28"/>
          <w:szCs w:val="28"/>
          <w:u w:val="single"/>
        </w:rPr>
        <w:t xml:space="preserve">    </w:t>
      </w:r>
      <w:r>
        <w:rPr>
          <w:rFonts w:hint="eastAsia" w:ascii="仿宋" w:hAnsi="仿宋" w:eastAsia="仿宋" w:cs="仿宋"/>
          <w:b/>
          <w:color w:val="auto"/>
          <w:sz w:val="28"/>
          <w:szCs w:val="28"/>
        </w:rPr>
        <w:t>_年__</w:t>
      </w:r>
      <w:r>
        <w:rPr>
          <w:rFonts w:hint="eastAsia" w:ascii="仿宋" w:hAnsi="仿宋" w:eastAsia="仿宋" w:cs="仿宋"/>
          <w:b/>
          <w:color w:val="auto"/>
          <w:sz w:val="28"/>
          <w:szCs w:val="28"/>
          <w:u w:val="single"/>
        </w:rPr>
        <w:t xml:space="preserve">   </w:t>
      </w:r>
      <w:r>
        <w:rPr>
          <w:rFonts w:hint="eastAsia" w:ascii="仿宋" w:hAnsi="仿宋" w:eastAsia="仿宋" w:cs="仿宋"/>
          <w:b/>
          <w:color w:val="auto"/>
          <w:sz w:val="28"/>
          <w:szCs w:val="28"/>
        </w:rPr>
        <w:t>_月__</w:t>
      </w:r>
      <w:r>
        <w:rPr>
          <w:rFonts w:hint="eastAsia" w:ascii="仿宋" w:hAnsi="仿宋" w:eastAsia="仿宋" w:cs="仿宋"/>
          <w:b/>
          <w:color w:val="auto"/>
          <w:sz w:val="28"/>
          <w:szCs w:val="28"/>
          <w:u w:val="single"/>
        </w:rPr>
        <w:t xml:space="preserve">   </w:t>
      </w:r>
      <w:r>
        <w:rPr>
          <w:rFonts w:hint="eastAsia" w:ascii="仿宋" w:hAnsi="仿宋" w:eastAsia="仿宋" w:cs="仿宋"/>
          <w:b/>
          <w:color w:val="auto"/>
          <w:sz w:val="28"/>
          <w:szCs w:val="28"/>
        </w:rPr>
        <w:t>_日</w:t>
      </w:r>
    </w:p>
    <w:p w14:paraId="20632071">
      <w:pPr>
        <w:pStyle w:val="32"/>
        <w:keepNext w:val="0"/>
        <w:keepLines w:val="0"/>
        <w:widowControl w:val="0"/>
        <w:shd w:val="clear" w:color="auto" w:fill="auto"/>
        <w:bidi w:val="0"/>
        <w:spacing w:before="0" w:after="340" w:line="240" w:lineRule="auto"/>
        <w:ind w:left="0" w:right="0" w:firstLine="0"/>
        <w:jc w:val="left"/>
        <w:rPr>
          <w:rFonts w:hint="eastAsia" w:ascii="仿宋" w:hAnsi="仿宋" w:eastAsia="仿宋" w:cs="仿宋"/>
          <w:color w:val="auto"/>
          <w:spacing w:val="0"/>
          <w:w w:val="100"/>
          <w:position w:val="0"/>
        </w:rPr>
      </w:pPr>
    </w:p>
    <w:bookmarkEnd w:id="56"/>
    <w:p w14:paraId="50EF7FBA">
      <w:pPr>
        <w:pStyle w:val="3"/>
        <w:numPr>
          <w:ilvl w:val="0"/>
          <w:numId w:val="0"/>
        </w:numPr>
        <w:shd w:val="clear" w:color="auto" w:fill="auto"/>
        <w:spacing w:before="0" w:line="240" w:lineRule="atLeast"/>
        <w:rPr>
          <w:rFonts w:hint="eastAsia" w:ascii="仿宋" w:hAnsi="仿宋" w:eastAsia="仿宋" w:cs="仿宋"/>
          <w:b/>
          <w:bCs/>
          <w:color w:val="auto"/>
          <w:sz w:val="24"/>
          <w:highlight w:val="none"/>
        </w:rPr>
      </w:pPr>
      <w:bookmarkStart w:id="57" w:name="_Toc515647803"/>
      <w:bookmarkStart w:id="58" w:name="_Toc8919"/>
      <w:bookmarkStart w:id="59" w:name="_Toc18694"/>
      <w:bookmarkStart w:id="60" w:name="_Toc18974"/>
    </w:p>
    <w:p w14:paraId="7C4D9CEC">
      <w:pPr>
        <w:pStyle w:val="3"/>
        <w:numPr>
          <w:ilvl w:val="0"/>
          <w:numId w:val="0"/>
        </w:numPr>
        <w:shd w:val="clear" w:color="auto" w:fill="auto"/>
        <w:spacing w:before="0" w:line="240" w:lineRule="atLeas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第一部分 资格证明文件</w:t>
      </w:r>
      <w:bookmarkEnd w:id="57"/>
      <w:bookmarkEnd w:id="58"/>
      <w:bookmarkEnd w:id="59"/>
      <w:bookmarkEnd w:id="60"/>
    </w:p>
    <w:p w14:paraId="0E098482">
      <w:pPr>
        <w:shd w:val="clear" w:color="auto" w:fill="auto"/>
        <w:spacing w:line="240" w:lineRule="atLeast"/>
        <w:ind w:left="708" w:hanging="716" w:hangingChars="295"/>
        <w:jc w:val="center"/>
        <w:rPr>
          <w:rFonts w:hint="eastAsia" w:ascii="仿宋" w:hAnsi="仿宋" w:eastAsia="仿宋" w:cs="仿宋"/>
          <w:color w:val="auto"/>
          <w:sz w:val="24"/>
          <w:highlight w:val="none"/>
        </w:rPr>
      </w:pPr>
    </w:p>
    <w:p w14:paraId="4357F442">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71" w:firstLineChars="23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、法人或者非法人组织的营业执照等证明文件复印件（须加盖本单位章）或自然人的身份证明复印件;</w:t>
      </w:r>
    </w:p>
    <w:p w14:paraId="7C6E4E43">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71" w:firstLineChars="235"/>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、法定代表人资格证明书</w:t>
      </w:r>
      <w:r>
        <w:rPr>
          <w:rFonts w:hint="eastAsia" w:ascii="仿宋" w:hAnsi="仿宋" w:eastAsia="仿宋" w:cs="仿宋"/>
          <w:color w:val="auto"/>
          <w:sz w:val="24"/>
          <w:highlight w:val="none"/>
          <w:lang w:eastAsia="zh-CN"/>
        </w:rPr>
        <w:t>；</w:t>
      </w:r>
    </w:p>
    <w:p w14:paraId="2D358C3D">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71" w:firstLineChars="235"/>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法定代表人授权书</w:t>
      </w:r>
      <w:r>
        <w:rPr>
          <w:rFonts w:hint="eastAsia" w:ascii="仿宋" w:hAnsi="仿宋" w:eastAsia="仿宋" w:cs="仿宋"/>
          <w:color w:val="auto"/>
          <w:sz w:val="24"/>
          <w:highlight w:val="none"/>
          <w:lang w:eastAsia="zh-CN"/>
        </w:rPr>
        <w:t>；</w:t>
      </w:r>
    </w:p>
    <w:p w14:paraId="5D23A354">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71" w:firstLineChars="235"/>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4、投标保证金缴纳凭证或投标担保函；</w:t>
      </w:r>
    </w:p>
    <w:p w14:paraId="60A3CF8A">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71" w:firstLineChars="23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、标企业须提供投标人（被授权在职人员）近6个月</w:t>
      </w:r>
      <w:r>
        <w:rPr>
          <w:rFonts w:hint="eastAsia" w:ascii="仿宋" w:hAnsi="仿宋" w:eastAsia="仿宋" w:cs="仿宋"/>
          <w:color w:val="auto"/>
          <w:sz w:val="24"/>
          <w:highlight w:val="none"/>
          <w:lang w:eastAsia="zh-CN"/>
        </w:rPr>
        <w:t>内任意</w:t>
      </w:r>
      <w:r>
        <w:rPr>
          <w:rFonts w:hint="eastAsia" w:ascii="仿宋" w:hAnsi="仿宋" w:eastAsia="仿宋" w:cs="仿宋"/>
          <w:color w:val="auto"/>
          <w:sz w:val="24"/>
          <w:highlight w:val="none"/>
          <w:lang w:val="en-US" w:eastAsia="zh-CN"/>
        </w:rPr>
        <w:t>1个月</w:t>
      </w:r>
      <w:r>
        <w:rPr>
          <w:rFonts w:hint="eastAsia" w:ascii="仿宋" w:hAnsi="仿宋" w:eastAsia="仿宋" w:cs="仿宋"/>
          <w:color w:val="auto"/>
          <w:sz w:val="24"/>
          <w:highlight w:val="none"/>
        </w:rPr>
        <w:t>有效的社保证明;</w:t>
      </w:r>
    </w:p>
    <w:p w14:paraId="1A7A456A">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left="1" w:firstLine="571" w:firstLineChars="23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、参加政府采购活动前3年内在经营活动中没有重大违法记录的书面声明;</w:t>
      </w:r>
    </w:p>
    <w:p w14:paraId="506546D4">
      <w:pPr>
        <w:tabs>
          <w:tab w:val="left" w:pos="5580"/>
        </w:tabs>
        <w:spacing w:line="500" w:lineRule="atLeast"/>
        <w:ind w:left="1" w:firstLine="571" w:firstLineChars="235"/>
        <w:rPr>
          <w:rFonts w:hint="eastAsia" w:ascii="仿宋" w:hAnsi="仿宋" w:eastAsia="仿宋" w:cs="仿宋"/>
          <w:color w:val="auto"/>
          <w:spacing w:val="0"/>
          <w:w w:val="100"/>
          <w:kern w:val="0"/>
          <w:position w:val="0"/>
          <w:sz w:val="24"/>
          <w:szCs w:val="24"/>
          <w:highlight w:val="none"/>
          <w:shd w:val="clear" w:color="auto" w:fill="auto"/>
          <w:lang w:val="en-US" w:eastAsia="zh-CN" w:bidi="en-US"/>
        </w:rPr>
      </w:pPr>
      <w:r>
        <w:rPr>
          <w:rFonts w:hint="eastAsia" w:ascii="仿宋" w:hAnsi="仿宋" w:eastAsia="仿宋" w:cs="仿宋"/>
          <w:color w:val="auto"/>
          <w:spacing w:val="0"/>
          <w:w w:val="100"/>
          <w:kern w:val="0"/>
          <w:position w:val="0"/>
          <w:sz w:val="24"/>
          <w:szCs w:val="24"/>
          <w:highlight w:val="none"/>
          <w:shd w:val="clear" w:color="auto" w:fill="auto"/>
          <w:lang w:val="en-US" w:eastAsia="zh-CN" w:bidi="en-US"/>
        </w:rPr>
        <w:t>7、参加政府采购活动前三年内，在经营活动中没有重大违法记录；未被“信用中国”（www.creditchina.gov.cn）、中国政府采购网（www.ccgp.gov.cn）列入失信被执行人、税收违法黑名单、政府采购严重违法失信行为记录名单；</w:t>
      </w:r>
    </w:p>
    <w:p w14:paraId="4CF2C7C2">
      <w:pPr>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500" w:lineRule="atLeast"/>
        <w:ind w:firstLine="486"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highlight w:val="none"/>
          <w:lang w:val="en-US" w:eastAsia="zh-CN"/>
        </w:rPr>
        <w:t>8、</w:t>
      </w:r>
      <w:r>
        <w:rPr>
          <w:rFonts w:hint="eastAsia" w:ascii="仿宋" w:hAnsi="仿宋" w:eastAsia="仿宋" w:cs="仿宋"/>
          <w:color w:val="auto"/>
          <w:sz w:val="24"/>
          <w:highlight w:val="none"/>
        </w:rPr>
        <w:t>投标人须知资料表要求的其他资格证明文件</w:t>
      </w:r>
      <w:r>
        <w:rPr>
          <w:rFonts w:hint="eastAsia" w:ascii="仿宋" w:hAnsi="仿宋" w:eastAsia="仿宋" w:cs="仿宋"/>
          <w:color w:val="auto"/>
          <w:sz w:val="24"/>
          <w:highlight w:val="none"/>
          <w:lang w:eastAsia="zh-CN"/>
        </w:rPr>
        <w:t>。</w:t>
      </w:r>
    </w:p>
    <w:p w14:paraId="485E01D5">
      <w:pPr>
        <w:pStyle w:val="7"/>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p>
    <w:p w14:paraId="789592DA">
      <w:pPr>
        <w:pStyle w:val="7"/>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p>
    <w:p w14:paraId="4482D90A">
      <w:pPr>
        <w:rPr>
          <w:rFonts w:hint="eastAsia" w:ascii="仿宋" w:hAnsi="仿宋" w:eastAsia="仿宋" w:cs="仿宋"/>
          <w:b/>
          <w:bCs/>
          <w:color w:val="auto"/>
          <w:sz w:val="36"/>
          <w:szCs w:val="36"/>
        </w:rPr>
      </w:pPr>
    </w:p>
    <w:p w14:paraId="1677F829">
      <w:pPr>
        <w:pStyle w:val="26"/>
        <w:rPr>
          <w:rFonts w:hint="eastAsia" w:ascii="仿宋" w:hAnsi="仿宋" w:eastAsia="仿宋" w:cs="仿宋"/>
          <w:b/>
          <w:bCs/>
          <w:color w:val="auto"/>
          <w:sz w:val="36"/>
          <w:szCs w:val="36"/>
        </w:rPr>
      </w:pPr>
    </w:p>
    <w:p w14:paraId="104F6F04">
      <w:pPr>
        <w:pStyle w:val="26"/>
        <w:rPr>
          <w:rFonts w:hint="eastAsia" w:ascii="仿宋" w:hAnsi="仿宋" w:eastAsia="仿宋" w:cs="仿宋"/>
          <w:b/>
          <w:bCs/>
          <w:color w:val="auto"/>
          <w:sz w:val="36"/>
          <w:szCs w:val="36"/>
        </w:rPr>
      </w:pPr>
    </w:p>
    <w:p w14:paraId="5CBA1C3B">
      <w:pPr>
        <w:pStyle w:val="26"/>
        <w:rPr>
          <w:rFonts w:hint="eastAsia" w:ascii="仿宋" w:hAnsi="仿宋" w:eastAsia="仿宋" w:cs="仿宋"/>
          <w:b/>
          <w:bCs/>
          <w:color w:val="auto"/>
          <w:sz w:val="36"/>
          <w:szCs w:val="36"/>
        </w:rPr>
      </w:pPr>
    </w:p>
    <w:p w14:paraId="671EFD0E">
      <w:pPr>
        <w:pStyle w:val="26"/>
        <w:rPr>
          <w:rFonts w:hint="eastAsia" w:ascii="仿宋" w:hAnsi="仿宋" w:eastAsia="仿宋" w:cs="仿宋"/>
          <w:b/>
          <w:bCs/>
          <w:color w:val="auto"/>
          <w:sz w:val="36"/>
          <w:szCs w:val="36"/>
        </w:rPr>
      </w:pPr>
    </w:p>
    <w:p w14:paraId="640A2371">
      <w:pPr>
        <w:pStyle w:val="26"/>
        <w:rPr>
          <w:rFonts w:hint="eastAsia" w:ascii="仿宋" w:hAnsi="仿宋" w:eastAsia="仿宋" w:cs="仿宋"/>
          <w:b/>
          <w:bCs/>
          <w:color w:val="auto"/>
          <w:sz w:val="36"/>
          <w:szCs w:val="36"/>
        </w:rPr>
      </w:pPr>
    </w:p>
    <w:p w14:paraId="4548241A">
      <w:pPr>
        <w:pStyle w:val="26"/>
        <w:rPr>
          <w:rFonts w:hint="eastAsia" w:ascii="仿宋" w:hAnsi="仿宋" w:eastAsia="仿宋" w:cs="仿宋"/>
          <w:b/>
          <w:bCs/>
          <w:color w:val="auto"/>
          <w:sz w:val="36"/>
          <w:szCs w:val="36"/>
        </w:rPr>
      </w:pPr>
    </w:p>
    <w:p w14:paraId="489401AB">
      <w:pPr>
        <w:pStyle w:val="26"/>
        <w:ind w:left="0" w:leftChars="0" w:firstLine="0" w:firstLineChars="0"/>
        <w:rPr>
          <w:rFonts w:hint="eastAsia" w:ascii="仿宋" w:hAnsi="仿宋" w:eastAsia="仿宋" w:cs="仿宋"/>
          <w:b/>
          <w:bCs/>
          <w:color w:val="auto"/>
          <w:sz w:val="36"/>
          <w:szCs w:val="36"/>
        </w:rPr>
      </w:pPr>
    </w:p>
    <w:p w14:paraId="35C3A904">
      <w:pPr>
        <w:pStyle w:val="26"/>
        <w:rPr>
          <w:rFonts w:hint="eastAsia" w:ascii="仿宋" w:hAnsi="仿宋" w:eastAsia="仿宋" w:cs="仿宋"/>
          <w:b/>
          <w:bCs/>
          <w:color w:val="auto"/>
          <w:sz w:val="36"/>
          <w:szCs w:val="36"/>
        </w:rPr>
      </w:pPr>
    </w:p>
    <w:p w14:paraId="73130197">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19759B4B">
      <w:pPr>
        <w:pStyle w:val="7"/>
        <w:keepNext w:val="0"/>
        <w:keepLines w:val="0"/>
        <w:pageBreakBefore w:val="0"/>
        <w:widowControl w:val="0"/>
        <w:numPr>
          <w:ilvl w:val="0"/>
          <w:numId w:val="0"/>
        </w:numPr>
        <w:shd w:val="clear" w:color="auto" w:fill="auto"/>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lang w:val="en-US" w:eastAsia="zh-CN"/>
        </w:rPr>
      </w:pPr>
      <w:bookmarkStart w:id="61" w:name="_Toc515647805"/>
      <w:bookmarkStart w:id="62" w:name="_Toc17577"/>
      <w:bookmarkStart w:id="63" w:name="_Toc4844"/>
      <w:bookmarkStart w:id="64" w:name="_Toc29899"/>
    </w:p>
    <w:p w14:paraId="6D428DF4">
      <w:pPr>
        <w:pStyle w:val="7"/>
        <w:keepNext w:val="0"/>
        <w:keepLines w:val="0"/>
        <w:pageBreakBefore w:val="0"/>
        <w:widowControl w:val="0"/>
        <w:numPr>
          <w:ilvl w:val="0"/>
          <w:numId w:val="0"/>
        </w:numPr>
        <w:shd w:val="clear" w:color="auto" w:fill="auto"/>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lang w:val="en-US" w:eastAsia="zh-CN"/>
        </w:rPr>
      </w:pPr>
      <w:r>
        <w:rPr>
          <w:rFonts w:hint="eastAsia" w:ascii="仿宋" w:hAnsi="仿宋" w:eastAsia="仿宋" w:cs="仿宋"/>
          <w:b/>
          <w:bCs/>
          <w:color w:val="auto"/>
          <w:sz w:val="36"/>
          <w:szCs w:val="36"/>
          <w:lang w:val="en-US" w:eastAsia="zh-CN"/>
        </w:rPr>
        <w:t>1、 法人或者非法人组织的营业执照等证明文件</w:t>
      </w:r>
      <w:bookmarkEnd w:id="61"/>
      <w:bookmarkStart w:id="65" w:name="_Toc515647806"/>
      <w:r>
        <w:rPr>
          <w:rFonts w:hint="eastAsia" w:ascii="仿宋" w:hAnsi="仿宋" w:eastAsia="仿宋" w:cs="仿宋"/>
          <w:b/>
          <w:bCs/>
          <w:color w:val="auto"/>
          <w:sz w:val="36"/>
          <w:szCs w:val="36"/>
          <w:lang w:val="en-US" w:eastAsia="zh-CN"/>
        </w:rPr>
        <w:t>或自然人的身份证明</w:t>
      </w:r>
      <w:bookmarkEnd w:id="62"/>
      <w:bookmarkEnd w:id="63"/>
      <w:bookmarkEnd w:id="64"/>
      <w:bookmarkEnd w:id="65"/>
    </w:p>
    <w:p w14:paraId="2460362F">
      <w:pPr>
        <w:pStyle w:val="10"/>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jc w:val="center"/>
        <w:rPr>
          <w:rFonts w:hint="eastAsia" w:ascii="仿宋" w:hAnsi="仿宋" w:eastAsia="仿宋" w:cs="仿宋"/>
          <w:b/>
          <w:color w:val="auto"/>
          <w:sz w:val="24"/>
          <w:highlight w:val="none"/>
        </w:rPr>
      </w:pPr>
    </w:p>
    <w:p w14:paraId="216E1AB1">
      <w:pPr>
        <w:pStyle w:val="10"/>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b/>
          <w:color w:val="auto"/>
          <w:sz w:val="24"/>
          <w:highlight w:val="none"/>
        </w:rPr>
      </w:pPr>
    </w:p>
    <w:p w14:paraId="199B79B9">
      <w:pPr>
        <w:pStyle w:val="10"/>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b/>
          <w:color w:val="auto"/>
          <w:sz w:val="24"/>
          <w:highlight w:val="none"/>
        </w:rPr>
      </w:pPr>
    </w:p>
    <w:p w14:paraId="18011C89">
      <w:pPr>
        <w:pStyle w:val="10"/>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说明：1.提供有效的营业执照等证明文件复印件，复印件上应加盖本单位章。</w:t>
      </w:r>
    </w:p>
    <w:p w14:paraId="0FC16C7F">
      <w:pPr>
        <w:pStyle w:val="10"/>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 投标人为自然人的，应提供身份证明的复印件。</w:t>
      </w:r>
    </w:p>
    <w:p w14:paraId="14D82DF4">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6535634A">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6F69F9DE">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197F6491">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27D765B3">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182DAD0C">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69C6DD53">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2B1BEE03">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2747435A">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6F8A6753">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38938C16">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6683BD29">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357C6DE2">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6E1FDD8E">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073D6C18">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561E117D">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5CDE2E98">
      <w:pPr>
        <w:rPr>
          <w:rFonts w:hint="eastAsia" w:ascii="仿宋" w:hAnsi="仿宋" w:eastAsia="仿宋" w:cs="仿宋"/>
          <w:b/>
          <w:bCs/>
          <w:color w:val="auto"/>
          <w:sz w:val="36"/>
          <w:szCs w:val="36"/>
        </w:rPr>
      </w:pPr>
    </w:p>
    <w:p w14:paraId="6522CE51">
      <w:pPr>
        <w:pStyle w:val="26"/>
        <w:rPr>
          <w:rFonts w:hint="eastAsia" w:ascii="仿宋" w:hAnsi="仿宋" w:eastAsia="仿宋" w:cs="仿宋"/>
          <w:b/>
          <w:bCs/>
          <w:color w:val="auto"/>
          <w:sz w:val="36"/>
          <w:szCs w:val="36"/>
        </w:rPr>
      </w:pPr>
    </w:p>
    <w:p w14:paraId="258E7404">
      <w:pPr>
        <w:pStyle w:val="26"/>
        <w:rPr>
          <w:rFonts w:hint="eastAsia" w:ascii="仿宋" w:hAnsi="仿宋" w:eastAsia="仿宋" w:cs="仿宋"/>
          <w:b/>
          <w:bCs/>
          <w:color w:val="auto"/>
          <w:sz w:val="36"/>
          <w:szCs w:val="36"/>
        </w:rPr>
      </w:pPr>
    </w:p>
    <w:p w14:paraId="336D7526">
      <w:pPr>
        <w:pStyle w:val="26"/>
        <w:rPr>
          <w:rFonts w:hint="eastAsia" w:ascii="仿宋" w:hAnsi="仿宋" w:eastAsia="仿宋" w:cs="仿宋"/>
          <w:b/>
          <w:bCs/>
          <w:color w:val="auto"/>
          <w:sz w:val="36"/>
          <w:szCs w:val="36"/>
        </w:rPr>
      </w:pPr>
    </w:p>
    <w:p w14:paraId="324DAD31">
      <w:pPr>
        <w:pStyle w:val="26"/>
        <w:rPr>
          <w:rFonts w:hint="eastAsia" w:ascii="仿宋" w:hAnsi="仿宋" w:eastAsia="仿宋" w:cs="仿宋"/>
          <w:b/>
          <w:bCs/>
          <w:color w:val="auto"/>
          <w:sz w:val="36"/>
          <w:szCs w:val="36"/>
        </w:rPr>
      </w:pPr>
    </w:p>
    <w:p w14:paraId="341B17AD">
      <w:pPr>
        <w:pStyle w:val="26"/>
        <w:rPr>
          <w:rFonts w:hint="eastAsia" w:ascii="仿宋" w:hAnsi="仿宋" w:eastAsia="仿宋" w:cs="仿宋"/>
          <w:b/>
          <w:bCs/>
          <w:color w:val="auto"/>
          <w:sz w:val="36"/>
          <w:szCs w:val="36"/>
        </w:rPr>
      </w:pPr>
    </w:p>
    <w:p w14:paraId="2C377D3E">
      <w:pPr>
        <w:pStyle w:val="26"/>
        <w:rPr>
          <w:rFonts w:hint="eastAsia" w:ascii="仿宋" w:hAnsi="仿宋" w:eastAsia="仿宋" w:cs="仿宋"/>
          <w:b/>
          <w:bCs/>
          <w:color w:val="auto"/>
          <w:sz w:val="36"/>
          <w:szCs w:val="36"/>
        </w:rPr>
      </w:pPr>
    </w:p>
    <w:p w14:paraId="37988CE2">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14:paraId="32FF8739">
      <w:pPr>
        <w:pStyle w:val="7"/>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color w:val="auto"/>
          <w:sz w:val="36"/>
          <w:szCs w:val="36"/>
        </w:rPr>
      </w:pPr>
      <w:r>
        <w:rPr>
          <w:rFonts w:hint="eastAsia" w:ascii="仿宋" w:hAnsi="仿宋" w:eastAsia="仿宋" w:cs="仿宋"/>
          <w:b/>
          <w:bCs/>
          <w:color w:val="auto"/>
          <w:sz w:val="36"/>
          <w:szCs w:val="36"/>
          <w:lang w:val="en-US" w:eastAsia="zh-CN"/>
        </w:rPr>
        <w:t>2</w:t>
      </w:r>
      <w:r>
        <w:rPr>
          <w:rFonts w:hint="eastAsia" w:ascii="仿宋" w:hAnsi="仿宋" w:eastAsia="仿宋" w:cs="仿宋"/>
          <w:b/>
          <w:bCs/>
          <w:color w:val="auto"/>
          <w:sz w:val="36"/>
          <w:szCs w:val="36"/>
        </w:rPr>
        <w:t>、法定代表人身份证明</w:t>
      </w:r>
    </w:p>
    <w:p w14:paraId="368BC0C2">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投标单位名称：</w:t>
      </w:r>
      <w:r>
        <w:rPr>
          <w:rFonts w:hint="eastAsia" w:ascii="仿宋" w:hAnsi="仿宋" w:eastAsia="仿宋" w:cs="仿宋"/>
          <w:color w:val="auto"/>
          <w:kern w:val="0"/>
          <w:sz w:val="24"/>
          <w:u w:val="single"/>
        </w:rPr>
        <w:t xml:space="preserve">                       </w:t>
      </w:r>
    </w:p>
    <w:p w14:paraId="18BCB908">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单位性质：</w:t>
      </w:r>
      <w:r>
        <w:rPr>
          <w:rFonts w:hint="eastAsia" w:ascii="仿宋" w:hAnsi="仿宋" w:eastAsia="仿宋" w:cs="仿宋"/>
          <w:color w:val="auto"/>
          <w:kern w:val="0"/>
          <w:sz w:val="24"/>
          <w:u w:val="single"/>
        </w:rPr>
        <w:t xml:space="preserve">                           </w:t>
      </w:r>
    </w:p>
    <w:p w14:paraId="151DC324">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地址：</w:t>
      </w:r>
      <w:r>
        <w:rPr>
          <w:rFonts w:hint="eastAsia" w:ascii="仿宋" w:hAnsi="仿宋" w:eastAsia="仿宋" w:cs="仿宋"/>
          <w:color w:val="auto"/>
          <w:kern w:val="0"/>
          <w:sz w:val="24"/>
          <w:u w:val="single"/>
        </w:rPr>
        <w:t xml:space="preserve">                               </w:t>
      </w:r>
    </w:p>
    <w:p w14:paraId="3DE57BBF">
      <w:pPr>
        <w:spacing w:line="42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成立时间：</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年</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月</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日</w:t>
      </w:r>
    </w:p>
    <w:p w14:paraId="6619E2DD">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经营期限：</w:t>
      </w:r>
      <w:r>
        <w:rPr>
          <w:rFonts w:hint="eastAsia" w:ascii="仿宋" w:hAnsi="仿宋" w:eastAsia="仿宋" w:cs="仿宋"/>
          <w:color w:val="auto"/>
          <w:kern w:val="0"/>
          <w:sz w:val="24"/>
          <w:u w:val="single"/>
        </w:rPr>
        <w:t xml:space="preserve">             </w:t>
      </w:r>
    </w:p>
    <w:p w14:paraId="130DED8A">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姓名：</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 性别：</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 年龄：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 职务：</w:t>
      </w:r>
      <w:r>
        <w:rPr>
          <w:rFonts w:hint="eastAsia" w:ascii="仿宋" w:hAnsi="仿宋" w:eastAsia="仿宋" w:cs="仿宋"/>
          <w:color w:val="auto"/>
          <w:kern w:val="0"/>
          <w:sz w:val="24"/>
          <w:u w:val="single"/>
        </w:rPr>
        <w:t xml:space="preserve">           </w:t>
      </w:r>
    </w:p>
    <w:p w14:paraId="1616796C">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身份证号码：</w:t>
      </w:r>
      <w:r>
        <w:rPr>
          <w:rFonts w:hint="eastAsia" w:ascii="仿宋" w:hAnsi="仿宋" w:eastAsia="仿宋" w:cs="仿宋"/>
          <w:color w:val="auto"/>
          <w:kern w:val="0"/>
          <w:sz w:val="24"/>
          <w:u w:val="single"/>
        </w:rPr>
        <w:t xml:space="preserve">                                  </w:t>
      </w:r>
    </w:p>
    <w:p w14:paraId="6F79DD30">
      <w:pPr>
        <w:spacing w:line="42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系</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（投标单位名称）的法定代表人。</w:t>
      </w:r>
    </w:p>
    <w:p w14:paraId="4696CE67">
      <w:pPr>
        <w:spacing w:line="420" w:lineRule="exact"/>
        <w:ind w:firstLine="972" w:firstLineChars="400"/>
        <w:rPr>
          <w:rFonts w:hint="eastAsia" w:ascii="仿宋" w:hAnsi="仿宋" w:eastAsia="仿宋" w:cs="仿宋"/>
          <w:color w:val="auto"/>
          <w:kern w:val="0"/>
          <w:sz w:val="24"/>
        </w:rPr>
      </w:pPr>
      <w:r>
        <w:rPr>
          <w:rFonts w:hint="eastAsia" w:ascii="仿宋" w:hAnsi="仿宋" w:eastAsia="仿宋" w:cs="仿宋"/>
          <w:color w:val="auto"/>
          <w:kern w:val="0"/>
          <w:sz w:val="24"/>
        </w:rPr>
        <w:t>特此证明。</w:t>
      </w:r>
    </w:p>
    <w:p w14:paraId="6DCB2077">
      <w:pPr>
        <w:pStyle w:val="7"/>
        <w:numPr>
          <w:ilvl w:val="0"/>
          <w:numId w:val="0"/>
        </w:numPr>
        <w:kinsoku w:val="0"/>
        <w:overflowPunct w:val="0"/>
        <w:ind w:leftChars="0" w:right="0" w:rightChars="0"/>
        <w:rPr>
          <w:rFonts w:hint="eastAsia" w:ascii="仿宋" w:hAnsi="仿宋" w:eastAsia="仿宋" w:cs="仿宋"/>
          <w:color w:val="auto"/>
          <w:sz w:val="20"/>
          <w:szCs w:val="20"/>
        </w:rPr>
      </w:pPr>
    </w:p>
    <w:p w14:paraId="3A4EC07E">
      <w:pPr>
        <w:pStyle w:val="7"/>
        <w:numPr>
          <w:ilvl w:val="0"/>
          <w:numId w:val="0"/>
        </w:numPr>
        <w:kinsoku w:val="0"/>
        <w:overflowPunct w:val="0"/>
        <w:spacing w:before="7"/>
        <w:ind w:leftChars="0" w:right="0" w:rightChars="0"/>
        <w:rPr>
          <w:rFonts w:hint="eastAsia" w:ascii="仿宋" w:hAnsi="仿宋" w:eastAsia="仿宋" w:cs="仿宋"/>
          <w:color w:val="auto"/>
          <w:sz w:val="25"/>
          <w:szCs w:val="25"/>
        </w:rPr>
      </w:pPr>
    </w:p>
    <w:p w14:paraId="2BBD88C8">
      <w:pPr>
        <w:pStyle w:val="7"/>
        <w:numPr>
          <w:ilvl w:val="0"/>
          <w:numId w:val="0"/>
        </w:numPr>
        <w:kinsoku w:val="0"/>
        <w:overflowPunct w:val="0"/>
        <w:spacing w:line="200" w:lineRule="atLeast"/>
        <w:ind w:right="0" w:rightChars="0"/>
        <w:rPr>
          <w:rFonts w:hint="eastAsia" w:ascii="仿宋" w:hAnsi="仿宋" w:eastAsia="仿宋" w:cs="仿宋"/>
          <w:color w:val="auto"/>
          <w:sz w:val="20"/>
          <w:szCs w:val="20"/>
        </w:rPr>
      </w:pPr>
      <w:r>
        <w:rPr>
          <w:rFonts w:hint="eastAsia" w:ascii="仿宋" w:hAnsi="仿宋" w:eastAsia="仿宋" w:cs="仿宋"/>
          <w:color w:val="auto"/>
          <w:sz w:val="20"/>
          <w:szCs w:val="20"/>
        </w:rPr>
        <mc:AlternateContent>
          <mc:Choice Requires="wpg">
            <w:drawing>
              <wp:inline distT="0" distB="0" distL="114300" distR="114300">
                <wp:extent cx="5136515" cy="1458595"/>
                <wp:effectExtent l="0" t="0" r="8255" b="9525"/>
                <wp:docPr id="34" name="组合 34"/>
                <wp:cNvGraphicFramePr/>
                <a:graphic xmlns:a="http://schemas.openxmlformats.org/drawingml/2006/main">
                  <a:graphicData uri="http://schemas.microsoft.com/office/word/2010/wordprocessingGroup">
                    <wpg:wgp>
                      <wpg:cNvGrpSpPr>
                        <a:grpSpLocks noRot="1"/>
                      </wpg:cNvGrpSpPr>
                      <wpg:grpSpPr>
                        <a:xfrm>
                          <a:off x="0" y="0"/>
                          <a:ext cx="5136515" cy="1458595"/>
                          <a:chOff x="0" y="0"/>
                          <a:chExt cx="8089" cy="2297"/>
                        </a:xfrm>
                      </wpg:grpSpPr>
                      <wps:wsp>
                        <wps:cNvPr id="14" name="任意多边形 14"/>
                        <wps:cNvSpPr/>
                        <wps:spPr>
                          <a:xfrm>
                            <a:off x="4" y="9"/>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15" name="任意多边形 15"/>
                        <wps:cNvSpPr/>
                        <wps:spPr>
                          <a:xfrm>
                            <a:off x="24" y="28"/>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16" name="任意多边形 16"/>
                        <wps:cNvSpPr/>
                        <wps:spPr>
                          <a:xfrm>
                            <a:off x="24" y="2267"/>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17" name="任意多边形 17"/>
                        <wps:cNvSpPr/>
                        <wps:spPr>
                          <a:xfrm>
                            <a:off x="4" y="2286"/>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19" name="任意多边形 19"/>
                        <wps:cNvSpPr/>
                        <wps:spPr>
                          <a:xfrm>
                            <a:off x="9" y="4"/>
                            <a:ext cx="20" cy="2287"/>
                          </a:xfrm>
                          <a:custGeom>
                            <a:avLst/>
                            <a:gdLst/>
                            <a:ahLst/>
                            <a:cxnLst/>
                            <a:pathLst>
                              <a:path w="20" h="2287">
                                <a:moveTo>
                                  <a:pt x="0" y="0"/>
                                </a:moveTo>
                                <a:lnTo>
                                  <a:pt x="0" y="2286"/>
                                </a:lnTo>
                              </a:path>
                            </a:pathLst>
                          </a:custGeom>
                          <a:noFill/>
                          <a:ln w="6096" cap="flat" cmpd="sng">
                            <a:solidFill>
                              <a:srgbClr val="000000"/>
                            </a:solidFill>
                            <a:prstDash val="solid"/>
                            <a:headEnd type="none" w="med" len="med"/>
                            <a:tailEnd type="none" w="med" len="med"/>
                          </a:ln>
                        </wps:spPr>
                        <wps:bodyPr upright="1"/>
                      </wps:wsp>
                      <wps:wsp>
                        <wps:cNvPr id="20" name="任意多边形 20"/>
                        <wps:cNvSpPr/>
                        <wps:spPr>
                          <a:xfrm>
                            <a:off x="28" y="24"/>
                            <a:ext cx="20" cy="2249"/>
                          </a:xfrm>
                          <a:custGeom>
                            <a:avLst/>
                            <a:gdLst/>
                            <a:ahLst/>
                            <a:cxnLst/>
                            <a:pathLst>
                              <a:path w="20" h="2249">
                                <a:moveTo>
                                  <a:pt x="0" y="0"/>
                                </a:moveTo>
                                <a:lnTo>
                                  <a:pt x="0" y="2248"/>
                                </a:lnTo>
                              </a:path>
                            </a:pathLst>
                          </a:custGeom>
                          <a:noFill/>
                          <a:ln w="6096" cap="flat" cmpd="sng">
                            <a:solidFill>
                              <a:srgbClr val="000000"/>
                            </a:solidFill>
                            <a:prstDash val="solid"/>
                            <a:headEnd type="none" w="med" len="med"/>
                            <a:tailEnd type="none" w="med" len="med"/>
                          </a:ln>
                        </wps:spPr>
                        <wps:bodyPr upright="1"/>
                      </wps:wsp>
                      <wps:wsp>
                        <wps:cNvPr id="21" name="任意多边形 21"/>
                        <wps:cNvSpPr/>
                        <wps:spPr>
                          <a:xfrm>
                            <a:off x="4034"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22" name="任意多边形 22"/>
                        <wps:cNvSpPr/>
                        <wps:spPr>
                          <a:xfrm>
                            <a:off x="4053"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23" name="任意多边形 23"/>
                        <wps:cNvSpPr/>
                        <wps:spPr>
                          <a:xfrm>
                            <a:off x="8059" y="33"/>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24" name="任意多边形 24"/>
                        <wps:cNvSpPr/>
                        <wps:spPr>
                          <a:xfrm>
                            <a:off x="8078" y="14"/>
                            <a:ext cx="20" cy="2278"/>
                          </a:xfrm>
                          <a:custGeom>
                            <a:avLst/>
                            <a:gdLst/>
                            <a:ahLst/>
                            <a:cxnLst/>
                            <a:pathLst>
                              <a:path w="20" h="2278">
                                <a:moveTo>
                                  <a:pt x="0" y="0"/>
                                </a:moveTo>
                                <a:lnTo>
                                  <a:pt x="0" y="2277"/>
                                </a:lnTo>
                              </a:path>
                            </a:pathLst>
                          </a:custGeom>
                          <a:noFill/>
                          <a:ln w="6096" cap="flat" cmpd="sng">
                            <a:solidFill>
                              <a:srgbClr val="000000"/>
                            </a:solidFill>
                            <a:prstDash val="solid"/>
                            <a:headEnd type="none" w="med" len="med"/>
                            <a:tailEnd type="none" w="med" len="med"/>
                          </a:ln>
                        </wps:spPr>
                        <wps:bodyPr upright="1"/>
                      </wps:wsp>
                      <wps:wsp>
                        <wps:cNvPr id="27" name="文本框 27"/>
                        <wps:cNvSpPr txBox="1"/>
                        <wps:spPr>
                          <a:xfrm>
                            <a:off x="19" y="19"/>
                            <a:ext cx="4025" cy="2258"/>
                          </a:xfrm>
                          <a:prstGeom prst="rect">
                            <a:avLst/>
                          </a:prstGeom>
                          <a:noFill/>
                          <a:ln>
                            <a:noFill/>
                          </a:ln>
                        </wps:spPr>
                        <wps:txbx>
                          <w:txbxContent>
                            <w:p w14:paraId="075E81FE">
                              <w:pPr>
                                <w:pStyle w:val="7"/>
                                <w:numPr>
                                  <w:ilvl w:val="0"/>
                                  <w:numId w:val="0"/>
                                </w:numPr>
                                <w:kinsoku w:val="0"/>
                                <w:overflowPunct w:val="0"/>
                                <w:spacing w:before="13"/>
                                <w:ind w:leftChars="0" w:right="0" w:rightChars="0"/>
                                <w:rPr>
                                  <w:rFonts w:hint="eastAsia"/>
                                  <w:sz w:val="28"/>
                                  <w:szCs w:val="28"/>
                                </w:rPr>
                              </w:pPr>
                            </w:p>
                            <w:p w14:paraId="4D55B62C">
                              <w:pPr>
                                <w:pStyle w:val="7"/>
                                <w:numPr>
                                  <w:ilvl w:val="0"/>
                                  <w:numId w:val="0"/>
                                </w:numPr>
                                <w:kinsoku w:val="0"/>
                                <w:overflowPunct w:val="0"/>
                                <w:ind w:right="0" w:rightChars="0"/>
                                <w:jc w:val="center"/>
                                <w:rPr>
                                  <w:rFonts w:hint="eastAsia"/>
                                </w:rPr>
                              </w:pPr>
                            </w:p>
                            <w:p w14:paraId="685E362A">
                              <w:pPr>
                                <w:pStyle w:val="7"/>
                                <w:numPr>
                                  <w:ilvl w:val="0"/>
                                  <w:numId w:val="0"/>
                                </w:numPr>
                                <w:kinsoku w:val="0"/>
                                <w:overflowPunct w:val="0"/>
                                <w:ind w:right="0" w:rightChars="0"/>
                                <w:jc w:val="center"/>
                              </w:pPr>
                              <w:r>
                                <w:rPr>
                                  <w:rFonts w:hint="eastAsia"/>
                                </w:rPr>
                                <w:t>法定代表人身份证复印件（正面）</w:t>
                              </w:r>
                            </w:p>
                          </w:txbxContent>
                        </wps:txbx>
                        <wps:bodyPr lIns="0" tIns="0" rIns="0" bIns="0" upright="1"/>
                      </wps:wsp>
                      <wps:wsp>
                        <wps:cNvPr id="32" name="文本框 32"/>
                        <wps:cNvSpPr txBox="1"/>
                        <wps:spPr>
                          <a:xfrm>
                            <a:off x="4044" y="19"/>
                            <a:ext cx="4025" cy="2258"/>
                          </a:xfrm>
                          <a:prstGeom prst="rect">
                            <a:avLst/>
                          </a:prstGeom>
                          <a:noFill/>
                          <a:ln>
                            <a:noFill/>
                          </a:ln>
                        </wps:spPr>
                        <wps:txbx>
                          <w:txbxContent>
                            <w:p w14:paraId="51E8C3B4">
                              <w:pPr>
                                <w:pStyle w:val="7"/>
                                <w:numPr>
                                  <w:ilvl w:val="0"/>
                                  <w:numId w:val="0"/>
                                </w:numPr>
                                <w:kinsoku w:val="0"/>
                                <w:overflowPunct w:val="0"/>
                                <w:spacing w:before="13"/>
                                <w:ind w:leftChars="0" w:right="0" w:rightChars="0"/>
                                <w:rPr>
                                  <w:rFonts w:hint="eastAsia"/>
                                  <w:sz w:val="28"/>
                                  <w:szCs w:val="28"/>
                                </w:rPr>
                              </w:pPr>
                            </w:p>
                            <w:p w14:paraId="76EDE14B">
                              <w:pPr>
                                <w:pStyle w:val="7"/>
                                <w:numPr>
                                  <w:ilvl w:val="0"/>
                                  <w:numId w:val="0"/>
                                </w:numPr>
                                <w:kinsoku w:val="0"/>
                                <w:overflowPunct w:val="0"/>
                                <w:ind w:right="0" w:rightChars="0"/>
                                <w:jc w:val="center"/>
                                <w:rPr>
                                  <w:rFonts w:hint="eastAsia"/>
                                </w:rPr>
                              </w:pPr>
                            </w:p>
                            <w:p w14:paraId="75158F00">
                              <w:pPr>
                                <w:pStyle w:val="7"/>
                                <w:numPr>
                                  <w:ilvl w:val="0"/>
                                  <w:numId w:val="0"/>
                                </w:numPr>
                                <w:kinsoku w:val="0"/>
                                <w:overflowPunct w:val="0"/>
                                <w:ind w:right="0" w:rightChars="0"/>
                                <w:jc w:val="center"/>
                              </w:pPr>
                              <w:r>
                                <w:rPr>
                                  <w:rFonts w:hint="eastAsia"/>
                                </w:rPr>
                                <w:t>法定代表人身份证复印件（反面）</w:t>
                              </w:r>
                            </w:p>
                          </w:txbxContent>
                        </wps:txbx>
                        <wps:bodyPr lIns="0" tIns="0" rIns="0" bIns="0" upright="1"/>
                      </wps:wsp>
                    </wpg:wgp>
                  </a:graphicData>
                </a:graphic>
              </wp:inline>
            </w:drawing>
          </mc:Choice>
          <mc:Fallback>
            <w:pict>
              <v:group id="_x0000_s1026" o:spid="_x0000_s1026" o:spt="203" style="height:114.85pt;width:404.45pt;" coordsize="8089,2297" o:gfxdata="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">
                <o:lock v:ext="edit" rotation="t" aspectratio="f"/>
                <v:shape id="_x0000_s1026" o:spid="_x0000_s1026" o:spt="100" style="position:absolute;left:4;top:9;height:20;width:8079;" filled="f" stroked="t" coordsize="8079,20" o:gfxdata="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niTFugAAANsA&#10;AAAPAAAAAAAAAAEAIAAAACIAAABkcnMvZG93bnJldi54bWxQSwECFAAUAAAACACHTuJAMy8FnjsA&#10;AAA5AAAAEAAAAAAAAAABACAAAAAJAQAAZHJzL3NoYXBleG1sLnhtbFBLBQYAAAAABgAGAFsBAACz&#10;AwAAAAA=&#10;" path="m0,0l8078,0e">
                  <v:fill on="f" focussize="0,0"/>
                  <v:stroke weight="0.48pt" color="#000000" joinstyle="round"/>
                  <v:imagedata o:title=""/>
                  <o:lock v:ext="edit" aspectratio="f"/>
                </v:shape>
                <v:shape id="_x0000_s1026" o:spid="_x0000_s1026" o:spt="100" style="position:absolute;left:24;top:28;height:20;width:8041;" filled="f" stroked="t" coordsize="8041,20" o:gfxdata="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D7PROugAAANsA&#10;AAAPAAAAAAAAAAEAIAAAACIAAABkcnMvZG93bnJldi54bWxQSwECFAAUAAAACACHTuJAMy8FnjsA&#10;AAA5AAAAEAAAAAAAAAABACAAAAAJAQAAZHJzL3NoYXBleG1sLnhtbFBLBQYAAAAABgAGAFsBAACz&#10;AwAAAAA=&#10;" path="m0,0l8040,0e">
                  <v:fill on="f" focussize="0,0"/>
                  <v:stroke weight="0.48pt" color="#000000" joinstyle="round"/>
                  <v:imagedata o:title=""/>
                  <o:lock v:ext="edit" aspectratio="f"/>
                </v:shape>
                <v:shape id="_x0000_s1026" o:spid="_x0000_s1026" o:spt="100" style="position:absolute;left:24;top:2267;height:20;width:8041;" filled="f" stroked="t" coordsize="8041,20" o:gfxdata="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zPmo5ugAAANsA&#10;AAAPAAAAAAAAAAEAIAAAACIAAABkcnMvZG93bnJldi54bWxQSwECFAAUAAAACACHTuJAMy8FnjsA&#10;AAA5AAAAEAAAAAAAAAABACAAAAAJAQAAZHJzL3NoYXBleG1sLnhtbFBLBQYAAAAABgAGAFsBAACz&#10;AwAAAAA=&#10;" path="m0,0l8040,0e">
                  <v:fill on="f" focussize="0,0"/>
                  <v:stroke weight="0.48pt" color="#000000" joinstyle="round"/>
                  <v:imagedata o:title=""/>
                  <o:lock v:ext="edit" aspectratio="f"/>
                </v:shape>
                <v:shape id="_x0000_s1026" o:spid="_x0000_s1026" o:spt="100" style="position:absolute;left:4;top:2286;height:20;width:8079;" filled="f" stroked="t" coordsize="8079,20" o:gfxdata="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6TLqyugAAANsA&#10;AAAPAAAAAAAAAAEAIAAAACIAAABkcnMvZG93bnJldi54bWxQSwECFAAUAAAACACHTuJAMy8FnjsA&#10;AAA5AAAAEAAAAAAAAAABACAAAAAJAQAAZHJzL3NoYXBleG1sLnhtbFBLBQYAAAAABgAGAFsBAACz&#10;AwAAAAA=&#10;" path="m0,0l8078,0e">
                  <v:fill on="f" focussize="0,0"/>
                  <v:stroke weight="0.48pt" color="#000000" joinstyle="round"/>
                  <v:imagedata o:title=""/>
                  <o:lock v:ext="edit" aspectratio="f"/>
                </v:shape>
                <v:shape id="_x0000_s1026" o:spid="_x0000_s1026" o:spt="100" style="position:absolute;left:9;top:4;height:2287;width:20;" filled="f" stroked="t" coordsize="20,2287" o:gfxdata="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SEV/JugAAANsA&#10;AAAPAAAAAAAAAAEAIAAAACIAAABkcnMvZG93bnJldi54bWxQSwECFAAUAAAACACHTuJAMy8FnjsA&#10;AAA5AAAAEAAAAAAAAAABACAAAAAJAQAAZHJzL3NoYXBleG1sLnhtbFBLBQYAAAAABgAGAFsBAACz&#10;AwAAAAA=&#10;" path="m0,0l0,2286e">
                  <v:fill on="f" focussize="0,0"/>
                  <v:stroke weight="0.48pt" color="#000000" joinstyle="round"/>
                  <v:imagedata o:title=""/>
                  <o:lock v:ext="edit" aspectratio="f"/>
                </v:shape>
                <v:shape id="_x0000_s1026" o:spid="_x0000_s1026" o:spt="100" style="position:absolute;left:28;top:24;height:2249;width:20;" filled="f" stroked="t" coordsize="20,2249" o:gfxdata="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o0FDO8AAAA&#10;2wAAAA8AAAAAAAAAAQAgAAAAIgAAAGRycy9kb3ducmV2LnhtbFBLAQIUABQAAAAIAIdO4kAzLwWe&#10;OwAAADkAAAAQAAAAAAAAAAEAIAAAAAsBAABkcnMvc2hhcGV4bWwueG1sUEsFBgAAAAAGAAYAWwEA&#10;ALUDAAAAAA==&#10;" path="m0,0l0,2248e">
                  <v:fill on="f" focussize="0,0"/>
                  <v:stroke weight="0.48pt" color="#000000" joinstyle="round"/>
                  <v:imagedata o:title=""/>
                  <o:lock v:ext="edit" aspectratio="f"/>
                </v:shape>
                <v:shape id="_x0000_s1026" o:spid="_x0000_s1026" o:spt="100" style="position:absolute;left:4034;top:24;height:2239;width:20;" filled="f" stroked="t" coordsize="20,2239" o:gfxdata="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NM7irbsAAADb&#10;AAAADwAAAAAAAAABACAAAAAiAAAAZHJzL2Rvd25yZXYueG1sUEsBAhQAFAAAAAgAh07iQDMvBZ47&#10;AAAAOQAAABAAAAAAAAAAAQAgAAAACgEAAGRycy9zaGFwZXhtbC54bWxQSwUGAAAAAAYABgBbAQAA&#10;tAMAAAAA&#10;" path="m0,0l0,2238e">
                  <v:fill on="f" focussize="0,0"/>
                  <v:stroke weight="0.48pt" color="#000000" joinstyle="round"/>
                  <v:imagedata o:title=""/>
                  <o:lock v:ext="edit" aspectratio="f"/>
                </v:shape>
                <v:shape id="_x0000_s1026" o:spid="_x0000_s1026" o:spt="100" style="position:absolute;left:4053;top:24;height:2239;width:20;" filled="f" stroked="t" coordsize="20,2239" o:gfxdata="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xBx82rsAAADb&#10;AAAADwAAAAAAAAABACAAAAAiAAAAZHJzL2Rvd25yZXYueG1sUEsBAhQAFAAAAAgAh07iQDMvBZ47&#10;AAAAOQAAABAAAAAAAAAAAQAgAAAACgEAAGRycy9zaGFwZXhtbC54bWxQSwUGAAAAAAYABgBbAQAA&#10;tAMAAAAA&#10;" path="m0,0l0,2238e">
                  <v:fill on="f" focussize="0,0"/>
                  <v:stroke weight="0.48pt" color="#000000" joinstyle="round"/>
                  <v:imagedata o:title=""/>
                  <o:lock v:ext="edit" aspectratio="f"/>
                </v:shape>
                <v:shape id="_x0000_s1026" o:spid="_x0000_s1026" o:spt="100" style="position:absolute;left:8059;top:33;height:2239;width:20;" filled="f" stroked="t" coordsize="20,2239" o:gfxdata="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tQ2UG5AAAA2wAA&#10;AA8AAAAAAAAAAQAgAAAAIgAAAGRycy9kb3ducmV2LnhtbFBLAQIUABQAAAAIAIdO4kAzLwWeOwAA&#10;ADkAAAAQAAAAAAAAAAEAIAAAAAgBAABkcnMvc2hhcGV4bWwueG1sUEsFBgAAAAAGAAYAWwEAALID&#10;AAAAAA==&#10;" path="m0,0l0,2238e">
                  <v:fill on="f" focussize="0,0"/>
                  <v:stroke weight="0.48pt" color="#000000" joinstyle="round"/>
                  <v:imagedata o:title=""/>
                  <o:lock v:ext="edit" aspectratio="f"/>
                </v:shape>
                <v:shape id="_x0000_s1026" o:spid="_x0000_s1026" o:spt="100" style="position:absolute;left:8078;top:14;height:2278;width:20;" filled="f" stroked="t" coordsize="20,2278" o:gfxdata="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xB+w7vQAA&#10;ANsAAAAPAAAAAAAAAAEAIAAAACIAAABkcnMvZG93bnJldi54bWxQSwECFAAUAAAACACHTuJAMy8F&#10;njsAAAA5AAAAEAAAAAAAAAABACAAAAAMAQAAZHJzL3NoYXBleG1sLnhtbFBLBQYAAAAABgAGAFsB&#10;AAC2AwAAAAA=&#10;" path="m0,0l0,2277e">
                  <v:fill on="f" focussize="0,0"/>
                  <v:stroke weight="0.48pt" color="#000000" joinstyle="round"/>
                  <v:imagedata o:title=""/>
                  <o:lock v:ext="edit" aspectratio="f"/>
                </v:shape>
                <v:shape id="_x0000_s1026" o:spid="_x0000_s1026" o:spt="202" type="#_x0000_t202" style="position:absolute;left:19;top:19;height:2258;width:4025;"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075E81FE">
                        <w:pPr>
                          <w:pStyle w:val="7"/>
                          <w:numPr>
                            <w:ilvl w:val="0"/>
                            <w:numId w:val="0"/>
                          </w:numPr>
                          <w:kinsoku w:val="0"/>
                          <w:overflowPunct w:val="0"/>
                          <w:spacing w:before="13"/>
                          <w:ind w:leftChars="0" w:right="0" w:rightChars="0"/>
                          <w:rPr>
                            <w:rFonts w:hint="eastAsia"/>
                            <w:sz w:val="28"/>
                            <w:szCs w:val="28"/>
                          </w:rPr>
                        </w:pPr>
                      </w:p>
                      <w:p w14:paraId="4D55B62C">
                        <w:pPr>
                          <w:pStyle w:val="7"/>
                          <w:numPr>
                            <w:ilvl w:val="0"/>
                            <w:numId w:val="0"/>
                          </w:numPr>
                          <w:kinsoku w:val="0"/>
                          <w:overflowPunct w:val="0"/>
                          <w:ind w:right="0" w:rightChars="0"/>
                          <w:jc w:val="center"/>
                          <w:rPr>
                            <w:rFonts w:hint="eastAsia"/>
                          </w:rPr>
                        </w:pPr>
                      </w:p>
                      <w:p w14:paraId="685E362A">
                        <w:pPr>
                          <w:pStyle w:val="7"/>
                          <w:numPr>
                            <w:ilvl w:val="0"/>
                            <w:numId w:val="0"/>
                          </w:numPr>
                          <w:kinsoku w:val="0"/>
                          <w:overflowPunct w:val="0"/>
                          <w:ind w:right="0" w:rightChars="0"/>
                          <w:jc w:val="center"/>
                        </w:pPr>
                        <w:r>
                          <w:rPr>
                            <w:rFonts w:hint="eastAsia"/>
                          </w:rPr>
                          <w:t>法定代表人身份证复印件（正面）</w:t>
                        </w:r>
                      </w:p>
                    </w:txbxContent>
                  </v:textbox>
                </v:shape>
                <v:shape id="_x0000_s1026" o:spid="_x0000_s1026" o:spt="202" type="#_x0000_t202" style="position:absolute;left:4044;top:19;height:2258;width:4025;" filled="f" stroked="f" coordsize="21600,21600" o:gfxdata="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iGWN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51E8C3B4">
                        <w:pPr>
                          <w:pStyle w:val="7"/>
                          <w:numPr>
                            <w:ilvl w:val="0"/>
                            <w:numId w:val="0"/>
                          </w:numPr>
                          <w:kinsoku w:val="0"/>
                          <w:overflowPunct w:val="0"/>
                          <w:spacing w:before="13"/>
                          <w:ind w:leftChars="0" w:right="0" w:rightChars="0"/>
                          <w:rPr>
                            <w:rFonts w:hint="eastAsia"/>
                            <w:sz w:val="28"/>
                            <w:szCs w:val="28"/>
                          </w:rPr>
                        </w:pPr>
                      </w:p>
                      <w:p w14:paraId="76EDE14B">
                        <w:pPr>
                          <w:pStyle w:val="7"/>
                          <w:numPr>
                            <w:ilvl w:val="0"/>
                            <w:numId w:val="0"/>
                          </w:numPr>
                          <w:kinsoku w:val="0"/>
                          <w:overflowPunct w:val="0"/>
                          <w:ind w:right="0" w:rightChars="0"/>
                          <w:jc w:val="center"/>
                          <w:rPr>
                            <w:rFonts w:hint="eastAsia"/>
                          </w:rPr>
                        </w:pPr>
                      </w:p>
                      <w:p w14:paraId="75158F00">
                        <w:pPr>
                          <w:pStyle w:val="7"/>
                          <w:numPr>
                            <w:ilvl w:val="0"/>
                            <w:numId w:val="0"/>
                          </w:numPr>
                          <w:kinsoku w:val="0"/>
                          <w:overflowPunct w:val="0"/>
                          <w:ind w:right="0" w:rightChars="0"/>
                          <w:jc w:val="center"/>
                        </w:pPr>
                        <w:r>
                          <w:rPr>
                            <w:rFonts w:hint="eastAsia"/>
                          </w:rPr>
                          <w:t>法定代表人身份证复印件（反面）</w:t>
                        </w:r>
                      </w:p>
                    </w:txbxContent>
                  </v:textbox>
                </v:shape>
                <w10:wrap type="none"/>
                <w10:anchorlock/>
              </v:group>
            </w:pict>
          </mc:Fallback>
        </mc:AlternateContent>
      </w:r>
    </w:p>
    <w:p w14:paraId="71B29938">
      <w:pPr>
        <w:wordWrap w:val="0"/>
        <w:spacing w:line="420" w:lineRule="exact"/>
        <w:ind w:firstLine="486" w:firstLineChars="200"/>
        <w:jc w:val="right"/>
        <w:rPr>
          <w:rFonts w:hint="eastAsia" w:ascii="仿宋" w:hAnsi="仿宋" w:eastAsia="仿宋" w:cs="仿宋"/>
          <w:color w:val="auto"/>
          <w:kern w:val="0"/>
          <w:sz w:val="24"/>
        </w:rPr>
      </w:pPr>
    </w:p>
    <w:p w14:paraId="19B2450C">
      <w:pPr>
        <w:spacing w:line="420" w:lineRule="exact"/>
        <w:ind w:firstLine="486" w:firstLineChars="200"/>
        <w:jc w:val="right"/>
        <w:rPr>
          <w:rFonts w:hint="eastAsia" w:ascii="仿宋" w:hAnsi="仿宋" w:eastAsia="仿宋" w:cs="仿宋"/>
          <w:color w:val="auto"/>
          <w:kern w:val="0"/>
          <w:sz w:val="24"/>
        </w:rPr>
      </w:pPr>
    </w:p>
    <w:p w14:paraId="34A1513F">
      <w:pPr>
        <w:spacing w:line="420" w:lineRule="exact"/>
        <w:ind w:firstLine="486" w:firstLineChars="200"/>
        <w:jc w:val="right"/>
        <w:rPr>
          <w:rFonts w:hint="eastAsia" w:ascii="仿宋" w:hAnsi="仿宋" w:eastAsia="仿宋" w:cs="仿宋"/>
          <w:color w:val="auto"/>
          <w:kern w:val="0"/>
          <w:sz w:val="24"/>
        </w:rPr>
      </w:pPr>
      <w:r>
        <w:rPr>
          <w:rFonts w:hint="eastAsia" w:ascii="仿宋" w:hAnsi="仿宋" w:eastAsia="仿宋" w:cs="仿宋"/>
          <w:color w:val="auto"/>
          <w:kern w:val="0"/>
          <w:sz w:val="24"/>
        </w:rPr>
        <w:t>投标人：</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（公章）</w:t>
      </w:r>
    </w:p>
    <w:p w14:paraId="428B4A17">
      <w:pPr>
        <w:wordWrap w:val="0"/>
        <w:spacing w:line="420" w:lineRule="exact"/>
        <w:ind w:right="480" w:firstLine="486" w:firstLineChars="200"/>
        <w:jc w:val="center"/>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年</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月</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日 </w:t>
      </w:r>
    </w:p>
    <w:p w14:paraId="439A99A0">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szCs w:val="21"/>
        </w:rPr>
      </w:pPr>
      <w:r>
        <w:rPr>
          <w:rFonts w:hint="eastAsia" w:ascii="仿宋" w:hAnsi="仿宋" w:eastAsia="仿宋" w:cs="仿宋"/>
          <w:color w:val="auto"/>
        </w:rPr>
        <w:br w:type="page"/>
      </w:r>
      <w:r>
        <w:rPr>
          <w:rFonts w:hint="eastAsia" w:ascii="仿宋" w:hAnsi="仿宋" w:eastAsia="仿宋" w:cs="仿宋"/>
          <w:b/>
          <w:bCs/>
          <w:color w:val="auto"/>
          <w:sz w:val="36"/>
          <w:szCs w:val="36"/>
          <w:lang w:val="en-US" w:eastAsia="zh-CN"/>
        </w:rPr>
        <w:t>3</w:t>
      </w:r>
      <w:r>
        <w:rPr>
          <w:rFonts w:hint="eastAsia" w:ascii="仿宋" w:hAnsi="仿宋" w:eastAsia="仿宋" w:cs="仿宋"/>
          <w:b/>
          <w:bCs/>
          <w:color w:val="auto"/>
          <w:sz w:val="36"/>
          <w:szCs w:val="36"/>
        </w:rPr>
        <w:t>、授权委托书</w:t>
      </w:r>
    </w:p>
    <w:p w14:paraId="4FBBE1BC">
      <w:pPr>
        <w:spacing w:line="420" w:lineRule="exact"/>
        <w:rPr>
          <w:rFonts w:hint="eastAsia" w:ascii="仿宋" w:hAnsi="仿宋" w:eastAsia="仿宋" w:cs="仿宋"/>
          <w:color w:val="auto"/>
          <w:kern w:val="0"/>
          <w:sz w:val="24"/>
        </w:rPr>
      </w:pPr>
      <w:r>
        <w:rPr>
          <w:rFonts w:hint="eastAsia" w:ascii="仿宋" w:hAnsi="仿宋" w:eastAsia="仿宋" w:cs="仿宋"/>
          <w:color w:val="auto"/>
          <w:kern w:val="0"/>
          <w:sz w:val="24"/>
        </w:rPr>
        <w:t xml:space="preserve">致：采购人名称 </w:t>
      </w:r>
    </w:p>
    <w:p w14:paraId="5667477E">
      <w:pPr>
        <w:spacing w:line="42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本授权书声明：注册于</w:t>
      </w:r>
      <w:r>
        <w:rPr>
          <w:rFonts w:hint="eastAsia" w:ascii="仿宋" w:hAnsi="仿宋" w:eastAsia="仿宋" w:cs="仿宋"/>
          <w:color w:val="auto"/>
          <w:kern w:val="0"/>
          <w:sz w:val="24"/>
          <w:u w:val="single"/>
        </w:rPr>
        <w:t>（投标人地址）</w:t>
      </w:r>
      <w:r>
        <w:rPr>
          <w:rFonts w:hint="eastAsia" w:ascii="仿宋" w:hAnsi="仿宋" w:eastAsia="仿宋" w:cs="仿宋"/>
          <w:color w:val="auto"/>
          <w:kern w:val="0"/>
          <w:sz w:val="24"/>
        </w:rPr>
        <w:t>的</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法定代表人（负责人）</w:t>
      </w:r>
      <w:r>
        <w:rPr>
          <w:rFonts w:hint="eastAsia" w:ascii="仿宋" w:hAnsi="仿宋" w:eastAsia="仿宋" w:cs="仿宋"/>
          <w:color w:val="auto"/>
          <w:kern w:val="0"/>
          <w:sz w:val="24"/>
          <w:u w:val="single"/>
        </w:rPr>
        <w:t>姓名、职务或职称）</w:t>
      </w:r>
      <w:r>
        <w:rPr>
          <w:rFonts w:hint="eastAsia" w:ascii="仿宋" w:hAnsi="仿宋" w:eastAsia="仿宋" w:cs="仿宋"/>
          <w:color w:val="auto"/>
          <w:kern w:val="0"/>
          <w:sz w:val="24"/>
        </w:rPr>
        <w:t>代表本公司授权</w:t>
      </w:r>
      <w:r>
        <w:rPr>
          <w:rFonts w:hint="eastAsia" w:ascii="仿宋" w:hAnsi="仿宋" w:eastAsia="仿宋" w:cs="仿宋"/>
          <w:color w:val="auto"/>
          <w:kern w:val="0"/>
          <w:sz w:val="24"/>
          <w:u w:val="single"/>
        </w:rPr>
        <w:t>（姓名）</w:t>
      </w:r>
      <w:r>
        <w:rPr>
          <w:rFonts w:hint="eastAsia" w:ascii="仿宋" w:hAnsi="仿宋" w:eastAsia="仿宋" w:cs="仿宋"/>
          <w:color w:val="auto"/>
          <w:kern w:val="0"/>
          <w:sz w:val="24"/>
        </w:rPr>
        <w:t>为本单位的合法代理人，参与贵方组织的</w:t>
      </w:r>
      <w:r>
        <w:rPr>
          <w:rFonts w:hint="eastAsia" w:ascii="仿宋" w:hAnsi="仿宋" w:eastAsia="仿宋" w:cs="仿宋"/>
          <w:color w:val="auto"/>
          <w:kern w:val="0"/>
          <w:sz w:val="24"/>
          <w:u w:val="single"/>
        </w:rPr>
        <w:t>（项目名称及项目编号）</w:t>
      </w:r>
      <w:r>
        <w:rPr>
          <w:rFonts w:hint="eastAsia" w:ascii="仿宋" w:hAnsi="仿宋" w:eastAsia="仿宋" w:cs="仿宋"/>
          <w:color w:val="auto"/>
          <w:kern w:val="0"/>
          <w:sz w:val="24"/>
        </w:rPr>
        <w:t xml:space="preserve"> 的投标、谈判、签约等具体工作，并签署全部有关文件、协议及合同。</w:t>
      </w:r>
    </w:p>
    <w:p w14:paraId="75348077">
      <w:pPr>
        <w:adjustRightInd w:val="0"/>
        <w:snapToGrid w:val="0"/>
        <w:spacing w:line="42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我单位对被授权人的上述经济活动负全部责任。在撤销授权的书面通知前，本授权书一直有效。被授权人在授权书有效期内签署的所有文件不因授权的撤消而失效。</w:t>
      </w:r>
    </w:p>
    <w:p w14:paraId="46C9044A">
      <w:pPr>
        <w:pStyle w:val="7"/>
        <w:tabs>
          <w:tab w:val="left" w:pos="780"/>
        </w:tabs>
        <w:kinsoku w:val="0"/>
        <w:overflowPunct w:val="0"/>
        <w:adjustRightInd w:val="0"/>
        <w:snapToGrid w:val="0"/>
        <w:spacing w:before="12"/>
        <w:rPr>
          <w:rFonts w:hint="eastAsia" w:ascii="仿宋" w:hAnsi="仿宋" w:eastAsia="仿宋" w:cs="仿宋"/>
          <w:color w:val="auto"/>
          <w:sz w:val="4"/>
          <w:szCs w:val="4"/>
        </w:rPr>
      </w:pPr>
    </w:p>
    <w:p w14:paraId="13148D40">
      <w:pPr>
        <w:pStyle w:val="7"/>
        <w:numPr>
          <w:ilvl w:val="0"/>
          <w:numId w:val="0"/>
        </w:numPr>
        <w:kinsoku w:val="0"/>
        <w:overflowPunct w:val="0"/>
        <w:adjustRightInd w:val="0"/>
        <w:snapToGrid w:val="0"/>
        <w:spacing w:line="200" w:lineRule="atLeast"/>
        <w:ind w:right="1931" w:rightChars="795"/>
        <w:jc w:val="center"/>
        <w:rPr>
          <w:rFonts w:hint="eastAsia" w:ascii="仿宋" w:hAnsi="仿宋" w:eastAsia="仿宋" w:cs="仿宋"/>
          <w:color w:val="auto"/>
          <w:sz w:val="18"/>
          <w:szCs w:val="20"/>
        </w:rPr>
      </w:pPr>
      <w:r>
        <w:rPr>
          <w:rFonts w:hint="eastAsia" w:ascii="仿宋" w:hAnsi="仿宋" w:eastAsia="仿宋" w:cs="仿宋"/>
          <w:color w:val="auto"/>
          <w:sz w:val="18"/>
          <w:szCs w:val="20"/>
        </w:rPr>
        <mc:AlternateContent>
          <mc:Choice Requires="wpg">
            <w:drawing>
              <wp:inline distT="0" distB="0" distL="114300" distR="114300">
                <wp:extent cx="5136515" cy="1458595"/>
                <wp:effectExtent l="0" t="0" r="8255" b="9525"/>
                <wp:docPr id="35" name="组合 35"/>
                <wp:cNvGraphicFramePr/>
                <a:graphic xmlns:a="http://schemas.openxmlformats.org/drawingml/2006/main">
                  <a:graphicData uri="http://schemas.microsoft.com/office/word/2010/wordprocessingGroup">
                    <wpg:wgp>
                      <wpg:cNvGrpSpPr>
                        <a:grpSpLocks noRot="1"/>
                      </wpg:cNvGrpSpPr>
                      <wpg:grpSpPr>
                        <a:xfrm>
                          <a:off x="0" y="0"/>
                          <a:ext cx="5136515" cy="1458595"/>
                          <a:chOff x="0" y="0"/>
                          <a:chExt cx="8089" cy="2297"/>
                        </a:xfrm>
                      </wpg:grpSpPr>
                      <wps:wsp>
                        <wps:cNvPr id="28" name="任意多边形 1"/>
                        <wps:cNvSpPr/>
                        <wps:spPr>
                          <a:xfrm>
                            <a:off x="4" y="9"/>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2" name="任意多边形 2"/>
                        <wps:cNvSpPr/>
                        <wps:spPr>
                          <a:xfrm>
                            <a:off x="24" y="28"/>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3" name="任意多边形 3"/>
                        <wps:cNvSpPr/>
                        <wps:spPr>
                          <a:xfrm>
                            <a:off x="24" y="2267"/>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4" name="任意多边形 4"/>
                        <wps:cNvSpPr/>
                        <wps:spPr>
                          <a:xfrm>
                            <a:off x="4" y="2286"/>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5" name="任意多边形 5"/>
                        <wps:cNvSpPr/>
                        <wps:spPr>
                          <a:xfrm>
                            <a:off x="9" y="4"/>
                            <a:ext cx="20" cy="2287"/>
                          </a:xfrm>
                          <a:custGeom>
                            <a:avLst/>
                            <a:gdLst/>
                            <a:ahLst/>
                            <a:cxnLst/>
                            <a:pathLst>
                              <a:path w="20" h="2287">
                                <a:moveTo>
                                  <a:pt x="0" y="0"/>
                                </a:moveTo>
                                <a:lnTo>
                                  <a:pt x="0" y="2286"/>
                                </a:lnTo>
                              </a:path>
                            </a:pathLst>
                          </a:custGeom>
                          <a:noFill/>
                          <a:ln w="6096" cap="flat" cmpd="sng">
                            <a:solidFill>
                              <a:srgbClr val="000000"/>
                            </a:solidFill>
                            <a:prstDash val="solid"/>
                            <a:headEnd type="none" w="med" len="med"/>
                            <a:tailEnd type="none" w="med" len="med"/>
                          </a:ln>
                        </wps:spPr>
                        <wps:bodyPr upright="1"/>
                      </wps:wsp>
                      <wps:wsp>
                        <wps:cNvPr id="6" name="任意多边形 6"/>
                        <wps:cNvSpPr/>
                        <wps:spPr>
                          <a:xfrm>
                            <a:off x="28" y="24"/>
                            <a:ext cx="20" cy="2249"/>
                          </a:xfrm>
                          <a:custGeom>
                            <a:avLst/>
                            <a:gdLst/>
                            <a:ahLst/>
                            <a:cxnLst/>
                            <a:pathLst>
                              <a:path w="20" h="2249">
                                <a:moveTo>
                                  <a:pt x="0" y="0"/>
                                </a:moveTo>
                                <a:lnTo>
                                  <a:pt x="0" y="2248"/>
                                </a:lnTo>
                              </a:path>
                            </a:pathLst>
                          </a:custGeom>
                          <a:noFill/>
                          <a:ln w="6096" cap="flat" cmpd="sng">
                            <a:solidFill>
                              <a:srgbClr val="000000"/>
                            </a:solidFill>
                            <a:prstDash val="solid"/>
                            <a:headEnd type="none" w="med" len="med"/>
                            <a:tailEnd type="none" w="med" len="med"/>
                          </a:ln>
                        </wps:spPr>
                        <wps:bodyPr upright="1"/>
                      </wps:wsp>
                      <wps:wsp>
                        <wps:cNvPr id="7" name="任意多边形 7"/>
                        <wps:cNvSpPr/>
                        <wps:spPr>
                          <a:xfrm>
                            <a:off x="4034"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8" name="任意多边形 8"/>
                        <wps:cNvSpPr/>
                        <wps:spPr>
                          <a:xfrm>
                            <a:off x="4053"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9" name="任意多边形 9"/>
                        <wps:cNvSpPr/>
                        <wps:spPr>
                          <a:xfrm>
                            <a:off x="8059" y="33"/>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10" name="任意多边形 10"/>
                        <wps:cNvSpPr/>
                        <wps:spPr>
                          <a:xfrm>
                            <a:off x="8078" y="14"/>
                            <a:ext cx="20" cy="2278"/>
                          </a:xfrm>
                          <a:custGeom>
                            <a:avLst/>
                            <a:gdLst/>
                            <a:ahLst/>
                            <a:cxnLst/>
                            <a:pathLst>
                              <a:path w="20" h="2278">
                                <a:moveTo>
                                  <a:pt x="0" y="0"/>
                                </a:moveTo>
                                <a:lnTo>
                                  <a:pt x="0" y="2277"/>
                                </a:lnTo>
                              </a:path>
                            </a:pathLst>
                          </a:custGeom>
                          <a:noFill/>
                          <a:ln w="6096" cap="flat" cmpd="sng">
                            <a:solidFill>
                              <a:srgbClr val="000000"/>
                            </a:solidFill>
                            <a:prstDash val="solid"/>
                            <a:headEnd type="none" w="med" len="med"/>
                            <a:tailEnd type="none" w="med" len="med"/>
                          </a:ln>
                        </wps:spPr>
                        <wps:bodyPr upright="1"/>
                      </wps:wsp>
                      <wps:wsp>
                        <wps:cNvPr id="11" name="文本框 11"/>
                        <wps:cNvSpPr txBox="1"/>
                        <wps:spPr>
                          <a:xfrm>
                            <a:off x="19" y="19"/>
                            <a:ext cx="4025" cy="2258"/>
                          </a:xfrm>
                          <a:prstGeom prst="rect">
                            <a:avLst/>
                          </a:prstGeom>
                          <a:noFill/>
                          <a:ln>
                            <a:noFill/>
                          </a:ln>
                        </wps:spPr>
                        <wps:txbx>
                          <w:txbxContent>
                            <w:p w14:paraId="69EFEAA2">
                              <w:pPr>
                                <w:pStyle w:val="7"/>
                                <w:numPr>
                                  <w:ilvl w:val="0"/>
                                  <w:numId w:val="0"/>
                                </w:numPr>
                                <w:kinsoku w:val="0"/>
                                <w:overflowPunct w:val="0"/>
                                <w:spacing w:before="12"/>
                                <w:ind w:leftChars="0" w:right="0" w:rightChars="0"/>
                                <w:rPr>
                                  <w:rFonts w:hint="eastAsia"/>
                                  <w:sz w:val="28"/>
                                  <w:szCs w:val="28"/>
                                </w:rPr>
                              </w:pPr>
                            </w:p>
                            <w:p w14:paraId="57936E71">
                              <w:pPr>
                                <w:pStyle w:val="7"/>
                                <w:numPr>
                                  <w:ilvl w:val="0"/>
                                  <w:numId w:val="0"/>
                                </w:numPr>
                                <w:kinsoku w:val="0"/>
                                <w:overflowPunct w:val="0"/>
                                <w:ind w:right="0" w:rightChars="0"/>
                                <w:jc w:val="center"/>
                                <w:rPr>
                                  <w:rFonts w:hint="eastAsia"/>
                                </w:rPr>
                              </w:pPr>
                            </w:p>
                            <w:p w14:paraId="02676B5D">
                              <w:pPr>
                                <w:pStyle w:val="7"/>
                                <w:numPr>
                                  <w:ilvl w:val="0"/>
                                  <w:numId w:val="0"/>
                                </w:numPr>
                                <w:kinsoku w:val="0"/>
                                <w:overflowPunct w:val="0"/>
                                <w:ind w:right="0" w:rightChars="0"/>
                                <w:jc w:val="center"/>
                              </w:pPr>
                              <w:r>
                                <w:rPr>
                                  <w:rFonts w:hint="eastAsia"/>
                                </w:rPr>
                                <w:t>授权人身份证复印件（正面）</w:t>
                              </w:r>
                            </w:p>
                          </w:txbxContent>
                        </wps:txbx>
                        <wps:bodyPr lIns="0" tIns="0" rIns="0" bIns="0" upright="1"/>
                      </wps:wsp>
                      <wps:wsp>
                        <wps:cNvPr id="12" name="文本框 12"/>
                        <wps:cNvSpPr txBox="1"/>
                        <wps:spPr>
                          <a:xfrm>
                            <a:off x="4044" y="19"/>
                            <a:ext cx="4025" cy="2258"/>
                          </a:xfrm>
                          <a:prstGeom prst="rect">
                            <a:avLst/>
                          </a:prstGeom>
                          <a:noFill/>
                          <a:ln>
                            <a:noFill/>
                          </a:ln>
                        </wps:spPr>
                        <wps:txbx>
                          <w:txbxContent>
                            <w:p w14:paraId="085BF341">
                              <w:pPr>
                                <w:pStyle w:val="7"/>
                                <w:numPr>
                                  <w:ilvl w:val="0"/>
                                  <w:numId w:val="0"/>
                                </w:numPr>
                                <w:kinsoku w:val="0"/>
                                <w:overflowPunct w:val="0"/>
                                <w:ind w:right="0" w:rightChars="0"/>
                                <w:rPr>
                                  <w:rFonts w:hint="eastAsia"/>
                                </w:rPr>
                              </w:pPr>
                            </w:p>
                            <w:p w14:paraId="50A27D0B">
                              <w:pPr>
                                <w:pStyle w:val="7"/>
                                <w:numPr>
                                  <w:ilvl w:val="0"/>
                                  <w:numId w:val="0"/>
                                </w:numPr>
                                <w:kinsoku w:val="0"/>
                                <w:overflowPunct w:val="0"/>
                                <w:ind w:right="0" w:rightChars="0"/>
                                <w:rPr>
                                  <w:rFonts w:hint="eastAsia"/>
                                </w:rPr>
                              </w:pPr>
                            </w:p>
                            <w:p w14:paraId="754AAE5B">
                              <w:pPr>
                                <w:pStyle w:val="7"/>
                                <w:numPr>
                                  <w:ilvl w:val="0"/>
                                  <w:numId w:val="0"/>
                                </w:numPr>
                                <w:kinsoku w:val="0"/>
                                <w:overflowPunct w:val="0"/>
                                <w:ind w:right="0" w:rightChars="0"/>
                                <w:jc w:val="center"/>
                                <w:rPr>
                                  <w:rFonts w:hint="eastAsia"/>
                                </w:rPr>
                              </w:pPr>
                            </w:p>
                            <w:p w14:paraId="2FF7D8EC">
                              <w:pPr>
                                <w:pStyle w:val="7"/>
                                <w:numPr>
                                  <w:ilvl w:val="0"/>
                                  <w:numId w:val="0"/>
                                </w:numPr>
                                <w:kinsoku w:val="0"/>
                                <w:overflowPunct w:val="0"/>
                                <w:ind w:right="0" w:rightChars="0"/>
                                <w:jc w:val="center"/>
                              </w:pPr>
                              <w:r>
                                <w:rPr>
                                  <w:rFonts w:hint="eastAsia"/>
                                </w:rPr>
                                <w:t>授权人身份证复印件（反面）</w:t>
                              </w:r>
                            </w:p>
                          </w:txbxContent>
                        </wps:txbx>
                        <wps:bodyPr lIns="0" tIns="0" rIns="0" bIns="0" upright="1"/>
                      </wps:wsp>
                    </wpg:wgp>
                  </a:graphicData>
                </a:graphic>
              </wp:inline>
            </w:drawing>
          </mc:Choice>
          <mc:Fallback>
            <w:pict>
              <v:group id="_x0000_s1026" o:spid="_x0000_s1026" o:spt="203" style="height:114.85pt;width:404.45pt;" coordsize="8089,2297" o:gfxdata="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">
                <o:lock v:ext="edit" rotation="t" aspectratio="f"/>
                <v:shape id="任意多边形 1" o:spid="_x0000_s1026" o:spt="100" style="position:absolute;left:4;top:9;height:20;width:8079;" filled="f" stroked="t" coordsize="8079,20" o:gfxdata="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W/5H25AAAA2wAA&#10;AA8AAAAAAAAAAQAgAAAAIgAAAGRycy9kb3ducmV2LnhtbFBLAQIUABQAAAAIAIdO4kAzLwWeOwAA&#10;ADkAAAAQAAAAAAAAAAEAIAAAAAgBAABkcnMvc2hhcGV4bWwueG1sUEsFBgAAAAAGAAYAWwEAALID&#10;AAAAAA==&#10;" path="m0,0l8078,0e">
                  <v:fill on="f" focussize="0,0"/>
                  <v:stroke weight="0.48pt" color="#000000" joinstyle="round"/>
                  <v:imagedata o:title=""/>
                  <o:lock v:ext="edit" aspectratio="f"/>
                </v:shape>
                <v:shape id="_x0000_s1026" o:spid="_x0000_s1026" o:spt="100" style="position:absolute;left:24;top:28;height:20;width:8041;" filled="f" stroked="t" coordsize="8041,20" o:gfxdata="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tvKxbsAAADa&#10;AAAADwAAAAAAAAABACAAAAAiAAAAZHJzL2Rvd25yZXYueG1sUEsBAhQAFAAAAAgAh07iQDMvBZ47&#10;AAAAOQAAABAAAAAAAAAAAQAgAAAACgEAAGRycy9zaGFwZXhtbC54bWxQSwUGAAAAAAYABgBbAQAA&#10;tAMAAAAA&#10;" path="m0,0l8040,0e">
                  <v:fill on="f" focussize="0,0"/>
                  <v:stroke weight="0.48pt" color="#000000" joinstyle="round"/>
                  <v:imagedata o:title=""/>
                  <o:lock v:ext="edit" aspectratio="f"/>
                </v:shape>
                <v:shape id="_x0000_s1026" o:spid="_x0000_s1026" o:spt="100" style="position:absolute;left:24;top:2267;height:20;width:8041;" filled="f" stroked="t" coordsize="8041,20" o:gfxdata="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mXb168AAAA&#10;2gAAAA8AAAAAAAAAAQAgAAAAIgAAAGRycy9kb3ducmV2LnhtbFBLAQIUABQAAAAIAIdO4kAzLwWe&#10;OwAAADkAAAAQAAAAAAAAAAEAIAAAAAsBAABkcnMvc2hhcGV4bWwueG1sUEsFBgAAAAAGAAYAWwEA&#10;ALUDAAAAAA==&#10;" path="m0,0l8040,0e">
                  <v:fill on="f" focussize="0,0"/>
                  <v:stroke weight="0.48pt" color="#000000" joinstyle="round"/>
                  <v:imagedata o:title=""/>
                  <o:lock v:ext="edit" aspectratio="f"/>
                </v:shape>
                <v:shape id="_x0000_s1026" o:spid="_x0000_s1026" o:spt="100" style="position:absolute;left:4;top:2286;height:20;width:8079;" filled="f" stroked="t" coordsize="8079,20" o:gfxdata="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xCs4W8AAAA&#10;2gAAAA8AAAAAAAAAAQAgAAAAIgAAAGRycy9kb3ducmV2LnhtbFBLAQIUABQAAAAIAIdO4kAzLwWe&#10;OwAAADkAAAAQAAAAAAAAAAEAIAAAAAsBAABkcnMvc2hhcGV4bWwueG1sUEsFBgAAAAAGAAYAWwEA&#10;ALUDAAAAAA==&#10;" path="m0,0l8078,0e">
                  <v:fill on="f" focussize="0,0"/>
                  <v:stroke weight="0.48pt" color="#000000" joinstyle="round"/>
                  <v:imagedata o:title=""/>
                  <o:lock v:ext="edit" aspectratio="f"/>
                </v:shape>
                <v:shape id="_x0000_s1026" o:spid="_x0000_s1026" o:spt="100" style="position:absolute;left:9;top:4;height:2287;width:20;" filled="f" stroked="t" coordsize="20,2287" o:gfxdata="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MWGLsAAADa&#10;AAAADwAAAAAAAAABACAAAAAiAAAAZHJzL2Rvd25yZXYueG1sUEsBAhQAFAAAAAgAh07iQDMvBZ47&#10;AAAAOQAAABAAAAAAAAAAAQAgAAAACgEAAGRycy9zaGFwZXhtbC54bWxQSwUGAAAAAAYABgBbAQAA&#10;tAMAAAAA&#10;" path="m0,0l0,2286e">
                  <v:fill on="f" focussize="0,0"/>
                  <v:stroke weight="0.48pt" color="#000000" joinstyle="round"/>
                  <v:imagedata o:title=""/>
                  <o:lock v:ext="edit" aspectratio="f"/>
                </v:shape>
                <v:shape id="_x0000_s1026" o:spid="_x0000_s1026" o:spt="100" style="position:absolute;left:28;top:24;height:2249;width:20;" filled="f" stroked="t" coordsize="20,2249" o:gfxdata="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HZDJ74A&#10;AADaAAAADwAAAAAAAAABACAAAAAiAAAAZHJzL2Rvd25yZXYueG1sUEsBAhQAFAAAAAgAh07iQDMv&#10;BZ47AAAAOQAAABAAAAAAAAAAAQAgAAAADQEAAGRycy9zaGFwZXhtbC54bWxQSwUGAAAAAAYABgBb&#10;AQAAtwMAAAAA&#10;" path="m0,0l0,2248e">
                  <v:fill on="f" focussize="0,0"/>
                  <v:stroke weight="0.48pt" color="#000000" joinstyle="round"/>
                  <v:imagedata o:title=""/>
                  <o:lock v:ext="edit" aspectratio="f"/>
                </v:shape>
                <v:shape id="_x0000_s1026" o:spid="_x0000_s1026" o:spt="100" style="position:absolute;left:4034;top:24;height:2239;width:20;" filled="f" stroked="t" coordsize="20,2239" o:gfxdata="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sqAfvugAAANoA&#10;AAAPAAAAAAAAAAEAIAAAACIAAABkcnMvZG93bnJldi54bWxQSwECFAAUAAAACACHTuJAMy8FnjsA&#10;AAA5AAAAEAAAAAAAAAABACAAAAAJAQAAZHJzL3NoYXBleG1sLnhtbFBLBQYAAAAABgAGAFsBAACz&#10;AwAAAAA=&#10;" path="m0,0l0,2238e">
                  <v:fill on="f" focussize="0,0"/>
                  <v:stroke weight="0.48pt" color="#000000" joinstyle="round"/>
                  <v:imagedata o:title=""/>
                  <o:lock v:ext="edit" aspectratio="f"/>
                </v:shape>
                <v:shape id="_x0000_s1026" o:spid="_x0000_s1026" o:spt="100" style="position:absolute;left:4053;top:24;height:2239;width:20;" filled="f" stroked="t" coordsize="20,2239" o:gfxdata="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J03k522AAAA2gAAAA8A&#10;AAAAAAAAAQAgAAAAIgAAAGRycy9kb3ducmV2LnhtbFBLAQIUABQAAAAIAIdO4kAzLwWeOwAAADkA&#10;AAAQAAAAAAAAAAEAIAAAAAUBAABkcnMvc2hhcGV4bWwueG1sUEsFBgAAAAAGAAYAWwEAAK8DAAAA&#10;AA==&#10;" path="m0,0l0,2238e">
                  <v:fill on="f" focussize="0,0"/>
                  <v:stroke weight="0.48pt" color="#000000" joinstyle="round"/>
                  <v:imagedata o:title=""/>
                  <o:lock v:ext="edit" aspectratio="f"/>
                </v:shape>
                <v:shape id="_x0000_s1026" o:spid="_x0000_s1026" o:spt="100" style="position:absolute;left:8059;top:33;height:2239;width:20;" filled="f" stroked="t" coordsize="20,2239" o:gfxdata="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yezYGugAAANoA&#10;AAAPAAAAAAAAAAEAIAAAACIAAABkcnMvZG93bnJldi54bWxQSwECFAAUAAAACACHTuJAMy8FnjsA&#10;AAA5AAAAEAAAAAAAAAABACAAAAAJAQAAZHJzL3NoYXBleG1sLnhtbFBLBQYAAAAABgAGAFsBAACz&#10;AwAAAAA=&#10;" path="m0,0l0,2238e">
                  <v:fill on="f" focussize="0,0"/>
                  <v:stroke weight="0.48pt" color="#000000" joinstyle="round"/>
                  <v:imagedata o:title=""/>
                  <o:lock v:ext="edit" aspectratio="f"/>
                </v:shape>
                <v:shape id="_x0000_s1026" o:spid="_x0000_s1026" o:spt="100" style="position:absolute;left:8078;top:14;height:2278;width:20;" filled="f" stroked="t" coordsize="20,2278" o:gfxdata="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FAghb4A&#10;AADbAAAADwAAAAAAAAABACAAAAAiAAAAZHJzL2Rvd25yZXYueG1sUEsBAhQAFAAAAAgAh07iQDMv&#10;BZ47AAAAOQAAABAAAAAAAAAAAQAgAAAADQEAAGRycy9zaGFwZXhtbC54bWxQSwUGAAAAAAYABgBb&#10;AQAAtwMAAAAA&#10;" path="m0,0l0,2277e">
                  <v:fill on="f" focussize="0,0"/>
                  <v:stroke weight="0.48pt" color="#000000" joinstyle="round"/>
                  <v:imagedata o:title=""/>
                  <o:lock v:ext="edit" aspectratio="f"/>
                </v:shape>
                <v:shape id="_x0000_s1026" o:spid="_x0000_s1026" o:spt="202" type="#_x0000_t202" style="position:absolute;left:19;top:19;height:2258;width:4025;" filled="f" stroked="f" coordsize="21600,21600" o:gfxdata="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UZUI7sAAADb&#10;AAAADwAAAAAAAAABACAAAAAiAAAAZHJzL2Rvd25yZXYueG1sUEsBAhQAFAAAAAgAh07iQDMvBZ47&#10;AAAAOQAAABAAAAAAAAAAAQAgAAAACgEAAGRycy9zaGFwZXhtbC54bWxQSwUGAAAAAAYABgBbAQAA&#10;tAMAAAAA&#10;">
                  <v:fill on="f" focussize="0,0"/>
                  <v:stroke on="f"/>
                  <v:imagedata o:title=""/>
                  <o:lock v:ext="edit" aspectratio="f"/>
                  <v:textbox inset="0mm,0mm,0mm,0mm">
                    <w:txbxContent>
                      <w:p w14:paraId="69EFEAA2">
                        <w:pPr>
                          <w:pStyle w:val="7"/>
                          <w:numPr>
                            <w:ilvl w:val="0"/>
                            <w:numId w:val="0"/>
                          </w:numPr>
                          <w:kinsoku w:val="0"/>
                          <w:overflowPunct w:val="0"/>
                          <w:spacing w:before="12"/>
                          <w:ind w:leftChars="0" w:right="0" w:rightChars="0"/>
                          <w:rPr>
                            <w:rFonts w:hint="eastAsia"/>
                            <w:sz w:val="28"/>
                            <w:szCs w:val="28"/>
                          </w:rPr>
                        </w:pPr>
                      </w:p>
                      <w:p w14:paraId="57936E71">
                        <w:pPr>
                          <w:pStyle w:val="7"/>
                          <w:numPr>
                            <w:ilvl w:val="0"/>
                            <w:numId w:val="0"/>
                          </w:numPr>
                          <w:kinsoku w:val="0"/>
                          <w:overflowPunct w:val="0"/>
                          <w:ind w:right="0" w:rightChars="0"/>
                          <w:jc w:val="center"/>
                          <w:rPr>
                            <w:rFonts w:hint="eastAsia"/>
                          </w:rPr>
                        </w:pPr>
                      </w:p>
                      <w:p w14:paraId="02676B5D">
                        <w:pPr>
                          <w:pStyle w:val="7"/>
                          <w:numPr>
                            <w:ilvl w:val="0"/>
                            <w:numId w:val="0"/>
                          </w:numPr>
                          <w:kinsoku w:val="0"/>
                          <w:overflowPunct w:val="0"/>
                          <w:ind w:right="0" w:rightChars="0"/>
                          <w:jc w:val="center"/>
                        </w:pPr>
                        <w:r>
                          <w:rPr>
                            <w:rFonts w:hint="eastAsia"/>
                          </w:rPr>
                          <w:t>授权人身份证复印件（正面）</w:t>
                        </w:r>
                      </w:p>
                    </w:txbxContent>
                  </v:textbox>
                </v:shape>
                <v:shape id="_x0000_s1026" o:spid="_x0000_s1026" o:spt="202" type="#_x0000_t202" style="position:absolute;left:4044;top:19;height:2258;width:4025;" filled="f" stroked="f" coordsize="21600,21600" o:gfxdata="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WUylS8AAAA&#10;2wAAAA8AAAAAAAAAAQAgAAAAIgAAAGRycy9kb3ducmV2LnhtbFBLAQIUABQAAAAIAIdO4kAzLwWe&#10;OwAAADkAAAAQAAAAAAAAAAEAIAAAAAsBAABkcnMvc2hhcGV4bWwueG1sUEsFBgAAAAAGAAYAWwEA&#10;ALUDAAAAAA==&#10;">
                  <v:fill on="f" focussize="0,0"/>
                  <v:stroke on="f"/>
                  <v:imagedata o:title=""/>
                  <o:lock v:ext="edit" aspectratio="f"/>
                  <v:textbox inset="0mm,0mm,0mm,0mm">
                    <w:txbxContent>
                      <w:p w14:paraId="085BF341">
                        <w:pPr>
                          <w:pStyle w:val="7"/>
                          <w:numPr>
                            <w:ilvl w:val="0"/>
                            <w:numId w:val="0"/>
                          </w:numPr>
                          <w:kinsoku w:val="0"/>
                          <w:overflowPunct w:val="0"/>
                          <w:ind w:right="0" w:rightChars="0"/>
                          <w:rPr>
                            <w:rFonts w:hint="eastAsia"/>
                          </w:rPr>
                        </w:pPr>
                      </w:p>
                      <w:p w14:paraId="50A27D0B">
                        <w:pPr>
                          <w:pStyle w:val="7"/>
                          <w:numPr>
                            <w:ilvl w:val="0"/>
                            <w:numId w:val="0"/>
                          </w:numPr>
                          <w:kinsoku w:val="0"/>
                          <w:overflowPunct w:val="0"/>
                          <w:ind w:right="0" w:rightChars="0"/>
                          <w:rPr>
                            <w:rFonts w:hint="eastAsia"/>
                          </w:rPr>
                        </w:pPr>
                      </w:p>
                      <w:p w14:paraId="754AAE5B">
                        <w:pPr>
                          <w:pStyle w:val="7"/>
                          <w:numPr>
                            <w:ilvl w:val="0"/>
                            <w:numId w:val="0"/>
                          </w:numPr>
                          <w:kinsoku w:val="0"/>
                          <w:overflowPunct w:val="0"/>
                          <w:ind w:right="0" w:rightChars="0"/>
                          <w:jc w:val="center"/>
                          <w:rPr>
                            <w:rFonts w:hint="eastAsia"/>
                          </w:rPr>
                        </w:pPr>
                      </w:p>
                      <w:p w14:paraId="2FF7D8EC">
                        <w:pPr>
                          <w:pStyle w:val="7"/>
                          <w:numPr>
                            <w:ilvl w:val="0"/>
                            <w:numId w:val="0"/>
                          </w:numPr>
                          <w:kinsoku w:val="0"/>
                          <w:overflowPunct w:val="0"/>
                          <w:ind w:right="0" w:rightChars="0"/>
                          <w:jc w:val="center"/>
                        </w:pPr>
                        <w:r>
                          <w:rPr>
                            <w:rFonts w:hint="eastAsia"/>
                          </w:rPr>
                          <w:t>授权人身份证复印件（反面）</w:t>
                        </w:r>
                      </w:p>
                    </w:txbxContent>
                  </v:textbox>
                </v:shape>
                <w10:wrap type="none"/>
                <w10:anchorlock/>
              </v:group>
            </w:pict>
          </mc:Fallback>
        </mc:AlternateContent>
      </w:r>
    </w:p>
    <w:p w14:paraId="4FA08168">
      <w:pPr>
        <w:pStyle w:val="7"/>
        <w:numPr>
          <w:ilvl w:val="0"/>
          <w:numId w:val="0"/>
        </w:numPr>
        <w:kinsoku w:val="0"/>
        <w:overflowPunct w:val="0"/>
        <w:adjustRightInd w:val="0"/>
        <w:snapToGrid w:val="0"/>
        <w:spacing w:line="200" w:lineRule="atLeast"/>
        <w:ind w:right="0" w:rightChars="0"/>
        <w:rPr>
          <w:rFonts w:hint="eastAsia" w:ascii="仿宋" w:hAnsi="仿宋" w:eastAsia="仿宋" w:cs="仿宋"/>
          <w:color w:val="auto"/>
          <w:sz w:val="18"/>
          <w:szCs w:val="20"/>
        </w:rPr>
      </w:pPr>
      <w:r>
        <w:rPr>
          <w:rFonts w:hint="eastAsia" w:ascii="仿宋" w:hAnsi="仿宋" w:eastAsia="仿宋" w:cs="仿宋"/>
          <w:color w:val="auto"/>
          <w:sz w:val="18"/>
          <w:szCs w:val="20"/>
        </w:rPr>
        <mc:AlternateContent>
          <mc:Choice Requires="wpg">
            <w:drawing>
              <wp:inline distT="0" distB="0" distL="114300" distR="114300">
                <wp:extent cx="5136515" cy="1384935"/>
                <wp:effectExtent l="0" t="0" r="7620" b="6985"/>
                <wp:docPr id="36" name="组合 36"/>
                <wp:cNvGraphicFramePr/>
                <a:graphic xmlns:a="http://schemas.openxmlformats.org/drawingml/2006/main">
                  <a:graphicData uri="http://schemas.microsoft.com/office/word/2010/wordprocessingGroup">
                    <wpg:wgp>
                      <wpg:cNvGrpSpPr>
                        <a:grpSpLocks noRot="1"/>
                      </wpg:cNvGrpSpPr>
                      <wpg:grpSpPr>
                        <a:xfrm>
                          <a:off x="0" y="0"/>
                          <a:ext cx="5136515" cy="1384935"/>
                          <a:chOff x="0" y="0"/>
                          <a:chExt cx="8089" cy="2181"/>
                        </a:xfrm>
                      </wpg:grpSpPr>
                      <wps:wsp>
                        <wps:cNvPr id="37" name="任意多边形 34"/>
                        <wps:cNvSpPr/>
                        <wps:spPr>
                          <a:xfrm>
                            <a:off x="4" y="9"/>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38" name="任意多边形 35"/>
                        <wps:cNvSpPr/>
                        <wps:spPr>
                          <a:xfrm>
                            <a:off x="24" y="28"/>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39" name="任意多边形 36"/>
                        <wps:cNvSpPr/>
                        <wps:spPr>
                          <a:xfrm>
                            <a:off x="24" y="2151"/>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40" name="任意多边形 37"/>
                        <wps:cNvSpPr/>
                        <wps:spPr>
                          <a:xfrm>
                            <a:off x="4" y="2170"/>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41" name="任意多边形 38"/>
                        <wps:cNvSpPr/>
                        <wps:spPr>
                          <a:xfrm>
                            <a:off x="9" y="4"/>
                            <a:ext cx="20" cy="2171"/>
                          </a:xfrm>
                          <a:custGeom>
                            <a:avLst/>
                            <a:gdLst/>
                            <a:ahLst/>
                            <a:cxnLst/>
                            <a:pathLst>
                              <a:path w="20" h="2171">
                                <a:moveTo>
                                  <a:pt x="0" y="0"/>
                                </a:moveTo>
                                <a:lnTo>
                                  <a:pt x="0" y="2170"/>
                                </a:lnTo>
                              </a:path>
                            </a:pathLst>
                          </a:custGeom>
                          <a:noFill/>
                          <a:ln w="6096" cap="flat" cmpd="sng">
                            <a:solidFill>
                              <a:srgbClr val="000000"/>
                            </a:solidFill>
                            <a:prstDash val="solid"/>
                            <a:headEnd type="none" w="med" len="med"/>
                            <a:tailEnd type="none" w="med" len="med"/>
                          </a:ln>
                        </wps:spPr>
                        <wps:bodyPr upright="1"/>
                      </wps:wsp>
                      <wps:wsp>
                        <wps:cNvPr id="42" name="任意多边形 39"/>
                        <wps:cNvSpPr/>
                        <wps:spPr>
                          <a:xfrm>
                            <a:off x="28" y="24"/>
                            <a:ext cx="20" cy="2133"/>
                          </a:xfrm>
                          <a:custGeom>
                            <a:avLst/>
                            <a:gdLst/>
                            <a:ahLst/>
                            <a:cxnLst/>
                            <a:pathLst>
                              <a:path w="20" h="2133">
                                <a:moveTo>
                                  <a:pt x="0" y="0"/>
                                </a:moveTo>
                                <a:lnTo>
                                  <a:pt x="0" y="2132"/>
                                </a:lnTo>
                              </a:path>
                            </a:pathLst>
                          </a:custGeom>
                          <a:noFill/>
                          <a:ln w="6096" cap="flat" cmpd="sng">
                            <a:solidFill>
                              <a:srgbClr val="000000"/>
                            </a:solidFill>
                            <a:prstDash val="solid"/>
                            <a:headEnd type="none" w="med" len="med"/>
                            <a:tailEnd type="none" w="med" len="med"/>
                          </a:ln>
                        </wps:spPr>
                        <wps:bodyPr upright="1"/>
                      </wps:wsp>
                      <wps:wsp>
                        <wps:cNvPr id="43" name="任意多边形 40"/>
                        <wps:cNvSpPr/>
                        <wps:spPr>
                          <a:xfrm>
                            <a:off x="4034" y="24"/>
                            <a:ext cx="20" cy="2123"/>
                          </a:xfrm>
                          <a:custGeom>
                            <a:avLst/>
                            <a:gdLst/>
                            <a:ahLst/>
                            <a:cxnLst/>
                            <a:pathLst>
                              <a:path w="20" h="2123">
                                <a:moveTo>
                                  <a:pt x="0" y="0"/>
                                </a:moveTo>
                                <a:lnTo>
                                  <a:pt x="0" y="2122"/>
                                </a:lnTo>
                              </a:path>
                            </a:pathLst>
                          </a:custGeom>
                          <a:noFill/>
                          <a:ln w="6096" cap="flat" cmpd="sng">
                            <a:solidFill>
                              <a:srgbClr val="000000"/>
                            </a:solidFill>
                            <a:prstDash val="solid"/>
                            <a:headEnd type="none" w="med" len="med"/>
                            <a:tailEnd type="none" w="med" len="med"/>
                          </a:ln>
                        </wps:spPr>
                        <wps:bodyPr upright="1"/>
                      </wps:wsp>
                      <wps:wsp>
                        <wps:cNvPr id="44" name="任意多边形 41"/>
                        <wps:cNvSpPr/>
                        <wps:spPr>
                          <a:xfrm>
                            <a:off x="4053" y="24"/>
                            <a:ext cx="20" cy="2123"/>
                          </a:xfrm>
                          <a:custGeom>
                            <a:avLst/>
                            <a:gdLst/>
                            <a:ahLst/>
                            <a:cxnLst/>
                            <a:pathLst>
                              <a:path w="20" h="2123">
                                <a:moveTo>
                                  <a:pt x="0" y="0"/>
                                </a:moveTo>
                                <a:lnTo>
                                  <a:pt x="0" y="2122"/>
                                </a:lnTo>
                              </a:path>
                            </a:pathLst>
                          </a:custGeom>
                          <a:noFill/>
                          <a:ln w="6096" cap="flat" cmpd="sng">
                            <a:solidFill>
                              <a:srgbClr val="000000"/>
                            </a:solidFill>
                            <a:prstDash val="solid"/>
                            <a:headEnd type="none" w="med" len="med"/>
                            <a:tailEnd type="none" w="med" len="med"/>
                          </a:ln>
                        </wps:spPr>
                        <wps:bodyPr upright="1"/>
                      </wps:wsp>
                      <wps:wsp>
                        <wps:cNvPr id="45" name="任意多边形 42"/>
                        <wps:cNvSpPr/>
                        <wps:spPr>
                          <a:xfrm>
                            <a:off x="8059" y="33"/>
                            <a:ext cx="20" cy="2123"/>
                          </a:xfrm>
                          <a:custGeom>
                            <a:avLst/>
                            <a:gdLst/>
                            <a:ahLst/>
                            <a:cxnLst/>
                            <a:pathLst>
                              <a:path w="20" h="2123">
                                <a:moveTo>
                                  <a:pt x="0" y="0"/>
                                </a:moveTo>
                                <a:lnTo>
                                  <a:pt x="0" y="2122"/>
                                </a:lnTo>
                              </a:path>
                            </a:pathLst>
                          </a:custGeom>
                          <a:noFill/>
                          <a:ln w="6096" cap="flat" cmpd="sng">
                            <a:solidFill>
                              <a:srgbClr val="000000"/>
                            </a:solidFill>
                            <a:prstDash val="solid"/>
                            <a:headEnd type="none" w="med" len="med"/>
                            <a:tailEnd type="none" w="med" len="med"/>
                          </a:ln>
                        </wps:spPr>
                        <wps:bodyPr upright="1"/>
                      </wps:wsp>
                      <wps:wsp>
                        <wps:cNvPr id="46" name="任意多边形 43"/>
                        <wps:cNvSpPr/>
                        <wps:spPr>
                          <a:xfrm>
                            <a:off x="8078" y="14"/>
                            <a:ext cx="20" cy="2162"/>
                          </a:xfrm>
                          <a:custGeom>
                            <a:avLst/>
                            <a:gdLst/>
                            <a:ahLst/>
                            <a:cxnLst/>
                            <a:pathLst>
                              <a:path w="20" h="2162">
                                <a:moveTo>
                                  <a:pt x="0" y="0"/>
                                </a:moveTo>
                                <a:lnTo>
                                  <a:pt x="0" y="2161"/>
                                </a:lnTo>
                              </a:path>
                            </a:pathLst>
                          </a:custGeom>
                          <a:noFill/>
                          <a:ln w="6096" cap="flat" cmpd="sng">
                            <a:solidFill>
                              <a:srgbClr val="000000"/>
                            </a:solidFill>
                            <a:prstDash val="solid"/>
                            <a:headEnd type="none" w="med" len="med"/>
                            <a:tailEnd type="none" w="med" len="med"/>
                          </a:ln>
                        </wps:spPr>
                        <wps:bodyPr upright="1"/>
                      </wps:wsp>
                      <wps:wsp>
                        <wps:cNvPr id="47" name="文本框 44"/>
                        <wps:cNvSpPr txBox="1"/>
                        <wps:spPr>
                          <a:xfrm>
                            <a:off x="19" y="19"/>
                            <a:ext cx="4025" cy="2142"/>
                          </a:xfrm>
                          <a:prstGeom prst="rect">
                            <a:avLst/>
                          </a:prstGeom>
                          <a:noFill/>
                          <a:ln>
                            <a:noFill/>
                          </a:ln>
                        </wps:spPr>
                        <wps:txbx>
                          <w:txbxContent>
                            <w:p w14:paraId="1C89E401">
                              <w:pPr>
                                <w:pStyle w:val="7"/>
                                <w:numPr>
                                  <w:ilvl w:val="0"/>
                                  <w:numId w:val="0"/>
                                </w:numPr>
                                <w:kinsoku w:val="0"/>
                                <w:overflowPunct w:val="0"/>
                                <w:ind w:right="0" w:rightChars="0"/>
                                <w:rPr>
                                  <w:rFonts w:hint="eastAsia"/>
                                </w:rPr>
                              </w:pPr>
                            </w:p>
                            <w:p w14:paraId="756FC76F">
                              <w:pPr>
                                <w:pStyle w:val="7"/>
                                <w:numPr>
                                  <w:ilvl w:val="0"/>
                                  <w:numId w:val="0"/>
                                </w:numPr>
                                <w:kinsoku w:val="0"/>
                                <w:overflowPunct w:val="0"/>
                                <w:ind w:right="0" w:rightChars="0"/>
                                <w:rPr>
                                  <w:rFonts w:hint="eastAsia"/>
                                </w:rPr>
                              </w:pPr>
                            </w:p>
                            <w:p w14:paraId="0672B30C">
                              <w:pPr>
                                <w:pStyle w:val="7"/>
                                <w:numPr>
                                  <w:ilvl w:val="0"/>
                                  <w:numId w:val="0"/>
                                </w:numPr>
                                <w:kinsoku w:val="0"/>
                                <w:overflowPunct w:val="0"/>
                                <w:ind w:right="0" w:rightChars="0"/>
                                <w:jc w:val="center"/>
                              </w:pPr>
                              <w:r>
                                <w:rPr>
                                  <w:rFonts w:hint="eastAsia"/>
                                </w:rPr>
                                <w:t>被授权代表身份证复印件（正面）</w:t>
                              </w:r>
                            </w:p>
                          </w:txbxContent>
                        </wps:txbx>
                        <wps:bodyPr lIns="0" tIns="0" rIns="0" bIns="0" upright="1"/>
                      </wps:wsp>
                      <wps:wsp>
                        <wps:cNvPr id="48" name="文本框 45"/>
                        <wps:cNvSpPr txBox="1"/>
                        <wps:spPr>
                          <a:xfrm>
                            <a:off x="4044" y="19"/>
                            <a:ext cx="4025" cy="2142"/>
                          </a:xfrm>
                          <a:prstGeom prst="rect">
                            <a:avLst/>
                          </a:prstGeom>
                          <a:noFill/>
                          <a:ln>
                            <a:noFill/>
                          </a:ln>
                        </wps:spPr>
                        <wps:txbx>
                          <w:txbxContent>
                            <w:p w14:paraId="6437A591">
                              <w:pPr>
                                <w:pStyle w:val="7"/>
                                <w:numPr>
                                  <w:ilvl w:val="0"/>
                                  <w:numId w:val="0"/>
                                </w:numPr>
                                <w:kinsoku w:val="0"/>
                                <w:overflowPunct w:val="0"/>
                                <w:ind w:right="0" w:rightChars="0"/>
                                <w:rPr>
                                  <w:rFonts w:hint="eastAsia"/>
                                </w:rPr>
                              </w:pPr>
                            </w:p>
                            <w:p w14:paraId="3CD91BBD">
                              <w:pPr>
                                <w:pStyle w:val="7"/>
                                <w:numPr>
                                  <w:ilvl w:val="0"/>
                                  <w:numId w:val="0"/>
                                </w:numPr>
                                <w:kinsoku w:val="0"/>
                                <w:overflowPunct w:val="0"/>
                                <w:ind w:right="0" w:rightChars="0"/>
                                <w:rPr>
                                  <w:rFonts w:hint="eastAsia"/>
                                </w:rPr>
                              </w:pPr>
                            </w:p>
                            <w:p w14:paraId="01213BE7">
                              <w:pPr>
                                <w:pStyle w:val="7"/>
                                <w:numPr>
                                  <w:ilvl w:val="0"/>
                                  <w:numId w:val="0"/>
                                </w:numPr>
                                <w:kinsoku w:val="0"/>
                                <w:overflowPunct w:val="0"/>
                                <w:ind w:right="0" w:rightChars="0"/>
                                <w:jc w:val="center"/>
                              </w:pPr>
                              <w:r>
                                <w:rPr>
                                  <w:rFonts w:hint="eastAsia"/>
                                </w:rPr>
                                <w:t>被授权代表身份证复印件（反面）</w:t>
                              </w:r>
                            </w:p>
                          </w:txbxContent>
                        </wps:txbx>
                        <wps:bodyPr lIns="0" tIns="0" rIns="0" bIns="0" upright="1"/>
                      </wps:wsp>
                    </wpg:wgp>
                  </a:graphicData>
                </a:graphic>
              </wp:inline>
            </w:drawing>
          </mc:Choice>
          <mc:Fallback>
            <w:pict>
              <v:group id="_x0000_s1026" o:spid="_x0000_s1026" o:spt="203" style="height:109.05pt;width:404.45pt;" coordsize="8089,2181" o:gfxdata="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">
                <o:lock v:ext="edit" rotation="t" aspectratio="f"/>
                <v:shape id="任意多边形 34" o:spid="_x0000_s1026" o:spt="100" style="position:absolute;left:4;top:9;height:20;width:8079;" filled="f" stroked="t" coordsize="8079,20" o:gfxdata="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x+ebSvQAA&#10;ANsAAAAPAAAAAAAAAAEAIAAAACIAAABkcnMvZG93bnJldi54bWxQSwECFAAUAAAACACHTuJAMy8F&#10;njsAAAA5AAAAEAAAAAAAAAABACAAAAAMAQAAZHJzL3NoYXBleG1sLnhtbFBLBQYAAAAABgAGAFsB&#10;AAC2AwAAAAA=&#10;" path="m0,0l8078,0e">
                  <v:fill on="f" focussize="0,0"/>
                  <v:stroke weight="0.48pt" color="#000000" joinstyle="round"/>
                  <v:imagedata o:title=""/>
                  <o:lock v:ext="edit" aspectratio="f"/>
                </v:shape>
                <v:shape id="任意多边形 35" o:spid="_x0000_s1026" o:spt="100" style="position:absolute;left:24;top:28;height:20;width:8041;" filled="f" stroked="t" coordsize="8041,20" o:gfxdata="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mWAewugAAANsA&#10;AAAPAAAAAAAAAAEAIAAAACIAAABkcnMvZG93bnJldi54bWxQSwECFAAUAAAACACHTuJAMy8FnjsA&#10;AAA5AAAAEAAAAAAAAAABACAAAAAJAQAAZHJzL3NoYXBleG1sLnhtbFBLBQYAAAAABgAGAFsBAACz&#10;AwAAAAA=&#10;" path="m0,0l8040,0e">
                  <v:fill on="f" focussize="0,0"/>
                  <v:stroke weight="0.48pt" color="#000000" joinstyle="round"/>
                  <v:imagedata o:title=""/>
                  <o:lock v:ext="edit" aspectratio="f"/>
                </v:shape>
                <v:shape id="任意多边形 36" o:spid="_x0000_s1026" o:spt="100" style="position:absolute;left:24;top:2151;height:20;width:8041;" filled="f" stroked="t" coordsize="8041,20" o:gfxdata="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JFKIrvQAA&#10;ANsAAAAPAAAAAAAAAAEAIAAAACIAAABkcnMvZG93bnJldi54bWxQSwECFAAUAAAACACHTuJAMy8F&#10;njsAAAA5AAAAEAAAAAAAAAABACAAAAAMAQAAZHJzL3NoYXBleG1sLnhtbFBLBQYAAAAABgAGAFsB&#10;AAC2AwAAAAA=&#10;" path="m0,0l8040,0e">
                  <v:fill on="f" focussize="0,0"/>
                  <v:stroke weight="0.48pt" color="#000000" joinstyle="round"/>
                  <v:imagedata o:title=""/>
                  <o:lock v:ext="edit" aspectratio="f"/>
                </v:shape>
                <v:shape id="任意多边形 37" o:spid="_x0000_s1026" o:spt="100" style="position:absolute;left:4;top:2170;height:20;width:8079;" filled="f" stroked="t" coordsize="8079,20" o:gfxdata="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YWDdu5AAAA2wAA&#10;AA8AAAAAAAAAAQAgAAAAIgAAAGRycy9kb3ducmV2LnhtbFBLAQIUABQAAAAIAIdO4kAzLwWeOwAA&#10;ADkAAAAQAAAAAAAAAAEAIAAAAAgBAABkcnMvc2hhcGV4bWwueG1sUEsFBgAAAAAGAAYAWwEAALID&#10;AAAAAA==&#10;" path="m0,0l8078,0e">
                  <v:fill on="f" focussize="0,0"/>
                  <v:stroke weight="0.48pt" color="#000000" joinstyle="round"/>
                  <v:imagedata o:title=""/>
                  <o:lock v:ext="edit" aspectratio="f"/>
                </v:shape>
                <v:shape id="任意多边形 38" o:spid="_x0000_s1026" o:spt="100" style="position:absolute;left:9;top:4;height:2171;width:20;" filled="f" stroked="t" coordsize="20,2171" o:gfxdata="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GrYT7sAAADb&#10;AAAADwAAAAAAAAABACAAAAAiAAAAZHJzL2Rvd25yZXYueG1sUEsBAhQAFAAAAAgAh07iQDMvBZ47&#10;AAAAOQAAABAAAAAAAAAAAQAgAAAACgEAAGRycy9zaGFwZXhtbC54bWxQSwUGAAAAAAYABgBbAQAA&#10;tAMAAAAA&#10;" path="m0,0l0,2170e">
                  <v:fill on="f" focussize="0,0"/>
                  <v:stroke weight="0.48pt" color="#000000" joinstyle="round"/>
                  <v:imagedata o:title=""/>
                  <o:lock v:ext="edit" aspectratio="f"/>
                </v:shape>
                <v:shape id="任意多边形 39" o:spid="_x0000_s1026" o:spt="100" style="position:absolute;left:28;top:24;height:2133;width:20;" filled="f" stroked="t" coordsize="20,2133" o:gfxdata="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3Uk7y/&#10;AAAA2wAAAA8AAAAAAAAAAQAgAAAAIgAAAGRycy9kb3ducmV2LnhtbFBLAQIUABQAAAAIAIdO4kAz&#10;LwWeOwAAADkAAAAQAAAAAAAAAAEAIAAAAA4BAABkcnMvc2hhcGV4bWwueG1sUEsFBgAAAAAGAAYA&#10;WwEAALgDAAAAAA==&#10;" path="m0,0l0,2132e">
                  <v:fill on="f" focussize="0,0"/>
                  <v:stroke weight="0.48pt" color="#000000" joinstyle="round"/>
                  <v:imagedata o:title=""/>
                  <o:lock v:ext="edit" aspectratio="f"/>
                </v:shape>
                <v:shape id="任意多边形 40" o:spid="_x0000_s1026" o:spt="100" style="position:absolute;left:4034;top:24;height:2123;width:20;" filled="f" stroked="t" coordsize="20,2123" o:gfxdata="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Y1HbS8AAAA&#10;2wAAAA8AAAAAAAAAAQAgAAAAIgAAAGRycy9kb3ducmV2LnhtbFBLAQIUABQAAAAIAIdO4kAzLwWe&#10;OwAAADkAAAAQAAAAAAAAAAEAIAAAAAsBAABkcnMvc2hhcGV4bWwueG1sUEsFBgAAAAAGAAYAWwEA&#10;ALUDAAAAAA==&#10;" path="m0,0l0,2122e">
                  <v:fill on="f" focussize="0,0"/>
                  <v:stroke weight="0.48pt" color="#000000" joinstyle="round"/>
                  <v:imagedata o:title=""/>
                  <o:lock v:ext="edit" aspectratio="f"/>
                </v:shape>
                <v:shape id="任意多边形 41" o:spid="_x0000_s1026" o:spt="100" style="position:absolute;left:4053;top:24;height:2123;width:20;" filled="f" stroked="t" coordsize="20,2123" o:gfxdata="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nchcC8AAAA&#10;2wAAAA8AAAAAAAAAAQAgAAAAIgAAAGRycy9kb3ducmV2LnhtbFBLAQIUABQAAAAIAIdO4kAzLwWe&#10;OwAAADkAAAAQAAAAAAAAAAEAIAAAAAsBAABkcnMvc2hhcGV4bWwueG1sUEsFBgAAAAAGAAYAWwEA&#10;ALUDAAAAAA==&#10;" path="m0,0l0,2122e">
                  <v:fill on="f" focussize="0,0"/>
                  <v:stroke weight="0.48pt" color="#000000" joinstyle="round"/>
                  <v:imagedata o:title=""/>
                  <o:lock v:ext="edit" aspectratio="f"/>
                </v:shape>
                <v:shape id="任意多边形 42" o:spid="_x0000_s1026" o:spt="100" style="position:absolute;left:8059;top:33;height:2123;width:20;" filled="f" stroked="t" coordsize="20,2123" o:gfxdata="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aQIFu8AAAA&#10;2wAAAA8AAAAAAAAAAQAgAAAAIgAAAGRycy9kb3ducmV2LnhtbFBLAQIUABQAAAAIAIdO4kAzLwWe&#10;OwAAADkAAAAQAAAAAAAAAAEAIAAAAAsBAABkcnMvc2hhcGV4bWwueG1sUEsFBgAAAAAGAAYAWwEA&#10;ALUDAAAAAA==&#10;" path="m0,0l0,2122e">
                  <v:fill on="f" focussize="0,0"/>
                  <v:stroke weight="0.48pt" color="#000000" joinstyle="round"/>
                  <v:imagedata o:title=""/>
                  <o:lock v:ext="edit" aspectratio="f"/>
                </v:shape>
                <v:shape id="任意多边形 43" o:spid="_x0000_s1026" o:spt="100" style="position:absolute;left:8078;top:14;height:2162;width:20;" filled="f" stroked="t" coordsize="20,2162" o:gfxdata="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C2cm0ztwAAANsAAAAP&#10;AAAAAAAAAAEAIAAAACIAAABkcnMvZG93bnJldi54bWxQSwECFAAUAAAACACHTuJAMy8FnjsAAAA5&#10;AAAAEAAAAAAAAAABACAAAAAGAQAAZHJzL3NoYXBleG1sLnhtbFBLBQYAAAAABgAGAFsBAACwAwAA&#10;AAA=&#10;" path="m0,0l0,2161e">
                  <v:fill on="f" focussize="0,0"/>
                  <v:stroke weight="0.48pt" color="#000000" joinstyle="round"/>
                  <v:imagedata o:title=""/>
                  <o:lock v:ext="edit" aspectratio="f"/>
                </v:shape>
                <v:shape id="文本框 44" o:spid="_x0000_s1026" o:spt="202" type="#_x0000_t202" style="position:absolute;left:19;top:19;height:2142;width:4025;" filled="f" stroked="f" coordsize="21600,21600" o:gfxdata="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lBG0b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1C89E401">
                        <w:pPr>
                          <w:pStyle w:val="7"/>
                          <w:numPr>
                            <w:ilvl w:val="0"/>
                            <w:numId w:val="0"/>
                          </w:numPr>
                          <w:kinsoku w:val="0"/>
                          <w:overflowPunct w:val="0"/>
                          <w:ind w:right="0" w:rightChars="0"/>
                          <w:rPr>
                            <w:rFonts w:hint="eastAsia"/>
                          </w:rPr>
                        </w:pPr>
                      </w:p>
                      <w:p w14:paraId="756FC76F">
                        <w:pPr>
                          <w:pStyle w:val="7"/>
                          <w:numPr>
                            <w:ilvl w:val="0"/>
                            <w:numId w:val="0"/>
                          </w:numPr>
                          <w:kinsoku w:val="0"/>
                          <w:overflowPunct w:val="0"/>
                          <w:ind w:right="0" w:rightChars="0"/>
                          <w:rPr>
                            <w:rFonts w:hint="eastAsia"/>
                          </w:rPr>
                        </w:pPr>
                      </w:p>
                      <w:p w14:paraId="0672B30C">
                        <w:pPr>
                          <w:pStyle w:val="7"/>
                          <w:numPr>
                            <w:ilvl w:val="0"/>
                            <w:numId w:val="0"/>
                          </w:numPr>
                          <w:kinsoku w:val="0"/>
                          <w:overflowPunct w:val="0"/>
                          <w:ind w:right="0" w:rightChars="0"/>
                          <w:jc w:val="center"/>
                        </w:pPr>
                        <w:r>
                          <w:rPr>
                            <w:rFonts w:hint="eastAsia"/>
                          </w:rPr>
                          <w:t>被授权代表身份证复印件（正面）</w:t>
                        </w:r>
                      </w:p>
                    </w:txbxContent>
                  </v:textbox>
                </v:shape>
                <v:shape id="文本框 45" o:spid="_x0000_s1026" o:spt="202" type="#_x0000_t202" style="position:absolute;left:4044;top:19;height:2142;width:4025;" filled="f" stroked="f" coordsize="21600,21600" o:gfxdata="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nz9KjugAAANsA&#10;AAAPAAAAAAAAAAEAIAAAACIAAABkcnMvZG93bnJldi54bWxQSwECFAAUAAAACACHTuJAMy8FnjsA&#10;AAA5AAAAEAAAAAAAAAABACAAAAAJAQAAZHJzL3NoYXBleG1sLnhtbFBLBQYAAAAABgAGAFsBAACz&#10;AwAAAAA=&#10;">
                  <v:fill on="f" focussize="0,0"/>
                  <v:stroke on="f"/>
                  <v:imagedata o:title=""/>
                  <o:lock v:ext="edit" aspectratio="f"/>
                  <v:textbox inset="0mm,0mm,0mm,0mm">
                    <w:txbxContent>
                      <w:p w14:paraId="6437A591">
                        <w:pPr>
                          <w:pStyle w:val="7"/>
                          <w:numPr>
                            <w:ilvl w:val="0"/>
                            <w:numId w:val="0"/>
                          </w:numPr>
                          <w:kinsoku w:val="0"/>
                          <w:overflowPunct w:val="0"/>
                          <w:ind w:right="0" w:rightChars="0"/>
                          <w:rPr>
                            <w:rFonts w:hint="eastAsia"/>
                          </w:rPr>
                        </w:pPr>
                      </w:p>
                      <w:p w14:paraId="3CD91BBD">
                        <w:pPr>
                          <w:pStyle w:val="7"/>
                          <w:numPr>
                            <w:ilvl w:val="0"/>
                            <w:numId w:val="0"/>
                          </w:numPr>
                          <w:kinsoku w:val="0"/>
                          <w:overflowPunct w:val="0"/>
                          <w:ind w:right="0" w:rightChars="0"/>
                          <w:rPr>
                            <w:rFonts w:hint="eastAsia"/>
                          </w:rPr>
                        </w:pPr>
                      </w:p>
                      <w:p w14:paraId="01213BE7">
                        <w:pPr>
                          <w:pStyle w:val="7"/>
                          <w:numPr>
                            <w:ilvl w:val="0"/>
                            <w:numId w:val="0"/>
                          </w:numPr>
                          <w:kinsoku w:val="0"/>
                          <w:overflowPunct w:val="0"/>
                          <w:ind w:right="0" w:rightChars="0"/>
                          <w:jc w:val="center"/>
                        </w:pPr>
                        <w:r>
                          <w:rPr>
                            <w:rFonts w:hint="eastAsia"/>
                          </w:rPr>
                          <w:t>被授权代表身份证复印件（反面）</w:t>
                        </w:r>
                      </w:p>
                    </w:txbxContent>
                  </v:textbox>
                </v:shape>
                <w10:wrap type="none"/>
                <w10:anchorlock/>
              </v:group>
            </w:pict>
          </mc:Fallback>
        </mc:AlternateContent>
      </w:r>
    </w:p>
    <w:p w14:paraId="431FAB9F">
      <w:pPr>
        <w:pStyle w:val="7"/>
        <w:numPr>
          <w:ilvl w:val="0"/>
          <w:numId w:val="0"/>
        </w:numPr>
        <w:tabs>
          <w:tab w:val="left" w:pos="5295"/>
        </w:tabs>
        <w:kinsoku w:val="0"/>
        <w:overflowPunct w:val="0"/>
        <w:adjustRightInd w:val="0"/>
        <w:snapToGrid w:val="0"/>
        <w:spacing w:line="360" w:lineRule="auto"/>
        <w:ind w:left="709" w:leftChars="0" w:right="0" w:rightChars="0"/>
        <w:rPr>
          <w:rFonts w:hint="eastAsia" w:ascii="仿宋" w:hAnsi="仿宋" w:eastAsia="仿宋" w:cs="仿宋"/>
          <w:color w:val="auto"/>
          <w:sz w:val="24"/>
        </w:rPr>
      </w:pPr>
      <w:r>
        <w:rPr>
          <w:rFonts w:hint="eastAsia" w:ascii="仿宋" w:hAnsi="仿宋" w:eastAsia="仿宋" w:cs="仿宋"/>
          <w:color w:val="auto"/>
          <w:sz w:val="24"/>
        </w:rPr>
        <w:t>被授权代表（</w:t>
      </w:r>
      <w:r>
        <w:rPr>
          <w:rFonts w:hint="eastAsia" w:ascii="仿宋" w:hAnsi="仿宋" w:eastAsia="仿宋" w:cs="仿宋"/>
          <w:color w:val="auto"/>
          <w:sz w:val="24"/>
          <w:lang w:eastAsia="zh-CN"/>
        </w:rPr>
        <w:t>签章</w:t>
      </w:r>
      <w:r>
        <w:rPr>
          <w:rFonts w:hint="eastAsia" w:ascii="仿宋" w:hAnsi="仿宋" w:eastAsia="仿宋" w:cs="仿宋"/>
          <w:color w:val="auto"/>
          <w:sz w:val="24"/>
        </w:rPr>
        <w:t>）：</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投标人法定代表人（</w:t>
      </w:r>
      <w:r>
        <w:rPr>
          <w:rFonts w:hint="eastAsia" w:ascii="仿宋" w:hAnsi="仿宋" w:eastAsia="仿宋" w:cs="仿宋"/>
          <w:color w:val="auto"/>
          <w:sz w:val="24"/>
          <w:lang w:eastAsia="zh-CN"/>
        </w:rPr>
        <w:t>签章</w:t>
      </w:r>
      <w:r>
        <w:rPr>
          <w:rFonts w:hint="eastAsia" w:ascii="仿宋" w:hAnsi="仿宋" w:eastAsia="仿宋" w:cs="仿宋"/>
          <w:color w:val="auto"/>
          <w:sz w:val="24"/>
        </w:rPr>
        <w:t>）：</w:t>
      </w:r>
    </w:p>
    <w:p w14:paraId="106DAB64">
      <w:pPr>
        <w:pStyle w:val="7"/>
        <w:numPr>
          <w:ilvl w:val="0"/>
          <w:numId w:val="0"/>
        </w:numPr>
        <w:tabs>
          <w:tab w:val="left" w:pos="1098"/>
          <w:tab w:val="left" w:pos="5298"/>
          <w:tab w:val="left" w:pos="5778"/>
        </w:tabs>
        <w:kinsoku w:val="0"/>
        <w:overflowPunct w:val="0"/>
        <w:adjustRightInd w:val="0"/>
        <w:snapToGrid w:val="0"/>
        <w:spacing w:line="360" w:lineRule="auto"/>
        <w:ind w:left="709" w:leftChars="0" w:right="0" w:rightChars="0"/>
        <w:rPr>
          <w:rFonts w:hint="eastAsia" w:ascii="仿宋" w:hAnsi="仿宋" w:eastAsia="仿宋" w:cs="仿宋"/>
          <w:color w:val="auto"/>
          <w:sz w:val="24"/>
        </w:rPr>
      </w:pPr>
      <w:r>
        <w:rPr>
          <w:rFonts w:hint="eastAsia" w:ascii="仿宋" w:hAnsi="仿宋" w:eastAsia="仿宋" w:cs="仿宋"/>
          <w:color w:val="auto"/>
          <w:sz w:val="24"/>
        </w:rPr>
        <w:t>职</w:t>
      </w:r>
      <w:r>
        <w:rPr>
          <w:rFonts w:hint="eastAsia" w:ascii="仿宋" w:hAnsi="仿宋" w:eastAsia="仿宋" w:cs="仿宋"/>
          <w:color w:val="auto"/>
          <w:sz w:val="24"/>
        </w:rPr>
        <w:tab/>
      </w:r>
      <w:r>
        <w:rPr>
          <w:rFonts w:hint="eastAsia" w:ascii="仿宋" w:hAnsi="仿宋" w:eastAsia="仿宋" w:cs="仿宋"/>
          <w:color w:val="auto"/>
          <w:sz w:val="24"/>
        </w:rPr>
        <w:t>务：</w:t>
      </w:r>
      <w:r>
        <w:rPr>
          <w:rFonts w:hint="eastAsia" w:ascii="仿宋" w:hAnsi="仿宋" w:eastAsia="仿宋" w:cs="仿宋"/>
          <w:color w:val="auto"/>
          <w:sz w:val="24"/>
        </w:rPr>
        <w:tab/>
      </w:r>
      <w:r>
        <w:rPr>
          <w:rFonts w:hint="eastAsia" w:ascii="仿宋" w:hAnsi="仿宋" w:eastAsia="仿宋" w:cs="仿宋"/>
          <w:color w:val="auto"/>
          <w:sz w:val="24"/>
        </w:rPr>
        <w:t>职</w:t>
      </w:r>
      <w:r>
        <w:rPr>
          <w:rFonts w:hint="eastAsia" w:ascii="仿宋" w:hAnsi="仿宋" w:eastAsia="仿宋" w:cs="仿宋"/>
          <w:color w:val="auto"/>
          <w:sz w:val="24"/>
        </w:rPr>
        <w:tab/>
      </w:r>
      <w:r>
        <w:rPr>
          <w:rFonts w:hint="eastAsia" w:ascii="仿宋" w:hAnsi="仿宋" w:eastAsia="仿宋" w:cs="仿宋"/>
          <w:color w:val="auto"/>
          <w:sz w:val="24"/>
        </w:rPr>
        <w:t>务：</w:t>
      </w:r>
    </w:p>
    <w:p w14:paraId="21A21FFE">
      <w:pPr>
        <w:pStyle w:val="7"/>
        <w:numPr>
          <w:ilvl w:val="0"/>
          <w:numId w:val="0"/>
        </w:numPr>
        <w:tabs>
          <w:tab w:val="left" w:pos="1098"/>
          <w:tab w:val="left" w:pos="5298"/>
          <w:tab w:val="left" w:pos="5778"/>
        </w:tabs>
        <w:kinsoku w:val="0"/>
        <w:overflowPunct w:val="0"/>
        <w:adjustRightInd w:val="0"/>
        <w:snapToGrid w:val="0"/>
        <w:spacing w:line="360" w:lineRule="auto"/>
        <w:ind w:left="709" w:leftChars="0" w:right="0" w:rightChars="0"/>
        <w:rPr>
          <w:rFonts w:hint="eastAsia" w:ascii="仿宋" w:hAnsi="仿宋" w:eastAsia="仿宋" w:cs="仿宋"/>
          <w:color w:val="auto"/>
          <w:sz w:val="24"/>
        </w:rPr>
      </w:pPr>
      <w:r>
        <w:rPr>
          <w:rFonts w:hint="eastAsia" w:ascii="仿宋" w:hAnsi="仿宋" w:eastAsia="仿宋" w:cs="仿宋"/>
          <w:color w:val="auto"/>
          <w:sz w:val="24"/>
        </w:rPr>
        <w:t>电</w:t>
      </w:r>
      <w:r>
        <w:rPr>
          <w:rFonts w:hint="eastAsia" w:ascii="仿宋" w:hAnsi="仿宋" w:eastAsia="仿宋" w:cs="仿宋"/>
          <w:color w:val="auto"/>
          <w:sz w:val="24"/>
        </w:rPr>
        <w:tab/>
      </w:r>
      <w:r>
        <w:rPr>
          <w:rFonts w:hint="eastAsia" w:ascii="仿宋" w:hAnsi="仿宋" w:eastAsia="仿宋" w:cs="仿宋"/>
          <w:color w:val="auto"/>
          <w:sz w:val="24"/>
        </w:rPr>
        <w:t>话：</w:t>
      </w:r>
      <w:r>
        <w:rPr>
          <w:rFonts w:hint="eastAsia" w:ascii="仿宋" w:hAnsi="仿宋" w:eastAsia="仿宋" w:cs="仿宋"/>
          <w:color w:val="auto"/>
          <w:sz w:val="24"/>
        </w:rPr>
        <w:tab/>
      </w:r>
      <w:r>
        <w:rPr>
          <w:rFonts w:hint="eastAsia" w:ascii="仿宋" w:hAnsi="仿宋" w:eastAsia="仿宋" w:cs="仿宋"/>
          <w:color w:val="auto"/>
          <w:sz w:val="24"/>
        </w:rPr>
        <w:t>电</w:t>
      </w:r>
      <w:r>
        <w:rPr>
          <w:rFonts w:hint="eastAsia" w:ascii="仿宋" w:hAnsi="仿宋" w:eastAsia="仿宋" w:cs="仿宋"/>
          <w:color w:val="auto"/>
          <w:sz w:val="24"/>
        </w:rPr>
        <w:tab/>
      </w:r>
      <w:r>
        <w:rPr>
          <w:rFonts w:hint="eastAsia" w:ascii="仿宋" w:hAnsi="仿宋" w:eastAsia="仿宋" w:cs="仿宋"/>
          <w:color w:val="auto"/>
          <w:sz w:val="24"/>
        </w:rPr>
        <w:t>话：</w:t>
      </w:r>
    </w:p>
    <w:p w14:paraId="51083625">
      <w:pPr>
        <w:pStyle w:val="7"/>
        <w:numPr>
          <w:ilvl w:val="0"/>
          <w:numId w:val="0"/>
        </w:numPr>
        <w:tabs>
          <w:tab w:val="left" w:pos="5631"/>
          <w:tab w:val="left" w:pos="6591"/>
          <w:tab w:val="left" w:pos="7191"/>
          <w:tab w:val="left" w:pos="7791"/>
          <w:tab w:val="left" w:pos="8247"/>
        </w:tabs>
        <w:kinsoku w:val="0"/>
        <w:overflowPunct w:val="0"/>
        <w:adjustRightInd w:val="0"/>
        <w:snapToGrid w:val="0"/>
        <w:spacing w:line="360" w:lineRule="auto"/>
        <w:ind w:left="709" w:leftChars="0" w:right="238" w:rightChars="0"/>
        <w:rPr>
          <w:rFonts w:hint="eastAsia"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u w:val="single"/>
        </w:rPr>
        <w:tab/>
      </w:r>
      <w:r>
        <w:rPr>
          <w:rFonts w:hint="eastAsia" w:ascii="仿宋" w:hAnsi="仿宋" w:eastAsia="仿宋" w:cs="仿宋"/>
          <w:color w:val="auto"/>
          <w:sz w:val="24"/>
          <w:u w:val="single"/>
        </w:rPr>
        <w:tab/>
      </w:r>
      <w:r>
        <w:rPr>
          <w:rFonts w:hint="eastAsia" w:ascii="仿宋" w:hAnsi="仿宋" w:eastAsia="仿宋" w:cs="仿宋"/>
          <w:color w:val="auto"/>
          <w:sz w:val="24"/>
          <w:u w:val="single"/>
        </w:rPr>
        <w:tab/>
      </w:r>
      <w:r>
        <w:rPr>
          <w:rFonts w:hint="eastAsia" w:ascii="仿宋" w:hAnsi="仿宋" w:eastAsia="仿宋" w:cs="仿宋"/>
          <w:color w:val="auto"/>
          <w:sz w:val="24"/>
        </w:rPr>
        <w:t>（盖章）</w:t>
      </w:r>
    </w:p>
    <w:p w14:paraId="449CB0B1">
      <w:pPr>
        <w:pStyle w:val="7"/>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Chars="50" w:right="238" w:rightChars="0" w:firstLine="2916" w:firstLineChars="1200"/>
        <w:jc w:val="both"/>
        <w:rPr>
          <w:rFonts w:hint="eastAsia" w:ascii="仿宋" w:hAnsi="仿宋" w:eastAsia="仿宋" w:cs="仿宋"/>
          <w:color w:val="auto"/>
          <w:sz w:val="20"/>
        </w:rPr>
      </w:pPr>
      <w:r>
        <w:rPr>
          <w:rFonts w:hint="eastAsia" w:ascii="仿宋" w:hAnsi="仿宋" w:eastAsia="仿宋" w:cs="仿宋"/>
          <w:color w:val="auto"/>
          <w:sz w:val="24"/>
        </w:rPr>
        <w:t xml:space="preserve"> 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日 </w:t>
      </w:r>
      <w:r>
        <w:rPr>
          <w:rFonts w:hint="eastAsia" w:ascii="仿宋" w:hAnsi="仿宋" w:eastAsia="仿宋" w:cs="仿宋"/>
          <w:color w:val="auto"/>
          <w:sz w:val="20"/>
        </w:rPr>
        <w:t xml:space="preserve">               </w:t>
      </w:r>
    </w:p>
    <w:p w14:paraId="37A459E3">
      <w:pPr>
        <w:pStyle w:val="26"/>
        <w:rPr>
          <w:rFonts w:hint="eastAsia" w:ascii="仿宋" w:hAnsi="仿宋" w:eastAsia="仿宋" w:cs="仿宋"/>
          <w:b/>
          <w:bCs/>
          <w:color w:val="auto"/>
          <w:sz w:val="36"/>
          <w:szCs w:val="36"/>
        </w:rPr>
      </w:pPr>
      <w:r>
        <w:rPr>
          <w:rFonts w:hint="eastAsia" w:ascii="仿宋" w:hAnsi="仿宋" w:eastAsia="仿宋" w:cs="仿宋"/>
          <w:color w:val="auto"/>
        </w:rPr>
        <w:br w:type="page"/>
      </w:r>
    </w:p>
    <w:p w14:paraId="2B8A239A">
      <w:pPr>
        <w:pStyle w:val="3"/>
        <w:numPr>
          <w:ilvl w:val="0"/>
          <w:numId w:val="0"/>
        </w:numPr>
        <w:shd w:val="clear" w:color="auto" w:fill="auto"/>
        <w:spacing w:before="0" w:line="240" w:lineRule="atLeas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参加政府采购活动前3年内</w:t>
      </w:r>
      <w:bookmarkStart w:id="66" w:name="_Toc1137"/>
      <w:bookmarkStart w:id="67" w:name="_Toc6008"/>
      <w:bookmarkStart w:id="68" w:name="_Toc515647812"/>
      <w:r>
        <w:rPr>
          <w:rFonts w:hint="eastAsia" w:ascii="仿宋" w:hAnsi="仿宋" w:eastAsia="仿宋" w:cs="仿宋"/>
          <w:color w:val="auto"/>
          <w:sz w:val="24"/>
          <w:highlight w:val="none"/>
        </w:rPr>
        <w:t>在经营活动中没有重大违法记录的书面声明</w:t>
      </w:r>
      <w:bookmarkEnd w:id="66"/>
      <w:bookmarkEnd w:id="67"/>
      <w:bookmarkEnd w:id="68"/>
    </w:p>
    <w:p w14:paraId="3424290B">
      <w:pPr>
        <w:pStyle w:val="10"/>
        <w:shd w:val="clear" w:color="auto" w:fill="auto"/>
        <w:tabs>
          <w:tab w:val="left" w:pos="5580"/>
        </w:tabs>
        <w:spacing w:line="240" w:lineRule="atLeast"/>
        <w:ind w:left="1164" w:leftChars="257" w:hanging="540"/>
        <w:jc w:val="center"/>
        <w:rPr>
          <w:rFonts w:hint="eastAsia" w:ascii="仿宋" w:hAnsi="仿宋" w:eastAsia="仿宋" w:cs="仿宋"/>
          <w:b/>
          <w:color w:val="auto"/>
          <w:sz w:val="24"/>
          <w:highlight w:val="none"/>
        </w:rPr>
      </w:pPr>
    </w:p>
    <w:p w14:paraId="2F2AF553">
      <w:pPr>
        <w:pStyle w:val="10"/>
        <w:shd w:val="clear" w:color="auto" w:fill="auto"/>
        <w:tabs>
          <w:tab w:val="left" w:pos="5580"/>
        </w:tabs>
        <w:spacing w:line="240" w:lineRule="atLeast"/>
        <w:ind w:left="1164" w:leftChars="257" w:hanging="540"/>
        <w:rPr>
          <w:rFonts w:hint="eastAsia" w:ascii="仿宋" w:hAnsi="仿宋" w:eastAsia="仿宋" w:cs="仿宋"/>
          <w:color w:val="auto"/>
          <w:sz w:val="24"/>
          <w:highlight w:val="none"/>
        </w:rPr>
      </w:pPr>
    </w:p>
    <w:p w14:paraId="4BFE3D09">
      <w:pPr>
        <w:pStyle w:val="10"/>
        <w:shd w:val="clear" w:color="auto" w:fill="auto"/>
        <w:tabs>
          <w:tab w:val="left" w:pos="5580"/>
        </w:tabs>
        <w:spacing w:line="240" w:lineRule="atLeast"/>
        <w:ind w:left="1164" w:leftChars="257" w:hanging="540"/>
        <w:rPr>
          <w:rFonts w:hint="eastAsia" w:ascii="仿宋" w:hAnsi="仿宋" w:eastAsia="仿宋" w:cs="仿宋"/>
          <w:color w:val="auto"/>
          <w:sz w:val="24"/>
          <w:highlight w:val="none"/>
        </w:rPr>
      </w:pPr>
    </w:p>
    <w:p w14:paraId="4DE8B2D3">
      <w:pPr>
        <w:pStyle w:val="10"/>
        <w:shd w:val="clear" w:color="auto" w:fill="auto"/>
        <w:tabs>
          <w:tab w:val="left" w:pos="5580"/>
        </w:tabs>
        <w:spacing w:line="240" w:lineRule="atLeas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说明：1.投标人应按照相关法规规定如实作出说明。</w:t>
      </w:r>
    </w:p>
    <w:p w14:paraId="47958F39">
      <w:pPr>
        <w:pStyle w:val="10"/>
        <w:shd w:val="clear" w:color="auto" w:fill="auto"/>
        <w:tabs>
          <w:tab w:val="left" w:pos="5580"/>
        </w:tabs>
        <w:spacing w:line="240" w:lineRule="atLeast"/>
        <w:ind w:left="746" w:leftChars="307" w:firstLine="607"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2．按照招标文件的规定加盖单位章（自然人投标的无需盖章，需要签字）。</w:t>
      </w:r>
    </w:p>
    <w:p w14:paraId="52F96BAB">
      <w:pPr>
        <w:pStyle w:val="10"/>
        <w:shd w:val="clear" w:color="auto" w:fill="auto"/>
        <w:tabs>
          <w:tab w:val="left" w:pos="5580"/>
        </w:tabs>
        <w:spacing w:line="240" w:lineRule="atLeas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043D1966">
      <w:pPr>
        <w:pStyle w:val="4"/>
        <w:rPr>
          <w:rFonts w:hint="eastAsia" w:ascii="仿宋" w:hAnsi="仿宋" w:eastAsia="仿宋" w:cs="仿宋"/>
          <w:b/>
          <w:bCs/>
          <w:color w:val="auto"/>
          <w:sz w:val="36"/>
          <w:szCs w:val="36"/>
        </w:rPr>
      </w:pPr>
    </w:p>
    <w:p w14:paraId="57C35561">
      <w:pPr>
        <w:rPr>
          <w:rFonts w:hint="eastAsia" w:ascii="仿宋" w:hAnsi="仿宋" w:eastAsia="仿宋" w:cs="仿宋"/>
          <w:b/>
          <w:bCs/>
          <w:color w:val="auto"/>
          <w:sz w:val="36"/>
          <w:szCs w:val="36"/>
        </w:rPr>
      </w:pPr>
    </w:p>
    <w:p w14:paraId="6B5EBE0A">
      <w:pPr>
        <w:pStyle w:val="4"/>
        <w:rPr>
          <w:rFonts w:hint="eastAsia" w:ascii="仿宋" w:hAnsi="仿宋" w:eastAsia="仿宋" w:cs="仿宋"/>
          <w:b/>
          <w:bCs/>
          <w:color w:val="auto"/>
          <w:sz w:val="36"/>
          <w:szCs w:val="36"/>
        </w:rPr>
      </w:pPr>
    </w:p>
    <w:p w14:paraId="13378DE2">
      <w:pPr>
        <w:rPr>
          <w:rFonts w:hint="eastAsia" w:ascii="仿宋" w:hAnsi="仿宋" w:eastAsia="仿宋" w:cs="仿宋"/>
          <w:b/>
          <w:bCs/>
          <w:color w:val="auto"/>
          <w:sz w:val="36"/>
          <w:szCs w:val="36"/>
        </w:rPr>
      </w:pPr>
    </w:p>
    <w:p w14:paraId="0C2A5B6F">
      <w:pPr>
        <w:pStyle w:val="4"/>
        <w:rPr>
          <w:rFonts w:hint="eastAsia" w:ascii="仿宋" w:hAnsi="仿宋" w:eastAsia="仿宋" w:cs="仿宋"/>
          <w:b/>
          <w:bCs/>
          <w:color w:val="auto"/>
          <w:sz w:val="36"/>
          <w:szCs w:val="36"/>
        </w:rPr>
      </w:pPr>
    </w:p>
    <w:p w14:paraId="76C863E7">
      <w:pPr>
        <w:rPr>
          <w:rFonts w:hint="eastAsia" w:ascii="仿宋" w:hAnsi="仿宋" w:eastAsia="仿宋" w:cs="仿宋"/>
          <w:b/>
          <w:bCs/>
          <w:color w:val="auto"/>
          <w:sz w:val="36"/>
          <w:szCs w:val="36"/>
        </w:rPr>
      </w:pPr>
    </w:p>
    <w:p w14:paraId="3017253E">
      <w:pPr>
        <w:pStyle w:val="4"/>
        <w:rPr>
          <w:rFonts w:hint="eastAsia" w:ascii="仿宋" w:hAnsi="仿宋" w:eastAsia="仿宋" w:cs="仿宋"/>
          <w:b/>
          <w:bCs/>
          <w:color w:val="auto"/>
          <w:sz w:val="36"/>
          <w:szCs w:val="36"/>
        </w:rPr>
      </w:pPr>
    </w:p>
    <w:p w14:paraId="6A935288">
      <w:pPr>
        <w:rPr>
          <w:rFonts w:hint="eastAsia" w:ascii="仿宋" w:hAnsi="仿宋" w:eastAsia="仿宋" w:cs="仿宋"/>
          <w:b/>
          <w:bCs/>
          <w:color w:val="auto"/>
          <w:sz w:val="36"/>
          <w:szCs w:val="36"/>
        </w:rPr>
      </w:pPr>
    </w:p>
    <w:p w14:paraId="10D0D03E">
      <w:pPr>
        <w:pStyle w:val="4"/>
        <w:rPr>
          <w:rFonts w:hint="eastAsia" w:ascii="仿宋" w:hAnsi="仿宋" w:eastAsia="仿宋" w:cs="仿宋"/>
          <w:b/>
          <w:bCs/>
          <w:color w:val="auto"/>
          <w:sz w:val="36"/>
          <w:szCs w:val="36"/>
        </w:rPr>
      </w:pPr>
    </w:p>
    <w:p w14:paraId="08773329">
      <w:pPr>
        <w:rPr>
          <w:rFonts w:hint="eastAsia" w:ascii="仿宋" w:hAnsi="仿宋" w:eastAsia="仿宋" w:cs="仿宋"/>
          <w:b/>
          <w:bCs/>
          <w:color w:val="auto"/>
          <w:sz w:val="36"/>
          <w:szCs w:val="36"/>
        </w:rPr>
      </w:pPr>
    </w:p>
    <w:p w14:paraId="6D6CD937">
      <w:pPr>
        <w:pStyle w:val="4"/>
        <w:rPr>
          <w:rFonts w:hint="eastAsia" w:ascii="仿宋" w:hAnsi="仿宋" w:eastAsia="仿宋" w:cs="仿宋"/>
          <w:b/>
          <w:bCs/>
          <w:color w:val="auto"/>
          <w:sz w:val="36"/>
          <w:szCs w:val="36"/>
        </w:rPr>
      </w:pPr>
    </w:p>
    <w:p w14:paraId="4FED43D1">
      <w:pPr>
        <w:rPr>
          <w:rFonts w:hint="eastAsia" w:ascii="仿宋" w:hAnsi="仿宋" w:eastAsia="仿宋" w:cs="仿宋"/>
          <w:b/>
          <w:bCs/>
          <w:color w:val="auto"/>
          <w:sz w:val="36"/>
          <w:szCs w:val="36"/>
        </w:rPr>
      </w:pPr>
    </w:p>
    <w:p w14:paraId="43960081">
      <w:pPr>
        <w:pStyle w:val="3"/>
        <w:numPr>
          <w:ilvl w:val="0"/>
          <w:numId w:val="0"/>
        </w:numPr>
        <w:shd w:val="clear" w:color="auto" w:fill="auto"/>
        <w:spacing w:before="0" w:line="240" w:lineRule="atLeast"/>
        <w:rPr>
          <w:rFonts w:hint="eastAsia" w:ascii="仿宋" w:hAnsi="仿宋" w:eastAsia="仿宋" w:cs="仿宋"/>
          <w:b/>
          <w:bCs/>
          <w:color w:val="auto"/>
          <w:spacing w:val="0"/>
          <w:w w:val="100"/>
          <w:position w:val="0"/>
          <w:sz w:val="36"/>
          <w:szCs w:val="36"/>
          <w:shd w:val="clear" w:color="auto" w:fill="auto"/>
          <w:lang w:val="en-US" w:eastAsia="zh-CN" w:bidi="en-US"/>
        </w:rPr>
      </w:pPr>
    </w:p>
    <w:p w14:paraId="26AB0E51">
      <w:pPr>
        <w:pStyle w:val="3"/>
        <w:numPr>
          <w:ilvl w:val="0"/>
          <w:numId w:val="0"/>
        </w:numPr>
        <w:shd w:val="clear" w:color="auto" w:fill="auto"/>
        <w:spacing w:before="0" w:line="240" w:lineRule="atLeast"/>
        <w:rPr>
          <w:rFonts w:hint="eastAsia" w:ascii="仿宋" w:hAnsi="仿宋" w:eastAsia="仿宋" w:cs="仿宋"/>
          <w:b/>
          <w:bCs/>
          <w:color w:val="auto"/>
          <w:spacing w:val="0"/>
          <w:w w:val="100"/>
          <w:position w:val="0"/>
          <w:sz w:val="36"/>
          <w:szCs w:val="36"/>
          <w:shd w:val="clear" w:color="auto" w:fill="auto"/>
          <w:lang w:val="en-US" w:eastAsia="en-US" w:bidi="en-US"/>
        </w:rPr>
      </w:pPr>
      <w:r>
        <w:rPr>
          <w:rFonts w:hint="eastAsia" w:ascii="仿宋" w:hAnsi="仿宋" w:eastAsia="仿宋" w:cs="仿宋"/>
          <w:b/>
          <w:bCs/>
          <w:color w:val="auto"/>
          <w:spacing w:val="0"/>
          <w:w w:val="100"/>
          <w:position w:val="0"/>
          <w:sz w:val="36"/>
          <w:szCs w:val="36"/>
          <w:shd w:val="clear" w:color="auto" w:fill="auto"/>
          <w:lang w:val="en-US" w:eastAsia="zh-CN" w:bidi="en-US"/>
        </w:rPr>
        <w:t>5、</w:t>
      </w:r>
      <w:r>
        <w:rPr>
          <w:rFonts w:hint="eastAsia" w:ascii="仿宋" w:hAnsi="仿宋" w:eastAsia="仿宋" w:cs="仿宋"/>
          <w:b/>
          <w:bCs/>
          <w:color w:val="auto"/>
          <w:spacing w:val="0"/>
          <w:w w:val="100"/>
          <w:position w:val="0"/>
          <w:sz w:val="36"/>
          <w:szCs w:val="36"/>
          <w:shd w:val="clear" w:color="auto" w:fill="auto"/>
          <w:lang w:val="en-US" w:eastAsia="en-US" w:bidi="en-US"/>
        </w:rPr>
        <w:t>投标保证金缴纳凭证或投标担保函</w:t>
      </w:r>
    </w:p>
    <w:p w14:paraId="2A88D26D">
      <w:pPr>
        <w:shd w:val="clear" w:color="auto" w:fill="auto"/>
        <w:ind w:firstLine="486" w:firstLineChars="200"/>
        <w:rPr>
          <w:rFonts w:hint="eastAsia" w:ascii="仿宋" w:hAnsi="仿宋" w:eastAsia="仿宋" w:cs="仿宋"/>
          <w:color w:val="auto"/>
          <w:sz w:val="24"/>
          <w:highlight w:val="none"/>
        </w:rPr>
      </w:pPr>
      <w:bookmarkStart w:id="69" w:name="_Toc494296991"/>
      <w:bookmarkStart w:id="70" w:name="_Toc494296665"/>
    </w:p>
    <w:bookmarkEnd w:id="69"/>
    <w:bookmarkEnd w:id="70"/>
    <w:p w14:paraId="13A5716F">
      <w:pPr>
        <w:pStyle w:val="5"/>
        <w:shd w:val="clear" w:color="auto" w:fill="auto"/>
        <w:rPr>
          <w:rFonts w:hint="eastAsia" w:ascii="仿宋" w:hAnsi="仿宋" w:eastAsia="仿宋" w:cs="仿宋"/>
          <w:color w:val="auto"/>
          <w:highlight w:val="none"/>
        </w:rPr>
      </w:pPr>
    </w:p>
    <w:p w14:paraId="0DF52310">
      <w:pPr>
        <w:pStyle w:val="5"/>
        <w:shd w:val="clear" w:color="auto" w:fill="auto"/>
        <w:rPr>
          <w:rFonts w:hint="eastAsia" w:ascii="仿宋" w:hAnsi="仿宋" w:eastAsia="仿宋" w:cs="仿宋"/>
          <w:color w:val="auto"/>
          <w:highlight w:val="none"/>
        </w:rPr>
      </w:pPr>
    </w:p>
    <w:p w14:paraId="1FC463AA">
      <w:pPr>
        <w:shd w:val="clear" w:color="auto" w:fill="auto"/>
        <w:spacing w:line="240" w:lineRule="atLeast"/>
        <w:ind w:left="1164" w:leftChars="257" w:hanging="540"/>
        <w:jc w:val="center"/>
        <w:rPr>
          <w:rFonts w:hint="eastAsia" w:ascii="仿宋" w:hAnsi="仿宋" w:eastAsia="仿宋" w:cs="仿宋"/>
          <w:color w:val="auto"/>
          <w:sz w:val="24"/>
          <w:highlight w:val="none"/>
        </w:rPr>
      </w:pPr>
    </w:p>
    <w:p w14:paraId="7C64C872">
      <w:pPr>
        <w:shd w:val="clear" w:color="auto" w:fill="auto"/>
        <w:rPr>
          <w:rFonts w:hint="eastAsia" w:ascii="仿宋" w:hAnsi="仿宋" w:eastAsia="仿宋" w:cs="仿宋"/>
          <w:color w:val="auto"/>
          <w:sz w:val="28"/>
          <w:szCs w:val="28"/>
          <w:highlight w:val="none"/>
        </w:rPr>
      </w:pPr>
    </w:p>
    <w:tbl>
      <w:tblPr>
        <w:tblStyle w:val="19"/>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03C8C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26" w:hRule="atLeast"/>
        </w:trPr>
        <w:tc>
          <w:tcPr>
            <w:tcW w:w="7879" w:type="dxa"/>
            <w:noWrap w:val="0"/>
            <w:vAlign w:val="top"/>
          </w:tcPr>
          <w:p w14:paraId="1ED42E04">
            <w:pPr>
              <w:shd w:val="clear" w:color="auto" w:fill="auto"/>
              <w:rPr>
                <w:rFonts w:hint="eastAsia" w:ascii="仿宋" w:hAnsi="仿宋" w:eastAsia="仿宋" w:cs="仿宋"/>
                <w:b/>
                <w:bCs/>
                <w:color w:val="auto"/>
                <w:sz w:val="30"/>
                <w:szCs w:val="30"/>
                <w:highlight w:val="none"/>
              </w:rPr>
            </w:pPr>
          </w:p>
          <w:p w14:paraId="15FEF667">
            <w:pPr>
              <w:shd w:val="clear" w:color="auto" w:fill="auto"/>
              <w:jc w:val="center"/>
              <w:rPr>
                <w:rFonts w:hint="eastAsia" w:ascii="仿宋" w:hAnsi="仿宋" w:eastAsia="仿宋" w:cs="仿宋"/>
                <w:b/>
                <w:bCs/>
                <w:color w:val="auto"/>
                <w:sz w:val="30"/>
                <w:szCs w:val="30"/>
                <w:highlight w:val="none"/>
              </w:rPr>
            </w:pPr>
          </w:p>
          <w:p w14:paraId="2D0EBD3F">
            <w:pPr>
              <w:shd w:val="clear" w:color="auto" w:fill="auto"/>
              <w:jc w:val="center"/>
              <w:rPr>
                <w:rFonts w:hint="eastAsia"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打款凭证</w:t>
            </w:r>
          </w:p>
        </w:tc>
      </w:tr>
    </w:tbl>
    <w:p w14:paraId="095E6EDB">
      <w:pPr>
        <w:pStyle w:val="5"/>
        <w:shd w:val="clear" w:color="auto" w:fill="auto"/>
        <w:rPr>
          <w:rFonts w:hint="eastAsia" w:ascii="仿宋" w:hAnsi="仿宋" w:eastAsia="仿宋" w:cs="仿宋"/>
          <w:color w:val="auto"/>
          <w:highlight w:val="none"/>
        </w:rPr>
      </w:pPr>
    </w:p>
    <w:p w14:paraId="3D5D1EEB">
      <w:pPr>
        <w:pStyle w:val="5"/>
        <w:shd w:val="clear" w:color="auto" w:fill="auto"/>
        <w:rPr>
          <w:rFonts w:hint="eastAsia" w:ascii="仿宋" w:hAnsi="仿宋" w:eastAsia="仿宋" w:cs="仿宋"/>
          <w:color w:val="auto"/>
          <w:highlight w:val="none"/>
        </w:rPr>
      </w:pPr>
    </w:p>
    <w:p w14:paraId="26938009">
      <w:pPr>
        <w:pStyle w:val="5"/>
        <w:shd w:val="clear" w:color="auto" w:fill="auto"/>
        <w:rPr>
          <w:rFonts w:hint="eastAsia" w:ascii="仿宋" w:hAnsi="仿宋" w:eastAsia="仿宋" w:cs="仿宋"/>
          <w:color w:val="auto"/>
          <w:highlight w:val="none"/>
        </w:rPr>
      </w:pPr>
    </w:p>
    <w:p w14:paraId="02DEF759">
      <w:pPr>
        <w:pStyle w:val="5"/>
        <w:shd w:val="clear" w:color="auto" w:fill="auto"/>
        <w:rPr>
          <w:rFonts w:hint="eastAsia" w:ascii="仿宋" w:hAnsi="仿宋" w:eastAsia="仿宋" w:cs="仿宋"/>
          <w:color w:val="auto"/>
          <w:highlight w:val="none"/>
        </w:rPr>
      </w:pPr>
    </w:p>
    <w:p w14:paraId="5A176A8F">
      <w:pPr>
        <w:pStyle w:val="5"/>
        <w:shd w:val="clear" w:color="auto" w:fill="auto"/>
        <w:rPr>
          <w:rFonts w:hint="eastAsia" w:ascii="仿宋" w:hAnsi="仿宋" w:eastAsia="仿宋" w:cs="仿宋"/>
          <w:color w:val="auto"/>
          <w:highlight w:val="none"/>
        </w:rPr>
      </w:pPr>
    </w:p>
    <w:p w14:paraId="4556E973">
      <w:pPr>
        <w:pStyle w:val="5"/>
        <w:shd w:val="clear" w:color="auto" w:fill="auto"/>
        <w:rPr>
          <w:rFonts w:hint="eastAsia" w:ascii="仿宋" w:hAnsi="仿宋" w:eastAsia="仿宋" w:cs="仿宋"/>
          <w:color w:val="auto"/>
          <w:highlight w:val="none"/>
        </w:rPr>
      </w:pPr>
    </w:p>
    <w:p w14:paraId="49BD6935">
      <w:pPr>
        <w:rPr>
          <w:rFonts w:hint="eastAsia" w:ascii="仿宋" w:hAnsi="仿宋" w:eastAsia="仿宋" w:cs="仿宋"/>
          <w:color w:val="auto"/>
        </w:rPr>
      </w:pPr>
    </w:p>
    <w:p w14:paraId="20AC051C">
      <w:pPr>
        <w:pStyle w:val="4"/>
        <w:rPr>
          <w:rFonts w:hint="eastAsia" w:ascii="仿宋" w:hAnsi="仿宋" w:eastAsia="仿宋" w:cs="仿宋"/>
          <w:color w:val="auto"/>
        </w:rPr>
      </w:pPr>
    </w:p>
    <w:p w14:paraId="0C8FEF92">
      <w:pPr>
        <w:rPr>
          <w:rFonts w:hint="eastAsia" w:ascii="仿宋" w:hAnsi="仿宋" w:eastAsia="仿宋" w:cs="仿宋"/>
          <w:color w:val="auto"/>
        </w:rPr>
      </w:pPr>
    </w:p>
    <w:p w14:paraId="2D233195">
      <w:pPr>
        <w:rPr>
          <w:rFonts w:hint="eastAsia" w:ascii="仿宋" w:hAnsi="仿宋" w:eastAsia="仿宋" w:cs="仿宋"/>
          <w:color w:val="auto"/>
        </w:rPr>
      </w:pPr>
    </w:p>
    <w:p w14:paraId="5899975D">
      <w:pPr>
        <w:rPr>
          <w:rFonts w:hint="eastAsia" w:ascii="仿宋" w:hAnsi="仿宋" w:eastAsia="仿宋" w:cs="仿宋"/>
          <w:color w:val="auto"/>
        </w:rPr>
      </w:pPr>
    </w:p>
    <w:p w14:paraId="47725648">
      <w:pPr>
        <w:shd w:val="clear" w:color="auto" w:fill="auto"/>
        <w:jc w:val="center"/>
        <w:rPr>
          <w:rFonts w:hint="eastAsia" w:ascii="仿宋" w:hAnsi="仿宋" w:eastAsia="仿宋" w:cs="仿宋"/>
          <w:color w:val="auto"/>
          <w:sz w:val="28"/>
          <w:szCs w:val="28"/>
          <w:highlight w:val="none"/>
        </w:rPr>
      </w:pPr>
    </w:p>
    <w:p w14:paraId="3AF9DC03">
      <w:pPr>
        <w:shd w:val="clear" w:color="auto" w:fill="auto"/>
        <w:jc w:val="center"/>
        <w:rPr>
          <w:rFonts w:hint="eastAsia" w:ascii="仿宋" w:hAnsi="仿宋" w:eastAsia="仿宋" w:cs="仿宋"/>
          <w:color w:val="auto"/>
          <w:sz w:val="28"/>
          <w:szCs w:val="28"/>
          <w:highlight w:val="none"/>
        </w:rPr>
      </w:pPr>
    </w:p>
    <w:p w14:paraId="61C7A685">
      <w:pPr>
        <w:shd w:val="clear" w:color="auto" w:fill="auto"/>
        <w:jc w:val="center"/>
        <w:rPr>
          <w:rFonts w:hint="eastAsia" w:ascii="仿宋" w:hAnsi="仿宋" w:eastAsia="仿宋" w:cs="仿宋"/>
          <w:color w:val="auto"/>
          <w:sz w:val="28"/>
          <w:szCs w:val="28"/>
          <w:highlight w:val="none"/>
        </w:rPr>
      </w:pPr>
    </w:p>
    <w:p w14:paraId="12E7A614">
      <w:pPr>
        <w:shd w:val="clear" w:color="auto" w:fill="auto"/>
        <w:jc w:val="center"/>
        <w:rPr>
          <w:rFonts w:hint="eastAsia" w:ascii="仿宋" w:hAnsi="仿宋" w:eastAsia="仿宋" w:cs="仿宋"/>
          <w:color w:val="auto"/>
          <w:sz w:val="28"/>
          <w:szCs w:val="28"/>
          <w:highlight w:val="none"/>
        </w:rPr>
      </w:pPr>
    </w:p>
    <w:p w14:paraId="62BEAB62">
      <w:pPr>
        <w:shd w:val="clear" w:color="auto" w:fill="auto"/>
        <w:jc w:val="center"/>
        <w:rPr>
          <w:rFonts w:hint="eastAsia" w:ascii="仿宋" w:hAnsi="仿宋" w:eastAsia="仿宋" w:cs="仿宋"/>
          <w:color w:val="auto"/>
          <w:sz w:val="28"/>
          <w:szCs w:val="28"/>
          <w:highlight w:val="none"/>
        </w:rPr>
      </w:pPr>
    </w:p>
    <w:p w14:paraId="25C3C995">
      <w:pPr>
        <w:shd w:val="clear" w:color="auto" w:fill="auto"/>
        <w:jc w:val="center"/>
        <w:rPr>
          <w:rFonts w:hint="eastAsia" w:ascii="仿宋" w:hAnsi="仿宋" w:eastAsia="仿宋" w:cs="仿宋"/>
          <w:color w:val="auto"/>
          <w:sz w:val="28"/>
          <w:szCs w:val="28"/>
          <w:highlight w:val="none"/>
        </w:rPr>
      </w:pPr>
    </w:p>
    <w:p w14:paraId="5C59A117">
      <w:pPr>
        <w:shd w:val="clear" w:color="auto" w:fill="auto"/>
        <w:jc w:val="center"/>
        <w:rPr>
          <w:rFonts w:hint="eastAsia" w:ascii="仿宋" w:hAnsi="仿宋" w:eastAsia="仿宋" w:cs="仿宋"/>
          <w:color w:val="auto"/>
          <w:sz w:val="28"/>
          <w:szCs w:val="28"/>
          <w:highlight w:val="none"/>
        </w:rPr>
      </w:pPr>
    </w:p>
    <w:p w14:paraId="752D4EB4">
      <w:pPr>
        <w:shd w:val="clear" w:color="auto" w:fill="auto"/>
        <w:jc w:val="center"/>
        <w:rPr>
          <w:rFonts w:hint="eastAsia" w:ascii="仿宋" w:hAnsi="仿宋" w:eastAsia="仿宋" w:cs="仿宋"/>
          <w:color w:val="auto"/>
          <w:sz w:val="28"/>
          <w:szCs w:val="28"/>
          <w:highlight w:val="none"/>
        </w:rPr>
      </w:pPr>
    </w:p>
    <w:p w14:paraId="498DDEB5">
      <w:pPr>
        <w:shd w:val="clear" w:color="auto" w:fill="auto"/>
        <w:jc w:val="center"/>
        <w:rPr>
          <w:rFonts w:hint="eastAsia" w:ascii="仿宋" w:hAnsi="仿宋" w:eastAsia="仿宋" w:cs="仿宋"/>
          <w:color w:val="auto"/>
          <w:sz w:val="28"/>
          <w:szCs w:val="28"/>
          <w:highlight w:val="none"/>
        </w:rPr>
      </w:pPr>
    </w:p>
    <w:p w14:paraId="3818C879">
      <w:pPr>
        <w:pStyle w:val="25"/>
        <w:rPr>
          <w:rFonts w:hint="eastAsia"/>
        </w:rPr>
      </w:pPr>
    </w:p>
    <w:p w14:paraId="665CA6A0">
      <w:pPr>
        <w:shd w:val="clear" w:color="auto" w:fill="auto"/>
        <w:jc w:val="center"/>
        <w:rPr>
          <w:rFonts w:hint="eastAsia" w:ascii="仿宋" w:hAnsi="仿宋" w:eastAsia="仿宋" w:cs="仿宋"/>
          <w:color w:val="auto"/>
          <w:sz w:val="28"/>
          <w:szCs w:val="28"/>
          <w:highlight w:val="none"/>
        </w:rPr>
      </w:pPr>
    </w:p>
    <w:p w14:paraId="64DECD8F">
      <w:pPr>
        <w:shd w:val="clear" w:color="auto" w:fill="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政府采购投标担保函 （项目用）</w:t>
      </w:r>
    </w:p>
    <w:p w14:paraId="32773FBE">
      <w:pPr>
        <w:shd w:val="clear" w:color="auto" w:fil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编号：</w:t>
      </w:r>
    </w:p>
    <w:p w14:paraId="3C58DA16">
      <w:pPr>
        <w:keepNext w:val="0"/>
        <w:keepLines w:val="0"/>
        <w:pageBreakBefore w:val="0"/>
        <w:widowControl w:val="0"/>
        <w:shd w:val="clear" w:color="auto" w:fill="auto"/>
        <w:kinsoku/>
        <w:wordWrap/>
        <w:overflowPunct/>
        <w:topLinePunct w:val="0"/>
        <w:autoSpaceDE/>
        <w:autoSpaceDN/>
        <w:bidi w:val="0"/>
        <w:adjustRightInd/>
        <w:snapToGrid/>
        <w:spacing w:line="280" w:lineRule="exact"/>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（采购人或采购代理机构）：</w:t>
      </w:r>
    </w:p>
    <w:p w14:paraId="5884F3CA">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鉴于</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（以下简称“投标人”）拟参加编号为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的</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 xml:space="preserve">                            </w:t>
      </w:r>
    </w:p>
    <w:p w14:paraId="4F5D89F0">
      <w:pPr>
        <w:keepNext w:val="0"/>
        <w:keepLines w:val="0"/>
        <w:pageBreakBefore w:val="0"/>
        <w:widowControl w:val="0"/>
        <w:shd w:val="clear" w:color="auto" w:fill="auto"/>
        <w:kinsoku/>
        <w:wordWrap/>
        <w:overflowPunct/>
        <w:topLinePunct w:val="0"/>
        <w:autoSpaceDE/>
        <w:autoSpaceDN/>
        <w:bidi w:val="0"/>
        <w:adjustRightInd/>
        <w:snapToGrid/>
        <w:spacing w:line="280" w:lineRule="exact"/>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项目（以下简称“本项目”）投标，根据本项目</w:t>
      </w:r>
      <w:r>
        <w:rPr>
          <w:rFonts w:hint="eastAsia" w:ascii="仿宋" w:hAnsi="仿宋" w:eastAsia="仿宋" w:cs="仿宋"/>
          <w:color w:val="auto"/>
          <w:sz w:val="22"/>
          <w:szCs w:val="22"/>
          <w:highlight w:val="none"/>
          <w:lang w:eastAsia="zh-CN"/>
        </w:rPr>
        <w:t>询价通知书</w:t>
      </w:r>
      <w:r>
        <w:rPr>
          <w:rFonts w:hint="eastAsia" w:ascii="仿宋" w:hAnsi="仿宋" w:eastAsia="仿宋" w:cs="仿宋"/>
          <w:color w:val="auto"/>
          <w:sz w:val="22"/>
          <w:szCs w:val="22"/>
          <w:highlight w:val="none"/>
        </w:rPr>
        <w:t>，供应商参加投标时应向你方交纳投标保证金，且可以投标担保函的形式交纳投标保证金。应供应商的申请，我方以保证的方式向你方提供如下投标保证金担保：</w:t>
      </w:r>
    </w:p>
    <w:p w14:paraId="7D44CFDD">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一、保证责任的情形及保证金额</w:t>
      </w:r>
    </w:p>
    <w:p w14:paraId="52C086AB">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223" w:firstLineChars="1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（一）在投标人出现下列情形之一时，我方承担保证责任：</w:t>
      </w:r>
    </w:p>
    <w:p w14:paraId="1AD4F0B7">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1．中标后投标人无正当理由不与采购人或者采购代理机构签订《政府采购合同》；</w:t>
      </w:r>
    </w:p>
    <w:p w14:paraId="246ED7C2">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r>
        <w:rPr>
          <w:rFonts w:hint="eastAsia" w:ascii="仿宋" w:hAnsi="仿宋" w:eastAsia="仿宋" w:cs="仿宋"/>
          <w:color w:val="auto"/>
          <w:sz w:val="22"/>
          <w:szCs w:val="22"/>
          <w:highlight w:val="none"/>
          <w:lang w:eastAsia="zh-CN"/>
        </w:rPr>
        <w:t>询价通知书</w:t>
      </w:r>
      <w:r>
        <w:rPr>
          <w:rFonts w:hint="eastAsia" w:ascii="仿宋" w:hAnsi="仿宋" w:eastAsia="仿宋" w:cs="仿宋"/>
          <w:color w:val="auto"/>
          <w:sz w:val="22"/>
          <w:szCs w:val="22"/>
          <w:highlight w:val="none"/>
        </w:rPr>
        <w:t>规定的投标人应当缴纳保证金的其他情形。</w:t>
      </w:r>
    </w:p>
    <w:p w14:paraId="45AF55A4">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223" w:firstLineChars="1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（二）我方承担保证责任的最高金额为人民币</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元（大写</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），即本项目的投标保证金金额。</w:t>
      </w:r>
    </w:p>
    <w:p w14:paraId="19D835BF">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二、保证的方式及保证期间</w:t>
      </w:r>
    </w:p>
    <w:p w14:paraId="6F703D49">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我方保证的方式为：连带责任保证。</w:t>
      </w:r>
    </w:p>
    <w:p w14:paraId="4CD7A23C">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我方的保证期间为：自本保函生效之日起</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个月止。</w:t>
      </w:r>
    </w:p>
    <w:p w14:paraId="005E2A32">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三、承担保证责任的程序</w:t>
      </w:r>
    </w:p>
    <w:p w14:paraId="72C2DE9D">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E63A549">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2．我方在收到索赔通知及相关证明材料后，在</w:t>
      </w:r>
      <w:r>
        <w:rPr>
          <w:rFonts w:hint="eastAsia" w:ascii="仿宋" w:hAnsi="仿宋" w:eastAsia="仿宋" w:cs="仿宋"/>
          <w:color w:val="auto"/>
          <w:sz w:val="22"/>
          <w:szCs w:val="22"/>
          <w:highlight w:val="none"/>
          <w:u w:val="single"/>
        </w:rPr>
        <w:t>　　　</w:t>
      </w:r>
      <w:r>
        <w:rPr>
          <w:rFonts w:hint="eastAsia" w:ascii="仿宋" w:hAnsi="仿宋" w:eastAsia="仿宋" w:cs="仿宋"/>
          <w:color w:val="auto"/>
          <w:sz w:val="22"/>
          <w:szCs w:val="22"/>
          <w:highlight w:val="none"/>
        </w:rPr>
        <w:t>个工作日内进行审查，符合应承担保证责任情形的，我方应按照你方的要求代投标人向你方支付投标保证金。</w:t>
      </w:r>
    </w:p>
    <w:p w14:paraId="2A771B40">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四、保证责任的终止</w:t>
      </w:r>
    </w:p>
    <w:p w14:paraId="25E1671D">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1．保证期间届满你方未向我方书面主张保证责任的，自保证期间届满次日起，我方保证责任自动终止。</w:t>
      </w:r>
    </w:p>
    <w:p w14:paraId="279499B9">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2．我方按照本保函向你贵方履行了保证责任后，自我方向你贵方支付款项（支付款项从我方账户划出）之日起，保证责任终止。</w:t>
      </w:r>
    </w:p>
    <w:p w14:paraId="16CD43D6">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3．按照法律法规的规定或出现我方保证责任终止的其它情形的，我方在本保函项下的保证责任亦终止。</w:t>
      </w:r>
    </w:p>
    <w:p w14:paraId="0E7E7D30">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五、免责条款</w:t>
      </w:r>
    </w:p>
    <w:p w14:paraId="22514C18">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1．依照法律规定或你方与投标人的另行约定，全部或者部分免除投标人投标保证金义务时，我方亦免除相应的保证责任。</w:t>
      </w:r>
    </w:p>
    <w:p w14:paraId="190E9049">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2．因你方原因致使投标人发生本保函第一条第（一）款约定情形的，我方不承担保证责任。</w:t>
      </w:r>
    </w:p>
    <w:p w14:paraId="79274F26">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3．因不可抗力造成投标人发生本保函第一条约定情形的，我方不承担保证责任。</w:t>
      </w:r>
    </w:p>
    <w:p w14:paraId="7A5A268B">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4．你方或其他有权机关对</w:t>
      </w:r>
      <w:r>
        <w:rPr>
          <w:rFonts w:hint="eastAsia" w:ascii="仿宋" w:hAnsi="仿宋" w:eastAsia="仿宋" w:cs="仿宋"/>
          <w:color w:val="auto"/>
          <w:sz w:val="22"/>
          <w:szCs w:val="22"/>
          <w:highlight w:val="none"/>
          <w:lang w:eastAsia="zh-CN"/>
        </w:rPr>
        <w:t>询价通知书</w:t>
      </w:r>
      <w:r>
        <w:rPr>
          <w:rFonts w:hint="eastAsia" w:ascii="仿宋" w:hAnsi="仿宋" w:eastAsia="仿宋" w:cs="仿宋"/>
          <w:color w:val="auto"/>
          <w:sz w:val="22"/>
          <w:szCs w:val="22"/>
          <w:highlight w:val="none"/>
        </w:rPr>
        <w:t>进行任何澄清或修改，加重我方保证责任的，我方对加重部分不承担保证责任，但该澄清或修改经我方事先书面同意的除外。</w:t>
      </w:r>
    </w:p>
    <w:p w14:paraId="613EF5E6">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六、争议的解决</w:t>
      </w:r>
    </w:p>
    <w:p w14:paraId="388FEFA8">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因本保函发生的纠纷，由你我双方协商解决，协商不成的，通过诉讼程序解决，诉讼管辖地法院为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法院。</w:t>
      </w:r>
    </w:p>
    <w:p w14:paraId="4C70FB01">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七、保函的生效</w:t>
      </w:r>
    </w:p>
    <w:p w14:paraId="78752F78">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446"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本保函自我方加盖公章之日起生效。</w:t>
      </w:r>
    </w:p>
    <w:p w14:paraId="7869852B">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5909" w:firstLineChars="265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保证人：（公章）</w:t>
      </w:r>
    </w:p>
    <w:p w14:paraId="70848438">
      <w:pPr>
        <w:keepNext w:val="0"/>
        <w:keepLines w:val="0"/>
        <w:pageBreakBefore w:val="0"/>
        <w:widowControl w:val="0"/>
        <w:shd w:val="clear" w:color="auto" w:fill="auto"/>
        <w:kinsoku/>
        <w:wordWrap/>
        <w:overflowPunct/>
        <w:topLinePunct w:val="0"/>
        <w:autoSpaceDE/>
        <w:autoSpaceDN/>
        <w:bidi w:val="0"/>
        <w:adjustRightInd/>
        <w:snapToGrid/>
        <w:spacing w:line="28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w:t>
      </w:r>
    </w:p>
    <w:p w14:paraId="373CAAD7">
      <w:pPr>
        <w:keepNext w:val="0"/>
        <w:keepLines w:val="0"/>
        <w:pageBreakBefore w:val="0"/>
        <w:widowControl w:val="0"/>
        <w:shd w:val="clear" w:color="auto" w:fill="auto"/>
        <w:kinsoku/>
        <w:wordWrap/>
        <w:overflowPunct/>
        <w:topLinePunct w:val="0"/>
        <w:autoSpaceDE/>
        <w:autoSpaceDN/>
        <w:bidi w:val="0"/>
        <w:adjustRightInd/>
        <w:snapToGrid/>
        <w:spacing w:line="280" w:lineRule="exact"/>
        <w:ind w:firstLine="5832" w:firstLineChars="2400"/>
        <w:textAlignment w:val="auto"/>
        <w:rPr>
          <w:rFonts w:hint="eastAsia" w:ascii="仿宋" w:hAnsi="仿宋" w:eastAsia="仿宋" w:cs="仿宋"/>
          <w:color w:val="auto"/>
          <w:highlight w:val="none"/>
        </w:rPr>
        <w:sectPr>
          <w:headerReference r:id="rId9" w:type="default"/>
          <w:footerReference r:id="rId10" w:type="default"/>
          <w:pgSz w:w="11905" w:h="16838"/>
          <w:pgMar w:top="1440" w:right="1417" w:bottom="1440" w:left="1417" w:header="850" w:footer="992" w:gutter="0"/>
          <w:pgNumType w:fmt="decimal"/>
          <w:cols w:space="0" w:num="1"/>
          <w:rtlGutter w:val="0"/>
          <w:docGrid w:type="linesAndChars" w:linePitch="325" w:charSpace="635"/>
        </w:sectPr>
      </w:pPr>
      <w:r>
        <w:rPr>
          <w:rFonts w:hint="eastAsia" w:ascii="仿宋" w:hAnsi="仿宋" w:eastAsia="仿宋" w:cs="仿宋"/>
          <w:color w:val="auto"/>
          <w:highlight w:val="none"/>
        </w:rPr>
        <w:t>年     月      日</w:t>
      </w:r>
    </w:p>
    <w:p w14:paraId="286A3482">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6" w:firstLineChars="200"/>
        <w:jc w:val="left"/>
        <w:textAlignment w:val="auto"/>
        <w:rPr>
          <w:rFonts w:hint="eastAsia" w:ascii="仿宋" w:hAnsi="仿宋" w:eastAsia="仿宋" w:cs="仿宋"/>
          <w:b/>
          <w:bCs/>
          <w:color w:val="auto"/>
          <w:lang w:val="en-US" w:eastAsia="zh-CN"/>
        </w:rPr>
      </w:pPr>
    </w:p>
    <w:p w14:paraId="3FC0FB06">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6" w:firstLineChars="200"/>
        <w:jc w:val="left"/>
        <w:textAlignment w:val="auto"/>
        <w:rPr>
          <w:rFonts w:hint="eastAsia" w:ascii="仿宋" w:hAnsi="仿宋" w:eastAsia="仿宋" w:cs="仿宋"/>
          <w:b/>
          <w:bCs/>
          <w:color w:val="auto"/>
          <w:lang w:val="en-US" w:eastAsia="zh-CN"/>
        </w:rPr>
      </w:pPr>
    </w:p>
    <w:p w14:paraId="1023887F">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6" w:firstLineChars="200"/>
        <w:jc w:val="left"/>
        <w:textAlignment w:val="auto"/>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6、投标企业须提供投标人（被授权在职人员）近6个月内任意一个月有效的社保证明</w:t>
      </w:r>
    </w:p>
    <w:p w14:paraId="35E55FA1">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6" w:firstLineChars="200"/>
        <w:jc w:val="left"/>
        <w:textAlignment w:val="auto"/>
        <w:rPr>
          <w:rFonts w:hint="eastAsia" w:ascii="仿宋" w:hAnsi="仿宋" w:eastAsia="仿宋" w:cs="仿宋"/>
          <w:color w:val="auto"/>
          <w:lang w:val="en-US" w:eastAsia="zh-CN"/>
        </w:rPr>
      </w:pPr>
    </w:p>
    <w:p w14:paraId="1AF98C47">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6"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说明：复印件上应加盖本单位章</w:t>
      </w:r>
    </w:p>
    <w:p w14:paraId="32DD599D">
      <w:pPr>
        <w:rPr>
          <w:rFonts w:hint="eastAsia" w:ascii="仿宋" w:hAnsi="仿宋" w:eastAsia="仿宋" w:cs="仿宋"/>
          <w:color w:val="auto"/>
          <w:sz w:val="24"/>
          <w:highlight w:val="none"/>
        </w:rPr>
      </w:pPr>
    </w:p>
    <w:p w14:paraId="1B110283">
      <w:pPr>
        <w:pStyle w:val="26"/>
        <w:rPr>
          <w:rFonts w:hint="eastAsia" w:ascii="仿宋" w:hAnsi="仿宋" w:eastAsia="仿宋" w:cs="仿宋"/>
          <w:color w:val="auto"/>
          <w:sz w:val="24"/>
          <w:highlight w:val="none"/>
        </w:rPr>
      </w:pPr>
    </w:p>
    <w:p w14:paraId="1161D571">
      <w:pPr>
        <w:pStyle w:val="26"/>
        <w:rPr>
          <w:rFonts w:hint="eastAsia" w:ascii="仿宋" w:hAnsi="仿宋" w:eastAsia="仿宋" w:cs="仿宋"/>
          <w:color w:val="auto"/>
          <w:sz w:val="24"/>
          <w:highlight w:val="none"/>
        </w:rPr>
      </w:pPr>
    </w:p>
    <w:p w14:paraId="562AE56C">
      <w:pPr>
        <w:ind w:firstLine="243" w:firstLineChars="100"/>
        <w:rPr>
          <w:rFonts w:hint="eastAsia" w:ascii="仿宋" w:hAnsi="仿宋" w:eastAsia="仿宋" w:cs="仿宋"/>
          <w:b/>
          <w:bCs/>
          <w:color w:val="auto"/>
        </w:rPr>
      </w:pPr>
      <w:r>
        <w:rPr>
          <w:rFonts w:hint="eastAsia" w:ascii="仿宋" w:hAnsi="仿宋" w:eastAsia="仿宋" w:cs="仿宋"/>
          <w:b/>
          <w:bCs/>
          <w:color w:val="auto"/>
          <w:lang w:val="en-US" w:eastAsia="zh-CN"/>
        </w:rPr>
        <w:t>7、参加政府采购活动前三年内，在经营活动中没有重大违法记录；未被“信用中国”（www.creditchina.gov.cn）、中国政府采购网（www.ccgp.gov.cn）列入失信被执行人、税收违法黑名单、政府采购严重违法失信行为记录名单。</w:t>
      </w:r>
    </w:p>
    <w:p w14:paraId="187AC40C">
      <w:pPr>
        <w:pStyle w:val="26"/>
        <w:rPr>
          <w:rFonts w:hint="eastAsia" w:ascii="仿宋" w:hAnsi="仿宋" w:eastAsia="仿宋" w:cs="仿宋"/>
          <w:b/>
          <w:bCs/>
          <w:color w:val="auto"/>
        </w:rPr>
      </w:pPr>
    </w:p>
    <w:p w14:paraId="5338ECB7">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right="0" w:rightChars="0" w:firstLine="486" w:firstLineChars="200"/>
        <w:jc w:val="left"/>
        <w:textAlignment w:val="auto"/>
        <w:rPr>
          <w:rFonts w:hint="eastAsia" w:ascii="仿宋" w:hAnsi="仿宋" w:eastAsia="仿宋" w:cs="仿宋"/>
          <w:b/>
          <w:bCs/>
          <w:color w:val="auto"/>
          <w:highlight w:val="none"/>
          <w:lang w:val="en-US" w:eastAsia="zh-CN"/>
        </w:rPr>
      </w:pPr>
    </w:p>
    <w:p w14:paraId="6378E267">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right="0" w:rightChars="0" w:firstLine="486" w:firstLineChars="200"/>
        <w:jc w:val="left"/>
        <w:textAlignment w:val="auto"/>
        <w:rPr>
          <w:rFonts w:hint="eastAsia" w:ascii="仿宋" w:hAnsi="仿宋" w:eastAsia="仿宋" w:cs="仿宋"/>
          <w:b/>
          <w:bCs/>
          <w:color w:val="auto"/>
        </w:rPr>
      </w:pPr>
      <w:r>
        <w:rPr>
          <w:rFonts w:hint="eastAsia" w:ascii="仿宋" w:hAnsi="仿宋" w:eastAsia="仿宋" w:cs="仿宋"/>
          <w:b/>
          <w:bCs/>
          <w:color w:val="auto"/>
          <w:highlight w:val="none"/>
          <w:lang w:val="en-US" w:eastAsia="zh-CN"/>
        </w:rPr>
        <w:t>8、</w:t>
      </w:r>
      <w:r>
        <w:rPr>
          <w:rFonts w:hint="eastAsia" w:ascii="仿宋" w:hAnsi="仿宋" w:eastAsia="仿宋" w:cs="仿宋"/>
          <w:b/>
          <w:bCs/>
          <w:color w:val="auto"/>
        </w:rPr>
        <w:t>投标人须知资料表要求的其他资格证明文件</w:t>
      </w:r>
    </w:p>
    <w:p w14:paraId="22384CC2">
      <w:pPr>
        <w:pStyle w:val="4"/>
        <w:rPr>
          <w:rFonts w:hint="eastAsia" w:ascii="仿宋" w:hAnsi="仿宋" w:eastAsia="仿宋" w:cs="仿宋"/>
          <w:b/>
          <w:bCs/>
          <w:color w:val="auto"/>
        </w:rPr>
      </w:pPr>
    </w:p>
    <w:p w14:paraId="0794BCA4">
      <w:pPr>
        <w:rPr>
          <w:rFonts w:hint="eastAsia" w:ascii="仿宋" w:hAnsi="仿宋" w:eastAsia="仿宋" w:cs="仿宋"/>
          <w:b/>
          <w:bCs/>
          <w:color w:val="auto"/>
        </w:rPr>
      </w:pPr>
    </w:p>
    <w:p w14:paraId="09968C3D">
      <w:pPr>
        <w:pStyle w:val="4"/>
        <w:rPr>
          <w:rFonts w:hint="eastAsia" w:ascii="仿宋" w:hAnsi="仿宋" w:eastAsia="仿宋" w:cs="仿宋"/>
          <w:b/>
          <w:bCs/>
          <w:color w:val="auto"/>
        </w:rPr>
      </w:pPr>
    </w:p>
    <w:p w14:paraId="791BEF18">
      <w:pPr>
        <w:rPr>
          <w:rFonts w:hint="eastAsia" w:ascii="仿宋" w:hAnsi="仿宋" w:eastAsia="仿宋" w:cs="仿宋"/>
          <w:b/>
          <w:bCs/>
          <w:color w:val="auto"/>
        </w:rPr>
      </w:pPr>
    </w:p>
    <w:p w14:paraId="68171086">
      <w:pPr>
        <w:pStyle w:val="4"/>
        <w:rPr>
          <w:rFonts w:hint="eastAsia" w:ascii="仿宋" w:hAnsi="仿宋" w:eastAsia="仿宋" w:cs="仿宋"/>
          <w:b/>
          <w:bCs/>
          <w:color w:val="auto"/>
        </w:rPr>
      </w:pPr>
    </w:p>
    <w:p w14:paraId="0B6114B5">
      <w:pPr>
        <w:rPr>
          <w:rFonts w:hint="eastAsia" w:ascii="仿宋" w:hAnsi="仿宋" w:eastAsia="仿宋" w:cs="仿宋"/>
          <w:b/>
          <w:bCs/>
          <w:color w:val="auto"/>
        </w:rPr>
      </w:pPr>
    </w:p>
    <w:p w14:paraId="266DB6BE">
      <w:pPr>
        <w:rPr>
          <w:rFonts w:hint="eastAsia" w:ascii="仿宋" w:hAnsi="仿宋" w:eastAsia="仿宋" w:cs="仿宋"/>
          <w:b/>
          <w:bCs/>
          <w:color w:val="auto"/>
        </w:rPr>
      </w:pPr>
    </w:p>
    <w:p w14:paraId="7AF30D6D">
      <w:pPr>
        <w:pStyle w:val="10"/>
        <w:shd w:val="clear" w:color="auto" w:fill="auto"/>
        <w:tabs>
          <w:tab w:val="left" w:pos="5580"/>
        </w:tabs>
        <w:spacing w:line="240" w:lineRule="atLeast"/>
        <w:ind w:firstLine="486" w:firstLineChars="200"/>
        <w:rPr>
          <w:rFonts w:hint="eastAsia" w:ascii="仿宋" w:hAnsi="仿宋" w:eastAsia="仿宋" w:cs="仿宋"/>
          <w:color w:val="auto"/>
          <w:sz w:val="24"/>
          <w:highlight w:val="none"/>
        </w:rPr>
      </w:pPr>
    </w:p>
    <w:p w14:paraId="36C15895">
      <w:pPr>
        <w:pStyle w:val="2"/>
        <w:keepNext/>
        <w:keepLines/>
        <w:pageBreakBefore w:val="0"/>
        <w:widowControl w:val="0"/>
        <w:shd w:val="clear" w:color="auto" w:fill="auto"/>
        <w:kinsoku/>
        <w:wordWrap/>
        <w:overflowPunct/>
        <w:topLinePunct w:val="0"/>
        <w:autoSpaceDE/>
        <w:autoSpaceDN/>
        <w:bidi w:val="0"/>
        <w:adjustRightInd/>
        <w:snapToGrid/>
        <w:spacing w:before="40" w:after="40" w:line="579" w:lineRule="auto"/>
        <w:textAlignment w:val="auto"/>
        <w:rPr>
          <w:rFonts w:hint="eastAsia" w:ascii="仿宋" w:hAnsi="仿宋" w:eastAsia="仿宋" w:cs="仿宋"/>
          <w:color w:val="auto"/>
          <w:sz w:val="32"/>
          <w:szCs w:val="32"/>
          <w:highlight w:val="none"/>
        </w:rPr>
      </w:pPr>
      <w:bookmarkStart w:id="71" w:name="_Toc5695"/>
      <w:bookmarkStart w:id="72" w:name="_Toc22967"/>
      <w:bookmarkStart w:id="73" w:name="_Toc11180"/>
      <w:bookmarkStart w:id="74" w:name="_Toc515647816"/>
    </w:p>
    <w:p w14:paraId="4BB509A6">
      <w:pPr>
        <w:pStyle w:val="2"/>
        <w:keepNext/>
        <w:keepLines/>
        <w:pageBreakBefore w:val="0"/>
        <w:widowControl w:val="0"/>
        <w:shd w:val="clear" w:color="auto" w:fill="auto"/>
        <w:kinsoku/>
        <w:wordWrap/>
        <w:overflowPunct/>
        <w:topLinePunct w:val="0"/>
        <w:autoSpaceDE/>
        <w:autoSpaceDN/>
        <w:bidi w:val="0"/>
        <w:adjustRightInd/>
        <w:snapToGrid/>
        <w:spacing w:before="40" w:after="40" w:line="579" w:lineRule="auto"/>
        <w:textAlignment w:val="auto"/>
        <w:rPr>
          <w:rFonts w:hint="eastAsia" w:ascii="仿宋" w:hAnsi="仿宋" w:eastAsia="仿宋" w:cs="仿宋"/>
          <w:color w:val="auto"/>
          <w:sz w:val="32"/>
          <w:szCs w:val="32"/>
          <w:highlight w:val="none"/>
        </w:rPr>
      </w:pPr>
    </w:p>
    <w:p w14:paraId="7B0E106D">
      <w:pPr>
        <w:rPr>
          <w:rFonts w:hint="eastAsia"/>
        </w:rPr>
      </w:pPr>
    </w:p>
    <w:p w14:paraId="707BE00C">
      <w:pPr>
        <w:pStyle w:val="2"/>
        <w:keepNext/>
        <w:keepLines/>
        <w:pageBreakBefore w:val="0"/>
        <w:widowControl w:val="0"/>
        <w:shd w:val="clear" w:color="auto" w:fill="auto"/>
        <w:kinsoku/>
        <w:wordWrap/>
        <w:overflowPunct/>
        <w:topLinePunct w:val="0"/>
        <w:autoSpaceDE/>
        <w:autoSpaceDN/>
        <w:bidi w:val="0"/>
        <w:adjustRightInd/>
        <w:snapToGrid/>
        <w:spacing w:before="40" w:after="40" w:line="579" w:lineRule="auto"/>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商务及技术文件</w:t>
      </w:r>
      <w:bookmarkEnd w:id="71"/>
      <w:bookmarkEnd w:id="72"/>
      <w:bookmarkEnd w:id="73"/>
      <w:bookmarkEnd w:id="74"/>
    </w:p>
    <w:p w14:paraId="51EDB1B8">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w:t>
      </w:r>
      <w:r>
        <w:rPr>
          <w:rFonts w:hint="eastAsia" w:ascii="仿宋" w:hAnsi="仿宋" w:eastAsia="仿宋" w:cs="仿宋"/>
          <w:color w:val="auto"/>
          <w:sz w:val="24"/>
          <w:highlight w:val="none"/>
          <w:lang w:eastAsia="zh-CN"/>
        </w:rPr>
        <w:t>函</w:t>
      </w:r>
    </w:p>
    <w:p w14:paraId="6D4737F6">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2、开标一览表</w:t>
      </w:r>
    </w:p>
    <w:p w14:paraId="0B23C7D6">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pacing w:val="0"/>
          <w:w w:val="100"/>
          <w:kern w:val="0"/>
          <w:position w:val="0"/>
          <w:sz w:val="24"/>
          <w:szCs w:val="20"/>
          <w:u w:val="none" w:color="000000"/>
          <w:shd w:val="clear" w:color="auto" w:fill="auto"/>
          <w:lang w:val="en-US" w:eastAsia="zh-CN" w:bidi="en-US"/>
        </w:rPr>
      </w:pPr>
      <w:r>
        <w:rPr>
          <w:rFonts w:hint="eastAsia" w:ascii="仿宋" w:hAnsi="仿宋" w:eastAsia="仿宋" w:cs="仿宋"/>
          <w:color w:val="auto"/>
          <w:spacing w:val="0"/>
          <w:w w:val="100"/>
          <w:kern w:val="0"/>
          <w:position w:val="0"/>
          <w:sz w:val="24"/>
          <w:szCs w:val="20"/>
          <w:u w:val="none" w:color="000000"/>
          <w:shd w:val="clear" w:color="auto" w:fill="auto"/>
          <w:lang w:val="en-US" w:eastAsia="zh-CN" w:bidi="en-US"/>
        </w:rPr>
        <w:t>3、货物说明一览表</w:t>
      </w:r>
    </w:p>
    <w:p w14:paraId="58A30F22">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、投标分项报价表</w:t>
      </w:r>
    </w:p>
    <w:p w14:paraId="5B8654F8">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、技术规格偏离表</w:t>
      </w:r>
    </w:p>
    <w:p w14:paraId="59048BE0">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、商务条款偏离表</w:t>
      </w:r>
    </w:p>
    <w:p w14:paraId="01CA5966">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lang w:eastAsia="zh-CN"/>
        </w:rPr>
      </w:pPr>
      <w:r>
        <w:rPr>
          <w:rFonts w:hint="eastAsia" w:ascii="仿宋" w:hAnsi="仿宋" w:eastAsia="仿宋" w:cs="仿宋"/>
          <w:color w:val="auto"/>
          <w:sz w:val="24"/>
          <w:highlight w:val="none"/>
          <w:lang w:val="en-US" w:eastAsia="zh-CN"/>
        </w:rPr>
        <w:t>7、投标人基本情况表</w:t>
      </w:r>
    </w:p>
    <w:p w14:paraId="43C19202">
      <w:pPr>
        <w:pStyle w:val="10"/>
        <w:spacing w:line="400" w:lineRule="exact"/>
        <w:ind w:left="359" w:leftChars="148" w:firstLine="228"/>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8、中标服务费支付承诺书</w:t>
      </w:r>
    </w:p>
    <w:p w14:paraId="3212A26E">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9、近三年（2022年1月1日至今）类似项目业绩表</w:t>
      </w:r>
    </w:p>
    <w:p w14:paraId="32BAF240">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、中小企业声明函(</w:t>
      </w:r>
      <w:r>
        <w:rPr>
          <w:rFonts w:hint="eastAsia" w:ascii="仿宋" w:hAnsi="仿宋" w:eastAsia="仿宋" w:cs="仿宋"/>
          <w:color w:val="auto"/>
          <w:sz w:val="24"/>
          <w:highlight w:val="none"/>
          <w:lang w:eastAsia="zh-CN"/>
        </w:rPr>
        <w:t>货物</w:t>
      </w:r>
      <w:r>
        <w:rPr>
          <w:rFonts w:hint="eastAsia" w:ascii="仿宋" w:hAnsi="仿宋" w:eastAsia="仿宋" w:cs="仿宋"/>
          <w:color w:val="auto"/>
          <w:sz w:val="24"/>
          <w:highlight w:val="none"/>
        </w:rPr>
        <w:t>)</w:t>
      </w:r>
    </w:p>
    <w:p w14:paraId="01491B48">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《残疾人福利性单位声明函》</w:t>
      </w:r>
    </w:p>
    <w:p w14:paraId="52C8A543">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lang w:eastAsia="zh-CN"/>
        </w:rPr>
        <w:t>评分标准和细则中技术部分证明材料（格式自拟）</w:t>
      </w:r>
    </w:p>
    <w:p w14:paraId="133003ED">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13、</w:t>
      </w:r>
      <w:r>
        <w:rPr>
          <w:rFonts w:hint="eastAsia" w:ascii="仿宋" w:hAnsi="仿宋" w:eastAsia="仿宋" w:cs="仿宋"/>
          <w:color w:val="auto"/>
          <w:sz w:val="24"/>
          <w:highlight w:val="none"/>
          <w:lang w:eastAsia="zh-CN"/>
        </w:rPr>
        <w:t>评分标准和细则中商务部分证明材料（格式自拟）</w:t>
      </w:r>
    </w:p>
    <w:p w14:paraId="331F935C">
      <w:pPr>
        <w:pStyle w:val="10"/>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lang w:eastAsia="zh-CN"/>
        </w:rPr>
        <w:t>投标人认为有必要提供的其他证明材料（格式自拟）</w:t>
      </w:r>
    </w:p>
    <w:p w14:paraId="0520179B">
      <w:pPr>
        <w:pStyle w:val="10"/>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400" w:lineRule="exact"/>
        <w:ind w:left="648" w:leftChars="26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60B5063E">
      <w:pPr>
        <w:pStyle w:val="7"/>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r>
        <w:rPr>
          <w:rFonts w:hint="eastAsia" w:ascii="仿宋" w:hAnsi="仿宋" w:eastAsia="仿宋" w:cs="仿宋"/>
          <w:b/>
          <w:bCs/>
          <w:color w:val="auto"/>
          <w:sz w:val="36"/>
          <w:szCs w:val="36"/>
          <w:lang w:val="en-US" w:eastAsia="zh-CN"/>
        </w:rPr>
        <w:t>1</w:t>
      </w:r>
      <w:r>
        <w:rPr>
          <w:rFonts w:hint="eastAsia" w:ascii="仿宋" w:hAnsi="仿宋" w:eastAsia="仿宋" w:cs="仿宋"/>
          <w:b/>
          <w:bCs/>
          <w:color w:val="auto"/>
          <w:sz w:val="36"/>
          <w:szCs w:val="36"/>
        </w:rPr>
        <w:t>、投标函</w:t>
      </w:r>
    </w:p>
    <w:p w14:paraId="1E2BD43E">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u w:val="single"/>
        </w:rPr>
      </w:pPr>
      <w:r>
        <w:rPr>
          <w:rFonts w:hint="eastAsia" w:ascii="仿宋" w:hAnsi="仿宋" w:eastAsia="仿宋" w:cs="仿宋"/>
          <w:color w:val="auto"/>
          <w:kern w:val="0"/>
          <w:sz w:val="24"/>
        </w:rPr>
        <w:t>致：</w:t>
      </w:r>
      <w:r>
        <w:rPr>
          <w:rFonts w:hint="eastAsia" w:ascii="仿宋" w:hAnsi="仿宋" w:eastAsia="仿宋" w:cs="仿宋"/>
          <w:color w:val="auto"/>
          <w:kern w:val="0"/>
          <w:sz w:val="24"/>
          <w:u w:val="single"/>
        </w:rPr>
        <w:t xml:space="preserve">                     </w:t>
      </w:r>
    </w:p>
    <w:p w14:paraId="4A970FA4">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为响应你方组织的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项目的招标[项目编号为：</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]，我方愿参与投标。</w:t>
      </w:r>
    </w:p>
    <w:p w14:paraId="196FEF46">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我方确认收到贵方提供的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none"/>
        </w:rPr>
        <w:t>招标</w:t>
      </w:r>
      <w:r>
        <w:rPr>
          <w:rFonts w:hint="eastAsia" w:ascii="仿宋" w:hAnsi="仿宋" w:eastAsia="仿宋" w:cs="仿宋"/>
          <w:color w:val="auto"/>
          <w:kern w:val="0"/>
          <w:sz w:val="24"/>
        </w:rPr>
        <w:t>文件的全部内容。</w:t>
      </w:r>
    </w:p>
    <w:p w14:paraId="676E53FF">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在参与投标前已详细研究了招标文件的所有内容，包括澄清、修改文件（如果有）和所有已提供的参考资料以及有关附件，我方完全明白并认为此招标文件没有倾向性，也不存在排斥潜在报价投标人的内容，我方同意招标文件的相关条款，放弃对招标文件提出误解和质疑的一切权力。</w:t>
      </w:r>
    </w:p>
    <w:p w14:paraId="37F4CE6B">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u w:val="single"/>
        </w:rPr>
        <w:t xml:space="preserve">      (投标人名称)      </w:t>
      </w:r>
      <w:r>
        <w:rPr>
          <w:rFonts w:hint="eastAsia" w:ascii="仿宋" w:hAnsi="仿宋" w:eastAsia="仿宋" w:cs="仿宋"/>
          <w:color w:val="auto"/>
          <w:kern w:val="0"/>
          <w:sz w:val="24"/>
        </w:rPr>
        <w:t>作为投标人正式授权</w:t>
      </w:r>
      <w:r>
        <w:rPr>
          <w:rFonts w:hint="eastAsia" w:ascii="仿宋" w:hAnsi="仿宋" w:eastAsia="仿宋" w:cs="仿宋"/>
          <w:color w:val="auto"/>
          <w:kern w:val="0"/>
          <w:sz w:val="24"/>
          <w:u w:val="single"/>
        </w:rPr>
        <w:t xml:space="preserve">  (授权代表全名, 职务)  </w:t>
      </w:r>
      <w:r>
        <w:rPr>
          <w:rFonts w:hint="eastAsia" w:ascii="仿宋" w:hAnsi="仿宋" w:eastAsia="仿宋" w:cs="仿宋"/>
          <w:color w:val="auto"/>
          <w:kern w:val="0"/>
          <w:sz w:val="24"/>
        </w:rPr>
        <w:t>代表我方全权处理有关本报价的一切事宜。</w:t>
      </w:r>
    </w:p>
    <w:p w14:paraId="4BFB5F32">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我方已完全明白招标文件的所有条款要求，并申明如下：</w:t>
      </w:r>
    </w:p>
    <w:p w14:paraId="05302293">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（一）按招标文件提供的全部货物与相关服务的投标总价详见《报价一览表》。</w:t>
      </w:r>
    </w:p>
    <w:p w14:paraId="5E51416A">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（二）本投标文件的有效期为投标截止时间起</w:t>
      </w:r>
      <w:r>
        <w:rPr>
          <w:rFonts w:hint="eastAsia" w:ascii="仿宋" w:hAnsi="仿宋" w:eastAsia="仿宋" w:cs="仿宋"/>
          <w:color w:val="auto"/>
          <w:kern w:val="0"/>
          <w:sz w:val="24"/>
          <w:u w:val="single"/>
          <w:lang w:val="en-US" w:eastAsia="zh-CN"/>
        </w:rPr>
        <w:t>60</w:t>
      </w:r>
      <w:r>
        <w:rPr>
          <w:rFonts w:hint="eastAsia" w:ascii="仿宋" w:hAnsi="仿宋" w:eastAsia="仿宋" w:cs="仿宋"/>
          <w:color w:val="auto"/>
          <w:kern w:val="0"/>
          <w:sz w:val="24"/>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58BDEEA8">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（三）我方同意按照贵方可能提出的要求而提供与投标有关的任何其它数据、信息或资料。</w:t>
      </w:r>
    </w:p>
    <w:p w14:paraId="2DCC6596">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四</w:t>
      </w:r>
      <w:r>
        <w:rPr>
          <w:rFonts w:hint="eastAsia" w:ascii="仿宋" w:hAnsi="仿宋" w:eastAsia="仿宋" w:cs="仿宋"/>
          <w:color w:val="auto"/>
          <w:kern w:val="0"/>
          <w:sz w:val="24"/>
        </w:rPr>
        <w:t>）我方理解贵方不一定接受最低投标价或任何贵方可能收到的投标。</w:t>
      </w:r>
    </w:p>
    <w:p w14:paraId="7E68D30B">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五</w:t>
      </w:r>
      <w:r>
        <w:rPr>
          <w:rFonts w:hint="eastAsia" w:ascii="仿宋" w:hAnsi="仿宋" w:eastAsia="仿宋" w:cs="仿宋"/>
          <w:color w:val="auto"/>
          <w:kern w:val="0"/>
          <w:sz w:val="24"/>
        </w:rPr>
        <w:t>）我方如果中标，将保证履行招标文件及其澄清、修改文件（如果有）中的全部责任和义务，按质、按量、按期完成《招标内容》及《合同书》中的全部任务。</w:t>
      </w:r>
    </w:p>
    <w:p w14:paraId="3BB27221">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六</w:t>
      </w:r>
      <w:r>
        <w:rPr>
          <w:rFonts w:hint="eastAsia" w:ascii="仿宋" w:hAnsi="仿宋" w:eastAsia="仿宋" w:cs="仿宋"/>
          <w:color w:val="auto"/>
          <w:kern w:val="0"/>
          <w:sz w:val="24"/>
        </w:rPr>
        <w:t>）如我方被授予合同，我方承诺支付就本次招标应支付或将支付的中标服务费（详见按招标文件要求格式填写的《中标服务费支付承诺书》）。</w:t>
      </w:r>
    </w:p>
    <w:p w14:paraId="38C4202C">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七</w:t>
      </w:r>
      <w:r>
        <w:rPr>
          <w:rFonts w:hint="eastAsia" w:ascii="仿宋" w:hAnsi="仿宋" w:eastAsia="仿宋" w:cs="仿宋"/>
          <w:color w:val="auto"/>
          <w:kern w:val="0"/>
          <w:sz w:val="24"/>
        </w:rPr>
        <w:t>）我方作为在法律、财务和运作上独立于采购人、招标代理机构的投标人，在此保证所提交的所有文件和全部说明是真实的和正确的。</w:t>
      </w:r>
    </w:p>
    <w:p w14:paraId="360A2A7E">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八</w:t>
      </w:r>
      <w:r>
        <w:rPr>
          <w:rFonts w:hint="eastAsia" w:ascii="仿宋" w:hAnsi="仿宋" w:eastAsia="仿宋" w:cs="仿宋"/>
          <w:color w:val="auto"/>
          <w:kern w:val="0"/>
          <w:sz w:val="24"/>
        </w:rPr>
        <w:t>）我方投标报价已包含应向知识产权所有权人支付的所有相关税费，并保证采购人在中国使用我方提供的货物时，如有第三方提出侵犯其知识产权主张的，责任由我方承担。</w:t>
      </w:r>
    </w:p>
    <w:p w14:paraId="18573F3D">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九</w:t>
      </w:r>
      <w:r>
        <w:rPr>
          <w:rFonts w:hint="eastAsia" w:ascii="仿宋" w:hAnsi="仿宋" w:eastAsia="仿宋" w:cs="仿宋"/>
          <w:color w:val="auto"/>
          <w:kern w:val="0"/>
          <w:sz w:val="24"/>
        </w:rPr>
        <w:t>）我方与其他投标人不存在单位负责人为同一人或者存在直接控股、管理关系。</w:t>
      </w:r>
    </w:p>
    <w:p w14:paraId="6CED8B07">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（十）我方承诺未为本项目提供整体设计、规范编制或者项目管理、监理、检测等服务。</w:t>
      </w:r>
    </w:p>
    <w:p w14:paraId="5AEAB5B1">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（十</w:t>
      </w:r>
      <w:r>
        <w:rPr>
          <w:rFonts w:hint="eastAsia" w:ascii="仿宋" w:hAnsi="仿宋" w:eastAsia="仿宋" w:cs="仿宋"/>
          <w:color w:val="auto"/>
          <w:kern w:val="0"/>
          <w:sz w:val="24"/>
          <w:lang w:eastAsia="zh-CN"/>
        </w:rPr>
        <w:t>一</w:t>
      </w:r>
      <w:r>
        <w:rPr>
          <w:rFonts w:hint="eastAsia" w:ascii="仿宋" w:hAnsi="仿宋" w:eastAsia="仿宋" w:cs="仿宋"/>
          <w:color w:val="auto"/>
          <w:kern w:val="0"/>
          <w:sz w:val="24"/>
        </w:rPr>
        <w:t>）我方具备《政府采购法》第二十二条规定的条件，承诺如下：</w:t>
      </w:r>
    </w:p>
    <w:p w14:paraId="1845D345">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（1）我方已依法缴纳了各项税费及社会保险费用，如有需要，可随时向采购人提供近三个月内的相关缴费证明，以便核查。</w:t>
      </w:r>
    </w:p>
    <w:p w14:paraId="4A909A67">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（2）我方已依法建立健全的财务会计制度，如有需要，可随时向采购人提供相关的证明材料，以便核查。</w:t>
      </w:r>
    </w:p>
    <w:p w14:paraId="2D121297">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（3）我方参加本项目政府采购活动前3年内在经营活动中没有重大违法记录。</w:t>
      </w:r>
    </w:p>
    <w:p w14:paraId="49A24806">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（4）我方具备履行合同所必需的设备和专业技术能力。</w:t>
      </w:r>
    </w:p>
    <w:p w14:paraId="34FA32E0">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（5）我方符合法律、行政法规规定的其他条件。</w:t>
      </w:r>
    </w:p>
    <w:p w14:paraId="74A38E4E">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以上内容如有虚假或与事实不符的，评审委员会可将我方做无效投标处理，我方愿意承担相应的法律责任。</w:t>
      </w:r>
    </w:p>
    <w:p w14:paraId="3671CDBD">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（十三）我方对在本函及投标文件中所作的所有承诺承担法律责任。</w:t>
      </w:r>
    </w:p>
    <w:p w14:paraId="524FFB2D">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（十四）所有与本招标有关的函件请发往下列地址：</w:t>
      </w:r>
    </w:p>
    <w:p w14:paraId="3372A358">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地    址：</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.邮政编码：</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335D5F80">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电    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1785E2DB">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传    真：</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7B7B057F">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代表姓名：</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.职    务：</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6906A61A">
      <w:pPr>
        <w:keepNext w:val="0"/>
        <w:keepLines w:val="0"/>
        <w:pageBreakBefore w:val="0"/>
        <w:widowControl w:val="0"/>
        <w:topLinePunct w:val="0"/>
        <w:autoSpaceDE/>
        <w:autoSpaceDN/>
        <w:bidi w:val="0"/>
        <w:adjustRightInd/>
        <w:snapToGrid/>
        <w:spacing w:line="440" w:lineRule="exact"/>
        <w:ind w:right="480"/>
        <w:jc w:val="righ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投标人：</w:t>
      </w:r>
      <w:r>
        <w:rPr>
          <w:rFonts w:hint="eastAsia" w:ascii="仿宋" w:hAnsi="仿宋" w:eastAsia="仿宋" w:cs="仿宋"/>
          <w:color w:val="auto"/>
          <w:kern w:val="0"/>
          <w:sz w:val="24"/>
          <w:u w:val="single"/>
        </w:rPr>
        <w:tab/>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（公章） </w:t>
      </w:r>
    </w:p>
    <w:p w14:paraId="0FD8CD28">
      <w:pPr>
        <w:keepNext w:val="0"/>
        <w:keepLines w:val="0"/>
        <w:pageBreakBefore w:val="0"/>
        <w:widowControl w:val="0"/>
        <w:wordWrap w:val="0"/>
        <w:topLinePunct w:val="0"/>
        <w:autoSpaceDE/>
        <w:autoSpaceDN/>
        <w:bidi w:val="0"/>
        <w:adjustRightInd/>
        <w:snapToGrid/>
        <w:spacing w:line="440" w:lineRule="exact"/>
        <w:ind w:firstLine="486" w:firstLineChars="200"/>
        <w:jc w:val="righ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法定代表人或委托人：</w:t>
      </w:r>
      <w:r>
        <w:rPr>
          <w:rFonts w:hint="eastAsia" w:ascii="仿宋" w:hAnsi="仿宋" w:eastAsia="仿宋" w:cs="仿宋"/>
          <w:color w:val="auto"/>
          <w:kern w:val="0"/>
          <w:sz w:val="24"/>
        </w:rPr>
        <w:tab/>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签章</w:t>
      </w:r>
      <w:r>
        <w:rPr>
          <w:rFonts w:hint="eastAsia" w:ascii="仿宋" w:hAnsi="仿宋" w:eastAsia="仿宋" w:cs="仿宋"/>
          <w:color w:val="auto"/>
          <w:kern w:val="0"/>
          <w:sz w:val="24"/>
        </w:rPr>
        <w:t xml:space="preserve">）  </w:t>
      </w:r>
    </w:p>
    <w:p w14:paraId="08B986A7">
      <w:pPr>
        <w:keepNext w:val="0"/>
        <w:keepLines w:val="0"/>
        <w:pageBreakBefore w:val="0"/>
        <w:widowControl w:val="0"/>
        <w:wordWrap w:val="0"/>
        <w:topLinePunct w:val="0"/>
        <w:autoSpaceDE/>
        <w:autoSpaceDN/>
        <w:bidi w:val="0"/>
        <w:adjustRightInd/>
        <w:snapToGrid/>
        <w:spacing w:line="440" w:lineRule="exact"/>
        <w:ind w:firstLine="486" w:firstLineChars="200"/>
        <w:jc w:val="righ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rPr>
        <w:tab/>
      </w:r>
      <w:r>
        <w:rPr>
          <w:rFonts w:hint="eastAsia" w:ascii="仿宋" w:hAnsi="仿宋" w:eastAsia="仿宋" w:cs="仿宋"/>
          <w:color w:val="auto"/>
          <w:kern w:val="0"/>
          <w:sz w:val="24"/>
        </w:rPr>
        <w:t>年</w:t>
      </w:r>
      <w:r>
        <w:rPr>
          <w:rFonts w:hint="eastAsia" w:ascii="仿宋" w:hAnsi="仿宋" w:eastAsia="仿宋" w:cs="仿宋"/>
          <w:color w:val="auto"/>
          <w:kern w:val="0"/>
          <w:sz w:val="24"/>
          <w:u w:val="single"/>
        </w:rPr>
        <w:tab/>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月</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日</w:t>
      </w:r>
    </w:p>
    <w:p w14:paraId="7EB8B4EA">
      <w:pPr>
        <w:pStyle w:val="26"/>
        <w:rPr>
          <w:rFonts w:hint="eastAsia" w:ascii="仿宋" w:hAnsi="仿宋" w:eastAsia="仿宋" w:cs="仿宋"/>
          <w:color w:val="auto"/>
          <w:sz w:val="24"/>
          <w:highlight w:val="none"/>
        </w:rPr>
      </w:pPr>
      <w:r>
        <w:rPr>
          <w:rFonts w:hint="eastAsia" w:ascii="仿宋" w:hAnsi="仿宋" w:eastAsia="仿宋" w:cs="仿宋"/>
          <w:color w:val="auto"/>
        </w:rPr>
        <w:br w:type="page"/>
      </w:r>
    </w:p>
    <w:p w14:paraId="53385DB8">
      <w:pPr>
        <w:pStyle w:val="5"/>
        <w:shd w:val="clear" w:color="auto" w:fill="auto"/>
        <w:tabs>
          <w:tab w:val="left" w:pos="5580"/>
        </w:tabs>
        <w:spacing w:line="240" w:lineRule="atLeast"/>
        <w:ind w:firstLine="3364" w:firstLineChars="927"/>
        <w:jc w:val="both"/>
        <w:rPr>
          <w:rFonts w:hint="eastAsia" w:ascii="仿宋" w:hAnsi="仿宋" w:eastAsia="仿宋" w:cs="仿宋"/>
          <w:color w:val="auto"/>
          <w:highlight w:val="none"/>
        </w:rPr>
      </w:pPr>
      <w:r>
        <w:rPr>
          <w:rFonts w:hint="eastAsia" w:ascii="仿宋" w:hAnsi="仿宋" w:eastAsia="仿宋" w:cs="仿宋"/>
          <w:b/>
          <w:bCs w:val="0"/>
          <w:color w:val="auto"/>
          <w:sz w:val="36"/>
          <w:szCs w:val="24"/>
          <w:highlight w:val="none"/>
          <w:lang w:val="en-US" w:eastAsia="zh-CN"/>
        </w:rPr>
        <w:t>2</w:t>
      </w:r>
      <w:r>
        <w:rPr>
          <w:rFonts w:hint="eastAsia" w:ascii="仿宋" w:hAnsi="仿宋" w:eastAsia="仿宋" w:cs="仿宋"/>
          <w:b/>
          <w:bCs w:val="0"/>
          <w:color w:val="auto"/>
          <w:sz w:val="36"/>
          <w:szCs w:val="24"/>
          <w:highlight w:val="none"/>
          <w:lang w:eastAsia="zh-CN"/>
        </w:rPr>
        <w:t>、</w:t>
      </w:r>
      <w:r>
        <w:rPr>
          <w:rFonts w:hint="eastAsia" w:ascii="仿宋" w:hAnsi="仿宋" w:eastAsia="仿宋" w:cs="仿宋"/>
          <w:b/>
          <w:bCs w:val="0"/>
          <w:color w:val="auto"/>
          <w:sz w:val="36"/>
          <w:szCs w:val="24"/>
          <w:highlight w:val="none"/>
        </w:rPr>
        <w:t>开标一览表</w:t>
      </w:r>
      <w:r>
        <w:rPr>
          <w:rFonts w:hint="eastAsia" w:ascii="仿宋" w:hAnsi="仿宋" w:eastAsia="仿宋" w:cs="仿宋"/>
          <w:b w:val="0"/>
          <w:bCs/>
          <w:color w:val="auto"/>
          <w:sz w:val="36"/>
          <w:szCs w:val="24"/>
          <w:highlight w:val="none"/>
        </w:rPr>
        <w:cr/>
      </w:r>
    </w:p>
    <w:p w14:paraId="78536DCC">
      <w:pPr>
        <w:shd w:val="clear" w:color="auto" w:fill="auto"/>
        <w:adjustRightInd w:val="0"/>
        <w:snapToGrid w:val="0"/>
        <w:spacing w:line="500" w:lineRule="exac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招标项目名称： </w:t>
      </w:r>
      <w:r>
        <w:rPr>
          <w:rFonts w:hint="eastAsia" w:ascii="仿宋" w:hAnsi="仿宋" w:eastAsia="仿宋" w:cs="仿宋"/>
          <w:color w:val="auto"/>
          <w:szCs w:val="21"/>
          <w:highlight w:val="none"/>
          <w:u w:val="single"/>
        </w:rPr>
        <w:t xml:space="preserve">                         </w:t>
      </w:r>
    </w:p>
    <w:p w14:paraId="1F2A459C">
      <w:pPr>
        <w:shd w:val="clear" w:color="auto" w:fill="auto"/>
        <w:adjustRightInd w:val="0"/>
        <w:snapToGrid w:val="0"/>
        <w:spacing w:line="500" w:lineRule="exact"/>
        <w:rPr>
          <w:rFonts w:hint="eastAsia" w:ascii="仿宋" w:hAnsi="仿宋" w:eastAsia="仿宋" w:cs="仿宋"/>
          <w:i/>
          <w:iCs/>
          <w:color w:val="auto"/>
          <w:szCs w:val="21"/>
          <w:highlight w:val="none"/>
          <w:u w:val="none"/>
          <w:lang w:eastAsia="zh-CN"/>
        </w:rPr>
      </w:pPr>
      <w:r>
        <w:rPr>
          <w:rFonts w:hint="eastAsia" w:ascii="仿宋" w:hAnsi="仿宋" w:eastAsia="仿宋" w:cs="仿宋"/>
          <w:color w:val="auto"/>
          <w:szCs w:val="21"/>
          <w:highlight w:val="none"/>
        </w:rPr>
        <w:t>招标项目编号：</w:t>
      </w:r>
      <w:r>
        <w:rPr>
          <w:rFonts w:hint="eastAsia" w:ascii="仿宋" w:hAnsi="仿宋" w:eastAsia="仿宋" w:cs="仿宋"/>
          <w:i/>
          <w:iCs/>
          <w:color w:val="auto"/>
          <w:szCs w:val="21"/>
          <w:highlight w:val="none"/>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none"/>
          <w:lang w:eastAsia="zh-CN"/>
        </w:rPr>
        <w:t>包号：</w:t>
      </w:r>
    </w:p>
    <w:p w14:paraId="3AF392EC">
      <w:pPr>
        <w:shd w:val="clear" w:color="auto" w:fill="auto"/>
        <w:spacing w:line="5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单位：元（人民币）</w:t>
      </w:r>
    </w:p>
    <w:tbl>
      <w:tblPr>
        <w:tblStyle w:val="19"/>
        <w:tblW w:w="8780"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14:paraId="5653B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noWrap w:val="0"/>
            <w:vAlign w:val="center"/>
          </w:tcPr>
          <w:p w14:paraId="07246100">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项目名称</w:t>
            </w:r>
          </w:p>
        </w:tc>
        <w:tc>
          <w:tcPr>
            <w:tcW w:w="6185" w:type="dxa"/>
            <w:noWrap w:val="0"/>
            <w:vAlign w:val="center"/>
          </w:tcPr>
          <w:p w14:paraId="1CBF88D7">
            <w:pPr>
              <w:shd w:val="clear" w:color="auto" w:fill="auto"/>
              <w:rPr>
                <w:rFonts w:hint="eastAsia" w:ascii="仿宋" w:hAnsi="仿宋" w:eastAsia="仿宋" w:cs="仿宋"/>
                <w:color w:val="auto"/>
                <w:szCs w:val="21"/>
                <w:highlight w:val="none"/>
              </w:rPr>
            </w:pPr>
          </w:p>
        </w:tc>
      </w:tr>
      <w:tr w14:paraId="1B98A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noWrap w:val="0"/>
            <w:vAlign w:val="center"/>
          </w:tcPr>
          <w:p w14:paraId="16332C3F">
            <w:pPr>
              <w:shd w:val="clear" w:color="auto" w:fill="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供货期</w:t>
            </w:r>
            <w:r>
              <w:rPr>
                <w:rFonts w:hint="eastAsia" w:ascii="仿宋" w:hAnsi="仿宋" w:eastAsia="仿宋" w:cs="仿宋"/>
                <w:color w:val="auto"/>
                <w:szCs w:val="21"/>
                <w:highlight w:val="none"/>
                <w:lang w:eastAsia="zh-CN"/>
              </w:rPr>
              <w:t>（天）</w:t>
            </w:r>
          </w:p>
        </w:tc>
        <w:tc>
          <w:tcPr>
            <w:tcW w:w="6185" w:type="dxa"/>
            <w:noWrap w:val="0"/>
            <w:vAlign w:val="center"/>
          </w:tcPr>
          <w:p w14:paraId="0BAE76E1">
            <w:pPr>
              <w:shd w:val="clear" w:color="auto" w:fill="auto"/>
              <w:jc w:val="center"/>
              <w:rPr>
                <w:rFonts w:hint="eastAsia" w:ascii="仿宋" w:hAnsi="仿宋" w:eastAsia="仿宋" w:cs="仿宋"/>
                <w:color w:val="auto"/>
                <w:szCs w:val="21"/>
                <w:highlight w:val="none"/>
              </w:rPr>
            </w:pPr>
          </w:p>
        </w:tc>
      </w:tr>
      <w:tr w14:paraId="0E1BE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noWrap w:val="0"/>
            <w:vAlign w:val="center"/>
          </w:tcPr>
          <w:p w14:paraId="01D8DEE8">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投标有效期</w:t>
            </w:r>
          </w:p>
        </w:tc>
        <w:tc>
          <w:tcPr>
            <w:tcW w:w="6185" w:type="dxa"/>
            <w:noWrap w:val="0"/>
            <w:vAlign w:val="center"/>
          </w:tcPr>
          <w:p w14:paraId="3B1D5376">
            <w:pPr>
              <w:shd w:val="clear" w:color="auto" w:fill="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60天</w:t>
            </w:r>
          </w:p>
        </w:tc>
      </w:tr>
      <w:tr w14:paraId="54290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noWrap w:val="0"/>
            <w:vAlign w:val="center"/>
          </w:tcPr>
          <w:p w14:paraId="3A1A0333">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投标报价</w:t>
            </w:r>
          </w:p>
          <w:p w14:paraId="79FEB7C2">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（人民币）</w:t>
            </w:r>
          </w:p>
        </w:tc>
        <w:tc>
          <w:tcPr>
            <w:tcW w:w="974" w:type="dxa"/>
            <w:tcBorders>
              <w:top w:val="single" w:color="auto" w:sz="4" w:space="0"/>
              <w:bottom w:val="single" w:color="auto" w:sz="4" w:space="0"/>
            </w:tcBorders>
            <w:noWrap w:val="0"/>
            <w:vAlign w:val="center"/>
          </w:tcPr>
          <w:p w14:paraId="4FE2E5A4">
            <w:pPr>
              <w:widowControl/>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小写</w:t>
            </w:r>
          </w:p>
        </w:tc>
        <w:tc>
          <w:tcPr>
            <w:tcW w:w="6185" w:type="dxa"/>
            <w:noWrap w:val="0"/>
            <w:vAlign w:val="center"/>
          </w:tcPr>
          <w:p w14:paraId="0E3FA9F3">
            <w:pPr>
              <w:shd w:val="clear" w:color="auto" w:fill="auto"/>
              <w:jc w:val="center"/>
              <w:rPr>
                <w:rFonts w:hint="eastAsia" w:ascii="仿宋" w:hAnsi="仿宋" w:eastAsia="仿宋" w:cs="仿宋"/>
                <w:color w:val="auto"/>
                <w:szCs w:val="21"/>
                <w:highlight w:val="none"/>
              </w:rPr>
            </w:pPr>
          </w:p>
        </w:tc>
      </w:tr>
      <w:tr w14:paraId="3AFD6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noWrap w:val="0"/>
            <w:vAlign w:val="center"/>
          </w:tcPr>
          <w:p w14:paraId="0733DA1D">
            <w:pPr>
              <w:shd w:val="clear" w:color="auto" w:fill="auto"/>
              <w:jc w:val="center"/>
              <w:rPr>
                <w:rFonts w:hint="eastAsia" w:ascii="仿宋" w:hAnsi="仿宋" w:eastAsia="仿宋" w:cs="仿宋"/>
                <w:color w:val="auto"/>
                <w:szCs w:val="21"/>
                <w:highlight w:val="none"/>
              </w:rPr>
            </w:pPr>
          </w:p>
        </w:tc>
        <w:tc>
          <w:tcPr>
            <w:tcW w:w="974" w:type="dxa"/>
            <w:tcBorders>
              <w:top w:val="single" w:color="auto" w:sz="4" w:space="0"/>
              <w:bottom w:val="single" w:color="auto" w:sz="4" w:space="0"/>
            </w:tcBorders>
            <w:noWrap w:val="0"/>
            <w:vAlign w:val="center"/>
          </w:tcPr>
          <w:p w14:paraId="2E405B79">
            <w:pPr>
              <w:widowControl/>
              <w:shd w:val="clear" w:color="auto" w:fill="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大写</w:t>
            </w:r>
          </w:p>
        </w:tc>
        <w:tc>
          <w:tcPr>
            <w:tcW w:w="6185" w:type="dxa"/>
            <w:noWrap w:val="0"/>
            <w:vAlign w:val="center"/>
          </w:tcPr>
          <w:p w14:paraId="1717B92F">
            <w:pPr>
              <w:shd w:val="clear" w:color="auto" w:fill="auto"/>
              <w:jc w:val="center"/>
              <w:rPr>
                <w:rFonts w:hint="eastAsia" w:ascii="仿宋" w:hAnsi="仿宋" w:eastAsia="仿宋" w:cs="仿宋"/>
                <w:color w:val="auto"/>
                <w:szCs w:val="21"/>
                <w:highlight w:val="none"/>
              </w:rPr>
            </w:pPr>
          </w:p>
        </w:tc>
      </w:tr>
    </w:tbl>
    <w:p w14:paraId="45575A71">
      <w:pPr>
        <w:shd w:val="clear" w:color="auto" w:fill="auto"/>
        <w:spacing w:line="500" w:lineRule="exact"/>
        <w:ind w:firstLine="475" w:firstLineChars="196"/>
        <w:rPr>
          <w:rFonts w:hint="eastAsia" w:ascii="仿宋" w:hAnsi="仿宋" w:eastAsia="仿宋" w:cs="仿宋"/>
          <w:color w:val="auto"/>
          <w:szCs w:val="21"/>
          <w:highlight w:val="none"/>
        </w:rPr>
      </w:pPr>
      <w:r>
        <w:rPr>
          <w:rFonts w:hint="eastAsia" w:ascii="仿宋" w:hAnsi="仿宋" w:eastAsia="仿宋" w:cs="仿宋"/>
          <w:color w:val="auto"/>
          <w:szCs w:val="21"/>
          <w:highlight w:val="none"/>
        </w:rPr>
        <w:t>填写说明：</w:t>
      </w:r>
    </w:p>
    <w:p w14:paraId="34A32F4B">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2D7A8F5F">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.投标总价为招标范围所列全部招标项目的报价总和，并应与投标报价明细表及分项价格表保持一致。</w:t>
      </w:r>
    </w:p>
    <w:p w14:paraId="7334061F">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.必须在投标文件中装订。</w:t>
      </w:r>
    </w:p>
    <w:p w14:paraId="3452F783">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.投标报价不得填报选择性报价。</w:t>
      </w:r>
    </w:p>
    <w:p w14:paraId="2FDAD9A9">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投标人名称：</w:t>
      </w:r>
      <w:r>
        <w:rPr>
          <w:rFonts w:hint="eastAsia" w:ascii="仿宋" w:hAnsi="仿宋" w:eastAsia="仿宋" w:cs="仿宋"/>
          <w:color w:val="auto"/>
          <w:szCs w:val="21"/>
          <w:highlight w:val="none"/>
          <w:u w:val="single"/>
        </w:rPr>
        <w:t xml:space="preserve">    （加盖公章）     </w:t>
      </w:r>
      <w:r>
        <w:rPr>
          <w:rFonts w:hint="eastAsia" w:ascii="仿宋" w:hAnsi="仿宋" w:eastAsia="仿宋" w:cs="仿宋"/>
          <w:color w:val="auto"/>
          <w:szCs w:val="21"/>
          <w:highlight w:val="none"/>
        </w:rPr>
        <w:t xml:space="preserve">       </w:t>
      </w:r>
    </w:p>
    <w:p w14:paraId="2078DDEE">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法定代表人签字或盖章：</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14:paraId="48744227">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授权代表签字或盖章：</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14:paraId="47D9CEC7">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签署日期：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月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472D4943">
      <w:pPr>
        <w:pStyle w:val="3"/>
        <w:numPr>
          <w:ilvl w:val="0"/>
          <w:numId w:val="0"/>
        </w:numPr>
        <w:shd w:val="clear" w:color="auto" w:fill="auto"/>
        <w:spacing w:before="0" w:line="240" w:lineRule="atLeast"/>
        <w:rPr>
          <w:rFonts w:hint="eastAsia" w:ascii="宋体" w:hAnsi="宋体" w:eastAsia="宋体" w:cs="宋体"/>
          <w:b/>
          <w:bCs/>
          <w:color w:val="auto"/>
          <w:sz w:val="24"/>
          <w:highlight w:val="none"/>
        </w:rPr>
      </w:pPr>
    </w:p>
    <w:p w14:paraId="754A6465">
      <w:pPr>
        <w:pStyle w:val="3"/>
        <w:numPr>
          <w:ilvl w:val="0"/>
          <w:numId w:val="0"/>
        </w:numPr>
        <w:shd w:val="clear" w:color="auto" w:fill="auto"/>
        <w:spacing w:before="0" w:line="240" w:lineRule="atLeast"/>
        <w:rPr>
          <w:rFonts w:hint="eastAsia" w:ascii="宋体" w:hAnsi="宋体" w:eastAsia="宋体" w:cs="宋体"/>
          <w:b/>
          <w:bCs/>
          <w:color w:val="auto"/>
          <w:sz w:val="24"/>
          <w:highlight w:val="none"/>
        </w:rPr>
      </w:pPr>
    </w:p>
    <w:p w14:paraId="4D7FC371">
      <w:pPr>
        <w:pStyle w:val="30"/>
        <w:keepNext/>
        <w:keepLines/>
        <w:widowControl w:val="0"/>
        <w:numPr>
          <w:ilvl w:val="0"/>
          <w:numId w:val="0"/>
        </w:numPr>
        <w:shd w:val="clear" w:color="auto" w:fill="auto"/>
        <w:bidi w:val="0"/>
        <w:spacing w:before="0" w:after="220" w:line="240" w:lineRule="auto"/>
        <w:ind w:right="0" w:rightChars="0"/>
        <w:jc w:val="center"/>
        <w:rPr>
          <w:rFonts w:hint="eastAsia" w:ascii="仿宋" w:hAnsi="仿宋" w:eastAsia="仿宋" w:cs="仿宋"/>
          <w:b/>
          <w:bCs/>
          <w:color w:val="auto"/>
          <w:spacing w:val="0"/>
          <w:w w:val="100"/>
          <w:position w:val="0"/>
          <w:lang w:val="en-US" w:eastAsia="zh-CN"/>
        </w:rPr>
      </w:pPr>
      <w:r>
        <w:rPr>
          <w:rFonts w:hint="eastAsia" w:ascii="仿宋" w:hAnsi="仿宋" w:eastAsia="仿宋" w:cs="仿宋"/>
          <w:b/>
          <w:bCs/>
          <w:color w:val="auto"/>
          <w:spacing w:val="0"/>
          <w:w w:val="100"/>
          <w:position w:val="0"/>
          <w:lang w:val="en-US" w:eastAsia="zh-CN"/>
        </w:rPr>
        <w:t>3、货物说明一览表</w:t>
      </w:r>
    </w:p>
    <w:p w14:paraId="7F9BE8F0">
      <w:pPr>
        <w:pStyle w:val="10"/>
        <w:shd w:val="clear" w:color="auto" w:fill="auto"/>
        <w:spacing w:line="240" w:lineRule="atLeast"/>
        <w:ind w:left="1164" w:leftChars="257" w:hanging="540"/>
        <w:rPr>
          <w:rFonts w:hint="eastAsia" w:ascii="仿宋" w:hAnsi="仿宋" w:eastAsia="仿宋" w:cs="仿宋"/>
          <w:color w:val="auto"/>
          <w:sz w:val="24"/>
          <w:highlight w:val="none"/>
        </w:rPr>
      </w:pPr>
    </w:p>
    <w:p w14:paraId="5A8B9820">
      <w:pPr>
        <w:pStyle w:val="10"/>
        <w:shd w:val="clear" w:color="auto" w:fill="auto"/>
        <w:spacing w:line="240" w:lineRule="atLeas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p>
    <w:p w14:paraId="1C0FA92E">
      <w:pPr>
        <w:pStyle w:val="10"/>
        <w:shd w:val="clear" w:color="auto" w:fill="auto"/>
        <w:spacing w:line="240" w:lineRule="atLeas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招标编号:                       包号:                      </w:t>
      </w:r>
    </w:p>
    <w:p w14:paraId="260C5287">
      <w:pPr>
        <w:pStyle w:val="10"/>
        <w:shd w:val="clear" w:color="auto" w:fill="auto"/>
        <w:spacing w:line="240" w:lineRule="atLeast"/>
        <w:ind w:left="1164" w:leftChars="257" w:hanging="540"/>
        <w:rPr>
          <w:rFonts w:hint="eastAsia" w:ascii="仿宋" w:hAnsi="仿宋" w:eastAsia="仿宋" w:cs="仿宋"/>
          <w:color w:val="auto"/>
          <w:sz w:val="24"/>
          <w:highlight w:val="none"/>
        </w:rPr>
      </w:pP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601"/>
        <w:gridCol w:w="1225"/>
        <w:gridCol w:w="1138"/>
        <w:gridCol w:w="1275"/>
        <w:gridCol w:w="1250"/>
        <w:gridCol w:w="1690"/>
      </w:tblGrid>
      <w:tr w14:paraId="2D3BF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696" w:type="dxa"/>
            <w:noWrap w:val="0"/>
            <w:vAlign w:val="top"/>
          </w:tcPr>
          <w:p w14:paraId="45EF8037">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序号</w:t>
            </w:r>
          </w:p>
        </w:tc>
        <w:tc>
          <w:tcPr>
            <w:tcW w:w="1601" w:type="dxa"/>
            <w:noWrap w:val="0"/>
            <w:vAlign w:val="top"/>
          </w:tcPr>
          <w:p w14:paraId="3E9ECB03">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货物名称</w:t>
            </w:r>
          </w:p>
        </w:tc>
        <w:tc>
          <w:tcPr>
            <w:tcW w:w="1225" w:type="dxa"/>
            <w:noWrap w:val="0"/>
            <w:vAlign w:val="top"/>
          </w:tcPr>
          <w:p w14:paraId="138E25D7">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主要规格</w:t>
            </w:r>
          </w:p>
        </w:tc>
        <w:tc>
          <w:tcPr>
            <w:tcW w:w="1138" w:type="dxa"/>
            <w:noWrap w:val="0"/>
            <w:vAlign w:val="top"/>
          </w:tcPr>
          <w:p w14:paraId="6F103A93">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数量</w:t>
            </w:r>
          </w:p>
        </w:tc>
        <w:tc>
          <w:tcPr>
            <w:tcW w:w="1275" w:type="dxa"/>
            <w:noWrap w:val="0"/>
            <w:vAlign w:val="top"/>
          </w:tcPr>
          <w:p w14:paraId="22CB80F6">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交货期</w:t>
            </w:r>
          </w:p>
        </w:tc>
        <w:tc>
          <w:tcPr>
            <w:tcW w:w="1250" w:type="dxa"/>
            <w:noWrap w:val="0"/>
            <w:vAlign w:val="top"/>
          </w:tcPr>
          <w:p w14:paraId="3023C80C">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交货地点</w:t>
            </w:r>
          </w:p>
        </w:tc>
        <w:tc>
          <w:tcPr>
            <w:tcW w:w="1690" w:type="dxa"/>
            <w:noWrap w:val="0"/>
            <w:vAlign w:val="top"/>
          </w:tcPr>
          <w:p w14:paraId="0538AE01">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其它</w:t>
            </w:r>
          </w:p>
        </w:tc>
      </w:tr>
      <w:tr w14:paraId="1BE09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696" w:type="dxa"/>
            <w:noWrap w:val="0"/>
            <w:vAlign w:val="top"/>
          </w:tcPr>
          <w:p w14:paraId="200817FC">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01" w:type="dxa"/>
            <w:noWrap w:val="0"/>
            <w:vAlign w:val="top"/>
          </w:tcPr>
          <w:p w14:paraId="2A620F1D">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25" w:type="dxa"/>
            <w:noWrap w:val="0"/>
            <w:vAlign w:val="top"/>
          </w:tcPr>
          <w:p w14:paraId="41EBB2B0">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4D49A8CF">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154465DD">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50" w:type="dxa"/>
            <w:noWrap w:val="0"/>
            <w:vAlign w:val="top"/>
          </w:tcPr>
          <w:p w14:paraId="2E72F3B9">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90" w:type="dxa"/>
            <w:noWrap w:val="0"/>
            <w:vAlign w:val="top"/>
          </w:tcPr>
          <w:p w14:paraId="700DA6A4">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03203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96" w:type="dxa"/>
            <w:noWrap w:val="0"/>
            <w:vAlign w:val="top"/>
          </w:tcPr>
          <w:p w14:paraId="1766C0AA">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01" w:type="dxa"/>
            <w:noWrap w:val="0"/>
            <w:vAlign w:val="top"/>
          </w:tcPr>
          <w:p w14:paraId="54B2B9C5">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25" w:type="dxa"/>
            <w:noWrap w:val="0"/>
            <w:vAlign w:val="top"/>
          </w:tcPr>
          <w:p w14:paraId="4C93B008">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60E9293B">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2D4987A6">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50" w:type="dxa"/>
            <w:noWrap w:val="0"/>
            <w:vAlign w:val="top"/>
          </w:tcPr>
          <w:p w14:paraId="497CC622">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90" w:type="dxa"/>
            <w:noWrap w:val="0"/>
            <w:vAlign w:val="top"/>
          </w:tcPr>
          <w:p w14:paraId="0A7D5D4A">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554B8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96" w:type="dxa"/>
            <w:noWrap w:val="0"/>
            <w:vAlign w:val="top"/>
          </w:tcPr>
          <w:p w14:paraId="5B744067">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01" w:type="dxa"/>
            <w:noWrap w:val="0"/>
            <w:vAlign w:val="top"/>
          </w:tcPr>
          <w:p w14:paraId="2EA47949">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25" w:type="dxa"/>
            <w:noWrap w:val="0"/>
            <w:vAlign w:val="top"/>
          </w:tcPr>
          <w:p w14:paraId="383A12AA">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505D4AF6">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775A1BF5">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50" w:type="dxa"/>
            <w:noWrap w:val="0"/>
            <w:vAlign w:val="top"/>
          </w:tcPr>
          <w:p w14:paraId="595B63B3">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90" w:type="dxa"/>
            <w:noWrap w:val="0"/>
            <w:vAlign w:val="top"/>
          </w:tcPr>
          <w:p w14:paraId="4E07823F">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3F412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696" w:type="dxa"/>
            <w:noWrap w:val="0"/>
            <w:vAlign w:val="top"/>
          </w:tcPr>
          <w:p w14:paraId="2EB8BDCD">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01" w:type="dxa"/>
            <w:noWrap w:val="0"/>
            <w:vAlign w:val="top"/>
          </w:tcPr>
          <w:p w14:paraId="4048AD5C">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25" w:type="dxa"/>
            <w:noWrap w:val="0"/>
            <w:vAlign w:val="top"/>
          </w:tcPr>
          <w:p w14:paraId="37311F6C">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54C632B0">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231CA800">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50" w:type="dxa"/>
            <w:noWrap w:val="0"/>
            <w:vAlign w:val="top"/>
          </w:tcPr>
          <w:p w14:paraId="557E072A">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90" w:type="dxa"/>
            <w:noWrap w:val="0"/>
            <w:vAlign w:val="top"/>
          </w:tcPr>
          <w:p w14:paraId="420F2DC0">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2E268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696" w:type="dxa"/>
            <w:noWrap w:val="0"/>
            <w:vAlign w:val="top"/>
          </w:tcPr>
          <w:p w14:paraId="11F04CD4">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01" w:type="dxa"/>
            <w:noWrap w:val="0"/>
            <w:vAlign w:val="top"/>
          </w:tcPr>
          <w:p w14:paraId="14574B7E">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25" w:type="dxa"/>
            <w:noWrap w:val="0"/>
            <w:vAlign w:val="top"/>
          </w:tcPr>
          <w:p w14:paraId="64335614">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15B53896">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61D2FEC6">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50" w:type="dxa"/>
            <w:noWrap w:val="0"/>
            <w:vAlign w:val="top"/>
          </w:tcPr>
          <w:p w14:paraId="646707D7">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90" w:type="dxa"/>
            <w:noWrap w:val="0"/>
            <w:vAlign w:val="top"/>
          </w:tcPr>
          <w:p w14:paraId="3490C459">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1C4A1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696" w:type="dxa"/>
            <w:noWrap w:val="0"/>
            <w:vAlign w:val="top"/>
          </w:tcPr>
          <w:p w14:paraId="184A3CEE">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01" w:type="dxa"/>
            <w:noWrap w:val="0"/>
            <w:vAlign w:val="top"/>
          </w:tcPr>
          <w:p w14:paraId="7F6CEDB7">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25" w:type="dxa"/>
            <w:noWrap w:val="0"/>
            <w:vAlign w:val="top"/>
          </w:tcPr>
          <w:p w14:paraId="171DCD13">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3BB83C72">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49746E16">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50" w:type="dxa"/>
            <w:noWrap w:val="0"/>
            <w:vAlign w:val="top"/>
          </w:tcPr>
          <w:p w14:paraId="01046980">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90" w:type="dxa"/>
            <w:noWrap w:val="0"/>
            <w:vAlign w:val="top"/>
          </w:tcPr>
          <w:p w14:paraId="79D55244">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4994A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696" w:type="dxa"/>
            <w:noWrap w:val="0"/>
            <w:vAlign w:val="top"/>
          </w:tcPr>
          <w:p w14:paraId="1AE26C64">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01" w:type="dxa"/>
            <w:noWrap w:val="0"/>
            <w:vAlign w:val="top"/>
          </w:tcPr>
          <w:p w14:paraId="7B3E45E2">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25" w:type="dxa"/>
            <w:noWrap w:val="0"/>
            <w:vAlign w:val="top"/>
          </w:tcPr>
          <w:p w14:paraId="14AB24B2">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3B59E356">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5C04040A">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50" w:type="dxa"/>
            <w:noWrap w:val="0"/>
            <w:vAlign w:val="top"/>
          </w:tcPr>
          <w:p w14:paraId="4177C952">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90" w:type="dxa"/>
            <w:noWrap w:val="0"/>
            <w:vAlign w:val="top"/>
          </w:tcPr>
          <w:p w14:paraId="0CDBD6D4">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14:paraId="5C310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696" w:type="dxa"/>
            <w:noWrap w:val="0"/>
            <w:vAlign w:val="top"/>
          </w:tcPr>
          <w:p w14:paraId="547FE55A">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01" w:type="dxa"/>
            <w:noWrap w:val="0"/>
            <w:vAlign w:val="top"/>
          </w:tcPr>
          <w:p w14:paraId="1BC5EBE4">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25" w:type="dxa"/>
            <w:noWrap w:val="0"/>
            <w:vAlign w:val="top"/>
          </w:tcPr>
          <w:p w14:paraId="4AD5A7ED">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38" w:type="dxa"/>
            <w:noWrap w:val="0"/>
            <w:vAlign w:val="top"/>
          </w:tcPr>
          <w:p w14:paraId="72CDFED8">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75" w:type="dxa"/>
            <w:noWrap w:val="0"/>
            <w:vAlign w:val="top"/>
          </w:tcPr>
          <w:p w14:paraId="61F0584C">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250" w:type="dxa"/>
            <w:noWrap w:val="0"/>
            <w:vAlign w:val="top"/>
          </w:tcPr>
          <w:p w14:paraId="2E3AB75A">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690" w:type="dxa"/>
            <w:noWrap w:val="0"/>
            <w:vAlign w:val="top"/>
          </w:tcPr>
          <w:p w14:paraId="6D7C7EEB">
            <w:pPr>
              <w:pStyle w:val="10"/>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bl>
    <w:p w14:paraId="6E0A8BA9">
      <w:pPr>
        <w:pStyle w:val="10"/>
        <w:shd w:val="clear" w:color="auto" w:fill="auto"/>
        <w:spacing w:line="240" w:lineRule="atLeast"/>
        <w:ind w:left="1164" w:leftChars="257" w:hanging="540"/>
        <w:rPr>
          <w:rFonts w:hint="eastAsia" w:ascii="仿宋" w:hAnsi="仿宋" w:eastAsia="仿宋" w:cs="仿宋"/>
          <w:color w:val="auto"/>
          <w:sz w:val="24"/>
          <w:highlight w:val="none"/>
        </w:rPr>
      </w:pPr>
    </w:p>
    <w:p w14:paraId="03ADB459">
      <w:pPr>
        <w:pStyle w:val="10"/>
        <w:shd w:val="clear" w:color="auto" w:fill="auto"/>
        <w:spacing w:line="240" w:lineRule="atLeast"/>
        <w:ind w:left="1164" w:leftChars="257" w:hanging="540"/>
        <w:rPr>
          <w:rFonts w:hint="eastAsia" w:ascii="宋体" w:hAnsi="宋体" w:eastAsia="宋体" w:cs="宋体"/>
          <w:color w:val="auto"/>
          <w:sz w:val="24"/>
          <w:highlight w:val="none"/>
        </w:rPr>
      </w:pPr>
      <w:r>
        <w:rPr>
          <w:rFonts w:hint="eastAsia" w:ascii="仿宋" w:hAnsi="仿宋" w:eastAsia="仿宋" w:cs="仿宋"/>
          <w:color w:val="auto"/>
          <w:sz w:val="24"/>
          <w:highlight w:val="none"/>
        </w:rPr>
        <w:t>法定代表人或其委托代理人签字:</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宋体" w:hAnsi="宋体" w:eastAsia="宋体" w:cs="宋体"/>
          <w:color w:val="auto"/>
          <w:sz w:val="24"/>
          <w:highlight w:val="none"/>
          <w:u w:val="single"/>
        </w:rPr>
        <w:t xml:space="preserve">         </w:t>
      </w:r>
    </w:p>
    <w:p w14:paraId="3AD0A1C0">
      <w:pPr>
        <w:pStyle w:val="10"/>
        <w:shd w:val="clear" w:color="auto" w:fill="auto"/>
        <w:spacing w:line="240" w:lineRule="atLeas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投标人(盖单位章):</w:t>
      </w:r>
      <w:r>
        <w:rPr>
          <w:rFonts w:hint="eastAsia" w:ascii="仿宋" w:hAnsi="仿宋" w:eastAsia="仿宋" w:cs="仿宋"/>
          <w:color w:val="auto"/>
          <w:sz w:val="24"/>
          <w:highlight w:val="none"/>
        </w:rPr>
        <w:tab/>
      </w:r>
    </w:p>
    <w:p w14:paraId="20B6E3E0">
      <w:pPr>
        <w:pStyle w:val="15"/>
        <w:ind w:left="0" w:leftChars="0" w:firstLine="2187" w:firstLineChars="900"/>
        <w:rPr>
          <w:rFonts w:hint="eastAsia" w:eastAsia="仿宋"/>
          <w:lang w:eastAsia="zh-CN"/>
        </w:rPr>
      </w:pPr>
      <w:r>
        <w:rPr>
          <w:rFonts w:hint="eastAsia" w:ascii="仿宋" w:hAnsi="仿宋" w:eastAsia="仿宋" w:cs="仿宋"/>
          <w:color w:val="auto"/>
          <w:sz w:val="24"/>
          <w:highlight w:val="none"/>
          <w:lang w:eastAsia="zh-CN"/>
        </w:rPr>
        <w:t>日期：</w:t>
      </w:r>
    </w:p>
    <w:p w14:paraId="355D12EB">
      <w:pPr>
        <w:pStyle w:val="10"/>
        <w:shd w:val="clear" w:color="auto" w:fill="auto"/>
        <w:spacing w:line="240" w:lineRule="atLeast"/>
        <w:ind w:left="1164" w:leftChars="257" w:hanging="540"/>
        <w:rPr>
          <w:rFonts w:hint="eastAsia" w:ascii="仿宋" w:hAnsi="仿宋" w:eastAsia="仿宋" w:cs="仿宋"/>
          <w:color w:val="auto"/>
          <w:sz w:val="24"/>
          <w:highlight w:val="none"/>
        </w:rPr>
      </w:pPr>
    </w:p>
    <w:p w14:paraId="7462F5D6">
      <w:pPr>
        <w:pStyle w:val="10"/>
        <w:shd w:val="clear" w:color="auto" w:fill="auto"/>
        <w:spacing w:line="240" w:lineRule="atLeas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注: 各项货物详细技术性能应另页描述。</w:t>
      </w:r>
    </w:p>
    <w:p w14:paraId="4D27DE4B">
      <w:pPr>
        <w:pStyle w:val="10"/>
        <w:shd w:val="clear" w:color="auto" w:fill="auto"/>
        <w:spacing w:line="240" w:lineRule="atLeast"/>
        <w:ind w:left="1164" w:leftChars="257" w:hanging="540"/>
        <w:rPr>
          <w:rFonts w:hint="eastAsia" w:ascii="仿宋" w:hAnsi="仿宋" w:eastAsia="仿宋" w:cs="仿宋"/>
          <w:color w:val="auto"/>
          <w:sz w:val="24"/>
          <w:highlight w:val="none"/>
        </w:rPr>
      </w:pPr>
    </w:p>
    <w:p w14:paraId="41C9B866">
      <w:pPr>
        <w:pStyle w:val="10"/>
        <w:shd w:val="clear" w:color="auto" w:fill="auto"/>
        <w:spacing w:line="240" w:lineRule="atLeast"/>
        <w:ind w:left="1164" w:leftChars="257" w:hanging="540"/>
        <w:rPr>
          <w:rFonts w:hint="eastAsia" w:ascii="仿宋" w:hAnsi="仿宋" w:eastAsia="仿宋" w:cs="仿宋"/>
          <w:color w:val="auto"/>
          <w:sz w:val="24"/>
          <w:highlight w:val="none"/>
        </w:rPr>
        <w:sectPr>
          <w:footerReference r:id="rId11" w:type="default"/>
          <w:pgSz w:w="11905" w:h="16838"/>
          <w:pgMar w:top="1440" w:right="1797" w:bottom="1440" w:left="1797" w:header="850" w:footer="992" w:gutter="0"/>
          <w:pgNumType w:fmt="decimal"/>
          <w:cols w:space="720" w:num="1"/>
          <w:rtlGutter w:val="0"/>
          <w:docGrid w:type="linesAndChars" w:linePitch="325" w:charSpace="635"/>
        </w:sectPr>
      </w:pPr>
    </w:p>
    <w:p w14:paraId="1769CF9D">
      <w:pPr>
        <w:pStyle w:val="30"/>
        <w:keepNext/>
        <w:keepLines/>
        <w:widowControl w:val="0"/>
        <w:numPr>
          <w:ilvl w:val="0"/>
          <w:numId w:val="0"/>
        </w:numPr>
        <w:shd w:val="clear" w:color="auto" w:fill="auto"/>
        <w:bidi w:val="0"/>
        <w:spacing w:before="0" w:after="220" w:line="240" w:lineRule="auto"/>
        <w:ind w:right="0" w:rightChars="0"/>
        <w:jc w:val="center"/>
        <w:rPr>
          <w:rFonts w:hint="eastAsia" w:ascii="仿宋" w:hAnsi="仿宋" w:eastAsia="仿宋" w:cs="仿宋"/>
          <w:b/>
          <w:bCs/>
          <w:color w:val="auto"/>
          <w:spacing w:val="0"/>
          <w:w w:val="100"/>
          <w:position w:val="0"/>
        </w:rPr>
      </w:pPr>
      <w:r>
        <w:rPr>
          <w:rFonts w:hint="eastAsia" w:ascii="仿宋" w:hAnsi="仿宋" w:eastAsia="仿宋" w:cs="仿宋"/>
          <w:b/>
          <w:bCs/>
          <w:color w:val="auto"/>
          <w:spacing w:val="0"/>
          <w:w w:val="100"/>
          <w:position w:val="0"/>
          <w:lang w:val="en-US" w:eastAsia="zh-CN"/>
        </w:rPr>
        <w:t>4</w:t>
      </w:r>
      <w:r>
        <w:rPr>
          <w:rFonts w:hint="eastAsia" w:ascii="仿宋" w:hAnsi="仿宋" w:eastAsia="仿宋" w:cs="仿宋"/>
          <w:b/>
          <w:bCs/>
          <w:color w:val="auto"/>
          <w:spacing w:val="0"/>
          <w:w w:val="100"/>
          <w:position w:val="0"/>
          <w:lang w:eastAsia="zh-CN"/>
        </w:rPr>
        <w:t>、</w:t>
      </w:r>
      <w:r>
        <w:rPr>
          <w:rFonts w:hint="eastAsia" w:ascii="仿宋" w:hAnsi="仿宋" w:eastAsia="仿宋" w:cs="仿宋"/>
          <w:b/>
          <w:bCs/>
          <w:color w:val="auto"/>
          <w:spacing w:val="0"/>
          <w:w w:val="100"/>
          <w:position w:val="0"/>
        </w:rPr>
        <w:t>投标报价明细表</w:t>
      </w:r>
    </w:p>
    <w:p w14:paraId="5BAD3322">
      <w:pPr>
        <w:pStyle w:val="30"/>
        <w:keepNext/>
        <w:keepLines/>
        <w:widowControl w:val="0"/>
        <w:numPr>
          <w:ilvl w:val="0"/>
          <w:numId w:val="0"/>
        </w:numPr>
        <w:shd w:val="clear" w:color="auto" w:fill="auto"/>
        <w:bidi w:val="0"/>
        <w:spacing w:before="0" w:after="220" w:line="240" w:lineRule="auto"/>
        <w:ind w:right="0" w:rightChars="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p>
    <w:p w14:paraId="49E442E4">
      <w:pPr>
        <w:pStyle w:val="30"/>
        <w:keepNext/>
        <w:keepLines/>
        <w:widowControl w:val="0"/>
        <w:numPr>
          <w:ilvl w:val="0"/>
          <w:numId w:val="0"/>
        </w:numPr>
        <w:shd w:val="clear" w:color="auto" w:fill="auto"/>
        <w:bidi w:val="0"/>
        <w:spacing w:before="0" w:after="220" w:line="240" w:lineRule="auto"/>
        <w:ind w:right="0" w:rightChars="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招标编号: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包号: 　 </w:t>
      </w:r>
    </w:p>
    <w:p w14:paraId="6BEF52EF">
      <w:pPr>
        <w:pStyle w:val="10"/>
        <w:shd w:val="clear" w:color="auto" w:fill="auto"/>
        <w:spacing w:line="240" w:lineRule="atLeast"/>
        <w:ind w:left="1157" w:leftChars="257" w:hanging="54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单位：</w:t>
      </w:r>
      <w:r>
        <w:rPr>
          <w:rFonts w:hint="eastAsia" w:ascii="仿宋" w:hAnsi="仿宋" w:eastAsia="仿宋" w:cs="仿宋"/>
          <w:color w:val="auto"/>
          <w:szCs w:val="21"/>
        </w:rPr>
        <w:t>元（人民币）</w:t>
      </w:r>
    </w:p>
    <w:tbl>
      <w:tblPr>
        <w:tblStyle w:val="19"/>
        <w:tblW w:w="835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98"/>
        <w:gridCol w:w="1276"/>
        <w:gridCol w:w="1044"/>
        <w:gridCol w:w="1323"/>
        <w:gridCol w:w="1070"/>
        <w:gridCol w:w="709"/>
        <w:gridCol w:w="708"/>
        <w:gridCol w:w="709"/>
        <w:gridCol w:w="816"/>
      </w:tblGrid>
      <w:tr w14:paraId="364363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009CCB78">
            <w:pPr>
              <w:spacing w:line="5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1276" w:type="dxa"/>
            <w:tcBorders>
              <w:top w:val="single" w:color="auto" w:sz="4" w:space="0"/>
              <w:left w:val="single" w:color="auto" w:sz="4" w:space="0"/>
              <w:bottom w:val="single" w:color="auto" w:sz="4" w:space="0"/>
              <w:right w:val="single" w:color="auto" w:sz="4" w:space="0"/>
            </w:tcBorders>
            <w:vAlign w:val="center"/>
          </w:tcPr>
          <w:p w14:paraId="648AA6AB">
            <w:pPr>
              <w:spacing w:line="5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产品名称</w:t>
            </w:r>
          </w:p>
        </w:tc>
        <w:tc>
          <w:tcPr>
            <w:tcW w:w="1044" w:type="dxa"/>
            <w:tcBorders>
              <w:top w:val="single" w:color="auto" w:sz="4" w:space="0"/>
              <w:left w:val="single" w:color="auto" w:sz="4" w:space="0"/>
              <w:bottom w:val="single" w:color="auto" w:sz="4" w:space="0"/>
              <w:right w:val="single" w:color="auto" w:sz="4" w:space="0"/>
            </w:tcBorders>
            <w:vAlign w:val="center"/>
          </w:tcPr>
          <w:p w14:paraId="1B527243">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参数</w:t>
            </w:r>
          </w:p>
        </w:tc>
        <w:tc>
          <w:tcPr>
            <w:tcW w:w="1323" w:type="dxa"/>
            <w:tcBorders>
              <w:top w:val="single" w:color="auto" w:sz="4" w:space="0"/>
              <w:left w:val="single" w:color="auto" w:sz="4" w:space="0"/>
              <w:bottom w:val="single" w:color="auto" w:sz="4" w:space="0"/>
              <w:right w:val="single" w:color="auto" w:sz="4" w:space="0"/>
            </w:tcBorders>
            <w:vAlign w:val="center"/>
          </w:tcPr>
          <w:p w14:paraId="58AFC984">
            <w:pPr>
              <w:spacing w:line="5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品牌/型号</w:t>
            </w:r>
          </w:p>
        </w:tc>
        <w:tc>
          <w:tcPr>
            <w:tcW w:w="1070" w:type="dxa"/>
            <w:tcBorders>
              <w:top w:val="single" w:color="auto" w:sz="4" w:space="0"/>
              <w:left w:val="single" w:color="auto" w:sz="4" w:space="0"/>
              <w:bottom w:val="single" w:color="auto" w:sz="4" w:space="0"/>
              <w:right w:val="single" w:color="auto" w:sz="4" w:space="0"/>
            </w:tcBorders>
            <w:vAlign w:val="center"/>
          </w:tcPr>
          <w:p w14:paraId="362E3297">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6642AAA1">
            <w:pPr>
              <w:spacing w:line="5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lang w:eastAsia="zh-CN"/>
              </w:rPr>
              <w:t>单位</w:t>
            </w:r>
          </w:p>
        </w:tc>
        <w:tc>
          <w:tcPr>
            <w:tcW w:w="708" w:type="dxa"/>
            <w:tcBorders>
              <w:top w:val="single" w:color="auto" w:sz="4" w:space="0"/>
              <w:left w:val="single" w:color="auto" w:sz="4" w:space="0"/>
              <w:bottom w:val="single" w:color="auto" w:sz="4" w:space="0"/>
              <w:right w:val="single" w:color="auto" w:sz="4" w:space="0"/>
            </w:tcBorders>
            <w:vAlign w:val="center"/>
          </w:tcPr>
          <w:p w14:paraId="3B0B5A3E">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单价</w:t>
            </w:r>
          </w:p>
        </w:tc>
        <w:tc>
          <w:tcPr>
            <w:tcW w:w="709" w:type="dxa"/>
            <w:tcBorders>
              <w:top w:val="single" w:color="auto" w:sz="4" w:space="0"/>
              <w:left w:val="single" w:color="auto" w:sz="4" w:space="0"/>
              <w:bottom w:val="single" w:color="auto" w:sz="4" w:space="0"/>
              <w:right w:val="single" w:color="auto" w:sz="4" w:space="0"/>
            </w:tcBorders>
            <w:vAlign w:val="center"/>
          </w:tcPr>
          <w:p w14:paraId="0551E9D3">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rPr>
              <w:t>总价</w:t>
            </w:r>
          </w:p>
        </w:tc>
        <w:tc>
          <w:tcPr>
            <w:tcW w:w="816" w:type="dxa"/>
            <w:tcBorders>
              <w:top w:val="single" w:color="auto" w:sz="4" w:space="0"/>
              <w:left w:val="single" w:color="auto" w:sz="4" w:space="0"/>
              <w:bottom w:val="single" w:color="auto" w:sz="4" w:space="0"/>
              <w:right w:val="single" w:color="auto" w:sz="4" w:space="0"/>
            </w:tcBorders>
            <w:vAlign w:val="center"/>
          </w:tcPr>
          <w:p w14:paraId="5E026228">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备注</w:t>
            </w:r>
          </w:p>
        </w:tc>
      </w:tr>
      <w:tr w14:paraId="3D1CE7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7F270D44">
            <w:pPr>
              <w:spacing w:line="500" w:lineRule="exact"/>
              <w:jc w:val="center"/>
              <w:rPr>
                <w:rFonts w:ascii="仿宋" w:hAnsi="仿宋" w:eastAsia="仿宋" w:cs="仿宋"/>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7C380B96">
            <w:pPr>
              <w:spacing w:line="500" w:lineRule="exact"/>
              <w:jc w:val="center"/>
              <w:rPr>
                <w:rFonts w:ascii="仿宋" w:hAnsi="仿宋" w:eastAsia="仿宋" w:cs="仿宋"/>
                <w:color w:val="auto"/>
                <w:szCs w:val="21"/>
                <w:highlight w:val="none"/>
              </w:rPr>
            </w:pPr>
          </w:p>
        </w:tc>
        <w:tc>
          <w:tcPr>
            <w:tcW w:w="1044" w:type="dxa"/>
            <w:tcBorders>
              <w:top w:val="single" w:color="auto" w:sz="4" w:space="0"/>
              <w:left w:val="single" w:color="auto" w:sz="4" w:space="0"/>
              <w:bottom w:val="single" w:color="auto" w:sz="4" w:space="0"/>
              <w:right w:val="single" w:color="auto" w:sz="4" w:space="0"/>
            </w:tcBorders>
            <w:vAlign w:val="center"/>
          </w:tcPr>
          <w:p w14:paraId="53946DEC">
            <w:pPr>
              <w:spacing w:line="500" w:lineRule="exact"/>
              <w:jc w:val="center"/>
              <w:rPr>
                <w:rFonts w:ascii="仿宋" w:hAnsi="仿宋" w:eastAsia="仿宋" w:cs="仿宋"/>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14:paraId="25DB6735">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1C67AC49">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206A8F25">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79510112">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42C2D781">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2E8FEB77">
            <w:pPr>
              <w:spacing w:line="500" w:lineRule="exact"/>
              <w:jc w:val="center"/>
              <w:rPr>
                <w:rFonts w:ascii="仿宋" w:hAnsi="仿宋" w:eastAsia="仿宋" w:cs="仿宋"/>
                <w:color w:val="auto"/>
                <w:szCs w:val="21"/>
                <w:highlight w:val="none"/>
              </w:rPr>
            </w:pPr>
          </w:p>
        </w:tc>
      </w:tr>
      <w:tr w14:paraId="0EE944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120BF335">
            <w:pPr>
              <w:spacing w:line="500" w:lineRule="exact"/>
              <w:jc w:val="center"/>
              <w:rPr>
                <w:rFonts w:ascii="仿宋" w:hAnsi="仿宋" w:eastAsia="仿宋" w:cs="仿宋"/>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71399F64">
            <w:pPr>
              <w:spacing w:line="500" w:lineRule="exact"/>
              <w:jc w:val="center"/>
              <w:rPr>
                <w:rFonts w:ascii="仿宋" w:hAnsi="仿宋" w:eastAsia="仿宋" w:cs="仿宋"/>
                <w:color w:val="auto"/>
                <w:szCs w:val="21"/>
                <w:highlight w:val="none"/>
              </w:rPr>
            </w:pPr>
          </w:p>
        </w:tc>
        <w:tc>
          <w:tcPr>
            <w:tcW w:w="1044" w:type="dxa"/>
            <w:tcBorders>
              <w:top w:val="single" w:color="auto" w:sz="4" w:space="0"/>
              <w:left w:val="single" w:color="auto" w:sz="4" w:space="0"/>
              <w:bottom w:val="single" w:color="auto" w:sz="4" w:space="0"/>
              <w:right w:val="single" w:color="auto" w:sz="4" w:space="0"/>
            </w:tcBorders>
            <w:vAlign w:val="center"/>
          </w:tcPr>
          <w:p w14:paraId="41D99F75">
            <w:pPr>
              <w:spacing w:line="500" w:lineRule="exact"/>
              <w:jc w:val="center"/>
              <w:rPr>
                <w:rFonts w:ascii="仿宋" w:hAnsi="仿宋" w:eastAsia="仿宋" w:cs="仿宋"/>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14:paraId="2207A12F">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3AC5FAAF">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6C76854A">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12860D70">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7DC10A00">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4756E939">
            <w:pPr>
              <w:spacing w:line="500" w:lineRule="exact"/>
              <w:jc w:val="center"/>
              <w:rPr>
                <w:rFonts w:ascii="仿宋" w:hAnsi="仿宋" w:eastAsia="仿宋" w:cs="仿宋"/>
                <w:color w:val="auto"/>
                <w:szCs w:val="21"/>
                <w:highlight w:val="none"/>
              </w:rPr>
            </w:pPr>
          </w:p>
        </w:tc>
      </w:tr>
      <w:tr w14:paraId="1DFDDC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07E69E08">
            <w:pPr>
              <w:spacing w:line="500" w:lineRule="exact"/>
              <w:jc w:val="center"/>
              <w:rPr>
                <w:rFonts w:ascii="仿宋" w:hAnsi="仿宋" w:eastAsia="仿宋" w:cs="仿宋"/>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56005358">
            <w:pPr>
              <w:spacing w:line="500" w:lineRule="exact"/>
              <w:jc w:val="center"/>
              <w:rPr>
                <w:rFonts w:ascii="仿宋" w:hAnsi="仿宋" w:eastAsia="仿宋" w:cs="仿宋"/>
                <w:color w:val="auto"/>
                <w:szCs w:val="21"/>
                <w:highlight w:val="none"/>
              </w:rPr>
            </w:pPr>
          </w:p>
        </w:tc>
        <w:tc>
          <w:tcPr>
            <w:tcW w:w="1044" w:type="dxa"/>
            <w:tcBorders>
              <w:top w:val="single" w:color="auto" w:sz="4" w:space="0"/>
              <w:left w:val="single" w:color="auto" w:sz="4" w:space="0"/>
              <w:bottom w:val="single" w:color="auto" w:sz="4" w:space="0"/>
              <w:right w:val="single" w:color="auto" w:sz="4" w:space="0"/>
            </w:tcBorders>
            <w:vAlign w:val="center"/>
          </w:tcPr>
          <w:p w14:paraId="22752209">
            <w:pPr>
              <w:spacing w:line="500" w:lineRule="exact"/>
              <w:jc w:val="center"/>
              <w:rPr>
                <w:rFonts w:ascii="仿宋" w:hAnsi="仿宋" w:eastAsia="仿宋" w:cs="仿宋"/>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14:paraId="477C45E7">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791CC9AB">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443BE756">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77597401">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7D299B27">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248FB632">
            <w:pPr>
              <w:spacing w:line="500" w:lineRule="exact"/>
              <w:jc w:val="center"/>
              <w:rPr>
                <w:rFonts w:ascii="仿宋" w:hAnsi="仿宋" w:eastAsia="仿宋" w:cs="仿宋"/>
                <w:color w:val="auto"/>
                <w:szCs w:val="21"/>
                <w:highlight w:val="none"/>
              </w:rPr>
            </w:pPr>
          </w:p>
        </w:tc>
      </w:tr>
      <w:tr w14:paraId="576BCA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5A6275F9">
            <w:pPr>
              <w:spacing w:line="500" w:lineRule="exact"/>
              <w:jc w:val="center"/>
              <w:rPr>
                <w:rFonts w:ascii="仿宋" w:hAnsi="仿宋" w:eastAsia="仿宋" w:cs="仿宋"/>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015B534D">
            <w:pPr>
              <w:spacing w:line="500" w:lineRule="exact"/>
              <w:jc w:val="center"/>
              <w:rPr>
                <w:rFonts w:ascii="仿宋" w:hAnsi="仿宋" w:eastAsia="仿宋" w:cs="仿宋"/>
                <w:color w:val="auto"/>
                <w:szCs w:val="21"/>
                <w:highlight w:val="none"/>
              </w:rPr>
            </w:pPr>
          </w:p>
        </w:tc>
        <w:tc>
          <w:tcPr>
            <w:tcW w:w="1044" w:type="dxa"/>
            <w:tcBorders>
              <w:top w:val="single" w:color="auto" w:sz="4" w:space="0"/>
              <w:left w:val="single" w:color="auto" w:sz="4" w:space="0"/>
              <w:bottom w:val="single" w:color="auto" w:sz="4" w:space="0"/>
              <w:right w:val="single" w:color="auto" w:sz="4" w:space="0"/>
            </w:tcBorders>
            <w:vAlign w:val="center"/>
          </w:tcPr>
          <w:p w14:paraId="5BB0A345">
            <w:pPr>
              <w:spacing w:line="500" w:lineRule="exact"/>
              <w:jc w:val="center"/>
              <w:rPr>
                <w:rFonts w:ascii="仿宋" w:hAnsi="仿宋" w:eastAsia="仿宋" w:cs="仿宋"/>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14:paraId="658AD8FD">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4F233071">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97F5466">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1417B9F3">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C288E9F">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7D34BD9">
            <w:pPr>
              <w:spacing w:line="500" w:lineRule="exact"/>
              <w:jc w:val="center"/>
              <w:rPr>
                <w:rFonts w:ascii="仿宋" w:hAnsi="仿宋" w:eastAsia="仿宋" w:cs="仿宋"/>
                <w:color w:val="auto"/>
                <w:szCs w:val="21"/>
                <w:highlight w:val="none"/>
              </w:rPr>
            </w:pPr>
          </w:p>
        </w:tc>
      </w:tr>
      <w:tr w14:paraId="74A0B3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709069BB">
            <w:pPr>
              <w:spacing w:line="500" w:lineRule="exact"/>
              <w:jc w:val="center"/>
              <w:rPr>
                <w:rFonts w:ascii="仿宋" w:hAnsi="仿宋" w:eastAsia="仿宋" w:cs="仿宋"/>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50A4AC80">
            <w:pPr>
              <w:spacing w:line="500" w:lineRule="exact"/>
              <w:jc w:val="center"/>
              <w:rPr>
                <w:rFonts w:ascii="仿宋" w:hAnsi="仿宋" w:eastAsia="仿宋" w:cs="仿宋"/>
                <w:color w:val="auto"/>
                <w:szCs w:val="21"/>
                <w:highlight w:val="none"/>
              </w:rPr>
            </w:pPr>
          </w:p>
        </w:tc>
        <w:tc>
          <w:tcPr>
            <w:tcW w:w="1044" w:type="dxa"/>
            <w:tcBorders>
              <w:top w:val="single" w:color="auto" w:sz="4" w:space="0"/>
              <w:left w:val="single" w:color="auto" w:sz="4" w:space="0"/>
              <w:bottom w:val="single" w:color="auto" w:sz="4" w:space="0"/>
              <w:right w:val="single" w:color="auto" w:sz="4" w:space="0"/>
            </w:tcBorders>
            <w:vAlign w:val="center"/>
          </w:tcPr>
          <w:p w14:paraId="6EF0892A">
            <w:pPr>
              <w:spacing w:line="500" w:lineRule="exact"/>
              <w:jc w:val="center"/>
              <w:rPr>
                <w:rFonts w:ascii="仿宋" w:hAnsi="仿宋" w:eastAsia="仿宋" w:cs="仿宋"/>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14:paraId="467DCDDB">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6D426018">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17B4B46">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05EB5910">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7EE71D6">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5F293D25">
            <w:pPr>
              <w:spacing w:line="500" w:lineRule="exact"/>
              <w:jc w:val="center"/>
              <w:rPr>
                <w:rFonts w:ascii="仿宋" w:hAnsi="仿宋" w:eastAsia="仿宋" w:cs="仿宋"/>
                <w:color w:val="auto"/>
                <w:szCs w:val="21"/>
                <w:highlight w:val="none"/>
              </w:rPr>
            </w:pPr>
          </w:p>
        </w:tc>
      </w:tr>
      <w:tr w14:paraId="2D00F6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3C5550F9">
            <w:pPr>
              <w:spacing w:line="500" w:lineRule="exact"/>
              <w:jc w:val="center"/>
              <w:rPr>
                <w:rFonts w:ascii="仿宋" w:hAnsi="仿宋" w:eastAsia="仿宋" w:cs="仿宋"/>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6AFC8549">
            <w:pPr>
              <w:spacing w:line="500" w:lineRule="exact"/>
              <w:jc w:val="center"/>
              <w:rPr>
                <w:rFonts w:ascii="仿宋" w:hAnsi="仿宋" w:eastAsia="仿宋" w:cs="仿宋"/>
                <w:color w:val="auto"/>
                <w:szCs w:val="21"/>
                <w:highlight w:val="none"/>
              </w:rPr>
            </w:pPr>
          </w:p>
        </w:tc>
        <w:tc>
          <w:tcPr>
            <w:tcW w:w="1044" w:type="dxa"/>
            <w:tcBorders>
              <w:top w:val="single" w:color="auto" w:sz="4" w:space="0"/>
              <w:left w:val="single" w:color="auto" w:sz="4" w:space="0"/>
              <w:bottom w:val="single" w:color="auto" w:sz="4" w:space="0"/>
              <w:right w:val="single" w:color="auto" w:sz="4" w:space="0"/>
            </w:tcBorders>
            <w:vAlign w:val="center"/>
          </w:tcPr>
          <w:p w14:paraId="5868B3E7">
            <w:pPr>
              <w:spacing w:line="500" w:lineRule="exact"/>
              <w:jc w:val="center"/>
              <w:rPr>
                <w:rFonts w:ascii="仿宋" w:hAnsi="仿宋" w:eastAsia="仿宋" w:cs="仿宋"/>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14:paraId="6703D974">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59EE98C8">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3A0E0B8F">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0AA23DD2">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7AE06EB">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21B2842D">
            <w:pPr>
              <w:spacing w:line="500" w:lineRule="exact"/>
              <w:jc w:val="center"/>
              <w:rPr>
                <w:rFonts w:ascii="仿宋" w:hAnsi="仿宋" w:eastAsia="仿宋" w:cs="仿宋"/>
                <w:color w:val="auto"/>
                <w:szCs w:val="21"/>
                <w:highlight w:val="none"/>
              </w:rPr>
            </w:pPr>
          </w:p>
        </w:tc>
      </w:tr>
      <w:tr w14:paraId="3F2D6A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8" w:type="dxa"/>
            <w:tcBorders>
              <w:top w:val="single" w:color="auto" w:sz="4" w:space="0"/>
              <w:left w:val="single" w:color="auto" w:sz="4" w:space="0"/>
              <w:bottom w:val="single" w:color="auto" w:sz="4" w:space="0"/>
              <w:right w:val="single" w:color="auto" w:sz="4" w:space="0"/>
            </w:tcBorders>
            <w:vAlign w:val="center"/>
          </w:tcPr>
          <w:p w14:paraId="36FCB47B">
            <w:pPr>
              <w:spacing w:line="500" w:lineRule="exact"/>
              <w:jc w:val="center"/>
              <w:rPr>
                <w:rFonts w:ascii="仿宋" w:hAnsi="仿宋" w:eastAsia="仿宋" w:cs="仿宋"/>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0EEAE844">
            <w:pPr>
              <w:spacing w:line="500" w:lineRule="exact"/>
              <w:jc w:val="center"/>
              <w:rPr>
                <w:rFonts w:ascii="仿宋" w:hAnsi="仿宋" w:eastAsia="仿宋" w:cs="仿宋"/>
                <w:color w:val="auto"/>
                <w:szCs w:val="21"/>
                <w:highlight w:val="none"/>
              </w:rPr>
            </w:pPr>
          </w:p>
        </w:tc>
        <w:tc>
          <w:tcPr>
            <w:tcW w:w="1044" w:type="dxa"/>
            <w:tcBorders>
              <w:top w:val="single" w:color="auto" w:sz="4" w:space="0"/>
              <w:left w:val="single" w:color="auto" w:sz="4" w:space="0"/>
              <w:bottom w:val="single" w:color="auto" w:sz="4" w:space="0"/>
              <w:right w:val="single" w:color="auto" w:sz="4" w:space="0"/>
            </w:tcBorders>
            <w:vAlign w:val="center"/>
          </w:tcPr>
          <w:p w14:paraId="63708F74">
            <w:pPr>
              <w:spacing w:line="500" w:lineRule="exact"/>
              <w:jc w:val="center"/>
              <w:rPr>
                <w:rFonts w:ascii="仿宋" w:hAnsi="仿宋" w:eastAsia="仿宋" w:cs="仿宋"/>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14:paraId="1D1B4969">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0BD0DD5C">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B3268C4">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2C64C970">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FF7EB4A">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5AB7C8E9">
            <w:pPr>
              <w:spacing w:line="500" w:lineRule="exact"/>
              <w:jc w:val="center"/>
              <w:rPr>
                <w:rFonts w:ascii="仿宋" w:hAnsi="仿宋" w:eastAsia="仿宋" w:cs="仿宋"/>
                <w:color w:val="auto"/>
                <w:szCs w:val="21"/>
                <w:highlight w:val="none"/>
              </w:rPr>
            </w:pPr>
          </w:p>
        </w:tc>
      </w:tr>
    </w:tbl>
    <w:p w14:paraId="20CD131E">
      <w:pPr>
        <w:pStyle w:val="34"/>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pacing w:val="0"/>
          <w:w w:val="100"/>
          <w:position w:val="0"/>
          <w:sz w:val="24"/>
          <w:szCs w:val="24"/>
        </w:rPr>
      </w:pPr>
    </w:p>
    <w:p w14:paraId="25DC18E4">
      <w:pPr>
        <w:pStyle w:val="34"/>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说明：</w:t>
      </w:r>
      <w:r>
        <w:rPr>
          <w:rFonts w:hint="eastAsia" w:ascii="仿宋" w:hAnsi="仿宋" w:eastAsia="仿宋" w:cs="仿宋"/>
          <w:color w:val="auto"/>
          <w:spacing w:val="0"/>
          <w:w w:val="100"/>
          <w:position w:val="0"/>
          <w:sz w:val="24"/>
          <w:szCs w:val="24"/>
          <w:lang w:val="en-US" w:eastAsia="en-US" w:bidi="en-US"/>
        </w:rPr>
        <w:t>1.</w:t>
      </w:r>
      <w:r>
        <w:rPr>
          <w:rFonts w:hint="eastAsia" w:ascii="仿宋" w:hAnsi="仿宋" w:eastAsia="仿宋" w:cs="仿宋"/>
          <w:color w:val="auto"/>
          <w:spacing w:val="0"/>
          <w:w w:val="100"/>
          <w:position w:val="0"/>
          <w:sz w:val="24"/>
          <w:szCs w:val="24"/>
        </w:rPr>
        <w:t>所有价格均用人民币表示，单位为元。</w:t>
      </w:r>
    </w:p>
    <w:p w14:paraId="290FE308">
      <w:pPr>
        <w:pStyle w:val="34"/>
        <w:keepNext w:val="0"/>
        <w:keepLines w:val="0"/>
        <w:widowControl w:val="0"/>
        <w:numPr>
          <w:ilvl w:val="0"/>
          <w:numId w:val="7"/>
        </w:numPr>
        <w:shd w:val="clear" w:color="auto" w:fill="auto"/>
        <w:tabs>
          <w:tab w:val="left" w:pos="378"/>
        </w:tabs>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报价总计价格必须与《</w:t>
      </w:r>
      <w:r>
        <w:rPr>
          <w:rFonts w:hint="eastAsia" w:ascii="仿宋" w:hAnsi="仿宋" w:eastAsia="仿宋" w:cs="仿宋"/>
          <w:color w:val="auto"/>
          <w:spacing w:val="0"/>
          <w:w w:val="100"/>
          <w:position w:val="0"/>
          <w:sz w:val="24"/>
          <w:szCs w:val="24"/>
          <w:lang w:eastAsia="zh-CN"/>
        </w:rPr>
        <w:t>投标报价单</w:t>
      </w:r>
      <w:r>
        <w:rPr>
          <w:rFonts w:hint="eastAsia" w:ascii="仿宋" w:hAnsi="仿宋" w:eastAsia="仿宋" w:cs="仿宋"/>
          <w:color w:val="auto"/>
          <w:spacing w:val="0"/>
          <w:w w:val="100"/>
          <w:position w:val="0"/>
          <w:sz w:val="24"/>
          <w:szCs w:val="24"/>
        </w:rPr>
        <w:t>》报价一致。</w:t>
      </w:r>
    </w:p>
    <w:p w14:paraId="65E58C08">
      <w:pPr>
        <w:pStyle w:val="34"/>
        <w:keepNext w:val="0"/>
        <w:keepLines w:val="0"/>
        <w:widowControl w:val="0"/>
        <w:numPr>
          <w:ilvl w:val="0"/>
          <w:numId w:val="7"/>
        </w:numPr>
        <w:shd w:val="clear" w:color="auto" w:fill="auto"/>
        <w:tabs>
          <w:tab w:val="left" w:pos="490"/>
        </w:tabs>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如果不提供详细的分项报价表将被视为没有实质性</w:t>
      </w:r>
      <w:r>
        <w:rPr>
          <w:rFonts w:hint="eastAsia" w:ascii="仿宋" w:hAnsi="仿宋" w:eastAsia="仿宋" w:cs="仿宋"/>
          <w:color w:val="auto"/>
          <w:spacing w:val="0"/>
          <w:w w:val="100"/>
          <w:position w:val="0"/>
          <w:sz w:val="24"/>
          <w:szCs w:val="24"/>
          <w:lang w:eastAsia="zh-CN"/>
        </w:rPr>
        <w:t>投标文件</w:t>
      </w:r>
      <w:r>
        <w:rPr>
          <w:rFonts w:hint="eastAsia" w:ascii="仿宋" w:hAnsi="仿宋" w:eastAsia="仿宋" w:cs="仿宋"/>
          <w:color w:val="auto"/>
          <w:spacing w:val="0"/>
          <w:w w:val="100"/>
          <w:position w:val="0"/>
          <w:sz w:val="24"/>
          <w:szCs w:val="24"/>
        </w:rPr>
        <w:t>。</w:t>
      </w:r>
    </w:p>
    <w:p w14:paraId="0846A144">
      <w:pPr>
        <w:pStyle w:val="34"/>
        <w:keepNext w:val="0"/>
        <w:keepLines w:val="0"/>
        <w:widowControl w:val="0"/>
        <w:numPr>
          <w:ilvl w:val="0"/>
          <w:numId w:val="7"/>
        </w:numPr>
        <w:shd w:val="clear" w:color="auto" w:fill="auto"/>
        <w:tabs>
          <w:tab w:val="left" w:pos="493"/>
        </w:tabs>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投标人必须按此表格式中的对应栏目内容填写，若需增加栏目，请在栏目</w:t>
      </w:r>
      <w:r>
        <w:rPr>
          <w:rFonts w:hint="eastAsia" w:ascii="仿宋" w:hAnsi="仿宋" w:eastAsia="仿宋" w:cs="仿宋"/>
          <w:color w:val="auto"/>
          <w:spacing w:val="0"/>
          <w:w w:val="100"/>
          <w:position w:val="0"/>
          <w:sz w:val="24"/>
          <w:szCs w:val="24"/>
          <w:lang w:val="zh-CN" w:eastAsia="zh-CN" w:bidi="zh-CN"/>
        </w:rPr>
        <w:t>“其</w:t>
      </w:r>
      <w:r>
        <w:rPr>
          <w:rFonts w:hint="eastAsia" w:ascii="仿宋" w:hAnsi="仿宋" w:eastAsia="仿宋" w:cs="仿宋"/>
          <w:color w:val="auto"/>
          <w:spacing w:val="0"/>
          <w:w w:val="100"/>
          <w:position w:val="0"/>
          <w:sz w:val="24"/>
          <w:szCs w:val="24"/>
        </w:rPr>
        <w:t>它”中填写，并作详细说明。</w:t>
      </w:r>
    </w:p>
    <w:p w14:paraId="68377706">
      <w:pPr>
        <w:pStyle w:val="34"/>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auto"/>
          <w:spacing w:val="0"/>
          <w:w w:val="100"/>
          <w:position w:val="0"/>
          <w:sz w:val="20"/>
          <w:szCs w:val="20"/>
        </w:rPr>
      </w:pPr>
    </w:p>
    <w:p w14:paraId="5CEA7186">
      <w:pPr>
        <w:pStyle w:val="34"/>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auto"/>
          <w:spacing w:val="0"/>
          <w:w w:val="100"/>
          <w:position w:val="0"/>
          <w:sz w:val="20"/>
          <w:szCs w:val="20"/>
        </w:rPr>
      </w:pPr>
    </w:p>
    <w:p w14:paraId="0F7C08EB">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r>
        <w:rPr>
          <w:rFonts w:hint="eastAsia" w:ascii="仿宋" w:hAnsi="仿宋" w:eastAsia="仿宋" w:cs="仿宋"/>
          <w:color w:val="auto"/>
          <w:sz w:val="24"/>
          <w:szCs w:val="24"/>
        </w:rPr>
        <w:t>投标人：</w:t>
      </w:r>
      <w:r>
        <w:rPr>
          <w:rFonts w:hint="eastAsia" w:ascii="仿宋" w:hAnsi="仿宋" w:eastAsia="仿宋" w:cs="仿宋"/>
          <w:color w:val="auto"/>
          <w:sz w:val="24"/>
          <w:szCs w:val="24"/>
          <w:u w:val="single"/>
        </w:rPr>
        <w:tab/>
      </w:r>
      <w:r>
        <w:rPr>
          <w:rFonts w:hint="eastAsia" w:ascii="仿宋" w:hAnsi="仿宋" w:eastAsia="仿宋" w:cs="仿宋"/>
          <w:color w:val="auto"/>
          <w:w w:val="95"/>
          <w:sz w:val="24"/>
          <w:szCs w:val="24"/>
        </w:rPr>
        <w:t>（盖章）</w:t>
      </w:r>
      <w:r>
        <w:rPr>
          <w:rFonts w:hint="eastAsia" w:ascii="仿宋" w:hAnsi="仿宋" w:eastAsia="仿宋" w:cs="仿宋"/>
          <w:color w:val="auto"/>
          <w:sz w:val="24"/>
          <w:szCs w:val="24"/>
        </w:rPr>
        <w:t xml:space="preserve"> </w:t>
      </w:r>
    </w:p>
    <w:p w14:paraId="6E9C0FD2">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w w:val="95"/>
          <w:sz w:val="24"/>
          <w:szCs w:val="24"/>
        </w:rPr>
      </w:pPr>
      <w:r>
        <w:rPr>
          <w:rFonts w:hint="eastAsia" w:ascii="仿宋" w:hAnsi="仿宋" w:eastAsia="仿宋" w:cs="仿宋"/>
          <w:color w:val="auto"/>
          <w:sz w:val="24"/>
          <w:szCs w:val="24"/>
        </w:rPr>
        <w:t>法定代表人或被授权人：</w:t>
      </w:r>
      <w:r>
        <w:rPr>
          <w:rFonts w:hint="eastAsia" w:ascii="仿宋" w:hAnsi="仿宋" w:eastAsia="仿宋" w:cs="仿宋"/>
          <w:color w:val="auto"/>
          <w:sz w:val="24"/>
          <w:szCs w:val="24"/>
          <w:u w:val="single"/>
        </w:rPr>
        <w:tab/>
      </w:r>
      <w:r>
        <w:rPr>
          <w:rFonts w:hint="eastAsia" w:ascii="仿宋" w:hAnsi="仿宋" w:eastAsia="仿宋" w:cs="仿宋"/>
          <w:color w:val="auto"/>
          <w:w w:val="95"/>
          <w:sz w:val="24"/>
          <w:szCs w:val="24"/>
        </w:rPr>
        <w:t>（</w:t>
      </w:r>
      <w:r>
        <w:rPr>
          <w:rFonts w:hint="eastAsia" w:ascii="仿宋" w:hAnsi="仿宋" w:eastAsia="仿宋" w:cs="仿宋"/>
          <w:color w:val="auto"/>
          <w:w w:val="95"/>
          <w:sz w:val="24"/>
          <w:szCs w:val="24"/>
          <w:lang w:eastAsia="zh-CN"/>
        </w:rPr>
        <w:t>签章</w:t>
      </w:r>
      <w:r>
        <w:rPr>
          <w:rFonts w:hint="eastAsia" w:ascii="仿宋" w:hAnsi="仿宋" w:eastAsia="仿宋" w:cs="仿宋"/>
          <w:color w:val="auto"/>
          <w:w w:val="95"/>
          <w:sz w:val="24"/>
          <w:szCs w:val="24"/>
        </w:rPr>
        <w:t>）</w:t>
      </w:r>
    </w:p>
    <w:p w14:paraId="6510D108">
      <w:pPr>
        <w:pStyle w:val="7"/>
        <w:numPr>
          <w:ilvl w:val="0"/>
          <w:numId w:val="0"/>
        </w:numPr>
        <w:tabs>
          <w:tab w:val="left" w:pos="5551"/>
          <w:tab w:val="left" w:pos="6511"/>
          <w:tab w:val="left" w:pos="7111"/>
          <w:tab w:val="left" w:pos="7711"/>
        </w:tabs>
        <w:kinsoku w:val="0"/>
        <w:overflowPunct w:val="0"/>
        <w:spacing w:before="46"/>
        <w:ind w:left="3928" w:leftChars="0" w:right="0" w:rightChars="0"/>
        <w:rPr>
          <w:rFonts w:hint="eastAsia" w:ascii="仿宋" w:hAnsi="仿宋" w:eastAsia="仿宋" w:cs="仿宋"/>
          <w:color w:val="auto"/>
          <w:sz w:val="24"/>
          <w:szCs w:val="24"/>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日</w:t>
      </w:r>
    </w:p>
    <w:p w14:paraId="6AA0A61A">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sz w:val="36"/>
          <w:szCs w:val="36"/>
          <w:lang w:eastAsia="zh-CN"/>
        </w:rPr>
      </w:pPr>
    </w:p>
    <w:p w14:paraId="7E118216">
      <w:pPr>
        <w:pStyle w:val="30"/>
        <w:keepNext/>
        <w:keepLines/>
        <w:widowControl w:val="0"/>
        <w:numPr>
          <w:ilvl w:val="0"/>
          <w:numId w:val="0"/>
        </w:numPr>
        <w:shd w:val="clear" w:color="auto" w:fill="auto"/>
        <w:bidi w:val="0"/>
        <w:spacing w:before="0" w:after="220" w:line="240" w:lineRule="auto"/>
        <w:ind w:right="0" w:rightChars="0"/>
        <w:jc w:val="center"/>
        <w:rPr>
          <w:rFonts w:hint="eastAsia" w:ascii="仿宋" w:hAnsi="仿宋" w:eastAsia="仿宋" w:cs="仿宋"/>
          <w:b/>
          <w:bCs/>
          <w:color w:val="auto"/>
          <w:spacing w:val="0"/>
          <w:w w:val="100"/>
          <w:position w:val="0"/>
          <w:lang w:val="en-US" w:eastAsia="zh-CN"/>
        </w:rPr>
      </w:pPr>
      <w:r>
        <w:rPr>
          <w:rFonts w:hint="eastAsia" w:ascii="仿宋" w:hAnsi="仿宋" w:eastAsia="仿宋" w:cs="仿宋"/>
          <w:b/>
          <w:bCs/>
          <w:color w:val="auto"/>
          <w:spacing w:val="0"/>
          <w:w w:val="100"/>
          <w:position w:val="0"/>
          <w:lang w:val="en-US" w:eastAsia="zh-CN"/>
        </w:rPr>
        <w:t>5、技术条款偏离表</w:t>
      </w:r>
    </w:p>
    <w:tbl>
      <w:tblPr>
        <w:tblStyle w:val="19"/>
        <w:tblW w:w="81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91"/>
        <w:gridCol w:w="1237"/>
        <w:gridCol w:w="1855"/>
        <w:gridCol w:w="1231"/>
        <w:gridCol w:w="2269"/>
        <w:gridCol w:w="945"/>
      </w:tblGrid>
      <w:tr w14:paraId="56E2C9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91" w:type="dxa"/>
            <w:noWrap w:val="0"/>
            <w:vAlign w:val="center"/>
          </w:tcPr>
          <w:p w14:paraId="3C64B0FC">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序号</w:t>
            </w:r>
          </w:p>
        </w:tc>
        <w:tc>
          <w:tcPr>
            <w:tcW w:w="1237" w:type="dxa"/>
            <w:noWrap w:val="0"/>
            <w:vAlign w:val="center"/>
          </w:tcPr>
          <w:p w14:paraId="65E4F999">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货物名称</w:t>
            </w:r>
          </w:p>
        </w:tc>
        <w:tc>
          <w:tcPr>
            <w:tcW w:w="1855" w:type="dxa"/>
            <w:noWrap w:val="0"/>
            <w:vAlign w:val="center"/>
          </w:tcPr>
          <w:p w14:paraId="657E2A03">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招标文件要求规格</w:t>
            </w:r>
          </w:p>
        </w:tc>
        <w:tc>
          <w:tcPr>
            <w:tcW w:w="1231" w:type="dxa"/>
            <w:noWrap w:val="0"/>
            <w:vAlign w:val="center"/>
          </w:tcPr>
          <w:p w14:paraId="728C14E3">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投标规格</w:t>
            </w:r>
          </w:p>
        </w:tc>
        <w:tc>
          <w:tcPr>
            <w:tcW w:w="2269" w:type="dxa"/>
            <w:noWrap w:val="0"/>
            <w:vAlign w:val="center"/>
          </w:tcPr>
          <w:p w14:paraId="0929D6CA">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偏离</w:t>
            </w:r>
          </w:p>
        </w:tc>
        <w:tc>
          <w:tcPr>
            <w:tcW w:w="945" w:type="dxa"/>
            <w:noWrap w:val="0"/>
            <w:vAlign w:val="center"/>
          </w:tcPr>
          <w:p w14:paraId="2DBD0C7E">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说明</w:t>
            </w:r>
          </w:p>
        </w:tc>
      </w:tr>
      <w:tr w14:paraId="0BE73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91" w:type="dxa"/>
            <w:noWrap w:val="0"/>
            <w:vAlign w:val="top"/>
          </w:tcPr>
          <w:p w14:paraId="241BB347">
            <w:pPr>
              <w:jc w:val="center"/>
              <w:rPr>
                <w:rFonts w:hint="eastAsia" w:ascii="仿宋" w:hAnsi="仿宋" w:eastAsia="仿宋" w:cs="仿宋"/>
                <w:b/>
                <w:bCs/>
                <w:color w:val="auto"/>
                <w:sz w:val="24"/>
                <w:szCs w:val="24"/>
              </w:rPr>
            </w:pPr>
          </w:p>
        </w:tc>
        <w:tc>
          <w:tcPr>
            <w:tcW w:w="1237" w:type="dxa"/>
            <w:noWrap w:val="0"/>
            <w:vAlign w:val="top"/>
          </w:tcPr>
          <w:p w14:paraId="44F80553">
            <w:pPr>
              <w:jc w:val="center"/>
              <w:rPr>
                <w:rFonts w:hint="eastAsia" w:ascii="仿宋" w:hAnsi="仿宋" w:eastAsia="仿宋" w:cs="仿宋"/>
                <w:b/>
                <w:bCs/>
                <w:color w:val="auto"/>
                <w:sz w:val="24"/>
                <w:szCs w:val="24"/>
              </w:rPr>
            </w:pPr>
          </w:p>
        </w:tc>
        <w:tc>
          <w:tcPr>
            <w:tcW w:w="1855" w:type="dxa"/>
            <w:noWrap w:val="0"/>
            <w:vAlign w:val="top"/>
          </w:tcPr>
          <w:p w14:paraId="7B2C764C">
            <w:pPr>
              <w:jc w:val="center"/>
              <w:rPr>
                <w:rFonts w:hint="eastAsia" w:ascii="仿宋" w:hAnsi="仿宋" w:eastAsia="仿宋" w:cs="仿宋"/>
                <w:b/>
                <w:bCs/>
                <w:color w:val="auto"/>
                <w:sz w:val="24"/>
                <w:szCs w:val="24"/>
              </w:rPr>
            </w:pPr>
          </w:p>
        </w:tc>
        <w:tc>
          <w:tcPr>
            <w:tcW w:w="1231" w:type="dxa"/>
            <w:noWrap w:val="0"/>
            <w:vAlign w:val="top"/>
          </w:tcPr>
          <w:p w14:paraId="0E759775">
            <w:pPr>
              <w:jc w:val="center"/>
              <w:rPr>
                <w:rFonts w:hint="eastAsia" w:ascii="仿宋" w:hAnsi="仿宋" w:eastAsia="仿宋" w:cs="仿宋"/>
                <w:b/>
                <w:bCs/>
                <w:color w:val="auto"/>
                <w:sz w:val="24"/>
                <w:szCs w:val="24"/>
              </w:rPr>
            </w:pPr>
          </w:p>
        </w:tc>
        <w:tc>
          <w:tcPr>
            <w:tcW w:w="2269" w:type="dxa"/>
            <w:noWrap w:val="0"/>
            <w:vAlign w:val="top"/>
          </w:tcPr>
          <w:p w14:paraId="39C59B65">
            <w:pPr>
              <w:jc w:val="center"/>
              <w:rPr>
                <w:rFonts w:hint="eastAsia" w:ascii="仿宋" w:hAnsi="仿宋" w:eastAsia="仿宋" w:cs="仿宋"/>
                <w:b/>
                <w:bCs/>
                <w:color w:val="auto"/>
                <w:sz w:val="24"/>
                <w:szCs w:val="24"/>
              </w:rPr>
            </w:pPr>
            <w:r>
              <w:rPr>
                <w:rFonts w:hint="eastAsia" w:ascii="仿宋" w:hAnsi="仿宋" w:eastAsia="仿宋" w:cs="仿宋"/>
                <w:bCs/>
                <w:color w:val="auto"/>
                <w:sz w:val="24"/>
                <w:szCs w:val="24"/>
                <w:lang w:val="en-US" w:eastAsia="zh-CN"/>
              </w:rPr>
              <w:t>如有正偏离需提供证明材料，证明材料附后(并注明页码)</w:t>
            </w:r>
          </w:p>
        </w:tc>
        <w:tc>
          <w:tcPr>
            <w:tcW w:w="945" w:type="dxa"/>
            <w:noWrap w:val="0"/>
            <w:vAlign w:val="top"/>
          </w:tcPr>
          <w:p w14:paraId="7D50893A">
            <w:pPr>
              <w:jc w:val="center"/>
              <w:rPr>
                <w:rFonts w:hint="eastAsia" w:ascii="仿宋" w:hAnsi="仿宋" w:eastAsia="仿宋" w:cs="仿宋"/>
                <w:b/>
                <w:bCs/>
                <w:color w:val="auto"/>
                <w:sz w:val="24"/>
                <w:szCs w:val="24"/>
              </w:rPr>
            </w:pPr>
          </w:p>
        </w:tc>
      </w:tr>
      <w:tr w14:paraId="6802C9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91" w:type="dxa"/>
            <w:noWrap w:val="0"/>
            <w:vAlign w:val="top"/>
          </w:tcPr>
          <w:p w14:paraId="201570F9">
            <w:pPr>
              <w:jc w:val="center"/>
              <w:rPr>
                <w:rFonts w:hint="eastAsia" w:ascii="仿宋" w:hAnsi="仿宋" w:eastAsia="仿宋" w:cs="仿宋"/>
                <w:b/>
                <w:bCs/>
                <w:color w:val="auto"/>
                <w:sz w:val="24"/>
                <w:szCs w:val="24"/>
              </w:rPr>
            </w:pPr>
          </w:p>
        </w:tc>
        <w:tc>
          <w:tcPr>
            <w:tcW w:w="1237" w:type="dxa"/>
            <w:noWrap w:val="0"/>
            <w:vAlign w:val="top"/>
          </w:tcPr>
          <w:p w14:paraId="5E8ED5DB">
            <w:pPr>
              <w:jc w:val="center"/>
              <w:rPr>
                <w:rFonts w:hint="eastAsia" w:ascii="仿宋" w:hAnsi="仿宋" w:eastAsia="仿宋" w:cs="仿宋"/>
                <w:b/>
                <w:bCs/>
                <w:color w:val="auto"/>
                <w:sz w:val="24"/>
                <w:szCs w:val="24"/>
              </w:rPr>
            </w:pPr>
          </w:p>
        </w:tc>
        <w:tc>
          <w:tcPr>
            <w:tcW w:w="1855" w:type="dxa"/>
            <w:noWrap w:val="0"/>
            <w:vAlign w:val="top"/>
          </w:tcPr>
          <w:p w14:paraId="2513872A">
            <w:pPr>
              <w:jc w:val="center"/>
              <w:rPr>
                <w:rFonts w:hint="eastAsia" w:ascii="仿宋" w:hAnsi="仿宋" w:eastAsia="仿宋" w:cs="仿宋"/>
                <w:b/>
                <w:bCs/>
                <w:color w:val="auto"/>
                <w:sz w:val="24"/>
                <w:szCs w:val="24"/>
              </w:rPr>
            </w:pPr>
          </w:p>
        </w:tc>
        <w:tc>
          <w:tcPr>
            <w:tcW w:w="1231" w:type="dxa"/>
            <w:noWrap w:val="0"/>
            <w:vAlign w:val="top"/>
          </w:tcPr>
          <w:p w14:paraId="50E25686">
            <w:pPr>
              <w:jc w:val="center"/>
              <w:rPr>
                <w:rFonts w:hint="eastAsia" w:ascii="仿宋" w:hAnsi="仿宋" w:eastAsia="仿宋" w:cs="仿宋"/>
                <w:b/>
                <w:bCs/>
                <w:color w:val="auto"/>
                <w:sz w:val="24"/>
                <w:szCs w:val="24"/>
              </w:rPr>
            </w:pPr>
          </w:p>
        </w:tc>
        <w:tc>
          <w:tcPr>
            <w:tcW w:w="2269" w:type="dxa"/>
            <w:noWrap w:val="0"/>
            <w:vAlign w:val="top"/>
          </w:tcPr>
          <w:p w14:paraId="448AC192">
            <w:pPr>
              <w:jc w:val="center"/>
              <w:rPr>
                <w:rFonts w:hint="eastAsia" w:ascii="仿宋" w:hAnsi="仿宋" w:eastAsia="仿宋" w:cs="仿宋"/>
                <w:b/>
                <w:bCs/>
                <w:color w:val="auto"/>
                <w:sz w:val="24"/>
                <w:szCs w:val="24"/>
              </w:rPr>
            </w:pPr>
          </w:p>
        </w:tc>
        <w:tc>
          <w:tcPr>
            <w:tcW w:w="945" w:type="dxa"/>
            <w:noWrap w:val="0"/>
            <w:vAlign w:val="top"/>
          </w:tcPr>
          <w:p w14:paraId="426B6374">
            <w:pPr>
              <w:jc w:val="center"/>
              <w:rPr>
                <w:rFonts w:hint="eastAsia" w:ascii="仿宋" w:hAnsi="仿宋" w:eastAsia="仿宋" w:cs="仿宋"/>
                <w:b/>
                <w:bCs/>
                <w:color w:val="auto"/>
                <w:sz w:val="24"/>
                <w:szCs w:val="24"/>
              </w:rPr>
            </w:pPr>
          </w:p>
        </w:tc>
      </w:tr>
      <w:tr w14:paraId="57B6B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91" w:type="dxa"/>
            <w:noWrap w:val="0"/>
            <w:vAlign w:val="top"/>
          </w:tcPr>
          <w:p w14:paraId="1D0F8E2A">
            <w:pPr>
              <w:jc w:val="center"/>
              <w:rPr>
                <w:rFonts w:hint="eastAsia" w:ascii="仿宋" w:hAnsi="仿宋" w:eastAsia="仿宋" w:cs="仿宋"/>
                <w:b/>
                <w:bCs/>
                <w:color w:val="auto"/>
                <w:sz w:val="24"/>
                <w:szCs w:val="24"/>
              </w:rPr>
            </w:pPr>
          </w:p>
        </w:tc>
        <w:tc>
          <w:tcPr>
            <w:tcW w:w="1237" w:type="dxa"/>
            <w:noWrap w:val="0"/>
            <w:vAlign w:val="top"/>
          </w:tcPr>
          <w:p w14:paraId="2FBCE583">
            <w:pPr>
              <w:jc w:val="center"/>
              <w:rPr>
                <w:rFonts w:hint="eastAsia" w:ascii="仿宋" w:hAnsi="仿宋" w:eastAsia="仿宋" w:cs="仿宋"/>
                <w:b/>
                <w:bCs/>
                <w:color w:val="auto"/>
                <w:sz w:val="24"/>
                <w:szCs w:val="24"/>
              </w:rPr>
            </w:pPr>
          </w:p>
        </w:tc>
        <w:tc>
          <w:tcPr>
            <w:tcW w:w="1855" w:type="dxa"/>
            <w:noWrap w:val="0"/>
            <w:vAlign w:val="top"/>
          </w:tcPr>
          <w:p w14:paraId="7FAE6A2F">
            <w:pPr>
              <w:jc w:val="center"/>
              <w:rPr>
                <w:rFonts w:hint="eastAsia" w:ascii="仿宋" w:hAnsi="仿宋" w:eastAsia="仿宋" w:cs="仿宋"/>
                <w:b/>
                <w:bCs/>
                <w:color w:val="auto"/>
                <w:sz w:val="24"/>
                <w:szCs w:val="24"/>
              </w:rPr>
            </w:pPr>
          </w:p>
        </w:tc>
        <w:tc>
          <w:tcPr>
            <w:tcW w:w="1231" w:type="dxa"/>
            <w:noWrap w:val="0"/>
            <w:vAlign w:val="top"/>
          </w:tcPr>
          <w:p w14:paraId="3CD8893A">
            <w:pPr>
              <w:jc w:val="center"/>
              <w:rPr>
                <w:rFonts w:hint="eastAsia" w:ascii="仿宋" w:hAnsi="仿宋" w:eastAsia="仿宋" w:cs="仿宋"/>
                <w:b/>
                <w:bCs/>
                <w:color w:val="auto"/>
                <w:sz w:val="24"/>
                <w:szCs w:val="24"/>
              </w:rPr>
            </w:pPr>
          </w:p>
        </w:tc>
        <w:tc>
          <w:tcPr>
            <w:tcW w:w="2269" w:type="dxa"/>
            <w:noWrap w:val="0"/>
            <w:vAlign w:val="top"/>
          </w:tcPr>
          <w:p w14:paraId="1BB03295">
            <w:pPr>
              <w:jc w:val="center"/>
              <w:rPr>
                <w:rFonts w:hint="eastAsia" w:ascii="仿宋" w:hAnsi="仿宋" w:eastAsia="仿宋" w:cs="仿宋"/>
                <w:b/>
                <w:bCs/>
                <w:color w:val="auto"/>
                <w:sz w:val="24"/>
                <w:szCs w:val="24"/>
              </w:rPr>
            </w:pPr>
          </w:p>
        </w:tc>
        <w:tc>
          <w:tcPr>
            <w:tcW w:w="945" w:type="dxa"/>
            <w:noWrap w:val="0"/>
            <w:vAlign w:val="top"/>
          </w:tcPr>
          <w:p w14:paraId="4B850D3B">
            <w:pPr>
              <w:jc w:val="center"/>
              <w:rPr>
                <w:rFonts w:hint="eastAsia" w:ascii="仿宋" w:hAnsi="仿宋" w:eastAsia="仿宋" w:cs="仿宋"/>
                <w:b/>
                <w:bCs/>
                <w:color w:val="auto"/>
                <w:sz w:val="24"/>
                <w:szCs w:val="24"/>
              </w:rPr>
            </w:pPr>
          </w:p>
        </w:tc>
      </w:tr>
      <w:tr w14:paraId="283798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91" w:type="dxa"/>
            <w:noWrap w:val="0"/>
            <w:vAlign w:val="top"/>
          </w:tcPr>
          <w:p w14:paraId="3A145CED">
            <w:pPr>
              <w:jc w:val="center"/>
              <w:rPr>
                <w:rFonts w:hint="eastAsia" w:ascii="仿宋" w:hAnsi="仿宋" w:eastAsia="仿宋" w:cs="仿宋"/>
                <w:b/>
                <w:bCs/>
                <w:color w:val="auto"/>
                <w:sz w:val="24"/>
                <w:szCs w:val="24"/>
              </w:rPr>
            </w:pPr>
          </w:p>
        </w:tc>
        <w:tc>
          <w:tcPr>
            <w:tcW w:w="1237" w:type="dxa"/>
            <w:noWrap w:val="0"/>
            <w:vAlign w:val="top"/>
          </w:tcPr>
          <w:p w14:paraId="1E69FDCC">
            <w:pPr>
              <w:jc w:val="center"/>
              <w:rPr>
                <w:rFonts w:hint="eastAsia" w:ascii="仿宋" w:hAnsi="仿宋" w:eastAsia="仿宋" w:cs="仿宋"/>
                <w:b/>
                <w:bCs/>
                <w:color w:val="auto"/>
                <w:sz w:val="24"/>
                <w:szCs w:val="24"/>
              </w:rPr>
            </w:pPr>
          </w:p>
        </w:tc>
        <w:tc>
          <w:tcPr>
            <w:tcW w:w="1855" w:type="dxa"/>
            <w:noWrap w:val="0"/>
            <w:vAlign w:val="top"/>
          </w:tcPr>
          <w:p w14:paraId="329ED833">
            <w:pPr>
              <w:jc w:val="center"/>
              <w:rPr>
                <w:rFonts w:hint="eastAsia" w:ascii="仿宋" w:hAnsi="仿宋" w:eastAsia="仿宋" w:cs="仿宋"/>
                <w:b/>
                <w:bCs/>
                <w:color w:val="auto"/>
                <w:sz w:val="24"/>
                <w:szCs w:val="24"/>
              </w:rPr>
            </w:pPr>
          </w:p>
        </w:tc>
        <w:tc>
          <w:tcPr>
            <w:tcW w:w="1231" w:type="dxa"/>
            <w:noWrap w:val="0"/>
            <w:vAlign w:val="top"/>
          </w:tcPr>
          <w:p w14:paraId="5906F3FF">
            <w:pPr>
              <w:jc w:val="center"/>
              <w:rPr>
                <w:rFonts w:hint="eastAsia" w:ascii="仿宋" w:hAnsi="仿宋" w:eastAsia="仿宋" w:cs="仿宋"/>
                <w:b/>
                <w:bCs/>
                <w:color w:val="auto"/>
                <w:sz w:val="24"/>
                <w:szCs w:val="24"/>
              </w:rPr>
            </w:pPr>
          </w:p>
        </w:tc>
        <w:tc>
          <w:tcPr>
            <w:tcW w:w="2269" w:type="dxa"/>
            <w:noWrap w:val="0"/>
            <w:vAlign w:val="top"/>
          </w:tcPr>
          <w:p w14:paraId="2DB0CCD5">
            <w:pPr>
              <w:jc w:val="center"/>
              <w:rPr>
                <w:rFonts w:hint="eastAsia" w:ascii="仿宋" w:hAnsi="仿宋" w:eastAsia="仿宋" w:cs="仿宋"/>
                <w:b/>
                <w:bCs/>
                <w:color w:val="auto"/>
                <w:sz w:val="24"/>
                <w:szCs w:val="24"/>
              </w:rPr>
            </w:pPr>
          </w:p>
        </w:tc>
        <w:tc>
          <w:tcPr>
            <w:tcW w:w="945" w:type="dxa"/>
            <w:noWrap w:val="0"/>
            <w:vAlign w:val="top"/>
          </w:tcPr>
          <w:p w14:paraId="0F1268D1">
            <w:pPr>
              <w:jc w:val="center"/>
              <w:rPr>
                <w:rFonts w:hint="eastAsia" w:ascii="仿宋" w:hAnsi="仿宋" w:eastAsia="仿宋" w:cs="仿宋"/>
                <w:b/>
                <w:bCs/>
                <w:color w:val="auto"/>
                <w:sz w:val="24"/>
                <w:szCs w:val="24"/>
              </w:rPr>
            </w:pPr>
          </w:p>
        </w:tc>
      </w:tr>
      <w:tr w14:paraId="46EDA1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91" w:type="dxa"/>
            <w:noWrap w:val="0"/>
            <w:vAlign w:val="top"/>
          </w:tcPr>
          <w:p w14:paraId="16B952EB">
            <w:pPr>
              <w:jc w:val="center"/>
              <w:rPr>
                <w:rFonts w:hint="eastAsia" w:ascii="仿宋" w:hAnsi="仿宋" w:eastAsia="仿宋" w:cs="仿宋"/>
                <w:b/>
                <w:bCs/>
                <w:color w:val="auto"/>
                <w:sz w:val="24"/>
                <w:szCs w:val="24"/>
              </w:rPr>
            </w:pPr>
          </w:p>
        </w:tc>
        <w:tc>
          <w:tcPr>
            <w:tcW w:w="1237" w:type="dxa"/>
            <w:noWrap w:val="0"/>
            <w:vAlign w:val="top"/>
          </w:tcPr>
          <w:p w14:paraId="612BA5A9">
            <w:pPr>
              <w:jc w:val="center"/>
              <w:rPr>
                <w:rFonts w:hint="eastAsia" w:ascii="仿宋" w:hAnsi="仿宋" w:eastAsia="仿宋" w:cs="仿宋"/>
                <w:b/>
                <w:bCs/>
                <w:color w:val="auto"/>
                <w:sz w:val="24"/>
                <w:szCs w:val="24"/>
              </w:rPr>
            </w:pPr>
          </w:p>
        </w:tc>
        <w:tc>
          <w:tcPr>
            <w:tcW w:w="1855" w:type="dxa"/>
            <w:noWrap w:val="0"/>
            <w:vAlign w:val="top"/>
          </w:tcPr>
          <w:p w14:paraId="4B06A13A">
            <w:pPr>
              <w:jc w:val="center"/>
              <w:rPr>
                <w:rFonts w:hint="eastAsia" w:ascii="仿宋" w:hAnsi="仿宋" w:eastAsia="仿宋" w:cs="仿宋"/>
                <w:b/>
                <w:bCs/>
                <w:color w:val="auto"/>
                <w:sz w:val="24"/>
                <w:szCs w:val="24"/>
              </w:rPr>
            </w:pPr>
          </w:p>
        </w:tc>
        <w:tc>
          <w:tcPr>
            <w:tcW w:w="1231" w:type="dxa"/>
            <w:noWrap w:val="0"/>
            <w:vAlign w:val="top"/>
          </w:tcPr>
          <w:p w14:paraId="0E34721A">
            <w:pPr>
              <w:jc w:val="center"/>
              <w:rPr>
                <w:rFonts w:hint="eastAsia" w:ascii="仿宋" w:hAnsi="仿宋" w:eastAsia="仿宋" w:cs="仿宋"/>
                <w:b/>
                <w:bCs/>
                <w:color w:val="auto"/>
                <w:sz w:val="24"/>
                <w:szCs w:val="24"/>
              </w:rPr>
            </w:pPr>
          </w:p>
        </w:tc>
        <w:tc>
          <w:tcPr>
            <w:tcW w:w="2269" w:type="dxa"/>
            <w:noWrap w:val="0"/>
            <w:vAlign w:val="top"/>
          </w:tcPr>
          <w:p w14:paraId="7F05B285">
            <w:pPr>
              <w:jc w:val="center"/>
              <w:rPr>
                <w:rFonts w:hint="eastAsia" w:ascii="仿宋" w:hAnsi="仿宋" w:eastAsia="仿宋" w:cs="仿宋"/>
                <w:b/>
                <w:bCs/>
                <w:color w:val="auto"/>
                <w:sz w:val="24"/>
                <w:szCs w:val="24"/>
              </w:rPr>
            </w:pPr>
          </w:p>
        </w:tc>
        <w:tc>
          <w:tcPr>
            <w:tcW w:w="945" w:type="dxa"/>
            <w:noWrap w:val="0"/>
            <w:vAlign w:val="top"/>
          </w:tcPr>
          <w:p w14:paraId="22EF2954">
            <w:pPr>
              <w:jc w:val="center"/>
              <w:rPr>
                <w:rFonts w:hint="eastAsia" w:ascii="仿宋" w:hAnsi="仿宋" w:eastAsia="仿宋" w:cs="仿宋"/>
                <w:b/>
                <w:bCs/>
                <w:color w:val="auto"/>
                <w:sz w:val="24"/>
                <w:szCs w:val="24"/>
              </w:rPr>
            </w:pPr>
          </w:p>
        </w:tc>
      </w:tr>
    </w:tbl>
    <w:p w14:paraId="22C8F3EF">
      <w:pPr>
        <w:spacing w:line="360" w:lineRule="auto"/>
        <w:ind w:firstLine="475" w:firstLineChars="198"/>
        <w:jc w:val="left"/>
        <w:rPr>
          <w:rFonts w:hint="eastAsia" w:ascii="仿宋" w:hAnsi="仿宋" w:eastAsia="仿宋" w:cs="仿宋"/>
          <w:color w:val="auto"/>
          <w:sz w:val="24"/>
          <w:szCs w:val="24"/>
        </w:rPr>
      </w:pPr>
      <w:r>
        <w:rPr>
          <w:rFonts w:hint="eastAsia" w:ascii="仿宋" w:hAnsi="仿宋" w:eastAsia="仿宋" w:cs="仿宋"/>
          <w:color w:val="auto"/>
          <w:sz w:val="24"/>
          <w:szCs w:val="24"/>
        </w:rPr>
        <w:t>备注：投标人应根据其提供的货物，对照招标文件第四章“技术标准和要求”中的要求，有差异的，则在此表中列明实际响应的内容提要并加以说明，以便查对。本表包括所有的技术响应及差异。无差异说明表示完全响应。</w:t>
      </w:r>
    </w:p>
    <w:p w14:paraId="5B0DCCA1">
      <w:pPr>
        <w:pStyle w:val="10"/>
        <w:tabs>
          <w:tab w:val="left" w:pos="5580"/>
        </w:tabs>
        <w:spacing w:line="360" w:lineRule="auto"/>
        <w:ind w:firstLine="3120" w:firstLineChars="1300"/>
        <w:rPr>
          <w:rFonts w:hint="eastAsia" w:ascii="仿宋" w:hAnsi="仿宋" w:eastAsia="仿宋" w:cs="仿宋"/>
          <w:color w:val="auto"/>
          <w:sz w:val="24"/>
        </w:rPr>
      </w:pPr>
    </w:p>
    <w:p w14:paraId="6471BF50">
      <w:pPr>
        <w:pStyle w:val="10"/>
        <w:tabs>
          <w:tab w:val="left" w:pos="5580"/>
        </w:tabs>
        <w:spacing w:line="360" w:lineRule="auto"/>
        <w:ind w:firstLine="3120" w:firstLineChars="1300"/>
        <w:rPr>
          <w:rFonts w:hint="eastAsia" w:ascii="仿宋" w:hAnsi="仿宋" w:eastAsia="仿宋" w:cs="仿宋"/>
          <w:color w:val="auto"/>
          <w:sz w:val="24"/>
        </w:rPr>
      </w:pPr>
      <w:r>
        <w:rPr>
          <w:rFonts w:hint="eastAsia" w:ascii="仿宋" w:hAnsi="仿宋" w:eastAsia="仿宋" w:cs="仿宋"/>
          <w:color w:val="auto"/>
          <w:sz w:val="24"/>
        </w:rPr>
        <w:t>投标人（盖章）：</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14:paraId="2CF78623">
      <w:pPr>
        <w:pStyle w:val="10"/>
        <w:tabs>
          <w:tab w:val="left" w:pos="5580"/>
        </w:tabs>
        <w:spacing w:line="360" w:lineRule="auto"/>
        <w:ind w:firstLine="3120" w:firstLineChars="1300"/>
        <w:rPr>
          <w:rFonts w:hint="eastAsia" w:ascii="仿宋" w:hAnsi="仿宋" w:eastAsia="仿宋" w:cs="仿宋"/>
          <w:color w:val="auto"/>
          <w:kern w:val="0"/>
          <w:sz w:val="24"/>
          <w:szCs w:val="24"/>
          <w:u w:val="single"/>
          <w:lang w:val="en-US" w:eastAsia="zh-CN"/>
        </w:rPr>
      </w:pPr>
      <w:r>
        <w:rPr>
          <w:rFonts w:hint="eastAsia" w:ascii="仿宋" w:hAnsi="仿宋" w:eastAsia="仿宋" w:cs="仿宋"/>
          <w:color w:val="auto"/>
          <w:sz w:val="24"/>
          <w:lang w:eastAsia="zh-CN"/>
        </w:rPr>
        <w:t>法定代表人或</w:t>
      </w:r>
      <w:r>
        <w:rPr>
          <w:rFonts w:hint="eastAsia" w:ascii="仿宋" w:hAnsi="仿宋" w:eastAsia="仿宋" w:cs="仿宋"/>
          <w:color w:val="auto"/>
          <w:kern w:val="0"/>
          <w:sz w:val="24"/>
          <w:szCs w:val="24"/>
        </w:rPr>
        <w:t>委托代理人</w:t>
      </w:r>
      <w:r>
        <w:rPr>
          <w:rFonts w:hint="eastAsia" w:ascii="仿宋" w:hAnsi="仿宋" w:eastAsia="仿宋" w:cs="仿宋"/>
          <w:color w:val="auto"/>
          <w:sz w:val="24"/>
          <w:lang w:eastAsia="zh-CN"/>
        </w:rPr>
        <w:t>（签章）</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u w:val="single"/>
          <w:lang w:val="en-US" w:eastAsia="zh-CN"/>
        </w:rPr>
        <w:t xml:space="preserve">             </w:t>
      </w:r>
    </w:p>
    <w:p w14:paraId="27ED0727">
      <w:pPr>
        <w:keepNext w:val="0"/>
        <w:keepLines w:val="0"/>
        <w:pageBreakBefore w:val="0"/>
        <w:widowControl w:val="0"/>
        <w:kinsoku/>
        <w:wordWrap/>
        <w:overflowPunct/>
        <w:topLinePunct w:val="0"/>
        <w:autoSpaceDE/>
        <w:autoSpaceDN/>
        <w:bidi w:val="0"/>
        <w:adjustRightInd/>
        <w:snapToGrid/>
        <w:spacing w:line="360" w:lineRule="auto"/>
        <w:ind w:firstLine="3120" w:firstLineChars="1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日期：       年   月   日</w:t>
      </w:r>
    </w:p>
    <w:p w14:paraId="1C7C7416">
      <w:pPr>
        <w:pStyle w:val="4"/>
        <w:rPr>
          <w:rFonts w:hint="eastAsia" w:ascii="仿宋" w:hAnsi="仿宋" w:eastAsia="仿宋" w:cs="仿宋"/>
          <w:b/>
          <w:bCs/>
          <w:color w:val="auto"/>
          <w:sz w:val="36"/>
          <w:szCs w:val="36"/>
        </w:rPr>
      </w:pPr>
    </w:p>
    <w:p w14:paraId="742570CF">
      <w:pPr>
        <w:rPr>
          <w:rFonts w:hint="eastAsia" w:ascii="仿宋" w:hAnsi="仿宋" w:eastAsia="仿宋" w:cs="仿宋"/>
          <w:color w:val="auto"/>
        </w:rPr>
      </w:pPr>
    </w:p>
    <w:p w14:paraId="33913F08">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7BDA0AB8">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3B03A248">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5C013B56">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209D830B">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77541D44">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02EB0DEE">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14:paraId="29A70E2D">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b/>
          <w:bCs/>
          <w:color w:val="auto"/>
          <w:spacing w:val="0"/>
          <w:w w:val="100"/>
          <w:position w:val="0"/>
          <w:sz w:val="36"/>
          <w:szCs w:val="36"/>
          <w:lang w:val="en-US" w:eastAsia="zh-CN"/>
        </w:rPr>
      </w:pPr>
    </w:p>
    <w:p w14:paraId="5667DEBF">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b/>
          <w:bCs/>
          <w:color w:val="auto"/>
          <w:spacing w:val="0"/>
          <w:w w:val="100"/>
          <w:position w:val="0"/>
          <w:sz w:val="36"/>
          <w:szCs w:val="36"/>
          <w:lang w:eastAsia="zh-CN"/>
        </w:rPr>
      </w:pPr>
      <w:r>
        <w:rPr>
          <w:rFonts w:hint="eastAsia" w:ascii="仿宋" w:hAnsi="仿宋" w:eastAsia="仿宋" w:cs="仿宋"/>
          <w:b/>
          <w:bCs/>
          <w:color w:val="auto"/>
          <w:spacing w:val="0"/>
          <w:w w:val="100"/>
          <w:position w:val="0"/>
          <w:sz w:val="36"/>
          <w:szCs w:val="36"/>
          <w:lang w:val="en-US" w:eastAsia="zh-CN"/>
        </w:rPr>
        <w:t>6</w:t>
      </w:r>
      <w:r>
        <w:rPr>
          <w:rFonts w:hint="eastAsia" w:ascii="仿宋" w:hAnsi="仿宋" w:eastAsia="仿宋" w:cs="仿宋"/>
          <w:b/>
          <w:bCs/>
          <w:color w:val="auto"/>
          <w:spacing w:val="0"/>
          <w:w w:val="100"/>
          <w:position w:val="0"/>
          <w:sz w:val="36"/>
          <w:szCs w:val="36"/>
        </w:rPr>
        <w:t>、</w:t>
      </w:r>
      <w:r>
        <w:rPr>
          <w:rFonts w:hint="eastAsia" w:ascii="仿宋" w:hAnsi="仿宋" w:eastAsia="仿宋" w:cs="仿宋"/>
          <w:b/>
          <w:bCs/>
          <w:color w:val="auto"/>
          <w:spacing w:val="0"/>
          <w:w w:val="100"/>
          <w:position w:val="0"/>
          <w:sz w:val="36"/>
          <w:szCs w:val="36"/>
          <w:lang w:eastAsia="zh-CN"/>
        </w:rPr>
        <w:t>商务条款偏离表</w:t>
      </w:r>
    </w:p>
    <w:tbl>
      <w:tblPr>
        <w:tblStyle w:val="19"/>
        <w:tblW w:w="7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2949"/>
        <w:gridCol w:w="2454"/>
        <w:gridCol w:w="1484"/>
      </w:tblGrid>
      <w:tr w14:paraId="566CE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33D4160C">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序号</w:t>
            </w:r>
          </w:p>
        </w:tc>
        <w:tc>
          <w:tcPr>
            <w:tcW w:w="2949" w:type="dxa"/>
            <w:noWrap w:val="0"/>
            <w:vAlign w:val="top"/>
          </w:tcPr>
          <w:p w14:paraId="7387445F">
            <w:pPr>
              <w:pStyle w:val="10"/>
              <w:shd w:val="clear" w:color="auto" w:fill="auto"/>
              <w:spacing w:line="240" w:lineRule="atLeast"/>
              <w:ind w:left="0" w:leftChars="0" w:right="0" w:rightChars="0" w:firstLine="0" w:firstLineChars="0"/>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lang w:val="en-US" w:eastAsia="zh-CN"/>
              </w:rPr>
              <w:t>招标文件的商务条款</w:t>
            </w:r>
          </w:p>
        </w:tc>
        <w:tc>
          <w:tcPr>
            <w:tcW w:w="2454" w:type="dxa"/>
            <w:noWrap w:val="0"/>
            <w:vAlign w:val="top"/>
          </w:tcPr>
          <w:p w14:paraId="7A11112C">
            <w:pPr>
              <w:pStyle w:val="10"/>
              <w:shd w:val="clear" w:color="auto" w:fill="auto"/>
              <w:spacing w:line="240" w:lineRule="atLeast"/>
              <w:ind w:left="0" w:leftChars="0" w:right="0" w:rightChars="0" w:firstLine="0" w:firstLineChars="0"/>
              <w:jc w:val="center"/>
              <w:rPr>
                <w:rFonts w:hint="eastAsia" w:ascii="仿宋" w:hAnsi="仿宋" w:eastAsia="仿宋" w:cs="仿宋"/>
                <w:color w:val="auto"/>
                <w:spacing w:val="-1"/>
                <w:kern w:val="0"/>
                <w:sz w:val="24"/>
              </w:rPr>
            </w:pPr>
            <w:r>
              <w:rPr>
                <w:rFonts w:hint="eastAsia" w:ascii="仿宋" w:hAnsi="仿宋" w:eastAsia="仿宋" w:cs="仿宋"/>
                <w:color w:val="auto"/>
                <w:sz w:val="24"/>
                <w:highlight w:val="none"/>
                <w:lang w:val="en-US" w:eastAsia="zh-CN"/>
              </w:rPr>
              <w:t>投标文件的商务条款</w:t>
            </w:r>
          </w:p>
        </w:tc>
        <w:tc>
          <w:tcPr>
            <w:tcW w:w="1484" w:type="dxa"/>
            <w:noWrap w:val="0"/>
            <w:vAlign w:val="top"/>
          </w:tcPr>
          <w:p w14:paraId="505C12AC">
            <w:pPr>
              <w:pStyle w:val="10"/>
              <w:shd w:val="clear" w:color="auto" w:fill="auto"/>
              <w:spacing w:line="240" w:lineRule="atLeast"/>
              <w:ind w:left="0" w:leftChars="0" w:right="0" w:rightChars="0" w:firstLine="0" w:firstLineChars="0"/>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lang w:val="en-US" w:eastAsia="zh-CN"/>
              </w:rPr>
              <w:t>是否偏离</w:t>
            </w:r>
          </w:p>
        </w:tc>
      </w:tr>
      <w:tr w14:paraId="1C10C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023DFCA4">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w:t>
            </w:r>
          </w:p>
        </w:tc>
        <w:tc>
          <w:tcPr>
            <w:tcW w:w="2949" w:type="dxa"/>
            <w:noWrap w:val="0"/>
            <w:vAlign w:val="center"/>
          </w:tcPr>
          <w:p w14:paraId="57B8A71B">
            <w:pPr>
              <w:rPr>
                <w:rFonts w:hint="eastAsia" w:ascii="仿宋" w:hAnsi="仿宋" w:eastAsia="仿宋" w:cs="仿宋"/>
                <w:color w:val="auto"/>
                <w:spacing w:val="-1"/>
                <w:kern w:val="0"/>
                <w:sz w:val="24"/>
              </w:rPr>
            </w:pPr>
          </w:p>
        </w:tc>
        <w:tc>
          <w:tcPr>
            <w:tcW w:w="2454" w:type="dxa"/>
            <w:noWrap w:val="0"/>
            <w:vAlign w:val="center"/>
          </w:tcPr>
          <w:p w14:paraId="0ED1082E">
            <w:pPr>
              <w:rPr>
                <w:rFonts w:hint="eastAsia" w:ascii="仿宋" w:hAnsi="仿宋" w:eastAsia="仿宋" w:cs="仿宋"/>
                <w:color w:val="auto"/>
                <w:spacing w:val="-1"/>
                <w:kern w:val="0"/>
                <w:sz w:val="24"/>
              </w:rPr>
            </w:pPr>
          </w:p>
        </w:tc>
        <w:tc>
          <w:tcPr>
            <w:tcW w:w="1484" w:type="dxa"/>
            <w:noWrap w:val="0"/>
            <w:vAlign w:val="center"/>
          </w:tcPr>
          <w:p w14:paraId="7FC2546A">
            <w:pPr>
              <w:rPr>
                <w:rFonts w:hint="eastAsia" w:ascii="仿宋" w:hAnsi="仿宋" w:eastAsia="仿宋" w:cs="仿宋"/>
                <w:color w:val="auto"/>
                <w:spacing w:val="-1"/>
                <w:kern w:val="0"/>
                <w:sz w:val="24"/>
              </w:rPr>
            </w:pPr>
          </w:p>
        </w:tc>
      </w:tr>
      <w:tr w14:paraId="5FDF1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53B28B95">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2</w:t>
            </w:r>
          </w:p>
        </w:tc>
        <w:tc>
          <w:tcPr>
            <w:tcW w:w="2949" w:type="dxa"/>
            <w:noWrap w:val="0"/>
            <w:vAlign w:val="center"/>
          </w:tcPr>
          <w:p w14:paraId="596025B2">
            <w:pPr>
              <w:rPr>
                <w:rFonts w:hint="eastAsia" w:ascii="仿宋" w:hAnsi="仿宋" w:eastAsia="仿宋" w:cs="仿宋"/>
                <w:color w:val="auto"/>
                <w:spacing w:val="-1"/>
                <w:kern w:val="0"/>
                <w:sz w:val="24"/>
              </w:rPr>
            </w:pPr>
          </w:p>
        </w:tc>
        <w:tc>
          <w:tcPr>
            <w:tcW w:w="2454" w:type="dxa"/>
            <w:noWrap w:val="0"/>
            <w:vAlign w:val="center"/>
          </w:tcPr>
          <w:p w14:paraId="107BFE4F">
            <w:pPr>
              <w:rPr>
                <w:rFonts w:hint="eastAsia" w:ascii="仿宋" w:hAnsi="仿宋" w:eastAsia="仿宋" w:cs="仿宋"/>
                <w:color w:val="auto"/>
                <w:spacing w:val="-1"/>
                <w:kern w:val="0"/>
                <w:sz w:val="24"/>
              </w:rPr>
            </w:pPr>
          </w:p>
        </w:tc>
        <w:tc>
          <w:tcPr>
            <w:tcW w:w="1484" w:type="dxa"/>
            <w:noWrap w:val="0"/>
            <w:vAlign w:val="center"/>
          </w:tcPr>
          <w:p w14:paraId="166F0FFF">
            <w:pPr>
              <w:rPr>
                <w:rFonts w:hint="eastAsia" w:ascii="仿宋" w:hAnsi="仿宋" w:eastAsia="仿宋" w:cs="仿宋"/>
                <w:color w:val="auto"/>
                <w:spacing w:val="-1"/>
                <w:kern w:val="0"/>
                <w:sz w:val="24"/>
              </w:rPr>
            </w:pPr>
          </w:p>
        </w:tc>
      </w:tr>
      <w:tr w14:paraId="0DDE1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21AF6F49">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3</w:t>
            </w:r>
          </w:p>
        </w:tc>
        <w:tc>
          <w:tcPr>
            <w:tcW w:w="2949" w:type="dxa"/>
            <w:noWrap w:val="0"/>
            <w:vAlign w:val="center"/>
          </w:tcPr>
          <w:p w14:paraId="1E1D6348">
            <w:pPr>
              <w:rPr>
                <w:rFonts w:hint="eastAsia" w:ascii="仿宋" w:hAnsi="仿宋" w:eastAsia="仿宋" w:cs="仿宋"/>
                <w:color w:val="auto"/>
                <w:spacing w:val="-1"/>
                <w:kern w:val="0"/>
                <w:sz w:val="24"/>
              </w:rPr>
            </w:pPr>
          </w:p>
        </w:tc>
        <w:tc>
          <w:tcPr>
            <w:tcW w:w="2454" w:type="dxa"/>
            <w:noWrap w:val="0"/>
            <w:vAlign w:val="center"/>
          </w:tcPr>
          <w:p w14:paraId="180F6AB2">
            <w:pPr>
              <w:rPr>
                <w:rFonts w:hint="eastAsia" w:ascii="仿宋" w:hAnsi="仿宋" w:eastAsia="仿宋" w:cs="仿宋"/>
                <w:color w:val="auto"/>
                <w:spacing w:val="-1"/>
                <w:kern w:val="0"/>
                <w:sz w:val="24"/>
              </w:rPr>
            </w:pPr>
          </w:p>
        </w:tc>
        <w:tc>
          <w:tcPr>
            <w:tcW w:w="1484" w:type="dxa"/>
            <w:noWrap w:val="0"/>
            <w:vAlign w:val="center"/>
          </w:tcPr>
          <w:p w14:paraId="37F06315">
            <w:pPr>
              <w:rPr>
                <w:rFonts w:hint="eastAsia" w:ascii="仿宋" w:hAnsi="仿宋" w:eastAsia="仿宋" w:cs="仿宋"/>
                <w:color w:val="auto"/>
                <w:spacing w:val="-1"/>
                <w:kern w:val="0"/>
                <w:sz w:val="24"/>
              </w:rPr>
            </w:pPr>
          </w:p>
        </w:tc>
      </w:tr>
      <w:tr w14:paraId="73483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26FA650A">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4</w:t>
            </w:r>
          </w:p>
        </w:tc>
        <w:tc>
          <w:tcPr>
            <w:tcW w:w="2949" w:type="dxa"/>
            <w:noWrap w:val="0"/>
            <w:vAlign w:val="center"/>
          </w:tcPr>
          <w:p w14:paraId="72E25AF6">
            <w:pPr>
              <w:rPr>
                <w:rFonts w:hint="eastAsia" w:ascii="仿宋" w:hAnsi="仿宋" w:eastAsia="仿宋" w:cs="仿宋"/>
                <w:color w:val="auto"/>
                <w:spacing w:val="-1"/>
                <w:kern w:val="0"/>
                <w:sz w:val="24"/>
              </w:rPr>
            </w:pPr>
          </w:p>
        </w:tc>
        <w:tc>
          <w:tcPr>
            <w:tcW w:w="2454" w:type="dxa"/>
            <w:noWrap w:val="0"/>
            <w:vAlign w:val="center"/>
          </w:tcPr>
          <w:p w14:paraId="1D4C60A0">
            <w:pPr>
              <w:rPr>
                <w:rFonts w:hint="eastAsia" w:ascii="仿宋" w:hAnsi="仿宋" w:eastAsia="仿宋" w:cs="仿宋"/>
                <w:color w:val="auto"/>
                <w:spacing w:val="-1"/>
                <w:kern w:val="0"/>
                <w:sz w:val="24"/>
              </w:rPr>
            </w:pPr>
          </w:p>
        </w:tc>
        <w:tc>
          <w:tcPr>
            <w:tcW w:w="1484" w:type="dxa"/>
            <w:noWrap w:val="0"/>
            <w:vAlign w:val="center"/>
          </w:tcPr>
          <w:p w14:paraId="768B965A">
            <w:pPr>
              <w:rPr>
                <w:rFonts w:hint="eastAsia" w:ascii="仿宋" w:hAnsi="仿宋" w:eastAsia="仿宋" w:cs="仿宋"/>
                <w:color w:val="auto"/>
                <w:spacing w:val="-1"/>
                <w:kern w:val="0"/>
                <w:sz w:val="24"/>
              </w:rPr>
            </w:pPr>
          </w:p>
        </w:tc>
      </w:tr>
      <w:tr w14:paraId="2ADBA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462ADCB0">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5</w:t>
            </w:r>
          </w:p>
        </w:tc>
        <w:tc>
          <w:tcPr>
            <w:tcW w:w="2949" w:type="dxa"/>
            <w:noWrap w:val="0"/>
            <w:vAlign w:val="center"/>
          </w:tcPr>
          <w:p w14:paraId="19108F41">
            <w:pPr>
              <w:rPr>
                <w:rFonts w:hint="eastAsia" w:ascii="仿宋" w:hAnsi="仿宋" w:eastAsia="仿宋" w:cs="仿宋"/>
                <w:color w:val="auto"/>
                <w:spacing w:val="-1"/>
                <w:kern w:val="0"/>
                <w:sz w:val="24"/>
              </w:rPr>
            </w:pPr>
          </w:p>
        </w:tc>
        <w:tc>
          <w:tcPr>
            <w:tcW w:w="2454" w:type="dxa"/>
            <w:noWrap w:val="0"/>
            <w:vAlign w:val="center"/>
          </w:tcPr>
          <w:p w14:paraId="0C15C5FC">
            <w:pPr>
              <w:rPr>
                <w:rFonts w:hint="eastAsia" w:ascii="仿宋" w:hAnsi="仿宋" w:eastAsia="仿宋" w:cs="仿宋"/>
                <w:color w:val="auto"/>
                <w:spacing w:val="-1"/>
                <w:kern w:val="0"/>
                <w:sz w:val="24"/>
              </w:rPr>
            </w:pPr>
          </w:p>
        </w:tc>
        <w:tc>
          <w:tcPr>
            <w:tcW w:w="1484" w:type="dxa"/>
            <w:noWrap w:val="0"/>
            <w:vAlign w:val="center"/>
          </w:tcPr>
          <w:p w14:paraId="1C6BE8E3">
            <w:pPr>
              <w:rPr>
                <w:rFonts w:hint="eastAsia" w:ascii="仿宋" w:hAnsi="仿宋" w:eastAsia="仿宋" w:cs="仿宋"/>
                <w:color w:val="auto"/>
                <w:spacing w:val="-1"/>
                <w:kern w:val="0"/>
                <w:sz w:val="24"/>
              </w:rPr>
            </w:pPr>
          </w:p>
        </w:tc>
      </w:tr>
      <w:tr w14:paraId="56D8F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4D00CB4A">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6</w:t>
            </w:r>
          </w:p>
        </w:tc>
        <w:tc>
          <w:tcPr>
            <w:tcW w:w="2949" w:type="dxa"/>
            <w:noWrap w:val="0"/>
            <w:vAlign w:val="center"/>
          </w:tcPr>
          <w:p w14:paraId="6F42EEF0">
            <w:pPr>
              <w:rPr>
                <w:rFonts w:hint="eastAsia" w:ascii="仿宋" w:hAnsi="仿宋" w:eastAsia="仿宋" w:cs="仿宋"/>
                <w:color w:val="auto"/>
                <w:spacing w:val="-1"/>
                <w:kern w:val="0"/>
                <w:sz w:val="24"/>
              </w:rPr>
            </w:pPr>
          </w:p>
        </w:tc>
        <w:tc>
          <w:tcPr>
            <w:tcW w:w="2454" w:type="dxa"/>
            <w:noWrap w:val="0"/>
            <w:vAlign w:val="center"/>
          </w:tcPr>
          <w:p w14:paraId="2188E4EB">
            <w:pPr>
              <w:rPr>
                <w:rFonts w:hint="eastAsia" w:ascii="仿宋" w:hAnsi="仿宋" w:eastAsia="仿宋" w:cs="仿宋"/>
                <w:color w:val="auto"/>
                <w:spacing w:val="-1"/>
                <w:kern w:val="0"/>
                <w:sz w:val="24"/>
              </w:rPr>
            </w:pPr>
          </w:p>
        </w:tc>
        <w:tc>
          <w:tcPr>
            <w:tcW w:w="1484" w:type="dxa"/>
            <w:noWrap w:val="0"/>
            <w:vAlign w:val="center"/>
          </w:tcPr>
          <w:p w14:paraId="7D4773C6">
            <w:pPr>
              <w:rPr>
                <w:rFonts w:hint="eastAsia" w:ascii="仿宋" w:hAnsi="仿宋" w:eastAsia="仿宋" w:cs="仿宋"/>
                <w:color w:val="auto"/>
                <w:spacing w:val="-1"/>
                <w:kern w:val="0"/>
                <w:sz w:val="24"/>
              </w:rPr>
            </w:pPr>
          </w:p>
        </w:tc>
      </w:tr>
      <w:tr w14:paraId="0466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22906DBE">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7</w:t>
            </w:r>
          </w:p>
        </w:tc>
        <w:tc>
          <w:tcPr>
            <w:tcW w:w="2949" w:type="dxa"/>
            <w:noWrap w:val="0"/>
            <w:vAlign w:val="center"/>
          </w:tcPr>
          <w:p w14:paraId="102BE050">
            <w:pPr>
              <w:rPr>
                <w:rFonts w:hint="eastAsia" w:ascii="仿宋" w:hAnsi="仿宋" w:eastAsia="仿宋" w:cs="仿宋"/>
                <w:color w:val="auto"/>
                <w:spacing w:val="-1"/>
                <w:kern w:val="0"/>
                <w:sz w:val="24"/>
              </w:rPr>
            </w:pPr>
          </w:p>
        </w:tc>
        <w:tc>
          <w:tcPr>
            <w:tcW w:w="2454" w:type="dxa"/>
            <w:noWrap w:val="0"/>
            <w:vAlign w:val="center"/>
          </w:tcPr>
          <w:p w14:paraId="1A1B745D">
            <w:pPr>
              <w:rPr>
                <w:rFonts w:hint="eastAsia" w:ascii="仿宋" w:hAnsi="仿宋" w:eastAsia="仿宋" w:cs="仿宋"/>
                <w:color w:val="auto"/>
                <w:spacing w:val="-1"/>
                <w:kern w:val="0"/>
                <w:sz w:val="24"/>
              </w:rPr>
            </w:pPr>
          </w:p>
        </w:tc>
        <w:tc>
          <w:tcPr>
            <w:tcW w:w="1484" w:type="dxa"/>
            <w:noWrap w:val="0"/>
            <w:vAlign w:val="center"/>
          </w:tcPr>
          <w:p w14:paraId="3CAF34B6">
            <w:pPr>
              <w:rPr>
                <w:rFonts w:hint="eastAsia" w:ascii="仿宋" w:hAnsi="仿宋" w:eastAsia="仿宋" w:cs="仿宋"/>
                <w:color w:val="auto"/>
                <w:spacing w:val="-1"/>
                <w:kern w:val="0"/>
                <w:sz w:val="24"/>
              </w:rPr>
            </w:pPr>
          </w:p>
        </w:tc>
      </w:tr>
      <w:tr w14:paraId="6972D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36BFF606">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8</w:t>
            </w:r>
          </w:p>
        </w:tc>
        <w:tc>
          <w:tcPr>
            <w:tcW w:w="2949" w:type="dxa"/>
            <w:noWrap w:val="0"/>
            <w:vAlign w:val="center"/>
          </w:tcPr>
          <w:p w14:paraId="2B653F4C">
            <w:pPr>
              <w:rPr>
                <w:rFonts w:hint="eastAsia" w:ascii="仿宋" w:hAnsi="仿宋" w:eastAsia="仿宋" w:cs="仿宋"/>
                <w:color w:val="auto"/>
                <w:spacing w:val="-1"/>
                <w:kern w:val="0"/>
                <w:sz w:val="24"/>
              </w:rPr>
            </w:pPr>
          </w:p>
        </w:tc>
        <w:tc>
          <w:tcPr>
            <w:tcW w:w="2454" w:type="dxa"/>
            <w:noWrap w:val="0"/>
            <w:vAlign w:val="center"/>
          </w:tcPr>
          <w:p w14:paraId="6F87C3EE">
            <w:pPr>
              <w:rPr>
                <w:rFonts w:hint="eastAsia" w:ascii="仿宋" w:hAnsi="仿宋" w:eastAsia="仿宋" w:cs="仿宋"/>
                <w:color w:val="auto"/>
                <w:spacing w:val="-1"/>
                <w:kern w:val="0"/>
                <w:sz w:val="24"/>
              </w:rPr>
            </w:pPr>
          </w:p>
        </w:tc>
        <w:tc>
          <w:tcPr>
            <w:tcW w:w="1484" w:type="dxa"/>
            <w:noWrap w:val="0"/>
            <w:vAlign w:val="center"/>
          </w:tcPr>
          <w:p w14:paraId="69CBA1A4">
            <w:pPr>
              <w:rPr>
                <w:rFonts w:hint="eastAsia" w:ascii="仿宋" w:hAnsi="仿宋" w:eastAsia="仿宋" w:cs="仿宋"/>
                <w:color w:val="auto"/>
                <w:spacing w:val="-1"/>
                <w:kern w:val="0"/>
                <w:sz w:val="24"/>
              </w:rPr>
            </w:pPr>
          </w:p>
        </w:tc>
      </w:tr>
      <w:tr w14:paraId="3F574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47CB8E39">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9</w:t>
            </w:r>
          </w:p>
        </w:tc>
        <w:tc>
          <w:tcPr>
            <w:tcW w:w="2949" w:type="dxa"/>
            <w:noWrap w:val="0"/>
            <w:vAlign w:val="center"/>
          </w:tcPr>
          <w:p w14:paraId="16D6C801">
            <w:pPr>
              <w:rPr>
                <w:rFonts w:hint="eastAsia" w:ascii="仿宋" w:hAnsi="仿宋" w:eastAsia="仿宋" w:cs="仿宋"/>
                <w:color w:val="auto"/>
                <w:spacing w:val="-1"/>
                <w:kern w:val="0"/>
                <w:sz w:val="24"/>
              </w:rPr>
            </w:pPr>
          </w:p>
        </w:tc>
        <w:tc>
          <w:tcPr>
            <w:tcW w:w="2454" w:type="dxa"/>
            <w:noWrap w:val="0"/>
            <w:vAlign w:val="center"/>
          </w:tcPr>
          <w:p w14:paraId="087A6B19">
            <w:pPr>
              <w:rPr>
                <w:rFonts w:hint="eastAsia" w:ascii="仿宋" w:hAnsi="仿宋" w:eastAsia="仿宋" w:cs="仿宋"/>
                <w:color w:val="auto"/>
                <w:spacing w:val="-1"/>
                <w:kern w:val="0"/>
                <w:sz w:val="24"/>
              </w:rPr>
            </w:pPr>
          </w:p>
        </w:tc>
        <w:tc>
          <w:tcPr>
            <w:tcW w:w="1484" w:type="dxa"/>
            <w:noWrap w:val="0"/>
            <w:vAlign w:val="center"/>
          </w:tcPr>
          <w:p w14:paraId="53BED9D5">
            <w:pPr>
              <w:rPr>
                <w:rFonts w:hint="eastAsia" w:ascii="仿宋" w:hAnsi="仿宋" w:eastAsia="仿宋" w:cs="仿宋"/>
                <w:color w:val="auto"/>
                <w:spacing w:val="-1"/>
                <w:kern w:val="0"/>
                <w:sz w:val="24"/>
              </w:rPr>
            </w:pPr>
          </w:p>
        </w:tc>
      </w:tr>
      <w:tr w14:paraId="0A964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6B8F7FAE">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10</w:t>
            </w:r>
          </w:p>
        </w:tc>
        <w:tc>
          <w:tcPr>
            <w:tcW w:w="2949" w:type="dxa"/>
            <w:noWrap w:val="0"/>
            <w:vAlign w:val="center"/>
          </w:tcPr>
          <w:p w14:paraId="0A050706">
            <w:pPr>
              <w:rPr>
                <w:rFonts w:hint="eastAsia" w:ascii="仿宋" w:hAnsi="仿宋" w:eastAsia="仿宋" w:cs="仿宋"/>
                <w:color w:val="auto"/>
                <w:spacing w:val="-1"/>
                <w:kern w:val="0"/>
                <w:sz w:val="24"/>
              </w:rPr>
            </w:pPr>
          </w:p>
        </w:tc>
        <w:tc>
          <w:tcPr>
            <w:tcW w:w="2454" w:type="dxa"/>
            <w:noWrap w:val="0"/>
            <w:vAlign w:val="center"/>
          </w:tcPr>
          <w:p w14:paraId="06B82620">
            <w:pPr>
              <w:rPr>
                <w:rFonts w:hint="eastAsia" w:ascii="仿宋" w:hAnsi="仿宋" w:eastAsia="仿宋" w:cs="仿宋"/>
                <w:color w:val="auto"/>
                <w:spacing w:val="-1"/>
                <w:kern w:val="0"/>
                <w:sz w:val="24"/>
              </w:rPr>
            </w:pPr>
          </w:p>
        </w:tc>
        <w:tc>
          <w:tcPr>
            <w:tcW w:w="1484" w:type="dxa"/>
            <w:noWrap w:val="0"/>
            <w:vAlign w:val="center"/>
          </w:tcPr>
          <w:p w14:paraId="26C26B99">
            <w:pPr>
              <w:rPr>
                <w:rFonts w:hint="eastAsia" w:ascii="仿宋" w:hAnsi="仿宋" w:eastAsia="仿宋" w:cs="仿宋"/>
                <w:color w:val="auto"/>
                <w:spacing w:val="-1"/>
                <w:kern w:val="0"/>
                <w:sz w:val="24"/>
              </w:rPr>
            </w:pPr>
          </w:p>
        </w:tc>
      </w:tr>
      <w:tr w14:paraId="5952A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10D31BB1">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11</w:t>
            </w:r>
          </w:p>
        </w:tc>
        <w:tc>
          <w:tcPr>
            <w:tcW w:w="2949" w:type="dxa"/>
            <w:noWrap w:val="0"/>
            <w:vAlign w:val="center"/>
          </w:tcPr>
          <w:p w14:paraId="1856F830">
            <w:pPr>
              <w:rPr>
                <w:rFonts w:hint="eastAsia" w:ascii="仿宋" w:hAnsi="仿宋" w:eastAsia="仿宋" w:cs="仿宋"/>
                <w:color w:val="auto"/>
                <w:spacing w:val="-1"/>
                <w:kern w:val="0"/>
                <w:sz w:val="24"/>
              </w:rPr>
            </w:pPr>
          </w:p>
        </w:tc>
        <w:tc>
          <w:tcPr>
            <w:tcW w:w="2454" w:type="dxa"/>
            <w:noWrap w:val="0"/>
            <w:vAlign w:val="center"/>
          </w:tcPr>
          <w:p w14:paraId="40B0B599">
            <w:pPr>
              <w:rPr>
                <w:rFonts w:hint="eastAsia" w:ascii="仿宋" w:hAnsi="仿宋" w:eastAsia="仿宋" w:cs="仿宋"/>
                <w:color w:val="auto"/>
                <w:spacing w:val="-1"/>
                <w:kern w:val="0"/>
                <w:sz w:val="24"/>
              </w:rPr>
            </w:pPr>
          </w:p>
        </w:tc>
        <w:tc>
          <w:tcPr>
            <w:tcW w:w="1484" w:type="dxa"/>
            <w:noWrap w:val="0"/>
            <w:vAlign w:val="center"/>
          </w:tcPr>
          <w:p w14:paraId="06A1B208">
            <w:pPr>
              <w:rPr>
                <w:rFonts w:hint="eastAsia" w:ascii="仿宋" w:hAnsi="仿宋" w:eastAsia="仿宋" w:cs="仿宋"/>
                <w:color w:val="auto"/>
                <w:spacing w:val="-1"/>
                <w:kern w:val="0"/>
                <w:sz w:val="24"/>
              </w:rPr>
            </w:pPr>
          </w:p>
        </w:tc>
      </w:tr>
      <w:tr w14:paraId="15A87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49A0657E">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12</w:t>
            </w:r>
          </w:p>
        </w:tc>
        <w:tc>
          <w:tcPr>
            <w:tcW w:w="2949" w:type="dxa"/>
            <w:noWrap w:val="0"/>
            <w:vAlign w:val="center"/>
          </w:tcPr>
          <w:p w14:paraId="79DF7B73">
            <w:pPr>
              <w:rPr>
                <w:rFonts w:hint="eastAsia" w:ascii="仿宋" w:hAnsi="仿宋" w:eastAsia="仿宋" w:cs="仿宋"/>
                <w:color w:val="auto"/>
                <w:spacing w:val="-1"/>
                <w:kern w:val="0"/>
                <w:sz w:val="24"/>
              </w:rPr>
            </w:pPr>
          </w:p>
        </w:tc>
        <w:tc>
          <w:tcPr>
            <w:tcW w:w="2454" w:type="dxa"/>
            <w:noWrap w:val="0"/>
            <w:vAlign w:val="center"/>
          </w:tcPr>
          <w:p w14:paraId="6D3BAEC3">
            <w:pPr>
              <w:rPr>
                <w:rFonts w:hint="eastAsia" w:ascii="仿宋" w:hAnsi="仿宋" w:eastAsia="仿宋" w:cs="仿宋"/>
                <w:color w:val="auto"/>
                <w:spacing w:val="-1"/>
                <w:kern w:val="0"/>
                <w:sz w:val="24"/>
              </w:rPr>
            </w:pPr>
          </w:p>
        </w:tc>
        <w:tc>
          <w:tcPr>
            <w:tcW w:w="1484" w:type="dxa"/>
            <w:noWrap w:val="0"/>
            <w:vAlign w:val="center"/>
          </w:tcPr>
          <w:p w14:paraId="17B40C42">
            <w:pPr>
              <w:rPr>
                <w:rFonts w:hint="eastAsia" w:ascii="仿宋" w:hAnsi="仿宋" w:eastAsia="仿宋" w:cs="仿宋"/>
                <w:color w:val="auto"/>
                <w:spacing w:val="-1"/>
                <w:kern w:val="0"/>
                <w:sz w:val="24"/>
              </w:rPr>
            </w:pPr>
          </w:p>
        </w:tc>
      </w:tr>
      <w:tr w14:paraId="6E6B7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1E1C2F18">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13</w:t>
            </w:r>
          </w:p>
        </w:tc>
        <w:tc>
          <w:tcPr>
            <w:tcW w:w="2949" w:type="dxa"/>
            <w:noWrap w:val="0"/>
            <w:vAlign w:val="center"/>
          </w:tcPr>
          <w:p w14:paraId="52AC4123">
            <w:pPr>
              <w:rPr>
                <w:rFonts w:hint="eastAsia" w:ascii="仿宋" w:hAnsi="仿宋" w:eastAsia="仿宋" w:cs="仿宋"/>
                <w:color w:val="auto"/>
                <w:spacing w:val="-1"/>
                <w:kern w:val="0"/>
                <w:sz w:val="24"/>
              </w:rPr>
            </w:pPr>
          </w:p>
        </w:tc>
        <w:tc>
          <w:tcPr>
            <w:tcW w:w="2454" w:type="dxa"/>
            <w:noWrap w:val="0"/>
            <w:vAlign w:val="center"/>
          </w:tcPr>
          <w:p w14:paraId="18D817CE">
            <w:pPr>
              <w:rPr>
                <w:rFonts w:hint="eastAsia" w:ascii="仿宋" w:hAnsi="仿宋" w:eastAsia="仿宋" w:cs="仿宋"/>
                <w:color w:val="auto"/>
                <w:spacing w:val="-1"/>
                <w:kern w:val="0"/>
                <w:sz w:val="24"/>
              </w:rPr>
            </w:pPr>
          </w:p>
        </w:tc>
        <w:tc>
          <w:tcPr>
            <w:tcW w:w="1484" w:type="dxa"/>
            <w:noWrap w:val="0"/>
            <w:vAlign w:val="center"/>
          </w:tcPr>
          <w:p w14:paraId="660E3FD8">
            <w:pPr>
              <w:rPr>
                <w:rFonts w:hint="eastAsia" w:ascii="仿宋" w:hAnsi="仿宋" w:eastAsia="仿宋" w:cs="仿宋"/>
                <w:color w:val="auto"/>
                <w:spacing w:val="-1"/>
                <w:kern w:val="0"/>
                <w:sz w:val="24"/>
              </w:rPr>
            </w:pPr>
          </w:p>
        </w:tc>
      </w:tr>
      <w:tr w14:paraId="7A076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32225EB2">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14</w:t>
            </w:r>
          </w:p>
        </w:tc>
        <w:tc>
          <w:tcPr>
            <w:tcW w:w="2949" w:type="dxa"/>
            <w:noWrap w:val="0"/>
            <w:vAlign w:val="center"/>
          </w:tcPr>
          <w:p w14:paraId="44A0550F">
            <w:pPr>
              <w:rPr>
                <w:rFonts w:hint="eastAsia" w:ascii="仿宋" w:hAnsi="仿宋" w:eastAsia="仿宋" w:cs="仿宋"/>
                <w:color w:val="auto"/>
                <w:spacing w:val="-1"/>
                <w:kern w:val="0"/>
                <w:sz w:val="24"/>
              </w:rPr>
            </w:pPr>
          </w:p>
        </w:tc>
        <w:tc>
          <w:tcPr>
            <w:tcW w:w="2454" w:type="dxa"/>
            <w:noWrap w:val="0"/>
            <w:vAlign w:val="center"/>
          </w:tcPr>
          <w:p w14:paraId="75D531F5">
            <w:pPr>
              <w:rPr>
                <w:rFonts w:hint="eastAsia" w:ascii="仿宋" w:hAnsi="仿宋" w:eastAsia="仿宋" w:cs="仿宋"/>
                <w:color w:val="auto"/>
                <w:spacing w:val="-1"/>
                <w:kern w:val="0"/>
                <w:sz w:val="24"/>
              </w:rPr>
            </w:pPr>
          </w:p>
        </w:tc>
        <w:tc>
          <w:tcPr>
            <w:tcW w:w="1484" w:type="dxa"/>
            <w:noWrap w:val="0"/>
            <w:vAlign w:val="center"/>
          </w:tcPr>
          <w:p w14:paraId="278111AE">
            <w:pPr>
              <w:rPr>
                <w:rFonts w:hint="eastAsia" w:ascii="仿宋" w:hAnsi="仿宋" w:eastAsia="仿宋" w:cs="仿宋"/>
                <w:color w:val="auto"/>
                <w:spacing w:val="-1"/>
                <w:kern w:val="0"/>
                <w:sz w:val="24"/>
              </w:rPr>
            </w:pPr>
          </w:p>
        </w:tc>
      </w:tr>
      <w:tr w14:paraId="4EA67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7" w:type="dxa"/>
            <w:noWrap w:val="0"/>
            <w:vAlign w:val="center"/>
          </w:tcPr>
          <w:p w14:paraId="7C95475E">
            <w:pPr>
              <w:jc w:val="cente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15</w:t>
            </w:r>
          </w:p>
        </w:tc>
        <w:tc>
          <w:tcPr>
            <w:tcW w:w="2949" w:type="dxa"/>
            <w:noWrap w:val="0"/>
            <w:vAlign w:val="center"/>
          </w:tcPr>
          <w:p w14:paraId="7D50A8AA">
            <w:pPr>
              <w:rPr>
                <w:rFonts w:hint="eastAsia" w:ascii="仿宋" w:hAnsi="仿宋" w:eastAsia="仿宋" w:cs="仿宋"/>
                <w:color w:val="auto"/>
                <w:spacing w:val="-1"/>
                <w:kern w:val="0"/>
                <w:sz w:val="24"/>
              </w:rPr>
            </w:pPr>
          </w:p>
        </w:tc>
        <w:tc>
          <w:tcPr>
            <w:tcW w:w="2454" w:type="dxa"/>
            <w:noWrap w:val="0"/>
            <w:vAlign w:val="center"/>
          </w:tcPr>
          <w:p w14:paraId="341D8DD3">
            <w:pPr>
              <w:rPr>
                <w:rFonts w:hint="eastAsia" w:ascii="仿宋" w:hAnsi="仿宋" w:eastAsia="仿宋" w:cs="仿宋"/>
                <w:color w:val="auto"/>
                <w:spacing w:val="-1"/>
                <w:kern w:val="0"/>
                <w:sz w:val="24"/>
              </w:rPr>
            </w:pPr>
          </w:p>
        </w:tc>
        <w:tc>
          <w:tcPr>
            <w:tcW w:w="1484" w:type="dxa"/>
            <w:noWrap w:val="0"/>
            <w:vAlign w:val="center"/>
          </w:tcPr>
          <w:p w14:paraId="6267F428">
            <w:pPr>
              <w:rPr>
                <w:rFonts w:hint="eastAsia" w:ascii="仿宋" w:hAnsi="仿宋" w:eastAsia="仿宋" w:cs="仿宋"/>
                <w:color w:val="auto"/>
                <w:spacing w:val="-1"/>
                <w:kern w:val="0"/>
                <w:sz w:val="24"/>
              </w:rPr>
            </w:pPr>
          </w:p>
        </w:tc>
      </w:tr>
    </w:tbl>
    <w:p w14:paraId="16805444">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注：</w:t>
      </w:r>
      <w:r>
        <w:rPr>
          <w:rFonts w:hint="eastAsia" w:ascii="仿宋" w:hAnsi="仿宋" w:eastAsia="仿宋" w:cs="仿宋"/>
          <w:color w:val="auto"/>
          <w:spacing w:val="-1"/>
          <w:kern w:val="0"/>
          <w:sz w:val="24"/>
          <w:lang w:val="en-US" w:eastAsia="zh-CN"/>
        </w:rPr>
        <w:t>凡投标文件中商务条款(包括供货期、付款方式、投标保证金以及其它所有商务内容）与招标文件存在正偏差的，均应在此表列出（不允许存在负偏离），未在此表中列出的视同完全满足招标文件要求</w:t>
      </w:r>
    </w:p>
    <w:p w14:paraId="1BF5D69D">
      <w:pPr>
        <w:rPr>
          <w:rFonts w:hint="eastAsia" w:ascii="仿宋" w:hAnsi="仿宋" w:eastAsia="仿宋" w:cs="仿宋"/>
          <w:color w:val="auto"/>
          <w:spacing w:val="-1"/>
          <w:kern w:val="0"/>
          <w:sz w:val="24"/>
        </w:rPr>
      </w:pPr>
    </w:p>
    <w:p w14:paraId="4DFB6B05">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rPr>
      </w:pPr>
    </w:p>
    <w:p w14:paraId="0D6A19E3">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rPr>
      </w:pPr>
    </w:p>
    <w:p w14:paraId="733E55D8">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p>
    <w:p w14:paraId="5F7E6C42">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r>
        <w:rPr>
          <w:rFonts w:hint="eastAsia" w:ascii="仿宋" w:hAnsi="仿宋" w:eastAsia="仿宋" w:cs="仿宋"/>
          <w:color w:val="auto"/>
          <w:sz w:val="24"/>
          <w:szCs w:val="24"/>
        </w:rPr>
        <w:t>投标人：</w:t>
      </w:r>
      <w:r>
        <w:rPr>
          <w:rFonts w:hint="eastAsia" w:ascii="仿宋" w:hAnsi="仿宋" w:eastAsia="仿宋" w:cs="仿宋"/>
          <w:color w:val="auto"/>
          <w:sz w:val="24"/>
          <w:szCs w:val="24"/>
          <w:u w:val="single"/>
        </w:rPr>
        <w:tab/>
      </w:r>
      <w:r>
        <w:rPr>
          <w:rFonts w:hint="eastAsia" w:ascii="仿宋" w:hAnsi="仿宋" w:eastAsia="仿宋" w:cs="仿宋"/>
          <w:color w:val="auto"/>
          <w:w w:val="95"/>
          <w:sz w:val="24"/>
          <w:szCs w:val="24"/>
        </w:rPr>
        <w:t>（盖章）</w:t>
      </w:r>
      <w:r>
        <w:rPr>
          <w:rFonts w:hint="eastAsia" w:ascii="仿宋" w:hAnsi="仿宋" w:eastAsia="仿宋" w:cs="仿宋"/>
          <w:color w:val="auto"/>
          <w:sz w:val="24"/>
          <w:szCs w:val="24"/>
        </w:rPr>
        <w:t xml:space="preserve"> </w:t>
      </w:r>
    </w:p>
    <w:p w14:paraId="08A052B7">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w w:val="95"/>
          <w:sz w:val="24"/>
          <w:szCs w:val="24"/>
        </w:rPr>
      </w:pPr>
      <w:r>
        <w:rPr>
          <w:rFonts w:hint="eastAsia" w:ascii="仿宋" w:hAnsi="仿宋" w:eastAsia="仿宋" w:cs="仿宋"/>
          <w:color w:val="auto"/>
          <w:sz w:val="24"/>
          <w:szCs w:val="24"/>
        </w:rPr>
        <w:t>法定代表人或被授权人：</w:t>
      </w:r>
      <w:r>
        <w:rPr>
          <w:rFonts w:hint="eastAsia" w:ascii="仿宋" w:hAnsi="仿宋" w:eastAsia="仿宋" w:cs="仿宋"/>
          <w:color w:val="auto"/>
          <w:sz w:val="24"/>
          <w:szCs w:val="24"/>
          <w:u w:val="single"/>
        </w:rPr>
        <w:tab/>
      </w:r>
      <w:r>
        <w:rPr>
          <w:rFonts w:hint="eastAsia" w:ascii="仿宋" w:hAnsi="仿宋" w:eastAsia="仿宋" w:cs="仿宋"/>
          <w:color w:val="auto"/>
          <w:w w:val="95"/>
          <w:sz w:val="24"/>
          <w:szCs w:val="24"/>
        </w:rPr>
        <w:t>（</w:t>
      </w:r>
      <w:r>
        <w:rPr>
          <w:rFonts w:hint="eastAsia" w:ascii="仿宋" w:hAnsi="仿宋" w:eastAsia="仿宋" w:cs="仿宋"/>
          <w:color w:val="auto"/>
          <w:w w:val="95"/>
          <w:sz w:val="24"/>
          <w:szCs w:val="24"/>
          <w:lang w:eastAsia="zh-CN"/>
        </w:rPr>
        <w:t>签章</w:t>
      </w:r>
      <w:r>
        <w:rPr>
          <w:rFonts w:hint="eastAsia" w:ascii="仿宋" w:hAnsi="仿宋" w:eastAsia="仿宋" w:cs="仿宋"/>
          <w:color w:val="auto"/>
          <w:w w:val="95"/>
          <w:sz w:val="24"/>
          <w:szCs w:val="24"/>
        </w:rPr>
        <w:t>）</w:t>
      </w:r>
    </w:p>
    <w:p w14:paraId="19036E53">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日</w:t>
      </w:r>
    </w:p>
    <w:p w14:paraId="3BEC2105">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rPr>
      </w:pPr>
    </w:p>
    <w:p w14:paraId="5821E040">
      <w:pPr>
        <w:pStyle w:val="32"/>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auto"/>
          <w:spacing w:val="0"/>
          <w:w w:val="100"/>
          <w:position w:val="0"/>
          <w:sz w:val="21"/>
          <w:szCs w:val="21"/>
        </w:rPr>
      </w:pPr>
    </w:p>
    <w:p w14:paraId="63391B9F">
      <w:pPr>
        <w:pStyle w:val="32"/>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auto"/>
          <w:spacing w:val="0"/>
          <w:w w:val="100"/>
          <w:position w:val="0"/>
          <w:sz w:val="21"/>
          <w:szCs w:val="21"/>
        </w:rPr>
      </w:pPr>
    </w:p>
    <w:p w14:paraId="7BF238F4">
      <w:pPr>
        <w:pStyle w:val="32"/>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auto"/>
          <w:spacing w:val="0"/>
          <w:w w:val="100"/>
          <w:position w:val="0"/>
          <w:sz w:val="21"/>
          <w:szCs w:val="21"/>
        </w:rPr>
      </w:pPr>
    </w:p>
    <w:p w14:paraId="230CF257">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b/>
          <w:bCs/>
          <w:color w:val="auto"/>
          <w:spacing w:val="0"/>
          <w:w w:val="100"/>
          <w:position w:val="0"/>
          <w:sz w:val="36"/>
          <w:szCs w:val="36"/>
          <w:lang w:val="en-US" w:eastAsia="zh-CN"/>
        </w:rPr>
      </w:pPr>
    </w:p>
    <w:p w14:paraId="756157E6">
      <w:pPr>
        <w:pStyle w:val="31"/>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b/>
          <w:bCs/>
          <w:color w:val="auto"/>
          <w:spacing w:val="0"/>
          <w:w w:val="100"/>
          <w:position w:val="0"/>
          <w:sz w:val="36"/>
          <w:szCs w:val="36"/>
          <w:lang w:val="en-US" w:eastAsia="zh-CN"/>
        </w:rPr>
      </w:pPr>
      <w:r>
        <w:rPr>
          <w:rFonts w:hint="eastAsia" w:ascii="仿宋" w:hAnsi="仿宋" w:eastAsia="仿宋" w:cs="仿宋"/>
          <w:b/>
          <w:bCs/>
          <w:color w:val="auto"/>
          <w:spacing w:val="0"/>
          <w:w w:val="100"/>
          <w:position w:val="0"/>
          <w:sz w:val="36"/>
          <w:szCs w:val="36"/>
          <w:lang w:val="en-US" w:eastAsia="zh-CN"/>
        </w:rPr>
        <w:t>7、投标人基本情况表</w:t>
      </w:r>
    </w:p>
    <w:p w14:paraId="2FD6C6F5">
      <w:pPr>
        <w:pStyle w:val="7"/>
        <w:numPr>
          <w:ilvl w:val="0"/>
          <w:numId w:val="0"/>
        </w:numPr>
        <w:kinsoku w:val="0"/>
        <w:overflowPunct w:val="0"/>
        <w:spacing w:before="5"/>
        <w:ind w:leftChars="0" w:right="0" w:rightChars="0"/>
        <w:rPr>
          <w:rFonts w:hint="eastAsia" w:ascii="仿宋" w:hAnsi="仿宋" w:eastAsia="仿宋" w:cs="仿宋"/>
          <w:b/>
          <w:bCs/>
          <w:color w:val="auto"/>
          <w:sz w:val="6"/>
          <w:szCs w:val="6"/>
        </w:rPr>
      </w:pPr>
    </w:p>
    <w:tbl>
      <w:tblPr>
        <w:tblStyle w:val="19"/>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5F2AC695">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172D0683">
            <w:pPr>
              <w:pStyle w:val="35"/>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单位名称</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4CBCE07D">
            <w:pPr>
              <w:rPr>
                <w:rFonts w:hint="eastAsia" w:ascii="仿宋" w:hAnsi="仿宋" w:eastAsia="仿宋" w:cs="仿宋"/>
                <w:color w:val="auto"/>
              </w:rPr>
            </w:pPr>
          </w:p>
        </w:tc>
      </w:tr>
      <w:tr w14:paraId="61A8127C">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2019643E">
            <w:pPr>
              <w:pStyle w:val="35"/>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单位地址</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530C72A8">
            <w:pPr>
              <w:rPr>
                <w:rFonts w:hint="eastAsia" w:ascii="仿宋" w:hAnsi="仿宋" w:eastAsia="仿宋" w:cs="仿宋"/>
                <w:color w:val="auto"/>
              </w:rPr>
            </w:pPr>
          </w:p>
        </w:tc>
      </w:tr>
      <w:tr w14:paraId="14918F69">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62B74134">
            <w:pPr>
              <w:pStyle w:val="35"/>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主管部门</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1F481670">
            <w:pPr>
              <w:rPr>
                <w:rFonts w:hint="eastAsia" w:ascii="仿宋" w:hAnsi="仿宋" w:eastAsia="仿宋" w:cs="仿宋"/>
                <w:color w:val="auto"/>
              </w:rPr>
            </w:pPr>
          </w:p>
        </w:tc>
      </w:tr>
      <w:tr w14:paraId="6C0A01A2">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29160836">
            <w:pPr>
              <w:pStyle w:val="35"/>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成立时间</w:t>
            </w:r>
          </w:p>
        </w:tc>
        <w:tc>
          <w:tcPr>
            <w:tcW w:w="2294" w:type="dxa"/>
            <w:gridSpan w:val="2"/>
            <w:tcBorders>
              <w:top w:val="single" w:color="000000" w:sz="4" w:space="0"/>
              <w:left w:val="single" w:color="000000" w:sz="4" w:space="0"/>
              <w:bottom w:val="single" w:color="000000" w:sz="4" w:space="0"/>
              <w:right w:val="single" w:color="000000" w:sz="4" w:space="0"/>
            </w:tcBorders>
            <w:noWrap w:val="0"/>
            <w:vAlign w:val="top"/>
          </w:tcPr>
          <w:p w14:paraId="00B13E01">
            <w:pPr>
              <w:rPr>
                <w:rFonts w:hint="eastAsia" w:ascii="仿宋" w:hAnsi="仿宋" w:eastAsia="仿宋" w:cs="仿宋"/>
                <w:color w:val="auto"/>
              </w:rPr>
            </w:pPr>
          </w:p>
        </w:tc>
        <w:tc>
          <w:tcPr>
            <w:tcW w:w="2294" w:type="dxa"/>
            <w:gridSpan w:val="4"/>
            <w:tcBorders>
              <w:top w:val="single" w:color="000000" w:sz="4" w:space="0"/>
              <w:left w:val="single" w:color="000000" w:sz="4" w:space="0"/>
              <w:bottom w:val="single" w:color="000000" w:sz="4" w:space="0"/>
              <w:right w:val="single" w:color="000000" w:sz="4" w:space="0"/>
            </w:tcBorders>
            <w:noWrap w:val="0"/>
            <w:vAlign w:val="top"/>
          </w:tcPr>
          <w:p w14:paraId="6B7BE484">
            <w:pPr>
              <w:pStyle w:val="35"/>
              <w:kinsoku w:val="0"/>
              <w:overflowPunct w:val="0"/>
              <w:spacing w:before="145"/>
              <w:ind w:left="181"/>
              <w:rPr>
                <w:rFonts w:hint="eastAsia" w:ascii="仿宋" w:hAnsi="仿宋" w:eastAsia="仿宋" w:cs="仿宋"/>
                <w:color w:val="auto"/>
              </w:rPr>
            </w:pPr>
            <w:r>
              <w:rPr>
                <w:rFonts w:hint="eastAsia" w:ascii="仿宋" w:hAnsi="仿宋" w:eastAsia="仿宋" w:cs="仿宋"/>
                <w:color w:val="auto"/>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noWrap w:val="0"/>
            <w:vAlign w:val="top"/>
          </w:tcPr>
          <w:p w14:paraId="01D66C72">
            <w:pPr>
              <w:rPr>
                <w:rFonts w:hint="eastAsia" w:ascii="仿宋" w:hAnsi="仿宋" w:eastAsia="仿宋" w:cs="仿宋"/>
                <w:color w:val="auto"/>
              </w:rPr>
            </w:pPr>
          </w:p>
        </w:tc>
      </w:tr>
      <w:tr w14:paraId="4B68965D">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61A53DAF">
            <w:pPr>
              <w:pStyle w:val="35"/>
              <w:kinsoku w:val="0"/>
              <w:overflowPunct w:val="0"/>
              <w:spacing w:before="146"/>
              <w:ind w:left="137"/>
              <w:rPr>
                <w:rFonts w:hint="eastAsia" w:ascii="仿宋" w:hAnsi="仿宋" w:eastAsia="仿宋" w:cs="仿宋"/>
                <w:color w:val="auto"/>
              </w:rPr>
            </w:pPr>
            <w:r>
              <w:rPr>
                <w:rFonts w:hint="eastAsia" w:ascii="仿宋" w:hAnsi="仿宋" w:eastAsia="仿宋" w:cs="仿宋"/>
                <w:color w:val="auto"/>
              </w:rPr>
              <w:t>单位性质</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636CD616">
            <w:pPr>
              <w:rPr>
                <w:rFonts w:hint="eastAsia" w:ascii="仿宋" w:hAnsi="仿宋" w:eastAsia="仿宋" w:cs="仿宋"/>
                <w:color w:val="auto"/>
              </w:rPr>
            </w:pPr>
          </w:p>
        </w:tc>
      </w:tr>
      <w:tr w14:paraId="56B71F34">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475D6402">
            <w:pPr>
              <w:pStyle w:val="35"/>
              <w:kinsoku w:val="0"/>
              <w:overflowPunct w:val="0"/>
              <w:spacing w:before="141" w:line="312" w:lineRule="exact"/>
              <w:ind w:left="257" w:right="133" w:hanging="120"/>
              <w:rPr>
                <w:rFonts w:hint="eastAsia" w:ascii="仿宋" w:hAnsi="仿宋" w:eastAsia="仿宋" w:cs="仿宋"/>
                <w:color w:val="auto"/>
              </w:rPr>
            </w:pPr>
            <w:r>
              <w:rPr>
                <w:rFonts w:hint="eastAsia" w:ascii="仿宋" w:hAnsi="仿宋" w:eastAsia="仿宋" w:cs="仿宋"/>
                <w:color w:val="auto"/>
              </w:rPr>
              <w:t>投标期间 联系人</w:t>
            </w: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500F8015">
            <w:pPr>
              <w:rPr>
                <w:rFonts w:hint="eastAsia" w:ascii="仿宋" w:hAnsi="仿宋" w:eastAsia="仿宋" w:cs="仿宋"/>
                <w:color w:val="auto"/>
              </w:rPr>
            </w:pPr>
          </w:p>
        </w:tc>
        <w:tc>
          <w:tcPr>
            <w:tcW w:w="1342" w:type="dxa"/>
            <w:gridSpan w:val="2"/>
            <w:tcBorders>
              <w:top w:val="single" w:color="000000" w:sz="4" w:space="0"/>
              <w:left w:val="single" w:color="000000" w:sz="4" w:space="0"/>
              <w:bottom w:val="single" w:color="000000" w:sz="4" w:space="0"/>
              <w:right w:val="single" w:color="000000" w:sz="4" w:space="0"/>
            </w:tcBorders>
            <w:noWrap w:val="0"/>
            <w:vAlign w:val="top"/>
          </w:tcPr>
          <w:p w14:paraId="3D31300D">
            <w:pPr>
              <w:pStyle w:val="35"/>
              <w:kinsoku w:val="0"/>
              <w:overflowPunct w:val="0"/>
              <w:spacing w:before="4"/>
              <w:rPr>
                <w:rFonts w:hint="eastAsia" w:ascii="仿宋" w:hAnsi="仿宋" w:eastAsia="仿宋" w:cs="仿宋"/>
                <w:b/>
                <w:bCs/>
                <w:color w:val="auto"/>
                <w:sz w:val="20"/>
                <w:szCs w:val="20"/>
              </w:rPr>
            </w:pPr>
          </w:p>
          <w:p w14:paraId="7BD1107B">
            <w:pPr>
              <w:pStyle w:val="35"/>
              <w:kinsoku w:val="0"/>
              <w:overflowPunct w:val="0"/>
              <w:ind w:left="366"/>
              <w:rPr>
                <w:rFonts w:hint="eastAsia" w:ascii="仿宋" w:hAnsi="仿宋" w:eastAsia="仿宋" w:cs="仿宋"/>
                <w:color w:val="auto"/>
              </w:rPr>
            </w:pPr>
            <w:r>
              <w:rPr>
                <w:rFonts w:hint="eastAsia" w:ascii="仿宋" w:hAnsi="仿宋" w:eastAsia="仿宋" w:cs="仿宋"/>
                <w:color w:val="auto"/>
              </w:rPr>
              <w:t>电 话</w:t>
            </w:r>
          </w:p>
        </w:tc>
        <w:tc>
          <w:tcPr>
            <w:tcW w:w="1343" w:type="dxa"/>
            <w:gridSpan w:val="2"/>
            <w:tcBorders>
              <w:top w:val="single" w:color="000000" w:sz="4" w:space="0"/>
              <w:left w:val="single" w:color="000000" w:sz="4" w:space="0"/>
              <w:bottom w:val="single" w:color="000000" w:sz="4" w:space="0"/>
              <w:right w:val="single" w:color="000000" w:sz="4" w:space="0"/>
            </w:tcBorders>
            <w:noWrap w:val="0"/>
            <w:vAlign w:val="top"/>
          </w:tcPr>
          <w:p w14:paraId="40040316">
            <w:pPr>
              <w:rPr>
                <w:rFonts w:hint="eastAsia" w:ascii="仿宋" w:hAnsi="仿宋" w:eastAsia="仿宋" w:cs="仿宋"/>
                <w:color w:val="auto"/>
              </w:rPr>
            </w:pPr>
          </w:p>
        </w:tc>
        <w:tc>
          <w:tcPr>
            <w:tcW w:w="1377" w:type="dxa"/>
            <w:gridSpan w:val="3"/>
            <w:tcBorders>
              <w:top w:val="single" w:color="000000" w:sz="4" w:space="0"/>
              <w:left w:val="single" w:color="000000" w:sz="4" w:space="0"/>
              <w:bottom w:val="single" w:color="000000" w:sz="4" w:space="0"/>
              <w:right w:val="single" w:color="000000" w:sz="4" w:space="0"/>
            </w:tcBorders>
            <w:noWrap w:val="0"/>
            <w:vAlign w:val="top"/>
          </w:tcPr>
          <w:p w14:paraId="51B64C92">
            <w:pPr>
              <w:pStyle w:val="35"/>
              <w:kinsoku w:val="0"/>
              <w:overflowPunct w:val="0"/>
              <w:spacing w:before="4"/>
              <w:rPr>
                <w:rFonts w:hint="eastAsia" w:ascii="仿宋" w:hAnsi="仿宋" w:eastAsia="仿宋" w:cs="仿宋"/>
                <w:b/>
                <w:bCs/>
                <w:color w:val="auto"/>
                <w:sz w:val="20"/>
                <w:szCs w:val="20"/>
              </w:rPr>
            </w:pPr>
          </w:p>
          <w:p w14:paraId="4EEDD2D1">
            <w:pPr>
              <w:pStyle w:val="35"/>
              <w:kinsoku w:val="0"/>
              <w:overflowPunct w:val="0"/>
              <w:ind w:left="383"/>
              <w:rPr>
                <w:rFonts w:hint="eastAsia" w:ascii="仿宋" w:hAnsi="仿宋" w:eastAsia="仿宋" w:cs="仿宋"/>
                <w:color w:val="auto"/>
              </w:rPr>
            </w:pPr>
            <w:r>
              <w:rPr>
                <w:rFonts w:hint="eastAsia" w:ascii="仿宋" w:hAnsi="仿宋" w:eastAsia="仿宋" w:cs="仿宋"/>
                <w:color w:val="auto"/>
              </w:rPr>
              <w:t>传 真</w:t>
            </w:r>
          </w:p>
        </w:tc>
        <w:tc>
          <w:tcPr>
            <w:tcW w:w="1965" w:type="dxa"/>
            <w:tcBorders>
              <w:top w:val="single" w:color="000000" w:sz="4" w:space="0"/>
              <w:left w:val="single" w:color="000000" w:sz="4" w:space="0"/>
              <w:bottom w:val="single" w:color="000000" w:sz="4" w:space="0"/>
              <w:right w:val="single" w:color="000000" w:sz="4" w:space="0"/>
            </w:tcBorders>
            <w:noWrap w:val="0"/>
            <w:vAlign w:val="top"/>
          </w:tcPr>
          <w:p w14:paraId="4EA7C520">
            <w:pPr>
              <w:rPr>
                <w:rFonts w:hint="eastAsia" w:ascii="仿宋" w:hAnsi="仿宋" w:eastAsia="仿宋" w:cs="仿宋"/>
                <w:color w:val="auto"/>
              </w:rPr>
            </w:pPr>
          </w:p>
        </w:tc>
      </w:tr>
      <w:tr w14:paraId="62D6291A">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noWrap w:val="0"/>
            <w:vAlign w:val="top"/>
          </w:tcPr>
          <w:p w14:paraId="754A89D0">
            <w:pPr>
              <w:pStyle w:val="35"/>
              <w:kinsoku w:val="0"/>
              <w:overflowPunct w:val="0"/>
              <w:rPr>
                <w:rFonts w:hint="eastAsia" w:ascii="仿宋" w:hAnsi="仿宋" w:eastAsia="仿宋" w:cs="仿宋"/>
                <w:b/>
                <w:bCs/>
                <w:color w:val="auto"/>
              </w:rPr>
            </w:pPr>
          </w:p>
          <w:p w14:paraId="7263A05F">
            <w:pPr>
              <w:pStyle w:val="35"/>
              <w:kinsoku w:val="0"/>
              <w:overflowPunct w:val="0"/>
              <w:rPr>
                <w:rFonts w:hint="eastAsia" w:ascii="仿宋" w:hAnsi="仿宋" w:eastAsia="仿宋" w:cs="仿宋"/>
                <w:b/>
                <w:bCs/>
                <w:color w:val="auto"/>
              </w:rPr>
            </w:pPr>
          </w:p>
          <w:p w14:paraId="7DE745C8">
            <w:pPr>
              <w:pStyle w:val="35"/>
              <w:kinsoku w:val="0"/>
              <w:overflowPunct w:val="0"/>
              <w:rPr>
                <w:rFonts w:hint="eastAsia" w:ascii="仿宋" w:hAnsi="仿宋" w:eastAsia="仿宋" w:cs="仿宋"/>
                <w:b/>
                <w:bCs/>
                <w:color w:val="auto"/>
              </w:rPr>
            </w:pPr>
          </w:p>
          <w:p w14:paraId="4DA6A04E">
            <w:pPr>
              <w:pStyle w:val="35"/>
              <w:kinsoku w:val="0"/>
              <w:overflowPunct w:val="0"/>
              <w:spacing w:line="475" w:lineRule="auto"/>
              <w:ind w:left="497" w:right="493"/>
              <w:jc w:val="both"/>
              <w:rPr>
                <w:rFonts w:hint="eastAsia" w:ascii="仿宋" w:hAnsi="仿宋" w:eastAsia="仿宋" w:cs="仿宋"/>
                <w:color w:val="auto"/>
              </w:rPr>
            </w:pPr>
            <w:r>
              <w:rPr>
                <w:rFonts w:hint="eastAsia" w:ascii="仿宋" w:hAnsi="仿宋" w:eastAsia="仿宋" w:cs="仿宋"/>
                <w:color w:val="auto"/>
              </w:rPr>
              <w:t>职 工 概 况</w:t>
            </w: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6C93DC9B">
            <w:pPr>
              <w:pStyle w:val="35"/>
              <w:kinsoku w:val="0"/>
              <w:overflowPunct w:val="0"/>
              <w:spacing w:before="144"/>
              <w:ind w:left="236"/>
              <w:rPr>
                <w:rFonts w:hint="eastAsia" w:ascii="仿宋" w:hAnsi="仿宋" w:eastAsia="仿宋" w:cs="仿宋"/>
                <w:color w:val="auto"/>
              </w:rPr>
            </w:pPr>
            <w:r>
              <w:rPr>
                <w:rFonts w:hint="eastAsia" w:ascii="仿宋" w:hAnsi="仿宋" w:eastAsia="仿宋" w:cs="仿宋"/>
                <w:color w:val="auto"/>
              </w:rPr>
              <w:t>职工总数</w:t>
            </w:r>
          </w:p>
        </w:tc>
        <w:tc>
          <w:tcPr>
            <w:tcW w:w="1342" w:type="dxa"/>
            <w:gridSpan w:val="2"/>
            <w:tcBorders>
              <w:top w:val="single" w:color="000000" w:sz="4" w:space="0"/>
              <w:left w:val="single" w:color="000000" w:sz="4" w:space="0"/>
              <w:bottom w:val="single" w:color="000000" w:sz="4" w:space="0"/>
              <w:right w:val="single" w:color="000000" w:sz="4" w:space="0"/>
            </w:tcBorders>
            <w:noWrap w:val="0"/>
            <w:vAlign w:val="top"/>
          </w:tcPr>
          <w:p w14:paraId="07C7C1C3">
            <w:pPr>
              <w:rPr>
                <w:rFonts w:hint="eastAsia" w:ascii="仿宋" w:hAnsi="仿宋" w:eastAsia="仿宋" w:cs="仿宋"/>
                <w:color w:val="auto"/>
              </w:rPr>
            </w:pPr>
          </w:p>
        </w:tc>
        <w:tc>
          <w:tcPr>
            <w:tcW w:w="2168" w:type="dxa"/>
            <w:gridSpan w:val="4"/>
            <w:tcBorders>
              <w:top w:val="single" w:color="000000" w:sz="4" w:space="0"/>
              <w:left w:val="single" w:color="000000" w:sz="4" w:space="0"/>
              <w:bottom w:val="single" w:color="000000" w:sz="4" w:space="0"/>
              <w:right w:val="single" w:color="000000" w:sz="4" w:space="0"/>
            </w:tcBorders>
            <w:noWrap w:val="0"/>
            <w:vAlign w:val="top"/>
          </w:tcPr>
          <w:p w14:paraId="2FF25188">
            <w:pPr>
              <w:pStyle w:val="35"/>
              <w:kinsoku w:val="0"/>
              <w:overflowPunct w:val="0"/>
              <w:spacing w:before="144"/>
              <w:ind w:left="118"/>
              <w:rPr>
                <w:rFonts w:hint="eastAsia" w:ascii="仿宋" w:hAnsi="仿宋" w:eastAsia="仿宋" w:cs="仿宋"/>
                <w:color w:val="auto"/>
              </w:rPr>
            </w:pPr>
            <w:r>
              <w:rPr>
                <w:rFonts w:hint="eastAsia" w:ascii="仿宋" w:hAnsi="仿宋" w:eastAsia="仿宋" w:cs="仿宋"/>
                <w:color w:val="auto"/>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6368FDA4">
            <w:pPr>
              <w:rPr>
                <w:rFonts w:hint="eastAsia" w:ascii="仿宋" w:hAnsi="仿宋" w:eastAsia="仿宋" w:cs="仿宋"/>
                <w:color w:val="auto"/>
              </w:rPr>
            </w:pPr>
          </w:p>
        </w:tc>
      </w:tr>
      <w:tr w14:paraId="565C7F3A">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276843DF">
            <w:pPr>
              <w:rPr>
                <w:rFonts w:hint="eastAsia" w:ascii="仿宋" w:hAnsi="仿宋" w:eastAsia="仿宋" w:cs="仿宋"/>
                <w:color w:val="auto"/>
              </w:rPr>
            </w:pP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1C87EB55">
            <w:pPr>
              <w:pStyle w:val="35"/>
              <w:kinsoku w:val="0"/>
              <w:overflowPunct w:val="0"/>
              <w:spacing w:before="145"/>
              <w:jc w:val="center"/>
              <w:rPr>
                <w:rFonts w:hint="eastAsia" w:ascii="仿宋" w:hAnsi="仿宋" w:eastAsia="仿宋" w:cs="仿宋"/>
                <w:color w:val="auto"/>
              </w:rPr>
            </w:pPr>
            <w:r>
              <w:rPr>
                <w:rFonts w:hint="eastAsia" w:ascii="仿宋" w:hAnsi="仿宋" w:eastAsia="仿宋" w:cs="仿宋"/>
                <w:color w:val="auto"/>
              </w:rPr>
              <w:t>单位行政和技术负责人</w:t>
            </w:r>
          </w:p>
        </w:tc>
      </w:tr>
      <w:tr w14:paraId="05C5AEE2">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58C6F49C">
            <w:pPr>
              <w:pStyle w:val="35"/>
              <w:kinsoku w:val="0"/>
              <w:overflowPunct w:val="0"/>
              <w:spacing w:before="145"/>
              <w:jc w:val="cente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75052F78">
            <w:pPr>
              <w:pStyle w:val="35"/>
              <w:kinsoku w:val="0"/>
              <w:overflowPunct w:val="0"/>
              <w:spacing w:before="145"/>
              <w:ind w:left="416"/>
              <w:rPr>
                <w:rFonts w:hint="eastAsia" w:ascii="仿宋" w:hAnsi="仿宋" w:eastAsia="仿宋" w:cs="仿宋"/>
                <w:color w:val="auto"/>
              </w:rPr>
            </w:pPr>
            <w:r>
              <w:rPr>
                <w:rFonts w:hint="eastAsia" w:ascii="仿宋" w:hAnsi="仿宋" w:eastAsia="仿宋" w:cs="仿宋"/>
                <w:color w:val="auto"/>
              </w:rPr>
              <w:t>姓 名</w:t>
            </w: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5CD5A730">
            <w:pPr>
              <w:pStyle w:val="35"/>
              <w:kinsoku w:val="0"/>
              <w:overflowPunct w:val="0"/>
              <w:spacing w:before="145"/>
              <w:ind w:left="452"/>
              <w:rPr>
                <w:rFonts w:hint="eastAsia" w:ascii="仿宋" w:hAnsi="仿宋" w:eastAsia="仿宋" w:cs="仿宋"/>
                <w:color w:val="auto"/>
              </w:rPr>
            </w:pPr>
            <w:r>
              <w:rPr>
                <w:rFonts w:hint="eastAsia" w:ascii="仿宋" w:hAnsi="仿宋" w:eastAsia="仿宋" w:cs="仿宋"/>
                <w:color w:val="auto"/>
              </w:rPr>
              <w:t>职务/职称</w:t>
            </w: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69E16B53">
            <w:pPr>
              <w:pStyle w:val="35"/>
              <w:kinsoku w:val="0"/>
              <w:overflowPunct w:val="0"/>
              <w:spacing w:before="145"/>
              <w:ind w:left="450"/>
              <w:rPr>
                <w:rFonts w:hint="eastAsia" w:ascii="仿宋" w:hAnsi="仿宋" w:eastAsia="仿宋" w:cs="仿宋"/>
                <w:color w:val="auto"/>
              </w:rPr>
            </w:pPr>
            <w:r>
              <w:rPr>
                <w:rFonts w:hint="eastAsia" w:ascii="仿宋" w:hAnsi="仿宋" w:eastAsia="仿宋" w:cs="仿宋"/>
                <w:color w:val="auto"/>
              </w:rPr>
              <w:t>年 龄</w:t>
            </w: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05CCB265">
            <w:pPr>
              <w:pStyle w:val="35"/>
              <w:tabs>
                <w:tab w:val="left" w:pos="479"/>
              </w:tabs>
              <w:kinsoku w:val="0"/>
              <w:overflowPunct w:val="0"/>
              <w:spacing w:before="145"/>
              <w:ind w:right="1"/>
              <w:jc w:val="center"/>
              <w:rPr>
                <w:rFonts w:hint="eastAsia" w:ascii="仿宋" w:hAnsi="仿宋" w:eastAsia="仿宋" w:cs="仿宋"/>
                <w:color w:val="auto"/>
              </w:rPr>
            </w:pPr>
            <w:r>
              <w:rPr>
                <w:rFonts w:hint="eastAsia" w:ascii="仿宋" w:hAnsi="仿宋" w:eastAsia="仿宋" w:cs="仿宋"/>
                <w:color w:val="auto"/>
              </w:rPr>
              <w:t>专</w:t>
            </w:r>
            <w:r>
              <w:rPr>
                <w:rFonts w:hint="eastAsia" w:ascii="仿宋" w:hAnsi="仿宋" w:eastAsia="仿宋" w:cs="仿宋"/>
                <w:color w:val="auto"/>
              </w:rPr>
              <w:tab/>
            </w:r>
            <w:r>
              <w:rPr>
                <w:rFonts w:hint="eastAsia" w:ascii="仿宋" w:hAnsi="仿宋" w:eastAsia="仿宋" w:cs="仿宋"/>
                <w:color w:val="auto"/>
              </w:rPr>
              <w:t>业</w:t>
            </w:r>
          </w:p>
        </w:tc>
      </w:tr>
      <w:tr w14:paraId="6D002A91">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1EBBCDED">
            <w:pPr>
              <w:pStyle w:val="35"/>
              <w:tabs>
                <w:tab w:val="left" w:pos="479"/>
              </w:tabs>
              <w:kinsoku w:val="0"/>
              <w:overflowPunct w:val="0"/>
              <w:spacing w:before="145"/>
              <w:ind w:right="1"/>
              <w:jc w:val="cente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0C34846C">
            <w:pPr>
              <w:rPr>
                <w:rFonts w:hint="eastAsia" w:ascii="仿宋" w:hAnsi="仿宋" w:eastAsia="仿宋" w:cs="仿宋"/>
                <w:color w:val="auto"/>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41D56B32">
            <w:pPr>
              <w:rPr>
                <w:rFonts w:hint="eastAsia" w:ascii="仿宋" w:hAnsi="仿宋" w:eastAsia="仿宋" w:cs="仿宋"/>
                <w:color w:val="auto"/>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512441C3">
            <w:pPr>
              <w:rPr>
                <w:rFonts w:hint="eastAsia" w:ascii="仿宋" w:hAnsi="仿宋" w:eastAsia="仿宋" w:cs="仿宋"/>
                <w:color w:val="auto"/>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362A82AF">
            <w:pPr>
              <w:rPr>
                <w:rFonts w:hint="eastAsia" w:ascii="仿宋" w:hAnsi="仿宋" w:eastAsia="仿宋" w:cs="仿宋"/>
                <w:color w:val="auto"/>
              </w:rPr>
            </w:pPr>
          </w:p>
        </w:tc>
      </w:tr>
      <w:tr w14:paraId="449FE5FD">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106EEB80">
            <w:pP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5D536D6F">
            <w:pPr>
              <w:rPr>
                <w:rFonts w:hint="eastAsia" w:ascii="仿宋" w:hAnsi="仿宋" w:eastAsia="仿宋" w:cs="仿宋"/>
                <w:color w:val="auto"/>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2F41BA38">
            <w:pPr>
              <w:rPr>
                <w:rFonts w:hint="eastAsia" w:ascii="仿宋" w:hAnsi="仿宋" w:eastAsia="仿宋" w:cs="仿宋"/>
                <w:color w:val="auto"/>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3C9EA53A">
            <w:pPr>
              <w:rPr>
                <w:rFonts w:hint="eastAsia" w:ascii="仿宋" w:hAnsi="仿宋" w:eastAsia="仿宋" w:cs="仿宋"/>
                <w:color w:val="auto"/>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60205DC2">
            <w:pPr>
              <w:rPr>
                <w:rFonts w:hint="eastAsia" w:ascii="仿宋" w:hAnsi="仿宋" w:eastAsia="仿宋" w:cs="仿宋"/>
                <w:color w:val="auto"/>
              </w:rPr>
            </w:pPr>
          </w:p>
        </w:tc>
      </w:tr>
      <w:tr w14:paraId="42724EE8">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14:paraId="58040040">
            <w:pP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14:paraId="109B4169">
            <w:pPr>
              <w:rPr>
                <w:rFonts w:hint="eastAsia" w:ascii="仿宋" w:hAnsi="仿宋" w:eastAsia="仿宋" w:cs="仿宋"/>
                <w:color w:val="auto"/>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14:paraId="0A2D4771">
            <w:pPr>
              <w:rPr>
                <w:rFonts w:hint="eastAsia" w:ascii="仿宋" w:hAnsi="仿宋" w:eastAsia="仿宋" w:cs="仿宋"/>
                <w:color w:val="auto"/>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14:paraId="6133C234">
            <w:pPr>
              <w:rPr>
                <w:rFonts w:hint="eastAsia" w:ascii="仿宋" w:hAnsi="仿宋" w:eastAsia="仿宋" w:cs="仿宋"/>
                <w:color w:val="auto"/>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14:paraId="593A3DBC">
            <w:pPr>
              <w:rPr>
                <w:rFonts w:hint="eastAsia" w:ascii="仿宋" w:hAnsi="仿宋" w:eastAsia="仿宋" w:cs="仿宋"/>
                <w:color w:val="auto"/>
              </w:rPr>
            </w:pPr>
          </w:p>
        </w:tc>
      </w:tr>
      <w:tr w14:paraId="331E4304">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14:paraId="4DA4BE7A">
            <w:pPr>
              <w:pStyle w:val="35"/>
              <w:kinsoku w:val="0"/>
              <w:overflowPunct w:val="0"/>
              <w:spacing w:before="1"/>
              <w:rPr>
                <w:rFonts w:hint="eastAsia" w:ascii="仿宋" w:hAnsi="仿宋" w:eastAsia="仿宋" w:cs="仿宋"/>
                <w:b/>
                <w:bCs/>
                <w:color w:val="auto"/>
                <w:sz w:val="23"/>
                <w:szCs w:val="23"/>
              </w:rPr>
            </w:pPr>
          </w:p>
          <w:p w14:paraId="3F44CD3A">
            <w:pPr>
              <w:pStyle w:val="35"/>
              <w:kinsoku w:val="0"/>
              <w:overflowPunct w:val="0"/>
              <w:spacing w:line="237" w:lineRule="auto"/>
              <w:ind w:left="497" w:right="493"/>
              <w:jc w:val="both"/>
              <w:rPr>
                <w:rFonts w:hint="eastAsia" w:ascii="仿宋" w:hAnsi="仿宋" w:eastAsia="仿宋" w:cs="仿宋"/>
                <w:color w:val="auto"/>
              </w:rPr>
            </w:pPr>
            <w:r>
              <w:rPr>
                <w:rFonts w:hint="eastAsia" w:ascii="仿宋" w:hAnsi="仿宋" w:eastAsia="仿宋" w:cs="仿宋"/>
                <w:color w:val="auto"/>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14:paraId="2EB8EF59">
            <w:pPr>
              <w:rPr>
                <w:rFonts w:hint="eastAsia" w:ascii="仿宋" w:hAnsi="仿宋" w:eastAsia="仿宋" w:cs="仿宋"/>
                <w:color w:val="auto"/>
              </w:rPr>
            </w:pPr>
          </w:p>
        </w:tc>
      </w:tr>
    </w:tbl>
    <w:p w14:paraId="432D930C">
      <w:pPr>
        <w:pStyle w:val="32"/>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14:paraId="541212BB">
      <w:pPr>
        <w:pStyle w:val="32"/>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14:paraId="2F2A0E4C">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491722D9">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219C6463">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3357CBC0">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07B813EB">
      <w:pPr>
        <w:jc w:val="center"/>
        <w:rPr>
          <w:rFonts w:hint="eastAsia" w:ascii="仿宋" w:hAnsi="仿宋" w:eastAsia="仿宋" w:cs="仿宋"/>
          <w:b/>
          <w:bCs/>
          <w:color w:val="auto"/>
          <w:sz w:val="36"/>
          <w:szCs w:val="36"/>
          <w:highlight w:val="none"/>
          <w:lang w:val="en-US" w:eastAsia="zh-CN"/>
        </w:rPr>
      </w:pPr>
      <w:r>
        <w:rPr>
          <w:rFonts w:hint="eastAsia" w:ascii="仿宋" w:hAnsi="仿宋" w:eastAsia="仿宋" w:cs="仿宋"/>
          <w:b/>
          <w:bCs/>
          <w:color w:val="auto"/>
          <w:sz w:val="36"/>
          <w:szCs w:val="36"/>
          <w:highlight w:val="none"/>
          <w:lang w:val="en-US" w:eastAsia="zh-CN"/>
        </w:rPr>
        <w:t>8、中标服务费支付承诺书</w:t>
      </w:r>
    </w:p>
    <w:p w14:paraId="137EAD3A">
      <w:pPr>
        <w:adjustRightInd w:val="0"/>
        <w:snapToGrid w:val="0"/>
        <w:spacing w:before="240" w:beforeLines="100" w:after="240" w:afterLines="10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致： </w:t>
      </w:r>
    </w:p>
    <w:p w14:paraId="4E144CF6">
      <w:pPr>
        <w:spacing w:line="440" w:lineRule="exact"/>
        <w:ind w:left="360" w:leftChars="15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w:t>
      </w:r>
      <w:r>
        <w:rPr>
          <w:rFonts w:hint="eastAsia" w:ascii="仿宋" w:hAnsi="仿宋" w:eastAsia="仿宋" w:cs="仿宋"/>
          <w:color w:val="auto"/>
          <w:sz w:val="24"/>
          <w:szCs w:val="24"/>
          <w:highlight w:val="none"/>
          <w:u w:val="single"/>
        </w:rPr>
        <w:t xml:space="preserve">    </w:t>
      </w:r>
      <w:r>
        <w:rPr>
          <w:rFonts w:hint="eastAsia" w:ascii="仿宋" w:hAnsi="仿宋" w:eastAsia="仿宋" w:cs="仿宋"/>
          <w:i/>
          <w:color w:val="auto"/>
          <w:kern w:val="0"/>
          <w:sz w:val="24"/>
          <w:szCs w:val="24"/>
          <w:highlight w:val="none"/>
          <w:u w:val="single"/>
        </w:rPr>
        <w:t xml:space="preserve">       (投标人名称) </w:t>
      </w:r>
      <w:r>
        <w:rPr>
          <w:rFonts w:hint="eastAsia" w:ascii="仿宋" w:hAnsi="仿宋" w:eastAsia="仿宋" w:cs="仿宋"/>
          <w:color w:val="auto"/>
          <w:sz w:val="24"/>
          <w:szCs w:val="24"/>
          <w:highlight w:val="none"/>
        </w:rPr>
        <w:t>在参加贵公司举行的</w:t>
      </w:r>
      <w:r>
        <w:rPr>
          <w:rFonts w:hint="eastAsia" w:ascii="仿宋" w:hAnsi="仿宋" w:eastAsia="仿宋" w:cs="仿宋"/>
          <w:color w:val="auto"/>
          <w:sz w:val="24"/>
          <w:szCs w:val="24"/>
          <w:highlight w:val="none"/>
          <w:u w:val="single"/>
        </w:rPr>
        <w:t xml:space="preserve">              项目</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】招标中如获</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,保证在收到贵公司发出的《</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通知书》</w:t>
      </w:r>
      <w:r>
        <w:rPr>
          <w:rFonts w:hint="eastAsia" w:ascii="仿宋" w:hAnsi="仿宋" w:eastAsia="仿宋" w:cs="仿宋"/>
          <w:color w:val="auto"/>
          <w:sz w:val="24"/>
          <w:szCs w:val="24"/>
          <w:highlight w:val="none"/>
          <w:lang w:eastAsia="zh-CN"/>
        </w:rPr>
        <w:t>之前</w:t>
      </w:r>
      <w:r>
        <w:rPr>
          <w:rFonts w:hint="eastAsia" w:ascii="仿宋" w:hAnsi="仿宋" w:eastAsia="仿宋" w:cs="仿宋"/>
          <w:color w:val="auto"/>
          <w:sz w:val="24"/>
          <w:szCs w:val="24"/>
          <w:highlight w:val="none"/>
        </w:rPr>
        <w:t>向贵公司交纳招标文件规定的</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服务费。</w:t>
      </w:r>
    </w:p>
    <w:p w14:paraId="7F73FBE5">
      <w:pPr>
        <w:spacing w:line="440" w:lineRule="exact"/>
        <w:ind w:left="360" w:leftChars="15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如我公司违约,愿承担全部法律责任。</w:t>
      </w:r>
    </w:p>
    <w:p w14:paraId="47DBEE1F">
      <w:pPr>
        <w:spacing w:line="440" w:lineRule="exact"/>
        <w:ind w:firstLine="960" w:firstLineChars="400"/>
        <w:rPr>
          <w:rFonts w:hint="eastAsia" w:ascii="仿宋" w:hAnsi="仿宋" w:eastAsia="仿宋" w:cs="仿宋"/>
          <w:color w:val="auto"/>
          <w:sz w:val="24"/>
          <w:szCs w:val="24"/>
          <w:highlight w:val="none"/>
        </w:rPr>
      </w:pPr>
    </w:p>
    <w:p w14:paraId="11103BE9">
      <w:pPr>
        <w:spacing w:line="44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特此承诺!</w:t>
      </w:r>
    </w:p>
    <w:p w14:paraId="266DC7AA">
      <w:pPr>
        <w:autoSpaceDE w:val="0"/>
        <w:autoSpaceDN w:val="0"/>
        <w:adjustRightInd w:val="0"/>
        <w:spacing w:line="440" w:lineRule="exact"/>
        <w:jc w:val="left"/>
        <w:rPr>
          <w:rFonts w:hint="eastAsia" w:ascii="仿宋" w:hAnsi="仿宋" w:eastAsia="仿宋" w:cs="仿宋"/>
          <w:color w:val="auto"/>
          <w:kern w:val="0"/>
          <w:sz w:val="24"/>
          <w:szCs w:val="24"/>
          <w:highlight w:val="none"/>
        </w:rPr>
      </w:pPr>
    </w:p>
    <w:p w14:paraId="146714A0">
      <w:pPr>
        <w:adjustRightInd w:val="0"/>
        <w:snapToGrid w:val="0"/>
        <w:spacing w:line="440" w:lineRule="exact"/>
        <w:rPr>
          <w:rFonts w:hint="eastAsia" w:ascii="仿宋" w:hAnsi="仿宋" w:eastAsia="仿宋" w:cs="仿宋"/>
          <w:color w:val="auto"/>
          <w:sz w:val="24"/>
          <w:szCs w:val="24"/>
          <w:highlight w:val="none"/>
        </w:rPr>
      </w:pPr>
    </w:p>
    <w:p w14:paraId="3CE335B4">
      <w:pPr>
        <w:adjustRightInd w:val="0"/>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（公章）</w:t>
      </w:r>
      <w:r>
        <w:rPr>
          <w:rFonts w:hint="eastAsia" w:ascii="仿宋" w:hAnsi="仿宋" w:eastAsia="仿宋" w:cs="仿宋"/>
          <w:color w:val="auto"/>
          <w:sz w:val="24"/>
          <w:szCs w:val="24"/>
          <w:highlight w:val="none"/>
        </w:rPr>
        <w:t xml:space="preserve">      </w:t>
      </w:r>
    </w:p>
    <w:p w14:paraId="4E4A355A">
      <w:pPr>
        <w:adjustRightInd w:val="0"/>
        <w:snapToGrid w:val="0"/>
        <w:spacing w:line="440" w:lineRule="exact"/>
        <w:rPr>
          <w:rFonts w:hint="eastAsia" w:ascii="仿宋" w:hAnsi="仿宋" w:eastAsia="仿宋" w:cs="仿宋"/>
          <w:color w:val="auto"/>
          <w:sz w:val="24"/>
          <w:szCs w:val="24"/>
          <w:highlight w:val="none"/>
        </w:rPr>
      </w:pPr>
    </w:p>
    <w:p w14:paraId="37570EC5">
      <w:pPr>
        <w:adjustRightInd w:val="0"/>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eastAsia="zh-CN"/>
        </w:rPr>
        <w:t>或</w:t>
      </w:r>
      <w:r>
        <w:rPr>
          <w:rFonts w:hint="eastAsia" w:ascii="仿宋" w:hAnsi="仿宋" w:eastAsia="仿宋" w:cs="仿宋"/>
          <w:color w:val="auto"/>
          <w:sz w:val="24"/>
          <w:szCs w:val="24"/>
          <w:highlight w:val="none"/>
        </w:rPr>
        <w:t>授权代表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签字或盖章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53FD6368">
      <w:pPr>
        <w:adjustRightInd w:val="0"/>
        <w:snapToGrid w:val="0"/>
        <w:spacing w:line="440" w:lineRule="exact"/>
        <w:rPr>
          <w:rFonts w:hint="eastAsia" w:ascii="仿宋" w:hAnsi="仿宋" w:eastAsia="仿宋" w:cs="仿宋"/>
          <w:color w:val="auto"/>
          <w:sz w:val="24"/>
          <w:szCs w:val="24"/>
          <w:highlight w:val="none"/>
        </w:rPr>
      </w:pPr>
    </w:p>
    <w:p w14:paraId="3A33E242">
      <w:pPr>
        <w:adjustRightInd w:val="0"/>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14:paraId="68577F25">
      <w:pPr>
        <w:pStyle w:val="7"/>
        <w:numPr>
          <w:ilvl w:val="0"/>
          <w:numId w:val="0"/>
        </w:numPr>
        <w:kinsoku w:val="0"/>
        <w:overflowPunct w:val="0"/>
        <w:spacing w:before="34" w:line="357" w:lineRule="auto"/>
        <w:ind w:left="480" w:right="126"/>
        <w:jc w:val="center"/>
        <w:rPr>
          <w:rFonts w:ascii="仿宋" w:hAnsi="仿宋" w:eastAsia="仿宋" w:cs="仿宋"/>
          <w:bCs/>
          <w:color w:val="auto"/>
          <w:sz w:val="36"/>
          <w:szCs w:val="36"/>
          <w:highlight w:val="none"/>
          <w:lang w:eastAsia="zh-CN"/>
        </w:rPr>
      </w:pPr>
    </w:p>
    <w:p w14:paraId="2F97F9C3">
      <w:pPr>
        <w:spacing w:line="360" w:lineRule="auto"/>
        <w:jc w:val="center"/>
        <w:rPr>
          <w:rFonts w:hint="eastAsia" w:ascii="仿宋" w:hAnsi="仿宋" w:eastAsia="仿宋" w:cs="仿宋"/>
          <w:b w:val="0"/>
          <w:bCs/>
          <w:color w:val="auto"/>
          <w:sz w:val="36"/>
          <w:szCs w:val="36"/>
          <w:highlight w:val="none"/>
          <w:lang w:eastAsia="zh-CN"/>
        </w:rPr>
      </w:pPr>
    </w:p>
    <w:p w14:paraId="0C0B05F4">
      <w:pPr>
        <w:spacing w:line="360" w:lineRule="auto"/>
        <w:jc w:val="center"/>
        <w:rPr>
          <w:rFonts w:hint="eastAsia" w:ascii="仿宋" w:hAnsi="仿宋" w:eastAsia="仿宋" w:cs="仿宋"/>
          <w:b/>
          <w:color w:val="auto"/>
          <w:sz w:val="36"/>
          <w:szCs w:val="36"/>
          <w:highlight w:val="none"/>
          <w:lang w:eastAsia="zh-CN"/>
        </w:rPr>
      </w:pPr>
    </w:p>
    <w:p w14:paraId="1C7DDD59">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1BF4698F">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618A95CB">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31ADFBF6">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40BC2246">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13980B28">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7DA42ED8">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219107FD">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14:paraId="53979200">
      <w:pPr>
        <w:pStyle w:val="7"/>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w w:val="90"/>
          <w:lang w:eastAsia="zh-CN"/>
        </w:rPr>
      </w:pPr>
      <w:r>
        <w:rPr>
          <w:rFonts w:hint="eastAsia" w:ascii="仿宋" w:hAnsi="仿宋" w:eastAsia="仿宋" w:cs="仿宋"/>
          <w:b w:val="0"/>
          <w:bCs/>
          <w:color w:val="auto"/>
          <w:kern w:val="0"/>
          <w:sz w:val="36"/>
          <w:szCs w:val="36"/>
          <w:lang w:val="en-US" w:eastAsia="zh-CN"/>
        </w:rPr>
        <w:t>9、</w:t>
      </w:r>
      <w:r>
        <w:rPr>
          <w:rFonts w:hint="eastAsia" w:ascii="仿宋" w:hAnsi="仿宋" w:eastAsia="仿宋" w:cs="仿宋"/>
          <w:b/>
          <w:bCs/>
          <w:color w:val="auto"/>
          <w:w w:val="90"/>
          <w:sz w:val="36"/>
          <w:szCs w:val="36"/>
        </w:rPr>
        <w:t>近三年（20</w:t>
      </w:r>
      <w:r>
        <w:rPr>
          <w:rFonts w:hint="eastAsia" w:ascii="仿宋" w:hAnsi="仿宋" w:eastAsia="仿宋" w:cs="仿宋"/>
          <w:b/>
          <w:bCs/>
          <w:color w:val="auto"/>
          <w:w w:val="90"/>
          <w:sz w:val="36"/>
          <w:szCs w:val="36"/>
          <w:lang w:val="en-US" w:eastAsia="zh-CN"/>
        </w:rPr>
        <w:t>22</w:t>
      </w:r>
      <w:r>
        <w:rPr>
          <w:rFonts w:hint="eastAsia" w:ascii="仿宋" w:hAnsi="仿宋" w:eastAsia="仿宋" w:cs="仿宋"/>
          <w:b/>
          <w:bCs/>
          <w:color w:val="auto"/>
          <w:w w:val="90"/>
          <w:sz w:val="36"/>
          <w:szCs w:val="36"/>
        </w:rPr>
        <w:t>年1月1日至今）类似项目业绩</w:t>
      </w:r>
      <w:r>
        <w:rPr>
          <w:rFonts w:hint="eastAsia" w:ascii="仿宋" w:hAnsi="仿宋" w:eastAsia="仿宋" w:cs="仿宋"/>
          <w:b/>
          <w:bCs/>
          <w:color w:val="auto"/>
          <w:w w:val="90"/>
          <w:sz w:val="36"/>
          <w:szCs w:val="36"/>
          <w:lang w:eastAsia="zh-CN"/>
        </w:rPr>
        <w:t>表</w:t>
      </w:r>
    </w:p>
    <w:p w14:paraId="300B2714">
      <w:pPr>
        <w:pStyle w:val="7"/>
        <w:numPr>
          <w:ilvl w:val="0"/>
          <w:numId w:val="0"/>
        </w:numPr>
        <w:kinsoku w:val="0"/>
        <w:overflowPunct w:val="0"/>
        <w:ind w:leftChars="0" w:right="0" w:rightChars="0"/>
        <w:rPr>
          <w:rFonts w:hint="eastAsia" w:ascii="仿宋" w:hAnsi="仿宋" w:eastAsia="仿宋" w:cs="仿宋"/>
          <w:b/>
          <w:bCs/>
          <w:color w:val="auto"/>
          <w:sz w:val="20"/>
          <w:szCs w:val="20"/>
        </w:rPr>
      </w:pPr>
    </w:p>
    <w:tbl>
      <w:tblPr>
        <w:tblStyle w:val="19"/>
        <w:tblW w:w="9115" w:type="dxa"/>
        <w:jc w:val="center"/>
        <w:tblLayout w:type="fixed"/>
        <w:tblCellMar>
          <w:top w:w="0" w:type="dxa"/>
          <w:left w:w="10" w:type="dxa"/>
          <w:bottom w:w="0" w:type="dxa"/>
          <w:right w:w="10" w:type="dxa"/>
        </w:tblCellMar>
      </w:tblPr>
      <w:tblGrid>
        <w:gridCol w:w="1919"/>
        <w:gridCol w:w="7196"/>
      </w:tblGrid>
      <w:tr w14:paraId="35A8EC47">
        <w:tblPrEx>
          <w:tblCellMar>
            <w:top w:w="0" w:type="dxa"/>
            <w:left w:w="10" w:type="dxa"/>
            <w:bottom w:w="0" w:type="dxa"/>
            <w:right w:w="10" w:type="dxa"/>
          </w:tblCellMar>
        </w:tblPrEx>
        <w:trPr>
          <w:trHeight w:val="511" w:hRule="exact"/>
          <w:jc w:val="center"/>
        </w:trPr>
        <w:tc>
          <w:tcPr>
            <w:tcW w:w="1919" w:type="dxa"/>
            <w:tcBorders>
              <w:top w:val="single" w:color="auto" w:sz="4" w:space="0"/>
              <w:left w:val="single" w:color="auto" w:sz="4" w:space="0"/>
            </w:tcBorders>
            <w:shd w:val="clear" w:color="auto" w:fill="FFFFFF"/>
            <w:vAlign w:val="center"/>
          </w:tcPr>
          <w:p w14:paraId="32F1A97E">
            <w:pPr>
              <w:pStyle w:val="33"/>
              <w:keepNext w:val="0"/>
              <w:keepLines w:val="0"/>
              <w:widowControl w:val="0"/>
              <w:shd w:val="clear" w:color="auto" w:fill="auto"/>
              <w:bidi w:val="0"/>
              <w:spacing w:before="0" w:after="0" w:line="240" w:lineRule="auto"/>
              <w:ind w:left="0" w:right="0" w:firstLine="0"/>
              <w:jc w:val="center"/>
              <w:rPr>
                <w:rFonts w:hint="eastAsia" w:ascii="仿宋" w:hAnsi="仿宋" w:eastAsia="仿宋" w:cs="仿宋"/>
                <w:color w:val="auto"/>
              </w:rPr>
            </w:pPr>
            <w:r>
              <w:rPr>
                <w:rFonts w:hint="eastAsia" w:ascii="仿宋" w:hAnsi="仿宋" w:eastAsia="仿宋" w:cs="仿宋"/>
                <w:color w:val="auto"/>
                <w:spacing w:val="0"/>
                <w:w w:val="100"/>
                <w:position w:val="0"/>
              </w:rPr>
              <w:t>项目名称</w:t>
            </w:r>
          </w:p>
        </w:tc>
        <w:tc>
          <w:tcPr>
            <w:tcW w:w="7196" w:type="dxa"/>
            <w:tcBorders>
              <w:top w:val="single" w:color="auto" w:sz="4" w:space="0"/>
              <w:left w:val="single" w:color="auto" w:sz="4" w:space="0"/>
              <w:right w:val="single" w:color="auto" w:sz="4" w:space="0"/>
            </w:tcBorders>
            <w:shd w:val="clear" w:color="auto" w:fill="FFFFFF"/>
            <w:vAlign w:val="top"/>
          </w:tcPr>
          <w:p w14:paraId="790450E2">
            <w:pPr>
              <w:widowControl w:val="0"/>
              <w:rPr>
                <w:rFonts w:hint="eastAsia" w:ascii="仿宋" w:hAnsi="仿宋" w:eastAsia="仿宋" w:cs="仿宋"/>
                <w:color w:val="auto"/>
                <w:sz w:val="10"/>
                <w:szCs w:val="10"/>
              </w:rPr>
            </w:pPr>
          </w:p>
        </w:tc>
      </w:tr>
      <w:tr w14:paraId="08EF92A7">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shd w:val="clear" w:color="auto" w:fill="FFFFFF"/>
            <w:vAlign w:val="top"/>
          </w:tcPr>
          <w:p w14:paraId="0FBBCD0D">
            <w:pPr>
              <w:pStyle w:val="33"/>
              <w:keepNext w:val="0"/>
              <w:keepLines w:val="0"/>
              <w:widowControl w:val="0"/>
              <w:shd w:val="clear" w:color="auto" w:fill="auto"/>
              <w:bidi w:val="0"/>
              <w:spacing w:before="120" w:after="0" w:line="240" w:lineRule="auto"/>
              <w:ind w:left="0" w:right="0" w:firstLine="220"/>
              <w:jc w:val="left"/>
              <w:rPr>
                <w:rFonts w:hint="eastAsia" w:ascii="仿宋" w:hAnsi="仿宋" w:eastAsia="仿宋" w:cs="仿宋"/>
                <w:color w:val="auto"/>
              </w:rPr>
            </w:pPr>
            <w:r>
              <w:rPr>
                <w:rFonts w:hint="eastAsia" w:ascii="仿宋" w:hAnsi="仿宋" w:eastAsia="仿宋" w:cs="仿宋"/>
                <w:color w:val="auto"/>
                <w:spacing w:val="0"/>
                <w:w w:val="100"/>
                <w:position w:val="0"/>
              </w:rPr>
              <w:t>项目单位名称</w:t>
            </w:r>
          </w:p>
        </w:tc>
        <w:tc>
          <w:tcPr>
            <w:tcW w:w="7196" w:type="dxa"/>
            <w:tcBorders>
              <w:top w:val="single" w:color="auto" w:sz="4" w:space="0"/>
              <w:left w:val="single" w:color="auto" w:sz="4" w:space="0"/>
              <w:right w:val="single" w:color="auto" w:sz="4" w:space="0"/>
            </w:tcBorders>
            <w:shd w:val="clear" w:color="auto" w:fill="FFFFFF"/>
            <w:vAlign w:val="top"/>
          </w:tcPr>
          <w:p w14:paraId="70638B78">
            <w:pPr>
              <w:widowControl w:val="0"/>
              <w:rPr>
                <w:rFonts w:hint="eastAsia" w:ascii="仿宋" w:hAnsi="仿宋" w:eastAsia="仿宋" w:cs="仿宋"/>
                <w:color w:val="auto"/>
                <w:sz w:val="10"/>
                <w:szCs w:val="10"/>
              </w:rPr>
            </w:pPr>
          </w:p>
        </w:tc>
      </w:tr>
      <w:tr w14:paraId="297722A6">
        <w:tblPrEx>
          <w:tblCellMar>
            <w:top w:w="0" w:type="dxa"/>
            <w:left w:w="10" w:type="dxa"/>
            <w:bottom w:w="0" w:type="dxa"/>
            <w:right w:w="10" w:type="dxa"/>
          </w:tblCellMar>
        </w:tblPrEx>
        <w:trPr>
          <w:trHeight w:val="641" w:hRule="exact"/>
          <w:jc w:val="center"/>
        </w:trPr>
        <w:tc>
          <w:tcPr>
            <w:tcW w:w="1919" w:type="dxa"/>
            <w:tcBorders>
              <w:top w:val="single" w:color="auto" w:sz="4" w:space="0"/>
              <w:left w:val="single" w:color="auto" w:sz="4" w:space="0"/>
            </w:tcBorders>
            <w:shd w:val="clear" w:color="auto" w:fill="FFFFFF"/>
            <w:vAlign w:val="top"/>
          </w:tcPr>
          <w:p w14:paraId="432DD38B">
            <w:pPr>
              <w:pStyle w:val="33"/>
              <w:keepNext w:val="0"/>
              <w:keepLines w:val="0"/>
              <w:widowControl w:val="0"/>
              <w:shd w:val="clear" w:color="auto" w:fill="auto"/>
              <w:bidi w:val="0"/>
              <w:spacing w:before="0" w:after="0" w:line="320" w:lineRule="exact"/>
              <w:ind w:left="0" w:right="0" w:firstLine="0"/>
              <w:jc w:val="center"/>
              <w:rPr>
                <w:rFonts w:hint="eastAsia" w:ascii="仿宋" w:hAnsi="仿宋" w:eastAsia="仿宋" w:cs="仿宋"/>
                <w:color w:val="auto"/>
              </w:rPr>
            </w:pPr>
            <w:r>
              <w:rPr>
                <w:rFonts w:hint="eastAsia" w:ascii="仿宋" w:hAnsi="仿宋" w:eastAsia="仿宋" w:cs="仿宋"/>
                <w:color w:val="auto"/>
                <w:spacing w:val="0"/>
                <w:w w:val="100"/>
                <w:position w:val="0"/>
              </w:rPr>
              <w:t>项目单位联系姓名及联系方式</w:t>
            </w:r>
          </w:p>
        </w:tc>
        <w:tc>
          <w:tcPr>
            <w:tcW w:w="7196" w:type="dxa"/>
            <w:tcBorders>
              <w:top w:val="single" w:color="auto" w:sz="4" w:space="0"/>
              <w:left w:val="single" w:color="auto" w:sz="4" w:space="0"/>
              <w:right w:val="single" w:color="auto" w:sz="4" w:space="0"/>
            </w:tcBorders>
            <w:shd w:val="clear" w:color="auto" w:fill="FFFFFF"/>
            <w:vAlign w:val="top"/>
          </w:tcPr>
          <w:p w14:paraId="34F94C7E">
            <w:pPr>
              <w:widowControl w:val="0"/>
              <w:rPr>
                <w:rFonts w:hint="eastAsia" w:ascii="仿宋" w:hAnsi="仿宋" w:eastAsia="仿宋" w:cs="仿宋"/>
                <w:color w:val="auto"/>
                <w:sz w:val="10"/>
                <w:szCs w:val="10"/>
              </w:rPr>
            </w:pPr>
          </w:p>
        </w:tc>
      </w:tr>
      <w:tr w14:paraId="21625524">
        <w:tblPrEx>
          <w:tblCellMar>
            <w:top w:w="0" w:type="dxa"/>
            <w:left w:w="10" w:type="dxa"/>
            <w:bottom w:w="0" w:type="dxa"/>
            <w:right w:w="10" w:type="dxa"/>
          </w:tblCellMar>
        </w:tblPrEx>
        <w:trPr>
          <w:trHeight w:val="634" w:hRule="exact"/>
          <w:jc w:val="center"/>
        </w:trPr>
        <w:tc>
          <w:tcPr>
            <w:tcW w:w="1919" w:type="dxa"/>
            <w:tcBorders>
              <w:top w:val="single" w:color="auto" w:sz="4" w:space="0"/>
              <w:left w:val="single" w:color="auto" w:sz="4" w:space="0"/>
            </w:tcBorders>
            <w:shd w:val="clear" w:color="auto" w:fill="FFFFFF"/>
            <w:vAlign w:val="center"/>
          </w:tcPr>
          <w:p w14:paraId="1808B6B5">
            <w:pPr>
              <w:pStyle w:val="33"/>
              <w:keepNext w:val="0"/>
              <w:keepLines w:val="0"/>
              <w:widowControl w:val="0"/>
              <w:shd w:val="clear" w:color="auto" w:fill="auto"/>
              <w:bidi w:val="0"/>
              <w:spacing w:before="0" w:after="0" w:line="240" w:lineRule="auto"/>
              <w:ind w:left="0" w:right="0" w:firstLine="0"/>
              <w:jc w:val="center"/>
              <w:rPr>
                <w:rFonts w:hint="eastAsia" w:ascii="仿宋" w:hAnsi="仿宋" w:eastAsia="仿宋" w:cs="仿宋"/>
                <w:color w:val="auto"/>
              </w:rPr>
            </w:pPr>
            <w:r>
              <w:rPr>
                <w:rFonts w:hint="eastAsia" w:ascii="仿宋" w:hAnsi="仿宋" w:eastAsia="仿宋" w:cs="仿宋"/>
                <w:color w:val="auto"/>
                <w:spacing w:val="0"/>
                <w:w w:val="100"/>
                <w:position w:val="0"/>
              </w:rPr>
              <w:t>合同金额</w:t>
            </w:r>
          </w:p>
        </w:tc>
        <w:tc>
          <w:tcPr>
            <w:tcW w:w="7196" w:type="dxa"/>
            <w:tcBorders>
              <w:top w:val="single" w:color="auto" w:sz="4" w:space="0"/>
              <w:left w:val="single" w:color="auto" w:sz="4" w:space="0"/>
              <w:right w:val="single" w:color="auto" w:sz="4" w:space="0"/>
            </w:tcBorders>
            <w:shd w:val="clear" w:color="auto" w:fill="FFFFFF"/>
            <w:vAlign w:val="top"/>
          </w:tcPr>
          <w:p w14:paraId="706916A5">
            <w:pPr>
              <w:widowControl w:val="0"/>
              <w:rPr>
                <w:rFonts w:hint="eastAsia" w:ascii="仿宋" w:hAnsi="仿宋" w:eastAsia="仿宋" w:cs="仿宋"/>
                <w:color w:val="auto"/>
                <w:sz w:val="10"/>
                <w:szCs w:val="10"/>
              </w:rPr>
            </w:pPr>
          </w:p>
        </w:tc>
      </w:tr>
      <w:tr w14:paraId="75F3DF8D">
        <w:tblPrEx>
          <w:tblCellMar>
            <w:top w:w="0" w:type="dxa"/>
            <w:left w:w="10" w:type="dxa"/>
            <w:bottom w:w="0" w:type="dxa"/>
            <w:right w:w="10" w:type="dxa"/>
          </w:tblCellMar>
        </w:tblPrEx>
        <w:trPr>
          <w:trHeight w:val="637" w:hRule="exact"/>
          <w:jc w:val="center"/>
        </w:trPr>
        <w:tc>
          <w:tcPr>
            <w:tcW w:w="1919" w:type="dxa"/>
            <w:tcBorders>
              <w:top w:val="single" w:color="auto" w:sz="4" w:space="0"/>
              <w:left w:val="single" w:color="auto" w:sz="4" w:space="0"/>
            </w:tcBorders>
            <w:shd w:val="clear" w:color="auto" w:fill="FFFFFF"/>
            <w:vAlign w:val="top"/>
          </w:tcPr>
          <w:p w14:paraId="0A123FFC">
            <w:pPr>
              <w:pStyle w:val="33"/>
              <w:keepNext w:val="0"/>
              <w:keepLines w:val="0"/>
              <w:widowControl w:val="0"/>
              <w:shd w:val="clear" w:color="auto" w:fill="auto"/>
              <w:bidi w:val="0"/>
              <w:spacing w:before="0" w:after="0" w:line="306" w:lineRule="exact"/>
              <w:ind w:left="0" w:right="0" w:firstLine="0"/>
              <w:jc w:val="center"/>
              <w:rPr>
                <w:rFonts w:hint="eastAsia" w:ascii="仿宋" w:hAnsi="仿宋" w:eastAsia="仿宋" w:cs="仿宋"/>
                <w:color w:val="auto"/>
              </w:rPr>
            </w:pPr>
            <w:r>
              <w:rPr>
                <w:rFonts w:hint="eastAsia" w:ascii="仿宋" w:hAnsi="仿宋" w:eastAsia="仿宋" w:cs="仿宋"/>
                <w:color w:val="auto"/>
                <w:spacing w:val="0"/>
                <w:w w:val="100"/>
                <w:position w:val="0"/>
              </w:rPr>
              <w:t>项目负责人姓名</w:t>
            </w:r>
          </w:p>
        </w:tc>
        <w:tc>
          <w:tcPr>
            <w:tcW w:w="7196" w:type="dxa"/>
            <w:tcBorders>
              <w:top w:val="single" w:color="auto" w:sz="4" w:space="0"/>
              <w:left w:val="single" w:color="auto" w:sz="4" w:space="0"/>
              <w:right w:val="single" w:color="auto" w:sz="4" w:space="0"/>
            </w:tcBorders>
            <w:shd w:val="clear" w:color="auto" w:fill="FFFFFF"/>
            <w:vAlign w:val="top"/>
          </w:tcPr>
          <w:p w14:paraId="0388CCC5">
            <w:pPr>
              <w:widowControl w:val="0"/>
              <w:rPr>
                <w:rFonts w:hint="eastAsia" w:ascii="仿宋" w:hAnsi="仿宋" w:eastAsia="仿宋" w:cs="仿宋"/>
                <w:color w:val="auto"/>
                <w:sz w:val="10"/>
                <w:szCs w:val="10"/>
              </w:rPr>
            </w:pPr>
          </w:p>
        </w:tc>
      </w:tr>
      <w:tr w14:paraId="08C598C1">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shd w:val="clear" w:color="auto" w:fill="FFFFFF"/>
            <w:vAlign w:val="top"/>
          </w:tcPr>
          <w:p w14:paraId="015EFD47">
            <w:pPr>
              <w:pStyle w:val="33"/>
              <w:keepNext w:val="0"/>
              <w:keepLines w:val="0"/>
              <w:widowControl w:val="0"/>
              <w:shd w:val="clear" w:color="auto" w:fill="auto"/>
              <w:bidi w:val="0"/>
              <w:spacing w:before="120" w:after="0" w:line="240" w:lineRule="auto"/>
              <w:ind w:left="0" w:right="0" w:firstLine="220"/>
              <w:jc w:val="left"/>
              <w:rPr>
                <w:rFonts w:hint="eastAsia" w:ascii="仿宋" w:hAnsi="仿宋" w:eastAsia="仿宋" w:cs="仿宋"/>
                <w:color w:val="auto"/>
              </w:rPr>
            </w:pPr>
            <w:r>
              <w:rPr>
                <w:rFonts w:hint="eastAsia" w:ascii="仿宋" w:hAnsi="仿宋" w:eastAsia="仿宋" w:cs="仿宋"/>
                <w:color w:val="auto"/>
                <w:spacing w:val="0"/>
                <w:w w:val="100"/>
                <w:position w:val="0"/>
              </w:rPr>
              <w:t>项目实施时间</w:t>
            </w:r>
          </w:p>
        </w:tc>
        <w:tc>
          <w:tcPr>
            <w:tcW w:w="7196" w:type="dxa"/>
            <w:tcBorders>
              <w:top w:val="single" w:color="auto" w:sz="4" w:space="0"/>
              <w:left w:val="single" w:color="auto" w:sz="4" w:space="0"/>
              <w:right w:val="single" w:color="auto" w:sz="4" w:space="0"/>
            </w:tcBorders>
            <w:shd w:val="clear" w:color="auto" w:fill="FFFFFF"/>
            <w:vAlign w:val="top"/>
          </w:tcPr>
          <w:p w14:paraId="02B9FCE4">
            <w:pPr>
              <w:widowControl w:val="0"/>
              <w:rPr>
                <w:rFonts w:hint="eastAsia" w:ascii="仿宋" w:hAnsi="仿宋" w:eastAsia="仿宋" w:cs="仿宋"/>
                <w:color w:val="auto"/>
                <w:sz w:val="10"/>
                <w:szCs w:val="10"/>
              </w:rPr>
            </w:pPr>
          </w:p>
        </w:tc>
      </w:tr>
      <w:tr w14:paraId="5AC7CCB5">
        <w:tblPrEx>
          <w:tblCellMar>
            <w:top w:w="0" w:type="dxa"/>
            <w:left w:w="10" w:type="dxa"/>
            <w:bottom w:w="0" w:type="dxa"/>
            <w:right w:w="10" w:type="dxa"/>
          </w:tblCellMar>
        </w:tblPrEx>
        <w:trPr>
          <w:trHeight w:val="1699" w:hRule="exact"/>
          <w:jc w:val="center"/>
        </w:trPr>
        <w:tc>
          <w:tcPr>
            <w:tcW w:w="1919" w:type="dxa"/>
            <w:tcBorders>
              <w:top w:val="single" w:color="auto" w:sz="4" w:space="0"/>
              <w:left w:val="single" w:color="auto" w:sz="4" w:space="0"/>
              <w:bottom w:val="single" w:color="auto" w:sz="4" w:space="0"/>
            </w:tcBorders>
            <w:shd w:val="clear" w:color="auto" w:fill="FFFFFF"/>
            <w:vAlign w:val="center"/>
          </w:tcPr>
          <w:p w14:paraId="225E5ADE">
            <w:pPr>
              <w:pStyle w:val="33"/>
              <w:keepNext w:val="0"/>
              <w:keepLines w:val="0"/>
              <w:widowControl w:val="0"/>
              <w:shd w:val="clear" w:color="auto" w:fill="auto"/>
              <w:bidi w:val="0"/>
              <w:spacing w:before="0" w:after="0" w:line="240" w:lineRule="auto"/>
              <w:ind w:left="0" w:right="0" w:firstLine="220"/>
              <w:jc w:val="left"/>
              <w:rPr>
                <w:rFonts w:hint="eastAsia" w:ascii="仿宋" w:hAnsi="仿宋" w:eastAsia="仿宋" w:cs="仿宋"/>
                <w:color w:val="auto"/>
              </w:rPr>
            </w:pPr>
            <w:r>
              <w:rPr>
                <w:rFonts w:hint="eastAsia" w:ascii="仿宋" w:hAnsi="仿宋" w:eastAsia="仿宋" w:cs="仿宋"/>
                <w:color w:val="auto"/>
                <w:spacing w:val="0"/>
                <w:w w:val="100"/>
                <w:position w:val="0"/>
              </w:rPr>
              <w:t>项目内容说明</w:t>
            </w:r>
          </w:p>
        </w:tc>
        <w:tc>
          <w:tcPr>
            <w:tcW w:w="7196" w:type="dxa"/>
            <w:tcBorders>
              <w:top w:val="single" w:color="auto" w:sz="4" w:space="0"/>
              <w:left w:val="single" w:color="auto" w:sz="4" w:space="0"/>
              <w:bottom w:val="single" w:color="auto" w:sz="4" w:space="0"/>
              <w:right w:val="single" w:color="auto" w:sz="4" w:space="0"/>
            </w:tcBorders>
            <w:shd w:val="clear" w:color="auto" w:fill="FFFFFF"/>
            <w:vAlign w:val="top"/>
          </w:tcPr>
          <w:p w14:paraId="63E429EC">
            <w:pPr>
              <w:widowControl w:val="0"/>
              <w:rPr>
                <w:rFonts w:hint="eastAsia" w:ascii="仿宋" w:hAnsi="仿宋" w:eastAsia="仿宋" w:cs="仿宋"/>
                <w:color w:val="auto"/>
                <w:sz w:val="10"/>
                <w:szCs w:val="10"/>
              </w:rPr>
            </w:pPr>
          </w:p>
        </w:tc>
      </w:tr>
    </w:tbl>
    <w:p w14:paraId="5246FF6C">
      <w:pPr>
        <w:rPr>
          <w:rFonts w:hint="eastAsia" w:ascii="仿宋" w:hAnsi="仿宋" w:eastAsia="仿宋" w:cs="仿宋"/>
          <w:color w:val="auto"/>
          <w:spacing w:val="-1"/>
          <w:kern w:val="0"/>
          <w:sz w:val="24"/>
        </w:rPr>
      </w:pPr>
    </w:p>
    <w:p w14:paraId="42451F26">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注：每个</w:t>
      </w:r>
      <w:r>
        <w:rPr>
          <w:rFonts w:hint="eastAsia" w:ascii="仿宋" w:hAnsi="仿宋" w:eastAsia="仿宋" w:cs="仿宋"/>
          <w:color w:val="auto"/>
          <w:spacing w:val="-1"/>
          <w:kern w:val="0"/>
          <w:sz w:val="24"/>
          <w:lang w:eastAsia="zh-CN"/>
        </w:rPr>
        <w:t>业绩</w:t>
      </w:r>
      <w:r>
        <w:rPr>
          <w:rFonts w:hint="eastAsia" w:ascii="仿宋" w:hAnsi="仿宋" w:eastAsia="仿宋" w:cs="仿宋"/>
          <w:color w:val="auto"/>
          <w:spacing w:val="-1"/>
          <w:kern w:val="0"/>
          <w:sz w:val="24"/>
        </w:rPr>
        <w:t>须单独附表，并附上</w:t>
      </w:r>
      <w:r>
        <w:rPr>
          <w:rFonts w:hint="eastAsia" w:ascii="仿宋" w:hAnsi="仿宋" w:eastAsia="仿宋" w:cs="仿宋"/>
          <w:color w:val="auto"/>
          <w:spacing w:val="-1"/>
          <w:kern w:val="0"/>
          <w:sz w:val="24"/>
          <w:lang w:val="en-US" w:eastAsia="zh-CN"/>
        </w:rPr>
        <w:t>中标通知书或合同（合同需要加盖公章）</w:t>
      </w:r>
      <w:r>
        <w:rPr>
          <w:rFonts w:hint="eastAsia" w:ascii="仿宋" w:hAnsi="仿宋" w:eastAsia="仿宋" w:cs="仿宋"/>
          <w:color w:val="auto"/>
          <w:spacing w:val="-1"/>
          <w:kern w:val="0"/>
          <w:sz w:val="24"/>
        </w:rPr>
        <w:t>相关证明材料，否则专家在评审时将不予采信。</w:t>
      </w:r>
    </w:p>
    <w:p w14:paraId="63F6CE6F">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p>
    <w:p w14:paraId="146EA65E">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p>
    <w:p w14:paraId="16380F1D">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p>
    <w:p w14:paraId="7A50E56B">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r>
        <w:rPr>
          <w:rFonts w:hint="eastAsia" w:ascii="仿宋" w:hAnsi="仿宋" w:eastAsia="仿宋" w:cs="仿宋"/>
          <w:color w:val="auto"/>
          <w:sz w:val="24"/>
          <w:szCs w:val="24"/>
        </w:rPr>
        <w:t>投标人：</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w w:val="95"/>
          <w:sz w:val="24"/>
          <w:szCs w:val="24"/>
        </w:rPr>
        <w:t>（盖章）</w:t>
      </w:r>
      <w:r>
        <w:rPr>
          <w:rFonts w:hint="eastAsia" w:ascii="仿宋" w:hAnsi="仿宋" w:eastAsia="仿宋" w:cs="仿宋"/>
          <w:color w:val="auto"/>
          <w:sz w:val="24"/>
          <w:szCs w:val="24"/>
        </w:rPr>
        <w:t xml:space="preserve"> </w:t>
      </w:r>
    </w:p>
    <w:p w14:paraId="29C1E482">
      <w:pPr>
        <w:pStyle w:val="7"/>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w w:val="95"/>
          <w:sz w:val="24"/>
          <w:szCs w:val="24"/>
        </w:rPr>
      </w:pPr>
      <w:r>
        <w:rPr>
          <w:rFonts w:hint="eastAsia" w:ascii="仿宋" w:hAnsi="仿宋" w:eastAsia="仿宋" w:cs="仿宋"/>
          <w:color w:val="auto"/>
          <w:sz w:val="24"/>
          <w:szCs w:val="24"/>
        </w:rPr>
        <w:t>法定代表人或被授权人：</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w w:val="95"/>
          <w:sz w:val="24"/>
          <w:szCs w:val="24"/>
        </w:rPr>
        <w:t>签</w:t>
      </w:r>
      <w:r>
        <w:rPr>
          <w:rFonts w:hint="eastAsia" w:ascii="仿宋" w:hAnsi="仿宋" w:eastAsia="仿宋" w:cs="仿宋"/>
          <w:color w:val="auto"/>
          <w:w w:val="95"/>
          <w:sz w:val="24"/>
          <w:szCs w:val="24"/>
          <w:lang w:eastAsia="zh-CN"/>
        </w:rPr>
        <w:t>章</w:t>
      </w:r>
      <w:r>
        <w:rPr>
          <w:rFonts w:hint="eastAsia" w:ascii="仿宋" w:hAnsi="仿宋" w:eastAsia="仿宋" w:cs="仿宋"/>
          <w:color w:val="auto"/>
          <w:w w:val="95"/>
          <w:sz w:val="24"/>
          <w:szCs w:val="24"/>
        </w:rPr>
        <w:t>）</w:t>
      </w:r>
    </w:p>
    <w:p w14:paraId="4CB4CA6B">
      <w:pPr>
        <w:pStyle w:val="7"/>
        <w:numPr>
          <w:ilvl w:val="0"/>
          <w:numId w:val="0"/>
        </w:numPr>
        <w:tabs>
          <w:tab w:val="left" w:pos="5551"/>
          <w:tab w:val="left" w:pos="6511"/>
          <w:tab w:val="left" w:pos="7111"/>
          <w:tab w:val="left" w:pos="7711"/>
        </w:tabs>
        <w:kinsoku w:val="0"/>
        <w:overflowPunct w:val="0"/>
        <w:spacing w:before="46"/>
        <w:ind w:left="3928" w:leftChars="0" w:right="0" w:rightChars="0"/>
        <w:rPr>
          <w:rFonts w:hint="eastAsia" w:ascii="仿宋" w:hAnsi="仿宋" w:eastAsia="仿宋" w:cs="仿宋"/>
          <w:color w:val="auto"/>
          <w:sz w:val="24"/>
          <w:szCs w:val="24"/>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日</w:t>
      </w:r>
    </w:p>
    <w:p w14:paraId="6F76622C">
      <w:pPr>
        <w:pStyle w:val="31"/>
        <w:keepNext w:val="0"/>
        <w:keepLines w:val="0"/>
        <w:widowControl w:val="0"/>
        <w:shd w:val="clear" w:color="auto" w:fill="auto"/>
        <w:bidi w:val="0"/>
        <w:spacing w:before="0" w:after="580" w:line="240" w:lineRule="auto"/>
        <w:ind w:left="0" w:right="0" w:firstLine="360"/>
        <w:jc w:val="left"/>
        <w:rPr>
          <w:rFonts w:hint="eastAsia" w:ascii="仿宋" w:hAnsi="仿宋" w:eastAsia="仿宋" w:cs="仿宋"/>
          <w:color w:val="auto"/>
          <w:spacing w:val="0"/>
          <w:w w:val="100"/>
          <w:position w:val="0"/>
        </w:rPr>
      </w:pPr>
    </w:p>
    <w:p w14:paraId="206765B4">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14:paraId="1BD3E3CB">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14:paraId="6F00C2D9">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14:paraId="69F1E463">
      <w:pPr>
        <w:shd w:val="clear" w:color="auto" w:fill="auto"/>
        <w:spacing w:line="360" w:lineRule="auto"/>
        <w:jc w:val="center"/>
        <w:rPr>
          <w:rFonts w:hint="eastAsia" w:ascii="仿宋" w:hAnsi="仿宋" w:eastAsia="仿宋" w:cs="仿宋"/>
          <w:b/>
          <w:bCs w:val="0"/>
          <w:color w:val="auto"/>
          <w:kern w:val="0"/>
          <w:sz w:val="36"/>
          <w:szCs w:val="36"/>
        </w:rPr>
      </w:pPr>
      <w:r>
        <w:rPr>
          <w:rFonts w:hint="eastAsia" w:ascii="仿宋" w:hAnsi="仿宋" w:eastAsia="仿宋" w:cs="仿宋"/>
          <w:b/>
          <w:bCs w:val="0"/>
          <w:color w:val="auto"/>
          <w:kern w:val="0"/>
          <w:sz w:val="36"/>
          <w:szCs w:val="36"/>
          <w:lang w:val="en-US" w:eastAsia="zh-CN"/>
        </w:rPr>
        <w:t>10</w:t>
      </w:r>
      <w:r>
        <w:rPr>
          <w:rFonts w:hint="eastAsia" w:ascii="仿宋" w:hAnsi="仿宋" w:eastAsia="仿宋" w:cs="仿宋"/>
          <w:b/>
          <w:bCs w:val="0"/>
          <w:color w:val="auto"/>
          <w:kern w:val="0"/>
          <w:sz w:val="36"/>
          <w:szCs w:val="36"/>
        </w:rPr>
        <w:t>、中小企业声明函(</w:t>
      </w:r>
      <w:r>
        <w:rPr>
          <w:rFonts w:hint="eastAsia" w:ascii="仿宋" w:hAnsi="仿宋" w:eastAsia="仿宋" w:cs="仿宋"/>
          <w:b/>
          <w:bCs w:val="0"/>
          <w:color w:val="auto"/>
          <w:kern w:val="0"/>
          <w:sz w:val="36"/>
          <w:szCs w:val="36"/>
          <w:lang w:eastAsia="zh-CN"/>
        </w:rPr>
        <w:t>货物</w:t>
      </w:r>
      <w:r>
        <w:rPr>
          <w:rFonts w:hint="eastAsia" w:ascii="仿宋" w:hAnsi="仿宋" w:eastAsia="仿宋" w:cs="仿宋"/>
          <w:b/>
          <w:bCs w:val="0"/>
          <w:color w:val="auto"/>
          <w:kern w:val="0"/>
          <w:sz w:val="36"/>
          <w:szCs w:val="36"/>
        </w:rPr>
        <w:t>)</w:t>
      </w:r>
    </w:p>
    <w:p w14:paraId="1073BE45">
      <w:pPr>
        <w:ind w:left="1280"/>
        <w:rPr>
          <w:rFonts w:hint="eastAsia" w:ascii="仿宋" w:hAnsi="仿宋" w:eastAsia="仿宋" w:cs="仿宋"/>
          <w:color w:val="auto"/>
          <w:sz w:val="32"/>
          <w:szCs w:val="32"/>
        </w:rPr>
      </w:pPr>
    </w:p>
    <w:p w14:paraId="7902F990">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7C54EB67">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u w:val="single"/>
        </w:rPr>
        <w:t>（标的名称）</w:t>
      </w:r>
      <w:r>
        <w:rPr>
          <w:rFonts w:hint="eastAsia" w:ascii="仿宋" w:hAnsi="仿宋" w:eastAsia="仿宋" w:cs="仿宋"/>
          <w:color w:val="auto"/>
          <w:kern w:val="0"/>
          <w:sz w:val="24"/>
          <w:szCs w:val="24"/>
        </w:rPr>
        <w:t>，属于</w:t>
      </w:r>
      <w:r>
        <w:rPr>
          <w:rFonts w:hint="eastAsia" w:ascii="仿宋" w:hAnsi="仿宋" w:eastAsia="仿宋" w:cs="仿宋"/>
          <w:color w:val="auto"/>
          <w:kern w:val="0"/>
          <w:sz w:val="24"/>
          <w:szCs w:val="24"/>
          <w:u w:val="single"/>
        </w:rPr>
        <w:t>（采购文件中明确的所属行业）</w:t>
      </w:r>
      <w:r>
        <w:rPr>
          <w:rFonts w:hint="eastAsia" w:ascii="仿宋" w:hAnsi="仿宋" w:eastAsia="仿宋" w:cs="仿宋"/>
          <w:color w:val="auto"/>
          <w:kern w:val="0"/>
          <w:sz w:val="24"/>
          <w:szCs w:val="24"/>
        </w:rPr>
        <w:t>；制造商为</w:t>
      </w:r>
      <w:r>
        <w:rPr>
          <w:rFonts w:hint="eastAsia" w:ascii="仿宋" w:hAnsi="仿宋" w:eastAsia="仿宋" w:cs="仿宋"/>
          <w:color w:val="auto"/>
          <w:kern w:val="0"/>
          <w:sz w:val="24"/>
          <w:szCs w:val="24"/>
          <w:u w:val="single"/>
        </w:rPr>
        <w:t>（企业名称）</w:t>
      </w:r>
      <w:r>
        <w:rPr>
          <w:rFonts w:hint="eastAsia" w:ascii="仿宋" w:hAnsi="仿宋" w:eastAsia="仿宋" w:cs="仿宋"/>
          <w:color w:val="auto"/>
          <w:kern w:val="0"/>
          <w:sz w:val="24"/>
          <w:szCs w:val="24"/>
        </w:rPr>
        <w:t>，从业人员</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人，营业收入为</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万元，资产总额为</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万元，属于</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rPr>
        <w:t>（中型企业、小型企业、微型企业）；</w:t>
      </w:r>
    </w:p>
    <w:p w14:paraId="753EAB97">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 （标的名称），属于（采购文件中明确的所属行业）；制造商为（企业名称），从业人员  人，营业收入为  万元，资产总额为  万元，属于（中型企业、小型企业、微型企业）；</w:t>
      </w:r>
    </w:p>
    <w:p w14:paraId="37A124C8">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6F162C1D">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以上企业，不属于大企业的分支机构，不存在控股股东为大企业的情形，也不存在与大企业的负责人为同一人的情形。</w:t>
      </w:r>
    </w:p>
    <w:p w14:paraId="596459F8">
      <w:pPr>
        <w:shd w:val="clear" w:color="auto" w:fill="auto"/>
        <w:spacing w:line="360" w:lineRule="auto"/>
        <w:ind w:firstLine="480" w:firstLineChars="200"/>
        <w:rPr>
          <w:rFonts w:hint="eastAsia" w:ascii="仿宋" w:hAnsi="仿宋" w:eastAsia="仿宋" w:cs="仿宋"/>
          <w:color w:val="auto"/>
          <w:kern w:val="0"/>
          <w:sz w:val="24"/>
          <w:szCs w:val="24"/>
        </w:rPr>
      </w:pPr>
    </w:p>
    <w:p w14:paraId="5E76436C">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本企业对上述声明内容的真实性负责。如有虚假，将依法承担相应责任。</w:t>
      </w:r>
    </w:p>
    <w:p w14:paraId="3334DB31">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w:t>
      </w:r>
    </w:p>
    <w:p w14:paraId="0123B2FA">
      <w:pPr>
        <w:shd w:val="clear" w:color="auto" w:fill="auto"/>
        <w:spacing w:line="360" w:lineRule="auto"/>
        <w:ind w:firstLine="480" w:firstLineChars="200"/>
        <w:rPr>
          <w:rFonts w:hint="eastAsia" w:ascii="仿宋" w:hAnsi="仿宋" w:eastAsia="仿宋" w:cs="仿宋"/>
          <w:color w:val="auto"/>
          <w:kern w:val="0"/>
          <w:sz w:val="24"/>
          <w:szCs w:val="24"/>
        </w:rPr>
      </w:pPr>
    </w:p>
    <w:p w14:paraId="40CC94F1">
      <w:pPr>
        <w:shd w:val="clear" w:color="auto" w:fill="auto"/>
        <w:spacing w:line="360" w:lineRule="auto"/>
        <w:ind w:firstLine="4560" w:firstLineChars="19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企业名称（盖章）：</w:t>
      </w:r>
    </w:p>
    <w:p w14:paraId="3F3FDC90">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 xml:space="preserve"> 日期：</w:t>
      </w:r>
    </w:p>
    <w:p w14:paraId="66ED2BD4">
      <w:pPr>
        <w:pStyle w:val="14"/>
        <w:rPr>
          <w:rFonts w:hint="eastAsia" w:ascii="仿宋" w:hAnsi="仿宋" w:eastAsia="仿宋" w:cs="仿宋"/>
          <w:color w:val="auto"/>
        </w:rPr>
      </w:pPr>
    </w:p>
    <w:p w14:paraId="2FA61C7F">
      <w:pPr>
        <w:pStyle w:val="14"/>
        <w:rPr>
          <w:rFonts w:hint="eastAsia" w:ascii="仿宋" w:hAnsi="仿宋" w:eastAsia="仿宋" w:cs="仿宋"/>
          <w:color w:val="auto"/>
        </w:rPr>
      </w:pPr>
    </w:p>
    <w:p w14:paraId="1994D966">
      <w:pPr>
        <w:pStyle w:val="14"/>
        <w:rPr>
          <w:rFonts w:hint="eastAsia" w:ascii="仿宋" w:hAnsi="仿宋" w:eastAsia="仿宋" w:cs="仿宋"/>
          <w:color w:val="auto"/>
        </w:rPr>
      </w:pPr>
    </w:p>
    <w:p w14:paraId="268AAAB4">
      <w:pPr>
        <w:pStyle w:val="14"/>
        <w:rPr>
          <w:rFonts w:hint="eastAsia" w:ascii="仿宋" w:hAnsi="仿宋" w:eastAsia="仿宋" w:cs="仿宋"/>
          <w:color w:val="auto"/>
        </w:rPr>
      </w:pPr>
    </w:p>
    <w:p w14:paraId="08BD4598">
      <w:pPr>
        <w:pStyle w:val="14"/>
        <w:rPr>
          <w:rFonts w:hint="eastAsia" w:ascii="仿宋" w:hAnsi="仿宋" w:eastAsia="仿宋" w:cs="仿宋"/>
          <w:color w:val="auto"/>
        </w:rPr>
      </w:pPr>
    </w:p>
    <w:p w14:paraId="329E25CE">
      <w:pPr>
        <w:pStyle w:val="14"/>
        <w:rPr>
          <w:rFonts w:hint="eastAsia" w:ascii="仿宋" w:hAnsi="仿宋" w:eastAsia="仿宋" w:cs="仿宋"/>
          <w:color w:val="auto"/>
        </w:rPr>
      </w:pPr>
    </w:p>
    <w:p w14:paraId="6A2D2E00">
      <w:pPr>
        <w:pStyle w:val="14"/>
        <w:rPr>
          <w:rFonts w:hint="eastAsia" w:ascii="仿宋" w:hAnsi="仿宋" w:eastAsia="仿宋" w:cs="仿宋"/>
          <w:color w:val="auto"/>
        </w:rPr>
      </w:pPr>
    </w:p>
    <w:p w14:paraId="0593A631">
      <w:pPr>
        <w:pStyle w:val="14"/>
        <w:rPr>
          <w:rFonts w:hint="eastAsia" w:ascii="仿宋" w:hAnsi="仿宋" w:eastAsia="仿宋" w:cs="仿宋"/>
          <w:color w:val="auto"/>
        </w:rPr>
      </w:pPr>
    </w:p>
    <w:p w14:paraId="0753D9E2">
      <w:pPr>
        <w:pStyle w:val="14"/>
        <w:rPr>
          <w:rFonts w:hint="eastAsia" w:ascii="仿宋" w:hAnsi="仿宋" w:eastAsia="仿宋" w:cs="仿宋"/>
          <w:color w:val="auto"/>
        </w:rPr>
      </w:pPr>
    </w:p>
    <w:p w14:paraId="42AA6D08">
      <w:pPr>
        <w:pStyle w:val="14"/>
        <w:rPr>
          <w:rFonts w:hint="eastAsia" w:ascii="仿宋" w:hAnsi="仿宋" w:eastAsia="仿宋" w:cs="仿宋"/>
          <w:color w:val="auto"/>
        </w:rPr>
      </w:pPr>
    </w:p>
    <w:p w14:paraId="7A056C2F">
      <w:pPr>
        <w:pStyle w:val="14"/>
        <w:rPr>
          <w:rFonts w:hint="eastAsia" w:ascii="仿宋" w:hAnsi="仿宋" w:eastAsia="仿宋" w:cs="仿宋"/>
          <w:color w:val="auto"/>
        </w:rPr>
      </w:pPr>
    </w:p>
    <w:p w14:paraId="45925D46">
      <w:pPr>
        <w:tabs>
          <w:tab w:val="left" w:pos="3600"/>
        </w:tabs>
        <w:adjustRightInd w:val="0"/>
        <w:snapToGrid w:val="0"/>
        <w:spacing w:line="440" w:lineRule="exact"/>
        <w:jc w:val="center"/>
        <w:rPr>
          <w:rFonts w:hint="eastAsia" w:ascii="仿宋" w:hAnsi="仿宋" w:eastAsia="仿宋" w:cs="仿宋"/>
          <w:color w:val="auto"/>
          <w:spacing w:val="0"/>
          <w:w w:val="100"/>
          <w:position w:val="0"/>
          <w:sz w:val="36"/>
          <w:szCs w:val="36"/>
          <w:lang w:val="en-US" w:eastAsia="zh-CN"/>
        </w:rPr>
      </w:pPr>
    </w:p>
    <w:p w14:paraId="67F65C42">
      <w:pPr>
        <w:tabs>
          <w:tab w:val="left" w:pos="3600"/>
        </w:tabs>
        <w:adjustRightInd w:val="0"/>
        <w:snapToGrid w:val="0"/>
        <w:spacing w:line="440" w:lineRule="exact"/>
        <w:jc w:val="center"/>
        <w:rPr>
          <w:rFonts w:hint="eastAsia" w:ascii="仿宋" w:hAnsi="仿宋" w:eastAsia="仿宋" w:cs="仿宋"/>
          <w:color w:val="auto"/>
          <w:spacing w:val="0"/>
          <w:w w:val="100"/>
          <w:position w:val="0"/>
          <w:sz w:val="36"/>
          <w:szCs w:val="36"/>
          <w:lang w:val="en-US" w:eastAsia="zh-CN"/>
        </w:rPr>
      </w:pPr>
    </w:p>
    <w:p w14:paraId="465D6F6D">
      <w:pPr>
        <w:tabs>
          <w:tab w:val="left" w:pos="3600"/>
        </w:tabs>
        <w:adjustRightInd w:val="0"/>
        <w:snapToGrid w:val="0"/>
        <w:spacing w:line="440" w:lineRule="exact"/>
        <w:jc w:val="center"/>
        <w:rPr>
          <w:rFonts w:hint="eastAsia" w:ascii="仿宋" w:hAnsi="仿宋" w:eastAsia="仿宋" w:cs="仿宋"/>
          <w:b/>
          <w:bCs/>
          <w:color w:val="auto"/>
          <w:spacing w:val="6"/>
          <w:kern w:val="0"/>
          <w:sz w:val="36"/>
          <w:szCs w:val="36"/>
        </w:rPr>
      </w:pPr>
      <w:r>
        <w:rPr>
          <w:rFonts w:hint="eastAsia" w:ascii="仿宋" w:hAnsi="仿宋" w:eastAsia="仿宋" w:cs="仿宋"/>
          <w:color w:val="auto"/>
          <w:spacing w:val="0"/>
          <w:w w:val="100"/>
          <w:position w:val="0"/>
          <w:sz w:val="36"/>
          <w:szCs w:val="36"/>
          <w:lang w:val="en-US" w:eastAsia="zh-CN"/>
        </w:rPr>
        <w:t>11</w:t>
      </w:r>
      <w:r>
        <w:rPr>
          <w:rFonts w:hint="eastAsia" w:ascii="仿宋" w:hAnsi="仿宋" w:eastAsia="仿宋" w:cs="仿宋"/>
          <w:color w:val="auto"/>
          <w:spacing w:val="0"/>
          <w:w w:val="100"/>
          <w:position w:val="0"/>
          <w:sz w:val="36"/>
          <w:szCs w:val="36"/>
          <w:lang w:eastAsia="zh-CN"/>
        </w:rPr>
        <w:t>、</w:t>
      </w:r>
      <w:r>
        <w:rPr>
          <w:rFonts w:hint="eastAsia" w:ascii="仿宋" w:hAnsi="仿宋" w:eastAsia="仿宋" w:cs="仿宋"/>
          <w:b/>
          <w:bCs/>
          <w:color w:val="auto"/>
          <w:spacing w:val="6"/>
          <w:kern w:val="0"/>
          <w:sz w:val="36"/>
          <w:szCs w:val="36"/>
        </w:rPr>
        <w:t>残疾人福利性单位声明函</w:t>
      </w:r>
    </w:p>
    <w:p w14:paraId="1391B63B">
      <w:pPr>
        <w:widowControl/>
        <w:adjustRightInd w:val="0"/>
        <w:snapToGrid w:val="0"/>
        <w:spacing w:line="440" w:lineRule="exact"/>
        <w:ind w:firstLine="504" w:firstLineChars="200"/>
        <w:jc w:val="left"/>
        <w:rPr>
          <w:rFonts w:hint="eastAsia" w:ascii="仿宋" w:hAnsi="仿宋" w:eastAsia="仿宋" w:cs="仿宋"/>
          <w:color w:val="auto"/>
          <w:spacing w:val="6"/>
          <w:kern w:val="0"/>
          <w:sz w:val="24"/>
          <w:szCs w:val="24"/>
        </w:rPr>
      </w:pPr>
    </w:p>
    <w:p w14:paraId="1DE373B8">
      <w:pPr>
        <w:widowControl/>
        <w:adjustRightInd w:val="0"/>
        <w:snapToGrid w:val="0"/>
        <w:spacing w:line="440" w:lineRule="exact"/>
        <w:ind w:firstLine="504" w:firstLineChars="200"/>
        <w:jc w:val="left"/>
        <w:rPr>
          <w:rFonts w:hint="eastAsia" w:ascii="仿宋" w:hAnsi="仿宋" w:eastAsia="仿宋" w:cs="仿宋"/>
          <w:color w:val="auto"/>
          <w:spacing w:val="6"/>
          <w:kern w:val="0"/>
          <w:sz w:val="24"/>
          <w:szCs w:val="24"/>
        </w:rPr>
      </w:pPr>
      <w:r>
        <w:rPr>
          <w:rFonts w:hint="eastAsia" w:ascii="仿宋" w:hAnsi="仿宋" w:eastAsia="仿宋" w:cs="仿宋"/>
          <w:color w:val="auto"/>
          <w:spacing w:val="6"/>
          <w:kern w:val="0"/>
          <w:sz w:val="24"/>
          <w:szCs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7DA7B87">
      <w:pPr>
        <w:widowControl/>
        <w:adjustRightInd w:val="0"/>
        <w:snapToGrid w:val="0"/>
        <w:spacing w:line="440" w:lineRule="exact"/>
        <w:ind w:firstLine="504" w:firstLineChars="200"/>
        <w:jc w:val="left"/>
        <w:rPr>
          <w:rFonts w:hint="eastAsia" w:ascii="仿宋" w:hAnsi="仿宋" w:eastAsia="仿宋" w:cs="仿宋"/>
          <w:color w:val="auto"/>
          <w:spacing w:val="6"/>
          <w:kern w:val="0"/>
          <w:sz w:val="24"/>
          <w:szCs w:val="24"/>
        </w:rPr>
      </w:pPr>
      <w:r>
        <w:rPr>
          <w:rFonts w:hint="eastAsia" w:ascii="仿宋" w:hAnsi="仿宋" w:eastAsia="仿宋" w:cs="仿宋"/>
          <w:color w:val="auto"/>
          <w:spacing w:val="6"/>
          <w:kern w:val="0"/>
          <w:sz w:val="24"/>
          <w:szCs w:val="24"/>
        </w:rPr>
        <w:t>本单位对上述声明的真实性负责。如有虚假，将依法承担相应责任。</w:t>
      </w:r>
    </w:p>
    <w:p w14:paraId="79FAB24C">
      <w:pPr>
        <w:widowControl/>
        <w:adjustRightInd w:val="0"/>
        <w:snapToGrid w:val="0"/>
        <w:spacing w:line="440" w:lineRule="exact"/>
        <w:ind w:firstLine="504" w:firstLineChars="200"/>
        <w:jc w:val="left"/>
        <w:rPr>
          <w:rFonts w:hint="eastAsia" w:ascii="仿宋" w:hAnsi="仿宋" w:eastAsia="仿宋" w:cs="仿宋"/>
          <w:color w:val="auto"/>
          <w:spacing w:val="6"/>
          <w:kern w:val="0"/>
          <w:sz w:val="24"/>
          <w:szCs w:val="24"/>
        </w:rPr>
      </w:pPr>
      <w:r>
        <w:rPr>
          <w:rFonts w:hint="eastAsia" w:ascii="仿宋" w:hAnsi="仿宋" w:eastAsia="仿宋" w:cs="仿宋"/>
          <w:color w:val="auto"/>
          <w:spacing w:val="6"/>
          <w:kern w:val="0"/>
          <w:sz w:val="24"/>
          <w:szCs w:val="24"/>
        </w:rPr>
        <w:t xml:space="preserve">                                     </w:t>
      </w:r>
    </w:p>
    <w:p w14:paraId="6FF09336">
      <w:pPr>
        <w:widowControl/>
        <w:adjustRightInd w:val="0"/>
        <w:snapToGrid w:val="0"/>
        <w:spacing w:line="440" w:lineRule="exact"/>
        <w:ind w:firstLine="5544" w:firstLineChars="2200"/>
        <w:jc w:val="left"/>
        <w:rPr>
          <w:rFonts w:hint="eastAsia" w:ascii="仿宋" w:hAnsi="仿宋" w:eastAsia="仿宋" w:cs="仿宋"/>
          <w:color w:val="auto"/>
          <w:spacing w:val="6"/>
          <w:kern w:val="0"/>
          <w:sz w:val="24"/>
          <w:szCs w:val="24"/>
        </w:rPr>
      </w:pPr>
      <w:r>
        <w:rPr>
          <w:rFonts w:hint="eastAsia" w:ascii="仿宋" w:hAnsi="仿宋" w:eastAsia="仿宋" w:cs="仿宋"/>
          <w:color w:val="auto"/>
          <w:spacing w:val="6"/>
          <w:kern w:val="0"/>
          <w:sz w:val="24"/>
          <w:szCs w:val="24"/>
        </w:rPr>
        <w:t>单位名称（盖章）：</w:t>
      </w:r>
    </w:p>
    <w:p w14:paraId="52352A1B">
      <w:pPr>
        <w:widowControl/>
        <w:adjustRightInd w:val="0"/>
        <w:snapToGrid w:val="0"/>
        <w:spacing w:line="440" w:lineRule="exact"/>
        <w:ind w:firstLine="504" w:firstLineChars="200"/>
        <w:jc w:val="left"/>
        <w:rPr>
          <w:rFonts w:hint="eastAsia" w:ascii="仿宋" w:hAnsi="仿宋" w:eastAsia="仿宋" w:cs="仿宋"/>
          <w:color w:val="auto"/>
          <w:spacing w:val="6"/>
          <w:kern w:val="0"/>
          <w:sz w:val="24"/>
          <w:szCs w:val="24"/>
        </w:rPr>
      </w:pPr>
      <w:r>
        <w:rPr>
          <w:rFonts w:hint="eastAsia" w:ascii="仿宋" w:hAnsi="仿宋" w:eastAsia="仿宋" w:cs="仿宋"/>
          <w:color w:val="auto"/>
          <w:spacing w:val="6"/>
          <w:kern w:val="0"/>
          <w:sz w:val="24"/>
          <w:szCs w:val="24"/>
        </w:rPr>
        <w:t xml:space="preserve">                                      日  期：</w:t>
      </w:r>
    </w:p>
    <w:p w14:paraId="30E1B3A8">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123F5DCC">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0DAA9A0A">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53070EFB">
      <w:pPr>
        <w:rPr>
          <w:rFonts w:hint="eastAsia" w:ascii="仿宋" w:hAnsi="仿宋" w:eastAsia="仿宋" w:cs="仿宋"/>
          <w:b/>
          <w:bCs/>
          <w:color w:val="auto"/>
          <w:sz w:val="24"/>
          <w:highlight w:val="none"/>
          <w:lang w:val="en-US" w:eastAsia="zh-CN"/>
        </w:rPr>
      </w:pPr>
    </w:p>
    <w:p w14:paraId="74D7A358">
      <w:pPr>
        <w:pStyle w:val="26"/>
        <w:rPr>
          <w:rFonts w:hint="eastAsia" w:ascii="仿宋" w:hAnsi="仿宋" w:eastAsia="仿宋" w:cs="仿宋"/>
          <w:b/>
          <w:bCs/>
          <w:color w:val="auto"/>
          <w:sz w:val="24"/>
          <w:highlight w:val="none"/>
          <w:lang w:val="en-US" w:eastAsia="zh-CN"/>
        </w:rPr>
      </w:pPr>
    </w:p>
    <w:p w14:paraId="2EE38125">
      <w:pPr>
        <w:pStyle w:val="26"/>
        <w:rPr>
          <w:rFonts w:hint="eastAsia" w:ascii="仿宋" w:hAnsi="仿宋" w:eastAsia="仿宋" w:cs="仿宋"/>
          <w:b/>
          <w:bCs/>
          <w:color w:val="auto"/>
          <w:sz w:val="24"/>
          <w:highlight w:val="none"/>
          <w:lang w:val="en-US" w:eastAsia="zh-CN"/>
        </w:rPr>
      </w:pPr>
    </w:p>
    <w:p w14:paraId="2757BD15">
      <w:pPr>
        <w:pStyle w:val="26"/>
        <w:rPr>
          <w:rFonts w:hint="eastAsia" w:ascii="仿宋" w:hAnsi="仿宋" w:eastAsia="仿宋" w:cs="仿宋"/>
          <w:b/>
          <w:bCs/>
          <w:color w:val="auto"/>
          <w:sz w:val="24"/>
          <w:highlight w:val="none"/>
          <w:lang w:val="en-US" w:eastAsia="zh-CN"/>
        </w:rPr>
      </w:pPr>
    </w:p>
    <w:p w14:paraId="246D8B77">
      <w:pPr>
        <w:pStyle w:val="26"/>
        <w:rPr>
          <w:rFonts w:hint="eastAsia" w:ascii="仿宋" w:hAnsi="仿宋" w:eastAsia="仿宋" w:cs="仿宋"/>
          <w:b/>
          <w:bCs/>
          <w:color w:val="auto"/>
          <w:sz w:val="24"/>
          <w:highlight w:val="none"/>
          <w:lang w:val="en-US" w:eastAsia="zh-CN"/>
        </w:rPr>
      </w:pPr>
    </w:p>
    <w:p w14:paraId="609B4A71">
      <w:pPr>
        <w:pStyle w:val="26"/>
        <w:rPr>
          <w:rFonts w:hint="eastAsia" w:ascii="仿宋" w:hAnsi="仿宋" w:eastAsia="仿宋" w:cs="仿宋"/>
          <w:b/>
          <w:bCs/>
          <w:color w:val="auto"/>
          <w:sz w:val="24"/>
          <w:highlight w:val="none"/>
          <w:lang w:val="en-US" w:eastAsia="zh-CN"/>
        </w:rPr>
      </w:pPr>
    </w:p>
    <w:p w14:paraId="1F221BFA">
      <w:pPr>
        <w:pStyle w:val="26"/>
        <w:rPr>
          <w:rFonts w:hint="eastAsia" w:ascii="仿宋" w:hAnsi="仿宋" w:eastAsia="仿宋" w:cs="仿宋"/>
          <w:b/>
          <w:bCs/>
          <w:color w:val="auto"/>
          <w:sz w:val="24"/>
          <w:highlight w:val="none"/>
          <w:lang w:val="en-US" w:eastAsia="zh-CN"/>
        </w:rPr>
      </w:pPr>
    </w:p>
    <w:p w14:paraId="1EA36CA8">
      <w:pPr>
        <w:pStyle w:val="26"/>
        <w:rPr>
          <w:rFonts w:hint="eastAsia" w:ascii="仿宋" w:hAnsi="仿宋" w:eastAsia="仿宋" w:cs="仿宋"/>
          <w:b/>
          <w:bCs/>
          <w:color w:val="auto"/>
          <w:sz w:val="24"/>
          <w:highlight w:val="none"/>
          <w:lang w:val="en-US" w:eastAsia="zh-CN"/>
        </w:rPr>
      </w:pPr>
    </w:p>
    <w:p w14:paraId="75262797">
      <w:pPr>
        <w:pStyle w:val="26"/>
        <w:rPr>
          <w:rFonts w:hint="eastAsia" w:ascii="仿宋" w:hAnsi="仿宋" w:eastAsia="仿宋" w:cs="仿宋"/>
          <w:b/>
          <w:bCs/>
          <w:color w:val="auto"/>
          <w:sz w:val="24"/>
          <w:highlight w:val="none"/>
          <w:lang w:val="en-US" w:eastAsia="zh-CN"/>
        </w:rPr>
      </w:pPr>
    </w:p>
    <w:p w14:paraId="1CBE724A">
      <w:pPr>
        <w:pStyle w:val="26"/>
        <w:rPr>
          <w:rFonts w:hint="eastAsia" w:ascii="仿宋" w:hAnsi="仿宋" w:eastAsia="仿宋" w:cs="仿宋"/>
          <w:b/>
          <w:bCs/>
          <w:color w:val="auto"/>
          <w:sz w:val="24"/>
          <w:highlight w:val="none"/>
          <w:lang w:val="en-US" w:eastAsia="zh-CN"/>
        </w:rPr>
      </w:pPr>
    </w:p>
    <w:p w14:paraId="6075D4EB">
      <w:pPr>
        <w:pStyle w:val="26"/>
        <w:rPr>
          <w:rFonts w:hint="eastAsia" w:ascii="仿宋" w:hAnsi="仿宋" w:eastAsia="仿宋" w:cs="仿宋"/>
          <w:b/>
          <w:bCs/>
          <w:color w:val="auto"/>
          <w:sz w:val="24"/>
          <w:highlight w:val="none"/>
          <w:lang w:val="en-US" w:eastAsia="zh-CN"/>
        </w:rPr>
      </w:pPr>
    </w:p>
    <w:p w14:paraId="73D3A5C6">
      <w:pPr>
        <w:pStyle w:val="26"/>
        <w:rPr>
          <w:rFonts w:hint="eastAsia" w:ascii="仿宋" w:hAnsi="仿宋" w:eastAsia="仿宋" w:cs="仿宋"/>
          <w:b/>
          <w:bCs/>
          <w:color w:val="auto"/>
          <w:sz w:val="24"/>
          <w:highlight w:val="none"/>
          <w:lang w:val="en-US" w:eastAsia="zh-CN"/>
        </w:rPr>
      </w:pPr>
    </w:p>
    <w:p w14:paraId="0D12F40D">
      <w:pPr>
        <w:pStyle w:val="26"/>
        <w:rPr>
          <w:rFonts w:hint="eastAsia" w:ascii="仿宋" w:hAnsi="仿宋" w:eastAsia="仿宋" w:cs="仿宋"/>
          <w:b/>
          <w:bCs/>
          <w:color w:val="auto"/>
          <w:sz w:val="24"/>
          <w:highlight w:val="none"/>
          <w:lang w:val="en-US" w:eastAsia="zh-CN"/>
        </w:rPr>
      </w:pPr>
    </w:p>
    <w:p w14:paraId="5FD42617">
      <w:pPr>
        <w:pStyle w:val="26"/>
        <w:rPr>
          <w:rFonts w:hint="eastAsia" w:ascii="仿宋" w:hAnsi="仿宋" w:eastAsia="仿宋" w:cs="仿宋"/>
          <w:b/>
          <w:bCs/>
          <w:color w:val="auto"/>
          <w:sz w:val="24"/>
          <w:highlight w:val="none"/>
          <w:lang w:val="en-US" w:eastAsia="zh-CN"/>
        </w:rPr>
      </w:pPr>
    </w:p>
    <w:p w14:paraId="7E1A36C2">
      <w:pPr>
        <w:pStyle w:val="26"/>
        <w:rPr>
          <w:rFonts w:hint="eastAsia" w:ascii="仿宋" w:hAnsi="仿宋" w:eastAsia="仿宋" w:cs="仿宋"/>
          <w:b/>
          <w:bCs/>
          <w:color w:val="auto"/>
          <w:sz w:val="24"/>
          <w:highlight w:val="none"/>
          <w:lang w:val="en-US" w:eastAsia="zh-CN"/>
        </w:rPr>
      </w:pPr>
    </w:p>
    <w:p w14:paraId="6C737909">
      <w:pPr>
        <w:pStyle w:val="26"/>
        <w:rPr>
          <w:rFonts w:hint="eastAsia" w:ascii="仿宋" w:hAnsi="仿宋" w:eastAsia="仿宋" w:cs="仿宋"/>
          <w:b/>
          <w:bCs/>
          <w:color w:val="auto"/>
          <w:sz w:val="24"/>
          <w:highlight w:val="none"/>
          <w:lang w:val="en-US" w:eastAsia="zh-CN"/>
        </w:rPr>
      </w:pPr>
    </w:p>
    <w:p w14:paraId="0870035C">
      <w:pPr>
        <w:pStyle w:val="26"/>
        <w:rPr>
          <w:rFonts w:hint="eastAsia" w:ascii="仿宋" w:hAnsi="仿宋" w:eastAsia="仿宋" w:cs="仿宋"/>
          <w:b/>
          <w:bCs/>
          <w:color w:val="auto"/>
          <w:sz w:val="24"/>
          <w:highlight w:val="none"/>
          <w:lang w:val="en-US" w:eastAsia="zh-CN"/>
        </w:rPr>
      </w:pPr>
    </w:p>
    <w:p w14:paraId="405242DF">
      <w:pPr>
        <w:pStyle w:val="26"/>
        <w:rPr>
          <w:rFonts w:hint="eastAsia" w:ascii="仿宋" w:hAnsi="仿宋" w:eastAsia="仿宋" w:cs="仿宋"/>
          <w:b/>
          <w:bCs/>
          <w:color w:val="auto"/>
          <w:sz w:val="24"/>
          <w:highlight w:val="none"/>
          <w:lang w:val="en-US" w:eastAsia="zh-CN"/>
        </w:rPr>
      </w:pPr>
    </w:p>
    <w:p w14:paraId="7D5A0D22">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59B5185B">
      <w:pPr>
        <w:shd w:val="clear" w:color="auto" w:fill="auto"/>
        <w:tabs>
          <w:tab w:val="left" w:pos="3600"/>
        </w:tabs>
        <w:adjustRightInd w:val="0"/>
        <w:snapToGrid w:val="0"/>
        <w:spacing w:line="440" w:lineRule="exact"/>
        <w:jc w:val="center"/>
        <w:rPr>
          <w:rFonts w:hint="eastAsia" w:ascii="仿宋" w:hAnsi="仿宋" w:eastAsia="仿宋" w:cs="仿宋"/>
          <w:color w:val="auto"/>
          <w:spacing w:val="0"/>
          <w:w w:val="100"/>
          <w:position w:val="0"/>
          <w:sz w:val="36"/>
          <w:szCs w:val="36"/>
          <w:lang w:val="en-US" w:eastAsia="zh-CN"/>
        </w:rPr>
      </w:pPr>
      <w:r>
        <w:rPr>
          <w:rFonts w:hint="eastAsia" w:ascii="仿宋" w:hAnsi="仿宋" w:eastAsia="仿宋" w:cs="仿宋"/>
          <w:b/>
          <w:bCs/>
          <w:color w:val="auto"/>
          <w:spacing w:val="0"/>
          <w:w w:val="100"/>
          <w:position w:val="0"/>
          <w:sz w:val="36"/>
          <w:szCs w:val="36"/>
          <w:lang w:val="en-US" w:eastAsia="zh-CN"/>
        </w:rPr>
        <w:t>12、评分标准和细则中技术部分证明材料（格式自拟</w:t>
      </w:r>
      <w:r>
        <w:rPr>
          <w:rFonts w:hint="eastAsia" w:ascii="仿宋" w:hAnsi="仿宋" w:eastAsia="仿宋" w:cs="仿宋"/>
          <w:color w:val="auto"/>
          <w:spacing w:val="0"/>
          <w:w w:val="100"/>
          <w:position w:val="0"/>
          <w:sz w:val="36"/>
          <w:szCs w:val="36"/>
          <w:lang w:val="en-US" w:eastAsia="zh-CN"/>
        </w:rPr>
        <w:t>）</w:t>
      </w:r>
    </w:p>
    <w:p w14:paraId="2169EDA6">
      <w:pPr>
        <w:pStyle w:val="3"/>
        <w:numPr>
          <w:ilvl w:val="1"/>
          <w:numId w:val="0"/>
        </w:numPr>
        <w:shd w:val="clear" w:color="auto" w:fill="auto"/>
        <w:spacing w:before="0" w:line="240" w:lineRule="atLeast"/>
        <w:ind w:leftChars="257"/>
        <w:jc w:val="center"/>
        <w:rPr>
          <w:rFonts w:hint="eastAsia" w:ascii="仿宋" w:hAnsi="仿宋" w:eastAsia="仿宋" w:cs="仿宋"/>
          <w:color w:val="auto"/>
          <w:sz w:val="24"/>
          <w:highlight w:val="none"/>
          <w:lang w:val="en-US" w:eastAsia="zh-CN"/>
        </w:rPr>
      </w:pPr>
    </w:p>
    <w:p w14:paraId="0EE16331">
      <w:pPr>
        <w:pStyle w:val="10"/>
        <w:shd w:val="clear" w:color="auto" w:fill="auto"/>
        <w:tabs>
          <w:tab w:val="left" w:pos="5580"/>
        </w:tabs>
        <w:spacing w:line="240" w:lineRule="atLeast"/>
        <w:ind w:left="1157"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说明：1.应提供</w:t>
      </w:r>
      <w:r>
        <w:rPr>
          <w:rFonts w:hint="eastAsia" w:ascii="仿宋" w:hAnsi="仿宋" w:eastAsia="仿宋" w:cs="仿宋"/>
          <w:color w:val="auto"/>
          <w:sz w:val="24"/>
          <w:highlight w:val="none"/>
          <w:u w:val="single" w:color="auto"/>
          <w:lang w:eastAsia="zh-CN"/>
        </w:rPr>
        <w:t>评分标准和细则中技术部分</w:t>
      </w:r>
      <w:r>
        <w:rPr>
          <w:rFonts w:hint="eastAsia" w:ascii="仿宋" w:hAnsi="仿宋" w:eastAsia="仿宋" w:cs="仿宋"/>
          <w:color w:val="auto"/>
          <w:sz w:val="24"/>
          <w:highlight w:val="none"/>
        </w:rPr>
        <w:t>要求的其他资格证明文件。</w:t>
      </w:r>
    </w:p>
    <w:p w14:paraId="1AD5BA92">
      <w:pPr>
        <w:pStyle w:val="10"/>
        <w:shd w:val="clear" w:color="auto" w:fill="auto"/>
        <w:tabs>
          <w:tab w:val="left" w:pos="5580"/>
        </w:tabs>
        <w:spacing w:line="240" w:lineRule="atLeast"/>
        <w:ind w:firstLine="1200" w:firstLineChars="500"/>
        <w:rPr>
          <w:rFonts w:hint="eastAsia" w:ascii="仿宋" w:hAnsi="仿宋" w:eastAsia="仿宋" w:cs="仿宋"/>
          <w:color w:val="auto"/>
          <w:sz w:val="24"/>
          <w:highlight w:val="none"/>
        </w:rPr>
      </w:pPr>
      <w:r>
        <w:rPr>
          <w:rFonts w:hint="eastAsia" w:ascii="仿宋" w:hAnsi="仿宋" w:eastAsia="仿宋" w:cs="仿宋"/>
          <w:color w:val="auto"/>
          <w:sz w:val="24"/>
          <w:highlight w:val="none"/>
        </w:rPr>
        <w:t>2.复印件上应加盖本单位章（自然人投标的无需盖章，需要签字）。</w:t>
      </w:r>
    </w:p>
    <w:p w14:paraId="7C099733">
      <w:pPr>
        <w:pStyle w:val="4"/>
        <w:shd w:val="clear" w:color="auto" w:fil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394D58B1">
      <w:pPr>
        <w:rPr>
          <w:rFonts w:hint="eastAsia" w:ascii="仿宋" w:hAnsi="仿宋" w:eastAsia="仿宋" w:cs="仿宋"/>
          <w:color w:val="auto"/>
          <w:lang w:val="en-US" w:eastAsia="zh-CN"/>
        </w:rPr>
      </w:pPr>
    </w:p>
    <w:p w14:paraId="6121A034">
      <w:pPr>
        <w:pStyle w:val="3"/>
        <w:numPr>
          <w:ilvl w:val="1"/>
          <w:numId w:val="0"/>
        </w:numPr>
        <w:shd w:val="clear" w:color="auto" w:fill="auto"/>
        <w:spacing w:before="0" w:line="240" w:lineRule="atLeast"/>
        <w:ind w:leftChars="257"/>
        <w:jc w:val="center"/>
        <w:rPr>
          <w:rFonts w:hint="eastAsia" w:ascii="仿宋" w:hAnsi="仿宋" w:eastAsia="仿宋" w:cs="仿宋"/>
          <w:color w:val="auto"/>
          <w:sz w:val="24"/>
          <w:highlight w:val="none"/>
          <w:lang w:val="en-US" w:eastAsia="zh-CN"/>
        </w:rPr>
      </w:pPr>
    </w:p>
    <w:p w14:paraId="6B05AC14">
      <w:pPr>
        <w:shd w:val="clear" w:color="auto" w:fill="auto"/>
        <w:tabs>
          <w:tab w:val="left" w:pos="3600"/>
        </w:tabs>
        <w:adjustRightInd w:val="0"/>
        <w:snapToGrid w:val="0"/>
        <w:spacing w:line="440" w:lineRule="exact"/>
        <w:jc w:val="center"/>
        <w:rPr>
          <w:rFonts w:hint="eastAsia" w:ascii="仿宋" w:hAnsi="仿宋" w:eastAsia="仿宋" w:cs="仿宋"/>
          <w:b/>
          <w:bCs/>
          <w:color w:val="auto"/>
          <w:spacing w:val="0"/>
          <w:w w:val="100"/>
          <w:position w:val="0"/>
          <w:sz w:val="36"/>
          <w:szCs w:val="36"/>
          <w:lang w:val="en-US" w:eastAsia="zh-CN"/>
        </w:rPr>
      </w:pPr>
      <w:r>
        <w:rPr>
          <w:rFonts w:hint="eastAsia" w:ascii="仿宋" w:hAnsi="仿宋" w:eastAsia="仿宋" w:cs="仿宋"/>
          <w:b/>
          <w:bCs/>
          <w:color w:val="auto"/>
          <w:spacing w:val="0"/>
          <w:w w:val="100"/>
          <w:position w:val="0"/>
          <w:sz w:val="36"/>
          <w:szCs w:val="36"/>
          <w:lang w:val="en-US" w:eastAsia="zh-CN"/>
        </w:rPr>
        <w:t>13、评分标准和细则中商务部分证明材料（格式自拟）</w:t>
      </w:r>
    </w:p>
    <w:p w14:paraId="3041C0B4">
      <w:pPr>
        <w:pStyle w:val="10"/>
        <w:shd w:val="clear" w:color="auto" w:fill="auto"/>
        <w:tabs>
          <w:tab w:val="left" w:pos="5580"/>
        </w:tabs>
        <w:spacing w:line="240" w:lineRule="atLeast"/>
        <w:rPr>
          <w:rFonts w:hint="eastAsia" w:ascii="仿宋" w:hAnsi="仿宋" w:eastAsia="仿宋" w:cs="仿宋"/>
          <w:color w:val="auto"/>
          <w:sz w:val="24"/>
          <w:highlight w:val="none"/>
        </w:rPr>
      </w:pPr>
    </w:p>
    <w:p w14:paraId="6C4EAC1E">
      <w:pPr>
        <w:pStyle w:val="10"/>
        <w:shd w:val="clear" w:color="auto" w:fill="auto"/>
        <w:tabs>
          <w:tab w:val="left" w:pos="5580"/>
        </w:tabs>
        <w:spacing w:line="240" w:lineRule="atLeast"/>
        <w:ind w:left="1157"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说明：1.应提供</w:t>
      </w:r>
      <w:r>
        <w:rPr>
          <w:rFonts w:hint="eastAsia" w:ascii="仿宋" w:hAnsi="仿宋" w:eastAsia="仿宋" w:cs="仿宋"/>
          <w:color w:val="auto"/>
          <w:sz w:val="24"/>
          <w:highlight w:val="none"/>
          <w:u w:val="single" w:color="auto"/>
          <w:lang w:eastAsia="zh-CN"/>
        </w:rPr>
        <w:t>评分标准和细则中商务部分</w:t>
      </w:r>
      <w:r>
        <w:rPr>
          <w:rFonts w:hint="eastAsia" w:ascii="仿宋" w:hAnsi="仿宋" w:eastAsia="仿宋" w:cs="仿宋"/>
          <w:color w:val="auto"/>
          <w:sz w:val="24"/>
          <w:highlight w:val="none"/>
        </w:rPr>
        <w:t>要求的其他资格证明文件。</w:t>
      </w:r>
    </w:p>
    <w:p w14:paraId="362F7536">
      <w:pPr>
        <w:pStyle w:val="10"/>
        <w:shd w:val="clear" w:color="auto" w:fill="auto"/>
        <w:tabs>
          <w:tab w:val="left" w:pos="5580"/>
        </w:tabs>
        <w:spacing w:line="240" w:lineRule="atLeast"/>
        <w:ind w:firstLine="1200" w:firstLineChars="500"/>
        <w:rPr>
          <w:rFonts w:hint="eastAsia" w:ascii="仿宋" w:hAnsi="仿宋" w:eastAsia="仿宋" w:cs="仿宋"/>
          <w:color w:val="auto"/>
          <w:sz w:val="24"/>
          <w:highlight w:val="none"/>
        </w:rPr>
      </w:pPr>
      <w:r>
        <w:rPr>
          <w:rFonts w:hint="eastAsia" w:ascii="仿宋" w:hAnsi="仿宋" w:eastAsia="仿宋" w:cs="仿宋"/>
          <w:color w:val="auto"/>
          <w:sz w:val="24"/>
          <w:highlight w:val="none"/>
        </w:rPr>
        <w:t>2.复印件上应加盖本单位章（自然人投标的无需盖章，需要签字）。</w:t>
      </w:r>
    </w:p>
    <w:p w14:paraId="1570C93E">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r>
        <w:rPr>
          <w:rFonts w:hint="eastAsia" w:ascii="仿宋" w:hAnsi="仿宋" w:eastAsia="仿宋" w:cs="仿宋"/>
          <w:color w:val="auto"/>
          <w:sz w:val="24"/>
          <w:highlight w:val="none"/>
        </w:rPr>
        <w:t xml:space="preserve">    </w:t>
      </w:r>
    </w:p>
    <w:p w14:paraId="15D4BB6F">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27F7C4B3">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3B97AD55">
      <w:pPr>
        <w:rPr>
          <w:rFonts w:hint="eastAsia" w:ascii="仿宋" w:hAnsi="仿宋" w:eastAsia="仿宋" w:cs="仿宋"/>
          <w:color w:val="auto"/>
          <w:lang w:val="en-US" w:eastAsia="zh-CN"/>
        </w:rPr>
      </w:pPr>
    </w:p>
    <w:p w14:paraId="276C56D8">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3C32FF91">
      <w:pPr>
        <w:pStyle w:val="3"/>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14:paraId="245C8184">
      <w:pPr>
        <w:shd w:val="clear" w:color="auto" w:fill="auto"/>
        <w:tabs>
          <w:tab w:val="left" w:pos="3600"/>
        </w:tabs>
        <w:adjustRightInd w:val="0"/>
        <w:snapToGrid w:val="0"/>
        <w:spacing w:line="440" w:lineRule="exact"/>
        <w:jc w:val="center"/>
        <w:rPr>
          <w:rFonts w:hint="eastAsia" w:ascii="仿宋" w:hAnsi="仿宋" w:eastAsia="仿宋" w:cs="仿宋"/>
          <w:b/>
          <w:bCs/>
          <w:color w:val="auto"/>
          <w:spacing w:val="0"/>
          <w:w w:val="90"/>
          <w:position w:val="0"/>
          <w:sz w:val="36"/>
          <w:szCs w:val="36"/>
          <w:lang w:val="en-US" w:eastAsia="zh-CN"/>
        </w:rPr>
      </w:pPr>
      <w:r>
        <w:rPr>
          <w:rFonts w:hint="eastAsia" w:ascii="仿宋" w:hAnsi="仿宋" w:eastAsia="仿宋" w:cs="仿宋"/>
          <w:b/>
          <w:bCs/>
          <w:color w:val="auto"/>
          <w:spacing w:val="0"/>
          <w:w w:val="100"/>
          <w:position w:val="0"/>
          <w:sz w:val="36"/>
          <w:szCs w:val="36"/>
          <w:lang w:val="en-US" w:eastAsia="zh-CN"/>
        </w:rPr>
        <w:t>14、</w:t>
      </w:r>
      <w:r>
        <w:rPr>
          <w:rFonts w:hint="eastAsia" w:ascii="仿宋" w:hAnsi="仿宋" w:eastAsia="仿宋" w:cs="仿宋"/>
          <w:b/>
          <w:bCs/>
          <w:color w:val="auto"/>
          <w:spacing w:val="0"/>
          <w:w w:val="90"/>
          <w:position w:val="0"/>
          <w:sz w:val="36"/>
          <w:szCs w:val="36"/>
          <w:lang w:val="en-US" w:eastAsia="zh-CN"/>
        </w:rPr>
        <w:t>投标人认为有必要提供的其他证明材料（格式自拟）</w:t>
      </w:r>
    </w:p>
    <w:p w14:paraId="48CBF383">
      <w:pPr>
        <w:pStyle w:val="10"/>
        <w:shd w:val="clear" w:color="auto" w:fill="auto"/>
        <w:tabs>
          <w:tab w:val="left" w:pos="5580"/>
        </w:tabs>
        <w:spacing w:line="240" w:lineRule="atLeast"/>
        <w:ind w:firstLine="480" w:firstLineChars="200"/>
        <w:rPr>
          <w:rFonts w:hint="eastAsia" w:ascii="仿宋" w:hAnsi="仿宋" w:eastAsia="仿宋" w:cs="仿宋"/>
          <w:color w:val="auto"/>
          <w:sz w:val="24"/>
          <w:highlight w:val="none"/>
        </w:rPr>
      </w:pPr>
    </w:p>
    <w:p w14:paraId="2FB9E5F1">
      <w:pPr>
        <w:pStyle w:val="10"/>
        <w:shd w:val="clear" w:color="auto" w:fill="auto"/>
        <w:tabs>
          <w:tab w:val="left" w:pos="5580"/>
        </w:tabs>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说明：复印件上应加盖本单位章（自然人投标的无需盖章，需要签字）。</w:t>
      </w:r>
    </w:p>
    <w:p w14:paraId="32A4594C">
      <w:pPr>
        <w:pStyle w:val="15"/>
        <w:rPr>
          <w:rFonts w:hint="eastAsia"/>
          <w:color w:val="auto"/>
        </w:rPr>
      </w:pPr>
    </w:p>
    <w:sectPr>
      <w:headerReference r:id="rId12" w:type="default"/>
      <w:footerReference r:id="rId13" w:type="default"/>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新宋体">
    <w:panose1 w:val="02010609030101010101"/>
    <w:charset w:val="86"/>
    <w:family w:val="modern"/>
    <w:pitch w:val="default"/>
    <w:sig w:usb0="00000003" w:usb1="288F0000" w:usb2="00000006" w:usb3="00000000" w:csb0="00040001" w:csb1="00000000"/>
  </w:font>
  <w:font w:name="_x000B__x000C_">
    <w:altName w:val="Courier New"/>
    <w:panose1 w:val="00000000000000000000"/>
    <w:charset w:val="00"/>
    <w:family w:val="roman"/>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浠垮畫">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CFE30">
    <w:pPr>
      <w:pStyle w:val="12"/>
      <w:ind w:right="360"/>
      <w:jc w:val="both"/>
      <w:rPr>
        <w:rFonts w:hint="eastAsia"/>
      </w:rPr>
    </w:pPr>
    <w:r>
      <w:rPr>
        <w:sz w:val="16"/>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CBCA150"/>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KDQKc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2DkjhuceLnnz/Ovx7PD98J&#10;+lCgPkCNeXcBM9Pw3g+4NrMf0Jl5Dyra/EVGBOOIdbrIK4dERH60Wq5WFYYExuYL4rOn5yFC+iC9&#10;JdloaMT5FVn58ROkMXVOydWcv9XGlBka95cDMbOH5d7HHrOVht0wEdr59oR8ehx9Qx1uOiXmo0Nl&#10;sb80G3E2drNxCFHvu7JGuR6Ed4eETZTecoURdiqMMyvspv3KS/HnvWQ9/VOb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MoNApyQEAAJsDAAAOAAAAAAAAAAEAIAAAAB4BAABkcnMvZTJvRG9j&#10;LnhtbFBLBQYAAAAABgAGAFkBAABZBQAAAAA=&#10;">
              <v:fill on="f" focussize="0,0"/>
              <v:stroke on="f"/>
              <v:imagedata o:title=""/>
              <o:lock v:ext="edit" aspectratio="f"/>
              <v:textbox inset="0mm,0mm,0mm,0mm" style="mso-fit-shape-to-text:t;">
                <w:txbxContent>
                  <w:p w14:paraId="2CBCA150"/>
                </w:txbxContent>
              </v:textbox>
            </v:shape>
          </w:pict>
        </mc:Fallback>
      </mc:AlternateContent>
    </w:r>
    <w:r>
      <w:rPr>
        <w:rFonts w:hint="eastAsia"/>
        <w:sz w:val="16"/>
        <w:szCs w:val="16"/>
      </w:rPr>
      <w:t xml:space="preserve"> </w:t>
    </w:r>
    <w:r>
      <w:rPr>
        <w:rFonts w:hint="eastAsia"/>
        <w:color w:val="800000"/>
        <w:sz w:val="16"/>
        <w:szCs w:val="20"/>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C1E540">
    <w:pPr>
      <w:pStyle w:val="12"/>
      <w:ind w:right="360"/>
      <w:jc w:val="both"/>
      <w:rPr>
        <w:rFonts w:hint="eastAsia"/>
      </w:rPr>
    </w:pPr>
    <w:r>
      <w:rPr>
        <w:sz w:val="16"/>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4CF1362">
                          <w:pPr>
                            <w:pStyle w:val="12"/>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68+0coBAACb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2+ocRxixM///xx/vV4fvhO&#10;0IcC9QFqzLsLmJmG937AtZn9gM7Me1DR5i8yIhhHeU8XeeWQiMiPVsvVqsKQwNh8QXz29DxESB+k&#10;tyQbDY04vyIrP36CNKbOKbma87famDJD4/5yIGb2sNz72GO20rAbJkI7356QT4+jb6jDTafEfHSo&#10;bN6S2YizsZuNQ4h635U1yvUgvDskbKL0liuMsFNhnFlhN+1XXoo/7yXr6Z/a/AZ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v68+0coBAACbAwAADgAAAAAAAAABACAAAAAeAQAAZHJzL2Uyb0Rv&#10;Yy54bWxQSwUGAAAAAAYABgBZAQAAWgUAAAAA&#10;">
              <v:fill on="f" focussize="0,0"/>
              <v:stroke on="f"/>
              <v:imagedata o:title=""/>
              <o:lock v:ext="edit" aspectratio="f"/>
              <v:textbox inset="0mm,0mm,0mm,0mm" style="mso-fit-shape-to-text:t;">
                <w:txbxContent>
                  <w:p w14:paraId="14CF1362">
                    <w:pPr>
                      <w:pStyle w:val="12"/>
                    </w:pPr>
                  </w:p>
                </w:txbxContent>
              </v:textbox>
            </v:shape>
          </w:pict>
        </mc:Fallback>
      </mc:AlternateContent>
    </w:r>
    <w:r>
      <w:rPr>
        <w:rFonts w:hint="eastAsia"/>
        <w:sz w:val="16"/>
        <w:szCs w:val="16"/>
      </w:rPr>
      <w:t xml:space="preserve"> </w:t>
    </w:r>
    <w:r>
      <w:rPr>
        <w:rFonts w:hint="eastAsia"/>
        <w:color w:val="800000"/>
        <w:sz w:val="16"/>
        <w:szCs w:val="20"/>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E7DD53">
    <w:pPr>
      <w:pStyle w:val="12"/>
      <w:ind w:right="360"/>
      <w:jc w:val="both"/>
      <w:rPr>
        <w:rFonts w:hint="eastAsia"/>
      </w:rPr>
    </w:pPr>
    <w:r>
      <w:rPr>
        <w:sz w:val="16"/>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B04183">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2BB04183">
                    <w:pPr>
                      <w:pStyle w:val="12"/>
                    </w:pPr>
                    <w:r>
                      <w:fldChar w:fldCharType="begin"/>
                    </w:r>
                    <w:r>
                      <w:instrText xml:space="preserve"> PAGE  \* MERGEFORMAT </w:instrText>
                    </w:r>
                    <w:r>
                      <w:fldChar w:fldCharType="separate"/>
                    </w:r>
                    <w:r>
                      <w:t>1</w:t>
                    </w:r>
                    <w:r>
                      <w:fldChar w:fldCharType="end"/>
                    </w:r>
                  </w:p>
                </w:txbxContent>
              </v:textbox>
            </v:shape>
          </w:pict>
        </mc:Fallback>
      </mc:AlternateContent>
    </w:r>
    <w:r>
      <w:rPr>
        <w:sz w:val="16"/>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17F10D1">
                          <w:pPr>
                            <w:pStyle w:val="12"/>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0AeMkBAACb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i2octrShy3OPHzzx/nX3/Ov78T&#10;9KFAfYAa8x4CZqbhgx9wbWY/oDPzHlS0+YuMCMZR3tNFXjkkIvKj1XK1qjAkMDZfEJ89Pg8R0kfp&#10;LclGQyPOr8jKj3eQxtQ5JVdz/lYbU2Zo3H8OxMwelnsfe8xWGnbDRGjn2xPy6XH0DXW46ZSYTw6V&#10;zVsyG3E2drNxCFHvu7JGuR6E94eETZTecoURdiqMMyvspv3KS/HvvWQ9/lOb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DQB4yQEAAJsDAAAOAAAAAAAAAAEAIAAAAB4BAABkcnMvZTJvRG9j&#10;LnhtbFBLBQYAAAAABgAGAFkBAABZBQAAAAA=&#10;">
              <v:fill on="f" focussize="0,0"/>
              <v:stroke on="f"/>
              <v:imagedata o:title=""/>
              <o:lock v:ext="edit" aspectratio="f"/>
              <v:textbox inset="0mm,0mm,0mm,0mm" style="mso-fit-shape-to-text:t;">
                <w:txbxContent>
                  <w:p w14:paraId="117F10D1">
                    <w:pPr>
                      <w:pStyle w:val="12"/>
                    </w:pPr>
                  </w:p>
                </w:txbxContent>
              </v:textbox>
            </v:shape>
          </w:pict>
        </mc:Fallback>
      </mc:AlternateContent>
    </w:r>
    <w:r>
      <w:rPr>
        <w:rFonts w:hint="eastAsia"/>
        <w:sz w:val="16"/>
        <w:szCs w:val="16"/>
      </w:rPr>
      <w:t xml:space="preserve"> </w:t>
    </w:r>
    <w:r>
      <w:rPr>
        <w:rFonts w:hint="eastAsia"/>
        <w:color w:val="800000"/>
        <w:sz w:val="16"/>
        <w:szCs w:val="20"/>
        <w:lang w:val="en-US" w:eastAsia="zh-CN"/>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E42140">
    <w:pPr>
      <w:pStyle w:val="12"/>
      <w:ind w:right="360"/>
      <w:jc w:val="both"/>
      <w:rPr>
        <w:rFonts w:hint="eastAsia"/>
      </w:rPr>
    </w:pPr>
    <w:r>
      <w:rPr>
        <w:sz w:val="13"/>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85E89C">
                          <w:pPr>
                            <w:pStyle w:val="1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385E89C">
                    <w:pPr>
                      <w:pStyle w:val="12"/>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sz w:val="13"/>
        <w:szCs w:val="13"/>
      </w:rPr>
      <w:t xml:space="preserve"> </w:t>
    </w:r>
    <w:r>
      <w:rPr>
        <w:rFonts w:hint="eastAsia"/>
      </w:rPr>
      <w:t xml:space="preserve">  </w:t>
    </w:r>
  </w:p>
  <w:p w14:paraId="6676FF42">
    <w:pPr>
      <w:pStyle w:val="12"/>
      <w:tabs>
        <w:tab w:val="center" w:pos="4320"/>
        <w:tab w:val="right" w:pos="8640"/>
        <w:tab w:val="clear" w:pos="4153"/>
        <w:tab w:val="clear" w:pos="8306"/>
      </w:tabs>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D87E4">
    <w:pPr>
      <w:pStyle w:val="12"/>
      <w:ind w:right="360"/>
      <w:jc w:val="both"/>
      <w:rPr>
        <w:rFonts w:hint="eastAsia"/>
      </w:rPr>
    </w:pPr>
    <w:r>
      <w:rPr>
        <w:sz w:val="24"/>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0281854">
                          <w:pPr>
                            <w:pStyle w:val="12"/>
                          </w:pPr>
                          <w:r>
                            <w:fldChar w:fldCharType="begin"/>
                          </w:r>
                          <w:r>
                            <w:instrText xml:space="preserve"> PAGE  \* MERGEFORMAT </w:instrText>
                          </w:r>
                          <w:r>
                            <w:fldChar w:fldCharType="separate"/>
                          </w:r>
                          <w:r>
                            <w:t>13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MMV+MkBAACbAwAADgAAAGRycy9lMm9Eb2MueG1srVPNjtMwEL4j8Q6W&#10;79Rpk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OslJY5bnPjl+7fLj1+Xn18J&#10;+lCgPkCNeQ8BM9Nw5wdcm9kP6My8BxVt/iIjgnGU93yVVw6JiPxovVqvKwwJjM0XxGePz0OE9FZ6&#10;S7LR0IjzK7Ly03tIY+qckqs5f6+NKTM07i8HYmYPy72PPWYrDfthIrT37Rn59Dj6hjrcdErMO4fK&#10;5i2ZjTgb+9k4hqgPXVmjXA/C7TFhE6W3XGGEnQrjzAq7ab/yUvx5L1mP/9T2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wxX4yQEAAJsDAAAOAAAAAAAAAAEAIAAAAB4BAABkcnMvZTJvRG9j&#10;LnhtbFBLBQYAAAAABgAGAFkBAABZBQAAAAA=&#10;">
              <v:fill on="f" focussize="0,0"/>
              <v:stroke on="f"/>
              <v:imagedata o:title=""/>
              <o:lock v:ext="edit" aspectratio="f"/>
              <v:textbox inset="0mm,0mm,0mm,0mm" style="mso-fit-shape-to-text:t;">
                <w:txbxContent>
                  <w:p w14:paraId="70281854">
                    <w:pPr>
                      <w:pStyle w:val="12"/>
                    </w:pPr>
                    <w:r>
                      <w:fldChar w:fldCharType="begin"/>
                    </w:r>
                    <w:r>
                      <w:instrText xml:space="preserve"> PAGE  \* MERGEFORMAT </w:instrText>
                    </w:r>
                    <w:r>
                      <w:fldChar w:fldCharType="separate"/>
                    </w:r>
                    <w:r>
                      <w:t>13</w:t>
                    </w:r>
                    <w:r>
                      <w:fldChar w:fldCharType="end"/>
                    </w:r>
                  </w:p>
                </w:txbxContent>
              </v:textbox>
            </v:shape>
          </w:pict>
        </mc:Fallback>
      </mc:AlternateContent>
    </w:r>
    <w:r>
      <w:rPr>
        <w:rFonts w:hint="eastAsia" w:ascii="宋体" w:hAnsi="宋体" w:eastAsia="宋体" w:cs="宋体"/>
        <w:b w:val="0"/>
        <w:bCs w:val="0"/>
        <w:color w:val="auto"/>
        <w:sz w:val="24"/>
        <w:szCs w:val="24"/>
        <w:u w:val="none"/>
        <w:lang w:val="en-US" w:eastAsia="zh-CN"/>
      </w:rPr>
      <w:t xml:space="preserve">  </w:t>
    </w:r>
    <w:r>
      <w:rPr>
        <w:rFonts w:hint="eastAsia"/>
        <w:sz w:val="13"/>
        <w:szCs w:val="13"/>
      </w:rPr>
      <w:t xml:space="preserve"> </w:t>
    </w:r>
    <w:r>
      <w:rPr>
        <w:rFonts w:hint="eastAsia"/>
      </w:rPr>
      <w:t xml:space="preserve"> </w:t>
    </w:r>
    <w:r>
      <w:rPr>
        <w:rFonts w:hint="eastAsia"/>
        <w:color w:val="800000"/>
        <w:sz w:val="16"/>
        <w:szCs w:val="20"/>
        <w:lang w:val="en-US" w:eastAsia="zh-CN"/>
      </w:rPr>
      <w:t xml:space="preserve">      </w:t>
    </w:r>
  </w:p>
  <w:p w14:paraId="4997C12D">
    <w:pPr>
      <w:pStyle w:val="12"/>
      <w:keepNext w:val="0"/>
      <w:keepLines w:val="0"/>
      <w:pageBreakBefore w:val="0"/>
      <w:widowControl w:val="0"/>
      <w:kinsoku/>
      <w:wordWrap/>
      <w:overflowPunct/>
      <w:topLinePunct w:val="0"/>
      <w:autoSpaceDE w:val="0"/>
      <w:autoSpaceDN w:val="0"/>
      <w:bidi w:val="0"/>
      <w:adjustRightInd w:val="0"/>
      <w:snapToGrid w:val="0"/>
      <w:spacing w:line="240" w:lineRule="auto"/>
      <w:ind w:left="7200" w:hanging="7200" w:hangingChars="4000"/>
      <w:jc w:val="both"/>
      <w:textAlignment w:val="auto"/>
      <w:rPr>
        <w:rFonts w:hint="default"/>
        <w:lang w:val="en-US"/>
      </w:rPr>
    </w:pPr>
  </w:p>
  <w:p w14:paraId="25F7FAF9">
    <w:pPr>
      <w:pStyle w:val="12"/>
      <w:ind w:right="360"/>
      <w:jc w:val="right"/>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D99D4">
    <w:pPr>
      <w:pStyle w:val="1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508E0E">
                          <w:pPr>
                            <w:pStyle w:val="1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0508E0E">
                    <w:pPr>
                      <w:pStyle w:val="1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A0166">
    <w:pPr>
      <w:pStyle w:val="13"/>
      <w:pBdr>
        <w:bottom w:val="none" w:color="auto" w:sz="0" w:space="0"/>
      </w:pBdr>
      <w:tabs>
        <w:tab w:val="clear" w:pos="4153"/>
        <w:tab w:val="clear" w:pos="8306"/>
      </w:tabs>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F796CD">
    <w:pPr>
      <w:pStyle w:val="13"/>
      <w:jc w:val="both"/>
      <w:rPr>
        <w:rFonts w:hint="eastAsia" w:ascii="宋体" w:hAnsi="宋体" w:eastAsia="宋体" w:cs="宋体"/>
        <w:sz w:val="20"/>
        <w:szCs w:val="20"/>
        <w:lang w:val="en-US"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64206">
    <w:pPr>
      <w:pStyle w:val="13"/>
      <w:jc w:val="both"/>
      <w:rPr>
        <w:rFonts w:hint="eastAsia" w:ascii="宋体" w:hAnsi="宋体" w:eastAsia="宋体" w:cs="宋体"/>
        <w:sz w:val="20"/>
        <w:szCs w:val="20"/>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F1ACD9"/>
    <w:multiLevelType w:val="singleLevel"/>
    <w:tmpl w:val="B0F1ACD9"/>
    <w:lvl w:ilvl="0" w:tentative="0">
      <w:start w:val="2"/>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0"/>
        <w:szCs w:val="20"/>
        <w:u w:val="none"/>
        <w:shd w:val="clear" w:color="auto" w:fill="auto"/>
        <w:lang w:val="en-US" w:eastAsia="en-US" w:bidi="en-US"/>
      </w:rPr>
    </w:lvl>
  </w:abstractNum>
  <w:abstractNum w:abstractNumId="1">
    <w:nsid w:val="C5445D55"/>
    <w:multiLevelType w:val="singleLevel"/>
    <w:tmpl w:val="C5445D55"/>
    <w:lvl w:ilvl="0" w:tentative="0">
      <w:start w:val="1"/>
      <w:numFmt w:val="decimal"/>
      <w:pStyle w:val="11"/>
      <w:lvlText w:val="%1."/>
      <w:lvlJc w:val="left"/>
      <w:pPr>
        <w:tabs>
          <w:tab w:val="left" w:pos="2040"/>
        </w:tabs>
        <w:ind w:left="2040" w:hanging="360"/>
      </w:pPr>
    </w:lvl>
  </w:abstractNum>
  <w:abstractNum w:abstractNumId="2">
    <w:nsid w:val="0000000D"/>
    <w:multiLevelType w:val="multilevel"/>
    <w:tmpl w:val="0000000D"/>
    <w:lvl w:ilvl="0" w:tentative="0">
      <w:start w:val="1"/>
      <w:numFmt w:val="decimal"/>
      <w:pStyle w:val="7"/>
      <w:lvlText w:val="%1."/>
      <w:lvlJc w:val="left"/>
      <w:pPr>
        <w:tabs>
          <w:tab w:val="left" w:pos="780"/>
        </w:tabs>
        <w:ind w:left="79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lvlText w:val="%1.%2.%3.%4.%5"/>
      <w:lvlJc w:val="left"/>
      <w:pPr>
        <w:tabs>
          <w:tab w:val="left" w:pos="2911"/>
        </w:tabs>
        <w:ind w:left="2911"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3">
    <w:nsid w:val="0053208E"/>
    <w:multiLevelType w:val="multilevel"/>
    <w:tmpl w:val="0053208E"/>
    <w:lvl w:ilvl="0" w:tentative="0">
      <w:start w:val="1"/>
      <w:numFmt w:val="japaneseCounting"/>
      <w:lvlText w:val="%1"/>
      <w:lvlJc w:val="left"/>
      <w:pPr>
        <w:tabs>
          <w:tab w:val="left" w:pos="0"/>
        </w:tabs>
        <w:ind w:left="360" w:hanging="360"/>
      </w:pPr>
      <w:rPr>
        <w:rFonts w:hint="default" w:ascii="宋体" w:hAnsi="宋体" w:eastAsia="宋体"/>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4">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5">
    <w:nsid w:val="55CD4C99"/>
    <w:multiLevelType w:val="singleLevel"/>
    <w:tmpl w:val="55CD4C99"/>
    <w:lvl w:ilvl="0" w:tentative="0">
      <w:start w:val="1"/>
      <w:numFmt w:val="chineseCounting"/>
      <w:suff w:val="nothing"/>
      <w:lvlText w:val="%1、"/>
      <w:lvlJc w:val="left"/>
    </w:lvl>
  </w:abstractNum>
  <w:abstractNum w:abstractNumId="6">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2"/>
  </w:num>
  <w:num w:numId="2">
    <w:abstractNumId w:val="1"/>
  </w:num>
  <w:num w:numId="3">
    <w:abstractNumId w:val="5"/>
  </w:num>
  <w:num w:numId="4">
    <w:abstractNumId w:val="4"/>
  </w:num>
  <w:num w:numId="5">
    <w:abstractNumId w:val="6"/>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0ZjhlNWM2NTk4MmU0NWYxM2M4Y2RjMGY5YWUyZmUifQ=="/>
  </w:docVars>
  <w:rsids>
    <w:rsidRoot w:val="430832B2"/>
    <w:rsid w:val="00036274"/>
    <w:rsid w:val="00885715"/>
    <w:rsid w:val="00AA1BD6"/>
    <w:rsid w:val="0123584C"/>
    <w:rsid w:val="013637D1"/>
    <w:rsid w:val="01A50FEC"/>
    <w:rsid w:val="01E44B68"/>
    <w:rsid w:val="023C35FE"/>
    <w:rsid w:val="02487980"/>
    <w:rsid w:val="03120DC1"/>
    <w:rsid w:val="03D9277F"/>
    <w:rsid w:val="042A106A"/>
    <w:rsid w:val="04D7523E"/>
    <w:rsid w:val="057839BF"/>
    <w:rsid w:val="05B2719F"/>
    <w:rsid w:val="05CE725F"/>
    <w:rsid w:val="06141E47"/>
    <w:rsid w:val="063B7194"/>
    <w:rsid w:val="06952D48"/>
    <w:rsid w:val="078B402D"/>
    <w:rsid w:val="08275C22"/>
    <w:rsid w:val="08323FEC"/>
    <w:rsid w:val="08326375"/>
    <w:rsid w:val="085D5AE7"/>
    <w:rsid w:val="08C12EA2"/>
    <w:rsid w:val="08ED5B9D"/>
    <w:rsid w:val="091D420B"/>
    <w:rsid w:val="09231976"/>
    <w:rsid w:val="093F2ABC"/>
    <w:rsid w:val="0A4352B6"/>
    <w:rsid w:val="0A982D0F"/>
    <w:rsid w:val="0AEC1713"/>
    <w:rsid w:val="0B064214"/>
    <w:rsid w:val="0B213EE8"/>
    <w:rsid w:val="0B2F3756"/>
    <w:rsid w:val="0B9E39F1"/>
    <w:rsid w:val="0BF26C44"/>
    <w:rsid w:val="0C6C268C"/>
    <w:rsid w:val="0E4C32D8"/>
    <w:rsid w:val="0E8A37D8"/>
    <w:rsid w:val="0EBB5316"/>
    <w:rsid w:val="0EDE629E"/>
    <w:rsid w:val="0EED213A"/>
    <w:rsid w:val="0FD52407"/>
    <w:rsid w:val="0FEB5097"/>
    <w:rsid w:val="10135B48"/>
    <w:rsid w:val="10685029"/>
    <w:rsid w:val="10931017"/>
    <w:rsid w:val="10AD0C8E"/>
    <w:rsid w:val="10B04957"/>
    <w:rsid w:val="10B50F76"/>
    <w:rsid w:val="10DB257D"/>
    <w:rsid w:val="116B1032"/>
    <w:rsid w:val="130308CA"/>
    <w:rsid w:val="13725EDE"/>
    <w:rsid w:val="140E6E82"/>
    <w:rsid w:val="149C34E5"/>
    <w:rsid w:val="1525173B"/>
    <w:rsid w:val="153C6A85"/>
    <w:rsid w:val="15AE1060"/>
    <w:rsid w:val="15B50D11"/>
    <w:rsid w:val="15E839EB"/>
    <w:rsid w:val="167B61DA"/>
    <w:rsid w:val="16DF27A4"/>
    <w:rsid w:val="171F0B4E"/>
    <w:rsid w:val="17EB3771"/>
    <w:rsid w:val="18FE29CF"/>
    <w:rsid w:val="1910625E"/>
    <w:rsid w:val="191170F8"/>
    <w:rsid w:val="19791440"/>
    <w:rsid w:val="19873512"/>
    <w:rsid w:val="198D3D53"/>
    <w:rsid w:val="19903A20"/>
    <w:rsid w:val="199E3EC0"/>
    <w:rsid w:val="19B663B4"/>
    <w:rsid w:val="1AA14F3E"/>
    <w:rsid w:val="1B1E1106"/>
    <w:rsid w:val="1BE65325"/>
    <w:rsid w:val="1BF4799B"/>
    <w:rsid w:val="1C3D5DDF"/>
    <w:rsid w:val="1C4A4DA2"/>
    <w:rsid w:val="1CC45CDD"/>
    <w:rsid w:val="1D007CA4"/>
    <w:rsid w:val="1D874B8E"/>
    <w:rsid w:val="1DA95BA8"/>
    <w:rsid w:val="1E410D98"/>
    <w:rsid w:val="1E6813A9"/>
    <w:rsid w:val="1E902030"/>
    <w:rsid w:val="1ECE4F82"/>
    <w:rsid w:val="1EE5064C"/>
    <w:rsid w:val="1F232690"/>
    <w:rsid w:val="1F406AD1"/>
    <w:rsid w:val="1F5B26D6"/>
    <w:rsid w:val="1F6007D8"/>
    <w:rsid w:val="1F9C6A9E"/>
    <w:rsid w:val="203211B0"/>
    <w:rsid w:val="2080160F"/>
    <w:rsid w:val="215A6C10"/>
    <w:rsid w:val="2243664A"/>
    <w:rsid w:val="22965E6B"/>
    <w:rsid w:val="22F917C9"/>
    <w:rsid w:val="23874BA3"/>
    <w:rsid w:val="249064A5"/>
    <w:rsid w:val="24A73F1B"/>
    <w:rsid w:val="25002F8D"/>
    <w:rsid w:val="25546BA5"/>
    <w:rsid w:val="25550156"/>
    <w:rsid w:val="263F45D4"/>
    <w:rsid w:val="267D2FA7"/>
    <w:rsid w:val="26C0150C"/>
    <w:rsid w:val="26D37563"/>
    <w:rsid w:val="27161DF2"/>
    <w:rsid w:val="27A86E03"/>
    <w:rsid w:val="27B14F31"/>
    <w:rsid w:val="27F9292F"/>
    <w:rsid w:val="283D072F"/>
    <w:rsid w:val="285C7E68"/>
    <w:rsid w:val="286B44D3"/>
    <w:rsid w:val="28E94FE3"/>
    <w:rsid w:val="291C049E"/>
    <w:rsid w:val="29235B3A"/>
    <w:rsid w:val="29B83B80"/>
    <w:rsid w:val="2A2953D2"/>
    <w:rsid w:val="2A6F2C28"/>
    <w:rsid w:val="2AB303AA"/>
    <w:rsid w:val="2AF552B4"/>
    <w:rsid w:val="2B5D6A17"/>
    <w:rsid w:val="2B762634"/>
    <w:rsid w:val="2B79708A"/>
    <w:rsid w:val="2BDE4C99"/>
    <w:rsid w:val="2C6721E1"/>
    <w:rsid w:val="2D1B0C53"/>
    <w:rsid w:val="2D3E73E6"/>
    <w:rsid w:val="2DF06B27"/>
    <w:rsid w:val="2DF1140A"/>
    <w:rsid w:val="2E1B0C2F"/>
    <w:rsid w:val="2E764B34"/>
    <w:rsid w:val="2F1C72B3"/>
    <w:rsid w:val="2F436A38"/>
    <w:rsid w:val="2F436F91"/>
    <w:rsid w:val="2FA50B1C"/>
    <w:rsid w:val="2FF801AE"/>
    <w:rsid w:val="31C54436"/>
    <w:rsid w:val="31DF6C70"/>
    <w:rsid w:val="322546D1"/>
    <w:rsid w:val="325D3DF5"/>
    <w:rsid w:val="335C76C1"/>
    <w:rsid w:val="33914181"/>
    <w:rsid w:val="344A35D0"/>
    <w:rsid w:val="345D40AD"/>
    <w:rsid w:val="3464452F"/>
    <w:rsid w:val="347C2E47"/>
    <w:rsid w:val="3489100A"/>
    <w:rsid w:val="34AC63E7"/>
    <w:rsid w:val="35427B0F"/>
    <w:rsid w:val="35941E3D"/>
    <w:rsid w:val="36AA5E0A"/>
    <w:rsid w:val="36D87BEA"/>
    <w:rsid w:val="371D0FDB"/>
    <w:rsid w:val="37D44BCF"/>
    <w:rsid w:val="38083993"/>
    <w:rsid w:val="386210DF"/>
    <w:rsid w:val="38A55FDC"/>
    <w:rsid w:val="38C56C0D"/>
    <w:rsid w:val="398947E7"/>
    <w:rsid w:val="3A1273C6"/>
    <w:rsid w:val="3A1B4C2B"/>
    <w:rsid w:val="3A850402"/>
    <w:rsid w:val="3ABE1B66"/>
    <w:rsid w:val="3AC428AC"/>
    <w:rsid w:val="3AE06945"/>
    <w:rsid w:val="3B20012B"/>
    <w:rsid w:val="3C76333F"/>
    <w:rsid w:val="3CA827C1"/>
    <w:rsid w:val="3CA8662A"/>
    <w:rsid w:val="3CAD59EE"/>
    <w:rsid w:val="3D5D1236"/>
    <w:rsid w:val="3D751F42"/>
    <w:rsid w:val="3D9A372B"/>
    <w:rsid w:val="3DC57215"/>
    <w:rsid w:val="3E45552A"/>
    <w:rsid w:val="3ED26025"/>
    <w:rsid w:val="3FAF10EB"/>
    <w:rsid w:val="3FD14EB9"/>
    <w:rsid w:val="407E1BDF"/>
    <w:rsid w:val="408E72C3"/>
    <w:rsid w:val="408E7BCF"/>
    <w:rsid w:val="40B26236"/>
    <w:rsid w:val="40EA2AFF"/>
    <w:rsid w:val="413A315B"/>
    <w:rsid w:val="41411018"/>
    <w:rsid w:val="4166401F"/>
    <w:rsid w:val="41681350"/>
    <w:rsid w:val="416F668A"/>
    <w:rsid w:val="418C1876"/>
    <w:rsid w:val="419F6662"/>
    <w:rsid w:val="41A72D03"/>
    <w:rsid w:val="41BA3250"/>
    <w:rsid w:val="41BC55E0"/>
    <w:rsid w:val="420B7389"/>
    <w:rsid w:val="420E2D13"/>
    <w:rsid w:val="423563C7"/>
    <w:rsid w:val="42C57370"/>
    <w:rsid w:val="430832B2"/>
    <w:rsid w:val="43CC6685"/>
    <w:rsid w:val="445769C9"/>
    <w:rsid w:val="44740DA7"/>
    <w:rsid w:val="44951B21"/>
    <w:rsid w:val="44D75CFE"/>
    <w:rsid w:val="45100EA7"/>
    <w:rsid w:val="454815E5"/>
    <w:rsid w:val="457C2033"/>
    <w:rsid w:val="45B47DEE"/>
    <w:rsid w:val="46A95479"/>
    <w:rsid w:val="46F77B89"/>
    <w:rsid w:val="4743767B"/>
    <w:rsid w:val="47AB5220"/>
    <w:rsid w:val="48030C91"/>
    <w:rsid w:val="48B66E8A"/>
    <w:rsid w:val="49726A4B"/>
    <w:rsid w:val="4A2A4DC0"/>
    <w:rsid w:val="4A346512"/>
    <w:rsid w:val="4BB73B85"/>
    <w:rsid w:val="4BB933DD"/>
    <w:rsid w:val="4BEC0951"/>
    <w:rsid w:val="4BF478AD"/>
    <w:rsid w:val="4C17384D"/>
    <w:rsid w:val="4C211DF2"/>
    <w:rsid w:val="4C257A37"/>
    <w:rsid w:val="4C5A3593"/>
    <w:rsid w:val="4CC13EB8"/>
    <w:rsid w:val="4CD945DE"/>
    <w:rsid w:val="4DE251E1"/>
    <w:rsid w:val="4DF50B78"/>
    <w:rsid w:val="4E6938E7"/>
    <w:rsid w:val="4E701DC0"/>
    <w:rsid w:val="4EEF1E97"/>
    <w:rsid w:val="4F006719"/>
    <w:rsid w:val="4F2E489B"/>
    <w:rsid w:val="4F5166AD"/>
    <w:rsid w:val="4F5D25FD"/>
    <w:rsid w:val="4FB41D44"/>
    <w:rsid w:val="50227D48"/>
    <w:rsid w:val="5096193E"/>
    <w:rsid w:val="50BF6E81"/>
    <w:rsid w:val="513F080C"/>
    <w:rsid w:val="51B7308B"/>
    <w:rsid w:val="51E27A91"/>
    <w:rsid w:val="52654DCD"/>
    <w:rsid w:val="52693414"/>
    <w:rsid w:val="5306542C"/>
    <w:rsid w:val="533662E6"/>
    <w:rsid w:val="53390376"/>
    <w:rsid w:val="53940122"/>
    <w:rsid w:val="54A276EB"/>
    <w:rsid w:val="553813F1"/>
    <w:rsid w:val="55CE071F"/>
    <w:rsid w:val="56493792"/>
    <w:rsid w:val="56A93273"/>
    <w:rsid w:val="56E36785"/>
    <w:rsid w:val="58251448"/>
    <w:rsid w:val="58BC54DF"/>
    <w:rsid w:val="59BD150F"/>
    <w:rsid w:val="5A280008"/>
    <w:rsid w:val="5A7E608A"/>
    <w:rsid w:val="5AE0581C"/>
    <w:rsid w:val="5AFE4DEC"/>
    <w:rsid w:val="5B9F32E3"/>
    <w:rsid w:val="5BE43388"/>
    <w:rsid w:val="5BFE2BDC"/>
    <w:rsid w:val="5CBB785C"/>
    <w:rsid w:val="5CD53D28"/>
    <w:rsid w:val="5D2366CB"/>
    <w:rsid w:val="5D3331A6"/>
    <w:rsid w:val="5E135BA1"/>
    <w:rsid w:val="5E1D1079"/>
    <w:rsid w:val="5EDA6373"/>
    <w:rsid w:val="5EF077DF"/>
    <w:rsid w:val="5F0C00BF"/>
    <w:rsid w:val="5F2E07B9"/>
    <w:rsid w:val="601F4136"/>
    <w:rsid w:val="60331E5F"/>
    <w:rsid w:val="61F2494A"/>
    <w:rsid w:val="631101D6"/>
    <w:rsid w:val="63447FD0"/>
    <w:rsid w:val="634A483E"/>
    <w:rsid w:val="635927D4"/>
    <w:rsid w:val="642B45E0"/>
    <w:rsid w:val="644E538B"/>
    <w:rsid w:val="64604EAC"/>
    <w:rsid w:val="64682077"/>
    <w:rsid w:val="64740A1C"/>
    <w:rsid w:val="64DF79CD"/>
    <w:rsid w:val="65305359"/>
    <w:rsid w:val="6535771B"/>
    <w:rsid w:val="66457796"/>
    <w:rsid w:val="66A5387A"/>
    <w:rsid w:val="66B74B43"/>
    <w:rsid w:val="670F0ED0"/>
    <w:rsid w:val="67656B1B"/>
    <w:rsid w:val="67AE419D"/>
    <w:rsid w:val="67B22635"/>
    <w:rsid w:val="67F748C8"/>
    <w:rsid w:val="68324D3D"/>
    <w:rsid w:val="683769EB"/>
    <w:rsid w:val="6903299E"/>
    <w:rsid w:val="698B5351"/>
    <w:rsid w:val="698C50B9"/>
    <w:rsid w:val="69D47128"/>
    <w:rsid w:val="6A4B66C3"/>
    <w:rsid w:val="6ADE7537"/>
    <w:rsid w:val="6B221B0E"/>
    <w:rsid w:val="6C7543E1"/>
    <w:rsid w:val="6C963B87"/>
    <w:rsid w:val="6CA96079"/>
    <w:rsid w:val="6CAC1F8A"/>
    <w:rsid w:val="6CC81EA4"/>
    <w:rsid w:val="6D016D7B"/>
    <w:rsid w:val="6D37776E"/>
    <w:rsid w:val="6E5508C9"/>
    <w:rsid w:val="6F6F202F"/>
    <w:rsid w:val="6F881820"/>
    <w:rsid w:val="6FFC5967"/>
    <w:rsid w:val="704838FD"/>
    <w:rsid w:val="70786ADC"/>
    <w:rsid w:val="709119F6"/>
    <w:rsid w:val="70D63C3F"/>
    <w:rsid w:val="71F633B8"/>
    <w:rsid w:val="71F7318A"/>
    <w:rsid w:val="721A3870"/>
    <w:rsid w:val="72DB435C"/>
    <w:rsid w:val="73724CC1"/>
    <w:rsid w:val="739641CD"/>
    <w:rsid w:val="73B100BE"/>
    <w:rsid w:val="73F03BAE"/>
    <w:rsid w:val="747F7695"/>
    <w:rsid w:val="74CB28DA"/>
    <w:rsid w:val="75A62DF5"/>
    <w:rsid w:val="75AB1C93"/>
    <w:rsid w:val="761B163F"/>
    <w:rsid w:val="76810114"/>
    <w:rsid w:val="76E41762"/>
    <w:rsid w:val="7717012A"/>
    <w:rsid w:val="7717316E"/>
    <w:rsid w:val="77603777"/>
    <w:rsid w:val="77901BB9"/>
    <w:rsid w:val="77C7479C"/>
    <w:rsid w:val="77C83DD2"/>
    <w:rsid w:val="78816F56"/>
    <w:rsid w:val="788E3223"/>
    <w:rsid w:val="78E06AB0"/>
    <w:rsid w:val="798E0318"/>
    <w:rsid w:val="7AD93877"/>
    <w:rsid w:val="7BFC0690"/>
    <w:rsid w:val="7C372793"/>
    <w:rsid w:val="7CC540BD"/>
    <w:rsid w:val="7D423759"/>
    <w:rsid w:val="7D695F1A"/>
    <w:rsid w:val="7DD956AA"/>
    <w:rsid w:val="7E2D5B39"/>
    <w:rsid w:val="7EA100CE"/>
    <w:rsid w:val="7EC670C8"/>
    <w:rsid w:val="7ED160D1"/>
    <w:rsid w:val="7EEC26FB"/>
    <w:rsid w:val="7F8A4FBF"/>
    <w:rsid w:val="7F9D6D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paragraph" w:styleId="2">
    <w:name w:val="heading 1"/>
    <w:basedOn w:val="1"/>
    <w:next w:val="1"/>
    <w:qFormat/>
    <w:uiPriority w:val="0"/>
    <w:pPr>
      <w:keepNext/>
      <w:keepLines/>
      <w:spacing w:line="360" w:lineRule="auto"/>
      <w:jc w:val="center"/>
      <w:outlineLvl w:val="0"/>
    </w:pPr>
    <w:rPr>
      <w:b/>
      <w:bCs/>
      <w:kern w:val="44"/>
      <w:sz w:val="44"/>
      <w:szCs w:val="44"/>
    </w:rPr>
  </w:style>
  <w:style w:type="paragraph" w:styleId="3">
    <w:name w:val="heading 2"/>
    <w:basedOn w:val="1"/>
    <w:next w:val="1"/>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4">
    <w:name w:val="heading 3"/>
    <w:basedOn w:val="1"/>
    <w:next w:val="1"/>
    <w:qFormat/>
    <w:uiPriority w:val="9"/>
    <w:pPr>
      <w:keepNext/>
      <w:keepLines/>
      <w:spacing w:before="260" w:after="260" w:line="416" w:lineRule="auto"/>
      <w:outlineLvl w:val="2"/>
    </w:pPr>
    <w:rPr>
      <w:b/>
      <w:bCs/>
      <w:sz w:val="32"/>
      <w:szCs w:val="32"/>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5">
    <w:name w:val="Normal Indent"/>
    <w:basedOn w:val="1"/>
    <w:next w:val="6"/>
    <w:qFormat/>
    <w:uiPriority w:val="0"/>
    <w:pPr>
      <w:autoSpaceDE w:val="0"/>
      <w:autoSpaceDN w:val="0"/>
      <w:adjustRightInd w:val="0"/>
      <w:ind w:firstLine="420"/>
      <w:jc w:val="left"/>
    </w:pPr>
    <w:rPr>
      <w:rFonts w:ascii="宋体"/>
      <w:kern w:val="0"/>
      <w:sz w:val="24"/>
      <w:szCs w:val="20"/>
    </w:rPr>
  </w:style>
  <w:style w:type="paragraph" w:styleId="6">
    <w:name w:val="toa heading"/>
    <w:basedOn w:val="1"/>
    <w:next w:val="1"/>
    <w:qFormat/>
    <w:uiPriority w:val="0"/>
    <w:pPr>
      <w:spacing w:before="120"/>
    </w:pPr>
    <w:rPr>
      <w:rFonts w:ascii="Cambria" w:hAnsi="Cambria"/>
      <w:sz w:val="24"/>
      <w:szCs w:val="20"/>
    </w:rPr>
  </w:style>
  <w:style w:type="paragraph" w:styleId="7">
    <w:name w:val="Body Text"/>
    <w:basedOn w:val="1"/>
    <w:next w:val="1"/>
    <w:qFormat/>
    <w:uiPriority w:val="99"/>
    <w:pPr>
      <w:numPr>
        <w:ilvl w:val="0"/>
        <w:numId w:val="1"/>
      </w:numPr>
      <w:tabs>
        <w:tab w:val="clear" w:pos="780"/>
      </w:tabs>
      <w:ind w:left="0" w:firstLine="0"/>
    </w:pPr>
    <w:rPr>
      <w:rFonts w:ascii="黑体" w:eastAsia="黑体"/>
      <w:sz w:val="22"/>
    </w:rPr>
  </w:style>
  <w:style w:type="paragraph" w:styleId="8">
    <w:name w:val="Body Text Indent"/>
    <w:basedOn w:val="1"/>
    <w:next w:val="9"/>
    <w:qFormat/>
    <w:uiPriority w:val="0"/>
    <w:pPr>
      <w:spacing w:after="120"/>
      <w:ind w:left="200" w:leftChars="200"/>
    </w:pPr>
  </w:style>
  <w:style w:type="paragraph" w:styleId="9">
    <w:name w:val="Body Text First Indent 2"/>
    <w:basedOn w:val="8"/>
    <w:next w:val="1"/>
    <w:qFormat/>
    <w:uiPriority w:val="0"/>
    <w:pPr>
      <w:ind w:firstLine="420" w:firstLineChars="200"/>
    </w:pPr>
  </w:style>
  <w:style w:type="paragraph" w:styleId="10">
    <w:name w:val="Plain Text"/>
    <w:basedOn w:val="1"/>
    <w:next w:val="11"/>
    <w:qFormat/>
    <w:uiPriority w:val="0"/>
    <w:rPr>
      <w:rFonts w:ascii="宋体"/>
      <w:color w:val="000000"/>
      <w:szCs w:val="20"/>
      <w:u w:val="none" w:color="000000"/>
    </w:rPr>
  </w:style>
  <w:style w:type="paragraph" w:styleId="11">
    <w:name w:val="List Number 5"/>
    <w:basedOn w:val="1"/>
    <w:qFormat/>
    <w:uiPriority w:val="0"/>
    <w:pPr>
      <w:numPr>
        <w:ilvl w:val="0"/>
        <w:numId w:val="2"/>
      </w:numPr>
    </w:p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footnote text"/>
    <w:basedOn w:val="1"/>
    <w:semiHidden/>
    <w:unhideWhenUsed/>
    <w:qFormat/>
    <w:uiPriority w:val="99"/>
    <w:pPr>
      <w:snapToGrid w:val="0"/>
      <w:jc w:val="left"/>
    </w:pPr>
    <w:rPr>
      <w:sz w:val="18"/>
      <w:szCs w:val="18"/>
    </w:rPr>
  </w:style>
  <w:style w:type="paragraph" w:styleId="15">
    <w:name w:val="index 7"/>
    <w:basedOn w:val="1"/>
    <w:next w:val="1"/>
    <w:qFormat/>
    <w:uiPriority w:val="0"/>
    <w:pPr>
      <w:autoSpaceDE/>
      <w:autoSpaceDN/>
      <w:adjustRightInd/>
      <w:ind w:left="1200" w:leftChars="1200"/>
    </w:pPr>
    <w:rPr>
      <w:color w:val="auto"/>
      <w:kern w:val="2"/>
      <w:szCs w:val="24"/>
    </w:rPr>
  </w:style>
  <w:style w:type="paragraph" w:styleId="16">
    <w:name w:val="Body Text 2"/>
    <w:basedOn w:val="1"/>
    <w:qFormat/>
    <w:uiPriority w:val="0"/>
    <w:pPr>
      <w:tabs>
        <w:tab w:val="left" w:pos="0"/>
      </w:tabs>
      <w:spacing w:line="400" w:lineRule="atLeast"/>
    </w:pPr>
    <w:rPr>
      <w:rFonts w:ascii="Arial" w:hAnsi="Arial"/>
      <w:color w:val="000000"/>
    </w:rPr>
  </w:style>
  <w:style w:type="paragraph" w:styleId="17">
    <w:name w:val="Normal (Web)"/>
    <w:basedOn w:val="1"/>
    <w:qFormat/>
    <w:uiPriority w:val="99"/>
    <w:pPr>
      <w:widowControl/>
      <w:jc w:val="left"/>
    </w:pPr>
    <w:rPr>
      <w:rFonts w:ascii="宋体" w:hAnsi="宋体" w:eastAsia="宋体" w:cs="宋体"/>
      <w:kern w:val="0"/>
      <w:sz w:val="24"/>
      <w:szCs w:val="24"/>
    </w:rPr>
  </w:style>
  <w:style w:type="paragraph" w:styleId="18">
    <w:name w:val="Title"/>
    <w:basedOn w:val="1"/>
    <w:next w:val="1"/>
    <w:qFormat/>
    <w:uiPriority w:val="99"/>
    <w:pPr>
      <w:spacing w:before="240" w:after="60"/>
      <w:jc w:val="center"/>
      <w:outlineLvl w:val="0"/>
    </w:pPr>
    <w:rPr>
      <w:rFonts w:ascii="新宋体" w:hAnsi="Cambria" w:eastAsia="新宋体"/>
      <w:b/>
      <w:bCs/>
      <w:sz w:val="40"/>
      <w:szCs w:val="32"/>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uiPriority w:val="0"/>
    <w:rPr>
      <w:b/>
      <w:bCs/>
    </w:rPr>
  </w:style>
  <w:style w:type="character" w:styleId="23">
    <w:name w:val="Hyperlink"/>
    <w:qFormat/>
    <w:uiPriority w:val="99"/>
    <w:rPr>
      <w:color w:val="0000FF"/>
      <w:u w:val="single"/>
    </w:rPr>
  </w:style>
  <w:style w:type="character" w:styleId="24">
    <w:name w:val="footnote reference"/>
    <w:basedOn w:val="21"/>
    <w:semiHidden/>
    <w:unhideWhenUsed/>
    <w:qFormat/>
    <w:uiPriority w:val="99"/>
    <w:rPr>
      <w:vertAlign w:val="superscript"/>
    </w:rPr>
  </w:style>
  <w:style w:type="paragraph" w:customStyle="1" w:styleId="25">
    <w:name w:val="样式 样式 左侧:  2 字符 + 左侧:  0.85 厘米 首行缩进:  2 字符1"/>
    <w:basedOn w:val="1"/>
    <w:autoRedefine/>
    <w:qFormat/>
    <w:uiPriority w:val="0"/>
    <w:pPr>
      <w:ind w:left="482" w:firstLine="200" w:firstLineChars="200"/>
    </w:pPr>
    <w:rPr>
      <w:rFonts w:cs="宋体"/>
      <w:szCs w:val="20"/>
    </w:rPr>
  </w:style>
  <w:style w:type="paragraph" w:customStyle="1" w:styleId="26">
    <w:name w:val="正文格式"/>
    <w:basedOn w:val="1"/>
    <w:qFormat/>
    <w:uiPriority w:val="99"/>
    <w:pPr>
      <w:widowControl/>
      <w:adjustRightInd w:val="0"/>
      <w:snapToGrid w:val="0"/>
      <w:spacing w:line="400" w:lineRule="atLeast"/>
      <w:ind w:firstLine="482"/>
      <w:textAlignment w:val="baseline"/>
    </w:pPr>
    <w:rPr>
      <w:rFonts w:ascii="Times New Roman" w:hAnsi="Times New Roman"/>
      <w:kern w:val="0"/>
      <w:sz w:val="24"/>
    </w:rPr>
  </w:style>
  <w:style w:type="paragraph" w:customStyle="1" w:styleId="27">
    <w:name w:val="Default"/>
    <w:basedOn w:val="18"/>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8">
    <w:name w:val="文档正文"/>
    <w:basedOn w:val="5"/>
    <w:qFormat/>
    <w:uiPriority w:val="0"/>
    <w:pPr>
      <w:spacing w:line="360" w:lineRule="auto"/>
    </w:pPr>
    <w:rPr>
      <w:rFonts w:ascii="宋体" w:hAnsi="宋体"/>
      <w:b/>
      <w:bCs/>
    </w:rPr>
  </w:style>
  <w:style w:type="paragraph" w:customStyle="1" w:styleId="29">
    <w:name w:val="_Style 2"/>
    <w:basedOn w:val="2"/>
    <w:next w:val="1"/>
    <w:qFormat/>
    <w:uiPriority w:val="39"/>
    <w:pPr>
      <w:widowControl/>
      <w:tabs>
        <w:tab w:val="left" w:pos="715"/>
      </w:tabs>
      <w:spacing w:before="480" w:after="0" w:line="276" w:lineRule="auto"/>
      <w:jc w:val="left"/>
      <w:outlineLvl w:val="9"/>
    </w:pPr>
    <w:rPr>
      <w:rFonts w:ascii="Cambria" w:hAnsi="Cambria" w:eastAsia="宋体" w:cs="Times New Roman"/>
      <w:color w:val="365F91"/>
      <w:kern w:val="0"/>
      <w:sz w:val="28"/>
      <w:szCs w:val="28"/>
    </w:rPr>
  </w:style>
  <w:style w:type="paragraph" w:customStyle="1" w:styleId="30">
    <w:name w:val="Heading #2|1"/>
    <w:basedOn w:val="1"/>
    <w:qFormat/>
    <w:uiPriority w:val="0"/>
    <w:pPr>
      <w:widowControl w:val="0"/>
      <w:shd w:val="clear" w:color="auto" w:fill="auto"/>
      <w:spacing w:before="60" w:after="270"/>
      <w:jc w:val="center"/>
      <w:outlineLvl w:val="1"/>
    </w:pPr>
    <w:rPr>
      <w:rFonts w:ascii="宋体" w:hAnsi="宋体" w:eastAsia="宋体" w:cs="宋体"/>
      <w:sz w:val="36"/>
      <w:szCs w:val="36"/>
      <w:u w:val="none"/>
      <w:shd w:val="clear" w:color="auto" w:fill="auto"/>
      <w:lang w:val="zh-TW" w:eastAsia="zh-TW" w:bidi="zh-TW"/>
    </w:rPr>
  </w:style>
  <w:style w:type="paragraph" w:customStyle="1" w:styleId="31">
    <w:name w:val="Body text|2"/>
    <w:basedOn w:val="1"/>
    <w:qFormat/>
    <w:uiPriority w:val="0"/>
    <w:pPr>
      <w:widowControl w:val="0"/>
      <w:shd w:val="clear" w:color="auto" w:fill="auto"/>
      <w:spacing w:after="260"/>
      <w:ind w:firstLine="140"/>
    </w:pPr>
    <w:rPr>
      <w:rFonts w:ascii="宋体" w:hAnsi="宋体" w:eastAsia="宋体" w:cs="宋体"/>
      <w:sz w:val="30"/>
      <w:szCs w:val="30"/>
      <w:u w:val="none"/>
      <w:shd w:val="clear" w:color="auto" w:fill="auto"/>
      <w:lang w:val="zh-TW" w:eastAsia="zh-TW" w:bidi="zh-TW"/>
    </w:rPr>
  </w:style>
  <w:style w:type="paragraph" w:customStyle="1" w:styleId="32">
    <w:name w:val="Body text|1"/>
    <w:basedOn w:val="1"/>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33">
    <w:name w:val="Other|1"/>
    <w:basedOn w:val="1"/>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34">
    <w:name w:val="Table caption|1"/>
    <w:basedOn w:val="1"/>
    <w:qFormat/>
    <w:uiPriority w:val="0"/>
    <w:pPr>
      <w:widowControl w:val="0"/>
      <w:shd w:val="clear" w:color="auto" w:fill="auto"/>
    </w:pPr>
    <w:rPr>
      <w:rFonts w:ascii="宋体" w:hAnsi="宋体" w:eastAsia="宋体" w:cs="宋体"/>
      <w:sz w:val="22"/>
      <w:szCs w:val="22"/>
      <w:u w:val="none"/>
      <w:shd w:val="clear" w:color="auto" w:fill="auto"/>
      <w:lang w:val="zh-TW" w:eastAsia="zh-TW" w:bidi="zh-TW"/>
    </w:rPr>
  </w:style>
  <w:style w:type="paragraph" w:customStyle="1" w:styleId="35">
    <w:name w:val="Table Paragraph"/>
    <w:basedOn w:val="1"/>
    <w:qFormat/>
    <w:uiPriority w:val="1"/>
    <w:pPr>
      <w:autoSpaceDE w:val="0"/>
      <w:autoSpaceDN w:val="0"/>
      <w:adjustRightInd w:val="0"/>
      <w:jc w:val="left"/>
    </w:pPr>
    <w:rPr>
      <w:rFonts w:ascii="Times New Roman" w:hAnsi="Times New Roman" w:eastAsia="宋体" w:cs="Times New Roman"/>
      <w:kern w:val="0"/>
      <w:sz w:val="24"/>
      <w:szCs w:val="24"/>
    </w:rPr>
  </w:style>
  <w:style w:type="paragraph" w:customStyle="1" w:styleId="36">
    <w:name w:val="black1"/>
    <w:basedOn w:val="1"/>
    <w:qFormat/>
    <w:uiPriority w:val="0"/>
    <w:pPr>
      <w:widowControl/>
      <w:spacing w:before="100" w:beforeLines="0" w:beforeAutospacing="1" w:after="100" w:afterLines="0" w:afterAutospacing="1" w:line="280" w:lineRule="atLeast"/>
      <w:jc w:val="left"/>
    </w:pPr>
    <w:rPr>
      <w:rFonts w:ascii="_x000B__x000C_" w:hAnsi="_x000B__x000C_"/>
      <w:color w:val="000000"/>
      <w:kern w:val="0"/>
      <w:sz w:val="18"/>
      <w:szCs w:val="18"/>
    </w:rPr>
  </w:style>
  <w:style w:type="paragraph" w:customStyle="1" w:styleId="37">
    <w:name w:val="图例"/>
    <w:basedOn w:val="1"/>
    <w:qFormat/>
    <w:uiPriority w:val="0"/>
    <w:pPr>
      <w:spacing w:before="120" w:beforeLines="0" w:after="120" w:afterLines="0" w:line="360" w:lineRule="auto"/>
      <w:jc w:val="center"/>
    </w:pPr>
    <w:rPr>
      <w:rFonts w:eastAsia="仿宋_GB2312"/>
      <w:b/>
      <w:sz w:val="24"/>
    </w:rPr>
  </w:style>
  <w:style w:type="paragraph" w:customStyle="1" w:styleId="38">
    <w:name w:val="WPS Plain"/>
    <w:qFormat/>
    <w:uiPriority w:val="0"/>
    <w:rPr>
      <w:rFonts w:ascii="Times New Roman" w:hAnsi="Times New Roman" w:eastAsia="宋体" w:cs="Times New Roman"/>
      <w:lang w:val="en-US" w:eastAsia="zh-CN" w:bidi="ar-SA"/>
    </w:rPr>
  </w:style>
  <w:style w:type="paragraph" w:customStyle="1" w:styleId="39">
    <w:name w:val="样式 左侧:  0 厘米 悬挂缩进: 2.5 字符"/>
    <w:basedOn w:val="1"/>
    <w:qFormat/>
    <w:uiPriority w:val="0"/>
    <w:pPr>
      <w:ind w:left="525" w:hanging="525" w:hangingChars="250"/>
    </w:pPr>
    <w:rPr>
      <w:szCs w:val="20"/>
    </w:rPr>
  </w:style>
  <w:style w:type="character" w:customStyle="1" w:styleId="40">
    <w:name w:val="font11"/>
    <w:basedOn w:val="21"/>
    <w:qFormat/>
    <w:uiPriority w:val="0"/>
    <w:rPr>
      <w:rFonts w:ascii="Calibri" w:hAnsi="Calibri" w:cs="Calibri"/>
      <w:color w:val="000000"/>
      <w:sz w:val="20"/>
      <w:szCs w:val="20"/>
      <w:u w:val="none"/>
    </w:rPr>
  </w:style>
  <w:style w:type="character" w:customStyle="1" w:styleId="41">
    <w:name w:val="font01"/>
    <w:basedOn w:val="21"/>
    <w:qFormat/>
    <w:uiPriority w:val="0"/>
    <w:rPr>
      <w:rFonts w:hint="eastAsia" w:ascii="宋体" w:hAnsi="宋体" w:eastAsia="宋体" w:cs="宋体"/>
      <w:color w:val="000000"/>
      <w:sz w:val="22"/>
      <w:szCs w:val="22"/>
      <w:u w:val="none"/>
    </w:rPr>
  </w:style>
  <w:style w:type="character" w:customStyle="1" w:styleId="42">
    <w:name w:val="font41"/>
    <w:basedOn w:val="21"/>
    <w:qFormat/>
    <w:uiPriority w:val="0"/>
    <w:rPr>
      <w:rFonts w:hint="eastAsia" w:ascii="宋体" w:hAnsi="宋体" w:eastAsia="宋体" w:cs="宋体"/>
      <w:color w:val="000000"/>
      <w:sz w:val="16"/>
      <w:szCs w:val="16"/>
      <w:u w:val="none"/>
    </w:rPr>
  </w:style>
  <w:style w:type="character" w:customStyle="1" w:styleId="43">
    <w:name w:val="font51"/>
    <w:basedOn w:val="21"/>
    <w:qFormat/>
    <w:uiPriority w:val="0"/>
    <w:rPr>
      <w:rFonts w:hint="eastAsia" w:ascii="宋体" w:hAnsi="宋体" w:eastAsia="宋体" w:cs="宋体"/>
      <w:color w:val="000000"/>
      <w:sz w:val="22"/>
      <w:szCs w:val="22"/>
      <w:u w:val="none"/>
      <w:vertAlign w:val="superscript"/>
    </w:rPr>
  </w:style>
  <w:style w:type="character" w:customStyle="1" w:styleId="44">
    <w:name w:val="font21"/>
    <w:basedOn w:val="21"/>
    <w:qFormat/>
    <w:uiPriority w:val="0"/>
    <w:rPr>
      <w:rFonts w:hint="eastAsia" w:ascii="宋体" w:hAnsi="宋体" w:eastAsia="宋体" w:cs="宋体"/>
      <w:color w:val="000000"/>
      <w:sz w:val="22"/>
      <w:szCs w:val="22"/>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80</Pages>
  <Words>16322</Words>
  <Characters>17595</Characters>
  <Lines>0</Lines>
  <Paragraphs>0</Paragraphs>
  <TotalTime>1</TotalTime>
  <ScaleCrop>false</ScaleCrop>
  <LinksUpToDate>false</LinksUpToDate>
  <CharactersWithSpaces>18098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2021-12-16T05:31:00Z</dcterms:created>
  <dc:creator>梦花雨   甘安莉</dc:creator>
  <cp:lastModifiedBy>Administrator</cp:lastModifiedBy>
  <cp:lastPrinted>2025-02-16T10:33:00Z</cp:lastPrinted>
  <dcterms:modified xsi:type="dcterms:W3CDTF">2025-03-11T08:55:12Z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652AA9E6E35D4148A7FFA5104FB98813_13</vt:lpwstr>
  </property>
  <property fmtid="{D5CDD505-2E9C-101B-9397-08002B2CF9AE}" pid="4" name="KSOTemplateDocerSaveRecord">
    <vt:lpwstr>eyJoZGlkIjoiNTA4ODcxMTkxNmEwYzAzYTA5NzZlOTM1ZGVkNTE1NjQifQ==</vt:lpwstr>
  </property>
</Properties>
</file>