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EAC7E">
      <w:pPr>
        <w:widowControl/>
        <w:autoSpaceDE w:val="0"/>
        <w:autoSpaceDN w:val="0"/>
        <w:ind w:left="723" w:right="-26" w:hanging="562" w:hangingChars="100"/>
        <w:jc w:val="center"/>
        <w:textAlignment w:val="bottom"/>
        <w:rPr>
          <w:rFonts w:hint="eastAsia" w:ascii="仿宋" w:hAnsi="仿宋" w:eastAsia="仿宋" w:cs="仿宋"/>
          <w:b/>
          <w:color w:val="000000" w:themeColor="text1"/>
          <w:sz w:val="56"/>
          <w:szCs w:val="56"/>
          <w:lang w:val="en-US" w:eastAsia="zh-CN"/>
          <w14:textFill>
            <w14:solidFill>
              <w14:schemeClr w14:val="tx1"/>
            </w14:solidFill>
          </w14:textFill>
        </w:rPr>
      </w:pPr>
    </w:p>
    <w:p w14:paraId="11E58837">
      <w:pPr>
        <w:pStyle w:val="31"/>
        <w:spacing w:line="360" w:lineRule="auto"/>
        <w:jc w:val="center"/>
        <w:rPr>
          <w:rFonts w:hint="default" w:ascii="仿宋_GB2312" w:hAnsi="仿宋_GB2312" w:eastAsia="仿宋_GB2312" w:cs="仿宋_GB2312"/>
          <w:b/>
          <w:bCs/>
          <w:color w:val="000000"/>
          <w:kern w:val="0"/>
          <w:sz w:val="56"/>
          <w:szCs w:val="56"/>
          <w:lang w:val="en-US" w:eastAsia="zh-CN" w:bidi="ar-SA"/>
        </w:rPr>
      </w:pPr>
      <w:r>
        <w:rPr>
          <w:rFonts w:hint="eastAsia" w:ascii="仿宋_GB2312" w:hAnsi="仿宋_GB2312" w:eastAsia="仿宋_GB2312" w:cs="仿宋_GB2312"/>
          <w:b/>
          <w:bCs/>
          <w:color w:val="000000"/>
          <w:kern w:val="0"/>
          <w:sz w:val="52"/>
          <w:szCs w:val="52"/>
          <w:lang w:val="en-US" w:eastAsia="zh-CN" w:bidi="ar-SA"/>
        </w:rPr>
        <w:t>2025年某单位伙食食材服务采购项目</w:t>
      </w:r>
    </w:p>
    <w:p w14:paraId="0C903C20">
      <w:pPr>
        <w:pStyle w:val="31"/>
        <w:rPr>
          <w:rFonts w:hint="default"/>
          <w:lang w:val="en-US"/>
        </w:rPr>
      </w:pPr>
    </w:p>
    <w:p w14:paraId="5AAF3116">
      <w:pPr>
        <w:pStyle w:val="31"/>
        <w:rPr>
          <w:rFonts w:hint="default"/>
          <w:lang w:val="en-US"/>
        </w:rPr>
      </w:pPr>
    </w:p>
    <w:p w14:paraId="278F6160">
      <w:pPr>
        <w:pStyle w:val="31"/>
        <w:rPr>
          <w:rFonts w:hint="default"/>
          <w:lang w:val="en-US"/>
        </w:rPr>
      </w:pPr>
    </w:p>
    <w:p w14:paraId="273CEA87">
      <w:pPr>
        <w:pStyle w:val="31"/>
        <w:rPr>
          <w:rFonts w:hint="eastAsia" w:ascii="仿宋" w:hAnsi="仿宋" w:eastAsia="仿宋" w:cs="仿宋"/>
          <w:color w:val="000000" w:themeColor="text1"/>
          <w14:textFill>
            <w14:solidFill>
              <w14:schemeClr w14:val="tx1"/>
            </w14:solidFill>
          </w14:textFill>
        </w:rPr>
      </w:pPr>
    </w:p>
    <w:p w14:paraId="4EAF1283">
      <w:pPr>
        <w:pStyle w:val="32"/>
        <w:rPr>
          <w:rFonts w:hint="eastAsia"/>
        </w:rPr>
      </w:pPr>
    </w:p>
    <w:p w14:paraId="4A7057C2">
      <w:pPr>
        <w:pStyle w:val="31"/>
        <w:jc w:val="center"/>
        <w:rPr>
          <w:rFonts w:hint="eastAsia" w:ascii="仿宋_GB2312" w:hAnsi="仿宋_GB2312" w:eastAsia="仿宋_GB2312" w:cs="仿宋_GB2312"/>
          <w:b/>
          <w:bCs/>
          <w:color w:val="000000"/>
          <w:kern w:val="0"/>
          <w:sz w:val="72"/>
          <w:szCs w:val="72"/>
          <w:lang w:val="en-US" w:eastAsia="zh-CN" w:bidi="ar-SA"/>
        </w:rPr>
      </w:pPr>
      <w:r>
        <w:rPr>
          <w:rFonts w:hint="eastAsia" w:ascii="仿宋_GB2312" w:hAnsi="仿宋_GB2312" w:eastAsia="仿宋_GB2312" w:cs="仿宋_GB2312"/>
          <w:b/>
          <w:bCs/>
          <w:color w:val="000000"/>
          <w:kern w:val="0"/>
          <w:sz w:val="72"/>
          <w:szCs w:val="72"/>
          <w:lang w:val="en-US" w:eastAsia="zh-CN" w:bidi="ar-SA"/>
        </w:rPr>
        <w:t>招</w:t>
      </w:r>
    </w:p>
    <w:p w14:paraId="021CA6ED">
      <w:pPr>
        <w:pStyle w:val="31"/>
        <w:jc w:val="center"/>
        <w:rPr>
          <w:rFonts w:hint="eastAsia" w:ascii="仿宋_GB2312" w:hAnsi="仿宋_GB2312" w:eastAsia="仿宋_GB2312" w:cs="仿宋_GB2312"/>
          <w:b/>
          <w:bCs/>
          <w:color w:val="000000"/>
          <w:kern w:val="0"/>
          <w:sz w:val="72"/>
          <w:szCs w:val="72"/>
          <w:lang w:val="en-US" w:eastAsia="zh-CN" w:bidi="ar-SA"/>
        </w:rPr>
      </w:pPr>
      <w:r>
        <w:rPr>
          <w:rFonts w:hint="eastAsia" w:ascii="仿宋_GB2312" w:hAnsi="仿宋_GB2312" w:eastAsia="仿宋_GB2312" w:cs="仿宋_GB2312"/>
          <w:b/>
          <w:bCs/>
          <w:color w:val="000000"/>
          <w:kern w:val="0"/>
          <w:sz w:val="72"/>
          <w:szCs w:val="72"/>
          <w:lang w:val="en-US" w:eastAsia="zh-CN" w:bidi="ar-SA"/>
        </w:rPr>
        <w:t>标</w:t>
      </w:r>
    </w:p>
    <w:p w14:paraId="7CAF29CD">
      <w:pPr>
        <w:pStyle w:val="31"/>
        <w:jc w:val="center"/>
        <w:rPr>
          <w:rFonts w:hint="eastAsia" w:ascii="仿宋_GB2312" w:hAnsi="仿宋_GB2312" w:eastAsia="仿宋_GB2312" w:cs="仿宋_GB2312"/>
          <w:b/>
          <w:bCs/>
          <w:color w:val="000000"/>
          <w:kern w:val="0"/>
          <w:sz w:val="72"/>
          <w:szCs w:val="72"/>
          <w:lang w:val="en-US" w:eastAsia="zh-CN" w:bidi="ar-SA"/>
        </w:rPr>
      </w:pPr>
      <w:r>
        <w:rPr>
          <w:rFonts w:hint="eastAsia" w:ascii="仿宋_GB2312" w:hAnsi="仿宋_GB2312" w:eastAsia="仿宋_GB2312" w:cs="仿宋_GB2312"/>
          <w:b/>
          <w:bCs/>
          <w:color w:val="000000"/>
          <w:kern w:val="0"/>
          <w:sz w:val="72"/>
          <w:szCs w:val="72"/>
          <w:lang w:val="en-US" w:eastAsia="zh-CN" w:bidi="ar-SA"/>
        </w:rPr>
        <w:t>文</w:t>
      </w:r>
    </w:p>
    <w:p w14:paraId="5782AD54">
      <w:pPr>
        <w:pStyle w:val="31"/>
        <w:jc w:val="center"/>
        <w:rPr>
          <w:rFonts w:hint="eastAsia" w:ascii="仿宋_GB2312" w:hAnsi="仿宋_GB2312" w:eastAsia="仿宋_GB2312" w:cs="仿宋_GB2312"/>
          <w:color w:val="000000"/>
          <w:kern w:val="0"/>
          <w:sz w:val="72"/>
          <w:szCs w:val="72"/>
          <w:lang w:val="en-US" w:eastAsia="zh-CN" w:bidi="ar-SA"/>
        </w:rPr>
      </w:pPr>
      <w:r>
        <w:rPr>
          <w:rFonts w:hint="eastAsia" w:ascii="仿宋_GB2312" w:hAnsi="仿宋_GB2312" w:eastAsia="仿宋_GB2312" w:cs="仿宋_GB2312"/>
          <w:b/>
          <w:bCs/>
          <w:color w:val="000000"/>
          <w:kern w:val="0"/>
          <w:sz w:val="72"/>
          <w:szCs w:val="72"/>
          <w:lang w:val="en-US" w:eastAsia="zh-CN" w:bidi="ar-SA"/>
        </w:rPr>
        <w:t>件</w:t>
      </w:r>
    </w:p>
    <w:p w14:paraId="7CEE6335">
      <w:pPr>
        <w:pStyle w:val="31"/>
        <w:rPr>
          <w:rFonts w:hint="eastAsia"/>
        </w:rPr>
      </w:pPr>
    </w:p>
    <w:p w14:paraId="12605734">
      <w:pPr>
        <w:pStyle w:val="31"/>
        <w:rPr>
          <w:rFonts w:hint="eastAsia"/>
        </w:rPr>
      </w:pPr>
    </w:p>
    <w:p w14:paraId="37D27DA0">
      <w:pPr>
        <w:pStyle w:val="31"/>
        <w:rPr>
          <w:rFonts w:hint="eastAsia"/>
        </w:rPr>
      </w:pPr>
    </w:p>
    <w:p w14:paraId="69DF417A">
      <w:pPr>
        <w:pStyle w:val="31"/>
        <w:rPr>
          <w:rFonts w:hint="eastAsia"/>
        </w:rPr>
      </w:pPr>
    </w:p>
    <w:p w14:paraId="1B7DE5F5">
      <w:pPr>
        <w:pStyle w:val="31"/>
        <w:rPr>
          <w:rFonts w:hint="eastAsia"/>
        </w:rPr>
      </w:pPr>
    </w:p>
    <w:p w14:paraId="21041D78">
      <w:pPr>
        <w:pStyle w:val="31"/>
        <w:rPr>
          <w:rFonts w:hint="default"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项目名称：2025年某单位伙食食材服务采购项目</w:t>
      </w:r>
    </w:p>
    <w:p w14:paraId="512AC1FA">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项目编号：YPHZB（GK）-2025-05号</w:t>
      </w:r>
    </w:p>
    <w:p w14:paraId="3C65E208">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采购单位：岳普湖县公安局</w:t>
      </w:r>
    </w:p>
    <w:p w14:paraId="0C6C5965">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代理机构</w:t>
      </w:r>
      <w:r>
        <w:rPr>
          <w:rFonts w:hint="eastAsia" w:ascii="仿宋_GB2312" w:hAnsi="仿宋_GB2312" w:eastAsia="仿宋_GB2312" w:cs="仿宋_GB2312"/>
          <w:b/>
          <w:bCs/>
          <w:color w:val="000000"/>
          <w:kern w:val="0"/>
          <w:sz w:val="32"/>
          <w:szCs w:val="32"/>
          <w:highlight w:val="none"/>
          <w:lang w:val="en-US" w:eastAsia="zh-CN" w:bidi="ar-SA"/>
        </w:rPr>
        <w:t>：新疆众喀工程项目管理咨询有限公司</w:t>
      </w:r>
    </w:p>
    <w:p w14:paraId="58C3EC70">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编制日期：2025年2月</w:t>
      </w:r>
    </w:p>
    <w:p w14:paraId="05A6D954">
      <w:pPr>
        <w:keepNext w:val="0"/>
        <w:keepLines w:val="0"/>
        <w:pageBreakBefore w:val="0"/>
        <w:widowControl w:val="0"/>
        <w:kinsoku/>
        <w:wordWrap/>
        <w:overflowPunct/>
        <w:topLinePunct w:val="0"/>
        <w:autoSpaceDE/>
        <w:autoSpaceDN/>
        <w:bidi w:val="0"/>
        <w:adjustRightInd/>
        <w:snapToGrid/>
        <w:spacing w:line="700" w:lineRule="exact"/>
        <w:ind w:firstLine="320" w:firstLineChars="100"/>
        <w:textAlignment w:val="auto"/>
        <w:rPr>
          <w:rFonts w:hint="eastAsia" w:ascii="仿宋" w:hAnsi="仿宋" w:eastAsia="仿宋" w:cs="仿宋"/>
          <w:color w:val="000000" w:themeColor="text1"/>
          <w:sz w:val="32"/>
          <w:szCs w:val="32"/>
          <w:lang w:eastAsia="zh-CN"/>
          <w14:textFill>
            <w14:solidFill>
              <w14:schemeClr w14:val="tx1"/>
            </w14:solidFill>
          </w14:textFill>
        </w:rPr>
      </w:pPr>
    </w:p>
    <w:p w14:paraId="7F7828DF">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仿宋" w:hAnsi="仿宋" w:eastAsia="仿宋" w:cs="仿宋"/>
          <w:b/>
          <w:bCs w:val="0"/>
          <w:color w:val="auto"/>
          <w:sz w:val="48"/>
          <w:szCs w:val="48"/>
          <w:highlight w:val="none"/>
          <w:lang w:val="en-US" w:eastAsia="zh-CN"/>
        </w:rPr>
      </w:pPr>
    </w:p>
    <w:p w14:paraId="32F13D3E">
      <w:pPr>
        <w:pStyle w:val="2"/>
        <w:rPr>
          <w:rFonts w:hint="eastAsia"/>
          <w:lang w:val="en-US" w:eastAsia="zh-CN"/>
        </w:rPr>
      </w:pPr>
    </w:p>
    <w:p w14:paraId="2C02E7A4">
      <w:pPr>
        <w:keepNext w:val="0"/>
        <w:keepLines w:val="0"/>
        <w:pageBreakBefore w:val="0"/>
        <w:widowControl w:val="0"/>
        <w:kinsoku/>
        <w:wordWrap/>
        <w:overflowPunct/>
        <w:topLinePunct w:val="0"/>
        <w:autoSpaceDE/>
        <w:autoSpaceDN/>
        <w:bidi w:val="0"/>
        <w:adjustRightInd/>
        <w:snapToGrid/>
        <w:spacing w:line="700" w:lineRule="exact"/>
        <w:ind w:firstLine="482" w:firstLineChars="100"/>
        <w:jc w:val="center"/>
        <w:textAlignment w:val="auto"/>
        <w:rPr>
          <w:rFonts w:hint="eastAsia" w:ascii="仿宋_GB2312" w:hAnsi="仿宋_GB2312" w:eastAsia="仿宋_GB2312" w:cs="仿宋_GB2312"/>
          <w:b/>
          <w:bCs/>
          <w:color w:val="000000"/>
          <w:kern w:val="0"/>
          <w:sz w:val="48"/>
          <w:szCs w:val="48"/>
          <w:lang w:val="en-US" w:eastAsia="zh-CN" w:bidi="ar-SA"/>
        </w:rPr>
      </w:pPr>
      <w:r>
        <w:rPr>
          <w:rFonts w:hint="eastAsia" w:ascii="仿宋_GB2312" w:hAnsi="仿宋_GB2312" w:eastAsia="仿宋_GB2312" w:cs="仿宋_GB2312"/>
          <w:b/>
          <w:bCs/>
          <w:color w:val="000000"/>
          <w:kern w:val="0"/>
          <w:sz w:val="48"/>
          <w:szCs w:val="48"/>
          <w:lang w:val="en-US" w:eastAsia="zh-CN" w:bidi="ar-SA"/>
        </w:rPr>
        <w:t>招 标 文 件</w:t>
      </w:r>
    </w:p>
    <w:p w14:paraId="5A5360A3">
      <w:pPr>
        <w:pStyle w:val="31"/>
        <w:spacing w:line="240" w:lineRule="auto"/>
        <w:rPr>
          <w:rFonts w:hint="eastAsia"/>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3F7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4" w:hRule="atLeast"/>
          <w:jc w:val="center"/>
        </w:trPr>
        <w:tc>
          <w:tcPr>
            <w:tcW w:w="8522" w:type="dxa"/>
          </w:tcPr>
          <w:p w14:paraId="6B82BCD6">
            <w:pPr>
              <w:keepNext w:val="0"/>
              <w:keepLines w:val="0"/>
              <w:suppressLineNumbers w:val="0"/>
              <w:spacing w:before="0" w:beforeAutospacing="0" w:after="0" w:afterAutospacing="0" w:line="240" w:lineRule="auto"/>
              <w:ind w:left="0" w:right="0"/>
              <w:rPr>
                <w:rFonts w:hint="eastAsia"/>
              </w:rPr>
            </w:pPr>
          </w:p>
          <w:p w14:paraId="07AAAFA1">
            <w:pPr>
              <w:keepNext w:val="0"/>
              <w:keepLines w:val="0"/>
              <w:suppressLineNumbers w:val="0"/>
              <w:snapToGrid w:val="0"/>
              <w:spacing w:before="0" w:beforeAutospacing="0" w:after="0" w:afterAutospacing="0" w:line="600" w:lineRule="auto"/>
              <w:ind w:left="0" w:right="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 xml:space="preserve">项目名称：2025年某单位伙食食材服务采购项目           </w:t>
            </w:r>
          </w:p>
          <w:p w14:paraId="535E20AC">
            <w:pPr>
              <w:keepNext w:val="0"/>
              <w:keepLines w:val="0"/>
              <w:suppressLineNumbers w:val="0"/>
              <w:snapToGrid w:val="0"/>
              <w:spacing w:before="0" w:beforeAutospacing="0" w:after="0" w:afterAutospacing="0" w:line="600" w:lineRule="auto"/>
              <w:ind w:left="0" w:right="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 xml:space="preserve">采购单位：岳普湖县公安局（盖章）      </w:t>
            </w:r>
          </w:p>
          <w:p w14:paraId="690A0BCE">
            <w:pPr>
              <w:keepNext w:val="0"/>
              <w:keepLines w:val="0"/>
              <w:suppressLineNumbers w:val="0"/>
              <w:snapToGrid w:val="0"/>
              <w:spacing w:before="0" w:beforeAutospacing="0" w:after="0" w:afterAutospacing="0" w:line="600" w:lineRule="auto"/>
              <w:ind w:left="0" w:right="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 xml:space="preserve">联 系 人：徐巍          </w:t>
            </w:r>
          </w:p>
          <w:p w14:paraId="74E90DBC">
            <w:pPr>
              <w:keepNext w:val="0"/>
              <w:keepLines w:val="0"/>
              <w:suppressLineNumbers w:val="0"/>
              <w:snapToGrid w:val="0"/>
              <w:spacing w:before="0" w:beforeAutospacing="0" w:after="0" w:afterAutospacing="0" w:line="600" w:lineRule="auto"/>
              <w:ind w:left="0" w:right="0"/>
              <w:rPr>
                <w:rFonts w:hint="default"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联系电话：157-3993-7169</w:t>
            </w:r>
          </w:p>
          <w:p w14:paraId="33C8EA34">
            <w:pPr>
              <w:pStyle w:val="31"/>
              <w:keepNext w:val="0"/>
              <w:keepLines w:val="0"/>
              <w:suppressLineNumbers w:val="0"/>
              <w:spacing w:before="0" w:beforeAutospacing="0" w:after="0" w:afterAutospacing="0"/>
              <w:ind w:left="0" w:right="0"/>
              <w:jc w:val="both"/>
              <w:rPr>
                <w:rFonts w:hint="default"/>
                <w:lang w:val="en-US"/>
              </w:rPr>
            </w:pPr>
            <w:r>
              <w:rPr>
                <w:rFonts w:hint="eastAsia" w:ascii="仿宋_GB2312" w:hAnsi="仿宋_GB2312" w:eastAsia="仿宋_GB2312" w:cs="仿宋_GB2312"/>
                <w:color w:val="000000"/>
                <w:kern w:val="0"/>
                <w:sz w:val="28"/>
                <w:szCs w:val="28"/>
                <w:lang w:val="en-US" w:eastAsia="zh-CN" w:bidi="ar-SA"/>
              </w:rPr>
              <w:t>地     址：岳普湖县东城区市政大道26号</w:t>
            </w:r>
          </w:p>
        </w:tc>
      </w:tr>
      <w:tr w14:paraId="26D0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4" w:hRule="atLeast"/>
          <w:jc w:val="center"/>
        </w:trPr>
        <w:tc>
          <w:tcPr>
            <w:tcW w:w="8522" w:type="dxa"/>
          </w:tcPr>
          <w:p w14:paraId="6002F46B">
            <w:pPr>
              <w:keepNext w:val="0"/>
              <w:keepLines w:val="0"/>
              <w:suppressLineNumbers w:val="0"/>
              <w:spacing w:before="0" w:beforeAutospacing="0" w:after="0" w:afterAutospacing="0" w:line="480" w:lineRule="auto"/>
              <w:ind w:left="0" w:right="-313" w:rightChars="-149"/>
              <w:rPr>
                <w:rFonts w:hint="eastAsia"/>
                <w:highlight w:val="none"/>
              </w:rPr>
            </w:pPr>
          </w:p>
          <w:p w14:paraId="2B431B26">
            <w:pPr>
              <w:keepNext w:val="0"/>
              <w:keepLines w:val="0"/>
              <w:suppressLineNumbers w:val="0"/>
              <w:snapToGrid w:val="0"/>
              <w:spacing w:before="0" w:beforeAutospacing="0" w:after="0" w:afterAutospacing="0" w:line="600" w:lineRule="auto"/>
              <w:ind w:left="0" w:right="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highlight w:val="none"/>
                <w:lang w:val="en-US" w:eastAsia="zh-CN" w:bidi="ar-SA"/>
              </w:rPr>
              <w:t xml:space="preserve">招标代理机构:新疆众喀工程项目管理咨询有限公司（盖章）     </w:t>
            </w:r>
            <w:r>
              <w:rPr>
                <w:rFonts w:hint="eastAsia" w:ascii="仿宋_GB2312" w:hAnsi="仿宋_GB2312" w:eastAsia="仿宋_GB2312" w:cs="仿宋_GB2312"/>
                <w:color w:val="000000"/>
                <w:kern w:val="0"/>
                <w:sz w:val="28"/>
                <w:szCs w:val="28"/>
                <w:lang w:val="en-US" w:eastAsia="zh-CN" w:bidi="ar-SA"/>
              </w:rPr>
              <w:t xml:space="preserve">                 </w:t>
            </w:r>
          </w:p>
          <w:p w14:paraId="29E9440A">
            <w:pPr>
              <w:keepNext w:val="0"/>
              <w:keepLines w:val="0"/>
              <w:suppressLineNumbers w:val="0"/>
              <w:snapToGrid w:val="0"/>
              <w:spacing w:before="0" w:beforeAutospacing="0" w:after="0" w:afterAutospacing="0" w:line="600" w:lineRule="auto"/>
              <w:ind w:left="0" w:right="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 xml:space="preserve">联 系 人：闻萍       </w:t>
            </w:r>
          </w:p>
          <w:p w14:paraId="23BC3CB1">
            <w:pPr>
              <w:keepNext w:val="0"/>
              <w:keepLines w:val="0"/>
              <w:suppressLineNumbers w:val="0"/>
              <w:snapToGrid w:val="0"/>
              <w:spacing w:before="0" w:beforeAutospacing="0" w:after="0" w:afterAutospacing="0" w:line="600" w:lineRule="auto"/>
              <w:ind w:left="0" w:right="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 xml:space="preserve">联系电话：135-7908-8956 </w:t>
            </w:r>
          </w:p>
          <w:p w14:paraId="4A1A4F4B">
            <w:pPr>
              <w:pStyle w:val="31"/>
              <w:keepNext w:val="0"/>
              <w:keepLines w:val="0"/>
              <w:suppressLineNumbers w:val="0"/>
              <w:spacing w:before="0" w:beforeAutospacing="0" w:after="0" w:afterAutospacing="0"/>
              <w:ind w:left="0" w:right="0"/>
              <w:jc w:val="both"/>
              <w:rPr>
                <w:rFonts w:hint="eastAsia"/>
              </w:rPr>
            </w:pPr>
            <w:r>
              <w:rPr>
                <w:rFonts w:hint="eastAsia" w:ascii="仿宋_GB2312" w:hAnsi="仿宋_GB2312" w:eastAsia="仿宋_GB2312" w:cs="仿宋_GB2312"/>
                <w:color w:val="000000"/>
                <w:kern w:val="0"/>
                <w:sz w:val="28"/>
                <w:szCs w:val="28"/>
                <w:lang w:val="en-US" w:eastAsia="zh-CN" w:bidi="ar-SA"/>
              </w:rPr>
              <w:t>地    址：喀什地区喀什市南湖路学府小区</w:t>
            </w:r>
          </w:p>
        </w:tc>
      </w:tr>
    </w:tbl>
    <w:p w14:paraId="0675B246">
      <w:pPr>
        <w:spacing w:line="240" w:lineRule="auto"/>
        <w:ind w:left="0" w:leftChars="0" w:firstLine="0" w:firstLineChars="0"/>
        <w:rPr>
          <w:rFonts w:hint="eastAsia"/>
        </w:rPr>
      </w:pPr>
    </w:p>
    <w:p w14:paraId="6021D607">
      <w:pPr>
        <w:snapToGrid w:val="0"/>
        <w:spacing w:line="600" w:lineRule="auto"/>
        <w:rPr>
          <w:rFonts w:hint="eastAsia" w:ascii="仿宋" w:hAnsi="仿宋" w:eastAsia="仿宋" w:cs="仿宋"/>
          <w:bCs/>
          <w:sz w:val="28"/>
          <w:szCs w:val="28"/>
          <w:highlight w:val="none"/>
          <w:lang w:val="en-US" w:eastAsia="zh-CN"/>
        </w:rPr>
      </w:pPr>
    </w:p>
    <w:p w14:paraId="1779166D">
      <w:pPr>
        <w:overflowPunct w:val="0"/>
        <w:jc w:val="center"/>
        <w:rPr>
          <w:rFonts w:hint="eastAsia" w:ascii="仿宋" w:hAnsi="仿宋" w:eastAsia="仿宋" w:cs="仿宋"/>
          <w:kern w:val="0"/>
          <w:sz w:val="36"/>
          <w:szCs w:val="36"/>
        </w:rPr>
      </w:pPr>
    </w:p>
    <w:p w14:paraId="71F2AC6E">
      <w:pPr>
        <w:overflowPunct w:val="0"/>
        <w:jc w:val="center"/>
        <w:rPr>
          <w:rFonts w:hint="eastAsia" w:ascii="仿宋_GB2312" w:hAnsi="仿宋_GB2312" w:eastAsia="仿宋_GB2312" w:cs="仿宋_GB2312"/>
          <w:color w:val="000000"/>
          <w:kern w:val="0"/>
          <w:sz w:val="36"/>
          <w:szCs w:val="36"/>
          <w:lang w:val="en-US" w:eastAsia="zh-CN" w:bidi="ar-SA"/>
        </w:rPr>
      </w:pPr>
      <w:r>
        <w:rPr>
          <w:rFonts w:hint="eastAsia" w:ascii="仿宋_GB2312" w:hAnsi="仿宋_GB2312" w:eastAsia="仿宋_GB2312" w:cs="仿宋_GB2312"/>
          <w:color w:val="000000"/>
          <w:kern w:val="0"/>
          <w:sz w:val="36"/>
          <w:szCs w:val="36"/>
          <w:lang w:val="en-US" w:eastAsia="zh-CN" w:bidi="ar-SA"/>
        </w:rPr>
        <w:t>目   录</w:t>
      </w:r>
    </w:p>
    <w:p w14:paraId="416A9464">
      <w:pPr>
        <w:overflowPunct w:val="0"/>
        <w:jc w:val="center"/>
        <w:rPr>
          <w:rFonts w:hint="eastAsia" w:ascii="仿宋_GB2312" w:hAnsi="仿宋_GB2312" w:eastAsia="仿宋_GB2312" w:cs="仿宋_GB2312"/>
          <w:color w:val="000000"/>
          <w:kern w:val="0"/>
          <w:sz w:val="32"/>
          <w:szCs w:val="32"/>
          <w:lang w:val="en-US" w:eastAsia="zh-CN" w:bidi="ar-SA"/>
        </w:rPr>
      </w:pPr>
    </w:p>
    <w:p w14:paraId="00BC0E60">
      <w:pPr>
        <w:pStyle w:val="33"/>
        <w:tabs>
          <w:tab w:val="right" w:leader="dot" w:pos="9207"/>
        </w:tabs>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fldChar w:fldCharType="begin"/>
      </w:r>
      <w:r>
        <w:rPr>
          <w:rFonts w:hint="eastAsia" w:ascii="仿宋_GB2312" w:hAnsi="仿宋_GB2312" w:eastAsia="仿宋_GB2312" w:cs="仿宋_GB2312"/>
          <w:color w:val="000000"/>
          <w:kern w:val="0"/>
          <w:sz w:val="32"/>
          <w:szCs w:val="32"/>
          <w:lang w:val="en-US" w:eastAsia="zh-CN" w:bidi="ar-SA"/>
        </w:rPr>
        <w:instrText xml:space="preserve">TOC \o "1-1" \h \u </w:instrText>
      </w:r>
      <w:r>
        <w:rPr>
          <w:rFonts w:hint="eastAsia" w:ascii="仿宋_GB2312" w:hAnsi="仿宋_GB2312" w:eastAsia="仿宋_GB2312" w:cs="仿宋_GB2312"/>
          <w:color w:val="000000"/>
          <w:kern w:val="0"/>
          <w:sz w:val="32"/>
          <w:szCs w:val="32"/>
          <w:lang w:val="en-US" w:eastAsia="zh-CN" w:bidi="ar-SA"/>
        </w:rPr>
        <w:fldChar w:fldCharType="separate"/>
      </w:r>
    </w:p>
    <w:p w14:paraId="2493E819">
      <w:pPr>
        <w:pStyle w:val="18"/>
        <w:tabs>
          <w:tab w:val="left" w:pos="1050"/>
          <w:tab w:val="right" w:leader="dot" w:pos="8937"/>
        </w:tabs>
        <w:spacing w:line="600" w:lineRule="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fldChar w:fldCharType="begin"/>
      </w:r>
      <w:r>
        <w:rPr>
          <w:rFonts w:hint="eastAsia" w:ascii="仿宋_GB2312" w:hAnsi="仿宋_GB2312" w:eastAsia="仿宋_GB2312" w:cs="仿宋_GB2312"/>
          <w:color w:val="000000"/>
          <w:kern w:val="0"/>
          <w:sz w:val="32"/>
          <w:szCs w:val="32"/>
          <w:lang w:val="en-US" w:eastAsia="zh-CN" w:bidi="ar-SA"/>
        </w:rPr>
        <w:instrText xml:space="preserve"> TOC \o "1-1" \h \z \u </w:instrText>
      </w:r>
      <w:r>
        <w:rPr>
          <w:rFonts w:hint="eastAsia" w:ascii="仿宋_GB2312" w:hAnsi="仿宋_GB2312" w:eastAsia="仿宋_GB2312" w:cs="仿宋_GB2312"/>
          <w:color w:val="000000"/>
          <w:kern w:val="0"/>
          <w:sz w:val="32"/>
          <w:szCs w:val="32"/>
          <w:lang w:val="en-US" w:eastAsia="zh-CN" w:bidi="ar-SA"/>
        </w:rPr>
        <w:fldChar w:fldCharType="separate"/>
      </w:r>
      <w:r>
        <w:rPr>
          <w:rFonts w:hint="eastAsia" w:ascii="仿宋_GB2312" w:hAnsi="仿宋_GB2312" w:eastAsia="仿宋_GB2312" w:cs="仿宋_GB2312"/>
          <w:color w:val="000000"/>
          <w:kern w:val="0"/>
          <w:sz w:val="32"/>
          <w:szCs w:val="32"/>
          <w:lang w:val="en-US" w:eastAsia="zh-CN" w:bidi="ar-SA"/>
        </w:rPr>
        <w:fldChar w:fldCharType="begin"/>
      </w:r>
      <w:r>
        <w:rPr>
          <w:rFonts w:hint="eastAsia" w:ascii="仿宋_GB2312" w:hAnsi="仿宋_GB2312" w:eastAsia="仿宋_GB2312" w:cs="仿宋_GB2312"/>
          <w:color w:val="000000"/>
          <w:kern w:val="0"/>
          <w:sz w:val="32"/>
          <w:szCs w:val="32"/>
          <w:lang w:val="en-US" w:eastAsia="zh-CN" w:bidi="ar-SA"/>
        </w:rPr>
        <w:instrText xml:space="preserve"> HYPERLINK \l "_Toc99301419" </w:instrText>
      </w:r>
      <w:r>
        <w:rPr>
          <w:rFonts w:hint="eastAsia" w:ascii="仿宋_GB2312" w:hAnsi="仿宋_GB2312" w:eastAsia="仿宋_GB2312" w:cs="仿宋_GB2312"/>
          <w:color w:val="000000"/>
          <w:kern w:val="0"/>
          <w:sz w:val="32"/>
          <w:szCs w:val="32"/>
          <w:lang w:val="en-US" w:eastAsia="zh-CN" w:bidi="ar-SA"/>
        </w:rPr>
        <w:fldChar w:fldCharType="separate"/>
      </w:r>
      <w:r>
        <w:rPr>
          <w:rFonts w:hint="eastAsia" w:ascii="仿宋_GB2312" w:hAnsi="仿宋_GB2312" w:eastAsia="仿宋_GB2312" w:cs="仿宋_GB2312"/>
          <w:color w:val="000000"/>
          <w:kern w:val="0"/>
          <w:sz w:val="32"/>
          <w:szCs w:val="32"/>
          <w:lang w:val="en-US" w:eastAsia="zh-CN" w:bidi="ar-SA"/>
        </w:rPr>
        <w:t>第一章   招标公告</w:t>
      </w:r>
      <w:r>
        <w:rPr>
          <w:rFonts w:hint="eastAsia" w:ascii="仿宋_GB2312" w:hAnsi="仿宋_GB2312" w:eastAsia="仿宋_GB2312" w:cs="仿宋_GB2312"/>
          <w:color w:val="000000"/>
          <w:kern w:val="0"/>
          <w:sz w:val="32"/>
          <w:szCs w:val="32"/>
          <w:lang w:val="en-US" w:eastAsia="zh-CN" w:bidi="ar-SA"/>
        </w:rPr>
        <w:tab/>
      </w:r>
      <w:r>
        <w:rPr>
          <w:rFonts w:hint="eastAsia" w:ascii="仿宋_GB2312" w:hAnsi="仿宋_GB2312" w:eastAsia="仿宋_GB2312" w:cs="仿宋_GB2312"/>
          <w:color w:val="000000"/>
          <w:kern w:val="0"/>
          <w:sz w:val="32"/>
          <w:szCs w:val="32"/>
          <w:lang w:val="en-US" w:eastAsia="zh-CN" w:bidi="ar-SA"/>
        </w:rPr>
        <w:fldChar w:fldCharType="end"/>
      </w:r>
    </w:p>
    <w:p w14:paraId="5E291A2C">
      <w:pPr>
        <w:pStyle w:val="18"/>
        <w:tabs>
          <w:tab w:val="left" w:pos="1050"/>
          <w:tab w:val="right" w:leader="dot" w:pos="8937"/>
        </w:tabs>
        <w:spacing w:line="600" w:lineRule="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fldChar w:fldCharType="begin"/>
      </w:r>
      <w:r>
        <w:rPr>
          <w:rFonts w:hint="eastAsia" w:ascii="仿宋_GB2312" w:hAnsi="仿宋_GB2312" w:eastAsia="仿宋_GB2312" w:cs="仿宋_GB2312"/>
          <w:color w:val="000000"/>
          <w:kern w:val="0"/>
          <w:sz w:val="32"/>
          <w:szCs w:val="32"/>
          <w:lang w:val="en-US" w:eastAsia="zh-CN" w:bidi="ar-SA"/>
        </w:rPr>
        <w:instrText xml:space="preserve"> HYPERLINK \l "_Toc99301420" </w:instrText>
      </w:r>
      <w:r>
        <w:rPr>
          <w:rFonts w:hint="eastAsia" w:ascii="仿宋_GB2312" w:hAnsi="仿宋_GB2312" w:eastAsia="仿宋_GB2312" w:cs="仿宋_GB2312"/>
          <w:color w:val="000000"/>
          <w:kern w:val="0"/>
          <w:sz w:val="32"/>
          <w:szCs w:val="32"/>
          <w:lang w:val="en-US" w:eastAsia="zh-CN" w:bidi="ar-SA"/>
        </w:rPr>
        <w:fldChar w:fldCharType="separate"/>
      </w:r>
      <w:r>
        <w:rPr>
          <w:rFonts w:hint="eastAsia" w:ascii="仿宋_GB2312" w:hAnsi="仿宋_GB2312" w:eastAsia="仿宋_GB2312" w:cs="仿宋_GB2312"/>
          <w:color w:val="000000"/>
          <w:kern w:val="0"/>
          <w:sz w:val="32"/>
          <w:szCs w:val="32"/>
          <w:lang w:val="en-US" w:eastAsia="zh-CN" w:bidi="ar-SA"/>
        </w:rPr>
        <w:t>第二章   投标人须知</w:t>
      </w:r>
      <w:r>
        <w:rPr>
          <w:rFonts w:hint="eastAsia" w:ascii="仿宋_GB2312" w:hAnsi="仿宋_GB2312" w:eastAsia="仿宋_GB2312" w:cs="仿宋_GB2312"/>
          <w:color w:val="000000"/>
          <w:kern w:val="0"/>
          <w:sz w:val="32"/>
          <w:szCs w:val="32"/>
          <w:lang w:val="en-US" w:eastAsia="zh-CN" w:bidi="ar-SA"/>
        </w:rPr>
        <w:tab/>
      </w:r>
      <w:r>
        <w:rPr>
          <w:rFonts w:hint="eastAsia" w:ascii="仿宋_GB2312" w:hAnsi="仿宋_GB2312" w:eastAsia="仿宋_GB2312" w:cs="仿宋_GB2312"/>
          <w:color w:val="000000"/>
          <w:kern w:val="0"/>
          <w:sz w:val="32"/>
          <w:szCs w:val="32"/>
          <w:lang w:val="en-US" w:eastAsia="zh-CN" w:bidi="ar-SA"/>
        </w:rPr>
        <w:fldChar w:fldCharType="end"/>
      </w:r>
    </w:p>
    <w:p w14:paraId="3E59F597">
      <w:pPr>
        <w:pStyle w:val="18"/>
        <w:tabs>
          <w:tab w:val="left" w:pos="1050"/>
          <w:tab w:val="right" w:leader="dot" w:pos="8937"/>
        </w:tabs>
        <w:spacing w:line="600" w:lineRule="auto"/>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fldChar w:fldCharType="begin"/>
      </w:r>
      <w:r>
        <w:rPr>
          <w:rFonts w:hint="eastAsia" w:ascii="仿宋_GB2312" w:hAnsi="仿宋_GB2312" w:eastAsia="仿宋_GB2312" w:cs="仿宋_GB2312"/>
          <w:color w:val="000000"/>
          <w:kern w:val="0"/>
          <w:sz w:val="32"/>
          <w:szCs w:val="32"/>
          <w:lang w:val="en-US" w:eastAsia="zh-CN" w:bidi="ar-SA"/>
        </w:rPr>
        <w:instrText xml:space="preserve"> HYPERLINK \l "_Toc99301421" </w:instrText>
      </w:r>
      <w:r>
        <w:rPr>
          <w:rFonts w:hint="eastAsia" w:ascii="仿宋_GB2312" w:hAnsi="仿宋_GB2312" w:eastAsia="仿宋_GB2312" w:cs="仿宋_GB2312"/>
          <w:color w:val="000000"/>
          <w:kern w:val="0"/>
          <w:sz w:val="32"/>
          <w:szCs w:val="32"/>
          <w:lang w:val="en-US" w:eastAsia="zh-CN" w:bidi="ar-SA"/>
        </w:rPr>
        <w:fldChar w:fldCharType="separate"/>
      </w:r>
      <w:r>
        <w:rPr>
          <w:rFonts w:hint="eastAsia" w:ascii="仿宋_GB2312" w:hAnsi="仿宋_GB2312" w:eastAsia="仿宋_GB2312" w:cs="仿宋_GB2312"/>
          <w:color w:val="000000"/>
          <w:kern w:val="0"/>
          <w:sz w:val="32"/>
          <w:szCs w:val="32"/>
          <w:lang w:val="en-US" w:eastAsia="zh-CN" w:bidi="ar-SA"/>
        </w:rPr>
        <w:t>第三章   评分的方法和标准</w:t>
      </w:r>
      <w:r>
        <w:rPr>
          <w:rFonts w:hint="eastAsia" w:ascii="仿宋_GB2312" w:hAnsi="仿宋_GB2312" w:eastAsia="仿宋_GB2312" w:cs="仿宋_GB2312"/>
          <w:color w:val="000000"/>
          <w:kern w:val="0"/>
          <w:sz w:val="32"/>
          <w:szCs w:val="32"/>
          <w:lang w:val="en-US" w:eastAsia="zh-CN" w:bidi="ar-SA"/>
        </w:rPr>
        <w:tab/>
      </w:r>
    </w:p>
    <w:p w14:paraId="260A4648">
      <w:pPr>
        <w:pStyle w:val="18"/>
        <w:tabs>
          <w:tab w:val="left" w:pos="1050"/>
          <w:tab w:val="right" w:leader="dot" w:pos="8937"/>
        </w:tabs>
        <w:spacing w:line="600" w:lineRule="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第四章   货物需求一览表</w:t>
      </w:r>
      <w:r>
        <w:rPr>
          <w:rFonts w:hint="eastAsia" w:ascii="仿宋_GB2312" w:hAnsi="仿宋_GB2312" w:eastAsia="仿宋_GB2312" w:cs="仿宋_GB2312"/>
          <w:color w:val="000000"/>
          <w:kern w:val="0"/>
          <w:sz w:val="32"/>
          <w:szCs w:val="32"/>
          <w:lang w:val="en-US" w:eastAsia="zh-CN" w:bidi="ar-SA"/>
        </w:rPr>
        <w:tab/>
      </w:r>
      <w:r>
        <w:rPr>
          <w:rFonts w:hint="eastAsia" w:ascii="仿宋_GB2312" w:hAnsi="仿宋_GB2312" w:eastAsia="仿宋_GB2312" w:cs="仿宋_GB2312"/>
          <w:color w:val="000000"/>
          <w:kern w:val="0"/>
          <w:sz w:val="32"/>
          <w:szCs w:val="32"/>
          <w:lang w:val="en-US" w:eastAsia="zh-CN" w:bidi="ar-SA"/>
        </w:rPr>
        <w:tab/>
      </w:r>
      <w:r>
        <w:rPr>
          <w:rFonts w:hint="eastAsia" w:ascii="仿宋_GB2312" w:hAnsi="仿宋_GB2312" w:eastAsia="仿宋_GB2312" w:cs="仿宋_GB2312"/>
          <w:color w:val="000000"/>
          <w:kern w:val="0"/>
          <w:sz w:val="32"/>
          <w:szCs w:val="32"/>
          <w:lang w:val="en-US" w:eastAsia="zh-CN" w:bidi="ar-SA"/>
        </w:rPr>
        <w:fldChar w:fldCharType="end"/>
      </w:r>
    </w:p>
    <w:p w14:paraId="6E350976">
      <w:pPr>
        <w:pStyle w:val="18"/>
        <w:tabs>
          <w:tab w:val="left" w:pos="1050"/>
          <w:tab w:val="right" w:leader="dot" w:pos="8937"/>
        </w:tabs>
        <w:spacing w:line="600" w:lineRule="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fldChar w:fldCharType="begin"/>
      </w:r>
      <w:r>
        <w:rPr>
          <w:rFonts w:hint="eastAsia" w:ascii="仿宋_GB2312" w:hAnsi="仿宋_GB2312" w:eastAsia="仿宋_GB2312" w:cs="仿宋_GB2312"/>
          <w:color w:val="000000"/>
          <w:kern w:val="0"/>
          <w:sz w:val="32"/>
          <w:szCs w:val="32"/>
          <w:lang w:val="en-US" w:eastAsia="zh-CN" w:bidi="ar-SA"/>
        </w:rPr>
        <w:instrText xml:space="preserve"> HYPERLINK \l "_Toc99301423" </w:instrText>
      </w:r>
      <w:r>
        <w:rPr>
          <w:rFonts w:hint="eastAsia" w:ascii="仿宋_GB2312" w:hAnsi="仿宋_GB2312" w:eastAsia="仿宋_GB2312" w:cs="仿宋_GB2312"/>
          <w:color w:val="000000"/>
          <w:kern w:val="0"/>
          <w:sz w:val="32"/>
          <w:szCs w:val="32"/>
          <w:lang w:val="en-US" w:eastAsia="zh-CN" w:bidi="ar-SA"/>
        </w:rPr>
        <w:fldChar w:fldCharType="separate"/>
      </w:r>
      <w:r>
        <w:rPr>
          <w:rFonts w:hint="eastAsia" w:ascii="仿宋_GB2312" w:hAnsi="仿宋_GB2312" w:eastAsia="仿宋_GB2312" w:cs="仿宋_GB2312"/>
          <w:color w:val="000000"/>
          <w:kern w:val="0"/>
          <w:sz w:val="32"/>
          <w:szCs w:val="32"/>
          <w:lang w:val="en-US" w:eastAsia="zh-CN" w:bidi="ar-SA"/>
        </w:rPr>
        <w:t xml:space="preserve">第五章   </w:t>
      </w:r>
      <w:r>
        <w:rPr>
          <w:rFonts w:hint="eastAsia" w:ascii="仿宋_GB2312" w:hAnsi="仿宋_GB2312" w:eastAsia="仿宋_GB2312" w:cs="仿宋_GB2312"/>
          <w:color w:val="000000"/>
          <w:kern w:val="0"/>
          <w:sz w:val="32"/>
          <w:szCs w:val="32"/>
          <w:lang w:val="en-US" w:eastAsia="zh-CN" w:bidi="ar-SA"/>
        </w:rPr>
        <w:fldChar w:fldCharType="end"/>
      </w:r>
      <w:r>
        <w:rPr>
          <w:rFonts w:hint="eastAsia" w:ascii="仿宋_GB2312" w:hAnsi="仿宋_GB2312" w:eastAsia="仿宋_GB2312" w:cs="仿宋_GB2312"/>
          <w:color w:val="000000"/>
          <w:kern w:val="0"/>
          <w:sz w:val="32"/>
          <w:szCs w:val="32"/>
          <w:lang w:val="en-US" w:eastAsia="zh-CN" w:bidi="ar-SA"/>
        </w:rPr>
        <w:t>政府采购合同格式</w:t>
      </w:r>
      <w:r>
        <w:rPr>
          <w:rFonts w:hint="eastAsia" w:ascii="仿宋_GB2312" w:hAnsi="仿宋_GB2312" w:eastAsia="仿宋_GB2312" w:cs="仿宋_GB2312"/>
          <w:color w:val="000000"/>
          <w:kern w:val="0"/>
          <w:sz w:val="32"/>
          <w:szCs w:val="32"/>
          <w:lang w:val="en-US" w:eastAsia="zh-CN" w:bidi="ar-SA"/>
        </w:rPr>
        <w:tab/>
      </w:r>
    </w:p>
    <w:p w14:paraId="67A31222">
      <w:pPr>
        <w:pStyle w:val="18"/>
        <w:tabs>
          <w:tab w:val="left" w:pos="1050"/>
          <w:tab w:val="right" w:leader="dot" w:pos="8937"/>
        </w:tabs>
        <w:spacing w:line="600" w:lineRule="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fldChar w:fldCharType="begin"/>
      </w:r>
      <w:r>
        <w:rPr>
          <w:rFonts w:hint="eastAsia" w:ascii="仿宋_GB2312" w:hAnsi="仿宋_GB2312" w:eastAsia="仿宋_GB2312" w:cs="仿宋_GB2312"/>
          <w:color w:val="000000"/>
          <w:kern w:val="0"/>
          <w:sz w:val="32"/>
          <w:szCs w:val="32"/>
          <w:lang w:val="en-US" w:eastAsia="zh-CN" w:bidi="ar-SA"/>
        </w:rPr>
        <w:instrText xml:space="preserve"> HYPERLINK \l "_Toc99301424" </w:instrText>
      </w:r>
      <w:r>
        <w:rPr>
          <w:rFonts w:hint="eastAsia" w:ascii="仿宋_GB2312" w:hAnsi="仿宋_GB2312" w:eastAsia="仿宋_GB2312" w:cs="仿宋_GB2312"/>
          <w:color w:val="000000"/>
          <w:kern w:val="0"/>
          <w:sz w:val="32"/>
          <w:szCs w:val="32"/>
          <w:lang w:val="en-US" w:eastAsia="zh-CN" w:bidi="ar-SA"/>
        </w:rPr>
        <w:fldChar w:fldCharType="separate"/>
      </w:r>
      <w:r>
        <w:rPr>
          <w:rFonts w:hint="eastAsia" w:ascii="仿宋_GB2312" w:hAnsi="仿宋_GB2312" w:eastAsia="仿宋_GB2312" w:cs="仿宋_GB2312"/>
          <w:color w:val="000000"/>
          <w:kern w:val="0"/>
          <w:sz w:val="32"/>
          <w:szCs w:val="32"/>
          <w:lang w:val="en-US" w:eastAsia="zh-CN" w:bidi="ar-SA"/>
        </w:rPr>
        <w:t xml:space="preserve">第六章   投标文件格式 </w:t>
      </w:r>
      <w:r>
        <w:rPr>
          <w:rFonts w:hint="eastAsia" w:ascii="仿宋_GB2312" w:hAnsi="仿宋_GB2312" w:eastAsia="仿宋_GB2312" w:cs="仿宋_GB2312"/>
          <w:color w:val="000000"/>
          <w:kern w:val="0"/>
          <w:sz w:val="32"/>
          <w:szCs w:val="32"/>
          <w:lang w:val="en-US" w:eastAsia="zh-CN" w:bidi="ar-SA"/>
        </w:rPr>
        <w:tab/>
      </w:r>
      <w:r>
        <w:rPr>
          <w:rFonts w:hint="eastAsia" w:ascii="仿宋_GB2312" w:hAnsi="仿宋_GB2312" w:eastAsia="仿宋_GB2312" w:cs="仿宋_GB2312"/>
          <w:color w:val="000000"/>
          <w:kern w:val="0"/>
          <w:sz w:val="32"/>
          <w:szCs w:val="32"/>
          <w:lang w:val="en-US" w:eastAsia="zh-CN" w:bidi="ar-SA"/>
        </w:rPr>
        <w:fldChar w:fldCharType="end"/>
      </w:r>
    </w:p>
    <w:p w14:paraId="02F6F353">
      <w:pPr>
        <w:pStyle w:val="18"/>
        <w:tabs>
          <w:tab w:val="left" w:pos="1050"/>
          <w:tab w:val="right" w:leader="dot" w:pos="8937"/>
        </w:tabs>
        <w:spacing w:line="600" w:lineRule="auto"/>
        <w:rPr>
          <w:rFonts w:hint="eastAsia" w:ascii="仿宋_GB2312" w:hAnsi="仿宋_GB2312" w:eastAsia="仿宋_GB2312" w:cs="仿宋_GB2312"/>
          <w:color w:val="000000"/>
          <w:kern w:val="0"/>
          <w:sz w:val="32"/>
          <w:szCs w:val="32"/>
          <w:lang w:val="en-US" w:eastAsia="zh-CN" w:bidi="ar-SA"/>
        </w:rPr>
      </w:pPr>
    </w:p>
    <w:p w14:paraId="06767160">
      <w:pPr>
        <w:rPr>
          <w:rFonts w:hint="eastAsia" w:ascii="仿宋" w:hAnsi="仿宋" w:eastAsia="仿宋" w:cs="仿宋"/>
        </w:rPr>
      </w:pPr>
      <w:r>
        <w:rPr>
          <w:rFonts w:hint="eastAsia" w:ascii="仿宋_GB2312" w:hAnsi="仿宋_GB2312" w:eastAsia="仿宋_GB2312" w:cs="仿宋_GB2312"/>
          <w:color w:val="000000"/>
          <w:kern w:val="0"/>
          <w:sz w:val="32"/>
          <w:szCs w:val="32"/>
          <w:lang w:val="en-US" w:eastAsia="zh-CN" w:bidi="ar-SA"/>
        </w:rPr>
        <w:fldChar w:fldCharType="end"/>
      </w:r>
      <w:r>
        <w:rPr>
          <w:rFonts w:hint="eastAsia" w:ascii="仿宋_GB2312" w:hAnsi="仿宋_GB2312" w:eastAsia="仿宋_GB2312" w:cs="仿宋_GB2312"/>
          <w:color w:val="000000"/>
          <w:kern w:val="0"/>
          <w:sz w:val="32"/>
          <w:szCs w:val="32"/>
          <w:lang w:val="en-US" w:eastAsia="zh-CN" w:bidi="ar-SA"/>
        </w:rPr>
        <w:fldChar w:fldCharType="end"/>
      </w:r>
    </w:p>
    <w:p w14:paraId="083CF3B2">
      <w:pPr>
        <w:ind w:left="0" w:firstLine="0" w:firstLineChars="0"/>
        <w:jc w:val="center"/>
        <w:outlineLvl w:val="0"/>
        <w:rPr>
          <w:rFonts w:hint="eastAsia" w:ascii="仿宋" w:hAnsi="仿宋" w:eastAsia="仿宋" w:cs="仿宋"/>
          <w:b/>
          <w:sz w:val="28"/>
          <w:szCs w:val="28"/>
        </w:rPr>
      </w:pPr>
    </w:p>
    <w:p w14:paraId="7380FA4F">
      <w:pPr>
        <w:ind w:left="0" w:firstLine="0" w:firstLineChars="0"/>
        <w:jc w:val="center"/>
        <w:outlineLvl w:val="0"/>
        <w:rPr>
          <w:rFonts w:hint="eastAsia" w:ascii="仿宋" w:hAnsi="仿宋" w:eastAsia="仿宋" w:cs="仿宋"/>
          <w:b/>
          <w:sz w:val="28"/>
          <w:szCs w:val="28"/>
        </w:rPr>
      </w:pPr>
    </w:p>
    <w:p w14:paraId="757DD08B">
      <w:pPr>
        <w:ind w:left="0" w:firstLine="0" w:firstLineChars="0"/>
        <w:jc w:val="center"/>
        <w:outlineLvl w:val="0"/>
        <w:rPr>
          <w:rFonts w:hint="eastAsia" w:ascii="仿宋" w:hAnsi="仿宋" w:eastAsia="仿宋" w:cs="仿宋"/>
          <w:b/>
          <w:sz w:val="28"/>
          <w:szCs w:val="28"/>
        </w:rPr>
      </w:pPr>
    </w:p>
    <w:p w14:paraId="131EE19B">
      <w:pPr>
        <w:ind w:left="0" w:firstLine="0" w:firstLineChars="0"/>
        <w:jc w:val="center"/>
        <w:outlineLvl w:val="0"/>
        <w:rPr>
          <w:rFonts w:hint="eastAsia" w:ascii="仿宋" w:hAnsi="仿宋" w:eastAsia="仿宋" w:cs="仿宋"/>
          <w:b/>
          <w:sz w:val="28"/>
          <w:szCs w:val="28"/>
        </w:rPr>
      </w:pPr>
    </w:p>
    <w:p w14:paraId="3DFC819E">
      <w:pPr>
        <w:pStyle w:val="8"/>
        <w:rPr>
          <w:rFonts w:hint="eastAsia" w:ascii="仿宋" w:hAnsi="仿宋" w:eastAsia="仿宋" w:cs="仿宋"/>
          <w:b/>
          <w:sz w:val="28"/>
          <w:szCs w:val="28"/>
        </w:rPr>
      </w:pPr>
    </w:p>
    <w:p w14:paraId="109D189B">
      <w:pPr>
        <w:rPr>
          <w:rFonts w:hint="eastAsia" w:ascii="仿宋" w:hAnsi="仿宋" w:eastAsia="仿宋" w:cs="仿宋"/>
        </w:rPr>
      </w:pPr>
    </w:p>
    <w:p w14:paraId="5E573342">
      <w:pPr>
        <w:rPr>
          <w:rFonts w:hint="eastAsia" w:ascii="仿宋" w:hAnsi="仿宋" w:eastAsia="仿宋" w:cs="仿宋"/>
        </w:rPr>
      </w:pPr>
    </w:p>
    <w:p w14:paraId="38585EA5">
      <w:pPr>
        <w:rPr>
          <w:rFonts w:hint="eastAsia" w:ascii="仿宋" w:hAnsi="仿宋" w:eastAsia="仿宋" w:cs="仿宋"/>
        </w:rPr>
      </w:pPr>
    </w:p>
    <w:p w14:paraId="44A63D1D">
      <w:pPr>
        <w:rPr>
          <w:rFonts w:hint="eastAsia" w:ascii="仿宋" w:hAnsi="仿宋" w:eastAsia="仿宋" w:cs="仿宋"/>
        </w:rPr>
      </w:pPr>
    </w:p>
    <w:p w14:paraId="22B9FEA7">
      <w:pPr>
        <w:rPr>
          <w:rFonts w:hint="eastAsia" w:ascii="仿宋" w:hAnsi="仿宋" w:eastAsia="仿宋" w:cs="仿宋"/>
        </w:rPr>
      </w:pPr>
    </w:p>
    <w:p w14:paraId="0DE4A945">
      <w:pPr>
        <w:ind w:left="0" w:firstLine="0" w:firstLineChars="0"/>
        <w:jc w:val="center"/>
        <w:outlineLvl w:val="0"/>
        <w:rPr>
          <w:rFonts w:hint="eastAsia" w:ascii="仿宋" w:hAnsi="仿宋" w:eastAsia="仿宋" w:cs="仿宋"/>
          <w:b/>
          <w:sz w:val="28"/>
          <w:szCs w:val="28"/>
        </w:rPr>
      </w:pPr>
    </w:p>
    <w:p w14:paraId="723815DB">
      <w:pPr>
        <w:spacing w:line="240" w:lineRule="auto"/>
        <w:ind w:left="0" w:firstLine="0" w:firstLineChars="0"/>
        <w:jc w:val="center"/>
        <w:outlineLvl w:val="0"/>
        <w:rPr>
          <w:rFonts w:hint="eastAsia" w:ascii="仿宋_GB2312" w:hAnsi="仿宋_GB2312" w:eastAsia="仿宋_GB2312" w:cs="仿宋_GB2312"/>
          <w:b/>
          <w:bCs/>
          <w:color w:val="000000"/>
          <w:kern w:val="0"/>
          <w:sz w:val="36"/>
          <w:szCs w:val="36"/>
          <w:lang w:val="en-US" w:eastAsia="zh-CN" w:bidi="ar-SA"/>
        </w:rPr>
      </w:pPr>
    </w:p>
    <w:p w14:paraId="1138A475">
      <w:pPr>
        <w:spacing w:line="240" w:lineRule="auto"/>
        <w:ind w:left="0" w:firstLine="0" w:firstLineChars="0"/>
        <w:jc w:val="center"/>
        <w:outlineLvl w:val="0"/>
        <w:rPr>
          <w:rFonts w:hint="eastAsia" w:ascii="仿宋_GB2312" w:hAnsi="仿宋_GB2312" w:eastAsia="仿宋_GB2312" w:cs="仿宋_GB2312"/>
          <w:b/>
          <w:bCs/>
          <w:color w:val="000000"/>
          <w:kern w:val="0"/>
          <w:sz w:val="36"/>
          <w:szCs w:val="36"/>
          <w:lang w:val="en-US" w:eastAsia="zh-CN" w:bidi="ar-SA"/>
        </w:rPr>
      </w:pPr>
      <w:r>
        <w:rPr>
          <w:rFonts w:hint="eastAsia" w:ascii="仿宋_GB2312" w:hAnsi="仿宋_GB2312" w:eastAsia="仿宋_GB2312" w:cs="仿宋_GB2312"/>
          <w:b/>
          <w:bCs/>
          <w:color w:val="000000"/>
          <w:kern w:val="0"/>
          <w:sz w:val="36"/>
          <w:szCs w:val="36"/>
          <w:lang w:val="en-US" w:eastAsia="zh-CN" w:bidi="ar-SA"/>
        </w:rPr>
        <w:t>第一章   招标公告</w:t>
      </w:r>
    </w:p>
    <w:p w14:paraId="2671F73C">
      <w:pPr>
        <w:keepNext w:val="0"/>
        <w:keepLines w:val="0"/>
        <w:pageBreakBefore w:val="0"/>
        <w:widowControl w:val="0"/>
        <w:kinsoku/>
        <w:wordWrap/>
        <w:overflowPunct/>
        <w:topLinePunct w:val="0"/>
        <w:autoSpaceDE/>
        <w:autoSpaceDN/>
        <w:bidi w:val="0"/>
        <w:adjustRightInd/>
        <w:snapToGrid/>
        <w:spacing w:line="240" w:lineRule="auto"/>
        <w:ind w:left="0" w:right="62"/>
        <w:jc w:val="center"/>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2025年某单位伙食食材服务采购项目</w:t>
      </w:r>
    </w:p>
    <w:p w14:paraId="3AAE75B9">
      <w:pPr>
        <w:keepNext w:val="0"/>
        <w:keepLines w:val="0"/>
        <w:pageBreakBefore w:val="0"/>
        <w:widowControl w:val="0"/>
        <w:kinsoku/>
        <w:wordWrap/>
        <w:overflowPunct/>
        <w:topLinePunct w:val="0"/>
        <w:autoSpaceDE/>
        <w:autoSpaceDN/>
        <w:bidi w:val="0"/>
        <w:adjustRightInd/>
        <w:snapToGrid/>
        <w:spacing w:line="240" w:lineRule="auto"/>
        <w:ind w:left="0" w:right="62"/>
        <w:jc w:val="center"/>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公开招标公告</w:t>
      </w:r>
    </w:p>
    <w:p w14:paraId="560B2CAF">
      <w:pPr>
        <w:pageBreakBefore w:val="0"/>
        <w:pBdr>
          <w:top w:val="single" w:color="auto" w:sz="4" w:space="0"/>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SA"/>
        </w:rPr>
      </w:pPr>
      <w:bookmarkStart w:id="0" w:name="_Toc28359002"/>
      <w:bookmarkStart w:id="1" w:name="_Hlk24379207"/>
      <w:bookmarkStart w:id="2" w:name="_Toc35393790"/>
      <w:bookmarkStart w:id="3" w:name="_Toc35393621"/>
      <w:bookmarkStart w:id="4" w:name="_Toc28359079"/>
      <w:r>
        <w:rPr>
          <w:rFonts w:hint="eastAsia" w:ascii="仿宋_GB2312" w:hAnsi="仿宋_GB2312" w:eastAsia="仿宋_GB2312" w:cs="仿宋_GB2312"/>
          <w:i w:val="0"/>
          <w:iCs w:val="0"/>
          <w:caps w:val="0"/>
          <w:color w:val="auto"/>
          <w:spacing w:val="0"/>
          <w:kern w:val="0"/>
          <w:sz w:val="28"/>
          <w:szCs w:val="28"/>
          <w:highlight w:val="none"/>
          <w:lang w:val="en-US" w:eastAsia="zh-CN" w:bidi="ar-SA"/>
        </w:rPr>
        <w:t>项目概况：</w:t>
      </w:r>
    </w:p>
    <w:p w14:paraId="3AC9F79B">
      <w:pPr>
        <w:pageBreakBefore w:val="0"/>
        <w:pBdr>
          <w:top w:val="single" w:color="auto" w:sz="4" w:space="0"/>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480"/>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SA"/>
        </w:rPr>
      </w:pPr>
      <w:r>
        <w:rPr>
          <w:rFonts w:hint="eastAsia" w:ascii="仿宋_GB2312" w:hAnsi="仿宋_GB2312" w:eastAsia="仿宋_GB2312" w:cs="仿宋_GB2312"/>
          <w:i w:val="0"/>
          <w:iCs w:val="0"/>
          <w:caps w:val="0"/>
          <w:color w:val="auto"/>
          <w:spacing w:val="0"/>
          <w:kern w:val="0"/>
          <w:sz w:val="28"/>
          <w:szCs w:val="28"/>
          <w:highlight w:val="none"/>
          <w:lang w:val="en-US" w:eastAsia="zh-CN" w:bidi="ar-SA"/>
        </w:rPr>
        <w:t>2025年某单位伙食食材服务采购项目的潜在投标人应登陆政采云平台在线申请获取采购文件，并于2025年03月04日16点00分（北京时间）前递交投标文件。</w:t>
      </w:r>
      <w:bookmarkEnd w:id="0"/>
      <w:bookmarkEnd w:id="1"/>
      <w:bookmarkEnd w:id="2"/>
      <w:bookmarkEnd w:id="3"/>
      <w:bookmarkEnd w:id="4"/>
    </w:p>
    <w:p w14:paraId="73A8FB94">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jc w:val="left"/>
        <w:textAlignment w:val="auto"/>
        <w:rPr>
          <w:rFonts w:hint="eastAsia" w:ascii="仿宋_GB2312" w:hAnsi="仿宋_GB2312" w:eastAsia="仿宋_GB2312" w:cs="仿宋_GB2312"/>
          <w:i w:val="0"/>
          <w:iCs w:val="0"/>
          <w:caps w:val="0"/>
          <w:color w:val="auto"/>
          <w:spacing w:val="0"/>
          <w:sz w:val="28"/>
          <w:szCs w:val="28"/>
          <w:highlight w:val="none"/>
        </w:rPr>
      </w:pPr>
      <w:bookmarkStart w:id="5" w:name="_Toc30392"/>
      <w:bookmarkStart w:id="6" w:name="_Toc27595"/>
      <w:bookmarkStart w:id="7" w:name="_Toc24430"/>
      <w:r>
        <w:rPr>
          <w:rStyle w:val="28"/>
          <w:rFonts w:hint="eastAsia" w:ascii="仿宋_GB2312" w:hAnsi="仿宋_GB2312" w:eastAsia="仿宋_GB2312" w:cs="仿宋_GB2312"/>
          <w:i w:val="0"/>
          <w:iCs w:val="0"/>
          <w:caps w:val="0"/>
          <w:color w:val="auto"/>
          <w:spacing w:val="0"/>
          <w:sz w:val="28"/>
          <w:szCs w:val="28"/>
          <w:highlight w:val="none"/>
        </w:rPr>
        <w:t>一、项目基本情况</w:t>
      </w:r>
    </w:p>
    <w:p w14:paraId="0138F363">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i w:val="0"/>
          <w:iCs w:val="0"/>
          <w:caps w:val="0"/>
          <w:color w:val="auto"/>
          <w:spacing w:val="0"/>
          <w:sz w:val="28"/>
          <w:szCs w:val="28"/>
          <w:highlight w:val="none"/>
        </w:rPr>
        <w:t>    项目编号：</w:t>
      </w:r>
      <w:r>
        <w:rPr>
          <w:rFonts w:hint="eastAsia" w:ascii="仿宋_GB2312" w:hAnsi="仿宋_GB2312" w:eastAsia="仿宋_GB2312" w:cs="仿宋_GB2312"/>
          <w:i w:val="0"/>
          <w:iCs w:val="0"/>
          <w:caps w:val="0"/>
          <w:color w:val="auto"/>
          <w:spacing w:val="0"/>
          <w:sz w:val="28"/>
          <w:szCs w:val="28"/>
          <w:highlight w:val="none"/>
          <w:lang w:val="en-US" w:eastAsia="zh-CN"/>
        </w:rPr>
        <w:t>YPHZB（GK）-2025-05号</w:t>
      </w:r>
    </w:p>
    <w:p w14:paraId="6F27E0A2">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rPr>
        <w:t>   </w:t>
      </w:r>
      <w:r>
        <w:rPr>
          <w:rFonts w:hint="eastAsia" w:ascii="仿宋_GB2312" w:hAnsi="仿宋_GB2312" w:eastAsia="仿宋_GB2312" w:cs="仿宋_GB2312"/>
          <w:i w:val="0"/>
          <w:iCs w:val="0"/>
          <w:caps w:val="0"/>
          <w:color w:val="auto"/>
          <w:spacing w:val="0"/>
          <w:sz w:val="28"/>
          <w:szCs w:val="28"/>
          <w:highlight w:val="none"/>
          <w:lang w:val="en-US" w:eastAsia="zh-CN"/>
        </w:rPr>
        <w:t xml:space="preserve"> </w:t>
      </w:r>
      <w:r>
        <w:rPr>
          <w:rFonts w:hint="eastAsia" w:ascii="仿宋_GB2312" w:hAnsi="仿宋_GB2312" w:eastAsia="仿宋_GB2312" w:cs="仿宋_GB2312"/>
          <w:i w:val="0"/>
          <w:iCs w:val="0"/>
          <w:caps w:val="0"/>
          <w:color w:val="auto"/>
          <w:spacing w:val="0"/>
          <w:sz w:val="28"/>
          <w:szCs w:val="28"/>
          <w:highlight w:val="none"/>
        </w:rPr>
        <w:t>项目名称：</w:t>
      </w:r>
      <w:r>
        <w:rPr>
          <w:rFonts w:hint="eastAsia" w:ascii="仿宋_GB2312" w:hAnsi="仿宋_GB2312" w:eastAsia="仿宋_GB2312" w:cs="仿宋_GB2312"/>
          <w:i w:val="0"/>
          <w:iCs w:val="0"/>
          <w:caps w:val="0"/>
          <w:color w:val="auto"/>
          <w:spacing w:val="0"/>
          <w:sz w:val="28"/>
          <w:szCs w:val="28"/>
          <w:highlight w:val="none"/>
          <w:lang w:val="en-US" w:eastAsia="zh-CN"/>
        </w:rPr>
        <w:t>2025年某单位伙食食材服务采购项目</w:t>
      </w:r>
    </w:p>
    <w:p w14:paraId="7145C68D">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382"/>
        <w:textAlignment w:val="auto"/>
        <w:rPr>
          <w:rFonts w:hint="eastAsia" w:ascii="仿宋_GB2312" w:hAnsi="仿宋_GB2312" w:eastAsia="仿宋_GB2312" w:cs="仿宋_GB2312"/>
          <w:i w:val="0"/>
          <w:iCs w:val="0"/>
          <w:caps w:val="0"/>
          <w:color w:val="auto"/>
          <w:spacing w:val="0"/>
          <w:sz w:val="28"/>
          <w:szCs w:val="28"/>
          <w:highlight w:val="none"/>
          <w:lang w:eastAsia="zh-CN"/>
        </w:rPr>
      </w:pPr>
      <w:r>
        <w:rPr>
          <w:rFonts w:hint="eastAsia" w:ascii="仿宋_GB2312" w:hAnsi="仿宋_GB2312" w:eastAsia="仿宋_GB2312" w:cs="仿宋_GB2312"/>
          <w:i w:val="0"/>
          <w:iCs w:val="0"/>
          <w:caps w:val="0"/>
          <w:color w:val="auto"/>
          <w:spacing w:val="0"/>
          <w:sz w:val="28"/>
          <w:szCs w:val="28"/>
          <w:highlight w:val="none"/>
        </w:rPr>
        <w:t>采购方式：</w:t>
      </w:r>
      <w:r>
        <w:rPr>
          <w:rFonts w:hint="eastAsia" w:ascii="仿宋_GB2312" w:hAnsi="仿宋_GB2312" w:eastAsia="仿宋_GB2312" w:cs="仿宋_GB2312"/>
          <w:i w:val="0"/>
          <w:iCs w:val="0"/>
          <w:caps w:val="0"/>
          <w:color w:val="auto"/>
          <w:spacing w:val="0"/>
          <w:sz w:val="28"/>
          <w:szCs w:val="28"/>
          <w:highlight w:val="none"/>
          <w:lang w:eastAsia="zh-CN"/>
        </w:rPr>
        <w:t>公开招标</w:t>
      </w:r>
    </w:p>
    <w:p w14:paraId="69AE268E">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382"/>
        <w:textAlignment w:val="auto"/>
        <w:rPr>
          <w:rFonts w:hint="eastAsia"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rPr>
        <w:t>预算金额（元）：</w:t>
      </w:r>
      <w:r>
        <w:rPr>
          <w:rFonts w:hint="eastAsia" w:ascii="仿宋_GB2312" w:hAnsi="仿宋_GB2312" w:eastAsia="仿宋_GB2312" w:cs="仿宋_GB2312"/>
          <w:i w:val="0"/>
          <w:iCs w:val="0"/>
          <w:caps w:val="0"/>
          <w:color w:val="auto"/>
          <w:spacing w:val="0"/>
          <w:sz w:val="28"/>
          <w:szCs w:val="28"/>
          <w:highlight w:val="none"/>
          <w:lang w:val="en-US" w:eastAsia="zh-CN"/>
        </w:rPr>
        <w:t xml:space="preserve">7000000.00（柒佰万元整）      </w:t>
      </w:r>
    </w:p>
    <w:p w14:paraId="672561BF">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382"/>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 xml:space="preserve">最高限价（元）：7000000.00（柒佰万元整）      </w:t>
      </w:r>
    </w:p>
    <w:p w14:paraId="4A05A379">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382"/>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采购需求：蔬菜一批、米面油肉一批、调料副食品一批（具体参数详见招标文件）</w:t>
      </w:r>
    </w:p>
    <w:p w14:paraId="5E9C7DD4">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382"/>
        <w:textAlignment w:val="auto"/>
        <w:rPr>
          <w:rFonts w:hint="eastAsia"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资金来源：县级财力及自筹资金</w:t>
      </w:r>
    </w:p>
    <w:p w14:paraId="34049F31">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382"/>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auto"/>
          <w:spacing w:val="0"/>
          <w:sz w:val="28"/>
          <w:szCs w:val="28"/>
          <w:highlight w:val="none"/>
          <w:lang w:val="en-US" w:eastAsia="zh-CN"/>
        </w:rPr>
        <w:t>本项目（否）接受联合体投标。</w:t>
      </w:r>
    </w:p>
    <w:bookmarkEnd w:id="5"/>
    <w:bookmarkEnd w:id="6"/>
    <w:bookmarkEnd w:id="7"/>
    <w:p w14:paraId="691D1129">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382"/>
        <w:textAlignment w:val="auto"/>
        <w:rPr>
          <w:rFonts w:hint="eastAsia" w:ascii="仿宋_GB2312" w:hAnsi="仿宋_GB2312" w:eastAsia="仿宋_GB2312" w:cs="仿宋_GB2312"/>
          <w:b/>
          <w:bCs/>
          <w:i w:val="0"/>
          <w:iCs w:val="0"/>
          <w:caps w:val="0"/>
          <w:color w:val="auto"/>
          <w:spacing w:val="0"/>
          <w:sz w:val="28"/>
          <w:szCs w:val="28"/>
          <w:highlight w:val="none"/>
          <w:lang w:val="en-US" w:eastAsia="zh-CN"/>
        </w:rPr>
      </w:pPr>
      <w:bookmarkStart w:id="8" w:name="_Toc22510"/>
      <w:bookmarkStart w:id="9" w:name="_Toc22990"/>
      <w:bookmarkStart w:id="10" w:name="_Toc11569"/>
      <w:r>
        <w:rPr>
          <w:rFonts w:hint="eastAsia" w:ascii="仿宋_GB2312" w:hAnsi="仿宋_GB2312" w:eastAsia="仿宋_GB2312" w:cs="仿宋_GB2312"/>
          <w:b/>
          <w:bCs/>
          <w:i w:val="0"/>
          <w:iCs w:val="0"/>
          <w:caps w:val="0"/>
          <w:color w:val="000000"/>
          <w:spacing w:val="0"/>
          <w:kern w:val="0"/>
          <w:sz w:val="28"/>
          <w:szCs w:val="28"/>
          <w:lang w:val="en-US" w:eastAsia="zh-CN" w:bidi="ar"/>
        </w:rPr>
        <w:t>二、申请人的</w:t>
      </w:r>
      <w:r>
        <w:rPr>
          <w:rFonts w:hint="eastAsia" w:ascii="仿宋_GB2312" w:hAnsi="仿宋_GB2312" w:eastAsia="仿宋_GB2312" w:cs="仿宋_GB2312"/>
          <w:b/>
          <w:bCs/>
          <w:i w:val="0"/>
          <w:iCs w:val="0"/>
          <w:caps w:val="0"/>
          <w:color w:val="auto"/>
          <w:spacing w:val="0"/>
          <w:sz w:val="28"/>
          <w:szCs w:val="28"/>
          <w:highlight w:val="none"/>
          <w:lang w:val="en-US" w:eastAsia="zh-CN"/>
        </w:rPr>
        <w:t>资格要求：</w:t>
      </w:r>
      <w:bookmarkEnd w:id="8"/>
      <w:bookmarkEnd w:id="9"/>
      <w:bookmarkEnd w:id="10"/>
    </w:p>
    <w:p w14:paraId="52358789">
      <w:pPr>
        <w:pStyle w:val="15"/>
        <w:pageBreakBefore w:val="0"/>
        <w:kinsoku/>
        <w:wordWrap/>
        <w:overflowPunct/>
        <w:topLinePunct w:val="0"/>
        <w:autoSpaceDE/>
        <w:autoSpaceDN/>
        <w:bidi w:val="0"/>
        <w:adjustRightInd/>
        <w:snapToGrid w:val="0"/>
        <w:spacing w:line="396" w:lineRule="auto"/>
        <w:ind w:firstLine="280" w:firstLineChars="100"/>
        <w:textAlignment w:val="auto"/>
        <w:outlineLvl w:val="2"/>
        <w:rPr>
          <w:rFonts w:hint="eastAsia" w:ascii="仿宋_GB2312" w:hAnsi="仿宋_GB2312" w:eastAsia="仿宋_GB2312" w:cs="仿宋_GB2312"/>
          <w:kern w:val="2"/>
          <w:sz w:val="28"/>
          <w:szCs w:val="28"/>
          <w:lang w:val="en-US" w:eastAsia="zh-CN" w:bidi="ar-SA"/>
        </w:rPr>
      </w:pPr>
      <w:bookmarkStart w:id="11" w:name="_Toc4096"/>
      <w:bookmarkStart w:id="12" w:name="_Toc14519"/>
      <w:bookmarkStart w:id="13" w:name="_Toc29122"/>
      <w:r>
        <w:rPr>
          <w:rFonts w:hint="eastAsia" w:ascii="仿宋_GB2312" w:hAnsi="仿宋_GB2312" w:eastAsia="仿宋_GB2312" w:cs="仿宋_GB2312"/>
          <w:kern w:val="2"/>
          <w:sz w:val="28"/>
          <w:szCs w:val="28"/>
          <w:lang w:val="en-US" w:eastAsia="zh-CN" w:bidi="ar-SA"/>
        </w:rPr>
        <w:t>（1）投标人须具备有效经年检合格的“三证合一”营业执照；</w:t>
      </w:r>
    </w:p>
    <w:p w14:paraId="03D61D36">
      <w:pPr>
        <w:pStyle w:val="15"/>
        <w:pageBreakBefore w:val="0"/>
        <w:kinsoku/>
        <w:wordWrap/>
        <w:overflowPunct/>
        <w:topLinePunct w:val="0"/>
        <w:autoSpaceDE/>
        <w:autoSpaceDN/>
        <w:bidi w:val="0"/>
        <w:adjustRightInd/>
        <w:snapToGrid w:val="0"/>
        <w:spacing w:line="396" w:lineRule="auto"/>
        <w:ind w:firstLine="280" w:firstLineChars="100"/>
        <w:textAlignment w:val="auto"/>
        <w:outlineLvl w:val="2"/>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（2）法定代表人、委托人的身份证明及授权委托书；</w:t>
      </w:r>
    </w:p>
    <w:p w14:paraId="734E3DEE">
      <w:pPr>
        <w:pStyle w:val="15"/>
        <w:pageBreakBefore w:val="0"/>
        <w:kinsoku/>
        <w:wordWrap/>
        <w:overflowPunct/>
        <w:topLinePunct w:val="0"/>
        <w:autoSpaceDE/>
        <w:autoSpaceDN/>
        <w:bidi w:val="0"/>
        <w:adjustRightInd/>
        <w:snapToGrid w:val="0"/>
        <w:spacing w:line="396" w:lineRule="auto"/>
        <w:ind w:firstLine="280" w:firstLineChars="100"/>
        <w:textAlignment w:val="auto"/>
        <w:outlineLvl w:val="2"/>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（3）投标人需提供本单位依法缴纳投标截止时间前半年内任意连续近三个月社保缴纳证明单位缴费个人明细表（社保证明可含：社保缴费凭证、社保缴费证明、社保缴费汇总单、依法缴纳社保的完税证明）；</w:t>
      </w:r>
    </w:p>
    <w:p w14:paraId="0A363A55">
      <w:pPr>
        <w:pStyle w:val="15"/>
        <w:pageBreakBefore w:val="0"/>
        <w:kinsoku/>
        <w:wordWrap/>
        <w:overflowPunct/>
        <w:topLinePunct w:val="0"/>
        <w:autoSpaceDE/>
        <w:autoSpaceDN/>
        <w:bidi w:val="0"/>
        <w:adjustRightInd/>
        <w:snapToGrid w:val="0"/>
        <w:spacing w:line="396" w:lineRule="auto"/>
        <w:ind w:firstLine="280" w:firstLineChars="100"/>
        <w:textAlignment w:val="auto"/>
        <w:outlineLvl w:val="2"/>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kern w:val="2"/>
          <w:sz w:val="28"/>
          <w:szCs w:val="28"/>
          <w:lang w:val="en-US" w:eastAsia="zh-CN" w:bidi="ar-SA"/>
        </w:rPr>
        <w:t>（4）投标人需提供2023年度第三方审计机构出具的财务审计报告(会计</w:t>
      </w:r>
      <w:r>
        <w:rPr>
          <w:rFonts w:hint="eastAsia" w:ascii="仿宋_GB2312" w:hAnsi="仿宋_GB2312" w:eastAsia="仿宋_GB2312" w:cs="仿宋_GB2312"/>
          <w:color w:val="auto"/>
          <w:kern w:val="2"/>
          <w:sz w:val="28"/>
          <w:szCs w:val="28"/>
          <w:lang w:val="en-US" w:eastAsia="zh-CN" w:bidi="ar-SA"/>
        </w:rPr>
        <w:t>周期不满一年的提供近三个月银行出具的资信证明）和健全的财务会计制度；</w:t>
      </w:r>
    </w:p>
    <w:p w14:paraId="7894BE01">
      <w:pPr>
        <w:pStyle w:val="15"/>
        <w:pageBreakBefore w:val="0"/>
        <w:kinsoku/>
        <w:wordWrap/>
        <w:overflowPunct/>
        <w:topLinePunct w:val="0"/>
        <w:autoSpaceDE/>
        <w:autoSpaceDN/>
        <w:bidi w:val="0"/>
        <w:adjustRightInd/>
        <w:snapToGrid w:val="0"/>
        <w:spacing w:line="396" w:lineRule="auto"/>
        <w:ind w:firstLine="280" w:firstLineChars="100"/>
        <w:textAlignment w:val="auto"/>
        <w:outlineLvl w:val="2"/>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（5）投标人需提供税务部门出具投标截止时间前半年内任意连续近三个月缴纳税收的完税证明（需含增值税、印花税等税种；如当月无需缴税需提供税务机关出具的无欠税证明）；</w:t>
      </w:r>
    </w:p>
    <w:p w14:paraId="349756A4">
      <w:pPr>
        <w:pStyle w:val="15"/>
        <w:pageBreakBefore w:val="0"/>
        <w:kinsoku/>
        <w:wordWrap/>
        <w:overflowPunct/>
        <w:topLinePunct w:val="0"/>
        <w:autoSpaceDE/>
        <w:autoSpaceDN/>
        <w:bidi w:val="0"/>
        <w:adjustRightInd/>
        <w:snapToGrid w:val="0"/>
        <w:spacing w:line="396" w:lineRule="auto"/>
        <w:ind w:firstLine="280" w:firstLineChars="100"/>
        <w:textAlignment w:val="auto"/>
        <w:outlineLvl w:val="2"/>
        <w:rPr>
          <w:rFonts w:hint="eastAsia" w:ascii="仿宋_GB2312" w:hAnsi="仿宋_GB2312" w:eastAsia="仿宋_GB2312" w:cs="仿宋_GB2312"/>
          <w:kern w:val="2"/>
          <w:sz w:val="28"/>
          <w:szCs w:val="28"/>
          <w:highlight w:val="green"/>
          <w:lang w:val="en-US" w:eastAsia="zh-CN" w:bidi="ar-SA"/>
        </w:rPr>
      </w:pPr>
      <w:r>
        <w:rPr>
          <w:rFonts w:hint="eastAsia" w:ascii="仿宋_GB2312" w:hAnsi="仿宋_GB2312" w:eastAsia="仿宋_GB2312" w:cs="仿宋_GB2312"/>
          <w:kern w:val="2"/>
          <w:sz w:val="28"/>
          <w:szCs w:val="28"/>
          <w:lang w:val="en-US" w:eastAsia="zh-CN" w:bidi="ar-SA"/>
        </w:rPr>
        <w:t>（6）凡拟参加本次招标项目的投标人，近三年内如在“信用中国（www.creditchina.gov.cn）”被列入失信被执行人、企业经营异常名录、重大税收违法案件当事人名单、政府采购严重违法失信名单（尚在处罚期内的）“中国政府采购网（www.ccgp.gov.cn）”被列入政府采购严重违法失信行为记录名单的（尚在处罚期内的）“国家企业信用信息公示系统（http://www.gsxt.gov.cn）”列入经营异常名录信息、严重违法失信名单（黑名单）信息（尚在处罚期内的）；将拒绝其参与本次政府采购活动；提供上述网页查询截图并加盖公章，</w:t>
      </w:r>
      <w:r>
        <w:rPr>
          <w:rFonts w:hint="eastAsia" w:ascii="仿宋_GB2312" w:hAnsi="仿宋_GB2312" w:eastAsia="仿宋_GB2312" w:cs="仿宋_GB2312"/>
          <w:kern w:val="2"/>
          <w:sz w:val="28"/>
          <w:szCs w:val="28"/>
          <w:highlight w:val="green"/>
          <w:lang w:val="en-US" w:eastAsia="zh-CN" w:bidi="ar-SA"/>
        </w:rPr>
        <w:t>查询日期必须为此项目公告发布至开标截止时间前一日内有效；</w:t>
      </w:r>
    </w:p>
    <w:p w14:paraId="3A7857F8">
      <w:pPr>
        <w:pStyle w:val="15"/>
        <w:pageBreakBefore w:val="0"/>
        <w:kinsoku/>
        <w:wordWrap/>
        <w:overflowPunct/>
        <w:topLinePunct w:val="0"/>
        <w:autoSpaceDE/>
        <w:autoSpaceDN/>
        <w:bidi w:val="0"/>
        <w:adjustRightInd/>
        <w:snapToGrid w:val="0"/>
        <w:spacing w:line="396" w:lineRule="auto"/>
        <w:ind w:firstLine="280" w:firstLineChars="100"/>
        <w:textAlignment w:val="auto"/>
        <w:outlineLvl w:val="2"/>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（7）投标人提供针对本次项目《反商业贿赂承诺书》；</w:t>
      </w:r>
    </w:p>
    <w:p w14:paraId="2CDFA0F0">
      <w:pPr>
        <w:pStyle w:val="15"/>
        <w:pageBreakBefore w:val="0"/>
        <w:kinsoku/>
        <w:wordWrap/>
        <w:overflowPunct/>
        <w:topLinePunct w:val="0"/>
        <w:autoSpaceDE/>
        <w:autoSpaceDN/>
        <w:bidi w:val="0"/>
        <w:adjustRightInd/>
        <w:snapToGrid w:val="0"/>
        <w:spacing w:line="396" w:lineRule="auto"/>
        <w:ind w:firstLine="280" w:firstLineChars="100"/>
        <w:textAlignment w:val="auto"/>
        <w:outlineLvl w:val="2"/>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（8）参加政府采购活动前3年内在经营活动中没有重大违法记录的书面声明；</w:t>
      </w:r>
    </w:p>
    <w:p w14:paraId="4DF6592A">
      <w:pPr>
        <w:pStyle w:val="19"/>
        <w:numPr>
          <w:ilvl w:val="0"/>
          <w:numId w:val="0"/>
        </w:numPr>
        <w:spacing w:line="360" w:lineRule="auto"/>
        <w:ind w:firstLine="280" w:firstLineChars="1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kern w:val="2"/>
          <w:sz w:val="28"/>
          <w:szCs w:val="28"/>
          <w:lang w:val="en-US" w:eastAsia="zh-CN" w:bidi="ar-SA"/>
        </w:rPr>
        <w:t>（9）</w:t>
      </w:r>
      <w:r>
        <w:rPr>
          <w:rFonts w:hint="eastAsia" w:ascii="仿宋_GB2312" w:hAnsi="仿宋_GB2312" w:eastAsia="仿宋_GB2312" w:cs="仿宋_GB2312"/>
          <w:b w:val="0"/>
          <w:bCs w:val="0"/>
          <w:kern w:val="2"/>
          <w:sz w:val="28"/>
          <w:szCs w:val="28"/>
          <w:lang w:val="en-US" w:eastAsia="zh-CN" w:bidi="ar-SA"/>
        </w:rPr>
        <w:t>投标人提供有效期内《食品经营许可证》或《食品流通许可证》或《食品生产许可证》；</w:t>
      </w:r>
    </w:p>
    <w:p w14:paraId="36EB1E0A">
      <w:pPr>
        <w:pStyle w:val="19"/>
        <w:numPr>
          <w:ilvl w:val="0"/>
          <w:numId w:val="0"/>
        </w:numPr>
        <w:spacing w:line="360" w:lineRule="auto"/>
        <w:ind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（10）</w:t>
      </w:r>
      <w:r>
        <w:rPr>
          <w:rFonts w:hint="eastAsia" w:ascii="仿宋_GB2312" w:hAnsi="仿宋_GB2312" w:eastAsia="仿宋_GB2312" w:cs="仿宋_GB2312"/>
          <w:kern w:val="2"/>
          <w:sz w:val="28"/>
          <w:szCs w:val="28"/>
          <w:lang w:val="en-US" w:eastAsia="zh-CN" w:bidi="ar-SA"/>
        </w:rPr>
        <w:t>投标保证金有效凭证；</w:t>
      </w:r>
    </w:p>
    <w:p w14:paraId="3CBAFD4F">
      <w:pPr>
        <w:pStyle w:val="19"/>
        <w:numPr>
          <w:ilvl w:val="0"/>
          <w:numId w:val="0"/>
        </w:numPr>
        <w:spacing w:line="360" w:lineRule="auto"/>
        <w:ind w:firstLine="280" w:firstLineChars="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（11）落实政府采购政策需满足的资格要求：本项目专门面向中小微企业采购，不再执行价格评审优惠政策。请根据要求单独上传《中小企业声明函》，格式以采购文件中要求为准。</w:t>
      </w:r>
    </w:p>
    <w:p w14:paraId="223A86AA">
      <w:pPr>
        <w:pStyle w:val="7"/>
        <w:pageBreakBefore w:val="0"/>
        <w:widowControl w:val="0"/>
        <w:kinsoku/>
        <w:wordWrap/>
        <w:overflowPunct/>
        <w:topLinePunct w:val="0"/>
        <w:autoSpaceDE/>
        <w:autoSpaceDN/>
        <w:bidi w:val="0"/>
        <w:adjustRightInd/>
        <w:snapToGrid/>
        <w:spacing w:before="0" w:after="0" w:line="396" w:lineRule="auto"/>
        <w:ind w:left="0" w:leftChars="0" w:firstLine="0" w:firstLineChars="0"/>
        <w:jc w:val="both"/>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三、获取招标文件</w:t>
      </w:r>
      <w:bookmarkEnd w:id="11"/>
      <w:bookmarkEnd w:id="12"/>
      <w:bookmarkEnd w:id="13"/>
    </w:p>
    <w:p w14:paraId="5D2ABC9B">
      <w:pPr>
        <w:pStyle w:val="23"/>
        <w:keepNext w:val="0"/>
        <w:keepLines w:val="0"/>
        <w:pageBreakBefore w:val="0"/>
        <w:widowControl/>
        <w:suppressLineNumbers w:val="0"/>
        <w:kinsoku/>
        <w:wordWrap/>
        <w:overflowPunct/>
        <w:topLinePunct w:val="0"/>
        <w:autoSpaceDE/>
        <w:autoSpaceDN/>
        <w:bidi w:val="0"/>
        <w:adjustRightInd/>
        <w:spacing w:before="75" w:beforeAutospacing="0" w:after="75" w:afterAutospacing="0" w:line="396" w:lineRule="auto"/>
        <w:ind w:right="0" w:firstLine="280" w:firstLineChars="100"/>
        <w:jc w:val="left"/>
        <w:textAlignment w:val="auto"/>
        <w:rPr>
          <w:rFonts w:hint="eastAsia"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000000"/>
          <w:spacing w:val="0"/>
          <w:sz w:val="28"/>
          <w:szCs w:val="28"/>
          <w:highlight w:val="none"/>
          <w:lang w:val="en-US" w:eastAsia="zh-CN"/>
        </w:rPr>
        <w:t>时间</w:t>
      </w:r>
      <w:r>
        <w:rPr>
          <w:rFonts w:hint="eastAsia" w:ascii="仿宋_GB2312" w:hAnsi="仿宋_GB2312" w:eastAsia="仿宋_GB2312" w:cs="仿宋_GB2312"/>
          <w:i w:val="0"/>
          <w:iCs w:val="0"/>
          <w:caps w:val="0"/>
          <w:color w:val="auto"/>
          <w:spacing w:val="0"/>
          <w:sz w:val="28"/>
          <w:szCs w:val="28"/>
          <w:highlight w:val="none"/>
          <w:lang w:val="en-US" w:eastAsia="zh-CN"/>
        </w:rPr>
        <w:t>：</w:t>
      </w:r>
      <w:r>
        <w:rPr>
          <w:rFonts w:hint="eastAsia" w:ascii="仿宋_GB2312" w:hAnsi="仿宋_GB2312" w:eastAsia="仿宋_GB2312" w:cs="仿宋_GB2312"/>
          <w:i w:val="0"/>
          <w:iCs w:val="0"/>
          <w:caps w:val="0"/>
          <w:color w:val="auto"/>
          <w:spacing w:val="0"/>
          <w:sz w:val="28"/>
          <w:szCs w:val="28"/>
          <w:highlight w:val="none"/>
          <w:u w:val="single"/>
          <w:lang w:val="en-US" w:eastAsia="zh-CN"/>
        </w:rPr>
        <w:t>2025年02月11日至2025年02月18日，</w:t>
      </w:r>
      <w:r>
        <w:rPr>
          <w:rFonts w:hint="eastAsia" w:ascii="仿宋_GB2312" w:hAnsi="仿宋_GB2312" w:eastAsia="仿宋_GB2312" w:cs="仿宋_GB2312"/>
          <w:i w:val="0"/>
          <w:iCs w:val="0"/>
          <w:caps w:val="0"/>
          <w:color w:val="auto"/>
          <w:spacing w:val="0"/>
          <w:sz w:val="28"/>
          <w:szCs w:val="28"/>
          <w:highlight w:val="none"/>
          <w:lang w:val="en-US" w:eastAsia="zh-CN"/>
        </w:rPr>
        <w:t>每天上午</w:t>
      </w:r>
      <w:r>
        <w:rPr>
          <w:rFonts w:hint="eastAsia" w:ascii="仿宋_GB2312" w:hAnsi="仿宋_GB2312" w:eastAsia="仿宋_GB2312" w:cs="仿宋_GB2312"/>
          <w:i w:val="0"/>
          <w:iCs w:val="0"/>
          <w:caps w:val="0"/>
          <w:color w:val="auto"/>
          <w:spacing w:val="0"/>
          <w:sz w:val="28"/>
          <w:szCs w:val="28"/>
          <w:highlight w:val="none"/>
          <w:u w:val="single"/>
          <w:lang w:val="en-US" w:eastAsia="zh-CN"/>
        </w:rPr>
        <w:t>00:00</w:t>
      </w:r>
      <w:r>
        <w:rPr>
          <w:rFonts w:hint="eastAsia" w:ascii="仿宋_GB2312" w:hAnsi="仿宋_GB2312" w:eastAsia="仿宋_GB2312" w:cs="仿宋_GB2312"/>
          <w:i w:val="0"/>
          <w:iCs w:val="0"/>
          <w:caps w:val="0"/>
          <w:color w:val="auto"/>
          <w:spacing w:val="0"/>
          <w:sz w:val="28"/>
          <w:szCs w:val="28"/>
          <w:highlight w:val="none"/>
          <w:lang w:val="en-US" w:eastAsia="zh-CN"/>
        </w:rPr>
        <w:t>至</w:t>
      </w:r>
      <w:r>
        <w:rPr>
          <w:rFonts w:hint="eastAsia" w:ascii="仿宋_GB2312" w:hAnsi="仿宋_GB2312" w:eastAsia="仿宋_GB2312" w:cs="仿宋_GB2312"/>
          <w:i w:val="0"/>
          <w:iCs w:val="0"/>
          <w:caps w:val="0"/>
          <w:color w:val="auto"/>
          <w:spacing w:val="0"/>
          <w:sz w:val="28"/>
          <w:szCs w:val="28"/>
          <w:highlight w:val="none"/>
          <w:u w:val="single"/>
          <w:lang w:val="en-US" w:eastAsia="zh-CN"/>
        </w:rPr>
        <w:t>12:00</w:t>
      </w:r>
      <w:r>
        <w:rPr>
          <w:rFonts w:hint="eastAsia" w:ascii="仿宋_GB2312" w:hAnsi="仿宋_GB2312" w:eastAsia="仿宋_GB2312" w:cs="仿宋_GB2312"/>
          <w:i w:val="0"/>
          <w:iCs w:val="0"/>
          <w:caps w:val="0"/>
          <w:color w:val="auto"/>
          <w:spacing w:val="0"/>
          <w:sz w:val="28"/>
          <w:szCs w:val="28"/>
          <w:highlight w:val="none"/>
          <w:lang w:val="en-US" w:eastAsia="zh-CN"/>
        </w:rPr>
        <w:t>，下午</w:t>
      </w:r>
      <w:r>
        <w:rPr>
          <w:rFonts w:hint="eastAsia" w:ascii="仿宋_GB2312" w:hAnsi="仿宋_GB2312" w:eastAsia="仿宋_GB2312" w:cs="仿宋_GB2312"/>
          <w:i w:val="0"/>
          <w:iCs w:val="0"/>
          <w:caps w:val="0"/>
          <w:color w:val="auto"/>
          <w:spacing w:val="0"/>
          <w:sz w:val="28"/>
          <w:szCs w:val="28"/>
          <w:highlight w:val="none"/>
          <w:u w:val="single"/>
          <w:lang w:val="en-US" w:eastAsia="zh-CN"/>
        </w:rPr>
        <w:t>12:00</w:t>
      </w:r>
      <w:r>
        <w:rPr>
          <w:rFonts w:hint="eastAsia" w:ascii="仿宋_GB2312" w:hAnsi="仿宋_GB2312" w:eastAsia="仿宋_GB2312" w:cs="仿宋_GB2312"/>
          <w:i w:val="0"/>
          <w:iCs w:val="0"/>
          <w:caps w:val="0"/>
          <w:color w:val="auto"/>
          <w:spacing w:val="0"/>
          <w:sz w:val="28"/>
          <w:szCs w:val="28"/>
          <w:highlight w:val="none"/>
          <w:lang w:val="en-US" w:eastAsia="zh-CN"/>
        </w:rPr>
        <w:t>至</w:t>
      </w:r>
      <w:r>
        <w:rPr>
          <w:rFonts w:hint="eastAsia" w:ascii="仿宋_GB2312" w:hAnsi="仿宋_GB2312" w:eastAsia="仿宋_GB2312" w:cs="仿宋_GB2312"/>
          <w:i w:val="0"/>
          <w:iCs w:val="0"/>
          <w:caps w:val="0"/>
          <w:color w:val="auto"/>
          <w:spacing w:val="0"/>
          <w:sz w:val="28"/>
          <w:szCs w:val="28"/>
          <w:highlight w:val="none"/>
          <w:u w:val="single"/>
          <w:lang w:val="en-US" w:eastAsia="zh-CN"/>
        </w:rPr>
        <w:t>23:59</w:t>
      </w:r>
      <w:r>
        <w:rPr>
          <w:rFonts w:hint="eastAsia" w:ascii="仿宋_GB2312" w:hAnsi="仿宋_GB2312" w:eastAsia="仿宋_GB2312" w:cs="仿宋_GB2312"/>
          <w:i w:val="0"/>
          <w:iCs w:val="0"/>
          <w:caps w:val="0"/>
          <w:color w:val="auto"/>
          <w:spacing w:val="0"/>
          <w:sz w:val="28"/>
          <w:szCs w:val="28"/>
          <w:highlight w:val="none"/>
          <w:lang w:val="en-US" w:eastAsia="zh-CN"/>
        </w:rPr>
        <w:t>（北京时间，法定节假日除外）</w:t>
      </w:r>
    </w:p>
    <w:p w14:paraId="20004664">
      <w:pPr>
        <w:pStyle w:val="23"/>
        <w:keepNext w:val="0"/>
        <w:keepLines w:val="0"/>
        <w:pageBreakBefore w:val="0"/>
        <w:widowControl/>
        <w:suppressLineNumbers w:val="0"/>
        <w:kinsoku/>
        <w:wordWrap/>
        <w:overflowPunct/>
        <w:topLinePunct w:val="0"/>
        <w:autoSpaceDE/>
        <w:autoSpaceDN/>
        <w:bidi w:val="0"/>
        <w:adjustRightInd/>
        <w:spacing w:before="75" w:beforeAutospacing="0" w:after="75" w:afterAutospacing="0" w:line="396" w:lineRule="auto"/>
        <w:ind w:right="0" w:firstLine="280" w:firstLineChars="100"/>
        <w:jc w:val="left"/>
        <w:textAlignment w:val="auto"/>
        <w:rPr>
          <w:rFonts w:hint="eastAsia" w:ascii="仿宋_GB2312" w:hAnsi="仿宋_GB2312" w:eastAsia="仿宋_GB2312" w:cs="仿宋_GB2312"/>
          <w:i w:val="0"/>
          <w:iCs w:val="0"/>
          <w:caps w:val="0"/>
          <w:color w:val="000000"/>
          <w:spacing w:val="0"/>
          <w:sz w:val="28"/>
          <w:szCs w:val="28"/>
          <w:highlight w:val="none"/>
          <w:lang w:val="en-US" w:eastAsia="zh-CN"/>
        </w:rPr>
      </w:pPr>
      <w:r>
        <w:rPr>
          <w:rFonts w:hint="eastAsia" w:ascii="仿宋_GB2312" w:hAnsi="仿宋_GB2312" w:eastAsia="仿宋_GB2312" w:cs="仿宋_GB2312"/>
          <w:i w:val="0"/>
          <w:iCs w:val="0"/>
          <w:caps w:val="0"/>
          <w:color w:val="000000"/>
          <w:spacing w:val="0"/>
          <w:sz w:val="28"/>
          <w:szCs w:val="28"/>
          <w:highlight w:val="none"/>
          <w:lang w:val="en-US" w:eastAsia="zh-CN"/>
        </w:rPr>
        <w:t>地点：</w:t>
      </w:r>
      <w:r>
        <w:rPr>
          <w:rFonts w:hint="eastAsia" w:ascii="仿宋_GB2312" w:hAnsi="仿宋_GB2312" w:eastAsia="仿宋_GB2312" w:cs="仿宋_GB2312"/>
          <w:i w:val="0"/>
          <w:iCs w:val="0"/>
          <w:caps w:val="0"/>
          <w:color w:val="000000"/>
          <w:spacing w:val="0"/>
          <w:sz w:val="28"/>
          <w:szCs w:val="28"/>
          <w:highlight w:val="none"/>
          <w:u w:val="single"/>
          <w:lang w:val="en-US" w:eastAsia="zh-CN"/>
        </w:rPr>
        <w:t>新疆政采云平台（https://www.zcygov.cn/）</w:t>
      </w:r>
      <w:r>
        <w:rPr>
          <w:rFonts w:hint="eastAsia" w:ascii="仿宋_GB2312" w:hAnsi="仿宋_GB2312" w:eastAsia="仿宋_GB2312" w:cs="仿宋_GB2312"/>
          <w:i w:val="0"/>
          <w:iCs w:val="0"/>
          <w:caps w:val="0"/>
          <w:color w:val="000000"/>
          <w:spacing w:val="0"/>
          <w:sz w:val="28"/>
          <w:szCs w:val="28"/>
          <w:highlight w:val="none"/>
          <w:lang w:val="en-US" w:eastAsia="zh-CN"/>
        </w:rPr>
        <w:t>线上获取</w:t>
      </w:r>
    </w:p>
    <w:p w14:paraId="46E0E683">
      <w:pPr>
        <w:pStyle w:val="23"/>
        <w:keepNext w:val="0"/>
        <w:keepLines w:val="0"/>
        <w:pageBreakBefore w:val="0"/>
        <w:widowControl/>
        <w:suppressLineNumbers w:val="0"/>
        <w:kinsoku/>
        <w:wordWrap/>
        <w:overflowPunct/>
        <w:topLinePunct w:val="0"/>
        <w:autoSpaceDE/>
        <w:autoSpaceDN/>
        <w:bidi w:val="0"/>
        <w:adjustRightInd/>
        <w:spacing w:before="75" w:beforeAutospacing="0" w:after="75" w:afterAutospacing="0" w:line="396" w:lineRule="auto"/>
        <w:ind w:right="0" w:firstLine="280" w:firstLineChars="100"/>
        <w:jc w:val="left"/>
        <w:textAlignment w:val="auto"/>
        <w:rPr>
          <w:rFonts w:hint="eastAsia" w:ascii="仿宋_GB2312" w:hAnsi="仿宋_GB2312" w:eastAsia="仿宋_GB2312" w:cs="仿宋_GB2312"/>
          <w:b/>
          <w:bCs/>
          <w:i w:val="0"/>
          <w:iCs w:val="0"/>
          <w:caps w:val="0"/>
          <w:color w:val="000000"/>
          <w:spacing w:val="0"/>
          <w:kern w:val="0"/>
          <w:sz w:val="28"/>
          <w:szCs w:val="28"/>
          <w:highlight w:val="none"/>
          <w:lang w:val="en-US" w:eastAsia="zh-CN" w:bidi="ar"/>
        </w:rPr>
      </w:pPr>
      <w:r>
        <w:rPr>
          <w:rFonts w:hint="eastAsia" w:ascii="仿宋_GB2312" w:hAnsi="仿宋_GB2312" w:eastAsia="仿宋_GB2312" w:cs="仿宋_GB2312"/>
          <w:i w:val="0"/>
          <w:iCs w:val="0"/>
          <w:caps w:val="0"/>
          <w:color w:val="000000"/>
          <w:spacing w:val="0"/>
          <w:sz w:val="28"/>
          <w:szCs w:val="28"/>
          <w:highlight w:val="none"/>
          <w:lang w:val="en-US" w:eastAsia="zh-CN"/>
        </w:rPr>
        <w:t>方式：供应商登录</w:t>
      </w:r>
      <w:r>
        <w:rPr>
          <w:rFonts w:hint="eastAsia" w:ascii="仿宋_GB2312" w:hAnsi="仿宋_GB2312" w:eastAsia="仿宋_GB2312" w:cs="仿宋_GB2312"/>
          <w:i w:val="0"/>
          <w:iCs w:val="0"/>
          <w:caps w:val="0"/>
          <w:color w:val="000000"/>
          <w:spacing w:val="0"/>
          <w:sz w:val="28"/>
          <w:szCs w:val="28"/>
          <w:highlight w:val="none"/>
          <w:u w:val="single"/>
          <w:lang w:val="en-US" w:eastAsia="zh-CN"/>
        </w:rPr>
        <w:t>新疆政采云平台（https://www.zcygov.cn/）</w:t>
      </w:r>
      <w:r>
        <w:rPr>
          <w:rFonts w:hint="eastAsia" w:ascii="仿宋_GB2312" w:hAnsi="仿宋_GB2312" w:eastAsia="仿宋_GB2312" w:cs="仿宋_GB2312"/>
          <w:i w:val="0"/>
          <w:iCs w:val="0"/>
          <w:caps w:val="0"/>
          <w:color w:val="000000"/>
          <w:spacing w:val="0"/>
          <w:sz w:val="28"/>
          <w:szCs w:val="28"/>
          <w:highlight w:val="none"/>
          <w:lang w:val="en-US" w:eastAsia="zh-CN"/>
        </w:rPr>
        <w:t>在线申请获取采购文件（进入“项目采购”应用，获取采购文件菜单中选择项目，申请获取采购文件）</w:t>
      </w:r>
      <w:bookmarkStart w:id="14" w:name="_Toc4398"/>
      <w:bookmarkStart w:id="15" w:name="_Toc20322"/>
      <w:bookmarkStart w:id="16" w:name="_Toc4068"/>
    </w:p>
    <w:p w14:paraId="71420ADE">
      <w:pPr>
        <w:pStyle w:val="7"/>
        <w:pageBreakBefore w:val="0"/>
        <w:widowControl w:val="0"/>
        <w:kinsoku/>
        <w:wordWrap/>
        <w:overflowPunct/>
        <w:topLinePunct w:val="0"/>
        <w:autoSpaceDE/>
        <w:autoSpaceDN/>
        <w:bidi w:val="0"/>
        <w:adjustRightInd/>
        <w:snapToGrid/>
        <w:spacing w:before="0" w:after="0" w:line="396" w:lineRule="auto"/>
        <w:ind w:left="0" w:leftChars="0" w:firstLine="0" w:firstLineChars="0"/>
        <w:jc w:val="both"/>
        <w:textAlignment w:val="auto"/>
        <w:rPr>
          <w:rFonts w:hint="eastAsia" w:ascii="仿宋_GB2312" w:hAnsi="仿宋_GB2312" w:eastAsia="仿宋_GB2312" w:cs="仿宋_GB2312"/>
          <w:b/>
          <w:bCs/>
          <w:i w:val="0"/>
          <w:iCs w:val="0"/>
          <w:caps w:val="0"/>
          <w:color w:val="000000"/>
          <w:spacing w:val="0"/>
          <w:kern w:val="0"/>
          <w:sz w:val="28"/>
          <w:szCs w:val="28"/>
          <w:highlight w:val="none"/>
          <w:lang w:val="en-US" w:eastAsia="zh-CN" w:bidi="ar"/>
        </w:rPr>
      </w:pPr>
      <w:r>
        <w:rPr>
          <w:rFonts w:hint="eastAsia" w:ascii="仿宋_GB2312" w:hAnsi="仿宋_GB2312" w:eastAsia="仿宋_GB2312" w:cs="仿宋_GB2312"/>
          <w:b/>
          <w:bCs/>
          <w:i w:val="0"/>
          <w:iCs w:val="0"/>
          <w:caps w:val="0"/>
          <w:color w:val="000000"/>
          <w:spacing w:val="0"/>
          <w:kern w:val="0"/>
          <w:sz w:val="28"/>
          <w:szCs w:val="28"/>
          <w:highlight w:val="none"/>
          <w:lang w:val="en-US" w:eastAsia="zh-CN" w:bidi="ar"/>
        </w:rPr>
        <w:t>四、提交投标文件截止时间、开标时间和地点</w:t>
      </w:r>
      <w:bookmarkEnd w:id="14"/>
      <w:bookmarkEnd w:id="15"/>
      <w:bookmarkEnd w:id="16"/>
    </w:p>
    <w:p w14:paraId="74BECE43">
      <w:pPr>
        <w:pStyle w:val="23"/>
        <w:keepNext w:val="0"/>
        <w:keepLines w:val="0"/>
        <w:pageBreakBefore w:val="0"/>
        <w:widowControl/>
        <w:suppressLineNumbers w:val="0"/>
        <w:kinsoku/>
        <w:wordWrap/>
        <w:overflowPunct/>
        <w:topLinePunct w:val="0"/>
        <w:autoSpaceDE/>
        <w:autoSpaceDN/>
        <w:bidi w:val="0"/>
        <w:adjustRightInd/>
        <w:spacing w:before="75" w:beforeAutospacing="0" w:after="75" w:afterAutospacing="0" w:line="396" w:lineRule="auto"/>
        <w:ind w:right="0" w:firstLine="280" w:firstLineChars="100"/>
        <w:jc w:val="left"/>
        <w:textAlignment w:val="auto"/>
        <w:rPr>
          <w:rFonts w:hint="eastAsia"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000000"/>
          <w:spacing w:val="0"/>
          <w:sz w:val="28"/>
          <w:szCs w:val="28"/>
          <w:highlight w:val="none"/>
          <w:lang w:val="en-US" w:eastAsia="zh-CN"/>
        </w:rPr>
        <w:t>提交投标文件截</w:t>
      </w:r>
      <w:r>
        <w:rPr>
          <w:rFonts w:hint="eastAsia" w:ascii="仿宋_GB2312" w:hAnsi="仿宋_GB2312" w:eastAsia="仿宋_GB2312" w:cs="仿宋_GB2312"/>
          <w:i w:val="0"/>
          <w:iCs w:val="0"/>
          <w:caps w:val="0"/>
          <w:color w:val="auto"/>
          <w:spacing w:val="0"/>
          <w:sz w:val="28"/>
          <w:szCs w:val="28"/>
          <w:highlight w:val="none"/>
          <w:lang w:val="en-US" w:eastAsia="zh-CN"/>
        </w:rPr>
        <w:t>止时间：</w:t>
      </w:r>
      <w:r>
        <w:rPr>
          <w:rFonts w:hint="eastAsia" w:ascii="仿宋_GB2312" w:hAnsi="仿宋_GB2312" w:eastAsia="仿宋_GB2312" w:cs="仿宋_GB2312"/>
          <w:i w:val="0"/>
          <w:iCs w:val="0"/>
          <w:caps w:val="0"/>
          <w:color w:val="auto"/>
          <w:spacing w:val="0"/>
          <w:sz w:val="28"/>
          <w:szCs w:val="28"/>
          <w:highlight w:val="none"/>
          <w:u w:val="single"/>
          <w:lang w:val="en-US" w:eastAsia="zh-CN"/>
        </w:rPr>
        <w:t>2025年03月04日 16：00分</w:t>
      </w:r>
      <w:r>
        <w:rPr>
          <w:rFonts w:hint="eastAsia" w:ascii="仿宋_GB2312" w:hAnsi="仿宋_GB2312" w:eastAsia="仿宋_GB2312" w:cs="仿宋_GB2312"/>
          <w:i w:val="0"/>
          <w:iCs w:val="0"/>
          <w:caps w:val="0"/>
          <w:color w:val="auto"/>
          <w:spacing w:val="0"/>
          <w:sz w:val="28"/>
          <w:szCs w:val="28"/>
          <w:highlight w:val="none"/>
          <w:lang w:val="en-US" w:eastAsia="zh-CN"/>
        </w:rPr>
        <w:t>（北京时间）</w:t>
      </w:r>
    </w:p>
    <w:p w14:paraId="562D0E42">
      <w:pPr>
        <w:pStyle w:val="23"/>
        <w:keepNext w:val="0"/>
        <w:keepLines w:val="0"/>
        <w:pageBreakBefore w:val="0"/>
        <w:widowControl/>
        <w:suppressLineNumbers w:val="0"/>
        <w:kinsoku/>
        <w:wordWrap/>
        <w:overflowPunct/>
        <w:topLinePunct w:val="0"/>
        <w:autoSpaceDE/>
        <w:autoSpaceDN/>
        <w:bidi w:val="0"/>
        <w:adjustRightInd/>
        <w:spacing w:before="75" w:beforeAutospacing="0" w:after="75" w:afterAutospacing="0" w:line="396" w:lineRule="auto"/>
        <w:ind w:right="0" w:firstLine="280" w:firstLineChars="100"/>
        <w:jc w:val="left"/>
        <w:textAlignment w:val="auto"/>
        <w:rPr>
          <w:rFonts w:hint="eastAsia"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投标地点：请登录政采云投标客户端投标</w:t>
      </w:r>
    </w:p>
    <w:p w14:paraId="686B9626">
      <w:pPr>
        <w:pStyle w:val="23"/>
        <w:keepNext w:val="0"/>
        <w:keepLines w:val="0"/>
        <w:pageBreakBefore w:val="0"/>
        <w:widowControl/>
        <w:suppressLineNumbers w:val="0"/>
        <w:kinsoku/>
        <w:wordWrap/>
        <w:overflowPunct/>
        <w:topLinePunct w:val="0"/>
        <w:autoSpaceDE/>
        <w:autoSpaceDN/>
        <w:bidi w:val="0"/>
        <w:adjustRightInd/>
        <w:spacing w:before="75" w:beforeAutospacing="0" w:after="75" w:afterAutospacing="0" w:line="396" w:lineRule="auto"/>
        <w:ind w:left="279" w:leftChars="133" w:right="0" w:firstLine="0" w:firstLineChars="0"/>
        <w:jc w:val="left"/>
        <w:textAlignment w:val="auto"/>
        <w:rPr>
          <w:rFonts w:hint="eastAsia"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开标时间：</w:t>
      </w:r>
      <w:r>
        <w:rPr>
          <w:rFonts w:hint="eastAsia" w:ascii="仿宋_GB2312" w:hAnsi="仿宋_GB2312" w:eastAsia="仿宋_GB2312" w:cs="仿宋_GB2312"/>
          <w:i w:val="0"/>
          <w:iCs w:val="0"/>
          <w:caps w:val="0"/>
          <w:color w:val="auto"/>
          <w:spacing w:val="0"/>
          <w:sz w:val="28"/>
          <w:szCs w:val="28"/>
          <w:highlight w:val="none"/>
          <w:u w:val="single"/>
          <w:lang w:val="en-US" w:eastAsia="zh-CN"/>
        </w:rPr>
        <w:t>2025年03月04日 16：00分</w:t>
      </w:r>
      <w:r>
        <w:rPr>
          <w:rFonts w:hint="eastAsia" w:ascii="仿宋_GB2312" w:hAnsi="仿宋_GB2312" w:eastAsia="仿宋_GB2312" w:cs="仿宋_GB2312"/>
          <w:i w:val="0"/>
          <w:iCs w:val="0"/>
          <w:caps w:val="0"/>
          <w:color w:val="auto"/>
          <w:spacing w:val="0"/>
          <w:sz w:val="28"/>
          <w:szCs w:val="28"/>
          <w:highlight w:val="none"/>
          <w:lang w:val="en-US" w:eastAsia="zh-CN"/>
        </w:rPr>
        <w:t>（北京时间）</w:t>
      </w:r>
    </w:p>
    <w:p w14:paraId="09FAC811">
      <w:pPr>
        <w:pStyle w:val="23"/>
        <w:keepNext w:val="0"/>
        <w:keepLines w:val="0"/>
        <w:pageBreakBefore w:val="0"/>
        <w:widowControl/>
        <w:suppressLineNumbers w:val="0"/>
        <w:kinsoku/>
        <w:wordWrap/>
        <w:overflowPunct/>
        <w:topLinePunct w:val="0"/>
        <w:autoSpaceDE/>
        <w:autoSpaceDN/>
        <w:bidi w:val="0"/>
        <w:adjustRightInd/>
        <w:spacing w:before="75" w:beforeAutospacing="0" w:after="75" w:afterAutospacing="0" w:line="396" w:lineRule="auto"/>
        <w:ind w:right="0" w:firstLine="280" w:firstLineChars="100"/>
        <w:jc w:val="left"/>
        <w:textAlignment w:val="auto"/>
        <w:rPr>
          <w:rFonts w:hint="default"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lang w:val="en-US" w:eastAsia="zh-CN"/>
        </w:rPr>
        <w:t>开标地点：</w:t>
      </w:r>
      <w:r>
        <w:rPr>
          <w:rFonts w:hint="eastAsia" w:ascii="仿宋_GB2312" w:hAnsi="仿宋_GB2312" w:eastAsia="仿宋_GB2312" w:cs="仿宋_GB2312"/>
          <w:i w:val="0"/>
          <w:iCs w:val="0"/>
          <w:caps w:val="0"/>
          <w:color w:val="000000"/>
          <w:spacing w:val="0"/>
          <w:sz w:val="28"/>
          <w:szCs w:val="28"/>
          <w:u w:val="single"/>
          <w:lang w:val="en-US" w:eastAsia="zh-CN"/>
        </w:rPr>
        <w:t>新疆政采云平台（https://www.zcygov.cn）</w:t>
      </w:r>
    </w:p>
    <w:p w14:paraId="6C548F26">
      <w:pPr>
        <w:pStyle w:val="7"/>
        <w:pageBreakBefore w:val="0"/>
        <w:widowControl w:val="0"/>
        <w:kinsoku/>
        <w:wordWrap/>
        <w:overflowPunct/>
        <w:topLinePunct w:val="0"/>
        <w:autoSpaceDE/>
        <w:autoSpaceDN/>
        <w:bidi w:val="0"/>
        <w:adjustRightInd/>
        <w:snapToGrid/>
        <w:spacing w:before="0" w:after="0" w:line="396" w:lineRule="auto"/>
        <w:ind w:left="0" w:leftChars="0" w:firstLine="0" w:firstLineChars="0"/>
        <w:jc w:val="both"/>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bookmarkStart w:id="17" w:name="_Toc19015"/>
      <w:bookmarkStart w:id="18" w:name="_Toc9151"/>
      <w:bookmarkStart w:id="19" w:name="_Toc30941"/>
      <w:r>
        <w:rPr>
          <w:rFonts w:hint="eastAsia" w:ascii="仿宋_GB2312" w:hAnsi="仿宋_GB2312" w:eastAsia="仿宋_GB2312" w:cs="仿宋_GB2312"/>
          <w:b/>
          <w:bCs/>
          <w:i w:val="0"/>
          <w:iCs w:val="0"/>
          <w:caps w:val="0"/>
          <w:color w:val="000000"/>
          <w:spacing w:val="0"/>
          <w:kern w:val="0"/>
          <w:sz w:val="28"/>
          <w:szCs w:val="28"/>
          <w:lang w:val="en-US" w:eastAsia="zh-CN" w:bidi="ar"/>
        </w:rPr>
        <w:t>五、公告期限</w:t>
      </w:r>
      <w:bookmarkEnd w:id="17"/>
      <w:bookmarkEnd w:id="18"/>
      <w:bookmarkEnd w:id="19"/>
    </w:p>
    <w:p w14:paraId="43262BB1">
      <w:pPr>
        <w:pStyle w:val="23"/>
        <w:keepNext w:val="0"/>
        <w:keepLines w:val="0"/>
        <w:pageBreakBefore w:val="0"/>
        <w:widowControl/>
        <w:suppressLineNumbers w:val="0"/>
        <w:kinsoku/>
        <w:wordWrap/>
        <w:overflowPunct/>
        <w:topLinePunct w:val="0"/>
        <w:autoSpaceDE/>
        <w:autoSpaceDN/>
        <w:bidi w:val="0"/>
        <w:adjustRightInd/>
        <w:spacing w:before="75" w:beforeAutospacing="0" w:after="75" w:afterAutospacing="0" w:line="396" w:lineRule="auto"/>
        <w:ind w:right="0" w:firstLine="280" w:firstLineChars="100"/>
        <w:jc w:val="left"/>
        <w:textAlignment w:val="auto"/>
        <w:rPr>
          <w:rFonts w:hint="eastAsia"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lang w:val="en-US" w:eastAsia="zh-CN"/>
        </w:rPr>
        <w:t>自本公告发布之日起5个工作日</w:t>
      </w:r>
      <w:bookmarkStart w:id="20" w:name="_Toc2426"/>
      <w:bookmarkStart w:id="21" w:name="_Toc1504"/>
      <w:bookmarkStart w:id="22" w:name="_Toc32428"/>
    </w:p>
    <w:p w14:paraId="1D3B958F">
      <w:pPr>
        <w:pStyle w:val="23"/>
        <w:keepNext w:val="0"/>
        <w:keepLines w:val="0"/>
        <w:pageBreakBefore w:val="0"/>
        <w:widowControl/>
        <w:numPr>
          <w:ilvl w:val="0"/>
          <w:numId w:val="3"/>
        </w:numPr>
        <w:suppressLineNumbers w:val="0"/>
        <w:kinsoku/>
        <w:wordWrap/>
        <w:overflowPunct/>
        <w:topLinePunct w:val="0"/>
        <w:autoSpaceDE/>
        <w:autoSpaceDN/>
        <w:bidi w:val="0"/>
        <w:adjustRightInd/>
        <w:snapToGrid/>
        <w:spacing w:before="75" w:beforeAutospacing="0" w:after="75" w:afterAutospacing="0" w:line="396" w:lineRule="auto"/>
        <w:ind w:right="0"/>
        <w:jc w:val="left"/>
        <w:textAlignment w:val="auto"/>
        <w:rPr>
          <w:rFonts w:hint="eastAsia" w:ascii="仿宋_GB2312" w:hAnsi="仿宋_GB2312" w:eastAsia="仿宋_GB2312" w:cs="仿宋_GB2312"/>
          <w:i w:val="0"/>
          <w:iCs w:val="0"/>
          <w:caps w:val="0"/>
          <w:color w:val="000000"/>
          <w:spacing w:val="0"/>
          <w:sz w:val="28"/>
          <w:szCs w:val="28"/>
          <w:highlight w:val="none"/>
          <w:lang w:val="en-US" w:eastAsia="zh-CN"/>
        </w:rPr>
      </w:pPr>
      <w:r>
        <w:rPr>
          <w:rFonts w:hint="eastAsia" w:ascii="仿宋_GB2312" w:hAnsi="仿宋_GB2312" w:eastAsia="仿宋_GB2312" w:cs="仿宋_GB2312"/>
          <w:b/>
          <w:bCs/>
          <w:i w:val="0"/>
          <w:iCs w:val="0"/>
          <w:caps w:val="0"/>
          <w:color w:val="000000"/>
          <w:spacing w:val="0"/>
          <w:kern w:val="0"/>
          <w:sz w:val="28"/>
          <w:szCs w:val="28"/>
          <w:lang w:val="en-US" w:eastAsia="zh-CN" w:bidi="ar"/>
        </w:rPr>
        <w:t>其他补充事宜</w:t>
      </w:r>
      <w:bookmarkEnd w:id="20"/>
      <w:bookmarkEnd w:id="21"/>
      <w:bookmarkEnd w:id="22"/>
    </w:p>
    <w:p w14:paraId="7AD30F9D">
      <w:pPr>
        <w:pStyle w:val="23"/>
        <w:keepNext w:val="0"/>
        <w:keepLines w:val="0"/>
        <w:pageBreakBefore w:val="0"/>
        <w:widowControl/>
        <w:numPr>
          <w:ilvl w:val="0"/>
          <w:numId w:val="4"/>
        </w:numPr>
        <w:suppressLineNumbers w:val="0"/>
        <w:kinsoku/>
        <w:wordWrap/>
        <w:overflowPunct/>
        <w:topLinePunct w:val="0"/>
        <w:autoSpaceDE/>
        <w:autoSpaceDN/>
        <w:bidi w:val="0"/>
        <w:adjustRightInd/>
        <w:snapToGrid/>
        <w:spacing w:before="75" w:beforeAutospacing="0" w:after="75" w:afterAutospacing="0" w:line="396" w:lineRule="auto"/>
        <w:ind w:right="0" w:rightChars="0" w:firstLine="280" w:firstLineChars="1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000000"/>
          <w:spacing w:val="0"/>
          <w:sz w:val="28"/>
          <w:szCs w:val="28"/>
          <w:highlight w:val="none"/>
          <w:lang w:val="en-US" w:eastAsia="zh-CN"/>
        </w:rPr>
        <w:t>本项目实行网上投标，采用电子投标文件(供应商须使用CA加密设备通过新疆政采云电子投标客户端制作投标文件)。若供应商参与投标，自行承担投标一切费用。</w:t>
      </w:r>
    </w:p>
    <w:p w14:paraId="76ED101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96" w:lineRule="auto"/>
        <w:ind w:right="0" w:rightChars="0" w:firstLine="280" w:firstLineChars="1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000000"/>
          <w:spacing w:val="0"/>
          <w:sz w:val="28"/>
          <w:szCs w:val="28"/>
          <w:highlight w:val="none"/>
          <w:lang w:val="en-US" w:eastAsia="zh-CN"/>
        </w:rPr>
        <w:t>2、各供应商应在开标前应确保成为新疆政府采购网正式注册入库供应商，并完成CA数字证书申领。因未注册入库、未办理CA数字证书等原因造成无法投标或投标失败等后果由供应商自行承担。</w:t>
      </w:r>
    </w:p>
    <w:p w14:paraId="0337C2FD">
      <w:pPr>
        <w:pStyle w:val="23"/>
        <w:keepNext w:val="0"/>
        <w:keepLines w:val="0"/>
        <w:pageBreakBefore w:val="0"/>
        <w:widowControl/>
        <w:suppressLineNumbers w:val="0"/>
        <w:kinsoku/>
        <w:wordWrap/>
        <w:overflowPunct/>
        <w:topLinePunct w:val="0"/>
        <w:autoSpaceDE/>
        <w:autoSpaceDN/>
        <w:bidi w:val="0"/>
        <w:adjustRightInd/>
        <w:spacing w:before="75" w:beforeAutospacing="0" w:after="75" w:afterAutospacing="0" w:line="396" w:lineRule="auto"/>
        <w:ind w:right="0" w:firstLine="280" w:firstLineChars="100"/>
        <w:jc w:val="left"/>
        <w:textAlignment w:val="auto"/>
        <w:rPr>
          <w:rFonts w:hint="eastAsia" w:ascii="仿宋_GB2312" w:hAnsi="仿宋_GB2312" w:eastAsia="仿宋_GB2312" w:cs="仿宋_GB2312"/>
          <w:i w:val="0"/>
          <w:iCs w:val="0"/>
          <w:caps w:val="0"/>
          <w:color w:val="000000"/>
          <w:spacing w:val="0"/>
          <w:sz w:val="28"/>
          <w:szCs w:val="28"/>
          <w:highlight w:val="none"/>
          <w:lang w:val="en-US" w:eastAsia="zh-CN"/>
        </w:rPr>
      </w:pPr>
      <w:r>
        <w:rPr>
          <w:rFonts w:hint="eastAsia" w:ascii="仿宋_GB2312" w:hAnsi="仿宋_GB2312" w:eastAsia="仿宋_GB2312" w:cs="仿宋_GB2312"/>
          <w:i w:val="0"/>
          <w:iCs w:val="0"/>
          <w:caps w:val="0"/>
          <w:color w:val="000000"/>
          <w:spacing w:val="0"/>
          <w:sz w:val="28"/>
          <w:szCs w:val="28"/>
          <w:highlight w:val="none"/>
          <w:lang w:val="en-US" w:eastAsia="zh-CN"/>
        </w:rPr>
        <w:t>3.供应商将政采云电子交易客户端下载、安装完成后，可通过账号密码或CA登录客户端进行投标文件制作。在使用新疆政采云投标客户端时，建议使用WIN7及以上操作系统。</w:t>
      </w:r>
    </w:p>
    <w:p w14:paraId="2F1FE6CD">
      <w:pPr>
        <w:pStyle w:val="23"/>
        <w:keepNext w:val="0"/>
        <w:keepLines w:val="0"/>
        <w:pageBreakBefore w:val="0"/>
        <w:widowControl/>
        <w:suppressLineNumbers w:val="0"/>
        <w:kinsoku/>
        <w:wordWrap/>
        <w:overflowPunct/>
        <w:topLinePunct w:val="0"/>
        <w:autoSpaceDE/>
        <w:autoSpaceDN/>
        <w:bidi w:val="0"/>
        <w:adjustRightInd/>
        <w:spacing w:before="75" w:beforeAutospacing="0" w:after="75" w:afterAutospacing="0" w:line="396" w:lineRule="auto"/>
        <w:ind w:right="0" w:firstLine="280" w:firstLineChars="100"/>
        <w:jc w:val="left"/>
        <w:textAlignment w:val="auto"/>
        <w:rPr>
          <w:rFonts w:hint="eastAsia" w:ascii="仿宋_GB2312" w:hAnsi="仿宋_GB2312" w:eastAsia="仿宋_GB2312" w:cs="仿宋_GB2312"/>
          <w:i w:val="0"/>
          <w:iCs w:val="0"/>
          <w:caps w:val="0"/>
          <w:color w:val="000000"/>
          <w:spacing w:val="0"/>
          <w:sz w:val="28"/>
          <w:szCs w:val="28"/>
          <w:highlight w:val="none"/>
          <w:lang w:val="en-US" w:eastAsia="zh-CN"/>
        </w:rPr>
      </w:pPr>
      <w:r>
        <w:rPr>
          <w:rFonts w:hint="eastAsia" w:ascii="仿宋_GB2312" w:hAnsi="仿宋_GB2312" w:eastAsia="仿宋_GB2312" w:cs="仿宋_GB2312"/>
          <w:i w:val="0"/>
          <w:iCs w:val="0"/>
          <w:caps w:val="0"/>
          <w:color w:val="000000"/>
          <w:spacing w:val="0"/>
          <w:sz w:val="28"/>
          <w:szCs w:val="28"/>
          <w:highlight w:val="none"/>
          <w:lang w:val="en-US" w:eastAsia="zh-CN"/>
        </w:rPr>
        <w:t>4.供应商在开标时须使用制作加密电子投标文件所使用CA锁及电脑，电脑须提前配置好浏览器（建议使用360浏览器兼容版或谷歌浏览器）以便开标时解锁。</w:t>
      </w:r>
    </w:p>
    <w:p w14:paraId="74083589">
      <w:pPr>
        <w:pStyle w:val="23"/>
        <w:keepNext w:val="0"/>
        <w:keepLines w:val="0"/>
        <w:pageBreakBefore w:val="0"/>
        <w:widowControl/>
        <w:suppressLineNumbers w:val="0"/>
        <w:kinsoku/>
        <w:wordWrap/>
        <w:overflowPunct/>
        <w:topLinePunct w:val="0"/>
        <w:autoSpaceDE/>
        <w:autoSpaceDN/>
        <w:bidi w:val="0"/>
        <w:adjustRightInd/>
        <w:spacing w:before="75" w:beforeAutospacing="0" w:after="75" w:afterAutospacing="0" w:line="396" w:lineRule="auto"/>
        <w:ind w:right="0" w:firstLine="280" w:firstLineChars="100"/>
        <w:jc w:val="left"/>
        <w:textAlignment w:val="auto"/>
        <w:rPr>
          <w:rFonts w:hint="eastAsia"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highlight w:val="none"/>
          <w:lang w:val="en-US" w:eastAsia="zh-CN"/>
        </w:rPr>
        <w:t>5.供应商对不见面开评标系统的技术操作咨询，可通过https://edu.zcygov.cn/luban/xinjiang-e-biding自助查询，也可在政采云帮助中心常见问题解答和操作流程讲解视频中自助查询，网址为：</w:t>
      </w:r>
      <w:r>
        <w:rPr>
          <w:rFonts w:hint="eastAsia" w:ascii="仿宋_GB2312" w:hAnsi="仿宋_GB2312" w:eastAsia="仿宋_GB2312" w:cs="仿宋_GB2312"/>
          <w:i w:val="0"/>
          <w:iCs w:val="0"/>
          <w:caps w:val="0"/>
          <w:color w:val="000000"/>
          <w:spacing w:val="0"/>
          <w:sz w:val="28"/>
          <w:szCs w:val="28"/>
          <w:highlight w:val="none"/>
          <w:lang w:val="en-US" w:eastAsia="zh-CN"/>
        </w:rPr>
        <w:fldChar w:fldCharType="begin"/>
      </w:r>
      <w:r>
        <w:rPr>
          <w:rFonts w:hint="eastAsia" w:ascii="仿宋_GB2312" w:hAnsi="仿宋_GB2312" w:eastAsia="仿宋_GB2312" w:cs="仿宋_GB2312"/>
          <w:i w:val="0"/>
          <w:iCs w:val="0"/>
          <w:caps w:val="0"/>
          <w:color w:val="000000"/>
          <w:spacing w:val="0"/>
          <w:sz w:val="28"/>
          <w:szCs w:val="28"/>
          <w:highlight w:val="none"/>
          <w:lang w:val="en-US" w:eastAsia="zh-CN"/>
        </w:rPr>
        <w:instrText xml:space="preserve"> HYPERLINK "https://service.zcygov.cn/，\“项目采购\”—\“操作流程-电子招投标\”—\“政府采购项目电子交易管理操作指南-供应商\”版面获取操作指南，同时对自助查询无法解决的问题可通过钉钉群及政采云在线客服获取服务支持." </w:instrText>
      </w:r>
      <w:r>
        <w:rPr>
          <w:rFonts w:hint="eastAsia" w:ascii="仿宋_GB2312" w:hAnsi="仿宋_GB2312" w:eastAsia="仿宋_GB2312" w:cs="仿宋_GB2312"/>
          <w:i w:val="0"/>
          <w:iCs w:val="0"/>
          <w:caps w:val="0"/>
          <w:color w:val="000000"/>
          <w:spacing w:val="0"/>
          <w:sz w:val="28"/>
          <w:szCs w:val="28"/>
          <w:highlight w:val="none"/>
          <w:lang w:val="en-US" w:eastAsia="zh-CN"/>
        </w:rPr>
        <w:fldChar w:fldCharType="separate"/>
      </w:r>
      <w:r>
        <w:rPr>
          <w:rFonts w:hint="eastAsia" w:ascii="仿宋_GB2312" w:hAnsi="仿宋_GB2312" w:eastAsia="仿宋_GB2312" w:cs="仿宋_GB2312"/>
          <w:i w:val="0"/>
          <w:iCs w:val="0"/>
          <w:caps w:val="0"/>
          <w:color w:val="000000"/>
          <w:spacing w:val="0"/>
          <w:sz w:val="28"/>
          <w:szCs w:val="28"/>
          <w:highlight w:val="none"/>
          <w:lang w:val="en-US" w:eastAsia="zh-CN"/>
        </w:rPr>
        <w:t>https://service.zcygov.cn/，“项目采购”—“操作流程-电子招投标”—“政府采购项目电子交易管理操作指南-供应商”版面获取操作指南，同时对自助查询无法解决的问题可通过政采云在线客服获取服务。</w:t>
      </w:r>
      <w:r>
        <w:rPr>
          <w:rFonts w:hint="eastAsia" w:ascii="仿宋_GB2312" w:hAnsi="仿宋_GB2312" w:eastAsia="仿宋_GB2312" w:cs="仿宋_GB2312"/>
          <w:i w:val="0"/>
          <w:iCs w:val="0"/>
          <w:caps w:val="0"/>
          <w:color w:val="000000"/>
          <w:spacing w:val="0"/>
          <w:sz w:val="28"/>
          <w:szCs w:val="28"/>
          <w:highlight w:val="none"/>
          <w:lang w:val="en-US" w:eastAsia="zh-CN"/>
        </w:rPr>
        <w:fldChar w:fldCharType="end"/>
      </w:r>
    </w:p>
    <w:p w14:paraId="44F0D530">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0" w:right="0" w:firstLine="0"/>
        <w:jc w:val="left"/>
        <w:textAlignment w:val="auto"/>
        <w:rPr>
          <w:rFonts w:hint="eastAsia"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b/>
          <w:bCs/>
          <w:i w:val="0"/>
          <w:caps w:val="0"/>
          <w:color w:val="000000"/>
          <w:spacing w:val="0"/>
          <w:kern w:val="0"/>
          <w:sz w:val="28"/>
          <w:szCs w:val="28"/>
          <w:vertAlign w:val="baseline"/>
          <w:lang w:val="en-US" w:eastAsia="zh-CN" w:bidi="ar"/>
        </w:rPr>
        <w:t>特别提示：</w:t>
      </w:r>
    </w:p>
    <w:p w14:paraId="1AB67110">
      <w:pPr>
        <w:pageBreakBefore w:val="0"/>
        <w:kinsoku/>
        <w:wordWrap/>
        <w:overflowPunct/>
        <w:topLinePunct w:val="0"/>
        <w:autoSpaceDE/>
        <w:autoSpaceDN/>
        <w:bidi w:val="0"/>
        <w:adjustRightInd/>
        <w:snapToGrid/>
        <w:spacing w:line="396" w:lineRule="auto"/>
        <w:ind w:firstLine="560" w:firstLineChars="200"/>
        <w:textAlignment w:val="auto"/>
        <w:rPr>
          <w:rFonts w:hint="eastAsia"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lang w:val="en-US" w:eastAsia="zh-CN"/>
        </w:rPr>
        <w:t>1、采购限额标准以上，200万元以下的货物和服务采购项目、400万元以下的工程采购项目，适宜由中小企业提供的，采购人应当专门面向中小企业采购。</w:t>
      </w:r>
    </w:p>
    <w:p w14:paraId="44B10C1F">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239" w:leftChars="114" w:right="0" w:firstLine="140" w:firstLineChars="50"/>
        <w:jc w:val="left"/>
        <w:textAlignment w:val="auto"/>
        <w:rPr>
          <w:rFonts w:hint="eastAsia"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lang w:val="en-US" w:eastAsia="zh-CN"/>
        </w:rPr>
        <w:t xml:space="preserve"> 2、超过200万元的货物和服务采购项目、超过400万元的工程采购项目中适宜由中小企业提供的，预留该部分采购项目预算总额的30%以上专门面向中小企业采购，其中预留给小微企业的比例不低于60%。</w:t>
      </w:r>
    </w:p>
    <w:p w14:paraId="2557982F">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239" w:leftChars="114" w:right="0" w:firstLine="140" w:firstLineChars="50"/>
        <w:jc w:val="left"/>
        <w:textAlignment w:val="auto"/>
        <w:rPr>
          <w:rFonts w:hint="eastAsia"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lang w:val="en-US" w:eastAsia="zh-CN"/>
        </w:rPr>
        <w:t xml:space="preserve"> 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08BD7C2">
      <w:pPr>
        <w:pStyle w:val="2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96" w:lineRule="auto"/>
        <w:ind w:left="239" w:leftChars="114" w:right="0" w:firstLine="140" w:firstLineChars="50"/>
        <w:jc w:val="left"/>
        <w:textAlignment w:val="auto"/>
        <w:rPr>
          <w:rFonts w:hint="eastAsia"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lang w:val="en-US" w:eastAsia="zh-CN"/>
        </w:rPr>
        <w:t xml:space="preserve"> 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AF59B46">
      <w:pPr>
        <w:pStyle w:val="7"/>
        <w:pageBreakBefore w:val="0"/>
        <w:widowControl w:val="0"/>
        <w:kinsoku/>
        <w:wordWrap/>
        <w:overflowPunct/>
        <w:topLinePunct w:val="0"/>
        <w:autoSpaceDE/>
        <w:autoSpaceDN/>
        <w:bidi w:val="0"/>
        <w:adjustRightInd/>
        <w:snapToGrid/>
        <w:spacing w:before="0" w:after="0" w:line="396" w:lineRule="auto"/>
        <w:ind w:left="0" w:leftChars="0" w:firstLine="0" w:firstLineChars="0"/>
        <w:jc w:val="both"/>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bookmarkStart w:id="23" w:name="_Toc3294"/>
      <w:bookmarkStart w:id="24" w:name="_Toc3331"/>
      <w:bookmarkStart w:id="25" w:name="_Toc9402"/>
      <w:r>
        <w:rPr>
          <w:rFonts w:hint="eastAsia" w:ascii="仿宋_GB2312" w:hAnsi="仿宋_GB2312" w:eastAsia="仿宋_GB2312" w:cs="仿宋_GB2312"/>
          <w:b/>
          <w:bCs/>
          <w:i w:val="0"/>
          <w:iCs w:val="0"/>
          <w:caps w:val="0"/>
          <w:color w:val="000000"/>
          <w:spacing w:val="0"/>
          <w:kern w:val="0"/>
          <w:sz w:val="28"/>
          <w:szCs w:val="28"/>
          <w:lang w:val="en-US" w:eastAsia="zh-CN" w:bidi="ar"/>
        </w:rPr>
        <w:t>七、对本次采购提出询问，请按以下方式联系</w:t>
      </w:r>
      <w:bookmarkEnd w:id="23"/>
      <w:bookmarkEnd w:id="24"/>
      <w:bookmarkEnd w:id="25"/>
    </w:p>
    <w:p w14:paraId="261252CE">
      <w:pPr>
        <w:pStyle w:val="34"/>
        <w:pageBreakBefore w:val="0"/>
        <w:kinsoku/>
        <w:wordWrap/>
        <w:overflowPunct/>
        <w:topLinePunct w:val="0"/>
        <w:autoSpaceDE/>
        <w:autoSpaceDN/>
        <w:bidi w:val="0"/>
        <w:adjustRightInd/>
        <w:snapToGrid/>
        <w:spacing w:line="396" w:lineRule="auto"/>
        <w:ind w:firstLine="280" w:firstLineChars="100"/>
        <w:textAlignment w:val="auto"/>
        <w:outlineLvl w:val="2"/>
        <w:rPr>
          <w:rFonts w:hint="eastAsia" w:ascii="仿宋_GB2312" w:hAnsi="仿宋_GB2312" w:eastAsia="仿宋_GB2312" w:cs="仿宋_GB2312"/>
          <w:i w:val="0"/>
          <w:iCs w:val="0"/>
          <w:caps w:val="0"/>
          <w:color w:val="000000"/>
          <w:spacing w:val="0"/>
          <w:kern w:val="0"/>
          <w:sz w:val="28"/>
          <w:szCs w:val="28"/>
          <w:lang w:val="en-US" w:eastAsia="zh-CN" w:bidi="ar"/>
        </w:rPr>
      </w:pPr>
      <w:bookmarkStart w:id="26" w:name="_Toc7331"/>
      <w:r>
        <w:rPr>
          <w:rFonts w:hint="eastAsia" w:ascii="仿宋_GB2312" w:hAnsi="仿宋_GB2312" w:eastAsia="仿宋_GB2312" w:cs="仿宋_GB2312"/>
          <w:i w:val="0"/>
          <w:iCs w:val="0"/>
          <w:caps w:val="0"/>
          <w:color w:val="000000"/>
          <w:spacing w:val="0"/>
          <w:kern w:val="0"/>
          <w:sz w:val="28"/>
          <w:szCs w:val="28"/>
          <w:lang w:val="en-US" w:eastAsia="zh-CN" w:bidi="ar"/>
        </w:rPr>
        <w:t>1、采购人信息</w:t>
      </w:r>
      <w:bookmarkEnd w:id="26"/>
      <w:r>
        <w:rPr>
          <w:rFonts w:hint="eastAsia" w:ascii="仿宋_GB2312" w:hAnsi="仿宋_GB2312" w:eastAsia="仿宋_GB2312" w:cs="仿宋_GB2312"/>
          <w:i w:val="0"/>
          <w:iCs w:val="0"/>
          <w:caps w:val="0"/>
          <w:color w:val="000000"/>
          <w:spacing w:val="0"/>
          <w:kern w:val="0"/>
          <w:sz w:val="28"/>
          <w:szCs w:val="28"/>
          <w:lang w:val="en-US" w:eastAsia="zh-CN" w:bidi="ar"/>
        </w:rPr>
        <w:t>：</w:t>
      </w:r>
    </w:p>
    <w:p w14:paraId="3B01A629">
      <w:pPr>
        <w:pStyle w:val="34"/>
        <w:pageBreakBefore w:val="0"/>
        <w:kinsoku/>
        <w:wordWrap/>
        <w:overflowPunct/>
        <w:topLinePunct w:val="0"/>
        <w:autoSpaceDE/>
        <w:autoSpaceDN/>
        <w:bidi w:val="0"/>
        <w:adjustRightInd/>
        <w:snapToGrid/>
        <w:spacing w:line="396" w:lineRule="auto"/>
        <w:ind w:firstLine="560" w:firstLineChars="200"/>
        <w:textAlignment w:val="auto"/>
        <w:outlineLvl w:val="2"/>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名  称：岳普湖县公安局</w:t>
      </w:r>
    </w:p>
    <w:p w14:paraId="556E6110">
      <w:pPr>
        <w:pStyle w:val="34"/>
        <w:pageBreakBefore w:val="0"/>
        <w:kinsoku/>
        <w:wordWrap/>
        <w:overflowPunct/>
        <w:topLinePunct w:val="0"/>
        <w:autoSpaceDE/>
        <w:autoSpaceDN/>
        <w:bidi w:val="0"/>
        <w:adjustRightInd/>
        <w:snapToGrid/>
        <w:spacing w:line="396" w:lineRule="auto"/>
        <w:ind w:firstLine="560" w:firstLineChars="200"/>
        <w:textAlignment w:val="auto"/>
        <w:outlineLvl w:val="2"/>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地  址：岳普湖县东城区市政大道26号</w:t>
      </w:r>
    </w:p>
    <w:p w14:paraId="14C50AF3">
      <w:pPr>
        <w:pStyle w:val="34"/>
        <w:pageBreakBefore w:val="0"/>
        <w:kinsoku/>
        <w:wordWrap/>
        <w:overflowPunct/>
        <w:topLinePunct w:val="0"/>
        <w:autoSpaceDE/>
        <w:autoSpaceDN/>
        <w:bidi w:val="0"/>
        <w:adjustRightInd/>
        <w:snapToGrid/>
        <w:spacing w:line="396" w:lineRule="auto"/>
        <w:ind w:firstLine="560" w:firstLineChars="200"/>
        <w:textAlignment w:val="auto"/>
        <w:outlineLvl w:val="2"/>
        <w:rPr>
          <w:rFonts w:hint="eastAsia" w:ascii="仿宋_GB2312" w:hAnsi="仿宋_GB2312" w:eastAsia="仿宋_GB2312" w:cs="仿宋_GB2312"/>
          <w:i w:val="0"/>
          <w:iCs w:val="0"/>
          <w:caps w:val="0"/>
          <w:color w:val="000000"/>
          <w:spacing w:val="0"/>
          <w:kern w:val="0"/>
          <w:sz w:val="28"/>
          <w:szCs w:val="28"/>
          <w:highlight w:val="none"/>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联系人：</w:t>
      </w:r>
      <w:r>
        <w:rPr>
          <w:rFonts w:hint="eastAsia" w:ascii="仿宋_GB2312" w:hAnsi="仿宋_GB2312" w:eastAsia="仿宋_GB2312" w:cs="仿宋_GB2312"/>
          <w:i w:val="0"/>
          <w:iCs w:val="0"/>
          <w:caps w:val="0"/>
          <w:color w:val="000000"/>
          <w:spacing w:val="0"/>
          <w:kern w:val="0"/>
          <w:sz w:val="28"/>
          <w:szCs w:val="28"/>
          <w:highlight w:val="none"/>
          <w:lang w:val="en-US" w:eastAsia="zh-CN" w:bidi="ar"/>
        </w:rPr>
        <w:t>徐巍</w:t>
      </w:r>
    </w:p>
    <w:p w14:paraId="3FCBD8C0">
      <w:pPr>
        <w:pStyle w:val="34"/>
        <w:pageBreakBefore w:val="0"/>
        <w:kinsoku/>
        <w:wordWrap/>
        <w:overflowPunct/>
        <w:topLinePunct w:val="0"/>
        <w:autoSpaceDE/>
        <w:autoSpaceDN/>
        <w:bidi w:val="0"/>
        <w:adjustRightInd/>
        <w:snapToGrid/>
        <w:spacing w:line="396" w:lineRule="auto"/>
        <w:ind w:firstLine="560" w:firstLineChars="200"/>
        <w:textAlignment w:val="auto"/>
        <w:rPr>
          <w:rFonts w:hint="eastAsia"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kern w:val="0"/>
          <w:sz w:val="28"/>
          <w:szCs w:val="28"/>
          <w:lang w:val="en-US" w:eastAsia="zh-CN" w:bidi="ar"/>
        </w:rPr>
        <w:t>联系电话：157-3993-7169</w:t>
      </w:r>
    </w:p>
    <w:p w14:paraId="3746DD3E">
      <w:pPr>
        <w:pStyle w:val="34"/>
        <w:pageBreakBefore w:val="0"/>
        <w:numPr>
          <w:ilvl w:val="0"/>
          <w:numId w:val="5"/>
        </w:numPr>
        <w:kinsoku/>
        <w:wordWrap/>
        <w:overflowPunct/>
        <w:topLinePunct w:val="0"/>
        <w:autoSpaceDE/>
        <w:autoSpaceDN/>
        <w:bidi w:val="0"/>
        <w:adjustRightInd/>
        <w:snapToGrid/>
        <w:spacing w:line="396" w:lineRule="auto"/>
        <w:ind w:firstLine="280" w:firstLineChars="100"/>
        <w:textAlignment w:val="auto"/>
        <w:outlineLvl w:val="2"/>
        <w:rPr>
          <w:rFonts w:hint="eastAsia" w:ascii="仿宋_GB2312" w:hAnsi="仿宋_GB2312" w:eastAsia="仿宋_GB2312" w:cs="仿宋_GB2312"/>
          <w:i w:val="0"/>
          <w:iCs w:val="0"/>
          <w:caps w:val="0"/>
          <w:color w:val="000000"/>
          <w:spacing w:val="0"/>
          <w:kern w:val="0"/>
          <w:sz w:val="28"/>
          <w:szCs w:val="28"/>
          <w:highlight w:val="none"/>
          <w:lang w:val="en-US" w:eastAsia="zh-CN" w:bidi="ar"/>
        </w:rPr>
      </w:pPr>
      <w:bookmarkStart w:id="27" w:name="_Toc1309"/>
      <w:r>
        <w:rPr>
          <w:rFonts w:hint="eastAsia" w:ascii="仿宋_GB2312" w:hAnsi="仿宋_GB2312" w:eastAsia="仿宋_GB2312" w:cs="仿宋_GB2312"/>
          <w:i w:val="0"/>
          <w:iCs w:val="0"/>
          <w:caps w:val="0"/>
          <w:color w:val="000000"/>
          <w:spacing w:val="0"/>
          <w:kern w:val="0"/>
          <w:sz w:val="28"/>
          <w:szCs w:val="28"/>
          <w:highlight w:val="none"/>
          <w:lang w:val="en-US" w:eastAsia="zh-CN" w:bidi="ar"/>
        </w:rPr>
        <w:t>采购代理机构信息：</w:t>
      </w:r>
      <w:bookmarkEnd w:id="27"/>
    </w:p>
    <w:p w14:paraId="4F4E66FB">
      <w:pPr>
        <w:pStyle w:val="34"/>
        <w:pageBreakBefore w:val="0"/>
        <w:numPr>
          <w:ilvl w:val="0"/>
          <w:numId w:val="0"/>
        </w:numPr>
        <w:kinsoku/>
        <w:wordWrap/>
        <w:overflowPunct/>
        <w:topLinePunct w:val="0"/>
        <w:autoSpaceDE/>
        <w:autoSpaceDN/>
        <w:bidi w:val="0"/>
        <w:adjustRightInd/>
        <w:snapToGrid/>
        <w:spacing w:line="396" w:lineRule="auto"/>
        <w:ind w:firstLine="560" w:firstLineChars="200"/>
        <w:textAlignment w:val="auto"/>
        <w:outlineLvl w:val="2"/>
        <w:rPr>
          <w:rFonts w:hint="eastAsia" w:ascii="仿宋_GB2312" w:hAnsi="仿宋_GB2312" w:eastAsia="仿宋_GB2312" w:cs="仿宋_GB2312"/>
          <w:i w:val="0"/>
          <w:iCs w:val="0"/>
          <w:caps w:val="0"/>
          <w:color w:val="000000"/>
          <w:spacing w:val="0"/>
          <w:kern w:val="0"/>
          <w:sz w:val="28"/>
          <w:szCs w:val="28"/>
          <w:highlight w:val="none"/>
          <w:lang w:val="en-US" w:eastAsia="zh-CN" w:bidi="ar"/>
        </w:rPr>
      </w:pPr>
      <w:r>
        <w:rPr>
          <w:rFonts w:hint="eastAsia" w:ascii="仿宋_GB2312" w:hAnsi="仿宋_GB2312" w:eastAsia="仿宋_GB2312" w:cs="仿宋_GB2312"/>
          <w:i w:val="0"/>
          <w:iCs w:val="0"/>
          <w:caps w:val="0"/>
          <w:color w:val="000000"/>
          <w:spacing w:val="0"/>
          <w:kern w:val="0"/>
          <w:sz w:val="28"/>
          <w:szCs w:val="28"/>
          <w:highlight w:val="none"/>
          <w:lang w:val="en-US" w:eastAsia="zh-CN" w:bidi="ar"/>
        </w:rPr>
        <w:t>名  称：新疆众喀工程项目管理咨询有限公司</w:t>
      </w:r>
    </w:p>
    <w:p w14:paraId="2703F857">
      <w:pPr>
        <w:pStyle w:val="34"/>
        <w:pageBreakBefore w:val="0"/>
        <w:numPr>
          <w:ilvl w:val="0"/>
          <w:numId w:val="0"/>
        </w:numPr>
        <w:kinsoku/>
        <w:wordWrap/>
        <w:overflowPunct/>
        <w:topLinePunct w:val="0"/>
        <w:autoSpaceDE/>
        <w:autoSpaceDN/>
        <w:bidi w:val="0"/>
        <w:adjustRightInd/>
        <w:snapToGrid/>
        <w:spacing w:line="396" w:lineRule="auto"/>
        <w:ind w:firstLine="560" w:firstLineChars="200"/>
        <w:textAlignment w:val="auto"/>
        <w:outlineLvl w:val="2"/>
        <w:rPr>
          <w:rFonts w:hint="eastAsia" w:ascii="仿宋_GB2312" w:hAnsi="仿宋_GB2312" w:eastAsia="仿宋_GB2312" w:cs="仿宋_GB2312"/>
          <w:i w:val="0"/>
          <w:iCs w:val="0"/>
          <w:caps w:val="0"/>
          <w:color w:val="000000"/>
          <w:spacing w:val="0"/>
          <w:kern w:val="0"/>
          <w:sz w:val="28"/>
          <w:szCs w:val="28"/>
          <w:highlight w:val="none"/>
          <w:lang w:val="en-US" w:eastAsia="zh-CN" w:bidi="ar"/>
        </w:rPr>
      </w:pPr>
      <w:r>
        <w:rPr>
          <w:rFonts w:hint="eastAsia" w:ascii="仿宋_GB2312" w:hAnsi="仿宋_GB2312" w:eastAsia="仿宋_GB2312" w:cs="仿宋_GB2312"/>
          <w:i w:val="0"/>
          <w:iCs w:val="0"/>
          <w:caps w:val="0"/>
          <w:color w:val="000000"/>
          <w:spacing w:val="0"/>
          <w:kern w:val="0"/>
          <w:sz w:val="28"/>
          <w:szCs w:val="28"/>
          <w:highlight w:val="none"/>
          <w:lang w:val="en-US" w:eastAsia="zh-CN" w:bidi="ar"/>
        </w:rPr>
        <w:t>地　址：喀什地区喀什市南湖路学府小区  </w:t>
      </w:r>
    </w:p>
    <w:p w14:paraId="2BE7FB86">
      <w:pPr>
        <w:pStyle w:val="34"/>
        <w:pageBreakBefore w:val="0"/>
        <w:kinsoku/>
        <w:wordWrap/>
        <w:overflowPunct/>
        <w:topLinePunct w:val="0"/>
        <w:autoSpaceDE/>
        <w:autoSpaceDN/>
        <w:bidi w:val="0"/>
        <w:adjustRightInd/>
        <w:snapToGrid/>
        <w:spacing w:line="396" w:lineRule="auto"/>
        <w:ind w:firstLine="560" w:firstLineChars="200"/>
        <w:textAlignment w:val="auto"/>
        <w:rPr>
          <w:rFonts w:hint="eastAsia" w:ascii="仿宋_GB2312" w:hAnsi="仿宋_GB2312" w:eastAsia="仿宋_GB2312" w:cs="仿宋_GB2312"/>
          <w:i w:val="0"/>
          <w:iCs w:val="0"/>
          <w:caps w:val="0"/>
          <w:color w:val="000000"/>
          <w:spacing w:val="0"/>
          <w:kern w:val="0"/>
          <w:sz w:val="28"/>
          <w:szCs w:val="28"/>
          <w:highlight w:val="none"/>
          <w:lang w:val="en-US" w:eastAsia="zh-CN" w:bidi="ar"/>
        </w:rPr>
      </w:pPr>
      <w:r>
        <w:rPr>
          <w:rFonts w:hint="eastAsia" w:ascii="仿宋_GB2312" w:hAnsi="仿宋_GB2312" w:eastAsia="仿宋_GB2312" w:cs="仿宋_GB2312"/>
          <w:i w:val="0"/>
          <w:iCs w:val="0"/>
          <w:caps w:val="0"/>
          <w:color w:val="000000"/>
          <w:spacing w:val="0"/>
          <w:kern w:val="0"/>
          <w:sz w:val="28"/>
          <w:szCs w:val="28"/>
          <w:highlight w:val="none"/>
          <w:lang w:val="en-US" w:eastAsia="zh-CN" w:bidi="ar"/>
        </w:rPr>
        <w:t>联系人：闻萍</w:t>
      </w:r>
    </w:p>
    <w:p w14:paraId="3FD58568">
      <w:pPr>
        <w:pStyle w:val="34"/>
        <w:pageBreakBefore w:val="0"/>
        <w:kinsoku/>
        <w:wordWrap/>
        <w:overflowPunct/>
        <w:topLinePunct w:val="0"/>
        <w:autoSpaceDE/>
        <w:autoSpaceDN/>
        <w:bidi w:val="0"/>
        <w:adjustRightInd/>
        <w:snapToGrid/>
        <w:spacing w:line="396" w:lineRule="auto"/>
        <w:ind w:firstLine="560" w:firstLineChars="200"/>
        <w:textAlignment w:val="auto"/>
        <w:rPr>
          <w:rFonts w:hint="eastAsia" w:ascii="仿宋_GB2312" w:hAnsi="仿宋_GB2312" w:eastAsia="仿宋_GB2312" w:cs="仿宋_GB2312"/>
          <w:i w:val="0"/>
          <w:iCs w:val="0"/>
          <w:caps w:val="0"/>
          <w:color w:val="000000"/>
          <w:spacing w:val="0"/>
          <w:kern w:val="0"/>
          <w:sz w:val="28"/>
          <w:szCs w:val="28"/>
          <w:highlight w:val="none"/>
          <w:lang w:val="en-US" w:eastAsia="zh-CN" w:bidi="ar"/>
        </w:rPr>
      </w:pPr>
      <w:r>
        <w:rPr>
          <w:rFonts w:hint="eastAsia" w:ascii="仿宋_GB2312" w:hAnsi="仿宋_GB2312" w:eastAsia="仿宋_GB2312" w:cs="仿宋_GB2312"/>
          <w:i w:val="0"/>
          <w:iCs w:val="0"/>
          <w:caps w:val="0"/>
          <w:color w:val="000000"/>
          <w:spacing w:val="0"/>
          <w:kern w:val="0"/>
          <w:sz w:val="28"/>
          <w:szCs w:val="28"/>
          <w:highlight w:val="none"/>
          <w:lang w:val="en-US" w:eastAsia="zh-CN" w:bidi="ar"/>
        </w:rPr>
        <w:t>联系电话：135-7908-8956</w:t>
      </w:r>
    </w:p>
    <w:p w14:paraId="5D119990">
      <w:pPr>
        <w:pStyle w:val="34"/>
        <w:pageBreakBefore w:val="0"/>
        <w:kinsoku/>
        <w:wordWrap/>
        <w:overflowPunct/>
        <w:topLinePunct w:val="0"/>
        <w:autoSpaceDE/>
        <w:autoSpaceDN/>
        <w:bidi w:val="0"/>
        <w:adjustRightInd/>
        <w:snapToGrid/>
        <w:spacing w:line="396" w:lineRule="auto"/>
        <w:ind w:firstLine="560" w:firstLineChars="200"/>
        <w:textAlignment w:val="auto"/>
        <w:rPr>
          <w:rFonts w:hint="eastAsia" w:ascii="仿宋_GB2312" w:hAnsi="仿宋_GB2312" w:eastAsia="仿宋_GB2312" w:cs="仿宋_GB2312"/>
          <w:i w:val="0"/>
          <w:iCs w:val="0"/>
          <w:caps w:val="0"/>
          <w:color w:val="000000"/>
          <w:spacing w:val="0"/>
          <w:kern w:val="0"/>
          <w:sz w:val="28"/>
          <w:szCs w:val="28"/>
          <w:highlight w:val="none"/>
          <w:lang w:val="en-US" w:eastAsia="zh-CN" w:bidi="ar"/>
        </w:rPr>
      </w:pPr>
    </w:p>
    <w:p w14:paraId="76D1BAB7">
      <w:pPr>
        <w:pStyle w:val="34"/>
        <w:pageBreakBefore w:val="0"/>
        <w:kinsoku/>
        <w:wordWrap/>
        <w:overflowPunct/>
        <w:topLinePunct w:val="0"/>
        <w:autoSpaceDE/>
        <w:autoSpaceDN/>
        <w:bidi w:val="0"/>
        <w:adjustRightInd/>
        <w:snapToGrid/>
        <w:spacing w:line="396" w:lineRule="auto"/>
        <w:ind w:firstLine="560" w:firstLineChars="200"/>
        <w:textAlignment w:val="auto"/>
        <w:rPr>
          <w:rFonts w:hint="eastAsia" w:ascii="仿宋_GB2312" w:hAnsi="仿宋_GB2312" w:eastAsia="仿宋_GB2312" w:cs="仿宋_GB2312"/>
          <w:i w:val="0"/>
          <w:iCs w:val="0"/>
          <w:caps w:val="0"/>
          <w:color w:val="000000"/>
          <w:spacing w:val="0"/>
          <w:kern w:val="0"/>
          <w:sz w:val="28"/>
          <w:szCs w:val="28"/>
          <w:highlight w:val="none"/>
          <w:lang w:val="en-US" w:eastAsia="zh-CN" w:bidi="ar"/>
        </w:rPr>
      </w:pPr>
    </w:p>
    <w:p w14:paraId="741C627D">
      <w:pPr>
        <w:pStyle w:val="34"/>
        <w:pageBreakBefore w:val="0"/>
        <w:kinsoku/>
        <w:wordWrap/>
        <w:overflowPunct/>
        <w:topLinePunct w:val="0"/>
        <w:autoSpaceDE/>
        <w:autoSpaceDN/>
        <w:bidi w:val="0"/>
        <w:adjustRightInd/>
        <w:snapToGrid/>
        <w:spacing w:line="396" w:lineRule="auto"/>
        <w:ind w:firstLine="560" w:firstLineChars="200"/>
        <w:textAlignment w:val="auto"/>
        <w:rPr>
          <w:rFonts w:hint="eastAsia" w:ascii="仿宋_GB2312" w:hAnsi="仿宋_GB2312" w:eastAsia="仿宋_GB2312" w:cs="仿宋_GB2312"/>
          <w:i w:val="0"/>
          <w:iCs w:val="0"/>
          <w:caps w:val="0"/>
          <w:color w:val="000000"/>
          <w:spacing w:val="0"/>
          <w:kern w:val="0"/>
          <w:sz w:val="28"/>
          <w:szCs w:val="28"/>
          <w:highlight w:val="none"/>
          <w:lang w:val="en-US" w:eastAsia="zh-CN" w:bidi="ar"/>
        </w:rPr>
      </w:pPr>
    </w:p>
    <w:p w14:paraId="6F9A5C00">
      <w:pPr>
        <w:pStyle w:val="34"/>
        <w:pageBreakBefore w:val="0"/>
        <w:kinsoku/>
        <w:wordWrap/>
        <w:overflowPunct/>
        <w:topLinePunct w:val="0"/>
        <w:autoSpaceDE/>
        <w:autoSpaceDN/>
        <w:bidi w:val="0"/>
        <w:adjustRightInd/>
        <w:snapToGrid/>
        <w:spacing w:line="396" w:lineRule="auto"/>
        <w:ind w:firstLine="560" w:firstLineChars="200"/>
        <w:textAlignment w:val="auto"/>
        <w:rPr>
          <w:rFonts w:hint="eastAsia" w:ascii="仿宋_GB2312" w:hAnsi="仿宋_GB2312" w:eastAsia="仿宋_GB2312" w:cs="仿宋_GB2312"/>
          <w:i w:val="0"/>
          <w:iCs w:val="0"/>
          <w:caps w:val="0"/>
          <w:color w:val="000000"/>
          <w:spacing w:val="0"/>
          <w:kern w:val="0"/>
          <w:sz w:val="28"/>
          <w:szCs w:val="28"/>
          <w:highlight w:val="none"/>
          <w:lang w:val="en-US" w:eastAsia="zh-CN" w:bidi="ar"/>
        </w:rPr>
      </w:pPr>
    </w:p>
    <w:p w14:paraId="634F00F1">
      <w:pPr>
        <w:pStyle w:val="34"/>
        <w:pageBreakBefore w:val="0"/>
        <w:kinsoku/>
        <w:wordWrap/>
        <w:overflowPunct/>
        <w:topLinePunct w:val="0"/>
        <w:autoSpaceDE/>
        <w:autoSpaceDN/>
        <w:bidi w:val="0"/>
        <w:adjustRightInd/>
        <w:spacing w:line="396" w:lineRule="auto"/>
        <w:jc w:val="center"/>
        <w:textAlignment w:val="auto"/>
        <w:rPr>
          <w:rFonts w:hint="eastAsia" w:ascii="仿宋_GB2312" w:hAnsi="仿宋_GB2312" w:eastAsia="仿宋_GB2312" w:cs="仿宋_GB2312"/>
          <w:b/>
          <w:bCs/>
          <w:i w:val="0"/>
          <w:iCs w:val="0"/>
          <w:caps w:val="0"/>
          <w:color w:val="000000"/>
          <w:spacing w:val="0"/>
          <w:kern w:val="0"/>
          <w:sz w:val="36"/>
          <w:szCs w:val="36"/>
          <w:lang w:val="en-US" w:eastAsia="zh-CN" w:bidi="ar"/>
        </w:rPr>
      </w:pPr>
      <w:r>
        <w:rPr>
          <w:rFonts w:hint="eastAsia" w:ascii="仿宋_GB2312" w:hAnsi="仿宋_GB2312" w:eastAsia="仿宋_GB2312" w:cs="仿宋_GB2312"/>
          <w:b/>
          <w:bCs/>
          <w:i w:val="0"/>
          <w:iCs w:val="0"/>
          <w:caps w:val="0"/>
          <w:color w:val="000000"/>
          <w:spacing w:val="0"/>
          <w:kern w:val="0"/>
          <w:sz w:val="36"/>
          <w:szCs w:val="36"/>
          <w:lang w:val="en-US" w:eastAsia="zh-CN" w:bidi="ar"/>
        </w:rPr>
        <w:t>第二章  投标人须知</w:t>
      </w:r>
    </w:p>
    <w:p w14:paraId="7496887B">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bookmarkStart w:id="28" w:name="_Toc10036"/>
      <w:r>
        <w:rPr>
          <w:rFonts w:hint="eastAsia" w:ascii="仿宋_GB2312" w:hAnsi="仿宋_GB2312" w:eastAsia="仿宋_GB2312" w:cs="仿宋_GB2312"/>
          <w:b/>
          <w:bCs/>
          <w:i w:val="0"/>
          <w:iCs w:val="0"/>
          <w:caps w:val="0"/>
          <w:color w:val="000000"/>
          <w:spacing w:val="0"/>
          <w:kern w:val="0"/>
          <w:sz w:val="28"/>
          <w:szCs w:val="28"/>
          <w:lang w:val="en-US" w:eastAsia="zh-CN" w:bidi="ar"/>
        </w:rPr>
        <w:t>投标人须知前附表</w:t>
      </w:r>
      <w:bookmarkEnd w:id="28"/>
    </w:p>
    <w:tbl>
      <w:tblPr>
        <w:tblStyle w:val="25"/>
        <w:tblW w:w="93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0"/>
        <w:gridCol w:w="1698"/>
        <w:gridCol w:w="7007"/>
      </w:tblGrid>
      <w:tr w14:paraId="12D4E4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70" w:type="dxa"/>
            <w:tcBorders>
              <w:top w:val="single" w:color="auto" w:sz="12" w:space="0"/>
            </w:tcBorders>
            <w:noWrap w:val="0"/>
            <w:vAlign w:val="center"/>
          </w:tcPr>
          <w:p w14:paraId="23F332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序号</w:t>
            </w:r>
          </w:p>
        </w:tc>
        <w:tc>
          <w:tcPr>
            <w:tcW w:w="1698" w:type="dxa"/>
            <w:tcBorders>
              <w:top w:val="single" w:color="auto" w:sz="12" w:space="0"/>
              <w:right w:val="single" w:color="auto" w:sz="4" w:space="0"/>
            </w:tcBorders>
            <w:noWrap w:val="0"/>
            <w:vAlign w:val="center"/>
          </w:tcPr>
          <w:p w14:paraId="709BDD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条款名称</w:t>
            </w:r>
          </w:p>
        </w:tc>
        <w:tc>
          <w:tcPr>
            <w:tcW w:w="7007" w:type="dxa"/>
            <w:tcBorders>
              <w:top w:val="single" w:color="auto" w:sz="12" w:space="0"/>
              <w:left w:val="single" w:color="auto" w:sz="4" w:space="0"/>
            </w:tcBorders>
            <w:noWrap w:val="0"/>
            <w:vAlign w:val="center"/>
          </w:tcPr>
          <w:p w14:paraId="61B94E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说明和要求</w:t>
            </w:r>
          </w:p>
        </w:tc>
      </w:tr>
      <w:tr w14:paraId="0F084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0" w:hRule="atLeast"/>
          <w:jc w:val="center"/>
        </w:trPr>
        <w:tc>
          <w:tcPr>
            <w:tcW w:w="670" w:type="dxa"/>
            <w:noWrap w:val="0"/>
            <w:vAlign w:val="center"/>
          </w:tcPr>
          <w:p w14:paraId="197521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1</w:t>
            </w:r>
          </w:p>
        </w:tc>
        <w:tc>
          <w:tcPr>
            <w:tcW w:w="1698" w:type="dxa"/>
            <w:tcBorders>
              <w:right w:val="single" w:color="auto" w:sz="4" w:space="0"/>
            </w:tcBorders>
            <w:noWrap w:val="0"/>
            <w:vAlign w:val="center"/>
          </w:tcPr>
          <w:p w14:paraId="5F141385">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 w:hAnsi="仿宋" w:eastAsia="仿宋" w:cs="仿宋"/>
                <w:b/>
                <w:bCs/>
                <w:sz w:val="24"/>
                <w:szCs w:val="24"/>
              </w:rPr>
            </w:pPr>
            <w:r>
              <w:rPr>
                <w:rFonts w:hint="eastAsia" w:ascii="仿宋_GB2312" w:hAnsi="仿宋_GB2312" w:eastAsia="仿宋_GB2312" w:cs="仿宋_GB2312"/>
                <w:b/>
                <w:bCs/>
                <w:i w:val="0"/>
                <w:iCs w:val="0"/>
                <w:caps w:val="0"/>
                <w:color w:val="000000"/>
                <w:spacing w:val="0"/>
                <w:kern w:val="0"/>
                <w:sz w:val="28"/>
                <w:szCs w:val="28"/>
                <w:lang w:val="en-US" w:eastAsia="zh-CN" w:bidi="ar"/>
              </w:rPr>
              <w:t>采 购 人</w:t>
            </w:r>
          </w:p>
        </w:tc>
        <w:tc>
          <w:tcPr>
            <w:tcW w:w="7007" w:type="dxa"/>
            <w:tcBorders>
              <w:left w:val="single" w:color="auto" w:sz="4" w:space="0"/>
            </w:tcBorders>
            <w:noWrap w:val="0"/>
            <w:vAlign w:val="center"/>
          </w:tcPr>
          <w:p w14:paraId="73F76062">
            <w:pPr>
              <w:keepNext w:val="0"/>
              <w:keepLines w:val="0"/>
              <w:pageBreakBefore w:val="0"/>
              <w:suppressLineNumbers w:val="0"/>
              <w:tabs>
                <w:tab w:val="left" w:pos="4874"/>
              </w:tabs>
              <w:kinsoku/>
              <w:wordWrap/>
              <w:overflowPunct/>
              <w:topLinePunct w:val="0"/>
              <w:autoSpaceDE/>
              <w:autoSpaceDN/>
              <w:bidi w:val="0"/>
              <w:adjustRightInd/>
              <w:snapToGrid/>
              <w:spacing w:before="0" w:beforeLines="10" w:beforeAutospacing="0" w:after="0" w:afterLines="10" w:afterAutospacing="0" w:line="360" w:lineRule="auto"/>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名  称：岳普湖公安局</w:t>
            </w:r>
            <w:r>
              <w:rPr>
                <w:rFonts w:hint="eastAsia" w:ascii="仿宋_GB2312" w:hAnsi="仿宋_GB2312" w:eastAsia="仿宋_GB2312" w:cs="仿宋_GB2312"/>
                <w:i w:val="0"/>
                <w:iCs w:val="0"/>
                <w:caps w:val="0"/>
                <w:color w:val="000000"/>
                <w:spacing w:val="0"/>
                <w:kern w:val="0"/>
                <w:sz w:val="28"/>
                <w:szCs w:val="28"/>
                <w:lang w:val="en-US" w:eastAsia="zh-CN" w:bidi="ar"/>
              </w:rPr>
              <w:tab/>
            </w:r>
          </w:p>
          <w:p w14:paraId="41B8E383">
            <w:pPr>
              <w:keepNext w:val="0"/>
              <w:keepLines w:val="0"/>
              <w:pageBreakBefore w:val="0"/>
              <w:suppressLineNumbers w:val="0"/>
              <w:tabs>
                <w:tab w:val="left" w:pos="4874"/>
              </w:tabs>
              <w:kinsoku/>
              <w:wordWrap/>
              <w:overflowPunct/>
              <w:topLinePunct w:val="0"/>
              <w:autoSpaceDE/>
              <w:autoSpaceDN/>
              <w:bidi w:val="0"/>
              <w:adjustRightInd/>
              <w:snapToGrid/>
              <w:spacing w:before="0" w:beforeLines="10" w:beforeAutospacing="0" w:after="0" w:afterLines="10" w:afterAutospacing="0" w:line="360" w:lineRule="auto"/>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地  址：岳普湖县东城区市政大道26号                 </w:t>
            </w:r>
          </w:p>
          <w:p w14:paraId="324ED913">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60" w:lineRule="auto"/>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zh-CN" w:eastAsia="zh-CN" w:bidi="ar"/>
              </w:rPr>
              <w:t>联系人</w:t>
            </w:r>
            <w:r>
              <w:rPr>
                <w:rFonts w:hint="eastAsia" w:ascii="仿宋_GB2312" w:hAnsi="仿宋_GB2312" w:eastAsia="仿宋_GB2312" w:cs="仿宋_GB2312"/>
                <w:i w:val="0"/>
                <w:iCs w:val="0"/>
                <w:caps w:val="0"/>
                <w:color w:val="000000"/>
                <w:spacing w:val="0"/>
                <w:kern w:val="0"/>
                <w:sz w:val="28"/>
                <w:szCs w:val="28"/>
                <w:lang w:val="en-US" w:eastAsia="zh-CN" w:bidi="ar"/>
              </w:rPr>
              <w:t xml:space="preserve">：徐巍           </w:t>
            </w:r>
          </w:p>
          <w:p w14:paraId="7E35EA63">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60" w:lineRule="auto"/>
              <w:ind w:left="0" w:right="0" w:firstLine="0" w:firstLineChars="0"/>
              <w:jc w:val="both"/>
              <w:textAlignment w:val="auto"/>
              <w:rPr>
                <w:rFonts w:hint="eastAsia" w:ascii="仿宋" w:hAnsi="仿宋" w:eastAsia="仿宋" w:cs="仿宋"/>
                <w:sz w:val="24"/>
                <w:szCs w:val="24"/>
                <w:lang w:val="en-US" w:eastAsia="zh-CN"/>
              </w:rPr>
            </w:pPr>
            <w:r>
              <w:rPr>
                <w:rFonts w:hint="eastAsia" w:ascii="仿宋_GB2312" w:hAnsi="仿宋_GB2312" w:eastAsia="仿宋_GB2312" w:cs="仿宋_GB2312"/>
                <w:i w:val="0"/>
                <w:iCs w:val="0"/>
                <w:caps w:val="0"/>
                <w:color w:val="000000"/>
                <w:spacing w:val="0"/>
                <w:kern w:val="0"/>
                <w:sz w:val="28"/>
                <w:szCs w:val="28"/>
                <w:lang w:val="zh-CN" w:eastAsia="zh-CN" w:bidi="ar"/>
              </w:rPr>
              <w:t>电  话：157-3993-7169</w:t>
            </w:r>
            <w:r>
              <w:rPr>
                <w:rFonts w:hint="eastAsia" w:ascii="仿宋_GB2312" w:hAnsi="仿宋_GB2312" w:eastAsia="仿宋_GB2312" w:cs="仿宋_GB2312"/>
                <w:i w:val="0"/>
                <w:iCs w:val="0"/>
                <w:caps w:val="0"/>
                <w:color w:val="000000"/>
                <w:spacing w:val="0"/>
                <w:kern w:val="0"/>
                <w:sz w:val="28"/>
                <w:szCs w:val="28"/>
                <w:lang w:val="en-US" w:eastAsia="zh-CN" w:bidi="ar"/>
              </w:rPr>
              <w:t xml:space="preserve">   </w:t>
            </w:r>
            <w:r>
              <w:rPr>
                <w:rFonts w:hint="eastAsia" w:ascii="仿宋" w:hAnsi="仿宋" w:eastAsia="仿宋" w:cs="仿宋"/>
                <w:sz w:val="24"/>
                <w:szCs w:val="24"/>
                <w:lang w:val="en-US" w:eastAsia="zh-CN"/>
              </w:rPr>
              <w:t xml:space="preserve">          </w:t>
            </w:r>
          </w:p>
        </w:tc>
      </w:tr>
      <w:tr w14:paraId="44F094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5" w:hRule="atLeast"/>
          <w:jc w:val="center"/>
        </w:trPr>
        <w:tc>
          <w:tcPr>
            <w:tcW w:w="670" w:type="dxa"/>
            <w:noWrap w:val="0"/>
            <w:vAlign w:val="center"/>
          </w:tcPr>
          <w:p w14:paraId="3B5B20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2</w:t>
            </w:r>
          </w:p>
        </w:tc>
        <w:tc>
          <w:tcPr>
            <w:tcW w:w="1698" w:type="dxa"/>
            <w:tcBorders>
              <w:right w:val="single" w:color="auto" w:sz="4" w:space="0"/>
            </w:tcBorders>
            <w:noWrap w:val="0"/>
            <w:vAlign w:val="center"/>
          </w:tcPr>
          <w:p w14:paraId="1795768C">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代理机构</w:t>
            </w:r>
          </w:p>
        </w:tc>
        <w:tc>
          <w:tcPr>
            <w:tcW w:w="7007" w:type="dxa"/>
            <w:tcBorders>
              <w:left w:val="single" w:color="auto" w:sz="4" w:space="0"/>
            </w:tcBorders>
            <w:noWrap w:val="0"/>
            <w:vAlign w:val="center"/>
          </w:tcPr>
          <w:p w14:paraId="5A567C54">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60" w:lineRule="auto"/>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highlight w:val="none"/>
                <w:lang w:val="en-US" w:eastAsia="zh-CN" w:bidi="ar"/>
              </w:rPr>
            </w:pPr>
            <w:r>
              <w:rPr>
                <w:rFonts w:hint="eastAsia" w:ascii="仿宋_GB2312" w:hAnsi="仿宋_GB2312" w:eastAsia="仿宋_GB2312" w:cs="仿宋_GB2312"/>
                <w:i w:val="0"/>
                <w:iCs w:val="0"/>
                <w:caps w:val="0"/>
                <w:color w:val="000000"/>
                <w:spacing w:val="0"/>
                <w:kern w:val="0"/>
                <w:sz w:val="28"/>
                <w:szCs w:val="28"/>
                <w:highlight w:val="none"/>
                <w:lang w:val="en-US" w:eastAsia="zh-CN" w:bidi="ar"/>
              </w:rPr>
              <w:t>名  称：新疆众喀工程项目管理咨询有限公司</w:t>
            </w:r>
          </w:p>
          <w:p w14:paraId="073D99B7">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60" w:lineRule="auto"/>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highlight w:val="none"/>
                <w:lang w:val="en-US" w:eastAsia="zh-CN" w:bidi="ar"/>
              </w:rPr>
            </w:pPr>
            <w:r>
              <w:rPr>
                <w:rFonts w:hint="eastAsia" w:ascii="仿宋_GB2312" w:hAnsi="仿宋_GB2312" w:eastAsia="仿宋_GB2312" w:cs="仿宋_GB2312"/>
                <w:i w:val="0"/>
                <w:iCs w:val="0"/>
                <w:caps w:val="0"/>
                <w:color w:val="000000"/>
                <w:spacing w:val="0"/>
                <w:kern w:val="0"/>
                <w:sz w:val="28"/>
                <w:szCs w:val="28"/>
                <w:highlight w:val="none"/>
                <w:lang w:val="en-US" w:eastAsia="zh-CN" w:bidi="ar"/>
              </w:rPr>
              <w:t>地  址：喀什地区喀什市南湖路学府小区</w:t>
            </w:r>
          </w:p>
          <w:p w14:paraId="3131BE3E">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60" w:lineRule="auto"/>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highlight w:val="none"/>
                <w:lang w:val="en-US" w:eastAsia="zh-CN" w:bidi="ar"/>
              </w:rPr>
            </w:pPr>
            <w:r>
              <w:rPr>
                <w:rFonts w:hint="eastAsia" w:ascii="仿宋_GB2312" w:hAnsi="仿宋_GB2312" w:eastAsia="仿宋_GB2312" w:cs="仿宋_GB2312"/>
                <w:i w:val="0"/>
                <w:iCs w:val="0"/>
                <w:caps w:val="0"/>
                <w:color w:val="000000"/>
                <w:spacing w:val="0"/>
                <w:kern w:val="0"/>
                <w:sz w:val="28"/>
                <w:szCs w:val="28"/>
                <w:highlight w:val="none"/>
                <w:lang w:val="en-US" w:eastAsia="zh-CN" w:bidi="ar"/>
              </w:rPr>
              <w:t>联系人：闻萍</w:t>
            </w:r>
          </w:p>
          <w:p w14:paraId="673457D9">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240" w:lineRule="auto"/>
              <w:ind w:left="0" w:right="0" w:firstLine="0" w:firstLineChars="0"/>
              <w:jc w:val="both"/>
              <w:textAlignment w:val="auto"/>
              <w:rPr>
                <w:rFonts w:hint="default" w:ascii="仿宋_GB2312" w:hAnsi="仿宋_GB2312" w:eastAsia="仿宋_GB2312" w:cs="仿宋_GB2312"/>
                <w:i w:val="0"/>
                <w:iCs w:val="0"/>
                <w:caps w:val="0"/>
                <w:color w:val="000000"/>
                <w:spacing w:val="0"/>
                <w:kern w:val="0"/>
                <w:sz w:val="28"/>
                <w:szCs w:val="28"/>
                <w:highlight w:val="none"/>
                <w:lang w:val="en-US" w:eastAsia="zh-CN" w:bidi="ar"/>
              </w:rPr>
            </w:pPr>
            <w:r>
              <w:rPr>
                <w:rFonts w:hint="eastAsia" w:ascii="仿宋_GB2312" w:hAnsi="仿宋_GB2312" w:eastAsia="仿宋_GB2312" w:cs="仿宋_GB2312"/>
                <w:i w:val="0"/>
                <w:iCs w:val="0"/>
                <w:caps w:val="0"/>
                <w:color w:val="000000"/>
                <w:spacing w:val="0"/>
                <w:kern w:val="0"/>
                <w:sz w:val="28"/>
                <w:szCs w:val="28"/>
                <w:highlight w:val="none"/>
                <w:lang w:val="en-US" w:eastAsia="zh-CN" w:bidi="ar"/>
              </w:rPr>
              <w:t>电  话：135-7908-8956</w:t>
            </w:r>
          </w:p>
        </w:tc>
      </w:tr>
      <w:tr w14:paraId="372C25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7" w:hRule="atLeast"/>
          <w:jc w:val="center"/>
        </w:trPr>
        <w:tc>
          <w:tcPr>
            <w:tcW w:w="670" w:type="dxa"/>
            <w:noWrap w:val="0"/>
            <w:vAlign w:val="center"/>
          </w:tcPr>
          <w:p w14:paraId="64EE2B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3</w:t>
            </w:r>
          </w:p>
        </w:tc>
        <w:tc>
          <w:tcPr>
            <w:tcW w:w="1698" w:type="dxa"/>
            <w:tcBorders>
              <w:right w:val="single" w:color="auto" w:sz="4" w:space="0"/>
            </w:tcBorders>
            <w:noWrap w:val="0"/>
            <w:vAlign w:val="center"/>
          </w:tcPr>
          <w:p w14:paraId="2A0BCE04">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项目名称</w:t>
            </w:r>
          </w:p>
        </w:tc>
        <w:tc>
          <w:tcPr>
            <w:tcW w:w="7007" w:type="dxa"/>
            <w:tcBorders>
              <w:left w:val="single" w:color="auto" w:sz="4" w:space="0"/>
            </w:tcBorders>
            <w:noWrap w:val="0"/>
            <w:vAlign w:val="center"/>
          </w:tcPr>
          <w:p w14:paraId="08CF765A">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2025年某单位伙食食材服务采购项目</w:t>
            </w:r>
          </w:p>
        </w:tc>
      </w:tr>
      <w:tr w14:paraId="51395A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70" w:type="dxa"/>
            <w:noWrap w:val="0"/>
            <w:vAlign w:val="center"/>
          </w:tcPr>
          <w:p w14:paraId="60EAF7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4</w:t>
            </w:r>
          </w:p>
        </w:tc>
        <w:tc>
          <w:tcPr>
            <w:tcW w:w="1698" w:type="dxa"/>
            <w:tcBorders>
              <w:right w:val="single" w:color="auto" w:sz="4" w:space="0"/>
            </w:tcBorders>
            <w:noWrap w:val="0"/>
            <w:vAlign w:val="center"/>
          </w:tcPr>
          <w:p w14:paraId="5E30904C">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36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采购内容</w:t>
            </w:r>
          </w:p>
        </w:tc>
        <w:tc>
          <w:tcPr>
            <w:tcW w:w="7007" w:type="dxa"/>
            <w:tcBorders>
              <w:left w:val="single" w:color="auto" w:sz="4" w:space="0"/>
            </w:tcBorders>
            <w:noWrap w:val="0"/>
            <w:vAlign w:val="center"/>
          </w:tcPr>
          <w:p w14:paraId="4EC78291">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default" w:ascii="仿宋_GB2312" w:hAnsi="仿宋_GB2312" w:eastAsia="仿宋_GB2312" w:cs="仿宋_GB2312"/>
                <w:i w:val="0"/>
                <w:iCs w:val="0"/>
                <w:caps w:val="0"/>
                <w:color w:val="000000"/>
                <w:spacing w:val="0"/>
                <w:kern w:val="0"/>
                <w:sz w:val="28"/>
                <w:szCs w:val="28"/>
                <w:lang w:val="en-US" w:eastAsia="zh-CN" w:bidi="ar"/>
              </w:rPr>
            </w:pPr>
            <w:r>
              <w:rPr>
                <w:rFonts w:hint="default" w:ascii="仿宋_GB2312" w:hAnsi="仿宋_GB2312" w:eastAsia="仿宋_GB2312" w:cs="仿宋_GB2312"/>
                <w:i w:val="0"/>
                <w:iCs w:val="0"/>
                <w:caps w:val="0"/>
                <w:color w:val="000000"/>
                <w:spacing w:val="0"/>
                <w:kern w:val="0"/>
                <w:sz w:val="28"/>
                <w:szCs w:val="28"/>
                <w:lang w:val="en-US" w:eastAsia="zh-CN" w:bidi="ar"/>
              </w:rPr>
              <w:t>蔬菜一批、米面油肉一批、调料副食品一批</w:t>
            </w:r>
          </w:p>
        </w:tc>
      </w:tr>
      <w:tr w14:paraId="7E9127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7" w:hRule="atLeast"/>
          <w:jc w:val="center"/>
        </w:trPr>
        <w:tc>
          <w:tcPr>
            <w:tcW w:w="670" w:type="dxa"/>
            <w:noWrap w:val="0"/>
            <w:vAlign w:val="center"/>
          </w:tcPr>
          <w:p w14:paraId="06381F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5</w:t>
            </w:r>
          </w:p>
        </w:tc>
        <w:tc>
          <w:tcPr>
            <w:tcW w:w="1698" w:type="dxa"/>
            <w:tcBorders>
              <w:right w:val="single" w:color="auto" w:sz="4" w:space="0"/>
            </w:tcBorders>
            <w:noWrap w:val="0"/>
            <w:vAlign w:val="center"/>
          </w:tcPr>
          <w:p w14:paraId="67AF0F9C">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36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资金来源</w:t>
            </w:r>
          </w:p>
        </w:tc>
        <w:tc>
          <w:tcPr>
            <w:tcW w:w="7007" w:type="dxa"/>
            <w:tcBorders>
              <w:left w:val="single" w:color="auto" w:sz="4" w:space="0"/>
            </w:tcBorders>
            <w:noWrap w:val="0"/>
            <w:vAlign w:val="center"/>
          </w:tcPr>
          <w:p w14:paraId="19F9D4B7">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highlight w:val="none"/>
                <w:lang w:val="en-US" w:eastAsia="zh-CN" w:bidi="ar"/>
              </w:rPr>
            </w:pPr>
            <w:r>
              <w:rPr>
                <w:rFonts w:hint="eastAsia" w:ascii="仿宋_GB2312" w:hAnsi="仿宋_GB2312" w:eastAsia="仿宋_GB2312" w:cs="仿宋_GB2312"/>
                <w:i w:val="0"/>
                <w:iCs w:val="0"/>
                <w:caps w:val="0"/>
                <w:color w:val="000000"/>
                <w:spacing w:val="0"/>
                <w:kern w:val="0"/>
                <w:sz w:val="28"/>
                <w:szCs w:val="28"/>
                <w:highlight w:val="none"/>
                <w:lang w:val="en-US" w:eastAsia="zh-CN" w:bidi="ar"/>
              </w:rPr>
              <w:t>县级财力及自筹资金</w:t>
            </w:r>
          </w:p>
        </w:tc>
      </w:tr>
      <w:tr w14:paraId="13B4AE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70" w:type="dxa"/>
            <w:noWrap w:val="0"/>
            <w:vAlign w:val="center"/>
          </w:tcPr>
          <w:p w14:paraId="77CA4D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6</w:t>
            </w:r>
          </w:p>
        </w:tc>
        <w:tc>
          <w:tcPr>
            <w:tcW w:w="1698" w:type="dxa"/>
            <w:tcBorders>
              <w:right w:val="single" w:color="auto" w:sz="4" w:space="0"/>
            </w:tcBorders>
            <w:noWrap w:val="0"/>
            <w:vAlign w:val="center"/>
          </w:tcPr>
          <w:p w14:paraId="306CF8F5">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预算金额</w:t>
            </w:r>
          </w:p>
        </w:tc>
        <w:tc>
          <w:tcPr>
            <w:tcW w:w="7007" w:type="dxa"/>
            <w:tcBorders>
              <w:left w:val="single" w:color="auto" w:sz="4" w:space="0"/>
            </w:tcBorders>
            <w:noWrap w:val="0"/>
            <w:vAlign w:val="center"/>
          </w:tcPr>
          <w:p w14:paraId="7538E830">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240" w:lineRule="auto"/>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highlight w:val="none"/>
                <w:lang w:val="en-US" w:eastAsia="zh-CN" w:bidi="ar"/>
              </w:rPr>
            </w:pPr>
            <w:r>
              <w:rPr>
                <w:rFonts w:hint="eastAsia" w:ascii="仿宋_GB2312" w:hAnsi="仿宋_GB2312" w:eastAsia="仿宋_GB2312" w:cs="仿宋_GB2312"/>
                <w:i w:val="0"/>
                <w:iCs w:val="0"/>
                <w:caps w:val="0"/>
                <w:color w:val="000000"/>
                <w:spacing w:val="0"/>
                <w:kern w:val="0"/>
                <w:sz w:val="28"/>
                <w:szCs w:val="28"/>
                <w:highlight w:val="none"/>
                <w:lang w:val="en-US" w:eastAsia="zh-CN" w:bidi="ar"/>
              </w:rPr>
              <w:t xml:space="preserve">7000000.00元（柒佰万元整）        </w:t>
            </w:r>
          </w:p>
        </w:tc>
      </w:tr>
      <w:tr w14:paraId="68F411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670" w:type="dxa"/>
            <w:noWrap w:val="0"/>
            <w:vAlign w:val="center"/>
          </w:tcPr>
          <w:p w14:paraId="0937EB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7</w:t>
            </w:r>
          </w:p>
        </w:tc>
        <w:tc>
          <w:tcPr>
            <w:tcW w:w="1698" w:type="dxa"/>
            <w:tcBorders>
              <w:right w:val="single" w:color="auto" w:sz="4" w:space="0"/>
            </w:tcBorders>
            <w:noWrap w:val="0"/>
            <w:vAlign w:val="center"/>
          </w:tcPr>
          <w:p w14:paraId="1C30740C">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采购方式</w:t>
            </w:r>
          </w:p>
        </w:tc>
        <w:tc>
          <w:tcPr>
            <w:tcW w:w="7007" w:type="dxa"/>
            <w:tcBorders>
              <w:left w:val="single" w:color="auto" w:sz="4" w:space="0"/>
            </w:tcBorders>
            <w:noWrap w:val="0"/>
            <w:vAlign w:val="center"/>
          </w:tcPr>
          <w:p w14:paraId="76C9CCCF">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公开招标</w:t>
            </w:r>
          </w:p>
        </w:tc>
      </w:tr>
      <w:tr w14:paraId="1C5448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4" w:hRule="atLeast"/>
          <w:jc w:val="center"/>
        </w:trPr>
        <w:tc>
          <w:tcPr>
            <w:tcW w:w="670" w:type="dxa"/>
            <w:noWrap w:val="0"/>
            <w:vAlign w:val="center"/>
          </w:tcPr>
          <w:p w14:paraId="69738B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8</w:t>
            </w:r>
          </w:p>
        </w:tc>
        <w:tc>
          <w:tcPr>
            <w:tcW w:w="1698" w:type="dxa"/>
            <w:tcBorders>
              <w:right w:val="single" w:color="auto" w:sz="4" w:space="0"/>
            </w:tcBorders>
            <w:noWrap w:val="0"/>
            <w:vAlign w:val="center"/>
          </w:tcPr>
          <w:p w14:paraId="759BE10E">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评标方法</w:t>
            </w:r>
          </w:p>
        </w:tc>
        <w:tc>
          <w:tcPr>
            <w:tcW w:w="7007" w:type="dxa"/>
            <w:tcBorders>
              <w:left w:val="single" w:color="auto" w:sz="4" w:space="0"/>
            </w:tcBorders>
            <w:noWrap w:val="0"/>
            <w:vAlign w:val="center"/>
          </w:tcPr>
          <w:p w14:paraId="792E8996">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default"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highlight w:val="none"/>
                <w:lang w:val="en-US" w:eastAsia="zh-CN" w:bidi="ar"/>
              </w:rPr>
              <w:t>综合评分法</w:t>
            </w:r>
          </w:p>
        </w:tc>
      </w:tr>
      <w:tr w14:paraId="7BFEFE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70" w:type="dxa"/>
            <w:noWrap w:val="0"/>
            <w:vAlign w:val="center"/>
          </w:tcPr>
          <w:p w14:paraId="278B79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9</w:t>
            </w:r>
          </w:p>
        </w:tc>
        <w:tc>
          <w:tcPr>
            <w:tcW w:w="1698" w:type="dxa"/>
            <w:tcBorders>
              <w:right w:val="single" w:color="auto" w:sz="4" w:space="0"/>
            </w:tcBorders>
            <w:noWrap w:val="0"/>
            <w:vAlign w:val="center"/>
          </w:tcPr>
          <w:p w14:paraId="41927CA5">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信息      公告媒体</w:t>
            </w:r>
          </w:p>
        </w:tc>
        <w:tc>
          <w:tcPr>
            <w:tcW w:w="7007" w:type="dxa"/>
            <w:tcBorders>
              <w:left w:val="single" w:color="auto" w:sz="4" w:space="0"/>
            </w:tcBorders>
            <w:noWrap w:val="0"/>
            <w:vAlign w:val="center"/>
          </w:tcPr>
          <w:p w14:paraId="2FDFCD4B">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新疆政府采购网</w:t>
            </w:r>
            <w:r>
              <w:rPr>
                <w:rFonts w:hint="eastAsia" w:ascii="仿宋_GB2312" w:hAnsi="仿宋_GB2312" w:eastAsia="仿宋_GB2312" w:cs="仿宋_GB2312"/>
                <w:i w:val="0"/>
                <w:iCs w:val="0"/>
                <w:caps w:val="0"/>
                <w:color w:val="000000"/>
                <w:spacing w:val="0"/>
                <w:kern w:val="0"/>
                <w:sz w:val="28"/>
                <w:szCs w:val="28"/>
                <w:u w:val="single"/>
                <w:lang w:val="en-US" w:eastAsia="zh-CN" w:bidi="ar"/>
              </w:rPr>
              <w:t>（http://www.ccgp-xinjiang.gov.cn/）</w:t>
            </w:r>
          </w:p>
        </w:tc>
      </w:tr>
      <w:tr w14:paraId="77704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70" w:type="dxa"/>
            <w:noWrap w:val="0"/>
            <w:vAlign w:val="center"/>
          </w:tcPr>
          <w:p w14:paraId="604552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10</w:t>
            </w:r>
          </w:p>
        </w:tc>
        <w:tc>
          <w:tcPr>
            <w:tcW w:w="1698" w:type="dxa"/>
            <w:tcBorders>
              <w:right w:val="single" w:color="auto" w:sz="4" w:space="0"/>
            </w:tcBorders>
            <w:noWrap w:val="0"/>
            <w:vAlign w:val="center"/>
          </w:tcPr>
          <w:p w14:paraId="5A0476F5">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投标人     资格要求</w:t>
            </w:r>
          </w:p>
        </w:tc>
        <w:tc>
          <w:tcPr>
            <w:tcW w:w="7007" w:type="dxa"/>
            <w:tcBorders>
              <w:left w:val="single" w:color="auto" w:sz="4" w:space="0"/>
            </w:tcBorders>
            <w:noWrap w:val="0"/>
            <w:vAlign w:val="center"/>
          </w:tcPr>
          <w:p w14:paraId="3644E5A4">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240" w:lineRule="auto"/>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（1）投标人须具备有效经年检合格的“三证合一”营业执照；</w:t>
            </w:r>
          </w:p>
          <w:p w14:paraId="6959703A">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240" w:lineRule="auto"/>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（2）法定代表人、委托人的身份证明及授权委托书；</w:t>
            </w:r>
          </w:p>
          <w:p w14:paraId="733B2AB7">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240" w:lineRule="auto"/>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（3）投标人需提供本单位依法缴纳投标截止时间前半年内任意连续近三个月社保缴纳证明单位缴费个人明细表（社保证明可含：社保缴费凭证、社保缴费证明、社保缴费汇总单、依法缴纳社保的完税证明）；</w:t>
            </w:r>
          </w:p>
          <w:p w14:paraId="7EF563CF">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240" w:lineRule="auto"/>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（4）投标人需提供2023年度第三方审计机构出具的财务审计报告(会计周期不满一年的提供近三个月银行出具的资信证明）和健全的财务会计制度；</w:t>
            </w:r>
          </w:p>
          <w:p w14:paraId="6D7F1260">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240" w:lineRule="auto"/>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（5）投标人需提供税务部门出具投标截止时间前半年内任意连续近三个月缴纳税收的完税证明（需含增值税、印花税等税种；如当月无需缴税需提供税务机关出具的无欠税证明）；</w:t>
            </w:r>
          </w:p>
          <w:p w14:paraId="2E712CEA">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240" w:lineRule="auto"/>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6）凡拟参加本次招标项目的投标人，近三年内如在“信用中国（www.creditchina.gov.cn）”被列入失信被执行人、企业经营异常名录、重大税收违法案件当事人名单、政府采购严重违法失信名单（尚在处罚期内的）“中国政府采购网（www.ccgp.gov.cn）”被列入政府采购严重违法失信行为记录名单的（尚在处罚期内的）“国家企业信用信息公示系统（http://www.gsxt.gov.cn）”列入经营异常名录信息、严重违法失信名单（黑名单）信息（尚在处罚期内的）；将拒绝其参与本次政府采购活动；提供上述网页查询截图并加盖公章，</w:t>
            </w:r>
            <w:r>
              <w:rPr>
                <w:rFonts w:hint="eastAsia" w:ascii="仿宋_GB2312" w:hAnsi="仿宋_GB2312" w:eastAsia="仿宋_GB2312" w:cs="仿宋_GB2312"/>
                <w:i w:val="0"/>
                <w:iCs w:val="0"/>
                <w:caps w:val="0"/>
                <w:color w:val="000000"/>
                <w:spacing w:val="0"/>
                <w:kern w:val="0"/>
                <w:sz w:val="28"/>
                <w:szCs w:val="28"/>
                <w:highlight w:val="green"/>
                <w:lang w:val="en-US" w:eastAsia="zh-CN" w:bidi="ar"/>
              </w:rPr>
              <w:t>查询日期必须为此项目公告发布至开标截止时间前一日内有效；</w:t>
            </w:r>
          </w:p>
          <w:p w14:paraId="286E314E">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240" w:lineRule="auto"/>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（7）投标人提供针对本次项目《反商业贿赂承诺书》；</w:t>
            </w:r>
          </w:p>
          <w:p w14:paraId="25341A4A">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240" w:lineRule="auto"/>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（8）参加政府采购活动前3年内在经营活动中没有重大违法记录的书面声明；</w:t>
            </w:r>
          </w:p>
          <w:p w14:paraId="79D35F8E">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240" w:lineRule="auto"/>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（9）投标人提供有效期内《食品经营许可证》或《食品流通许可证》或《食品生产许可证》；</w:t>
            </w:r>
          </w:p>
          <w:p w14:paraId="460269B1">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240" w:lineRule="auto"/>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（10）投标保证金有效凭证；</w:t>
            </w:r>
          </w:p>
          <w:p w14:paraId="3A2A0D99">
            <w:pPr>
              <w:pStyle w:val="2"/>
              <w:ind w:left="0" w:leftChars="0" w:firstLine="0" w:firstLineChars="0"/>
              <w:rPr>
                <w:rFonts w:hint="eastAsia"/>
                <w:lang w:val="en-US" w:eastAsia="zh-CN"/>
              </w:rPr>
            </w:pPr>
            <w:r>
              <w:rPr>
                <w:rFonts w:hint="eastAsia" w:ascii="仿宋_GB2312" w:hAnsi="仿宋_GB2312" w:eastAsia="仿宋_GB2312" w:cs="仿宋_GB2312"/>
                <w:i w:val="0"/>
                <w:iCs w:val="0"/>
                <w:caps w:val="0"/>
                <w:color w:val="000000"/>
                <w:spacing w:val="0"/>
                <w:kern w:val="0"/>
                <w:sz w:val="28"/>
                <w:szCs w:val="28"/>
                <w:lang w:val="en-US" w:eastAsia="zh-CN" w:bidi="ar"/>
              </w:rPr>
              <w:t>（11）落实政府采购政策需满足的资格要求：本项目专门面向中小微企业采购，不再执行价格评审优惠政策。请根据要求单独上传《中小企业声明函》，格式以采购文件中要求为准。</w:t>
            </w:r>
          </w:p>
        </w:tc>
      </w:tr>
      <w:tr w14:paraId="1E076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9" w:hRule="atLeast"/>
          <w:jc w:val="center"/>
        </w:trPr>
        <w:tc>
          <w:tcPr>
            <w:tcW w:w="670" w:type="dxa"/>
            <w:noWrap w:val="0"/>
            <w:vAlign w:val="center"/>
          </w:tcPr>
          <w:p w14:paraId="7CD70168">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11</w:t>
            </w:r>
          </w:p>
        </w:tc>
        <w:tc>
          <w:tcPr>
            <w:tcW w:w="1698" w:type="dxa"/>
            <w:tcBorders>
              <w:right w:val="single" w:color="auto" w:sz="4" w:space="0"/>
            </w:tcBorders>
            <w:noWrap w:val="0"/>
            <w:vAlign w:val="center"/>
          </w:tcPr>
          <w:p w14:paraId="58D7048B">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供货期</w:t>
            </w:r>
          </w:p>
        </w:tc>
        <w:tc>
          <w:tcPr>
            <w:tcW w:w="7007" w:type="dxa"/>
            <w:tcBorders>
              <w:left w:val="single" w:color="auto" w:sz="4" w:space="0"/>
            </w:tcBorders>
            <w:noWrap w:val="0"/>
            <w:vAlign w:val="center"/>
          </w:tcPr>
          <w:p w14:paraId="542E2B86">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u w:val="single"/>
                <w:lang w:val="en-US" w:eastAsia="zh-CN" w:bidi="ar"/>
              </w:rPr>
              <w:t>1年</w:t>
            </w:r>
            <w:r>
              <w:rPr>
                <w:rFonts w:hint="eastAsia" w:ascii="仿宋_GB2312" w:hAnsi="仿宋_GB2312" w:eastAsia="仿宋_GB2312" w:cs="仿宋_GB2312"/>
                <w:i w:val="0"/>
                <w:iCs w:val="0"/>
                <w:caps w:val="0"/>
                <w:color w:val="000000"/>
                <w:spacing w:val="0"/>
                <w:kern w:val="0"/>
                <w:sz w:val="28"/>
                <w:szCs w:val="28"/>
                <w:lang w:val="en-US" w:eastAsia="zh-CN" w:bidi="ar"/>
              </w:rPr>
              <w:t>（具体履行期限以签订合同为准）</w:t>
            </w:r>
          </w:p>
        </w:tc>
      </w:tr>
      <w:tr w14:paraId="70788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6" w:hRule="atLeast"/>
          <w:jc w:val="center"/>
        </w:trPr>
        <w:tc>
          <w:tcPr>
            <w:tcW w:w="670" w:type="dxa"/>
            <w:noWrap w:val="0"/>
            <w:vAlign w:val="center"/>
          </w:tcPr>
          <w:p w14:paraId="53EB92EF">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12</w:t>
            </w:r>
          </w:p>
        </w:tc>
        <w:tc>
          <w:tcPr>
            <w:tcW w:w="1698" w:type="dxa"/>
            <w:tcBorders>
              <w:right w:val="single" w:color="auto" w:sz="4" w:space="0"/>
            </w:tcBorders>
            <w:noWrap w:val="0"/>
            <w:vAlign w:val="center"/>
          </w:tcPr>
          <w:p w14:paraId="2F06E2A6">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质量要求</w:t>
            </w:r>
          </w:p>
        </w:tc>
        <w:tc>
          <w:tcPr>
            <w:tcW w:w="7007" w:type="dxa"/>
            <w:tcBorders>
              <w:left w:val="single" w:color="auto" w:sz="4" w:space="0"/>
            </w:tcBorders>
            <w:noWrap w:val="0"/>
            <w:vAlign w:val="center"/>
          </w:tcPr>
          <w:p w14:paraId="09E35458">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300" w:lineRule="atLeast"/>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满足现行的食用农产品质量安全标准、食品卫生标准、食品质量标准和有关食品的行业标准中强制执行标准。</w:t>
            </w:r>
          </w:p>
        </w:tc>
      </w:tr>
      <w:tr w14:paraId="397406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70" w:type="dxa"/>
            <w:noWrap w:val="0"/>
            <w:vAlign w:val="center"/>
          </w:tcPr>
          <w:p w14:paraId="2F8D7488">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13</w:t>
            </w:r>
          </w:p>
        </w:tc>
        <w:tc>
          <w:tcPr>
            <w:tcW w:w="1698" w:type="dxa"/>
            <w:tcBorders>
              <w:right w:val="single" w:color="auto" w:sz="4" w:space="0"/>
            </w:tcBorders>
            <w:noWrap w:val="0"/>
            <w:vAlign w:val="center"/>
          </w:tcPr>
          <w:p w14:paraId="1F55F1AC">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验收要求</w:t>
            </w:r>
          </w:p>
        </w:tc>
        <w:tc>
          <w:tcPr>
            <w:tcW w:w="7007" w:type="dxa"/>
            <w:tcBorders>
              <w:left w:val="single" w:color="auto" w:sz="4" w:space="0"/>
            </w:tcBorders>
            <w:noWrap w:val="0"/>
            <w:vAlign w:val="center"/>
          </w:tcPr>
          <w:p w14:paraId="3D38D08E">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300" w:lineRule="atLeast"/>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根据国家有关规定、招标文件、中标方的投标文件以及合同约定的内容和验收标准进行验收。</w:t>
            </w:r>
          </w:p>
        </w:tc>
      </w:tr>
      <w:tr w14:paraId="4AC671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670" w:type="dxa"/>
            <w:noWrap w:val="0"/>
            <w:vAlign w:val="center"/>
          </w:tcPr>
          <w:p w14:paraId="3525B8DE">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14</w:t>
            </w:r>
          </w:p>
        </w:tc>
        <w:tc>
          <w:tcPr>
            <w:tcW w:w="1698" w:type="dxa"/>
            <w:tcBorders>
              <w:right w:val="single" w:color="auto" w:sz="4" w:space="0"/>
            </w:tcBorders>
            <w:noWrap w:val="0"/>
            <w:vAlign w:val="center"/>
          </w:tcPr>
          <w:p w14:paraId="37320854">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是否允许  联合体投标</w:t>
            </w:r>
          </w:p>
        </w:tc>
        <w:tc>
          <w:tcPr>
            <w:tcW w:w="7007" w:type="dxa"/>
            <w:tcBorders>
              <w:left w:val="single" w:color="auto" w:sz="4" w:space="0"/>
            </w:tcBorders>
            <w:noWrap w:val="0"/>
            <w:vAlign w:val="center"/>
          </w:tcPr>
          <w:p w14:paraId="73C7CC5E">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sym w:font="Wingdings 2" w:char="00A3"/>
            </w:r>
            <w:r>
              <w:rPr>
                <w:rFonts w:hint="eastAsia" w:ascii="仿宋_GB2312" w:hAnsi="仿宋_GB2312" w:eastAsia="仿宋_GB2312" w:cs="仿宋_GB2312"/>
                <w:i w:val="0"/>
                <w:iCs w:val="0"/>
                <w:caps w:val="0"/>
                <w:color w:val="000000"/>
                <w:spacing w:val="0"/>
                <w:kern w:val="0"/>
                <w:sz w:val="28"/>
                <w:szCs w:val="28"/>
                <w:lang w:val="en-US" w:eastAsia="zh-CN" w:bidi="ar"/>
              </w:rPr>
              <w:t>是</w:t>
            </w:r>
          </w:p>
          <w:p w14:paraId="56238CD4">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sym w:font="Wingdings 2" w:char="0052"/>
            </w:r>
            <w:r>
              <w:rPr>
                <w:rFonts w:hint="eastAsia" w:ascii="仿宋_GB2312" w:hAnsi="仿宋_GB2312" w:eastAsia="仿宋_GB2312" w:cs="仿宋_GB2312"/>
                <w:i w:val="0"/>
                <w:iCs w:val="0"/>
                <w:caps w:val="0"/>
                <w:color w:val="000000"/>
                <w:spacing w:val="0"/>
                <w:kern w:val="0"/>
                <w:sz w:val="28"/>
                <w:szCs w:val="28"/>
                <w:lang w:val="en-US" w:eastAsia="zh-CN" w:bidi="ar"/>
              </w:rPr>
              <w:t>否</w:t>
            </w:r>
          </w:p>
        </w:tc>
      </w:tr>
      <w:tr w14:paraId="3CDFD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7" w:hRule="atLeast"/>
          <w:jc w:val="center"/>
        </w:trPr>
        <w:tc>
          <w:tcPr>
            <w:tcW w:w="670" w:type="dxa"/>
            <w:noWrap w:val="0"/>
            <w:vAlign w:val="center"/>
          </w:tcPr>
          <w:p w14:paraId="2D5375A7">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15</w:t>
            </w:r>
          </w:p>
        </w:tc>
        <w:tc>
          <w:tcPr>
            <w:tcW w:w="1698" w:type="dxa"/>
            <w:tcBorders>
              <w:right w:val="single" w:color="auto" w:sz="4" w:space="0"/>
            </w:tcBorders>
            <w:noWrap w:val="0"/>
            <w:vAlign w:val="center"/>
          </w:tcPr>
          <w:p w14:paraId="3F9FCCEB">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是否组织  踏勘现场</w:t>
            </w:r>
          </w:p>
        </w:tc>
        <w:tc>
          <w:tcPr>
            <w:tcW w:w="7007" w:type="dxa"/>
            <w:tcBorders>
              <w:left w:val="single" w:color="auto" w:sz="4" w:space="0"/>
            </w:tcBorders>
            <w:noWrap w:val="0"/>
            <w:vAlign w:val="center"/>
          </w:tcPr>
          <w:p w14:paraId="2CDA76D6">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sym w:font="Wingdings 2" w:char="0052"/>
            </w:r>
            <w:r>
              <w:rPr>
                <w:rFonts w:hint="eastAsia" w:ascii="仿宋_GB2312" w:hAnsi="仿宋_GB2312" w:eastAsia="仿宋_GB2312" w:cs="仿宋_GB2312"/>
                <w:i w:val="0"/>
                <w:iCs w:val="0"/>
                <w:caps w:val="0"/>
                <w:color w:val="000000"/>
                <w:spacing w:val="0"/>
                <w:kern w:val="0"/>
                <w:sz w:val="28"/>
                <w:szCs w:val="28"/>
                <w:lang w:val="en-US" w:eastAsia="zh-CN" w:bidi="ar"/>
              </w:rPr>
              <w:t>不组织</w:t>
            </w:r>
          </w:p>
          <w:p w14:paraId="76418C68">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□组织</w:t>
            </w:r>
          </w:p>
        </w:tc>
      </w:tr>
      <w:tr w14:paraId="65ECC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7" w:hRule="atLeast"/>
          <w:jc w:val="center"/>
        </w:trPr>
        <w:tc>
          <w:tcPr>
            <w:tcW w:w="670" w:type="dxa"/>
            <w:noWrap w:val="0"/>
            <w:vAlign w:val="center"/>
          </w:tcPr>
          <w:p w14:paraId="4A02FA09">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16</w:t>
            </w:r>
          </w:p>
        </w:tc>
        <w:tc>
          <w:tcPr>
            <w:tcW w:w="1698" w:type="dxa"/>
            <w:tcBorders>
              <w:right w:val="single" w:color="auto" w:sz="4" w:space="0"/>
            </w:tcBorders>
            <w:noWrap w:val="0"/>
            <w:vAlign w:val="center"/>
          </w:tcPr>
          <w:p w14:paraId="3AF482DB">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是否      允许分包</w:t>
            </w:r>
          </w:p>
        </w:tc>
        <w:tc>
          <w:tcPr>
            <w:tcW w:w="7007" w:type="dxa"/>
            <w:tcBorders>
              <w:left w:val="single" w:color="auto" w:sz="4" w:space="0"/>
            </w:tcBorders>
            <w:noWrap w:val="0"/>
            <w:vAlign w:val="center"/>
          </w:tcPr>
          <w:p w14:paraId="01B12619">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sym w:font="Wingdings 2" w:char="00A3"/>
            </w:r>
            <w:r>
              <w:rPr>
                <w:rFonts w:hint="eastAsia" w:ascii="仿宋_GB2312" w:hAnsi="仿宋_GB2312" w:eastAsia="仿宋_GB2312" w:cs="仿宋_GB2312"/>
                <w:i w:val="0"/>
                <w:iCs w:val="0"/>
                <w:caps w:val="0"/>
                <w:color w:val="000000"/>
                <w:spacing w:val="0"/>
                <w:kern w:val="0"/>
                <w:sz w:val="28"/>
                <w:szCs w:val="28"/>
                <w:lang w:val="en-US" w:eastAsia="zh-CN" w:bidi="ar"/>
              </w:rPr>
              <w:t>是</w:t>
            </w:r>
          </w:p>
          <w:p w14:paraId="3ACA5811">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sym w:font="Wingdings 2" w:char="0052"/>
            </w:r>
            <w:r>
              <w:rPr>
                <w:rFonts w:hint="eastAsia" w:ascii="仿宋_GB2312" w:hAnsi="仿宋_GB2312" w:eastAsia="仿宋_GB2312" w:cs="仿宋_GB2312"/>
                <w:i w:val="0"/>
                <w:iCs w:val="0"/>
                <w:caps w:val="0"/>
                <w:color w:val="000000"/>
                <w:spacing w:val="0"/>
                <w:kern w:val="0"/>
                <w:sz w:val="28"/>
                <w:szCs w:val="28"/>
                <w:lang w:val="en-US" w:eastAsia="zh-CN" w:bidi="ar"/>
              </w:rPr>
              <w:t>否</w:t>
            </w:r>
          </w:p>
        </w:tc>
      </w:tr>
      <w:tr w14:paraId="065789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7" w:hRule="atLeast"/>
          <w:jc w:val="center"/>
        </w:trPr>
        <w:tc>
          <w:tcPr>
            <w:tcW w:w="670" w:type="dxa"/>
            <w:noWrap w:val="0"/>
            <w:vAlign w:val="center"/>
          </w:tcPr>
          <w:p w14:paraId="3E40E0DC">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17</w:t>
            </w:r>
          </w:p>
        </w:tc>
        <w:tc>
          <w:tcPr>
            <w:tcW w:w="1698" w:type="dxa"/>
            <w:tcBorders>
              <w:right w:val="single" w:color="auto" w:sz="4" w:space="0"/>
            </w:tcBorders>
            <w:noWrap w:val="0"/>
            <w:vAlign w:val="center"/>
          </w:tcPr>
          <w:p w14:paraId="19235EB4">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是否      接受转包</w:t>
            </w:r>
          </w:p>
        </w:tc>
        <w:tc>
          <w:tcPr>
            <w:tcW w:w="7007" w:type="dxa"/>
            <w:tcBorders>
              <w:left w:val="single" w:color="auto" w:sz="4" w:space="0"/>
            </w:tcBorders>
            <w:noWrap w:val="0"/>
            <w:vAlign w:val="center"/>
          </w:tcPr>
          <w:p w14:paraId="6AA49EC7">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sym w:font="Wingdings 2" w:char="00A3"/>
            </w:r>
            <w:r>
              <w:rPr>
                <w:rFonts w:hint="eastAsia" w:ascii="仿宋_GB2312" w:hAnsi="仿宋_GB2312" w:eastAsia="仿宋_GB2312" w:cs="仿宋_GB2312"/>
                <w:i w:val="0"/>
                <w:iCs w:val="0"/>
                <w:caps w:val="0"/>
                <w:color w:val="000000"/>
                <w:spacing w:val="0"/>
                <w:kern w:val="0"/>
                <w:sz w:val="28"/>
                <w:szCs w:val="28"/>
                <w:lang w:val="en-US" w:eastAsia="zh-CN" w:bidi="ar"/>
              </w:rPr>
              <w:t>是</w:t>
            </w:r>
          </w:p>
          <w:p w14:paraId="4583DFE3">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sym w:font="Wingdings 2" w:char="0052"/>
            </w:r>
            <w:r>
              <w:rPr>
                <w:rFonts w:hint="eastAsia" w:ascii="仿宋_GB2312" w:hAnsi="仿宋_GB2312" w:eastAsia="仿宋_GB2312" w:cs="仿宋_GB2312"/>
                <w:i w:val="0"/>
                <w:iCs w:val="0"/>
                <w:caps w:val="0"/>
                <w:color w:val="000000"/>
                <w:spacing w:val="0"/>
                <w:kern w:val="0"/>
                <w:sz w:val="28"/>
                <w:szCs w:val="28"/>
                <w:lang w:val="en-US" w:eastAsia="zh-CN" w:bidi="ar"/>
              </w:rPr>
              <w:t>否</w:t>
            </w:r>
          </w:p>
        </w:tc>
      </w:tr>
      <w:tr w14:paraId="491E6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7" w:hRule="atLeast"/>
          <w:jc w:val="center"/>
        </w:trPr>
        <w:tc>
          <w:tcPr>
            <w:tcW w:w="670" w:type="dxa"/>
            <w:noWrap w:val="0"/>
            <w:vAlign w:val="center"/>
          </w:tcPr>
          <w:p w14:paraId="3E9ABF41">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default"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18</w:t>
            </w:r>
          </w:p>
        </w:tc>
        <w:tc>
          <w:tcPr>
            <w:tcW w:w="1698" w:type="dxa"/>
            <w:tcBorders>
              <w:right w:val="single" w:color="auto" w:sz="4" w:space="0"/>
            </w:tcBorders>
            <w:noWrap w:val="0"/>
            <w:vAlign w:val="center"/>
          </w:tcPr>
          <w:p w14:paraId="67E44320">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default"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是否专门面向中小企业</w:t>
            </w:r>
          </w:p>
        </w:tc>
        <w:tc>
          <w:tcPr>
            <w:tcW w:w="7007" w:type="dxa"/>
            <w:tcBorders>
              <w:left w:val="single" w:color="auto" w:sz="4" w:space="0"/>
            </w:tcBorders>
            <w:noWrap w:val="0"/>
            <w:vAlign w:val="center"/>
          </w:tcPr>
          <w:p w14:paraId="2E6EECB7">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sym w:font="Wingdings 2" w:char="0052"/>
            </w:r>
            <w:r>
              <w:rPr>
                <w:rFonts w:hint="eastAsia" w:ascii="仿宋_GB2312" w:hAnsi="仿宋_GB2312" w:eastAsia="仿宋_GB2312" w:cs="仿宋_GB2312"/>
                <w:i w:val="0"/>
                <w:iCs w:val="0"/>
                <w:caps w:val="0"/>
                <w:color w:val="000000"/>
                <w:spacing w:val="0"/>
                <w:kern w:val="0"/>
                <w:sz w:val="28"/>
                <w:szCs w:val="28"/>
                <w:lang w:val="en-US" w:eastAsia="zh-CN" w:bidi="ar"/>
              </w:rPr>
              <w:t>是</w:t>
            </w:r>
          </w:p>
          <w:p w14:paraId="06E34CB8">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sym w:font="Wingdings 2" w:char="00A3"/>
            </w:r>
            <w:r>
              <w:rPr>
                <w:rFonts w:hint="eastAsia" w:ascii="仿宋_GB2312" w:hAnsi="仿宋_GB2312" w:eastAsia="仿宋_GB2312" w:cs="仿宋_GB2312"/>
                <w:i w:val="0"/>
                <w:iCs w:val="0"/>
                <w:caps w:val="0"/>
                <w:color w:val="000000"/>
                <w:spacing w:val="0"/>
                <w:kern w:val="0"/>
                <w:sz w:val="28"/>
                <w:szCs w:val="28"/>
                <w:lang w:val="en-US" w:eastAsia="zh-CN" w:bidi="ar"/>
              </w:rPr>
              <w:t>否</w:t>
            </w:r>
          </w:p>
        </w:tc>
      </w:tr>
      <w:tr w14:paraId="300EE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3" w:hRule="atLeast"/>
          <w:jc w:val="center"/>
        </w:trPr>
        <w:tc>
          <w:tcPr>
            <w:tcW w:w="670" w:type="dxa"/>
            <w:noWrap w:val="0"/>
            <w:vAlign w:val="center"/>
          </w:tcPr>
          <w:p w14:paraId="59AEB3FC">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default"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19</w:t>
            </w:r>
          </w:p>
        </w:tc>
        <w:tc>
          <w:tcPr>
            <w:tcW w:w="1698" w:type="dxa"/>
            <w:tcBorders>
              <w:right w:val="single" w:color="auto" w:sz="4" w:space="0"/>
            </w:tcBorders>
            <w:noWrap w:val="0"/>
            <w:vAlign w:val="center"/>
          </w:tcPr>
          <w:p w14:paraId="191B95B2">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leftChars="0" w:right="0" w:rightChars="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递交投标  文件的地点及方式</w:t>
            </w:r>
          </w:p>
        </w:tc>
        <w:tc>
          <w:tcPr>
            <w:tcW w:w="7007" w:type="dxa"/>
            <w:tcBorders>
              <w:left w:val="single" w:color="auto" w:sz="4" w:space="0"/>
            </w:tcBorders>
            <w:noWrap w:val="0"/>
            <w:vAlign w:val="center"/>
          </w:tcPr>
          <w:p w14:paraId="080B47DA">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400" w:lineRule="exact"/>
              <w:ind w:left="0" w:right="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000000"/>
                <w:spacing w:val="0"/>
                <w:kern w:val="0"/>
                <w:sz w:val="28"/>
                <w:szCs w:val="28"/>
                <w:highlight w:val="none"/>
                <w:lang w:val="en-US" w:eastAsia="zh-CN" w:bidi="ar"/>
              </w:rPr>
              <w:t>提交投标文件截止时间</w:t>
            </w:r>
            <w:r>
              <w:rPr>
                <w:rFonts w:hint="eastAsia" w:ascii="仿宋_GB2312" w:hAnsi="仿宋_GB2312" w:eastAsia="仿宋_GB2312" w:cs="仿宋_GB2312"/>
                <w:i w:val="0"/>
                <w:iCs w:val="0"/>
                <w:caps w:val="0"/>
                <w:color w:val="auto"/>
                <w:spacing w:val="0"/>
                <w:kern w:val="0"/>
                <w:sz w:val="28"/>
                <w:szCs w:val="28"/>
                <w:highlight w:val="none"/>
                <w:lang w:val="en-US" w:eastAsia="zh-CN" w:bidi="ar"/>
              </w:rPr>
              <w:t>：2025年03月04日16:00（北京时间）</w:t>
            </w:r>
          </w:p>
          <w:p w14:paraId="4A86CA20">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400" w:lineRule="exact"/>
              <w:ind w:left="0" w:right="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投标地点：https://www.zcygov.cn在线投标</w:t>
            </w:r>
          </w:p>
          <w:p w14:paraId="52AAD1A2">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400" w:lineRule="exact"/>
              <w:ind w:left="0" w:right="0"/>
              <w:jc w:val="both"/>
              <w:textAlignment w:val="auto"/>
              <w:rPr>
                <w:rFonts w:hint="eastAsia" w:ascii="仿宋_GB2312" w:hAnsi="仿宋_GB2312" w:eastAsia="仿宋_GB2312" w:cs="仿宋_GB2312"/>
                <w:i w:val="0"/>
                <w:iCs w:val="0"/>
                <w:caps w:val="0"/>
                <w:color w:val="000000"/>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开标时间：2025年03月04日16:00（北</w:t>
            </w:r>
            <w:r>
              <w:rPr>
                <w:rFonts w:hint="eastAsia" w:ascii="仿宋_GB2312" w:hAnsi="仿宋_GB2312" w:eastAsia="仿宋_GB2312" w:cs="仿宋_GB2312"/>
                <w:i w:val="0"/>
                <w:iCs w:val="0"/>
                <w:caps w:val="0"/>
                <w:color w:val="000000"/>
                <w:spacing w:val="0"/>
                <w:kern w:val="0"/>
                <w:sz w:val="28"/>
                <w:szCs w:val="28"/>
                <w:highlight w:val="none"/>
                <w:lang w:val="en-US" w:eastAsia="zh-CN" w:bidi="ar"/>
              </w:rPr>
              <w:t>京时间）</w:t>
            </w:r>
          </w:p>
          <w:p w14:paraId="4C2247D9">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400" w:lineRule="exact"/>
              <w:ind w:left="0" w:right="0" w:rightChars="0"/>
              <w:jc w:val="both"/>
              <w:textAlignment w:val="auto"/>
              <w:rPr>
                <w:rFonts w:hint="eastAsia" w:ascii="仿宋_GB2312" w:hAnsi="仿宋_GB2312" w:eastAsia="仿宋_GB2312" w:cs="仿宋_GB2312"/>
                <w:i w:val="0"/>
                <w:iCs w:val="0"/>
                <w:caps w:val="0"/>
                <w:color w:val="000000"/>
                <w:spacing w:val="0"/>
                <w:kern w:val="0"/>
                <w:sz w:val="28"/>
                <w:szCs w:val="28"/>
                <w:highlight w:val="none"/>
                <w:lang w:val="en-US" w:eastAsia="zh-CN" w:bidi="ar"/>
              </w:rPr>
            </w:pPr>
            <w:r>
              <w:rPr>
                <w:rFonts w:hint="eastAsia" w:ascii="仿宋_GB2312" w:hAnsi="仿宋_GB2312" w:eastAsia="仿宋_GB2312" w:cs="仿宋_GB2312"/>
                <w:i w:val="0"/>
                <w:iCs w:val="0"/>
                <w:caps w:val="0"/>
                <w:color w:val="000000"/>
                <w:spacing w:val="0"/>
                <w:kern w:val="0"/>
                <w:sz w:val="28"/>
                <w:szCs w:val="28"/>
                <w:highlight w:val="none"/>
                <w:lang w:val="en-US" w:eastAsia="zh-CN" w:bidi="ar"/>
              </w:rPr>
              <w:t>开标地点：https://www.zcygov.cn</w:t>
            </w:r>
          </w:p>
        </w:tc>
      </w:tr>
      <w:tr w14:paraId="608C12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jc w:val="center"/>
        </w:trPr>
        <w:tc>
          <w:tcPr>
            <w:tcW w:w="670" w:type="dxa"/>
            <w:noWrap w:val="0"/>
            <w:vAlign w:val="center"/>
          </w:tcPr>
          <w:p w14:paraId="7009CAEC">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default"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20</w:t>
            </w:r>
          </w:p>
        </w:tc>
        <w:tc>
          <w:tcPr>
            <w:tcW w:w="1698" w:type="dxa"/>
            <w:tcBorders>
              <w:right w:val="single" w:color="auto" w:sz="4" w:space="0"/>
            </w:tcBorders>
            <w:noWrap w:val="0"/>
            <w:vAlign w:val="center"/>
          </w:tcPr>
          <w:p w14:paraId="54EF6BF4">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投标有效期</w:t>
            </w:r>
          </w:p>
        </w:tc>
        <w:tc>
          <w:tcPr>
            <w:tcW w:w="7007" w:type="dxa"/>
            <w:tcBorders>
              <w:left w:val="single" w:color="auto" w:sz="4" w:space="0"/>
            </w:tcBorders>
            <w:noWrap w:val="0"/>
            <w:vAlign w:val="center"/>
          </w:tcPr>
          <w:p w14:paraId="733A6F78">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240" w:lineRule="auto"/>
              <w:ind w:left="0" w:right="0"/>
              <w:jc w:val="both"/>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u w:val="single"/>
                <w:lang w:val="en-US" w:eastAsia="zh-CN" w:bidi="ar"/>
              </w:rPr>
              <w:t>90日历天</w:t>
            </w:r>
            <w:r>
              <w:rPr>
                <w:rFonts w:hint="eastAsia" w:ascii="仿宋_GB2312" w:hAnsi="仿宋_GB2312" w:eastAsia="仿宋_GB2312" w:cs="仿宋_GB2312"/>
                <w:i w:val="0"/>
                <w:iCs w:val="0"/>
                <w:caps w:val="0"/>
                <w:color w:val="000000"/>
                <w:spacing w:val="0"/>
                <w:kern w:val="0"/>
                <w:sz w:val="28"/>
                <w:szCs w:val="28"/>
                <w:lang w:val="en-US" w:eastAsia="zh-CN" w:bidi="ar"/>
              </w:rPr>
              <w:t>（从投标截止之日算起）</w:t>
            </w:r>
          </w:p>
        </w:tc>
      </w:tr>
      <w:tr w14:paraId="6569A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3" w:hRule="atLeast"/>
          <w:jc w:val="center"/>
        </w:trPr>
        <w:tc>
          <w:tcPr>
            <w:tcW w:w="670" w:type="dxa"/>
            <w:noWrap w:val="0"/>
            <w:vAlign w:val="center"/>
          </w:tcPr>
          <w:p w14:paraId="55972F99">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default"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21</w:t>
            </w:r>
          </w:p>
        </w:tc>
        <w:tc>
          <w:tcPr>
            <w:tcW w:w="1698" w:type="dxa"/>
            <w:tcBorders>
              <w:right w:val="single" w:color="auto" w:sz="4" w:space="0"/>
            </w:tcBorders>
            <w:noWrap w:val="0"/>
            <w:vAlign w:val="center"/>
          </w:tcPr>
          <w:p w14:paraId="112F0B25">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投标保证金</w:t>
            </w:r>
          </w:p>
        </w:tc>
        <w:tc>
          <w:tcPr>
            <w:tcW w:w="7007" w:type="dxa"/>
            <w:tcBorders>
              <w:left w:val="single" w:color="auto" w:sz="4" w:space="0"/>
            </w:tcBorders>
            <w:noWrap w:val="0"/>
            <w:vAlign w:val="center"/>
          </w:tcPr>
          <w:p w14:paraId="7BA6CF62">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320" w:lineRule="exact"/>
              <w:ind w:left="0" w:right="0"/>
              <w:jc w:val="both"/>
              <w:textAlignment w:val="auto"/>
              <w:rPr>
                <w:rFonts w:hint="eastAsia" w:ascii="仿宋_GB2312" w:hAnsi="仿宋_GB2312" w:eastAsia="仿宋_GB2312" w:cs="仿宋_GB2312"/>
                <w:i w:val="0"/>
                <w:iCs w:val="0"/>
                <w:caps w:val="0"/>
                <w:color w:val="000000"/>
                <w:spacing w:val="0"/>
                <w:kern w:val="0"/>
                <w:sz w:val="28"/>
                <w:szCs w:val="28"/>
                <w:highlight w:val="none"/>
                <w:lang w:val="en-US" w:eastAsia="zh-CN" w:bidi="ar"/>
              </w:rPr>
            </w:pPr>
            <w:bookmarkStart w:id="29" w:name="_Hlk22419936"/>
            <w:r>
              <w:rPr>
                <w:rFonts w:hint="eastAsia" w:ascii="仿宋_GB2312" w:hAnsi="仿宋_GB2312" w:eastAsia="仿宋_GB2312" w:cs="仿宋_GB2312"/>
                <w:i w:val="0"/>
                <w:iCs w:val="0"/>
                <w:caps w:val="0"/>
                <w:color w:val="000000"/>
                <w:spacing w:val="0"/>
                <w:kern w:val="0"/>
                <w:sz w:val="28"/>
                <w:szCs w:val="28"/>
                <w:highlight w:val="none"/>
                <w:lang w:val="en-US" w:eastAsia="zh-CN" w:bidi="ar"/>
              </w:rPr>
              <w:t>到账截止时间：投标截止期前，以银行到账时间为准。</w:t>
            </w:r>
          </w:p>
          <w:p w14:paraId="1771AA0B">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320" w:lineRule="exact"/>
              <w:ind w:left="0" w:right="0"/>
              <w:jc w:val="both"/>
              <w:textAlignment w:val="auto"/>
              <w:rPr>
                <w:rFonts w:hint="eastAsia" w:ascii="仿宋_GB2312" w:hAnsi="仿宋_GB2312" w:eastAsia="仿宋_GB2312" w:cs="仿宋_GB2312"/>
                <w:i w:val="0"/>
                <w:iCs w:val="0"/>
                <w:caps w:val="0"/>
                <w:color w:val="000000"/>
                <w:spacing w:val="0"/>
                <w:kern w:val="0"/>
                <w:sz w:val="28"/>
                <w:szCs w:val="28"/>
                <w:highlight w:val="none"/>
                <w:lang w:val="en-US" w:eastAsia="zh-CN" w:bidi="ar"/>
              </w:rPr>
            </w:pPr>
            <w:r>
              <w:rPr>
                <w:rFonts w:hint="eastAsia" w:ascii="仿宋_GB2312" w:hAnsi="仿宋_GB2312" w:eastAsia="仿宋_GB2312" w:cs="仿宋_GB2312"/>
                <w:i w:val="0"/>
                <w:iCs w:val="0"/>
                <w:caps w:val="0"/>
                <w:color w:val="000000"/>
                <w:spacing w:val="0"/>
                <w:kern w:val="0"/>
                <w:sz w:val="28"/>
                <w:szCs w:val="28"/>
                <w:highlight w:val="none"/>
                <w:lang w:val="en-US" w:eastAsia="zh-CN" w:bidi="ar"/>
              </w:rPr>
              <w:t>投标保证金形式：电汇、网银转账、支票、汇票、本票或者金融机构、担保机构出具的保函。</w:t>
            </w:r>
          </w:p>
          <w:p w14:paraId="5B3BFED0">
            <w:pPr>
              <w:pStyle w:val="4"/>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0" w:firstLine="0" w:firstLineChars="0"/>
              <w:textAlignment w:val="auto"/>
              <w:rPr>
                <w:rFonts w:hint="eastAsia"/>
                <w:color w:val="auto"/>
                <w:highlight w:val="none"/>
                <w:lang w:val="en-US" w:eastAsia="zh-CN"/>
              </w:rPr>
            </w:pPr>
            <w:r>
              <w:rPr>
                <w:rFonts w:hint="eastAsia" w:ascii="仿宋_GB2312" w:hAnsi="仿宋_GB2312" w:eastAsia="仿宋_GB2312" w:cs="仿宋_GB2312"/>
                <w:i w:val="0"/>
                <w:iCs w:val="0"/>
                <w:caps w:val="0"/>
                <w:color w:val="000000"/>
                <w:spacing w:val="0"/>
                <w:kern w:val="0"/>
                <w:sz w:val="28"/>
                <w:szCs w:val="28"/>
                <w:highlight w:val="none"/>
                <w:lang w:val="en-US" w:eastAsia="zh-CN" w:bidi="ar"/>
              </w:rPr>
              <w:t>投标保证金</w:t>
            </w:r>
            <w:r>
              <w:rPr>
                <w:rFonts w:hint="eastAsia" w:ascii="仿宋_GB2312" w:hAnsi="仿宋_GB2312" w:eastAsia="仿宋_GB2312" w:cs="仿宋_GB2312"/>
                <w:i w:val="0"/>
                <w:iCs w:val="0"/>
                <w:caps w:val="0"/>
                <w:color w:val="auto"/>
                <w:spacing w:val="0"/>
                <w:kern w:val="0"/>
                <w:sz w:val="28"/>
                <w:szCs w:val="28"/>
                <w:highlight w:val="none"/>
                <w:lang w:val="en-US" w:eastAsia="zh-CN" w:bidi="ar"/>
              </w:rPr>
              <w:t>：¥130000.00（人民币壹拾叁万元整）</w:t>
            </w:r>
          </w:p>
          <w:bookmarkEnd w:id="29"/>
          <w:p w14:paraId="50738F99">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320" w:lineRule="exact"/>
              <w:ind w:left="0" w:right="0"/>
              <w:jc w:val="both"/>
              <w:textAlignment w:val="auto"/>
              <w:rPr>
                <w:rFonts w:hint="eastAsia" w:ascii="仿宋_GB2312" w:hAnsi="仿宋_GB2312" w:eastAsia="仿宋_GB2312" w:cs="仿宋_GB2312"/>
                <w:i w:val="0"/>
                <w:iCs w:val="0"/>
                <w:caps w:val="0"/>
                <w:color w:val="000000"/>
                <w:spacing w:val="0"/>
                <w:kern w:val="0"/>
                <w:sz w:val="28"/>
                <w:szCs w:val="28"/>
                <w:highlight w:val="none"/>
                <w:lang w:val="en-US" w:eastAsia="zh-CN" w:bidi="ar"/>
              </w:rPr>
            </w:pPr>
            <w:r>
              <w:rPr>
                <w:rFonts w:hint="eastAsia" w:ascii="仿宋_GB2312" w:hAnsi="仿宋_GB2312" w:eastAsia="仿宋_GB2312" w:cs="仿宋_GB2312"/>
                <w:i w:val="0"/>
                <w:iCs w:val="0"/>
                <w:caps w:val="0"/>
                <w:color w:val="000000"/>
                <w:spacing w:val="0"/>
                <w:kern w:val="0"/>
                <w:sz w:val="28"/>
                <w:szCs w:val="28"/>
                <w:highlight w:val="none"/>
                <w:lang w:val="en-US" w:eastAsia="zh-CN" w:bidi="ar"/>
              </w:rPr>
              <w:t>收款单位：新疆众喀工程项目管理咨询有限公司</w:t>
            </w:r>
          </w:p>
          <w:p w14:paraId="3CA799F7">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320" w:lineRule="exact"/>
              <w:ind w:left="0" w:right="0"/>
              <w:jc w:val="both"/>
              <w:textAlignment w:val="auto"/>
              <w:rPr>
                <w:rFonts w:hint="eastAsia" w:ascii="仿宋_GB2312" w:hAnsi="仿宋_GB2312" w:eastAsia="仿宋_GB2312" w:cs="仿宋_GB2312"/>
                <w:i w:val="0"/>
                <w:iCs w:val="0"/>
                <w:caps w:val="0"/>
                <w:color w:val="000000"/>
                <w:spacing w:val="0"/>
                <w:kern w:val="0"/>
                <w:sz w:val="28"/>
                <w:szCs w:val="28"/>
                <w:highlight w:val="none"/>
                <w:lang w:val="en-US" w:eastAsia="zh-CN" w:bidi="ar"/>
              </w:rPr>
            </w:pPr>
            <w:r>
              <w:rPr>
                <w:rFonts w:hint="eastAsia" w:ascii="仿宋_GB2312" w:hAnsi="仿宋_GB2312" w:eastAsia="仿宋_GB2312" w:cs="仿宋_GB2312"/>
                <w:i w:val="0"/>
                <w:iCs w:val="0"/>
                <w:caps w:val="0"/>
                <w:color w:val="000000"/>
                <w:spacing w:val="0"/>
                <w:kern w:val="0"/>
                <w:sz w:val="28"/>
                <w:szCs w:val="28"/>
                <w:highlight w:val="none"/>
                <w:lang w:val="en-US" w:eastAsia="zh-CN" w:bidi="ar"/>
              </w:rPr>
              <w:t>银行账号：860010012010109236281</w:t>
            </w:r>
          </w:p>
          <w:p w14:paraId="32A783BB">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320" w:lineRule="exact"/>
              <w:ind w:left="0" w:right="0"/>
              <w:jc w:val="both"/>
              <w:textAlignment w:val="auto"/>
              <w:rPr>
                <w:rFonts w:hint="eastAsia" w:ascii="仿宋_GB2312" w:hAnsi="仿宋_GB2312" w:eastAsia="仿宋_GB2312" w:cs="仿宋_GB2312"/>
                <w:i w:val="0"/>
                <w:iCs w:val="0"/>
                <w:caps w:val="0"/>
                <w:color w:val="000000"/>
                <w:spacing w:val="0"/>
                <w:kern w:val="0"/>
                <w:sz w:val="28"/>
                <w:szCs w:val="28"/>
                <w:highlight w:val="none"/>
                <w:lang w:val="en-US" w:eastAsia="zh-CN" w:bidi="ar"/>
              </w:rPr>
            </w:pPr>
            <w:r>
              <w:rPr>
                <w:rFonts w:hint="eastAsia" w:ascii="仿宋_GB2312" w:hAnsi="仿宋_GB2312" w:eastAsia="仿宋_GB2312" w:cs="仿宋_GB2312"/>
                <w:i w:val="0"/>
                <w:iCs w:val="0"/>
                <w:caps w:val="0"/>
                <w:color w:val="000000"/>
                <w:spacing w:val="0"/>
                <w:kern w:val="0"/>
                <w:sz w:val="28"/>
                <w:szCs w:val="28"/>
                <w:highlight w:val="none"/>
                <w:lang w:val="en-US" w:eastAsia="zh-CN" w:bidi="ar"/>
              </w:rPr>
              <w:t>开户银行：新疆喀什农村商业银行股份有限公司</w:t>
            </w:r>
          </w:p>
          <w:p w14:paraId="154177D7">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Lines="10" w:beforeAutospacing="0" w:after="0" w:afterLines="10" w:afterAutospacing="0" w:line="320" w:lineRule="exact"/>
              <w:ind w:left="0" w:right="0"/>
              <w:jc w:val="both"/>
              <w:textAlignment w:val="auto"/>
              <w:rPr>
                <w:rFonts w:hint="eastAsia" w:ascii="仿宋_GB2312" w:hAnsi="仿宋_GB2312" w:eastAsia="仿宋_GB2312" w:cs="仿宋_GB2312"/>
                <w:i w:val="0"/>
                <w:iCs w:val="0"/>
                <w:caps w:val="0"/>
                <w:color w:val="000000"/>
                <w:spacing w:val="0"/>
                <w:kern w:val="0"/>
                <w:sz w:val="28"/>
                <w:szCs w:val="28"/>
                <w:highlight w:val="none"/>
                <w:lang w:val="en-US" w:eastAsia="zh-CN" w:bidi="ar"/>
              </w:rPr>
            </w:pPr>
            <w:r>
              <w:rPr>
                <w:rFonts w:hint="eastAsia" w:ascii="仿宋_GB2312" w:hAnsi="仿宋_GB2312" w:eastAsia="仿宋_GB2312" w:cs="仿宋_GB2312"/>
                <w:i w:val="0"/>
                <w:iCs w:val="0"/>
                <w:caps w:val="0"/>
                <w:color w:val="000000"/>
                <w:spacing w:val="0"/>
                <w:kern w:val="0"/>
                <w:sz w:val="28"/>
                <w:szCs w:val="28"/>
                <w:highlight w:val="none"/>
                <w:lang w:val="en-US" w:eastAsia="zh-CN" w:bidi="ar"/>
              </w:rPr>
              <w:t>若采用电汇或转账形式，投标保证金须于投标截止前转入以上指定账户（资格审查以代理机构实际收到为准）不接受现金、支票及任何个人、分公司汇款，投标保证金付款凭证（或收据）复印件制作在投标文件中；</w:t>
            </w:r>
          </w:p>
          <w:p w14:paraId="2BF5AA41">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Lines="10" w:beforeAutospacing="0" w:after="0" w:afterLines="10" w:afterAutospacing="0" w:line="320" w:lineRule="exact"/>
              <w:ind w:left="0" w:leftChars="0" w:right="0" w:rightChars="0" w:firstLine="0" w:firstLineChars="0"/>
              <w:jc w:val="both"/>
              <w:textAlignment w:val="auto"/>
              <w:rPr>
                <w:rFonts w:hint="eastAsia" w:ascii="仿宋_GB2312" w:hAnsi="仿宋_GB2312" w:eastAsia="仿宋_GB2312" w:cs="仿宋_GB2312"/>
                <w:i w:val="0"/>
                <w:iCs w:val="0"/>
                <w:caps w:val="0"/>
                <w:color w:val="000000"/>
                <w:spacing w:val="0"/>
                <w:kern w:val="0"/>
                <w:sz w:val="28"/>
                <w:szCs w:val="28"/>
                <w:highlight w:val="none"/>
                <w:lang w:val="en-US" w:eastAsia="zh-CN" w:bidi="ar"/>
              </w:rPr>
            </w:pPr>
            <w:r>
              <w:rPr>
                <w:rFonts w:hint="eastAsia" w:ascii="仿宋_GB2312" w:hAnsi="仿宋_GB2312" w:eastAsia="仿宋_GB2312" w:cs="仿宋_GB2312"/>
                <w:i w:val="0"/>
                <w:iCs w:val="0"/>
                <w:caps w:val="0"/>
                <w:color w:val="000000"/>
                <w:spacing w:val="0"/>
                <w:kern w:val="0"/>
                <w:sz w:val="28"/>
                <w:szCs w:val="28"/>
                <w:highlight w:val="none"/>
                <w:lang w:val="en-US" w:eastAsia="zh-CN" w:bidi="ar"/>
              </w:rPr>
              <w:t>若采用电子保函形式：按照政采云电子投标流程制作并上传电子保函；</w:t>
            </w:r>
          </w:p>
          <w:p w14:paraId="00CD33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10" w:beforeAutospacing="0" w:after="0" w:afterLines="10" w:afterAutospacing="0" w:line="320" w:lineRule="exact"/>
              <w:ind w:left="0" w:leftChars="0" w:right="0" w:rightChars="0"/>
              <w:jc w:val="both"/>
              <w:textAlignment w:val="auto"/>
              <w:rPr>
                <w:rFonts w:hint="eastAsia" w:ascii="仿宋_GB2312" w:hAnsi="仿宋_GB2312" w:eastAsia="仿宋_GB2312" w:cs="仿宋_GB2312"/>
                <w:i w:val="0"/>
                <w:iCs w:val="0"/>
                <w:caps w:val="0"/>
                <w:color w:val="000000"/>
                <w:spacing w:val="0"/>
                <w:kern w:val="0"/>
                <w:sz w:val="28"/>
                <w:szCs w:val="28"/>
                <w:highlight w:val="none"/>
                <w:lang w:val="en-US" w:eastAsia="zh-CN" w:bidi="ar"/>
              </w:rPr>
            </w:pPr>
            <w:r>
              <w:rPr>
                <w:rFonts w:hint="eastAsia" w:ascii="仿宋_GB2312" w:hAnsi="仿宋_GB2312" w:eastAsia="仿宋_GB2312" w:cs="仿宋_GB2312"/>
                <w:i w:val="0"/>
                <w:iCs w:val="0"/>
                <w:caps w:val="0"/>
                <w:color w:val="000000"/>
                <w:spacing w:val="0"/>
                <w:kern w:val="0"/>
                <w:sz w:val="28"/>
                <w:szCs w:val="28"/>
                <w:highlight w:val="none"/>
                <w:lang w:val="en-US" w:eastAsia="zh-CN" w:bidi="ar"/>
              </w:rPr>
              <w:t>（3）采用银行保函时，应将银行保函正本扫描件制作在投标文件中。</w:t>
            </w:r>
          </w:p>
          <w:p w14:paraId="01AB5566">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320" w:lineRule="exact"/>
              <w:ind w:left="0" w:right="0"/>
              <w:jc w:val="both"/>
              <w:textAlignment w:val="auto"/>
              <w:rPr>
                <w:rFonts w:hint="eastAsia"/>
                <w:highlight w:val="none"/>
                <w:lang w:val="en-US" w:eastAsia="zh-CN"/>
              </w:rPr>
            </w:pPr>
            <w:r>
              <w:rPr>
                <w:rFonts w:hint="eastAsia" w:ascii="仿宋_GB2312" w:hAnsi="仿宋_GB2312" w:eastAsia="仿宋_GB2312" w:cs="仿宋_GB2312"/>
                <w:b/>
                <w:bCs/>
                <w:i w:val="0"/>
                <w:iCs w:val="0"/>
                <w:caps w:val="0"/>
                <w:color w:val="000000"/>
                <w:spacing w:val="0"/>
                <w:kern w:val="0"/>
                <w:sz w:val="28"/>
                <w:szCs w:val="28"/>
                <w:highlight w:val="none"/>
                <w:lang w:val="en-US" w:eastAsia="zh-CN" w:bidi="ar"/>
              </w:rPr>
              <w:t>注：汇款时须投标人注明项目名称或项目编号，未标注视为未缴纳。</w:t>
            </w:r>
          </w:p>
        </w:tc>
      </w:tr>
      <w:tr w14:paraId="27241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70" w:type="dxa"/>
            <w:noWrap w:val="0"/>
            <w:vAlign w:val="center"/>
          </w:tcPr>
          <w:p w14:paraId="2263C26D">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default"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22</w:t>
            </w:r>
          </w:p>
        </w:tc>
        <w:tc>
          <w:tcPr>
            <w:tcW w:w="1698" w:type="dxa"/>
            <w:tcBorders>
              <w:right w:val="single" w:color="auto" w:sz="4" w:space="0"/>
            </w:tcBorders>
            <w:noWrap w:val="0"/>
            <w:vAlign w:val="center"/>
          </w:tcPr>
          <w:p w14:paraId="12DF4A80">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签字盖章</w:t>
            </w:r>
          </w:p>
        </w:tc>
        <w:tc>
          <w:tcPr>
            <w:tcW w:w="7007" w:type="dxa"/>
            <w:tcBorders>
              <w:left w:val="single" w:color="auto" w:sz="4" w:space="0"/>
            </w:tcBorders>
            <w:noWrap w:val="0"/>
            <w:vAlign w:val="center"/>
          </w:tcPr>
          <w:p w14:paraId="58C621CE">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400" w:lineRule="exact"/>
              <w:ind w:left="0" w:right="0"/>
              <w:jc w:val="both"/>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投标人必须按照招标文件的规定和要求签字、盖章</w:t>
            </w:r>
          </w:p>
        </w:tc>
      </w:tr>
      <w:tr w14:paraId="35E324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70" w:type="dxa"/>
            <w:noWrap w:val="0"/>
            <w:vAlign w:val="center"/>
          </w:tcPr>
          <w:p w14:paraId="0BA21AA3">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default"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23</w:t>
            </w:r>
          </w:p>
        </w:tc>
        <w:tc>
          <w:tcPr>
            <w:tcW w:w="1698" w:type="dxa"/>
            <w:tcBorders>
              <w:right w:val="single" w:color="auto" w:sz="4" w:space="0"/>
            </w:tcBorders>
            <w:noWrap w:val="0"/>
            <w:vAlign w:val="center"/>
          </w:tcPr>
          <w:p w14:paraId="6D7AA7AF">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标前准备</w:t>
            </w:r>
          </w:p>
        </w:tc>
        <w:tc>
          <w:tcPr>
            <w:tcW w:w="7007" w:type="dxa"/>
            <w:tcBorders>
              <w:left w:val="single" w:color="auto" w:sz="4" w:space="0"/>
            </w:tcBorders>
            <w:noWrap w:val="0"/>
            <w:vAlign w:val="center"/>
          </w:tcPr>
          <w:p w14:paraId="62D33F4D">
            <w:pPr>
              <w:pStyle w:val="23"/>
              <w:keepNext w:val="0"/>
              <w:keepLines w:val="0"/>
              <w:pageBreakBefore w:val="0"/>
              <w:widowControl/>
              <w:numPr>
                <w:ilvl w:val="0"/>
                <w:numId w:val="7"/>
              </w:numPr>
              <w:suppressLineNumbers w:val="0"/>
              <w:kinsoku/>
              <w:wordWrap/>
              <w:overflowPunct/>
              <w:topLinePunct w:val="0"/>
              <w:autoSpaceDE/>
              <w:autoSpaceDN/>
              <w:bidi w:val="0"/>
              <w:adjustRightInd/>
              <w:spacing w:before="75" w:beforeAutospacing="0" w:after="75" w:afterAutospacing="0" w:line="240" w:lineRule="auto"/>
              <w:ind w:left="0" w:right="0"/>
              <w:jc w:val="left"/>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本项目实行网上投标，采用电子投标文件(供应商须使用CA加密设备通过新疆政采云电子投标客户端制作投标文件)。若供应商参与投标，自行承担投标一切费用。</w:t>
            </w:r>
          </w:p>
          <w:p w14:paraId="2EC7BFFB">
            <w:pPr>
              <w:pStyle w:val="23"/>
              <w:keepNext w:val="0"/>
              <w:keepLines w:val="0"/>
              <w:pageBreakBefore w:val="0"/>
              <w:widowControl/>
              <w:numPr>
                <w:ilvl w:val="0"/>
                <w:numId w:val="0"/>
              </w:numPr>
              <w:suppressLineNumbers w:val="0"/>
              <w:kinsoku/>
              <w:wordWrap/>
              <w:overflowPunct/>
              <w:topLinePunct w:val="0"/>
              <w:autoSpaceDE/>
              <w:autoSpaceDN/>
              <w:bidi w:val="0"/>
              <w:adjustRightInd/>
              <w:spacing w:before="75" w:beforeAutospacing="0" w:after="75" w:afterAutospacing="0" w:line="240" w:lineRule="auto"/>
              <w:ind w:left="0" w:right="0" w:rightChars="0"/>
              <w:jc w:val="left"/>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2.各供应商应在开标前应确保成为新疆政府采购网正式注册入库供应商，并完成CA数字证书申领。因未注册入库、未办理CA数字证书等原因造成无法投标或投标失败等后果由供应商自行承担。</w:t>
            </w:r>
          </w:p>
          <w:p w14:paraId="41948473">
            <w:pPr>
              <w:pStyle w:val="23"/>
              <w:keepNext w:val="0"/>
              <w:keepLines w:val="0"/>
              <w:pageBreakBefore w:val="0"/>
              <w:widowControl/>
              <w:suppressLineNumbers w:val="0"/>
              <w:kinsoku/>
              <w:wordWrap/>
              <w:overflowPunct/>
              <w:topLinePunct w:val="0"/>
              <w:autoSpaceDE/>
              <w:autoSpaceDN/>
              <w:bidi w:val="0"/>
              <w:adjustRightInd/>
              <w:spacing w:before="75" w:beforeAutospacing="0" w:after="75" w:afterAutospacing="0" w:line="240" w:lineRule="auto"/>
              <w:ind w:left="0" w:right="0"/>
              <w:jc w:val="left"/>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3.供应商将政采云电子交易客户端下载、安装完成后，可通过账号密码或CA登录客户端进行投标文件制作。在使用新疆政采云投标客户端建议使用WIN7及以上操作系统。</w:t>
            </w:r>
          </w:p>
          <w:p w14:paraId="6D27C774">
            <w:pPr>
              <w:pStyle w:val="23"/>
              <w:keepNext w:val="0"/>
              <w:keepLines w:val="0"/>
              <w:pageBreakBefore w:val="0"/>
              <w:widowControl/>
              <w:suppressLineNumbers w:val="0"/>
              <w:kinsoku/>
              <w:wordWrap/>
              <w:overflowPunct/>
              <w:topLinePunct w:val="0"/>
              <w:autoSpaceDE/>
              <w:autoSpaceDN/>
              <w:bidi w:val="0"/>
              <w:adjustRightInd/>
              <w:spacing w:before="75" w:beforeAutospacing="0" w:after="75" w:afterAutospacing="0" w:line="240" w:lineRule="auto"/>
              <w:ind w:left="0" w:right="0"/>
              <w:jc w:val="left"/>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4.供应商在开标时须使用制作加密电子投标文件所使用CA锁及电脑，电脑须提前配置好浏览器（建议使用360浏览器兼容版或谷歌浏览器）以便开标时解锁。</w:t>
            </w:r>
          </w:p>
          <w:p w14:paraId="4D60D1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5.供应商对不见面开评标系统的技术操作咨询，可通过https://edu.zcygov.cn/luban/xinjiang-e-biding自助查询，也可在政采云帮助中心常见问题解答和操作流程讲解视频中自助查询，网址：</w:t>
            </w:r>
            <w:r>
              <w:rPr>
                <w:rFonts w:hint="eastAsia" w:ascii="仿宋_GB2312" w:hAnsi="仿宋_GB2312" w:eastAsia="仿宋_GB2312" w:cs="仿宋_GB2312"/>
                <w:i w:val="0"/>
                <w:iCs w:val="0"/>
                <w:caps w:val="0"/>
                <w:color w:val="000000"/>
                <w:spacing w:val="0"/>
                <w:kern w:val="0"/>
                <w:sz w:val="28"/>
                <w:szCs w:val="28"/>
                <w:lang w:val="en-US" w:eastAsia="zh-CN" w:bidi="ar"/>
              </w:rPr>
              <w:fldChar w:fldCharType="begin"/>
            </w:r>
            <w:r>
              <w:rPr>
                <w:rFonts w:hint="eastAsia" w:ascii="仿宋_GB2312" w:hAnsi="仿宋_GB2312" w:eastAsia="仿宋_GB2312" w:cs="仿宋_GB2312"/>
                <w:i w:val="0"/>
                <w:iCs w:val="0"/>
                <w:caps w:val="0"/>
                <w:color w:val="000000"/>
                <w:spacing w:val="0"/>
                <w:kern w:val="0"/>
                <w:sz w:val="28"/>
                <w:szCs w:val="28"/>
                <w:lang w:val="en-US" w:eastAsia="zh-CN" w:bidi="ar"/>
              </w:rPr>
              <w:instrText xml:space="preserve"> HYPERLINK "https://service.zcygov.cn/，\“项目采购\”—\“操作流程-电子招投标\”—\“政府采购项目电子交易管理操作指南-供应商\”版面获取操作指南，同时对自助查询无法解决的问题可通过钉钉群及政采云在线客服获取服务支持." </w:instrText>
            </w:r>
            <w:r>
              <w:rPr>
                <w:rFonts w:hint="eastAsia" w:ascii="仿宋_GB2312" w:hAnsi="仿宋_GB2312" w:eastAsia="仿宋_GB2312" w:cs="仿宋_GB2312"/>
                <w:i w:val="0"/>
                <w:iCs w:val="0"/>
                <w:caps w:val="0"/>
                <w:color w:val="000000"/>
                <w:spacing w:val="0"/>
                <w:kern w:val="0"/>
                <w:sz w:val="28"/>
                <w:szCs w:val="28"/>
                <w:lang w:val="en-US" w:eastAsia="zh-CN" w:bidi="ar"/>
              </w:rPr>
              <w:fldChar w:fldCharType="separate"/>
            </w:r>
            <w:r>
              <w:rPr>
                <w:rFonts w:hint="eastAsia" w:ascii="仿宋_GB2312" w:hAnsi="仿宋_GB2312" w:eastAsia="仿宋_GB2312" w:cs="仿宋_GB2312"/>
                <w:i w:val="0"/>
                <w:iCs w:val="0"/>
                <w:caps w:val="0"/>
                <w:color w:val="000000"/>
                <w:spacing w:val="0"/>
                <w:kern w:val="0"/>
                <w:sz w:val="28"/>
                <w:szCs w:val="28"/>
                <w:lang w:val="en-US" w:eastAsia="zh-CN" w:bidi="ar"/>
              </w:rPr>
              <w:t>https://service.zcygov.cn/，“项目采购”—“操作流程-电子招投标”—“政府采购项目电子交易管理操作指南-供应商”版面获取操作指南，同时对自助查询无法解决的问题可通过政采云在线客服获取服务。</w:t>
            </w:r>
            <w:r>
              <w:rPr>
                <w:rFonts w:hint="eastAsia" w:ascii="仿宋_GB2312" w:hAnsi="仿宋_GB2312" w:eastAsia="仿宋_GB2312" w:cs="仿宋_GB2312"/>
                <w:i w:val="0"/>
                <w:iCs w:val="0"/>
                <w:caps w:val="0"/>
                <w:color w:val="000000"/>
                <w:spacing w:val="0"/>
                <w:kern w:val="0"/>
                <w:sz w:val="28"/>
                <w:szCs w:val="28"/>
                <w:lang w:val="en-US" w:eastAsia="zh-CN" w:bidi="ar"/>
              </w:rPr>
              <w:fldChar w:fldCharType="end"/>
            </w:r>
          </w:p>
          <w:p w14:paraId="780F0F16">
            <w:pPr>
              <w:pStyle w:val="2"/>
              <w:keepNext w:val="0"/>
              <w:keepLines w:val="0"/>
              <w:suppressLineNumbers w:val="0"/>
              <w:spacing w:before="0" w:beforeAutospacing="0" w:after="0" w:afterAutospacing="0" w:line="240" w:lineRule="auto"/>
              <w:ind w:left="0" w:leftChars="0" w:right="0" w:firstLine="0" w:firstLineChars="0"/>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6.开标当日，投标人无需到达开标现场，仅需在任意地点通过政采云平台（登录地址详见网站操作手册）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那把锁解密）。</w:t>
            </w:r>
          </w:p>
        </w:tc>
      </w:tr>
      <w:tr w14:paraId="4C4EAD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jc w:val="center"/>
        </w:trPr>
        <w:tc>
          <w:tcPr>
            <w:tcW w:w="670" w:type="dxa"/>
            <w:noWrap w:val="0"/>
            <w:vAlign w:val="center"/>
          </w:tcPr>
          <w:p w14:paraId="113B2FDD">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default"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24</w:t>
            </w:r>
          </w:p>
        </w:tc>
        <w:tc>
          <w:tcPr>
            <w:tcW w:w="1698" w:type="dxa"/>
            <w:tcBorders>
              <w:right w:val="single" w:color="auto" w:sz="4" w:space="0"/>
            </w:tcBorders>
            <w:noWrap w:val="0"/>
            <w:vAlign w:val="center"/>
          </w:tcPr>
          <w:p w14:paraId="59085C4E">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评标委员</w:t>
            </w:r>
          </w:p>
          <w:p w14:paraId="38E60746">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的组建</w:t>
            </w:r>
          </w:p>
        </w:tc>
        <w:tc>
          <w:tcPr>
            <w:tcW w:w="7007" w:type="dxa"/>
            <w:tcBorders>
              <w:left w:val="single" w:color="auto" w:sz="4" w:space="0"/>
            </w:tcBorders>
            <w:noWrap w:val="0"/>
            <w:vAlign w:val="center"/>
          </w:tcPr>
          <w:p w14:paraId="0A558E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i w:val="0"/>
                <w:iCs w:val="0"/>
                <w:caps w:val="0"/>
                <w:color w:val="000000"/>
                <w:spacing w:val="0"/>
                <w:kern w:val="0"/>
                <w:sz w:val="28"/>
                <w:szCs w:val="28"/>
                <w:highlight w:val="none"/>
                <w:lang w:val="en-US" w:eastAsia="zh-CN" w:bidi="ar"/>
              </w:rPr>
            </w:pPr>
            <w:r>
              <w:rPr>
                <w:rFonts w:hint="eastAsia" w:ascii="仿宋_GB2312" w:hAnsi="仿宋_GB2312" w:eastAsia="仿宋_GB2312" w:cs="仿宋_GB2312"/>
                <w:i w:val="0"/>
                <w:iCs w:val="0"/>
                <w:caps w:val="0"/>
                <w:color w:val="000000"/>
                <w:spacing w:val="0"/>
                <w:kern w:val="0"/>
                <w:sz w:val="28"/>
                <w:szCs w:val="28"/>
                <w:highlight w:val="none"/>
                <w:lang w:val="en-US" w:eastAsia="zh-CN" w:bidi="ar"/>
              </w:rPr>
              <w:t>评标委员会的构成：由</w:t>
            </w:r>
            <w:r>
              <w:rPr>
                <w:rFonts w:hint="eastAsia" w:ascii="仿宋_GB2312" w:hAnsi="仿宋_GB2312" w:eastAsia="仿宋_GB2312" w:cs="仿宋_GB2312"/>
                <w:i w:val="0"/>
                <w:iCs w:val="0"/>
                <w:caps w:val="0"/>
                <w:color w:val="000000"/>
                <w:spacing w:val="0"/>
                <w:kern w:val="0"/>
                <w:sz w:val="28"/>
                <w:szCs w:val="28"/>
                <w:highlight w:val="none"/>
                <w:u w:val="single"/>
                <w:lang w:val="en-US" w:eastAsia="zh-CN" w:bidi="ar"/>
              </w:rPr>
              <w:t xml:space="preserve"> 5人</w:t>
            </w:r>
            <w:r>
              <w:rPr>
                <w:rFonts w:hint="eastAsia" w:ascii="仿宋_GB2312" w:hAnsi="仿宋_GB2312" w:eastAsia="仿宋_GB2312" w:cs="仿宋_GB2312"/>
                <w:i w:val="0"/>
                <w:iCs w:val="0"/>
                <w:caps w:val="0"/>
                <w:color w:val="000000"/>
                <w:spacing w:val="0"/>
                <w:kern w:val="0"/>
                <w:sz w:val="28"/>
                <w:szCs w:val="28"/>
                <w:highlight w:val="none"/>
                <w:lang w:val="en-US" w:eastAsia="zh-CN" w:bidi="ar"/>
              </w:rPr>
              <w:t>组成，其中：业主专家</w:t>
            </w:r>
            <w:r>
              <w:rPr>
                <w:rFonts w:hint="eastAsia" w:ascii="仿宋_GB2312" w:hAnsi="仿宋_GB2312" w:eastAsia="仿宋_GB2312" w:cs="仿宋_GB2312"/>
                <w:i w:val="0"/>
                <w:iCs w:val="0"/>
                <w:caps w:val="0"/>
                <w:color w:val="000000"/>
                <w:spacing w:val="0"/>
                <w:kern w:val="0"/>
                <w:sz w:val="28"/>
                <w:szCs w:val="28"/>
                <w:highlight w:val="none"/>
                <w:u w:val="single"/>
                <w:lang w:val="en-US" w:eastAsia="zh-CN" w:bidi="ar"/>
              </w:rPr>
              <w:t xml:space="preserve"> 1 人</w:t>
            </w:r>
            <w:r>
              <w:rPr>
                <w:rFonts w:hint="eastAsia" w:ascii="仿宋_GB2312" w:hAnsi="仿宋_GB2312" w:eastAsia="仿宋_GB2312" w:cs="仿宋_GB2312"/>
                <w:i w:val="0"/>
                <w:iCs w:val="0"/>
                <w:caps w:val="0"/>
                <w:color w:val="000000"/>
                <w:spacing w:val="0"/>
                <w:kern w:val="0"/>
                <w:sz w:val="28"/>
                <w:szCs w:val="28"/>
                <w:highlight w:val="none"/>
                <w:lang w:val="en-US" w:eastAsia="zh-CN" w:bidi="ar"/>
              </w:rPr>
              <w:t>；</w:t>
            </w:r>
          </w:p>
          <w:p w14:paraId="5602ED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_GB2312" w:hAnsi="仿宋_GB2312" w:eastAsia="仿宋_GB2312" w:cs="仿宋_GB2312"/>
                <w:i w:val="0"/>
                <w:iCs w:val="0"/>
                <w:caps w:val="0"/>
                <w:color w:val="000000"/>
                <w:spacing w:val="0"/>
                <w:kern w:val="0"/>
                <w:sz w:val="28"/>
                <w:szCs w:val="28"/>
                <w:highlight w:val="none"/>
                <w:lang w:val="en-US" w:eastAsia="zh-CN" w:bidi="ar"/>
              </w:rPr>
              <w:t>评标专家确定方式：由招标代理在</w:t>
            </w:r>
            <w:r>
              <w:rPr>
                <w:rFonts w:hint="eastAsia" w:ascii="仿宋_GB2312" w:hAnsi="仿宋_GB2312" w:eastAsia="仿宋_GB2312" w:cs="仿宋_GB2312"/>
                <w:i w:val="0"/>
                <w:iCs w:val="0"/>
                <w:caps w:val="0"/>
                <w:color w:val="000000"/>
                <w:spacing w:val="0"/>
                <w:kern w:val="0"/>
                <w:sz w:val="28"/>
                <w:szCs w:val="28"/>
                <w:highlight w:val="none"/>
                <w:u w:val="single"/>
                <w:lang w:val="en-US" w:eastAsia="zh-CN" w:bidi="ar"/>
              </w:rPr>
              <w:t>开标前 48 小时</w:t>
            </w:r>
            <w:r>
              <w:rPr>
                <w:rFonts w:hint="eastAsia" w:ascii="仿宋_GB2312" w:hAnsi="仿宋_GB2312" w:eastAsia="仿宋_GB2312" w:cs="仿宋_GB2312"/>
                <w:i w:val="0"/>
                <w:iCs w:val="0"/>
                <w:caps w:val="0"/>
                <w:color w:val="000000"/>
                <w:spacing w:val="0"/>
                <w:kern w:val="0"/>
                <w:sz w:val="28"/>
                <w:szCs w:val="28"/>
                <w:highlight w:val="none"/>
                <w:lang w:val="en-US" w:eastAsia="zh-CN" w:bidi="ar"/>
              </w:rPr>
              <w:t>在政采云专家库中随机抽取此次评标专家。</w:t>
            </w:r>
          </w:p>
        </w:tc>
      </w:tr>
      <w:tr w14:paraId="42FC8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jc w:val="center"/>
        </w:trPr>
        <w:tc>
          <w:tcPr>
            <w:tcW w:w="670" w:type="dxa"/>
            <w:noWrap w:val="0"/>
            <w:vAlign w:val="center"/>
          </w:tcPr>
          <w:p w14:paraId="703011EB">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default"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25</w:t>
            </w:r>
          </w:p>
        </w:tc>
        <w:tc>
          <w:tcPr>
            <w:tcW w:w="1698" w:type="dxa"/>
            <w:tcBorders>
              <w:right w:val="single" w:color="auto" w:sz="4" w:space="0"/>
            </w:tcBorders>
            <w:noWrap w:val="0"/>
            <w:vAlign w:val="center"/>
          </w:tcPr>
          <w:p w14:paraId="0EEE7628">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履约保证金</w:t>
            </w:r>
          </w:p>
        </w:tc>
        <w:tc>
          <w:tcPr>
            <w:tcW w:w="7007" w:type="dxa"/>
            <w:tcBorders>
              <w:left w:val="single" w:color="auto" w:sz="4" w:space="0"/>
            </w:tcBorders>
            <w:noWrap w:val="0"/>
            <w:vAlign w:val="center"/>
          </w:tcPr>
          <w:p w14:paraId="65FE79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i w:val="0"/>
                <w:iCs w:val="0"/>
                <w:caps w:val="0"/>
                <w:color w:val="000000"/>
                <w:spacing w:val="0"/>
                <w:kern w:val="0"/>
                <w:sz w:val="28"/>
                <w:szCs w:val="28"/>
                <w:highlight w:val="none"/>
                <w:u w:val="single"/>
                <w:lang w:val="en-US" w:eastAsia="zh-CN" w:bidi="ar"/>
              </w:rPr>
            </w:pPr>
            <w:r>
              <w:rPr>
                <w:rFonts w:hint="eastAsia" w:ascii="仿宋_GB2312" w:hAnsi="仿宋_GB2312" w:eastAsia="仿宋_GB2312" w:cs="仿宋_GB2312"/>
                <w:i w:val="0"/>
                <w:iCs w:val="0"/>
                <w:caps w:val="0"/>
                <w:color w:val="000000"/>
                <w:spacing w:val="0"/>
                <w:kern w:val="0"/>
                <w:sz w:val="28"/>
                <w:szCs w:val="28"/>
                <w:highlight w:val="none"/>
                <w:lang w:val="en-US" w:eastAsia="zh-CN" w:bidi="ar"/>
              </w:rPr>
              <w:t>履约保证金金额：</w:t>
            </w:r>
            <w:r>
              <w:rPr>
                <w:rFonts w:hint="eastAsia" w:ascii="仿宋_GB2312" w:hAnsi="仿宋_GB2312" w:eastAsia="仿宋_GB2312" w:cs="仿宋_GB2312"/>
                <w:i w:val="0"/>
                <w:iCs w:val="0"/>
                <w:caps w:val="0"/>
                <w:color w:val="000000"/>
                <w:spacing w:val="0"/>
                <w:kern w:val="0"/>
                <w:sz w:val="28"/>
                <w:szCs w:val="28"/>
                <w:highlight w:val="none"/>
                <w:u w:val="single"/>
                <w:lang w:val="en-US" w:eastAsia="zh-CN" w:bidi="ar"/>
              </w:rPr>
              <w:t>合同总价的3%</w:t>
            </w:r>
          </w:p>
          <w:p w14:paraId="49B612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i w:val="0"/>
                <w:iCs w:val="0"/>
                <w:caps w:val="0"/>
                <w:color w:val="000000"/>
                <w:spacing w:val="0"/>
                <w:kern w:val="0"/>
                <w:sz w:val="28"/>
                <w:szCs w:val="28"/>
                <w:highlight w:val="none"/>
                <w:lang w:val="en-US" w:eastAsia="zh-CN" w:bidi="ar"/>
              </w:rPr>
            </w:pPr>
            <w:r>
              <w:rPr>
                <w:rFonts w:hint="eastAsia" w:ascii="仿宋_GB2312" w:hAnsi="仿宋_GB2312" w:eastAsia="仿宋_GB2312" w:cs="仿宋_GB2312"/>
                <w:i w:val="0"/>
                <w:iCs w:val="0"/>
                <w:caps w:val="0"/>
                <w:color w:val="000000"/>
                <w:spacing w:val="0"/>
                <w:kern w:val="0"/>
                <w:sz w:val="28"/>
                <w:szCs w:val="28"/>
                <w:highlight w:val="none"/>
                <w:lang w:val="en-US" w:eastAsia="zh-CN" w:bidi="ar"/>
              </w:rPr>
              <w:t>履约保证金形式：</w:t>
            </w:r>
            <w:r>
              <w:rPr>
                <w:rFonts w:hint="eastAsia" w:ascii="仿宋_GB2312" w:hAnsi="仿宋_GB2312" w:eastAsia="仿宋_GB2312" w:cs="仿宋_GB2312"/>
                <w:i w:val="0"/>
                <w:iCs w:val="0"/>
                <w:caps w:val="0"/>
                <w:color w:val="auto"/>
                <w:spacing w:val="0"/>
                <w:kern w:val="0"/>
                <w:sz w:val="28"/>
                <w:szCs w:val="28"/>
                <w:highlight w:val="none"/>
                <w:u w:val="single"/>
                <w:lang w:val="en-US" w:eastAsia="zh-CN" w:bidi="ar"/>
              </w:rPr>
              <w:t>公对公转账或保函</w:t>
            </w:r>
          </w:p>
          <w:p w14:paraId="45FC41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i w:val="0"/>
                <w:iCs w:val="0"/>
                <w:caps w:val="0"/>
                <w:color w:val="000000"/>
                <w:spacing w:val="0"/>
                <w:kern w:val="0"/>
                <w:sz w:val="28"/>
                <w:szCs w:val="28"/>
                <w:highlight w:val="none"/>
                <w:lang w:val="en-US" w:eastAsia="zh-CN" w:bidi="ar"/>
              </w:rPr>
            </w:pPr>
            <w:r>
              <w:rPr>
                <w:rFonts w:hint="eastAsia" w:ascii="仿宋_GB2312" w:hAnsi="仿宋_GB2312" w:eastAsia="仿宋_GB2312" w:cs="仿宋_GB2312"/>
                <w:i w:val="0"/>
                <w:iCs w:val="0"/>
                <w:caps w:val="0"/>
                <w:color w:val="000000"/>
                <w:spacing w:val="0"/>
                <w:kern w:val="0"/>
                <w:sz w:val="28"/>
                <w:szCs w:val="28"/>
                <w:highlight w:val="none"/>
                <w:lang w:val="en-US" w:eastAsia="zh-CN" w:bidi="ar"/>
              </w:rPr>
              <w:t>提交履约保证金的时间：</w:t>
            </w:r>
            <w:r>
              <w:rPr>
                <w:rFonts w:hint="eastAsia" w:ascii="仿宋_GB2312" w:hAnsi="仿宋_GB2312" w:eastAsia="仿宋_GB2312" w:cs="仿宋_GB2312"/>
                <w:i w:val="0"/>
                <w:iCs w:val="0"/>
                <w:caps w:val="0"/>
                <w:color w:val="000000"/>
                <w:spacing w:val="0"/>
                <w:kern w:val="0"/>
                <w:sz w:val="28"/>
                <w:szCs w:val="28"/>
                <w:highlight w:val="none"/>
                <w:u w:val="single"/>
                <w:lang w:val="en-US" w:eastAsia="zh-CN" w:bidi="ar"/>
              </w:rPr>
              <w:t>领取成交通知书5日内（日历日）</w:t>
            </w:r>
          </w:p>
          <w:p w14:paraId="4434EA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auto"/>
                <w:kern w:val="0"/>
                <w:sz w:val="24"/>
                <w:szCs w:val="24"/>
                <w:highlight w:val="none"/>
                <w:lang w:val="en-US" w:eastAsia="zh-CN" w:bidi="ar"/>
              </w:rPr>
            </w:pPr>
            <w:r>
              <w:rPr>
                <w:rFonts w:hint="eastAsia" w:ascii="仿宋_GB2312" w:hAnsi="仿宋_GB2312" w:eastAsia="仿宋_GB2312" w:cs="仿宋_GB2312"/>
                <w:i w:val="0"/>
                <w:iCs w:val="0"/>
                <w:caps w:val="0"/>
                <w:color w:val="000000"/>
                <w:spacing w:val="0"/>
                <w:kern w:val="0"/>
                <w:sz w:val="28"/>
                <w:szCs w:val="28"/>
                <w:highlight w:val="none"/>
                <w:lang w:val="en-US" w:eastAsia="zh-CN" w:bidi="ar"/>
              </w:rPr>
              <w:t xml:space="preserve">提交履约保证金后2个工作日内双方签订合同，中标人与招标人签订合同前提交履约保证金，如中标人未按招标文件规定的工期服务、实施过程中的设计变更、施工配合、验收配合等服务完毕，则扣除履约保证金。              </w:t>
            </w:r>
          </w:p>
        </w:tc>
      </w:tr>
      <w:tr w14:paraId="3D0901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7" w:hRule="atLeast"/>
          <w:jc w:val="center"/>
        </w:trPr>
        <w:tc>
          <w:tcPr>
            <w:tcW w:w="670" w:type="dxa"/>
            <w:noWrap w:val="0"/>
            <w:vAlign w:val="center"/>
          </w:tcPr>
          <w:p w14:paraId="57B4B820">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default"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26</w:t>
            </w:r>
          </w:p>
        </w:tc>
        <w:tc>
          <w:tcPr>
            <w:tcW w:w="1698" w:type="dxa"/>
            <w:tcBorders>
              <w:right w:val="single" w:color="auto" w:sz="4" w:space="0"/>
            </w:tcBorders>
            <w:noWrap w:val="0"/>
            <w:vAlign w:val="center"/>
          </w:tcPr>
          <w:p w14:paraId="532C9D8A">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招标代理   服务费</w:t>
            </w:r>
          </w:p>
        </w:tc>
        <w:tc>
          <w:tcPr>
            <w:tcW w:w="7007" w:type="dxa"/>
            <w:tcBorders>
              <w:left w:val="single" w:color="auto" w:sz="4" w:space="0"/>
            </w:tcBorders>
            <w:noWrap w:val="0"/>
            <w:vAlign w:val="center"/>
          </w:tcPr>
          <w:p w14:paraId="16B958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中标服务费：招标代理服务费计算按照“</w:t>
            </w:r>
            <w:r>
              <w:rPr>
                <w:rFonts w:hint="eastAsia" w:ascii="仿宋_GB2312" w:hAnsi="仿宋_GB2312" w:eastAsia="仿宋_GB2312" w:cs="仿宋_GB2312"/>
                <w:i w:val="0"/>
                <w:iCs w:val="0"/>
                <w:caps w:val="0"/>
                <w:color w:val="000000"/>
                <w:spacing w:val="0"/>
                <w:kern w:val="0"/>
                <w:sz w:val="28"/>
                <w:szCs w:val="28"/>
                <w:u w:val="single"/>
                <w:lang w:val="en-US" w:eastAsia="zh-CN" w:bidi="ar"/>
              </w:rPr>
              <w:t>《国家发展改革委关于进一步放开建设项目专业服务价格的通知》【2015】299号文件</w:t>
            </w:r>
            <w:r>
              <w:rPr>
                <w:rFonts w:hint="eastAsia" w:ascii="仿宋_GB2312" w:hAnsi="仿宋_GB2312" w:eastAsia="仿宋_GB2312" w:cs="仿宋_GB2312"/>
                <w:i w:val="0"/>
                <w:iCs w:val="0"/>
                <w:caps w:val="0"/>
                <w:color w:val="000000"/>
                <w:spacing w:val="0"/>
                <w:kern w:val="0"/>
                <w:sz w:val="28"/>
                <w:szCs w:val="28"/>
                <w:lang w:val="en-US" w:eastAsia="zh-CN" w:bidi="ar"/>
              </w:rPr>
              <w:t>”执行；</w:t>
            </w:r>
          </w:p>
          <w:p w14:paraId="017DA5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i w:val="0"/>
                <w:iCs w:val="0"/>
                <w:caps w:val="0"/>
                <w:color w:val="000000"/>
                <w:spacing w:val="0"/>
                <w:kern w:val="0"/>
                <w:sz w:val="28"/>
                <w:szCs w:val="28"/>
                <w:u w:val="single"/>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支付时间：</w:t>
            </w:r>
            <w:r>
              <w:rPr>
                <w:rFonts w:hint="eastAsia" w:ascii="仿宋_GB2312" w:hAnsi="仿宋_GB2312" w:eastAsia="仿宋_GB2312" w:cs="仿宋_GB2312"/>
                <w:i w:val="0"/>
                <w:iCs w:val="0"/>
                <w:caps w:val="0"/>
                <w:color w:val="000000"/>
                <w:spacing w:val="0"/>
                <w:kern w:val="0"/>
                <w:sz w:val="28"/>
                <w:szCs w:val="28"/>
                <w:u w:val="single"/>
                <w:lang w:val="en-US" w:eastAsia="zh-CN" w:bidi="ar"/>
              </w:rPr>
              <w:t>由中标企业在领取中标通知书时一次性支付</w:t>
            </w:r>
          </w:p>
          <w:p w14:paraId="61CEBA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仿宋" w:hAnsi="仿宋" w:eastAsia="仿宋" w:cs="仿宋"/>
                <w:bCs/>
                <w:color w:val="auto"/>
                <w:sz w:val="24"/>
                <w:szCs w:val="24"/>
                <w:highlight w:val="none"/>
                <w:lang w:val="en-US"/>
              </w:rPr>
            </w:pPr>
            <w:r>
              <w:rPr>
                <w:rFonts w:hint="eastAsia" w:ascii="仿宋_GB2312" w:hAnsi="仿宋_GB2312" w:eastAsia="仿宋_GB2312" w:cs="仿宋_GB2312"/>
                <w:i w:val="0"/>
                <w:iCs w:val="0"/>
                <w:caps w:val="0"/>
                <w:color w:val="000000"/>
                <w:spacing w:val="0"/>
                <w:kern w:val="0"/>
                <w:sz w:val="28"/>
                <w:szCs w:val="28"/>
                <w:lang w:val="en-US" w:eastAsia="zh-CN" w:bidi="ar"/>
              </w:rPr>
              <w:t>支付形式：</w:t>
            </w:r>
            <w:r>
              <w:rPr>
                <w:rFonts w:hint="eastAsia" w:ascii="仿宋_GB2312" w:hAnsi="仿宋_GB2312" w:eastAsia="仿宋_GB2312" w:cs="仿宋_GB2312"/>
                <w:i w:val="0"/>
                <w:iCs w:val="0"/>
                <w:caps w:val="0"/>
                <w:color w:val="000000"/>
                <w:spacing w:val="0"/>
                <w:kern w:val="0"/>
                <w:sz w:val="28"/>
                <w:szCs w:val="28"/>
                <w:u w:val="single"/>
                <w:lang w:val="en-US" w:eastAsia="zh-CN" w:bidi="ar"/>
              </w:rPr>
              <w:t xml:space="preserve">  转账  </w:t>
            </w:r>
          </w:p>
        </w:tc>
      </w:tr>
      <w:tr w14:paraId="099C9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jc w:val="center"/>
        </w:trPr>
        <w:tc>
          <w:tcPr>
            <w:tcW w:w="670" w:type="dxa"/>
            <w:tcBorders>
              <w:top w:val="single" w:color="auto" w:sz="4" w:space="0"/>
            </w:tcBorders>
            <w:noWrap w:val="0"/>
            <w:vAlign w:val="center"/>
          </w:tcPr>
          <w:p w14:paraId="654DF5AD">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default"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27</w:t>
            </w:r>
          </w:p>
        </w:tc>
        <w:tc>
          <w:tcPr>
            <w:tcW w:w="1698" w:type="dxa"/>
            <w:tcBorders>
              <w:top w:val="single" w:color="auto" w:sz="4" w:space="0"/>
              <w:right w:val="single" w:color="auto" w:sz="4" w:space="0"/>
            </w:tcBorders>
            <w:noWrap w:val="0"/>
            <w:vAlign w:val="center"/>
          </w:tcPr>
          <w:p w14:paraId="2F5AD707">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中标供应商</w:t>
            </w:r>
          </w:p>
          <w:p w14:paraId="65D75D16">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须递交响应</w:t>
            </w:r>
          </w:p>
          <w:p w14:paraId="7D3AE20F">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default"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文件的要求</w:t>
            </w:r>
          </w:p>
        </w:tc>
        <w:tc>
          <w:tcPr>
            <w:tcW w:w="7007" w:type="dxa"/>
            <w:tcBorders>
              <w:top w:val="single" w:color="auto" w:sz="4" w:space="0"/>
              <w:left w:val="single" w:color="auto" w:sz="4" w:space="0"/>
            </w:tcBorders>
            <w:noWrap w:val="0"/>
            <w:vAlign w:val="center"/>
          </w:tcPr>
          <w:p w14:paraId="60F27302">
            <w:pPr>
              <w:keepNext w:val="0"/>
              <w:keepLines w:val="0"/>
              <w:numPr>
                <w:ilvl w:val="0"/>
                <w:numId w:val="0"/>
              </w:numPr>
              <w:suppressLineNumbers w:val="0"/>
              <w:adjustRightInd w:val="0"/>
              <w:snapToGrid w:val="0"/>
              <w:spacing w:before="0" w:beforeAutospacing="0" w:after="0" w:afterAutospacing="0" w:line="240" w:lineRule="auto"/>
              <w:ind w:left="0" w:leftChars="0" w:right="0" w:firstLine="0" w:firstLineChars="0"/>
              <w:rPr>
                <w:rFonts w:hint="eastAsia" w:ascii="仿宋" w:hAnsi="仿宋" w:eastAsia="仿宋" w:cs="仿宋"/>
                <w:bCs/>
                <w:kern w:val="2"/>
                <w:sz w:val="24"/>
                <w:szCs w:val="24"/>
                <w:lang w:val="en-US" w:eastAsia="zh-CN" w:bidi="ar-SA"/>
              </w:rPr>
            </w:pPr>
            <w:r>
              <w:rPr>
                <w:rFonts w:hint="eastAsia" w:ascii="仿宋_GB2312" w:hAnsi="仿宋_GB2312" w:eastAsia="仿宋_GB2312" w:cs="仿宋_GB2312"/>
                <w:i w:val="0"/>
                <w:iCs w:val="0"/>
                <w:caps w:val="0"/>
                <w:color w:val="000000"/>
                <w:spacing w:val="0"/>
                <w:kern w:val="0"/>
                <w:sz w:val="28"/>
                <w:szCs w:val="28"/>
                <w:lang w:val="en-US" w:eastAsia="zh-CN" w:bidi="ar"/>
              </w:rPr>
              <w:t>中标单位在领取中标通知书时须递交纸质投标文件三份</w:t>
            </w:r>
            <w:r>
              <w:rPr>
                <w:rFonts w:hint="eastAsia" w:ascii="仿宋_GB2312" w:hAnsi="仿宋_GB2312" w:eastAsia="仿宋_GB2312" w:cs="仿宋_GB2312"/>
                <w:i w:val="0"/>
                <w:iCs w:val="0"/>
                <w:caps w:val="0"/>
                <w:color w:val="000000"/>
                <w:spacing w:val="0"/>
                <w:kern w:val="0"/>
                <w:sz w:val="28"/>
                <w:szCs w:val="28"/>
                <w:u w:val="single"/>
                <w:lang w:val="en-US" w:eastAsia="zh-CN" w:bidi="ar"/>
              </w:rPr>
              <w:t>（正本一份，副本二份）</w:t>
            </w:r>
            <w:r>
              <w:rPr>
                <w:rFonts w:hint="eastAsia" w:ascii="仿宋_GB2312" w:hAnsi="仿宋_GB2312" w:eastAsia="仿宋_GB2312" w:cs="仿宋_GB2312"/>
                <w:i w:val="0"/>
                <w:iCs w:val="0"/>
                <w:caps w:val="0"/>
                <w:color w:val="000000"/>
                <w:spacing w:val="0"/>
                <w:kern w:val="0"/>
                <w:sz w:val="28"/>
                <w:szCs w:val="28"/>
                <w:lang w:val="en-US" w:eastAsia="zh-CN" w:bidi="ar"/>
              </w:rPr>
              <w:t>，按政采云电子投标文件格式顺序打印胶装。</w:t>
            </w:r>
          </w:p>
        </w:tc>
      </w:tr>
      <w:tr w14:paraId="4597D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jc w:val="center"/>
        </w:trPr>
        <w:tc>
          <w:tcPr>
            <w:tcW w:w="670" w:type="dxa"/>
            <w:tcBorders>
              <w:top w:val="single" w:color="auto" w:sz="4" w:space="0"/>
            </w:tcBorders>
            <w:noWrap w:val="0"/>
            <w:vAlign w:val="center"/>
          </w:tcPr>
          <w:p w14:paraId="6FCB4FDC">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default"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28</w:t>
            </w:r>
          </w:p>
        </w:tc>
        <w:tc>
          <w:tcPr>
            <w:tcW w:w="1698" w:type="dxa"/>
            <w:tcBorders>
              <w:top w:val="single" w:color="auto" w:sz="4" w:space="0"/>
              <w:right w:val="single" w:color="auto" w:sz="4" w:space="0"/>
            </w:tcBorders>
            <w:noWrap w:val="0"/>
            <w:vAlign w:val="center"/>
          </w:tcPr>
          <w:p w14:paraId="55B81B02">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leftChars="0" w:right="0" w:rightChars="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落实政府采购政策需满足资格要求</w:t>
            </w:r>
          </w:p>
        </w:tc>
        <w:tc>
          <w:tcPr>
            <w:tcW w:w="7007" w:type="dxa"/>
            <w:tcBorders>
              <w:top w:val="single" w:color="auto" w:sz="4" w:space="0"/>
              <w:left w:val="single" w:color="auto" w:sz="4" w:space="0"/>
            </w:tcBorders>
            <w:noWrap w:val="0"/>
            <w:vAlign w:val="center"/>
          </w:tcPr>
          <w:p w14:paraId="404B4C74">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240" w:lineRule="auto"/>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highlight w:val="none"/>
                <w:lang w:val="en-US" w:eastAsia="zh-CN" w:bidi="ar"/>
              </w:rPr>
            </w:pPr>
            <w:r>
              <w:rPr>
                <w:rFonts w:hint="eastAsia" w:ascii="仿宋_GB2312" w:hAnsi="仿宋_GB2312" w:eastAsia="仿宋_GB2312" w:cs="仿宋_GB2312"/>
                <w:i w:val="0"/>
                <w:iCs w:val="0"/>
                <w:caps w:val="0"/>
                <w:color w:val="000000"/>
                <w:spacing w:val="0"/>
                <w:kern w:val="0"/>
                <w:sz w:val="28"/>
                <w:szCs w:val="28"/>
                <w:highlight w:val="none"/>
                <w:lang w:val="en-US" w:eastAsia="zh-CN" w:bidi="ar"/>
              </w:rPr>
              <w:t xml:space="preserve"> （1）财政部、工业和信息化部《关于印发《政府采购促进中小企业发展管理办法》的通知》（财库[2020]46号文）《关于进一步加大政府采购支持中小企业力度的通知》（财库[2022]19号文）； </w:t>
            </w:r>
          </w:p>
          <w:p w14:paraId="601922AD">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240" w:lineRule="auto"/>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highlight w:val="none"/>
                <w:lang w:val="en-US" w:eastAsia="zh-CN" w:bidi="ar"/>
              </w:rPr>
            </w:pPr>
            <w:r>
              <w:rPr>
                <w:rFonts w:hint="eastAsia" w:ascii="仿宋_GB2312" w:hAnsi="仿宋_GB2312" w:eastAsia="仿宋_GB2312" w:cs="仿宋_GB2312"/>
                <w:i w:val="0"/>
                <w:iCs w:val="0"/>
                <w:caps w:val="0"/>
                <w:color w:val="000000"/>
                <w:spacing w:val="0"/>
                <w:kern w:val="0"/>
                <w:sz w:val="28"/>
                <w:szCs w:val="28"/>
                <w:highlight w:val="none"/>
                <w:lang w:val="en-US" w:eastAsia="zh-CN" w:bidi="ar"/>
              </w:rPr>
              <w:t xml:space="preserve">（2）财政部、民政部、中国残疾人联合会《关于促进残疾人就业政府采购政策的通知》（财库[2017]141号）；  </w:t>
            </w:r>
          </w:p>
          <w:p w14:paraId="1A5E1E64">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240" w:lineRule="auto"/>
              <w:ind w:left="0" w:right="0" w:firstLine="0" w:firstLineChars="0"/>
              <w:jc w:val="both"/>
              <w:textAlignment w:val="auto"/>
              <w:rPr>
                <w:rFonts w:hint="eastAsia" w:ascii="仿宋_GB2312" w:hAnsi="仿宋_GB2312" w:eastAsia="仿宋_GB2312" w:cs="仿宋_GB2312"/>
                <w:i w:val="0"/>
                <w:iCs w:val="0"/>
                <w:caps w:val="0"/>
                <w:color w:val="000000"/>
                <w:spacing w:val="0"/>
                <w:kern w:val="0"/>
                <w:sz w:val="28"/>
                <w:szCs w:val="28"/>
                <w:highlight w:val="none"/>
                <w:lang w:val="en-US" w:eastAsia="zh-CN" w:bidi="ar"/>
              </w:rPr>
            </w:pPr>
            <w:r>
              <w:rPr>
                <w:rFonts w:hint="eastAsia" w:ascii="仿宋_GB2312" w:hAnsi="仿宋_GB2312" w:eastAsia="仿宋_GB2312" w:cs="仿宋_GB2312"/>
                <w:i w:val="0"/>
                <w:iCs w:val="0"/>
                <w:caps w:val="0"/>
                <w:color w:val="000000"/>
                <w:spacing w:val="0"/>
                <w:kern w:val="0"/>
                <w:sz w:val="28"/>
                <w:szCs w:val="28"/>
                <w:highlight w:val="none"/>
                <w:lang w:val="en-US" w:eastAsia="zh-CN" w:bidi="ar"/>
              </w:rPr>
              <w:t>（3）财政部、司法部《关于政府采购支持监狱企业发展有关问题的通知》（财库[2014]68号文）；</w:t>
            </w:r>
          </w:p>
          <w:p w14:paraId="01026C05">
            <w:pPr>
              <w:pStyle w:val="4"/>
              <w:keepNext w:val="0"/>
              <w:keepLines w:val="0"/>
              <w:suppressLineNumbers w:val="0"/>
              <w:spacing w:before="0" w:beforeAutospacing="0" w:after="0" w:afterAutospacing="0"/>
              <w:ind w:left="0" w:leftChars="0" w:right="0" w:firstLine="0" w:firstLineChars="0"/>
              <w:rPr>
                <w:rFonts w:hint="eastAsia" w:ascii="宋体" w:hAnsiTheme="minorHAnsi" w:eastAsiaTheme="minorEastAsia" w:cstheme="minorBidi"/>
                <w:kern w:val="0"/>
                <w:sz w:val="24"/>
                <w:szCs w:val="20"/>
                <w:highlight w:val="none"/>
                <w:u w:val="single"/>
                <w:lang w:val="en-US" w:eastAsia="zh-CN" w:bidi="ar-SA"/>
              </w:rPr>
            </w:pPr>
            <w:r>
              <w:rPr>
                <w:rFonts w:hint="eastAsia" w:ascii="仿宋_GB2312" w:hAnsi="仿宋_GB2312" w:eastAsia="仿宋_GB2312" w:cs="仿宋_GB2312"/>
                <w:b/>
                <w:bCs/>
                <w:i w:val="0"/>
                <w:iCs w:val="0"/>
                <w:caps w:val="0"/>
                <w:color w:val="000000"/>
                <w:spacing w:val="0"/>
                <w:kern w:val="0"/>
                <w:sz w:val="28"/>
                <w:szCs w:val="28"/>
                <w:highlight w:val="none"/>
                <w:lang w:val="en-US" w:eastAsia="zh-CN" w:bidi="ar"/>
              </w:rPr>
              <w:t>本项目所属行业：</w:t>
            </w:r>
            <w:r>
              <w:rPr>
                <w:rFonts w:hint="eastAsia" w:ascii="仿宋_GB2312" w:hAnsi="仿宋_GB2312" w:eastAsia="仿宋_GB2312" w:cs="仿宋_GB2312"/>
                <w:b/>
                <w:bCs/>
                <w:i w:val="0"/>
                <w:iCs w:val="0"/>
                <w:caps w:val="0"/>
                <w:color w:val="000000"/>
                <w:spacing w:val="0"/>
                <w:kern w:val="0"/>
                <w:sz w:val="28"/>
                <w:szCs w:val="28"/>
                <w:highlight w:val="none"/>
                <w:u w:val="single"/>
                <w:lang w:val="en-US" w:eastAsia="zh-CN" w:bidi="ar"/>
              </w:rPr>
              <w:t xml:space="preserve"> 农、林、牧、渔业 </w:t>
            </w:r>
            <w:r>
              <w:rPr>
                <w:rFonts w:hint="eastAsia" w:ascii="仿宋_GB2312" w:hAnsi="仿宋_GB2312" w:eastAsia="仿宋_GB2312" w:cs="仿宋_GB2312"/>
                <w:b/>
                <w:bCs/>
                <w:i w:val="0"/>
                <w:iCs w:val="0"/>
                <w:caps w:val="0"/>
                <w:color w:val="000000"/>
                <w:spacing w:val="0"/>
                <w:kern w:val="0"/>
                <w:sz w:val="28"/>
                <w:szCs w:val="28"/>
                <w:highlight w:val="none"/>
                <w:lang w:val="en-US" w:eastAsia="zh-CN" w:bidi="ar"/>
              </w:rPr>
              <w:t xml:space="preserve"> ；</w:t>
            </w:r>
          </w:p>
        </w:tc>
      </w:tr>
      <w:tr w14:paraId="2CC942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90" w:hRule="atLeast"/>
          <w:jc w:val="center"/>
        </w:trPr>
        <w:tc>
          <w:tcPr>
            <w:tcW w:w="670" w:type="dxa"/>
            <w:noWrap w:val="0"/>
            <w:vAlign w:val="center"/>
          </w:tcPr>
          <w:p w14:paraId="21F736E9">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default"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29</w:t>
            </w:r>
          </w:p>
        </w:tc>
        <w:tc>
          <w:tcPr>
            <w:tcW w:w="1698" w:type="dxa"/>
            <w:tcBorders>
              <w:right w:val="single" w:color="auto" w:sz="4" w:space="0"/>
            </w:tcBorders>
            <w:noWrap w:val="0"/>
            <w:vAlign w:val="center"/>
          </w:tcPr>
          <w:p w14:paraId="195DF79D">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质疑</w:t>
            </w:r>
          </w:p>
        </w:tc>
        <w:tc>
          <w:tcPr>
            <w:tcW w:w="7007" w:type="dxa"/>
            <w:tcBorders>
              <w:left w:val="single" w:color="auto" w:sz="4" w:space="0"/>
            </w:tcBorders>
            <w:noWrap w:val="0"/>
            <w:vAlign w:val="center"/>
          </w:tcPr>
          <w:p w14:paraId="20585B58">
            <w:pPr>
              <w:keepNext w:val="0"/>
              <w:keepLines w:val="0"/>
              <w:numPr>
                <w:ilvl w:val="0"/>
                <w:numId w:val="0"/>
              </w:numPr>
              <w:suppressLineNumbers w:val="0"/>
              <w:adjustRightInd w:val="0"/>
              <w:snapToGrid w:val="0"/>
              <w:spacing w:before="0" w:beforeAutospacing="0" w:after="0" w:afterAutospacing="0" w:line="240" w:lineRule="auto"/>
              <w:ind w:left="0" w:leftChars="0" w:right="0" w:firstLine="0" w:firstLineChars="0"/>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供应商认为招标文件、采购过程或中标结果使自己的合法权益受到损害的，应当在知道或者应知其权益受到损害之日起在规定的期限内，以书面或邮件形式一次性向采购人（采购代理机构）提出质疑或供应商对采购人（采购代理机构）的质疑答复不满意或者采购人（采购代理机构）未在规定时间内做出答复的，可以在答复期满后五个工作日内向有关监管部门投诉。</w:t>
            </w:r>
          </w:p>
          <w:p w14:paraId="4C34C6D7">
            <w:pPr>
              <w:keepNext w:val="0"/>
              <w:keepLines w:val="0"/>
              <w:numPr>
                <w:ilvl w:val="0"/>
                <w:numId w:val="0"/>
              </w:numPr>
              <w:suppressLineNumbers w:val="0"/>
              <w:adjustRightInd w:val="0"/>
              <w:snapToGrid w:val="0"/>
              <w:spacing w:before="0" w:beforeAutospacing="0" w:after="0" w:afterAutospacing="0" w:line="240" w:lineRule="auto"/>
              <w:ind w:left="0" w:leftChars="0" w:right="0" w:firstLine="0" w:firstLineChars="0"/>
              <w:rPr>
                <w:rFonts w:hint="eastAsia" w:ascii="仿宋" w:hAnsi="仿宋" w:eastAsia="仿宋" w:cs="仿宋"/>
                <w:sz w:val="24"/>
                <w:szCs w:val="24"/>
              </w:rPr>
            </w:pPr>
            <w:r>
              <w:rPr>
                <w:rFonts w:hint="eastAsia" w:ascii="仿宋_GB2312" w:hAnsi="仿宋_GB2312" w:eastAsia="仿宋_GB2312" w:cs="仿宋_GB2312"/>
                <w:b/>
                <w:bCs/>
                <w:i w:val="0"/>
                <w:iCs w:val="0"/>
                <w:caps w:val="0"/>
                <w:color w:val="000000"/>
                <w:spacing w:val="0"/>
                <w:kern w:val="0"/>
                <w:sz w:val="28"/>
                <w:szCs w:val="28"/>
                <w:lang w:val="en-US" w:eastAsia="zh-CN" w:bidi="ar"/>
              </w:rPr>
              <w:t>注：根据《中华人民共和国政府采购法》的规定，供应商质疑不得超出公开招标文件、公开招标过程及公开招标结果的范围及时效限制。</w:t>
            </w:r>
          </w:p>
        </w:tc>
      </w:tr>
      <w:tr w14:paraId="2CD840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92" w:hRule="atLeast"/>
          <w:jc w:val="center"/>
        </w:trPr>
        <w:tc>
          <w:tcPr>
            <w:tcW w:w="670" w:type="dxa"/>
            <w:noWrap w:val="0"/>
            <w:vAlign w:val="center"/>
          </w:tcPr>
          <w:p w14:paraId="316D9B6A">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default"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30</w:t>
            </w:r>
          </w:p>
        </w:tc>
        <w:tc>
          <w:tcPr>
            <w:tcW w:w="1698" w:type="dxa"/>
            <w:tcBorders>
              <w:right w:val="single" w:color="auto" w:sz="4" w:space="0"/>
            </w:tcBorders>
            <w:noWrap w:val="0"/>
            <w:vAlign w:val="center"/>
          </w:tcPr>
          <w:p w14:paraId="6BE3348E">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投诉</w:t>
            </w:r>
          </w:p>
        </w:tc>
        <w:tc>
          <w:tcPr>
            <w:tcW w:w="7007" w:type="dxa"/>
            <w:tcBorders>
              <w:left w:val="single" w:color="auto" w:sz="4" w:space="0"/>
            </w:tcBorders>
            <w:noWrap w:val="0"/>
            <w:vAlign w:val="center"/>
          </w:tcPr>
          <w:p w14:paraId="60C9F7CB">
            <w:pPr>
              <w:keepNext w:val="0"/>
              <w:keepLines w:val="0"/>
              <w:numPr>
                <w:ilvl w:val="0"/>
                <w:numId w:val="0"/>
              </w:numPr>
              <w:suppressLineNumbers w:val="0"/>
              <w:adjustRightInd w:val="0"/>
              <w:snapToGrid w:val="0"/>
              <w:spacing w:before="0" w:beforeAutospacing="0" w:after="0" w:afterAutospacing="0" w:line="240" w:lineRule="auto"/>
              <w:ind w:left="0" w:leftChars="0" w:right="0" w:firstLine="0" w:firstLineChars="0"/>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（1）质疑供应商对采购人、采购代理机构的答复不满意或者采购人、采购代理机构未在规定的时间内作出答复的，可以在答复期满后十五个工作日内向同级政府采购监督管理部门投诉。</w:t>
            </w:r>
          </w:p>
          <w:p w14:paraId="37AD5435">
            <w:pPr>
              <w:keepNext w:val="0"/>
              <w:keepLines w:val="0"/>
              <w:numPr>
                <w:ilvl w:val="0"/>
                <w:numId w:val="0"/>
              </w:numPr>
              <w:suppressLineNumbers w:val="0"/>
              <w:adjustRightInd w:val="0"/>
              <w:snapToGrid w:val="0"/>
              <w:spacing w:before="0" w:beforeAutospacing="0" w:after="0" w:afterAutospacing="0" w:line="240" w:lineRule="auto"/>
              <w:ind w:left="0" w:leftChars="0" w:right="0" w:firstLine="0" w:firstLineChars="0"/>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2）质疑、投诉应当采用书面或邮件形式，质疑书、投诉书均应明确阐述招标文件、采购过程或中标结果中使自己合法权益受到损害的实质性内容，提供相关事实、依据和证据及其来源或线索，便于有关单位调查、答复和处理。</w:t>
            </w:r>
          </w:p>
          <w:p w14:paraId="5683F4D6">
            <w:pPr>
              <w:keepNext w:val="0"/>
              <w:keepLines w:val="0"/>
              <w:numPr>
                <w:ilvl w:val="0"/>
                <w:numId w:val="0"/>
              </w:numPr>
              <w:suppressLineNumbers w:val="0"/>
              <w:adjustRightInd w:val="0"/>
              <w:snapToGrid w:val="0"/>
              <w:spacing w:before="0" w:beforeAutospacing="0" w:after="0" w:afterAutospacing="0" w:line="240" w:lineRule="auto"/>
              <w:ind w:left="0" w:leftChars="0" w:right="0" w:firstLine="0" w:firstLineChars="0"/>
              <w:rPr>
                <w:rFonts w:hint="eastAsia" w:ascii="仿宋" w:hAnsi="仿宋" w:eastAsia="仿宋" w:cs="仿宋"/>
                <w:sz w:val="24"/>
                <w:szCs w:val="24"/>
              </w:rPr>
            </w:pPr>
            <w:r>
              <w:rPr>
                <w:rFonts w:hint="eastAsia" w:ascii="仿宋_GB2312" w:hAnsi="仿宋_GB2312" w:eastAsia="仿宋_GB2312" w:cs="仿宋_GB2312"/>
                <w:b/>
                <w:bCs/>
                <w:i w:val="0"/>
                <w:iCs w:val="0"/>
                <w:caps w:val="0"/>
                <w:color w:val="000000"/>
                <w:spacing w:val="0"/>
                <w:kern w:val="0"/>
                <w:sz w:val="28"/>
                <w:szCs w:val="28"/>
                <w:lang w:val="en-US" w:eastAsia="zh-CN" w:bidi="ar"/>
              </w:rPr>
              <w:t>注：根据《中华人民共和国政府采购法实施条例》的规定，供应商投诉事项不得超出已质疑事项的范围。</w:t>
            </w:r>
          </w:p>
        </w:tc>
      </w:tr>
      <w:tr w14:paraId="5F2202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92" w:hRule="atLeast"/>
          <w:jc w:val="center"/>
        </w:trPr>
        <w:tc>
          <w:tcPr>
            <w:tcW w:w="670" w:type="dxa"/>
            <w:noWrap w:val="0"/>
            <w:vAlign w:val="center"/>
          </w:tcPr>
          <w:p w14:paraId="61287372">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default"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31</w:t>
            </w:r>
          </w:p>
        </w:tc>
        <w:tc>
          <w:tcPr>
            <w:tcW w:w="1698" w:type="dxa"/>
            <w:tcBorders>
              <w:right w:val="single" w:color="auto" w:sz="4" w:space="0"/>
            </w:tcBorders>
            <w:noWrap w:val="0"/>
            <w:vAlign w:val="center"/>
          </w:tcPr>
          <w:p w14:paraId="0112EA5B">
            <w:pPr>
              <w:keepNext w:val="0"/>
              <w:keepLines w:val="0"/>
              <w:pageBreakBefore w:val="0"/>
              <w:suppressLineNumbers w:val="0"/>
              <w:kinsoku/>
              <w:wordWrap/>
              <w:overflowPunct/>
              <w:topLinePunct w:val="0"/>
              <w:autoSpaceDE/>
              <w:autoSpaceDN/>
              <w:bidi w:val="0"/>
              <w:adjustRightInd/>
              <w:snapToGrid/>
              <w:spacing w:before="0" w:beforeLines="10" w:beforeAutospacing="0" w:after="0" w:afterLines="10" w:afterAutospacing="0" w:line="300" w:lineRule="exact"/>
              <w:ind w:left="0" w:right="0" w:firstLine="0" w:firstLineChars="0"/>
              <w:jc w:val="center"/>
              <w:textAlignment w:val="auto"/>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重要提示</w:t>
            </w:r>
          </w:p>
        </w:tc>
        <w:tc>
          <w:tcPr>
            <w:tcW w:w="7007" w:type="dxa"/>
            <w:tcBorders>
              <w:left w:val="single" w:color="auto" w:sz="4" w:space="0"/>
            </w:tcBorders>
            <w:noWrap w:val="0"/>
            <w:vAlign w:val="center"/>
          </w:tcPr>
          <w:p w14:paraId="68154239">
            <w:pPr>
              <w:keepNext w:val="0"/>
              <w:keepLines w:val="0"/>
              <w:numPr>
                <w:ilvl w:val="0"/>
                <w:numId w:val="0"/>
              </w:numPr>
              <w:suppressLineNumbers w:val="0"/>
              <w:adjustRightInd w:val="0"/>
              <w:snapToGrid w:val="0"/>
              <w:spacing w:before="0" w:beforeAutospacing="0" w:after="0" w:afterAutospacing="0" w:line="240" w:lineRule="auto"/>
              <w:ind w:left="0" w:leftChars="0" w:right="0" w:firstLine="0" w:firstLineChars="0"/>
              <w:rPr>
                <w:rFonts w:hint="eastAsia" w:ascii="仿宋_GB2312" w:hAnsi="仿宋_GB2312" w:eastAsia="仿宋_GB2312" w:cs="仿宋_GB2312"/>
                <w:b w:val="0"/>
                <w:bCs w:val="0"/>
                <w:i w:val="0"/>
                <w:iCs w:val="0"/>
                <w:caps w:val="0"/>
                <w:color w:val="000000"/>
                <w:spacing w:val="0"/>
                <w:kern w:val="0"/>
                <w:sz w:val="28"/>
                <w:szCs w:val="28"/>
                <w:lang w:val="en-US" w:eastAsia="zh-CN" w:bidi="ar"/>
              </w:rPr>
            </w:pPr>
            <w:r>
              <w:rPr>
                <w:rFonts w:hint="eastAsia" w:ascii="仿宋_GB2312" w:hAnsi="仿宋_GB2312" w:eastAsia="仿宋_GB2312" w:cs="仿宋_GB2312"/>
                <w:b w:val="0"/>
                <w:bCs w:val="0"/>
                <w:i w:val="0"/>
                <w:iCs w:val="0"/>
                <w:caps w:val="0"/>
                <w:color w:val="000000"/>
                <w:spacing w:val="0"/>
                <w:kern w:val="0"/>
                <w:sz w:val="28"/>
                <w:szCs w:val="28"/>
                <w:lang w:val="en-US" w:eastAsia="zh-CN" w:bidi="ar"/>
              </w:rPr>
              <w:t xml:space="preserve">（1）中标供应商应在规定期限内领取《中标通知书》，若中标供应商未在规定期限内领取《中标通知书》采购人有权取消中标供应商中标资格，并将相关违约行为报送监管部门，实施信用惩戒； </w:t>
            </w:r>
          </w:p>
          <w:p w14:paraId="1F0E0858">
            <w:pPr>
              <w:keepNext w:val="0"/>
              <w:keepLines w:val="0"/>
              <w:numPr>
                <w:ilvl w:val="0"/>
                <w:numId w:val="0"/>
              </w:numPr>
              <w:suppressLineNumbers w:val="0"/>
              <w:adjustRightInd w:val="0"/>
              <w:snapToGrid w:val="0"/>
              <w:spacing w:before="0" w:beforeAutospacing="0" w:after="0" w:afterAutospacing="0" w:line="240" w:lineRule="auto"/>
              <w:ind w:left="0" w:leftChars="0" w:right="0" w:firstLine="0" w:firstLineChars="0"/>
              <w:rPr>
                <w:rFonts w:hint="eastAsia" w:ascii="仿宋_GB2312" w:hAnsi="仿宋_GB2312" w:eastAsia="仿宋_GB2312" w:cs="仿宋_GB2312"/>
                <w:b w:val="0"/>
                <w:bCs w:val="0"/>
                <w:i w:val="0"/>
                <w:iCs w:val="0"/>
                <w:caps w:val="0"/>
                <w:color w:val="000000"/>
                <w:spacing w:val="0"/>
                <w:kern w:val="0"/>
                <w:sz w:val="28"/>
                <w:szCs w:val="28"/>
                <w:lang w:val="en-US" w:eastAsia="zh-CN" w:bidi="ar"/>
              </w:rPr>
            </w:pPr>
            <w:r>
              <w:rPr>
                <w:rFonts w:hint="eastAsia" w:ascii="仿宋_GB2312" w:hAnsi="仿宋_GB2312" w:eastAsia="仿宋_GB2312" w:cs="仿宋_GB2312"/>
                <w:b w:val="0"/>
                <w:bCs w:val="0"/>
                <w:i w:val="0"/>
                <w:iCs w:val="0"/>
                <w:caps w:val="0"/>
                <w:color w:val="000000"/>
                <w:spacing w:val="0"/>
                <w:kern w:val="0"/>
                <w:sz w:val="28"/>
                <w:szCs w:val="28"/>
                <w:lang w:val="en-US" w:eastAsia="zh-CN" w:bidi="ar"/>
              </w:rPr>
              <w:t xml:space="preserve">（2）中标供应商应在规定期限内提交履约担保并与采购人签订合同，若中标供应商未能在规定期限内提交履约担保或签订合同，采购人有权取消中标供应商中标资格，并将相关违约行为报送监管部门，实施信用惩戒； </w:t>
            </w:r>
          </w:p>
          <w:p w14:paraId="06D34F18">
            <w:pPr>
              <w:keepNext w:val="0"/>
              <w:keepLines w:val="0"/>
              <w:numPr>
                <w:ilvl w:val="0"/>
                <w:numId w:val="0"/>
              </w:numPr>
              <w:suppressLineNumbers w:val="0"/>
              <w:adjustRightInd w:val="0"/>
              <w:snapToGrid w:val="0"/>
              <w:spacing w:before="0" w:beforeAutospacing="0" w:after="0" w:afterAutospacing="0" w:line="240" w:lineRule="auto"/>
              <w:ind w:left="0" w:leftChars="0" w:right="0" w:firstLine="0" w:firstLineChars="0"/>
              <w:rPr>
                <w:rFonts w:hint="eastAsia" w:ascii="仿宋_GB2312" w:hAnsi="仿宋_GB2312" w:eastAsia="仿宋_GB2312" w:cs="仿宋_GB2312"/>
                <w:b w:val="0"/>
                <w:bCs w:val="0"/>
                <w:i w:val="0"/>
                <w:iCs w:val="0"/>
                <w:caps w:val="0"/>
                <w:color w:val="000000"/>
                <w:spacing w:val="0"/>
                <w:kern w:val="0"/>
                <w:sz w:val="28"/>
                <w:szCs w:val="28"/>
                <w:lang w:val="en-US" w:eastAsia="zh-CN" w:bidi="ar"/>
              </w:rPr>
            </w:pPr>
            <w:r>
              <w:rPr>
                <w:rFonts w:hint="eastAsia" w:ascii="仿宋_GB2312" w:hAnsi="仿宋_GB2312" w:eastAsia="仿宋_GB2312" w:cs="仿宋_GB2312"/>
                <w:b w:val="0"/>
                <w:bCs w:val="0"/>
                <w:i w:val="0"/>
                <w:iCs w:val="0"/>
                <w:caps w:val="0"/>
                <w:color w:val="000000"/>
                <w:spacing w:val="0"/>
                <w:kern w:val="0"/>
                <w:sz w:val="28"/>
                <w:szCs w:val="28"/>
                <w:lang w:val="en-US" w:eastAsia="zh-CN" w:bidi="ar"/>
              </w:rPr>
              <w:t xml:space="preserve">（3）合同签订后，中标供应商存在规定时间内不组织人员进场开工，不履行供货、安装或服务义务等情况，采购人有权解除合同，并追究违约责任，同时将相关违约行为报送监管部门，记不良行为记录，实施信用惩戒； </w:t>
            </w:r>
          </w:p>
          <w:p w14:paraId="55D1249A">
            <w:pPr>
              <w:keepNext w:val="0"/>
              <w:keepLines w:val="0"/>
              <w:numPr>
                <w:ilvl w:val="0"/>
                <w:numId w:val="0"/>
              </w:numPr>
              <w:suppressLineNumbers w:val="0"/>
              <w:adjustRightInd w:val="0"/>
              <w:snapToGrid w:val="0"/>
              <w:spacing w:before="0" w:beforeAutospacing="0" w:after="0" w:afterAutospacing="0" w:line="240" w:lineRule="auto"/>
              <w:ind w:left="0" w:leftChars="0" w:right="0" w:firstLine="0" w:firstLineChars="0"/>
              <w:rPr>
                <w:rFonts w:hint="eastAsia" w:ascii="仿宋_GB2312" w:hAnsi="仿宋_GB2312" w:eastAsia="仿宋_GB2312" w:cs="仿宋_GB2312"/>
                <w:b w:val="0"/>
                <w:bCs w:val="0"/>
                <w:i w:val="0"/>
                <w:iCs w:val="0"/>
                <w:caps w:val="0"/>
                <w:color w:val="000000"/>
                <w:spacing w:val="0"/>
                <w:kern w:val="0"/>
                <w:sz w:val="28"/>
                <w:szCs w:val="28"/>
                <w:lang w:val="en-US" w:eastAsia="zh-CN" w:bidi="ar"/>
              </w:rPr>
            </w:pPr>
            <w:r>
              <w:rPr>
                <w:rFonts w:hint="eastAsia" w:ascii="仿宋_GB2312" w:hAnsi="仿宋_GB2312" w:eastAsia="仿宋_GB2312" w:cs="仿宋_GB2312"/>
                <w:b w:val="0"/>
                <w:bCs w:val="0"/>
                <w:i w:val="0"/>
                <w:iCs w:val="0"/>
                <w:caps w:val="0"/>
                <w:color w:val="000000"/>
                <w:spacing w:val="0"/>
                <w:kern w:val="0"/>
                <w:sz w:val="28"/>
                <w:szCs w:val="28"/>
                <w:lang w:val="en-US" w:eastAsia="zh-CN" w:bidi="ar"/>
              </w:rPr>
              <w:t xml:space="preserve">（4）中标供应商中标后被监管部门查实存在违法行为，不满足中标条件的，由采购人取消中标资格，并做好项目后续工作； </w:t>
            </w:r>
          </w:p>
          <w:p w14:paraId="79AF0895">
            <w:pPr>
              <w:keepNext w:val="0"/>
              <w:keepLines w:val="0"/>
              <w:numPr>
                <w:ilvl w:val="0"/>
                <w:numId w:val="0"/>
              </w:numPr>
              <w:suppressLineNumbers w:val="0"/>
              <w:adjustRightInd w:val="0"/>
              <w:snapToGrid w:val="0"/>
              <w:spacing w:before="0" w:beforeAutospacing="0" w:after="0" w:afterAutospacing="0" w:line="240" w:lineRule="auto"/>
              <w:ind w:left="0" w:leftChars="0" w:right="0" w:firstLine="0" w:firstLineChars="0"/>
              <w:rPr>
                <w:rFonts w:hint="eastAsia"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val="0"/>
                <w:bCs w:val="0"/>
                <w:i w:val="0"/>
                <w:iCs w:val="0"/>
                <w:caps w:val="0"/>
                <w:color w:val="000000"/>
                <w:spacing w:val="0"/>
                <w:kern w:val="0"/>
                <w:sz w:val="28"/>
                <w:szCs w:val="28"/>
                <w:lang w:val="en-US" w:eastAsia="zh-CN" w:bidi="ar"/>
              </w:rPr>
              <w:t>（5）中标供应商在中标项目发生投诉、信访举报案件、履约存在争议时，拒绝协助配合执法部门调查案件，采购人可以取消其中标资格或解除合同，并追究其违约责任。</w:t>
            </w:r>
          </w:p>
        </w:tc>
      </w:tr>
      <w:tr w14:paraId="69232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43" w:hRule="atLeast"/>
          <w:jc w:val="center"/>
        </w:trPr>
        <w:tc>
          <w:tcPr>
            <w:tcW w:w="9375" w:type="dxa"/>
            <w:gridSpan w:val="3"/>
            <w:noWrap w:val="0"/>
            <w:vAlign w:val="center"/>
          </w:tcPr>
          <w:p w14:paraId="56E4DDB5">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281" w:firstLineChars="100"/>
              <w:textAlignment w:val="auto"/>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备</w:t>
            </w:r>
            <w:r>
              <w:rPr>
                <w:rFonts w:hint="eastAsia" w:ascii="仿宋_GB2312" w:hAnsi="仿宋_GB2312" w:eastAsia="仿宋_GB2312" w:cs="仿宋_GB2312"/>
                <w:b/>
                <w:bCs/>
                <w:i w:val="0"/>
                <w:iCs w:val="0"/>
                <w:caps w:val="0"/>
                <w:color w:val="000000"/>
                <w:spacing w:val="0"/>
                <w:kern w:val="0"/>
                <w:sz w:val="26"/>
                <w:szCs w:val="26"/>
                <w:lang w:val="en-US" w:eastAsia="zh-CN" w:bidi="ar"/>
              </w:rPr>
              <w:t>注：</w:t>
            </w:r>
          </w:p>
          <w:p w14:paraId="1FEC706F">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261" w:firstLineChars="100"/>
              <w:textAlignment w:val="auto"/>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投标人应依照招标文件要求在投标文件中提供相关材料原件的扫描件。投标文件中未提供与之内容完全一致的扫描件，评标委员会可以视同其未提供。</w:t>
            </w:r>
          </w:p>
          <w:p w14:paraId="22A68771">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261" w:firstLineChars="100"/>
              <w:textAlignment w:val="auto"/>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投标文件中有弄虚作假的内容，其投标文件作废（如假证书、假业绩、假合同、隐瞒不良行为记录、夸大荣誉、使用非本单位在职员工的相关证件及不符合招标文件规定的条款等）在签订合同之前，复查原件，如发现投标人的投标文件有弄虚作假内容，采购人可拒绝与其签订合同。以上情形将书面上报财政部门，按照《政府采购法》第七十七条规定“列入不良行为记录名单”处理。</w:t>
            </w:r>
          </w:p>
          <w:p w14:paraId="090FA201">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261" w:firstLineChars="100"/>
              <w:textAlignment w:val="auto"/>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14:paraId="0E44E9DB">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60" w:lineRule="exact"/>
              <w:ind w:left="0" w:right="0" w:firstLine="261" w:firstLineChars="100"/>
              <w:textAlignment w:val="auto"/>
              <w:rPr>
                <w:rFonts w:hint="default" w:ascii="仿宋_GB2312" w:hAnsi="仿宋_GB2312" w:eastAsia="仿宋_GB2312" w:cs="仿宋_GB2312"/>
                <w:b/>
                <w:bCs/>
                <w:i w:val="0"/>
                <w:iCs w:val="0"/>
                <w:caps w:val="0"/>
                <w:color w:val="000000"/>
                <w:spacing w:val="0"/>
                <w:kern w:val="0"/>
                <w:sz w:val="28"/>
                <w:szCs w:val="28"/>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本须知前附表内容与招标文件内容相对应，如有矛盾，应以投标须知前附表为准。</w:t>
            </w:r>
          </w:p>
        </w:tc>
      </w:tr>
    </w:tbl>
    <w:p w14:paraId="3BE68AF9">
      <w:pPr>
        <w:pStyle w:val="8"/>
        <w:spacing w:line="240" w:lineRule="auto"/>
        <w:jc w:val="both"/>
        <w:rPr>
          <w:rFonts w:hint="eastAsia" w:ascii="仿宋_GB2312" w:hAnsi="仿宋_GB2312" w:eastAsia="仿宋_GB2312" w:cs="仿宋_GB2312"/>
          <w:b/>
          <w:bCs/>
          <w:i w:val="0"/>
          <w:iCs w:val="0"/>
          <w:caps w:val="0"/>
          <w:color w:val="000000"/>
          <w:spacing w:val="0"/>
          <w:kern w:val="0"/>
          <w:sz w:val="32"/>
          <w:szCs w:val="32"/>
          <w:lang w:val="en-US" w:eastAsia="zh-CN" w:bidi="ar"/>
        </w:rPr>
      </w:pPr>
    </w:p>
    <w:p w14:paraId="527313B1">
      <w:pPr>
        <w:rPr>
          <w:rFonts w:hint="eastAsia" w:ascii="仿宋_GB2312" w:hAnsi="仿宋_GB2312" w:eastAsia="仿宋_GB2312" w:cs="仿宋_GB2312"/>
          <w:b/>
          <w:bCs/>
          <w:i w:val="0"/>
          <w:iCs w:val="0"/>
          <w:caps w:val="0"/>
          <w:color w:val="000000"/>
          <w:spacing w:val="0"/>
          <w:kern w:val="0"/>
          <w:sz w:val="32"/>
          <w:szCs w:val="32"/>
          <w:lang w:val="en-US" w:eastAsia="zh-CN" w:bidi="ar"/>
        </w:rPr>
      </w:pPr>
    </w:p>
    <w:p w14:paraId="71CA2282">
      <w:pPr>
        <w:pStyle w:val="2"/>
        <w:rPr>
          <w:rFonts w:hint="eastAsia" w:ascii="仿宋_GB2312" w:hAnsi="仿宋_GB2312" w:eastAsia="仿宋_GB2312" w:cs="仿宋_GB2312"/>
          <w:b/>
          <w:bCs/>
          <w:i w:val="0"/>
          <w:iCs w:val="0"/>
          <w:caps w:val="0"/>
          <w:color w:val="000000"/>
          <w:spacing w:val="0"/>
          <w:kern w:val="0"/>
          <w:sz w:val="32"/>
          <w:szCs w:val="32"/>
          <w:lang w:val="en-US" w:eastAsia="zh-CN" w:bidi="ar"/>
        </w:rPr>
      </w:pPr>
    </w:p>
    <w:p w14:paraId="394E2511">
      <w:pPr>
        <w:pStyle w:val="4"/>
        <w:rPr>
          <w:rFonts w:hint="eastAsia" w:ascii="仿宋_GB2312" w:hAnsi="仿宋_GB2312" w:eastAsia="仿宋_GB2312" w:cs="仿宋_GB2312"/>
          <w:b/>
          <w:bCs/>
          <w:i w:val="0"/>
          <w:iCs w:val="0"/>
          <w:caps w:val="0"/>
          <w:color w:val="000000"/>
          <w:spacing w:val="0"/>
          <w:kern w:val="0"/>
          <w:sz w:val="32"/>
          <w:szCs w:val="32"/>
          <w:lang w:val="en-US" w:eastAsia="zh-CN" w:bidi="ar"/>
        </w:rPr>
      </w:pPr>
    </w:p>
    <w:p w14:paraId="354070F0">
      <w:pPr>
        <w:pStyle w:val="5"/>
        <w:rPr>
          <w:rFonts w:hint="eastAsia" w:ascii="仿宋_GB2312" w:hAnsi="仿宋_GB2312" w:eastAsia="仿宋_GB2312" w:cs="仿宋_GB2312"/>
          <w:b/>
          <w:bCs/>
          <w:i w:val="0"/>
          <w:iCs w:val="0"/>
          <w:caps w:val="0"/>
          <w:color w:val="000000"/>
          <w:spacing w:val="0"/>
          <w:kern w:val="0"/>
          <w:sz w:val="32"/>
          <w:szCs w:val="32"/>
          <w:lang w:val="en-US" w:eastAsia="zh-CN" w:bidi="ar"/>
        </w:rPr>
      </w:pPr>
    </w:p>
    <w:p w14:paraId="61568EF3">
      <w:pPr>
        <w:rPr>
          <w:rFonts w:hint="eastAsia" w:ascii="仿宋_GB2312" w:hAnsi="仿宋_GB2312" w:eastAsia="仿宋_GB2312" w:cs="仿宋_GB2312"/>
          <w:b/>
          <w:bCs/>
          <w:i w:val="0"/>
          <w:iCs w:val="0"/>
          <w:caps w:val="0"/>
          <w:color w:val="000000"/>
          <w:spacing w:val="0"/>
          <w:kern w:val="0"/>
          <w:sz w:val="32"/>
          <w:szCs w:val="32"/>
          <w:lang w:val="en-US" w:eastAsia="zh-CN" w:bidi="ar"/>
        </w:rPr>
      </w:pPr>
    </w:p>
    <w:p w14:paraId="01B614E2">
      <w:pPr>
        <w:pStyle w:val="2"/>
        <w:rPr>
          <w:rFonts w:hint="eastAsia" w:ascii="仿宋_GB2312" w:hAnsi="仿宋_GB2312" w:eastAsia="仿宋_GB2312" w:cs="仿宋_GB2312"/>
          <w:b/>
          <w:bCs/>
          <w:i w:val="0"/>
          <w:iCs w:val="0"/>
          <w:caps w:val="0"/>
          <w:color w:val="000000"/>
          <w:spacing w:val="0"/>
          <w:kern w:val="0"/>
          <w:sz w:val="32"/>
          <w:szCs w:val="32"/>
          <w:lang w:val="en-US" w:eastAsia="zh-CN" w:bidi="ar"/>
        </w:rPr>
      </w:pPr>
    </w:p>
    <w:p w14:paraId="7F16D1A8">
      <w:pPr>
        <w:rPr>
          <w:rFonts w:hint="eastAsia" w:ascii="仿宋_GB2312" w:hAnsi="仿宋_GB2312" w:eastAsia="仿宋_GB2312" w:cs="仿宋_GB2312"/>
          <w:b/>
          <w:bCs/>
          <w:i w:val="0"/>
          <w:iCs w:val="0"/>
          <w:caps w:val="0"/>
          <w:color w:val="000000"/>
          <w:spacing w:val="0"/>
          <w:kern w:val="0"/>
          <w:sz w:val="32"/>
          <w:szCs w:val="32"/>
          <w:lang w:val="en-US" w:eastAsia="zh-CN" w:bidi="ar"/>
        </w:rPr>
      </w:pPr>
    </w:p>
    <w:p w14:paraId="6D7635FF">
      <w:pPr>
        <w:pStyle w:val="8"/>
        <w:spacing w:line="240" w:lineRule="auto"/>
        <w:jc w:val="center"/>
        <w:rPr>
          <w:rFonts w:hint="eastAsia" w:ascii="仿宋_GB2312" w:hAnsi="仿宋_GB2312" w:eastAsia="仿宋_GB2312" w:cs="仿宋_GB2312"/>
          <w:b/>
          <w:bCs/>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中小企业划分标准</w:t>
      </w:r>
      <w:bookmarkStart w:id="30" w:name="bookmark5"/>
      <w:bookmarkStart w:id="31" w:name="bookmark4"/>
    </w:p>
    <w:p w14:paraId="75370711">
      <w:pPr>
        <w:pStyle w:val="8"/>
        <w:spacing w:line="240" w:lineRule="auto"/>
        <w:ind w:firstLine="280" w:firstLineChars="100"/>
        <w:jc w:val="left"/>
        <w:rPr>
          <w:rFonts w:hint="eastAsia" w:ascii="仿宋_GB2312" w:hAnsi="仿宋_GB2312" w:eastAsia="仿宋_GB2312" w:cs="仿宋_GB2312"/>
          <w:b w:val="0"/>
          <w:bCs w:val="0"/>
          <w:i w:val="0"/>
          <w:iCs w:val="0"/>
          <w:caps w:val="0"/>
          <w:color w:val="000000"/>
          <w:spacing w:val="0"/>
          <w:kern w:val="0"/>
          <w:sz w:val="28"/>
          <w:szCs w:val="28"/>
          <w:lang w:val="en-US" w:eastAsia="zh-CN" w:bidi="ar"/>
        </w:rPr>
      </w:pPr>
      <w:r>
        <w:rPr>
          <w:rFonts w:hint="eastAsia" w:ascii="仿宋_GB2312" w:hAnsi="仿宋_GB2312" w:eastAsia="仿宋_GB2312" w:cs="仿宋_GB2312"/>
          <w:b w:val="0"/>
          <w:bCs w:val="0"/>
          <w:i w:val="0"/>
          <w:iCs w:val="0"/>
          <w:caps w:val="0"/>
          <w:color w:val="000000"/>
          <w:spacing w:val="0"/>
          <w:kern w:val="0"/>
          <w:sz w:val="28"/>
          <w:szCs w:val="28"/>
          <w:lang w:val="en-US" w:eastAsia="zh-CN" w:bidi="ar"/>
        </w:rPr>
        <w:t>工业和信息化部、国家统计局、发展改革委、财政部等四部门《关于印发中小企业划型标准规定的通知》（工信部联企业〔2011〕300号）规定中小企业划型标准如表所示：</w:t>
      </w:r>
      <w:bookmarkEnd w:id="30"/>
      <w:bookmarkEnd w:id="31"/>
    </w:p>
    <w:tbl>
      <w:tblPr>
        <w:tblStyle w:val="25"/>
        <w:tblW w:w="9399" w:type="dxa"/>
        <w:jc w:val="center"/>
        <w:tblLayout w:type="fixed"/>
        <w:tblCellMar>
          <w:top w:w="0" w:type="dxa"/>
          <w:left w:w="10" w:type="dxa"/>
          <w:bottom w:w="0" w:type="dxa"/>
          <w:right w:w="10" w:type="dxa"/>
        </w:tblCellMar>
      </w:tblPr>
      <w:tblGrid>
        <w:gridCol w:w="1653"/>
        <w:gridCol w:w="1363"/>
        <w:gridCol w:w="6383"/>
      </w:tblGrid>
      <w:tr w14:paraId="60644AF0">
        <w:tblPrEx>
          <w:tblCellMar>
            <w:top w:w="0" w:type="dxa"/>
            <w:left w:w="10" w:type="dxa"/>
            <w:bottom w:w="0" w:type="dxa"/>
            <w:right w:w="10" w:type="dxa"/>
          </w:tblCellMar>
        </w:tblPrEx>
        <w:trPr>
          <w:trHeight w:val="412" w:hRule="exact"/>
          <w:jc w:val="center"/>
        </w:trPr>
        <w:tc>
          <w:tcPr>
            <w:tcW w:w="1653" w:type="dxa"/>
            <w:vMerge w:val="restart"/>
            <w:tcBorders>
              <w:top w:val="single" w:color="auto" w:sz="4" w:space="0"/>
              <w:left w:val="single" w:color="auto" w:sz="4" w:space="0"/>
            </w:tcBorders>
            <w:shd w:val="clear" w:color="auto" w:fill="FFFFFF"/>
            <w:noWrap w:val="0"/>
            <w:vAlign w:val="center"/>
          </w:tcPr>
          <w:p w14:paraId="1C77A2CB">
            <w:pPr>
              <w:pStyle w:val="52"/>
              <w:keepNext w:val="0"/>
              <w:keepLines w:val="0"/>
              <w:suppressLineNumbers w:val="0"/>
              <w:shd w:val="clear" w:color="auto" w:fill="auto"/>
              <w:spacing w:before="0" w:beforeAutospacing="0" w:after="0" w:afterAutospacing="0"/>
              <w:ind w:left="0" w:right="0" w:firstLine="2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农、林、牧、渔业</w:t>
            </w:r>
          </w:p>
        </w:tc>
        <w:tc>
          <w:tcPr>
            <w:tcW w:w="7746" w:type="dxa"/>
            <w:gridSpan w:val="2"/>
            <w:tcBorders>
              <w:top w:val="single" w:color="auto" w:sz="4" w:space="0"/>
              <w:left w:val="single" w:color="auto" w:sz="4" w:space="0"/>
              <w:right w:val="single" w:color="auto" w:sz="4" w:space="0"/>
            </w:tcBorders>
            <w:shd w:val="clear" w:color="auto" w:fill="FFFFFF"/>
            <w:noWrap w:val="0"/>
            <w:vAlign w:val="center"/>
          </w:tcPr>
          <w:p w14:paraId="563135C7">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营业收入20000万元以下的为中小微型企业。</w:t>
            </w:r>
          </w:p>
        </w:tc>
      </w:tr>
      <w:tr w14:paraId="023462A6">
        <w:tblPrEx>
          <w:tblCellMar>
            <w:top w:w="0" w:type="dxa"/>
            <w:left w:w="10" w:type="dxa"/>
            <w:bottom w:w="0" w:type="dxa"/>
            <w:right w:w="10" w:type="dxa"/>
          </w:tblCellMar>
        </w:tblPrEx>
        <w:trPr>
          <w:trHeight w:val="270" w:hRule="exact"/>
          <w:jc w:val="center"/>
        </w:trPr>
        <w:tc>
          <w:tcPr>
            <w:tcW w:w="1653" w:type="dxa"/>
            <w:vMerge w:val="continue"/>
            <w:tcBorders>
              <w:left w:val="single" w:color="auto" w:sz="4" w:space="0"/>
            </w:tcBorders>
            <w:shd w:val="clear" w:color="auto" w:fill="FFFFFF"/>
            <w:noWrap w:val="0"/>
            <w:vAlign w:val="center"/>
          </w:tcPr>
          <w:p w14:paraId="4F018404">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p>
        </w:tc>
        <w:tc>
          <w:tcPr>
            <w:tcW w:w="1363" w:type="dxa"/>
            <w:tcBorders>
              <w:top w:val="single" w:color="auto" w:sz="4" w:space="0"/>
              <w:left w:val="single" w:color="auto" w:sz="4" w:space="0"/>
            </w:tcBorders>
            <w:shd w:val="clear" w:color="auto" w:fill="FFFFFF"/>
            <w:noWrap w:val="0"/>
            <w:vAlign w:val="center"/>
          </w:tcPr>
          <w:p w14:paraId="50C7F6EC">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中型</w:t>
            </w:r>
          </w:p>
        </w:tc>
        <w:tc>
          <w:tcPr>
            <w:tcW w:w="6383" w:type="dxa"/>
            <w:tcBorders>
              <w:top w:val="single" w:color="auto" w:sz="4" w:space="0"/>
              <w:left w:val="single" w:color="auto" w:sz="4" w:space="0"/>
              <w:right w:val="single" w:color="auto" w:sz="4" w:space="0"/>
            </w:tcBorders>
            <w:shd w:val="clear" w:color="auto" w:fill="FFFFFF"/>
            <w:noWrap w:val="0"/>
            <w:vAlign w:val="center"/>
          </w:tcPr>
          <w:p w14:paraId="6CE9FC28">
            <w:pPr>
              <w:pStyle w:val="52"/>
              <w:keepNext w:val="0"/>
              <w:keepLines w:val="0"/>
              <w:suppressLineNumbers w:val="0"/>
              <w:shd w:val="clear" w:color="auto" w:fill="auto"/>
              <w:tabs>
                <w:tab w:val="left" w:pos="1930"/>
              </w:tabs>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500万元</w:t>
            </w:r>
            <w:r>
              <w:rPr>
                <w:rFonts w:hint="eastAsia" w:ascii="宋体" w:hAnsi="宋体" w:eastAsia="宋体" w:cs="宋体"/>
                <w:color w:val="000000"/>
                <w:sz w:val="18"/>
                <w:szCs w:val="18"/>
                <w:lang w:val="en-US"/>
              </w:rPr>
              <w:t>-</w:t>
            </w:r>
            <w:r>
              <w:rPr>
                <w:rFonts w:hint="eastAsia" w:ascii="宋体" w:hAnsi="宋体" w:eastAsia="宋体" w:cs="宋体"/>
                <w:color w:val="000000"/>
                <w:sz w:val="18"/>
                <w:szCs w:val="18"/>
              </w:rPr>
              <w:t>20</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000万元</w:t>
            </w:r>
          </w:p>
        </w:tc>
      </w:tr>
      <w:tr w14:paraId="29BD1F33">
        <w:tblPrEx>
          <w:tblCellMar>
            <w:top w:w="0" w:type="dxa"/>
            <w:left w:w="10" w:type="dxa"/>
            <w:bottom w:w="0" w:type="dxa"/>
            <w:right w:w="10" w:type="dxa"/>
          </w:tblCellMar>
        </w:tblPrEx>
        <w:trPr>
          <w:trHeight w:val="262" w:hRule="exact"/>
          <w:jc w:val="center"/>
        </w:trPr>
        <w:tc>
          <w:tcPr>
            <w:tcW w:w="1653" w:type="dxa"/>
            <w:vMerge w:val="continue"/>
            <w:tcBorders>
              <w:left w:val="single" w:color="auto" w:sz="4" w:space="0"/>
            </w:tcBorders>
            <w:shd w:val="clear" w:color="auto" w:fill="FFFFFF"/>
            <w:noWrap w:val="0"/>
            <w:vAlign w:val="center"/>
          </w:tcPr>
          <w:p w14:paraId="151E7799">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p>
        </w:tc>
        <w:tc>
          <w:tcPr>
            <w:tcW w:w="1363" w:type="dxa"/>
            <w:tcBorders>
              <w:top w:val="single" w:color="auto" w:sz="4" w:space="0"/>
              <w:left w:val="single" w:color="auto" w:sz="4" w:space="0"/>
            </w:tcBorders>
            <w:shd w:val="clear" w:color="auto" w:fill="FFFFFF"/>
            <w:noWrap w:val="0"/>
            <w:vAlign w:val="center"/>
          </w:tcPr>
          <w:p w14:paraId="3635E595">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小型</w:t>
            </w:r>
          </w:p>
        </w:tc>
        <w:tc>
          <w:tcPr>
            <w:tcW w:w="6383" w:type="dxa"/>
            <w:tcBorders>
              <w:top w:val="single" w:color="auto" w:sz="4" w:space="0"/>
              <w:left w:val="single" w:color="auto" w:sz="4" w:space="0"/>
              <w:right w:val="single" w:color="auto" w:sz="4" w:space="0"/>
            </w:tcBorders>
            <w:shd w:val="clear" w:color="auto" w:fill="FFFFFF"/>
            <w:noWrap w:val="0"/>
            <w:vAlign w:val="center"/>
          </w:tcPr>
          <w:p w14:paraId="23549566">
            <w:pPr>
              <w:pStyle w:val="52"/>
              <w:keepNext w:val="0"/>
              <w:keepLines w:val="0"/>
              <w:suppressLineNumbers w:val="0"/>
              <w:shd w:val="clear" w:color="auto" w:fill="auto"/>
              <w:tabs>
                <w:tab w:val="left" w:pos="1752"/>
              </w:tabs>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50万元</w:t>
            </w:r>
            <w:r>
              <w:rPr>
                <w:rFonts w:hint="eastAsia" w:ascii="宋体" w:hAnsi="宋体" w:eastAsia="宋体" w:cs="宋体"/>
                <w:color w:val="000000"/>
                <w:sz w:val="18"/>
                <w:szCs w:val="18"/>
                <w:lang w:val="en-US"/>
              </w:rPr>
              <w:t>-</w:t>
            </w:r>
            <w:r>
              <w:rPr>
                <w:rFonts w:hint="eastAsia" w:ascii="宋体" w:hAnsi="宋体" w:eastAsia="宋体" w:cs="宋体"/>
                <w:color w:val="000000"/>
                <w:sz w:val="18"/>
                <w:szCs w:val="18"/>
              </w:rPr>
              <w:t>500万元</w:t>
            </w:r>
          </w:p>
        </w:tc>
      </w:tr>
      <w:tr w14:paraId="69F933AB">
        <w:tblPrEx>
          <w:tblCellMar>
            <w:top w:w="0" w:type="dxa"/>
            <w:left w:w="10" w:type="dxa"/>
            <w:bottom w:w="0" w:type="dxa"/>
            <w:right w:w="10" w:type="dxa"/>
          </w:tblCellMar>
        </w:tblPrEx>
        <w:trPr>
          <w:trHeight w:val="300" w:hRule="exact"/>
          <w:jc w:val="center"/>
        </w:trPr>
        <w:tc>
          <w:tcPr>
            <w:tcW w:w="1653" w:type="dxa"/>
            <w:vMerge w:val="continue"/>
            <w:tcBorders>
              <w:left w:val="single" w:color="auto" w:sz="4" w:space="0"/>
            </w:tcBorders>
            <w:shd w:val="clear" w:color="auto" w:fill="FFFFFF"/>
            <w:noWrap w:val="0"/>
            <w:vAlign w:val="center"/>
          </w:tcPr>
          <w:p w14:paraId="07AE070E">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p>
        </w:tc>
        <w:tc>
          <w:tcPr>
            <w:tcW w:w="1363" w:type="dxa"/>
            <w:tcBorders>
              <w:top w:val="single" w:color="auto" w:sz="4" w:space="0"/>
              <w:left w:val="single" w:color="auto" w:sz="4" w:space="0"/>
            </w:tcBorders>
            <w:shd w:val="clear" w:color="auto" w:fill="FFFFFF"/>
            <w:noWrap w:val="0"/>
            <w:vAlign w:val="center"/>
          </w:tcPr>
          <w:p w14:paraId="62062204">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微型</w:t>
            </w:r>
          </w:p>
        </w:tc>
        <w:tc>
          <w:tcPr>
            <w:tcW w:w="6383" w:type="dxa"/>
            <w:tcBorders>
              <w:top w:val="single" w:color="auto" w:sz="4" w:space="0"/>
              <w:left w:val="single" w:color="auto" w:sz="4" w:space="0"/>
              <w:right w:val="single" w:color="auto" w:sz="4" w:space="0"/>
            </w:tcBorders>
            <w:shd w:val="clear" w:color="auto" w:fill="FFFFFF"/>
            <w:noWrap w:val="0"/>
            <w:vAlign w:val="center"/>
          </w:tcPr>
          <w:p w14:paraId="55097BA4">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50万元以下</w:t>
            </w:r>
          </w:p>
        </w:tc>
      </w:tr>
      <w:tr w14:paraId="37BFDFD3">
        <w:tblPrEx>
          <w:tblCellMar>
            <w:top w:w="0" w:type="dxa"/>
            <w:left w:w="10" w:type="dxa"/>
            <w:bottom w:w="0" w:type="dxa"/>
            <w:right w:w="10" w:type="dxa"/>
          </w:tblCellMar>
        </w:tblPrEx>
        <w:trPr>
          <w:trHeight w:val="270" w:hRule="exact"/>
          <w:jc w:val="center"/>
        </w:trPr>
        <w:tc>
          <w:tcPr>
            <w:tcW w:w="1653" w:type="dxa"/>
            <w:vMerge w:val="restart"/>
            <w:tcBorders>
              <w:top w:val="single" w:color="auto" w:sz="4" w:space="0"/>
              <w:left w:val="single" w:color="auto" w:sz="4" w:space="0"/>
            </w:tcBorders>
            <w:shd w:val="clear" w:color="auto" w:fill="FFFFFF"/>
            <w:noWrap w:val="0"/>
            <w:vAlign w:val="center"/>
          </w:tcPr>
          <w:p w14:paraId="124F1C03">
            <w:pPr>
              <w:pStyle w:val="52"/>
              <w:keepNext w:val="0"/>
              <w:keepLines w:val="0"/>
              <w:suppressLineNumbers w:val="0"/>
              <w:shd w:val="clear" w:color="auto" w:fill="auto"/>
              <w:spacing w:before="0" w:beforeAutospacing="0" w:after="0" w:afterAutospacing="0" w:line="504" w:lineRule="exact"/>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工业（包括采矿业，制造业，电力、热力、燃 气及水生产和供应</w:t>
            </w:r>
          </w:p>
          <w:p w14:paraId="75675366">
            <w:pPr>
              <w:pStyle w:val="52"/>
              <w:keepNext w:val="0"/>
              <w:keepLines w:val="0"/>
              <w:suppressLineNumbers w:val="0"/>
              <w:shd w:val="clear" w:color="auto" w:fill="auto"/>
              <w:spacing w:before="0" w:beforeAutospacing="0" w:after="0" w:afterAutospacing="0" w:line="504" w:lineRule="exact"/>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业）</w:t>
            </w:r>
          </w:p>
        </w:tc>
        <w:tc>
          <w:tcPr>
            <w:tcW w:w="7746" w:type="dxa"/>
            <w:gridSpan w:val="2"/>
            <w:tcBorders>
              <w:top w:val="single" w:color="auto" w:sz="4" w:space="0"/>
              <w:left w:val="single" w:color="auto" w:sz="4" w:space="0"/>
              <w:right w:val="single" w:color="auto" w:sz="4" w:space="0"/>
            </w:tcBorders>
            <w:shd w:val="clear" w:color="auto" w:fill="FFFFFF"/>
            <w:noWrap w:val="0"/>
            <w:vAlign w:val="center"/>
          </w:tcPr>
          <w:p w14:paraId="027F9433">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从业人员1 000人以下或营业收入 40000万元以下的为中小微型企业。</w:t>
            </w:r>
          </w:p>
        </w:tc>
      </w:tr>
      <w:tr w14:paraId="13E4C700">
        <w:tblPrEx>
          <w:tblCellMar>
            <w:top w:w="0" w:type="dxa"/>
            <w:left w:w="10" w:type="dxa"/>
            <w:bottom w:w="0" w:type="dxa"/>
            <w:right w:w="10" w:type="dxa"/>
          </w:tblCellMar>
        </w:tblPrEx>
        <w:trPr>
          <w:trHeight w:val="343" w:hRule="exact"/>
          <w:jc w:val="center"/>
        </w:trPr>
        <w:tc>
          <w:tcPr>
            <w:tcW w:w="1653" w:type="dxa"/>
            <w:vMerge w:val="continue"/>
            <w:tcBorders>
              <w:left w:val="single" w:color="auto" w:sz="4" w:space="0"/>
            </w:tcBorders>
            <w:shd w:val="clear" w:color="auto" w:fill="FFFFFF"/>
            <w:noWrap w:val="0"/>
            <w:vAlign w:val="center"/>
          </w:tcPr>
          <w:p w14:paraId="2D11E75E">
            <w:pPr>
              <w:keepNext w:val="0"/>
              <w:keepLines w:val="0"/>
              <w:suppressLineNumbers w:val="0"/>
              <w:spacing w:before="0" w:beforeAutospacing="0" w:after="0" w:afterAutospacing="0"/>
              <w:ind w:left="0" w:right="0"/>
              <w:jc w:val="both"/>
              <w:rPr>
                <w:rFonts w:hint="eastAsia" w:ascii="宋体" w:hAnsi="宋体" w:eastAsia="宋体" w:cs="宋体"/>
                <w:color w:val="000000"/>
                <w:sz w:val="18"/>
                <w:szCs w:val="18"/>
              </w:rPr>
            </w:pPr>
          </w:p>
        </w:tc>
        <w:tc>
          <w:tcPr>
            <w:tcW w:w="1363" w:type="dxa"/>
            <w:tcBorders>
              <w:top w:val="single" w:color="auto" w:sz="4" w:space="0"/>
              <w:left w:val="single" w:color="auto" w:sz="4" w:space="0"/>
            </w:tcBorders>
            <w:shd w:val="clear" w:color="auto" w:fill="FFFFFF"/>
            <w:noWrap w:val="0"/>
            <w:vAlign w:val="center"/>
          </w:tcPr>
          <w:p w14:paraId="54375E09">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中型</w:t>
            </w:r>
          </w:p>
        </w:tc>
        <w:tc>
          <w:tcPr>
            <w:tcW w:w="6383" w:type="dxa"/>
            <w:tcBorders>
              <w:top w:val="single" w:color="auto" w:sz="4" w:space="0"/>
              <w:left w:val="single" w:color="auto" w:sz="4" w:space="0"/>
              <w:right w:val="single" w:color="auto" w:sz="4" w:space="0"/>
            </w:tcBorders>
            <w:shd w:val="clear" w:color="auto" w:fill="FFFFFF"/>
            <w:noWrap w:val="0"/>
            <w:vAlign w:val="center"/>
          </w:tcPr>
          <w:p w14:paraId="0CFB07B8">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 300人一1 000人，且营业收入 2 000万元一40 000万元</w:t>
            </w:r>
          </w:p>
        </w:tc>
      </w:tr>
      <w:tr w14:paraId="7087C0C8">
        <w:tblPrEx>
          <w:tblCellMar>
            <w:top w:w="0" w:type="dxa"/>
            <w:left w:w="10" w:type="dxa"/>
            <w:bottom w:w="0" w:type="dxa"/>
            <w:right w:w="10" w:type="dxa"/>
          </w:tblCellMar>
        </w:tblPrEx>
        <w:trPr>
          <w:trHeight w:val="346" w:hRule="exact"/>
          <w:jc w:val="center"/>
        </w:trPr>
        <w:tc>
          <w:tcPr>
            <w:tcW w:w="1653" w:type="dxa"/>
            <w:vMerge w:val="continue"/>
            <w:tcBorders>
              <w:left w:val="single" w:color="auto" w:sz="4" w:space="0"/>
            </w:tcBorders>
            <w:shd w:val="clear" w:color="auto" w:fill="FFFFFF"/>
            <w:noWrap w:val="0"/>
            <w:vAlign w:val="center"/>
          </w:tcPr>
          <w:p w14:paraId="4AD6812E">
            <w:pPr>
              <w:keepNext w:val="0"/>
              <w:keepLines w:val="0"/>
              <w:suppressLineNumbers w:val="0"/>
              <w:spacing w:before="0" w:beforeAutospacing="0" w:after="0" w:afterAutospacing="0"/>
              <w:ind w:left="0" w:right="0"/>
              <w:jc w:val="both"/>
              <w:rPr>
                <w:rFonts w:hint="eastAsia" w:ascii="宋体" w:hAnsi="宋体" w:eastAsia="宋体" w:cs="宋体"/>
                <w:color w:val="000000"/>
                <w:sz w:val="18"/>
                <w:szCs w:val="18"/>
              </w:rPr>
            </w:pPr>
          </w:p>
        </w:tc>
        <w:tc>
          <w:tcPr>
            <w:tcW w:w="1363" w:type="dxa"/>
            <w:tcBorders>
              <w:top w:val="single" w:color="auto" w:sz="4" w:space="0"/>
              <w:left w:val="single" w:color="auto" w:sz="4" w:space="0"/>
            </w:tcBorders>
            <w:shd w:val="clear" w:color="auto" w:fill="FFFFFF"/>
            <w:noWrap w:val="0"/>
            <w:vAlign w:val="center"/>
          </w:tcPr>
          <w:p w14:paraId="1F849846">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小型</w:t>
            </w:r>
          </w:p>
        </w:tc>
        <w:tc>
          <w:tcPr>
            <w:tcW w:w="6383" w:type="dxa"/>
            <w:tcBorders>
              <w:top w:val="single" w:color="auto" w:sz="4" w:space="0"/>
              <w:left w:val="single" w:color="auto" w:sz="4" w:space="0"/>
              <w:right w:val="single" w:color="auto" w:sz="4" w:space="0"/>
            </w:tcBorders>
            <w:shd w:val="clear" w:color="auto" w:fill="FFFFFF"/>
            <w:noWrap w:val="0"/>
            <w:vAlign w:val="center"/>
          </w:tcPr>
          <w:p w14:paraId="167734BF">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从业人员20人一300人，且营业收入 300万元一2 000万元</w:t>
            </w:r>
          </w:p>
        </w:tc>
      </w:tr>
      <w:tr w14:paraId="2A7F8B6D">
        <w:tblPrEx>
          <w:tblCellMar>
            <w:top w:w="0" w:type="dxa"/>
            <w:left w:w="10" w:type="dxa"/>
            <w:bottom w:w="0" w:type="dxa"/>
            <w:right w:w="10" w:type="dxa"/>
          </w:tblCellMar>
        </w:tblPrEx>
        <w:trPr>
          <w:trHeight w:val="272" w:hRule="exact"/>
          <w:jc w:val="center"/>
        </w:trPr>
        <w:tc>
          <w:tcPr>
            <w:tcW w:w="1653" w:type="dxa"/>
            <w:vMerge w:val="continue"/>
            <w:tcBorders>
              <w:left w:val="single" w:color="auto" w:sz="4" w:space="0"/>
            </w:tcBorders>
            <w:shd w:val="clear" w:color="auto" w:fill="FFFFFF"/>
            <w:noWrap w:val="0"/>
            <w:vAlign w:val="center"/>
          </w:tcPr>
          <w:p w14:paraId="46D8AA48">
            <w:pPr>
              <w:keepNext w:val="0"/>
              <w:keepLines w:val="0"/>
              <w:suppressLineNumbers w:val="0"/>
              <w:spacing w:before="0" w:beforeAutospacing="0" w:after="0" w:afterAutospacing="0"/>
              <w:ind w:left="0" w:right="0"/>
              <w:jc w:val="both"/>
              <w:rPr>
                <w:rFonts w:hint="eastAsia" w:ascii="宋体" w:hAnsi="宋体" w:eastAsia="宋体" w:cs="宋体"/>
                <w:color w:val="000000"/>
                <w:sz w:val="18"/>
                <w:szCs w:val="18"/>
              </w:rPr>
            </w:pPr>
          </w:p>
        </w:tc>
        <w:tc>
          <w:tcPr>
            <w:tcW w:w="1363" w:type="dxa"/>
            <w:tcBorders>
              <w:top w:val="single" w:color="auto" w:sz="4" w:space="0"/>
              <w:left w:val="single" w:color="auto" w:sz="4" w:space="0"/>
            </w:tcBorders>
            <w:shd w:val="clear" w:color="auto" w:fill="FFFFFF"/>
            <w:noWrap w:val="0"/>
            <w:vAlign w:val="center"/>
          </w:tcPr>
          <w:p w14:paraId="05C39A41">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微型</w:t>
            </w:r>
          </w:p>
        </w:tc>
        <w:tc>
          <w:tcPr>
            <w:tcW w:w="6383" w:type="dxa"/>
            <w:tcBorders>
              <w:top w:val="single" w:color="auto" w:sz="4" w:space="0"/>
              <w:left w:val="single" w:color="auto" w:sz="4" w:space="0"/>
              <w:right w:val="single" w:color="auto" w:sz="4" w:space="0"/>
            </w:tcBorders>
            <w:shd w:val="clear" w:color="auto" w:fill="FFFFFF"/>
            <w:noWrap w:val="0"/>
            <w:vAlign w:val="center"/>
          </w:tcPr>
          <w:p w14:paraId="09E03EDE">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从业人员20人以下或营业收入 300万元以下</w:t>
            </w:r>
          </w:p>
        </w:tc>
      </w:tr>
      <w:tr w14:paraId="1E638F17">
        <w:tblPrEx>
          <w:tblCellMar>
            <w:top w:w="0" w:type="dxa"/>
            <w:left w:w="10" w:type="dxa"/>
            <w:bottom w:w="0" w:type="dxa"/>
            <w:right w:w="10" w:type="dxa"/>
          </w:tblCellMar>
        </w:tblPrEx>
        <w:trPr>
          <w:trHeight w:val="369" w:hRule="exact"/>
          <w:jc w:val="center"/>
        </w:trPr>
        <w:tc>
          <w:tcPr>
            <w:tcW w:w="1653" w:type="dxa"/>
            <w:vMerge w:val="restart"/>
            <w:tcBorders>
              <w:top w:val="single" w:color="auto" w:sz="4" w:space="0"/>
              <w:left w:val="single" w:color="auto" w:sz="4" w:space="0"/>
            </w:tcBorders>
            <w:shd w:val="clear" w:color="auto" w:fill="FFFFFF"/>
            <w:noWrap w:val="0"/>
            <w:vAlign w:val="center"/>
          </w:tcPr>
          <w:p w14:paraId="236C1614">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建筑业</w:t>
            </w:r>
          </w:p>
        </w:tc>
        <w:tc>
          <w:tcPr>
            <w:tcW w:w="7746" w:type="dxa"/>
            <w:gridSpan w:val="2"/>
            <w:tcBorders>
              <w:top w:val="single" w:color="auto" w:sz="4" w:space="0"/>
              <w:left w:val="single" w:color="auto" w:sz="4" w:space="0"/>
              <w:right w:val="single" w:color="auto" w:sz="4" w:space="0"/>
            </w:tcBorders>
            <w:shd w:val="clear" w:color="auto" w:fill="FFFFFF"/>
            <w:noWrap w:val="0"/>
            <w:vAlign w:val="center"/>
          </w:tcPr>
          <w:p w14:paraId="3141A93F">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营业收入80 000万元以下或资产总额 80000万元以下的为中小微型企业。</w:t>
            </w:r>
          </w:p>
        </w:tc>
      </w:tr>
      <w:tr w14:paraId="17601D3F">
        <w:tblPrEx>
          <w:tblCellMar>
            <w:top w:w="0" w:type="dxa"/>
            <w:left w:w="10" w:type="dxa"/>
            <w:bottom w:w="0" w:type="dxa"/>
            <w:right w:w="10" w:type="dxa"/>
          </w:tblCellMar>
        </w:tblPrEx>
        <w:trPr>
          <w:trHeight w:val="468" w:hRule="exact"/>
          <w:jc w:val="center"/>
        </w:trPr>
        <w:tc>
          <w:tcPr>
            <w:tcW w:w="1653" w:type="dxa"/>
            <w:vMerge w:val="continue"/>
            <w:tcBorders>
              <w:left w:val="single" w:color="auto" w:sz="4" w:space="0"/>
            </w:tcBorders>
            <w:shd w:val="clear" w:color="auto" w:fill="FFFFFF"/>
            <w:noWrap w:val="0"/>
            <w:vAlign w:val="center"/>
          </w:tcPr>
          <w:p w14:paraId="13A19B0E">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p>
        </w:tc>
        <w:tc>
          <w:tcPr>
            <w:tcW w:w="1363" w:type="dxa"/>
            <w:tcBorders>
              <w:top w:val="single" w:color="auto" w:sz="4" w:space="0"/>
              <w:left w:val="single" w:color="auto" w:sz="4" w:space="0"/>
            </w:tcBorders>
            <w:shd w:val="clear" w:color="auto" w:fill="FFFFFF"/>
            <w:noWrap w:val="0"/>
            <w:vAlign w:val="center"/>
          </w:tcPr>
          <w:p w14:paraId="0DF91F89">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中型</w:t>
            </w:r>
          </w:p>
        </w:tc>
        <w:tc>
          <w:tcPr>
            <w:tcW w:w="6383" w:type="dxa"/>
            <w:tcBorders>
              <w:top w:val="single" w:color="auto" w:sz="4" w:space="0"/>
              <w:left w:val="single" w:color="auto" w:sz="4" w:space="0"/>
              <w:right w:val="single" w:color="auto" w:sz="4" w:space="0"/>
            </w:tcBorders>
            <w:shd w:val="clear" w:color="auto" w:fill="FFFFFF"/>
            <w:noWrap w:val="0"/>
            <w:vAlign w:val="center"/>
          </w:tcPr>
          <w:p w14:paraId="5028A621">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营业收入6 000万元一80 000万元，且资产总额 5 000万元一80 000 力元</w:t>
            </w:r>
          </w:p>
        </w:tc>
      </w:tr>
      <w:tr w14:paraId="5E330F8E">
        <w:tblPrEx>
          <w:tblCellMar>
            <w:top w:w="0" w:type="dxa"/>
            <w:left w:w="10" w:type="dxa"/>
            <w:bottom w:w="0" w:type="dxa"/>
            <w:right w:w="10" w:type="dxa"/>
          </w:tblCellMar>
        </w:tblPrEx>
        <w:trPr>
          <w:trHeight w:val="278" w:hRule="exact"/>
          <w:jc w:val="center"/>
        </w:trPr>
        <w:tc>
          <w:tcPr>
            <w:tcW w:w="1653" w:type="dxa"/>
            <w:vMerge w:val="continue"/>
            <w:tcBorders>
              <w:left w:val="single" w:color="auto" w:sz="4" w:space="0"/>
            </w:tcBorders>
            <w:shd w:val="clear" w:color="auto" w:fill="FFFFFF"/>
            <w:noWrap w:val="0"/>
            <w:vAlign w:val="center"/>
          </w:tcPr>
          <w:p w14:paraId="66E5F2E2">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p>
        </w:tc>
        <w:tc>
          <w:tcPr>
            <w:tcW w:w="1363" w:type="dxa"/>
            <w:tcBorders>
              <w:top w:val="single" w:color="auto" w:sz="4" w:space="0"/>
              <w:left w:val="single" w:color="auto" w:sz="4" w:space="0"/>
            </w:tcBorders>
            <w:shd w:val="clear" w:color="auto" w:fill="FFFFFF"/>
            <w:noWrap w:val="0"/>
            <w:vAlign w:val="center"/>
          </w:tcPr>
          <w:p w14:paraId="2925E533">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小型</w:t>
            </w:r>
          </w:p>
        </w:tc>
        <w:tc>
          <w:tcPr>
            <w:tcW w:w="6383" w:type="dxa"/>
            <w:tcBorders>
              <w:top w:val="single" w:color="auto" w:sz="4" w:space="0"/>
              <w:left w:val="single" w:color="auto" w:sz="4" w:space="0"/>
              <w:right w:val="single" w:color="auto" w:sz="4" w:space="0"/>
            </w:tcBorders>
            <w:shd w:val="clear" w:color="auto" w:fill="FFFFFF"/>
            <w:noWrap w:val="0"/>
            <w:vAlign w:val="center"/>
          </w:tcPr>
          <w:p w14:paraId="66438C23">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营业收入 300万元一6 000万元，且资产总额 300万一5 000万元</w:t>
            </w:r>
          </w:p>
        </w:tc>
      </w:tr>
      <w:tr w14:paraId="4A1AB2E1">
        <w:tblPrEx>
          <w:tblCellMar>
            <w:top w:w="0" w:type="dxa"/>
            <w:left w:w="10" w:type="dxa"/>
            <w:bottom w:w="0" w:type="dxa"/>
            <w:right w:w="10" w:type="dxa"/>
          </w:tblCellMar>
        </w:tblPrEx>
        <w:trPr>
          <w:trHeight w:val="320" w:hRule="exact"/>
          <w:jc w:val="center"/>
        </w:trPr>
        <w:tc>
          <w:tcPr>
            <w:tcW w:w="1653" w:type="dxa"/>
            <w:vMerge w:val="continue"/>
            <w:tcBorders>
              <w:left w:val="single" w:color="auto" w:sz="4" w:space="0"/>
            </w:tcBorders>
            <w:shd w:val="clear" w:color="auto" w:fill="FFFFFF"/>
            <w:noWrap w:val="0"/>
            <w:vAlign w:val="center"/>
          </w:tcPr>
          <w:p w14:paraId="3AE3ACD0">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p>
        </w:tc>
        <w:tc>
          <w:tcPr>
            <w:tcW w:w="1363" w:type="dxa"/>
            <w:tcBorders>
              <w:top w:val="single" w:color="auto" w:sz="4" w:space="0"/>
              <w:left w:val="single" w:color="auto" w:sz="4" w:space="0"/>
            </w:tcBorders>
            <w:shd w:val="clear" w:color="auto" w:fill="FFFFFF"/>
            <w:noWrap w:val="0"/>
            <w:vAlign w:val="center"/>
          </w:tcPr>
          <w:p w14:paraId="395AD5E2">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微型</w:t>
            </w:r>
          </w:p>
        </w:tc>
        <w:tc>
          <w:tcPr>
            <w:tcW w:w="6383" w:type="dxa"/>
            <w:tcBorders>
              <w:top w:val="single" w:color="auto" w:sz="4" w:space="0"/>
              <w:left w:val="single" w:color="auto" w:sz="4" w:space="0"/>
              <w:right w:val="single" w:color="auto" w:sz="4" w:space="0"/>
            </w:tcBorders>
            <w:shd w:val="clear" w:color="auto" w:fill="FFFFFF"/>
            <w:noWrap w:val="0"/>
            <w:vAlign w:val="center"/>
          </w:tcPr>
          <w:p w14:paraId="65412EAB">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营业收入300万元以下或资产总额 300万元以下</w:t>
            </w:r>
          </w:p>
        </w:tc>
      </w:tr>
      <w:tr w14:paraId="1DE348D1">
        <w:tblPrEx>
          <w:tblCellMar>
            <w:top w:w="0" w:type="dxa"/>
            <w:left w:w="10" w:type="dxa"/>
            <w:bottom w:w="0" w:type="dxa"/>
            <w:right w:w="10" w:type="dxa"/>
          </w:tblCellMar>
        </w:tblPrEx>
        <w:trPr>
          <w:trHeight w:val="320" w:hRule="exact"/>
          <w:jc w:val="center"/>
        </w:trPr>
        <w:tc>
          <w:tcPr>
            <w:tcW w:w="1653" w:type="dxa"/>
            <w:vMerge w:val="restart"/>
            <w:tcBorders>
              <w:top w:val="single" w:color="auto" w:sz="4" w:space="0"/>
              <w:left w:val="single" w:color="auto" w:sz="4" w:space="0"/>
            </w:tcBorders>
            <w:shd w:val="clear" w:color="auto" w:fill="FFFFFF"/>
            <w:noWrap w:val="0"/>
            <w:vAlign w:val="center"/>
          </w:tcPr>
          <w:p w14:paraId="0C93342F">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批发业</w:t>
            </w:r>
          </w:p>
        </w:tc>
        <w:tc>
          <w:tcPr>
            <w:tcW w:w="7746" w:type="dxa"/>
            <w:gridSpan w:val="2"/>
            <w:tcBorders>
              <w:top w:val="single" w:color="auto" w:sz="4" w:space="0"/>
              <w:left w:val="single" w:color="auto" w:sz="4" w:space="0"/>
              <w:right w:val="single" w:color="auto" w:sz="4" w:space="0"/>
            </w:tcBorders>
            <w:shd w:val="clear" w:color="auto" w:fill="FFFFFF"/>
            <w:noWrap w:val="0"/>
            <w:vAlign w:val="center"/>
          </w:tcPr>
          <w:p w14:paraId="0FB57376">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从业人员200人以下或营业收入 40 000万元以下的为中小微型企业。</w:t>
            </w:r>
          </w:p>
        </w:tc>
      </w:tr>
      <w:tr w14:paraId="703D4928">
        <w:tblPrEx>
          <w:tblCellMar>
            <w:top w:w="0" w:type="dxa"/>
            <w:left w:w="10" w:type="dxa"/>
            <w:bottom w:w="0" w:type="dxa"/>
            <w:right w:w="10" w:type="dxa"/>
          </w:tblCellMar>
        </w:tblPrEx>
        <w:trPr>
          <w:trHeight w:val="309" w:hRule="exact"/>
          <w:jc w:val="center"/>
        </w:trPr>
        <w:tc>
          <w:tcPr>
            <w:tcW w:w="1653" w:type="dxa"/>
            <w:vMerge w:val="continue"/>
            <w:tcBorders>
              <w:left w:val="single" w:color="auto" w:sz="4" w:space="0"/>
            </w:tcBorders>
            <w:shd w:val="clear" w:color="auto" w:fill="FFFFFF"/>
            <w:noWrap w:val="0"/>
            <w:vAlign w:val="center"/>
          </w:tcPr>
          <w:p w14:paraId="27532342">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p>
        </w:tc>
        <w:tc>
          <w:tcPr>
            <w:tcW w:w="1363" w:type="dxa"/>
            <w:tcBorders>
              <w:top w:val="single" w:color="auto" w:sz="4" w:space="0"/>
              <w:left w:val="single" w:color="auto" w:sz="4" w:space="0"/>
            </w:tcBorders>
            <w:shd w:val="clear" w:color="auto" w:fill="FFFFFF"/>
            <w:noWrap w:val="0"/>
            <w:vAlign w:val="center"/>
          </w:tcPr>
          <w:p w14:paraId="756A61B1">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中型</w:t>
            </w:r>
          </w:p>
        </w:tc>
        <w:tc>
          <w:tcPr>
            <w:tcW w:w="6383" w:type="dxa"/>
            <w:tcBorders>
              <w:top w:val="single" w:color="auto" w:sz="4" w:space="0"/>
              <w:left w:val="single" w:color="auto" w:sz="4" w:space="0"/>
              <w:right w:val="single" w:color="auto" w:sz="4" w:space="0"/>
            </w:tcBorders>
            <w:shd w:val="clear" w:color="auto" w:fill="FFFFFF"/>
            <w:noWrap w:val="0"/>
            <w:vAlign w:val="center"/>
          </w:tcPr>
          <w:p w14:paraId="60094605">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从业人员20人一200人，且营业收入 5 000万元一40 000万元</w:t>
            </w:r>
          </w:p>
        </w:tc>
      </w:tr>
      <w:tr w14:paraId="3C2BF6F7">
        <w:tblPrEx>
          <w:tblCellMar>
            <w:top w:w="0" w:type="dxa"/>
            <w:left w:w="10" w:type="dxa"/>
            <w:bottom w:w="0" w:type="dxa"/>
            <w:right w:w="10" w:type="dxa"/>
          </w:tblCellMar>
        </w:tblPrEx>
        <w:trPr>
          <w:trHeight w:val="303" w:hRule="exact"/>
          <w:jc w:val="center"/>
        </w:trPr>
        <w:tc>
          <w:tcPr>
            <w:tcW w:w="1653" w:type="dxa"/>
            <w:vMerge w:val="continue"/>
            <w:tcBorders>
              <w:left w:val="single" w:color="auto" w:sz="4" w:space="0"/>
            </w:tcBorders>
            <w:shd w:val="clear" w:color="auto" w:fill="FFFFFF"/>
            <w:noWrap w:val="0"/>
            <w:vAlign w:val="center"/>
          </w:tcPr>
          <w:p w14:paraId="1447B3DE">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p>
        </w:tc>
        <w:tc>
          <w:tcPr>
            <w:tcW w:w="1363" w:type="dxa"/>
            <w:tcBorders>
              <w:top w:val="single" w:color="auto" w:sz="4" w:space="0"/>
              <w:left w:val="single" w:color="auto" w:sz="4" w:space="0"/>
            </w:tcBorders>
            <w:shd w:val="clear" w:color="auto" w:fill="FFFFFF"/>
            <w:noWrap w:val="0"/>
            <w:vAlign w:val="center"/>
          </w:tcPr>
          <w:p w14:paraId="52D214DE">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小型</w:t>
            </w:r>
          </w:p>
        </w:tc>
        <w:tc>
          <w:tcPr>
            <w:tcW w:w="6383" w:type="dxa"/>
            <w:tcBorders>
              <w:top w:val="single" w:color="auto" w:sz="4" w:space="0"/>
              <w:left w:val="single" w:color="auto" w:sz="4" w:space="0"/>
              <w:right w:val="single" w:color="auto" w:sz="4" w:space="0"/>
            </w:tcBorders>
            <w:shd w:val="clear" w:color="auto" w:fill="FFFFFF"/>
            <w:noWrap w:val="0"/>
            <w:vAlign w:val="center"/>
          </w:tcPr>
          <w:p w14:paraId="66E46C8D">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从业人员5人一20人，且营业收入 1 000万元一5 000万元</w:t>
            </w:r>
          </w:p>
        </w:tc>
      </w:tr>
      <w:tr w14:paraId="2A49CB6F">
        <w:tblPrEx>
          <w:tblCellMar>
            <w:top w:w="0" w:type="dxa"/>
            <w:left w:w="10" w:type="dxa"/>
            <w:bottom w:w="0" w:type="dxa"/>
            <w:right w:w="10" w:type="dxa"/>
          </w:tblCellMar>
        </w:tblPrEx>
        <w:trPr>
          <w:trHeight w:val="315" w:hRule="exact"/>
          <w:jc w:val="center"/>
        </w:trPr>
        <w:tc>
          <w:tcPr>
            <w:tcW w:w="1653" w:type="dxa"/>
            <w:vMerge w:val="continue"/>
            <w:tcBorders>
              <w:left w:val="single" w:color="auto" w:sz="4" w:space="0"/>
            </w:tcBorders>
            <w:shd w:val="clear" w:color="auto" w:fill="FFFFFF"/>
            <w:noWrap w:val="0"/>
            <w:vAlign w:val="center"/>
          </w:tcPr>
          <w:p w14:paraId="16A1D97D">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p>
        </w:tc>
        <w:tc>
          <w:tcPr>
            <w:tcW w:w="1363" w:type="dxa"/>
            <w:tcBorders>
              <w:top w:val="single" w:color="auto" w:sz="4" w:space="0"/>
              <w:left w:val="single" w:color="auto" w:sz="4" w:space="0"/>
            </w:tcBorders>
            <w:shd w:val="clear" w:color="auto" w:fill="FFFFFF"/>
            <w:noWrap w:val="0"/>
            <w:vAlign w:val="center"/>
          </w:tcPr>
          <w:p w14:paraId="14632F58">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微型</w:t>
            </w:r>
          </w:p>
        </w:tc>
        <w:tc>
          <w:tcPr>
            <w:tcW w:w="6383" w:type="dxa"/>
            <w:tcBorders>
              <w:top w:val="single" w:color="auto" w:sz="4" w:space="0"/>
              <w:left w:val="single" w:color="auto" w:sz="4" w:space="0"/>
              <w:right w:val="single" w:color="auto" w:sz="4" w:space="0"/>
            </w:tcBorders>
            <w:shd w:val="clear" w:color="auto" w:fill="FFFFFF"/>
            <w:noWrap w:val="0"/>
            <w:vAlign w:val="center"/>
          </w:tcPr>
          <w:p w14:paraId="00CAC97F">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从业人员5人以下或营业收入 1 000万元以下</w:t>
            </w:r>
          </w:p>
        </w:tc>
      </w:tr>
      <w:tr w14:paraId="221EE572">
        <w:tblPrEx>
          <w:tblCellMar>
            <w:top w:w="0" w:type="dxa"/>
            <w:left w:w="10" w:type="dxa"/>
            <w:bottom w:w="0" w:type="dxa"/>
            <w:right w:w="10" w:type="dxa"/>
          </w:tblCellMar>
        </w:tblPrEx>
        <w:trPr>
          <w:trHeight w:val="296" w:hRule="exact"/>
          <w:jc w:val="center"/>
        </w:trPr>
        <w:tc>
          <w:tcPr>
            <w:tcW w:w="1653" w:type="dxa"/>
            <w:vMerge w:val="restart"/>
            <w:tcBorders>
              <w:top w:val="single" w:color="auto" w:sz="4" w:space="0"/>
              <w:left w:val="single" w:color="auto" w:sz="4" w:space="0"/>
            </w:tcBorders>
            <w:shd w:val="clear" w:color="auto" w:fill="FFFFFF"/>
            <w:noWrap w:val="0"/>
            <w:vAlign w:val="center"/>
          </w:tcPr>
          <w:p w14:paraId="7903CFD7">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零售业</w:t>
            </w:r>
          </w:p>
        </w:tc>
        <w:tc>
          <w:tcPr>
            <w:tcW w:w="7746" w:type="dxa"/>
            <w:gridSpan w:val="2"/>
            <w:tcBorders>
              <w:top w:val="single" w:color="auto" w:sz="4" w:space="0"/>
              <w:left w:val="single" w:color="auto" w:sz="4" w:space="0"/>
              <w:right w:val="single" w:color="auto" w:sz="4" w:space="0"/>
            </w:tcBorders>
            <w:shd w:val="clear" w:color="auto" w:fill="FFFFFF"/>
            <w:noWrap w:val="0"/>
            <w:vAlign w:val="center"/>
          </w:tcPr>
          <w:p w14:paraId="4F7C114B">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从业人员300人以下或营业收入 20 000万元以下的为中小微型企业。</w:t>
            </w:r>
          </w:p>
        </w:tc>
      </w:tr>
      <w:tr w14:paraId="4EB6F5C0">
        <w:tblPrEx>
          <w:tblCellMar>
            <w:top w:w="0" w:type="dxa"/>
            <w:left w:w="10" w:type="dxa"/>
            <w:bottom w:w="0" w:type="dxa"/>
            <w:right w:w="10" w:type="dxa"/>
          </w:tblCellMar>
        </w:tblPrEx>
        <w:trPr>
          <w:trHeight w:val="300" w:hRule="exact"/>
          <w:jc w:val="center"/>
        </w:trPr>
        <w:tc>
          <w:tcPr>
            <w:tcW w:w="1653" w:type="dxa"/>
            <w:vMerge w:val="continue"/>
            <w:tcBorders>
              <w:left w:val="single" w:color="auto" w:sz="4" w:space="0"/>
            </w:tcBorders>
            <w:shd w:val="clear" w:color="auto" w:fill="FFFFFF"/>
            <w:noWrap w:val="0"/>
            <w:vAlign w:val="center"/>
          </w:tcPr>
          <w:p w14:paraId="405B3C77">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p>
        </w:tc>
        <w:tc>
          <w:tcPr>
            <w:tcW w:w="1363" w:type="dxa"/>
            <w:tcBorders>
              <w:top w:val="single" w:color="auto" w:sz="4" w:space="0"/>
              <w:left w:val="single" w:color="auto" w:sz="4" w:space="0"/>
            </w:tcBorders>
            <w:shd w:val="clear" w:color="auto" w:fill="FFFFFF"/>
            <w:noWrap w:val="0"/>
            <w:vAlign w:val="center"/>
          </w:tcPr>
          <w:p w14:paraId="29D9889E">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中型</w:t>
            </w:r>
          </w:p>
        </w:tc>
        <w:tc>
          <w:tcPr>
            <w:tcW w:w="6383" w:type="dxa"/>
            <w:tcBorders>
              <w:top w:val="single" w:color="auto" w:sz="4" w:space="0"/>
              <w:left w:val="single" w:color="auto" w:sz="4" w:space="0"/>
              <w:right w:val="single" w:color="auto" w:sz="4" w:space="0"/>
            </w:tcBorders>
            <w:shd w:val="clear" w:color="auto" w:fill="FFFFFF"/>
            <w:noWrap w:val="0"/>
            <w:vAlign w:val="center"/>
          </w:tcPr>
          <w:p w14:paraId="29F86D2D">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 50人一300人，且营业收入 500万元一20 000万元</w:t>
            </w:r>
          </w:p>
        </w:tc>
      </w:tr>
      <w:tr w14:paraId="3F8125F2">
        <w:tblPrEx>
          <w:tblCellMar>
            <w:top w:w="0" w:type="dxa"/>
            <w:left w:w="10" w:type="dxa"/>
            <w:bottom w:w="0" w:type="dxa"/>
            <w:right w:w="10" w:type="dxa"/>
          </w:tblCellMar>
        </w:tblPrEx>
        <w:trPr>
          <w:trHeight w:val="344" w:hRule="exact"/>
          <w:jc w:val="center"/>
        </w:trPr>
        <w:tc>
          <w:tcPr>
            <w:tcW w:w="1653" w:type="dxa"/>
            <w:vMerge w:val="continue"/>
            <w:tcBorders>
              <w:left w:val="single" w:color="auto" w:sz="4" w:space="0"/>
            </w:tcBorders>
            <w:shd w:val="clear" w:color="auto" w:fill="FFFFFF"/>
            <w:noWrap w:val="0"/>
            <w:vAlign w:val="center"/>
          </w:tcPr>
          <w:p w14:paraId="7B4D99D9">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p>
        </w:tc>
        <w:tc>
          <w:tcPr>
            <w:tcW w:w="1363" w:type="dxa"/>
            <w:tcBorders>
              <w:top w:val="single" w:color="auto" w:sz="4" w:space="0"/>
              <w:left w:val="single" w:color="auto" w:sz="4" w:space="0"/>
            </w:tcBorders>
            <w:shd w:val="clear" w:color="auto" w:fill="FFFFFF"/>
            <w:noWrap w:val="0"/>
            <w:vAlign w:val="center"/>
          </w:tcPr>
          <w:p w14:paraId="60B6325A">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小型</w:t>
            </w:r>
          </w:p>
        </w:tc>
        <w:tc>
          <w:tcPr>
            <w:tcW w:w="6383" w:type="dxa"/>
            <w:tcBorders>
              <w:top w:val="single" w:color="auto" w:sz="4" w:space="0"/>
              <w:left w:val="single" w:color="auto" w:sz="4" w:space="0"/>
              <w:right w:val="single" w:color="auto" w:sz="4" w:space="0"/>
            </w:tcBorders>
            <w:shd w:val="clear" w:color="auto" w:fill="FFFFFF"/>
            <w:noWrap w:val="0"/>
            <w:vAlign w:val="center"/>
          </w:tcPr>
          <w:p w14:paraId="789277C0">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从业人员10人一50人，且营业收入 100万元一500万元</w:t>
            </w:r>
          </w:p>
        </w:tc>
      </w:tr>
      <w:tr w14:paraId="7CC61456">
        <w:tblPrEx>
          <w:tblCellMar>
            <w:top w:w="0" w:type="dxa"/>
            <w:left w:w="10" w:type="dxa"/>
            <w:bottom w:w="0" w:type="dxa"/>
            <w:right w:w="10" w:type="dxa"/>
          </w:tblCellMar>
        </w:tblPrEx>
        <w:trPr>
          <w:trHeight w:val="414" w:hRule="exact"/>
          <w:jc w:val="center"/>
        </w:trPr>
        <w:tc>
          <w:tcPr>
            <w:tcW w:w="1653" w:type="dxa"/>
            <w:vMerge w:val="continue"/>
            <w:tcBorders>
              <w:left w:val="single" w:color="auto" w:sz="4" w:space="0"/>
            </w:tcBorders>
            <w:shd w:val="clear" w:color="auto" w:fill="FFFFFF"/>
            <w:noWrap w:val="0"/>
            <w:vAlign w:val="center"/>
          </w:tcPr>
          <w:p w14:paraId="0A9F9C03">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p>
        </w:tc>
        <w:tc>
          <w:tcPr>
            <w:tcW w:w="1363" w:type="dxa"/>
            <w:tcBorders>
              <w:top w:val="single" w:color="auto" w:sz="4" w:space="0"/>
              <w:left w:val="single" w:color="auto" w:sz="4" w:space="0"/>
            </w:tcBorders>
            <w:shd w:val="clear" w:color="auto" w:fill="FFFFFF"/>
            <w:noWrap w:val="0"/>
            <w:vAlign w:val="center"/>
          </w:tcPr>
          <w:p w14:paraId="7711136D">
            <w:pPr>
              <w:pStyle w:val="52"/>
              <w:keepNext w:val="0"/>
              <w:keepLines w:val="0"/>
              <w:suppressLineNumbers w:val="0"/>
              <w:shd w:val="clear" w:color="auto" w:fill="auto"/>
              <w:spacing w:before="8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微型</w:t>
            </w:r>
          </w:p>
        </w:tc>
        <w:tc>
          <w:tcPr>
            <w:tcW w:w="6383" w:type="dxa"/>
            <w:tcBorders>
              <w:top w:val="single" w:color="auto" w:sz="4" w:space="0"/>
              <w:left w:val="single" w:color="auto" w:sz="4" w:space="0"/>
              <w:right w:val="single" w:color="auto" w:sz="4" w:space="0"/>
            </w:tcBorders>
            <w:shd w:val="clear" w:color="auto" w:fill="FFFFFF"/>
            <w:noWrap w:val="0"/>
            <w:vAlign w:val="center"/>
          </w:tcPr>
          <w:p w14:paraId="5DBBC1B0">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从业人员10人以下或营业收入 100万元以下</w:t>
            </w:r>
          </w:p>
        </w:tc>
      </w:tr>
      <w:tr w14:paraId="57148978">
        <w:tblPrEx>
          <w:tblCellMar>
            <w:top w:w="0" w:type="dxa"/>
            <w:left w:w="10" w:type="dxa"/>
            <w:bottom w:w="0" w:type="dxa"/>
            <w:right w:w="10" w:type="dxa"/>
          </w:tblCellMar>
        </w:tblPrEx>
        <w:trPr>
          <w:trHeight w:val="325" w:hRule="exact"/>
          <w:jc w:val="center"/>
        </w:trPr>
        <w:tc>
          <w:tcPr>
            <w:tcW w:w="1653" w:type="dxa"/>
            <w:vMerge w:val="restart"/>
            <w:tcBorders>
              <w:top w:val="single" w:color="auto" w:sz="4" w:space="0"/>
              <w:left w:val="single" w:color="auto" w:sz="4" w:space="0"/>
            </w:tcBorders>
            <w:shd w:val="clear" w:color="auto" w:fill="FFFFFF"/>
            <w:noWrap w:val="0"/>
            <w:vAlign w:val="center"/>
          </w:tcPr>
          <w:p w14:paraId="6C5152DD">
            <w:pPr>
              <w:pStyle w:val="52"/>
              <w:keepNext w:val="0"/>
              <w:keepLines w:val="0"/>
              <w:suppressLineNumbers w:val="0"/>
              <w:shd w:val="clear" w:color="auto" w:fill="auto"/>
              <w:spacing w:before="0" w:beforeAutospacing="0" w:after="0" w:afterAutospacing="0" w:line="509" w:lineRule="exact"/>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交通运输业</w:t>
            </w:r>
          </w:p>
          <w:p w14:paraId="38FF27C3">
            <w:pPr>
              <w:pStyle w:val="52"/>
              <w:keepNext w:val="0"/>
              <w:keepLines w:val="0"/>
              <w:suppressLineNumbers w:val="0"/>
              <w:shd w:val="clear" w:color="auto" w:fill="auto"/>
              <w:spacing w:before="0" w:beforeAutospacing="0" w:after="0" w:afterAutospacing="0" w:line="509" w:lineRule="exact"/>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（不含铁路运输业）</w:t>
            </w:r>
          </w:p>
        </w:tc>
        <w:tc>
          <w:tcPr>
            <w:tcW w:w="7746" w:type="dxa"/>
            <w:gridSpan w:val="2"/>
            <w:tcBorders>
              <w:top w:val="single" w:color="auto" w:sz="4" w:space="0"/>
              <w:left w:val="single" w:color="auto" w:sz="4" w:space="0"/>
              <w:right w:val="single" w:color="auto" w:sz="4" w:space="0"/>
            </w:tcBorders>
            <w:shd w:val="clear" w:color="auto" w:fill="FFFFFF"/>
            <w:noWrap w:val="0"/>
            <w:vAlign w:val="center"/>
          </w:tcPr>
          <w:p w14:paraId="624C9FFE">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从业人员1 000人以下或营业收入 30 000万元以下的为中小微型企业。</w:t>
            </w:r>
          </w:p>
        </w:tc>
      </w:tr>
      <w:tr w14:paraId="3D46AD3A">
        <w:tblPrEx>
          <w:tblCellMar>
            <w:top w:w="0" w:type="dxa"/>
            <w:left w:w="10" w:type="dxa"/>
            <w:bottom w:w="0" w:type="dxa"/>
            <w:right w:w="10" w:type="dxa"/>
          </w:tblCellMar>
        </w:tblPrEx>
        <w:trPr>
          <w:trHeight w:val="292" w:hRule="exact"/>
          <w:jc w:val="center"/>
        </w:trPr>
        <w:tc>
          <w:tcPr>
            <w:tcW w:w="1653" w:type="dxa"/>
            <w:vMerge w:val="continue"/>
            <w:tcBorders>
              <w:left w:val="single" w:color="auto" w:sz="4" w:space="0"/>
            </w:tcBorders>
            <w:shd w:val="clear" w:color="auto" w:fill="FFFFFF"/>
            <w:noWrap w:val="0"/>
            <w:vAlign w:val="center"/>
          </w:tcPr>
          <w:p w14:paraId="646CF4AA">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p>
        </w:tc>
        <w:tc>
          <w:tcPr>
            <w:tcW w:w="1363" w:type="dxa"/>
            <w:tcBorders>
              <w:top w:val="single" w:color="auto" w:sz="4" w:space="0"/>
              <w:left w:val="single" w:color="auto" w:sz="4" w:space="0"/>
            </w:tcBorders>
            <w:shd w:val="clear" w:color="auto" w:fill="FFFFFF"/>
            <w:noWrap w:val="0"/>
            <w:vAlign w:val="center"/>
          </w:tcPr>
          <w:p w14:paraId="19D39255">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中型</w:t>
            </w:r>
          </w:p>
        </w:tc>
        <w:tc>
          <w:tcPr>
            <w:tcW w:w="6383" w:type="dxa"/>
            <w:tcBorders>
              <w:top w:val="single" w:color="auto" w:sz="4" w:space="0"/>
              <w:left w:val="single" w:color="auto" w:sz="4" w:space="0"/>
              <w:right w:val="single" w:color="auto" w:sz="4" w:space="0"/>
            </w:tcBorders>
            <w:shd w:val="clear" w:color="auto" w:fill="FFFFFF"/>
            <w:noWrap w:val="0"/>
            <w:vAlign w:val="center"/>
          </w:tcPr>
          <w:p w14:paraId="7A0A058E">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 300人一1 000人，且营业收入 3 000万元一30 000万元</w:t>
            </w:r>
          </w:p>
        </w:tc>
      </w:tr>
      <w:tr w14:paraId="37DD860D">
        <w:tblPrEx>
          <w:tblCellMar>
            <w:top w:w="0" w:type="dxa"/>
            <w:left w:w="10" w:type="dxa"/>
            <w:bottom w:w="0" w:type="dxa"/>
            <w:right w:w="10" w:type="dxa"/>
          </w:tblCellMar>
        </w:tblPrEx>
        <w:trPr>
          <w:trHeight w:val="256" w:hRule="exact"/>
          <w:jc w:val="center"/>
        </w:trPr>
        <w:tc>
          <w:tcPr>
            <w:tcW w:w="1653" w:type="dxa"/>
            <w:vMerge w:val="continue"/>
            <w:tcBorders>
              <w:left w:val="single" w:color="auto" w:sz="4" w:space="0"/>
            </w:tcBorders>
            <w:shd w:val="clear" w:color="auto" w:fill="FFFFFF"/>
            <w:noWrap w:val="0"/>
            <w:vAlign w:val="center"/>
          </w:tcPr>
          <w:p w14:paraId="57B041F0">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p>
        </w:tc>
        <w:tc>
          <w:tcPr>
            <w:tcW w:w="1363" w:type="dxa"/>
            <w:tcBorders>
              <w:top w:val="single" w:color="auto" w:sz="4" w:space="0"/>
              <w:left w:val="single" w:color="auto" w:sz="4" w:space="0"/>
            </w:tcBorders>
            <w:shd w:val="clear" w:color="auto" w:fill="FFFFFF"/>
            <w:noWrap w:val="0"/>
            <w:vAlign w:val="center"/>
          </w:tcPr>
          <w:p w14:paraId="517F856C">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小型</w:t>
            </w:r>
          </w:p>
        </w:tc>
        <w:tc>
          <w:tcPr>
            <w:tcW w:w="6383" w:type="dxa"/>
            <w:tcBorders>
              <w:top w:val="single" w:color="auto" w:sz="4" w:space="0"/>
              <w:left w:val="single" w:color="auto" w:sz="4" w:space="0"/>
              <w:right w:val="single" w:color="auto" w:sz="4" w:space="0"/>
            </w:tcBorders>
            <w:shd w:val="clear" w:color="auto" w:fill="FFFFFF"/>
            <w:noWrap w:val="0"/>
            <w:vAlign w:val="center"/>
          </w:tcPr>
          <w:p w14:paraId="1A048786">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从业人员20人一300人，且营业收入 200万元一3 000万元</w:t>
            </w:r>
          </w:p>
        </w:tc>
      </w:tr>
      <w:tr w14:paraId="1701586F">
        <w:tblPrEx>
          <w:tblCellMar>
            <w:top w:w="0" w:type="dxa"/>
            <w:left w:w="10" w:type="dxa"/>
            <w:bottom w:w="0" w:type="dxa"/>
            <w:right w:w="10" w:type="dxa"/>
          </w:tblCellMar>
        </w:tblPrEx>
        <w:trPr>
          <w:trHeight w:val="344" w:hRule="exact"/>
          <w:jc w:val="center"/>
        </w:trPr>
        <w:tc>
          <w:tcPr>
            <w:tcW w:w="1653" w:type="dxa"/>
            <w:vMerge w:val="continue"/>
            <w:tcBorders>
              <w:left w:val="single" w:color="auto" w:sz="4" w:space="0"/>
            </w:tcBorders>
            <w:shd w:val="clear" w:color="auto" w:fill="FFFFFF"/>
            <w:noWrap w:val="0"/>
            <w:vAlign w:val="center"/>
          </w:tcPr>
          <w:p w14:paraId="1223CC7A">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p>
        </w:tc>
        <w:tc>
          <w:tcPr>
            <w:tcW w:w="1363" w:type="dxa"/>
            <w:tcBorders>
              <w:top w:val="single" w:color="auto" w:sz="4" w:space="0"/>
              <w:left w:val="single" w:color="auto" w:sz="4" w:space="0"/>
            </w:tcBorders>
            <w:shd w:val="clear" w:color="auto" w:fill="FFFFFF"/>
            <w:noWrap w:val="0"/>
            <w:vAlign w:val="center"/>
          </w:tcPr>
          <w:p w14:paraId="3836BBC0">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微型</w:t>
            </w:r>
          </w:p>
        </w:tc>
        <w:tc>
          <w:tcPr>
            <w:tcW w:w="6383" w:type="dxa"/>
            <w:tcBorders>
              <w:top w:val="single" w:color="auto" w:sz="4" w:space="0"/>
              <w:left w:val="single" w:color="auto" w:sz="4" w:space="0"/>
              <w:right w:val="single" w:color="auto" w:sz="4" w:space="0"/>
            </w:tcBorders>
            <w:shd w:val="clear" w:color="auto" w:fill="FFFFFF"/>
            <w:noWrap w:val="0"/>
            <w:vAlign w:val="center"/>
          </w:tcPr>
          <w:p w14:paraId="482DC8FA">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从业人员20人以下或营业收入 200万元以下</w:t>
            </w:r>
          </w:p>
        </w:tc>
      </w:tr>
      <w:tr w14:paraId="6DFE303F">
        <w:tblPrEx>
          <w:tblCellMar>
            <w:top w:w="0" w:type="dxa"/>
            <w:left w:w="10" w:type="dxa"/>
            <w:bottom w:w="0" w:type="dxa"/>
            <w:right w:w="10" w:type="dxa"/>
          </w:tblCellMar>
        </w:tblPrEx>
        <w:trPr>
          <w:trHeight w:val="355" w:hRule="exact"/>
          <w:jc w:val="center"/>
        </w:trPr>
        <w:tc>
          <w:tcPr>
            <w:tcW w:w="1653" w:type="dxa"/>
            <w:vMerge w:val="restart"/>
            <w:tcBorders>
              <w:top w:val="single" w:color="auto" w:sz="4" w:space="0"/>
              <w:left w:val="single" w:color="auto" w:sz="4" w:space="0"/>
            </w:tcBorders>
            <w:shd w:val="clear" w:color="auto" w:fill="FFFFFF"/>
            <w:noWrap w:val="0"/>
            <w:vAlign w:val="center"/>
          </w:tcPr>
          <w:p w14:paraId="43B92B14">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仓储业</w:t>
            </w:r>
          </w:p>
        </w:tc>
        <w:tc>
          <w:tcPr>
            <w:tcW w:w="7746" w:type="dxa"/>
            <w:gridSpan w:val="2"/>
            <w:tcBorders>
              <w:top w:val="single" w:color="auto" w:sz="4" w:space="0"/>
              <w:left w:val="single" w:color="auto" w:sz="4" w:space="0"/>
              <w:right w:val="single" w:color="auto" w:sz="4" w:space="0"/>
            </w:tcBorders>
            <w:shd w:val="clear" w:color="auto" w:fill="FFFFFF"/>
            <w:noWrap w:val="0"/>
            <w:vAlign w:val="center"/>
          </w:tcPr>
          <w:p w14:paraId="0B8B8DBF">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从业人员200人以下或营业收入 30 000万元以下的为中小微型企业。</w:t>
            </w:r>
          </w:p>
        </w:tc>
      </w:tr>
      <w:tr w14:paraId="4268FAB9">
        <w:tblPrEx>
          <w:tblCellMar>
            <w:top w:w="0" w:type="dxa"/>
            <w:left w:w="10" w:type="dxa"/>
            <w:bottom w:w="0" w:type="dxa"/>
            <w:right w:w="10" w:type="dxa"/>
          </w:tblCellMar>
        </w:tblPrEx>
        <w:trPr>
          <w:trHeight w:val="367" w:hRule="exact"/>
          <w:jc w:val="center"/>
        </w:trPr>
        <w:tc>
          <w:tcPr>
            <w:tcW w:w="1653" w:type="dxa"/>
            <w:vMerge w:val="continue"/>
            <w:tcBorders>
              <w:left w:val="single" w:color="auto" w:sz="4" w:space="0"/>
            </w:tcBorders>
            <w:shd w:val="clear" w:color="auto" w:fill="FFFFFF"/>
            <w:noWrap w:val="0"/>
            <w:vAlign w:val="center"/>
          </w:tcPr>
          <w:p w14:paraId="24E857E2">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p>
        </w:tc>
        <w:tc>
          <w:tcPr>
            <w:tcW w:w="1363" w:type="dxa"/>
            <w:tcBorders>
              <w:top w:val="single" w:color="auto" w:sz="4" w:space="0"/>
              <w:left w:val="single" w:color="auto" w:sz="4" w:space="0"/>
            </w:tcBorders>
            <w:shd w:val="clear" w:color="auto" w:fill="FFFFFF"/>
            <w:noWrap w:val="0"/>
            <w:vAlign w:val="center"/>
          </w:tcPr>
          <w:p w14:paraId="746BE5CF">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中型</w:t>
            </w:r>
          </w:p>
        </w:tc>
        <w:tc>
          <w:tcPr>
            <w:tcW w:w="6383" w:type="dxa"/>
            <w:tcBorders>
              <w:top w:val="single" w:color="auto" w:sz="4" w:space="0"/>
              <w:left w:val="single" w:color="auto" w:sz="4" w:space="0"/>
              <w:right w:val="single" w:color="auto" w:sz="4" w:space="0"/>
            </w:tcBorders>
            <w:shd w:val="clear" w:color="auto" w:fill="FFFFFF"/>
            <w:noWrap w:val="0"/>
            <w:vAlign w:val="center"/>
          </w:tcPr>
          <w:p w14:paraId="19145734">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从业人员100人一200人，且营业收入 1 000万元一30 000万元</w:t>
            </w:r>
          </w:p>
        </w:tc>
      </w:tr>
      <w:tr w14:paraId="603F9280">
        <w:tblPrEx>
          <w:tblCellMar>
            <w:top w:w="0" w:type="dxa"/>
            <w:left w:w="10" w:type="dxa"/>
            <w:bottom w:w="0" w:type="dxa"/>
            <w:right w:w="10" w:type="dxa"/>
          </w:tblCellMar>
        </w:tblPrEx>
        <w:trPr>
          <w:trHeight w:val="275" w:hRule="exact"/>
          <w:jc w:val="center"/>
        </w:trPr>
        <w:tc>
          <w:tcPr>
            <w:tcW w:w="1653" w:type="dxa"/>
            <w:vMerge w:val="continue"/>
            <w:tcBorders>
              <w:left w:val="single" w:color="auto" w:sz="4" w:space="0"/>
            </w:tcBorders>
            <w:shd w:val="clear" w:color="auto" w:fill="FFFFFF"/>
            <w:noWrap w:val="0"/>
            <w:vAlign w:val="center"/>
          </w:tcPr>
          <w:p w14:paraId="50974CA2">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p>
        </w:tc>
        <w:tc>
          <w:tcPr>
            <w:tcW w:w="1363" w:type="dxa"/>
            <w:tcBorders>
              <w:top w:val="single" w:color="auto" w:sz="4" w:space="0"/>
              <w:left w:val="single" w:color="auto" w:sz="4" w:space="0"/>
            </w:tcBorders>
            <w:shd w:val="clear" w:color="auto" w:fill="FFFFFF"/>
            <w:noWrap w:val="0"/>
            <w:vAlign w:val="center"/>
          </w:tcPr>
          <w:p w14:paraId="10E48A36">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小型</w:t>
            </w:r>
          </w:p>
        </w:tc>
        <w:tc>
          <w:tcPr>
            <w:tcW w:w="6383" w:type="dxa"/>
            <w:tcBorders>
              <w:top w:val="single" w:color="auto" w:sz="4" w:space="0"/>
              <w:left w:val="single" w:color="auto" w:sz="4" w:space="0"/>
              <w:right w:val="single" w:color="auto" w:sz="4" w:space="0"/>
            </w:tcBorders>
            <w:shd w:val="clear" w:color="auto" w:fill="FFFFFF"/>
            <w:noWrap w:val="0"/>
            <w:vAlign w:val="center"/>
          </w:tcPr>
          <w:p w14:paraId="15386421">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从业人员20人一100人，且营业收入 100万元一1 000万元</w:t>
            </w:r>
          </w:p>
        </w:tc>
      </w:tr>
      <w:tr w14:paraId="14D9AD86">
        <w:tblPrEx>
          <w:tblCellMar>
            <w:top w:w="0" w:type="dxa"/>
            <w:left w:w="10" w:type="dxa"/>
            <w:bottom w:w="0" w:type="dxa"/>
            <w:right w:w="10" w:type="dxa"/>
          </w:tblCellMar>
        </w:tblPrEx>
        <w:trPr>
          <w:trHeight w:val="302" w:hRule="exact"/>
          <w:jc w:val="center"/>
        </w:trPr>
        <w:tc>
          <w:tcPr>
            <w:tcW w:w="1653" w:type="dxa"/>
            <w:vMerge w:val="continue"/>
            <w:tcBorders>
              <w:left w:val="single" w:color="auto" w:sz="4" w:space="0"/>
            </w:tcBorders>
            <w:shd w:val="clear" w:color="auto" w:fill="FFFFFF"/>
            <w:noWrap w:val="0"/>
            <w:vAlign w:val="center"/>
          </w:tcPr>
          <w:p w14:paraId="53D5C7A1">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p>
        </w:tc>
        <w:tc>
          <w:tcPr>
            <w:tcW w:w="1363" w:type="dxa"/>
            <w:tcBorders>
              <w:top w:val="single" w:color="auto" w:sz="4" w:space="0"/>
              <w:left w:val="single" w:color="auto" w:sz="4" w:space="0"/>
            </w:tcBorders>
            <w:shd w:val="clear" w:color="auto" w:fill="FFFFFF"/>
            <w:noWrap w:val="0"/>
            <w:vAlign w:val="center"/>
          </w:tcPr>
          <w:p w14:paraId="593B80FD">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微型</w:t>
            </w:r>
          </w:p>
        </w:tc>
        <w:tc>
          <w:tcPr>
            <w:tcW w:w="6383" w:type="dxa"/>
            <w:tcBorders>
              <w:top w:val="single" w:color="auto" w:sz="4" w:space="0"/>
              <w:left w:val="single" w:color="auto" w:sz="4" w:space="0"/>
              <w:right w:val="single" w:color="auto" w:sz="4" w:space="0"/>
            </w:tcBorders>
            <w:shd w:val="clear" w:color="auto" w:fill="FFFFFF"/>
            <w:noWrap w:val="0"/>
            <w:vAlign w:val="center"/>
          </w:tcPr>
          <w:p w14:paraId="60E9AD74">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从业人员20人以下或营业收入 100万元以下</w:t>
            </w:r>
          </w:p>
        </w:tc>
      </w:tr>
      <w:tr w14:paraId="34F3F3AE">
        <w:tblPrEx>
          <w:tblCellMar>
            <w:top w:w="0" w:type="dxa"/>
            <w:left w:w="10" w:type="dxa"/>
            <w:bottom w:w="0" w:type="dxa"/>
            <w:right w:w="10" w:type="dxa"/>
          </w:tblCellMar>
        </w:tblPrEx>
        <w:trPr>
          <w:trHeight w:val="285" w:hRule="exact"/>
          <w:jc w:val="center"/>
        </w:trPr>
        <w:tc>
          <w:tcPr>
            <w:tcW w:w="1653" w:type="dxa"/>
            <w:vMerge w:val="restart"/>
            <w:tcBorders>
              <w:top w:val="single" w:color="auto" w:sz="4" w:space="0"/>
              <w:left w:val="single" w:color="auto" w:sz="4" w:space="0"/>
            </w:tcBorders>
            <w:shd w:val="clear" w:color="auto" w:fill="FFFFFF"/>
            <w:noWrap w:val="0"/>
            <w:vAlign w:val="center"/>
          </w:tcPr>
          <w:p w14:paraId="69B3400F">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邮政业</w:t>
            </w:r>
          </w:p>
        </w:tc>
        <w:tc>
          <w:tcPr>
            <w:tcW w:w="7746" w:type="dxa"/>
            <w:gridSpan w:val="2"/>
            <w:tcBorders>
              <w:top w:val="single" w:color="auto" w:sz="4" w:space="0"/>
              <w:left w:val="single" w:color="auto" w:sz="4" w:space="0"/>
              <w:right w:val="single" w:color="auto" w:sz="4" w:space="0"/>
            </w:tcBorders>
            <w:shd w:val="clear" w:color="auto" w:fill="FFFFFF"/>
            <w:noWrap w:val="0"/>
            <w:vAlign w:val="center"/>
          </w:tcPr>
          <w:p w14:paraId="77C9E900">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从业人员1 000人以下或营业收入 30 000万元以下的为中小微型企业。</w:t>
            </w:r>
          </w:p>
        </w:tc>
      </w:tr>
      <w:tr w14:paraId="12021171">
        <w:tblPrEx>
          <w:tblCellMar>
            <w:top w:w="0" w:type="dxa"/>
            <w:left w:w="10" w:type="dxa"/>
            <w:bottom w:w="0" w:type="dxa"/>
            <w:right w:w="10" w:type="dxa"/>
          </w:tblCellMar>
        </w:tblPrEx>
        <w:trPr>
          <w:trHeight w:val="361" w:hRule="exact"/>
          <w:jc w:val="center"/>
        </w:trPr>
        <w:tc>
          <w:tcPr>
            <w:tcW w:w="1653" w:type="dxa"/>
            <w:vMerge w:val="continue"/>
            <w:tcBorders>
              <w:left w:val="single" w:color="auto" w:sz="4" w:space="0"/>
            </w:tcBorders>
            <w:shd w:val="clear" w:color="auto" w:fill="FFFFFF"/>
            <w:noWrap w:val="0"/>
            <w:vAlign w:val="center"/>
          </w:tcPr>
          <w:p w14:paraId="3A0E5C32">
            <w:pPr>
              <w:keepNext w:val="0"/>
              <w:keepLines w:val="0"/>
              <w:suppressLineNumbers w:val="0"/>
              <w:spacing w:before="0" w:beforeAutospacing="0" w:after="0" w:afterAutospacing="0"/>
              <w:ind w:left="0" w:right="0"/>
              <w:jc w:val="both"/>
              <w:rPr>
                <w:rFonts w:hint="eastAsia" w:ascii="宋体" w:hAnsi="宋体" w:eastAsia="宋体" w:cs="宋体"/>
                <w:color w:val="000000"/>
                <w:sz w:val="18"/>
                <w:szCs w:val="18"/>
              </w:rPr>
            </w:pPr>
          </w:p>
        </w:tc>
        <w:tc>
          <w:tcPr>
            <w:tcW w:w="1363" w:type="dxa"/>
            <w:tcBorders>
              <w:top w:val="single" w:color="auto" w:sz="4" w:space="0"/>
              <w:left w:val="single" w:color="auto" w:sz="4" w:space="0"/>
            </w:tcBorders>
            <w:shd w:val="clear" w:color="auto" w:fill="FFFFFF"/>
            <w:noWrap w:val="0"/>
            <w:vAlign w:val="center"/>
          </w:tcPr>
          <w:p w14:paraId="1567C869">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中型</w:t>
            </w:r>
          </w:p>
        </w:tc>
        <w:tc>
          <w:tcPr>
            <w:tcW w:w="6383" w:type="dxa"/>
            <w:tcBorders>
              <w:top w:val="single" w:color="auto" w:sz="4" w:space="0"/>
              <w:left w:val="single" w:color="auto" w:sz="4" w:space="0"/>
              <w:right w:val="single" w:color="auto" w:sz="4" w:space="0"/>
            </w:tcBorders>
            <w:shd w:val="clear" w:color="auto" w:fill="FFFFFF"/>
            <w:noWrap w:val="0"/>
            <w:vAlign w:val="center"/>
          </w:tcPr>
          <w:p w14:paraId="2C4BEA56">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 300人一1 000人，且营业收入 2 000万元一30 000万元</w:t>
            </w:r>
          </w:p>
        </w:tc>
      </w:tr>
      <w:tr w14:paraId="2871821D">
        <w:tblPrEx>
          <w:tblCellMar>
            <w:top w:w="0" w:type="dxa"/>
            <w:left w:w="10" w:type="dxa"/>
            <w:bottom w:w="0" w:type="dxa"/>
            <w:right w:w="10" w:type="dxa"/>
          </w:tblCellMar>
        </w:tblPrEx>
        <w:trPr>
          <w:trHeight w:val="355" w:hRule="exact"/>
          <w:jc w:val="center"/>
        </w:trPr>
        <w:tc>
          <w:tcPr>
            <w:tcW w:w="1653" w:type="dxa"/>
            <w:vMerge w:val="continue"/>
            <w:tcBorders>
              <w:left w:val="single" w:color="auto" w:sz="4" w:space="0"/>
            </w:tcBorders>
            <w:shd w:val="clear" w:color="auto" w:fill="FFFFFF"/>
            <w:noWrap w:val="0"/>
            <w:vAlign w:val="center"/>
          </w:tcPr>
          <w:p w14:paraId="04ABE875">
            <w:pPr>
              <w:keepNext w:val="0"/>
              <w:keepLines w:val="0"/>
              <w:suppressLineNumbers w:val="0"/>
              <w:spacing w:before="0" w:beforeAutospacing="0" w:after="0" w:afterAutospacing="0"/>
              <w:ind w:left="0" w:right="0"/>
              <w:jc w:val="both"/>
              <w:rPr>
                <w:rFonts w:hint="eastAsia" w:ascii="宋体" w:hAnsi="宋体" w:eastAsia="宋体" w:cs="宋体"/>
                <w:color w:val="000000"/>
                <w:sz w:val="18"/>
                <w:szCs w:val="18"/>
              </w:rPr>
            </w:pPr>
          </w:p>
        </w:tc>
        <w:tc>
          <w:tcPr>
            <w:tcW w:w="1363" w:type="dxa"/>
            <w:tcBorders>
              <w:top w:val="single" w:color="auto" w:sz="4" w:space="0"/>
              <w:left w:val="single" w:color="auto" w:sz="4" w:space="0"/>
            </w:tcBorders>
            <w:shd w:val="clear" w:color="auto" w:fill="FFFFFF"/>
            <w:noWrap w:val="0"/>
            <w:vAlign w:val="center"/>
          </w:tcPr>
          <w:p w14:paraId="6BB4827D">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小型</w:t>
            </w:r>
          </w:p>
        </w:tc>
        <w:tc>
          <w:tcPr>
            <w:tcW w:w="6383" w:type="dxa"/>
            <w:tcBorders>
              <w:top w:val="single" w:color="auto" w:sz="4" w:space="0"/>
              <w:left w:val="single" w:color="auto" w:sz="4" w:space="0"/>
              <w:right w:val="single" w:color="auto" w:sz="4" w:space="0"/>
            </w:tcBorders>
            <w:shd w:val="clear" w:color="auto" w:fill="FFFFFF"/>
            <w:noWrap w:val="0"/>
            <w:vAlign w:val="center"/>
          </w:tcPr>
          <w:p w14:paraId="14AFEB6D">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从业人员20人一300人，且营业收入 100万元一2 000万元</w:t>
            </w:r>
          </w:p>
        </w:tc>
      </w:tr>
      <w:tr w14:paraId="364358C5">
        <w:tblPrEx>
          <w:tblCellMar>
            <w:top w:w="0" w:type="dxa"/>
            <w:left w:w="10" w:type="dxa"/>
            <w:bottom w:w="0" w:type="dxa"/>
            <w:right w:w="10" w:type="dxa"/>
          </w:tblCellMar>
        </w:tblPrEx>
        <w:trPr>
          <w:trHeight w:val="333" w:hRule="exact"/>
          <w:jc w:val="center"/>
        </w:trPr>
        <w:tc>
          <w:tcPr>
            <w:tcW w:w="1653" w:type="dxa"/>
            <w:vMerge w:val="continue"/>
            <w:tcBorders>
              <w:left w:val="single" w:color="auto" w:sz="4" w:space="0"/>
              <w:bottom w:val="single" w:color="auto" w:sz="4" w:space="0"/>
            </w:tcBorders>
            <w:shd w:val="clear" w:color="auto" w:fill="FFFFFF"/>
            <w:noWrap w:val="0"/>
            <w:vAlign w:val="center"/>
          </w:tcPr>
          <w:p w14:paraId="70D73491">
            <w:pPr>
              <w:keepNext w:val="0"/>
              <w:keepLines w:val="0"/>
              <w:suppressLineNumbers w:val="0"/>
              <w:spacing w:before="0" w:beforeAutospacing="0" w:after="0" w:afterAutospacing="0"/>
              <w:ind w:left="0" w:right="0"/>
              <w:jc w:val="both"/>
              <w:rPr>
                <w:rFonts w:hint="eastAsia" w:ascii="宋体" w:hAnsi="宋体" w:eastAsia="宋体" w:cs="宋体"/>
                <w:color w:val="000000"/>
                <w:sz w:val="18"/>
                <w:szCs w:val="18"/>
              </w:rPr>
            </w:pPr>
          </w:p>
        </w:tc>
        <w:tc>
          <w:tcPr>
            <w:tcW w:w="1363" w:type="dxa"/>
            <w:tcBorders>
              <w:top w:val="single" w:color="auto" w:sz="4" w:space="0"/>
              <w:left w:val="single" w:color="auto" w:sz="4" w:space="0"/>
              <w:bottom w:val="single" w:color="auto" w:sz="4" w:space="0"/>
            </w:tcBorders>
            <w:shd w:val="clear" w:color="auto" w:fill="FFFFFF"/>
            <w:noWrap w:val="0"/>
            <w:vAlign w:val="center"/>
          </w:tcPr>
          <w:p w14:paraId="0345A60B">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微型</w:t>
            </w:r>
          </w:p>
        </w:tc>
        <w:tc>
          <w:tcPr>
            <w:tcW w:w="63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6AE5E3">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从业人员20人以下或营业收入 100万元以下</w:t>
            </w:r>
          </w:p>
        </w:tc>
      </w:tr>
    </w:tbl>
    <w:p w14:paraId="5CE73333">
      <w:pPr>
        <w:spacing w:line="1" w:lineRule="exact"/>
        <w:jc w:val="center"/>
        <w:rPr>
          <w:rFonts w:hint="eastAsia" w:ascii="宋体" w:hAnsi="宋体" w:cs="宋体"/>
          <w:color w:val="000000"/>
          <w:sz w:val="18"/>
          <w:szCs w:val="18"/>
        </w:rPr>
      </w:pPr>
      <w:r>
        <w:rPr>
          <w:rFonts w:hint="eastAsia" w:ascii="宋体" w:hAnsi="宋体" w:cs="宋体"/>
          <w:color w:val="000000"/>
          <w:sz w:val="18"/>
          <w:szCs w:val="18"/>
        </w:rPr>
        <w:br w:type="page"/>
      </w:r>
    </w:p>
    <w:tbl>
      <w:tblPr>
        <w:tblStyle w:val="25"/>
        <w:tblW w:w="9350" w:type="dxa"/>
        <w:jc w:val="center"/>
        <w:tblLayout w:type="fixed"/>
        <w:tblCellMar>
          <w:top w:w="0" w:type="dxa"/>
          <w:left w:w="10" w:type="dxa"/>
          <w:bottom w:w="0" w:type="dxa"/>
          <w:right w:w="10" w:type="dxa"/>
        </w:tblCellMar>
      </w:tblPr>
      <w:tblGrid>
        <w:gridCol w:w="1604"/>
        <w:gridCol w:w="1298"/>
        <w:gridCol w:w="6438"/>
      </w:tblGrid>
      <w:tr w14:paraId="3C037208">
        <w:tblPrEx>
          <w:tblCellMar>
            <w:top w:w="0" w:type="dxa"/>
            <w:left w:w="10" w:type="dxa"/>
            <w:bottom w:w="0" w:type="dxa"/>
            <w:right w:w="10" w:type="dxa"/>
          </w:tblCellMar>
        </w:tblPrEx>
        <w:trPr>
          <w:trHeight w:val="455" w:hRule="exact"/>
          <w:jc w:val="center"/>
        </w:trPr>
        <w:tc>
          <w:tcPr>
            <w:tcW w:w="1604" w:type="dxa"/>
            <w:vMerge w:val="restart"/>
            <w:tcBorders>
              <w:top w:val="single" w:color="auto" w:sz="4" w:space="0"/>
              <w:left w:val="single" w:color="auto" w:sz="4" w:space="0"/>
            </w:tcBorders>
            <w:shd w:val="clear" w:color="auto" w:fill="FFFFFF"/>
            <w:noWrap w:val="0"/>
            <w:vAlign w:val="center"/>
          </w:tcPr>
          <w:p w14:paraId="5CF3BB1C">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住宿业</w:t>
            </w:r>
          </w:p>
        </w:tc>
        <w:tc>
          <w:tcPr>
            <w:tcW w:w="7736" w:type="dxa"/>
            <w:gridSpan w:val="2"/>
            <w:tcBorders>
              <w:top w:val="single" w:color="auto" w:sz="4" w:space="0"/>
              <w:left w:val="single" w:color="auto" w:sz="4" w:space="0"/>
              <w:right w:val="single" w:color="auto" w:sz="4" w:space="0"/>
            </w:tcBorders>
            <w:shd w:val="clear" w:color="auto" w:fill="FFFFFF"/>
            <w:noWrap w:val="0"/>
            <w:vAlign w:val="center"/>
          </w:tcPr>
          <w:p w14:paraId="7FA49ECA">
            <w:pPr>
              <w:pStyle w:val="52"/>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从业人员300人以下或营业收入 10000万元以下的为中小微型企业。</w:t>
            </w:r>
          </w:p>
        </w:tc>
      </w:tr>
      <w:tr w14:paraId="02DD8D88">
        <w:tblPrEx>
          <w:tblCellMar>
            <w:top w:w="0" w:type="dxa"/>
            <w:left w:w="10" w:type="dxa"/>
            <w:bottom w:w="0" w:type="dxa"/>
            <w:right w:w="10" w:type="dxa"/>
          </w:tblCellMar>
        </w:tblPrEx>
        <w:trPr>
          <w:trHeight w:val="441" w:hRule="exact"/>
          <w:jc w:val="center"/>
        </w:trPr>
        <w:tc>
          <w:tcPr>
            <w:tcW w:w="1604" w:type="dxa"/>
            <w:vMerge w:val="continue"/>
            <w:tcBorders>
              <w:left w:val="single" w:color="auto" w:sz="4" w:space="0"/>
            </w:tcBorders>
            <w:shd w:val="clear" w:color="auto" w:fill="FFFFFF"/>
            <w:noWrap w:val="0"/>
            <w:vAlign w:val="center"/>
          </w:tcPr>
          <w:p w14:paraId="1E3DF7C6">
            <w:pPr>
              <w:keepNext w:val="0"/>
              <w:keepLines w:val="0"/>
              <w:suppressLineNumbers w:val="0"/>
              <w:spacing w:before="0" w:beforeAutospacing="0" w:after="0" w:afterAutospacing="0"/>
              <w:ind w:left="0" w:right="0"/>
              <w:jc w:val="center"/>
              <w:rPr>
                <w:rFonts w:hint="eastAsia" w:ascii="宋体" w:hAnsi="宋体" w:cs="宋体"/>
                <w:color w:val="000000"/>
                <w:sz w:val="18"/>
                <w:szCs w:val="18"/>
              </w:rPr>
            </w:pPr>
          </w:p>
        </w:tc>
        <w:tc>
          <w:tcPr>
            <w:tcW w:w="1298" w:type="dxa"/>
            <w:tcBorders>
              <w:top w:val="single" w:color="auto" w:sz="4" w:space="0"/>
              <w:left w:val="single" w:color="auto" w:sz="4" w:space="0"/>
            </w:tcBorders>
            <w:shd w:val="clear" w:color="auto" w:fill="FFFFFF"/>
            <w:noWrap w:val="0"/>
            <w:vAlign w:val="center"/>
          </w:tcPr>
          <w:p w14:paraId="27EBB888">
            <w:pPr>
              <w:pStyle w:val="52"/>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中型</w:t>
            </w:r>
          </w:p>
        </w:tc>
        <w:tc>
          <w:tcPr>
            <w:tcW w:w="6438" w:type="dxa"/>
            <w:tcBorders>
              <w:top w:val="single" w:color="auto" w:sz="4" w:space="0"/>
              <w:left w:val="single" w:color="auto" w:sz="4" w:space="0"/>
              <w:right w:val="single" w:color="auto" w:sz="4" w:space="0"/>
            </w:tcBorders>
            <w:shd w:val="clear" w:color="auto" w:fill="FFFFFF"/>
            <w:noWrap w:val="0"/>
            <w:vAlign w:val="center"/>
          </w:tcPr>
          <w:p w14:paraId="75DE3024">
            <w:pPr>
              <w:pStyle w:val="52"/>
              <w:keepNext w:val="0"/>
              <w:keepLines w:val="0"/>
              <w:suppressLineNumbers w:val="0"/>
              <w:shd w:val="clear" w:color="auto" w:fill="auto"/>
              <w:spacing w:before="0" w:beforeAutospacing="0" w:after="0" w:afterAutospacing="0" w:line="360" w:lineRule="auto"/>
              <w:ind w:left="0" w:right="0"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从业人员100人一300人，且营业收入 2 000万元一10 000万元</w:t>
            </w:r>
          </w:p>
        </w:tc>
      </w:tr>
      <w:tr w14:paraId="0A692645">
        <w:tblPrEx>
          <w:tblCellMar>
            <w:top w:w="0" w:type="dxa"/>
            <w:left w:w="10" w:type="dxa"/>
            <w:bottom w:w="0" w:type="dxa"/>
            <w:right w:w="10" w:type="dxa"/>
          </w:tblCellMar>
        </w:tblPrEx>
        <w:trPr>
          <w:trHeight w:val="397" w:hRule="exact"/>
          <w:jc w:val="center"/>
        </w:trPr>
        <w:tc>
          <w:tcPr>
            <w:tcW w:w="1604" w:type="dxa"/>
            <w:vMerge w:val="continue"/>
            <w:tcBorders>
              <w:left w:val="single" w:color="auto" w:sz="4" w:space="0"/>
            </w:tcBorders>
            <w:shd w:val="clear" w:color="auto" w:fill="FFFFFF"/>
            <w:noWrap w:val="0"/>
            <w:vAlign w:val="center"/>
          </w:tcPr>
          <w:p w14:paraId="095183D4">
            <w:pPr>
              <w:keepNext w:val="0"/>
              <w:keepLines w:val="0"/>
              <w:suppressLineNumbers w:val="0"/>
              <w:spacing w:before="0" w:beforeAutospacing="0" w:after="0" w:afterAutospacing="0"/>
              <w:ind w:left="0" w:right="0"/>
              <w:jc w:val="center"/>
              <w:rPr>
                <w:rFonts w:hint="eastAsia" w:ascii="宋体" w:hAnsi="宋体" w:cs="宋体"/>
                <w:color w:val="000000"/>
                <w:sz w:val="18"/>
                <w:szCs w:val="18"/>
              </w:rPr>
            </w:pPr>
          </w:p>
        </w:tc>
        <w:tc>
          <w:tcPr>
            <w:tcW w:w="1298" w:type="dxa"/>
            <w:tcBorders>
              <w:top w:val="single" w:color="auto" w:sz="4" w:space="0"/>
              <w:left w:val="single" w:color="auto" w:sz="4" w:space="0"/>
            </w:tcBorders>
            <w:shd w:val="clear" w:color="auto" w:fill="FFFFFF"/>
            <w:noWrap w:val="0"/>
            <w:vAlign w:val="center"/>
          </w:tcPr>
          <w:p w14:paraId="13D09AD7">
            <w:pPr>
              <w:pStyle w:val="52"/>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小型</w:t>
            </w:r>
          </w:p>
        </w:tc>
        <w:tc>
          <w:tcPr>
            <w:tcW w:w="6438" w:type="dxa"/>
            <w:tcBorders>
              <w:top w:val="single" w:color="auto" w:sz="4" w:space="0"/>
              <w:left w:val="single" w:color="auto" w:sz="4" w:space="0"/>
              <w:right w:val="single" w:color="auto" w:sz="4" w:space="0"/>
            </w:tcBorders>
            <w:shd w:val="clear" w:color="auto" w:fill="FFFFFF"/>
            <w:noWrap w:val="0"/>
            <w:vAlign w:val="center"/>
          </w:tcPr>
          <w:p w14:paraId="3EF95533">
            <w:pPr>
              <w:pStyle w:val="52"/>
              <w:keepNext w:val="0"/>
              <w:keepLines w:val="0"/>
              <w:suppressLineNumbers w:val="0"/>
              <w:shd w:val="clear" w:color="auto" w:fill="auto"/>
              <w:spacing w:before="0" w:beforeAutospacing="0" w:after="0" w:afterAutospacing="0" w:line="360" w:lineRule="auto"/>
              <w:ind w:left="0" w:right="0"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从业人员10人一100人，且营业收入 100万元一2 000万元</w:t>
            </w:r>
          </w:p>
        </w:tc>
      </w:tr>
      <w:tr w14:paraId="56BF4082">
        <w:tblPrEx>
          <w:tblCellMar>
            <w:top w:w="0" w:type="dxa"/>
            <w:left w:w="10" w:type="dxa"/>
            <w:bottom w:w="0" w:type="dxa"/>
            <w:right w:w="10" w:type="dxa"/>
          </w:tblCellMar>
        </w:tblPrEx>
        <w:trPr>
          <w:trHeight w:val="512" w:hRule="exact"/>
          <w:jc w:val="center"/>
        </w:trPr>
        <w:tc>
          <w:tcPr>
            <w:tcW w:w="1604" w:type="dxa"/>
            <w:vMerge w:val="continue"/>
            <w:tcBorders>
              <w:left w:val="single" w:color="auto" w:sz="4" w:space="0"/>
            </w:tcBorders>
            <w:shd w:val="clear" w:color="auto" w:fill="FFFFFF"/>
            <w:noWrap w:val="0"/>
            <w:vAlign w:val="center"/>
          </w:tcPr>
          <w:p w14:paraId="3788BE76">
            <w:pPr>
              <w:keepNext w:val="0"/>
              <w:keepLines w:val="0"/>
              <w:suppressLineNumbers w:val="0"/>
              <w:spacing w:before="0" w:beforeAutospacing="0" w:after="0" w:afterAutospacing="0"/>
              <w:ind w:left="0" w:right="0"/>
              <w:jc w:val="center"/>
              <w:rPr>
                <w:rFonts w:hint="eastAsia" w:ascii="宋体" w:hAnsi="宋体" w:cs="宋体"/>
                <w:color w:val="000000"/>
                <w:sz w:val="18"/>
                <w:szCs w:val="18"/>
              </w:rPr>
            </w:pPr>
          </w:p>
        </w:tc>
        <w:tc>
          <w:tcPr>
            <w:tcW w:w="1298" w:type="dxa"/>
            <w:tcBorders>
              <w:top w:val="single" w:color="auto" w:sz="4" w:space="0"/>
              <w:left w:val="single" w:color="auto" w:sz="4" w:space="0"/>
            </w:tcBorders>
            <w:shd w:val="clear" w:color="auto" w:fill="FFFFFF"/>
            <w:noWrap w:val="0"/>
            <w:vAlign w:val="center"/>
          </w:tcPr>
          <w:p w14:paraId="171B46E0">
            <w:pPr>
              <w:pStyle w:val="52"/>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微型</w:t>
            </w:r>
          </w:p>
        </w:tc>
        <w:tc>
          <w:tcPr>
            <w:tcW w:w="6438" w:type="dxa"/>
            <w:tcBorders>
              <w:top w:val="single" w:color="auto" w:sz="4" w:space="0"/>
              <w:left w:val="single" w:color="auto" w:sz="4" w:space="0"/>
              <w:right w:val="single" w:color="auto" w:sz="4" w:space="0"/>
            </w:tcBorders>
            <w:shd w:val="clear" w:color="auto" w:fill="FFFFFF"/>
            <w:noWrap w:val="0"/>
            <w:vAlign w:val="center"/>
          </w:tcPr>
          <w:p w14:paraId="6D55264A">
            <w:pPr>
              <w:pStyle w:val="52"/>
              <w:keepNext w:val="0"/>
              <w:keepLines w:val="0"/>
              <w:suppressLineNumbers w:val="0"/>
              <w:shd w:val="clear" w:color="auto" w:fill="auto"/>
              <w:spacing w:before="0" w:beforeAutospacing="0" w:after="0" w:afterAutospacing="0" w:line="360" w:lineRule="auto"/>
              <w:ind w:left="0" w:right="0"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从业人员10人以下或营业收入 100万元以下</w:t>
            </w:r>
          </w:p>
        </w:tc>
      </w:tr>
      <w:tr w14:paraId="435F71CF">
        <w:tblPrEx>
          <w:tblCellMar>
            <w:top w:w="0" w:type="dxa"/>
            <w:left w:w="10" w:type="dxa"/>
            <w:bottom w:w="0" w:type="dxa"/>
            <w:right w:w="10" w:type="dxa"/>
          </w:tblCellMar>
        </w:tblPrEx>
        <w:trPr>
          <w:trHeight w:val="417" w:hRule="exact"/>
          <w:jc w:val="center"/>
        </w:trPr>
        <w:tc>
          <w:tcPr>
            <w:tcW w:w="1604" w:type="dxa"/>
            <w:vMerge w:val="restart"/>
            <w:tcBorders>
              <w:top w:val="single" w:color="auto" w:sz="4" w:space="0"/>
              <w:left w:val="single" w:color="auto" w:sz="4" w:space="0"/>
            </w:tcBorders>
            <w:shd w:val="clear" w:color="auto" w:fill="FFFFFF"/>
            <w:noWrap w:val="0"/>
            <w:vAlign w:val="center"/>
          </w:tcPr>
          <w:p w14:paraId="2BECB2A2">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餐饮业</w:t>
            </w:r>
          </w:p>
        </w:tc>
        <w:tc>
          <w:tcPr>
            <w:tcW w:w="7736" w:type="dxa"/>
            <w:gridSpan w:val="2"/>
            <w:tcBorders>
              <w:top w:val="single" w:color="auto" w:sz="4" w:space="0"/>
              <w:left w:val="single" w:color="auto" w:sz="4" w:space="0"/>
              <w:right w:val="single" w:color="auto" w:sz="4" w:space="0"/>
            </w:tcBorders>
            <w:shd w:val="clear" w:color="auto" w:fill="FFFFFF"/>
            <w:noWrap w:val="0"/>
            <w:vAlign w:val="center"/>
          </w:tcPr>
          <w:p w14:paraId="79C72E4C">
            <w:pPr>
              <w:pStyle w:val="52"/>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从业人员300人以下或营业收入 10 000万元以下的为中小微型企业。</w:t>
            </w:r>
          </w:p>
        </w:tc>
      </w:tr>
      <w:tr w14:paraId="3B145C2A">
        <w:tblPrEx>
          <w:tblCellMar>
            <w:top w:w="0" w:type="dxa"/>
            <w:left w:w="10" w:type="dxa"/>
            <w:bottom w:w="0" w:type="dxa"/>
            <w:right w:w="10" w:type="dxa"/>
          </w:tblCellMar>
        </w:tblPrEx>
        <w:trPr>
          <w:trHeight w:val="432" w:hRule="exact"/>
          <w:jc w:val="center"/>
        </w:trPr>
        <w:tc>
          <w:tcPr>
            <w:tcW w:w="1604" w:type="dxa"/>
            <w:vMerge w:val="continue"/>
            <w:tcBorders>
              <w:left w:val="single" w:color="auto" w:sz="4" w:space="0"/>
            </w:tcBorders>
            <w:shd w:val="clear" w:color="auto" w:fill="FFFFFF"/>
            <w:noWrap w:val="0"/>
            <w:vAlign w:val="center"/>
          </w:tcPr>
          <w:p w14:paraId="0CF449EE">
            <w:pPr>
              <w:keepNext w:val="0"/>
              <w:keepLines w:val="0"/>
              <w:suppressLineNumbers w:val="0"/>
              <w:spacing w:before="0" w:beforeAutospacing="0" w:after="0" w:afterAutospacing="0"/>
              <w:ind w:left="0" w:right="0"/>
              <w:jc w:val="center"/>
              <w:rPr>
                <w:rFonts w:hint="eastAsia" w:ascii="宋体" w:hAnsi="宋体" w:cs="宋体"/>
                <w:color w:val="000000"/>
                <w:sz w:val="18"/>
                <w:szCs w:val="18"/>
              </w:rPr>
            </w:pPr>
          </w:p>
        </w:tc>
        <w:tc>
          <w:tcPr>
            <w:tcW w:w="1298" w:type="dxa"/>
            <w:tcBorders>
              <w:top w:val="single" w:color="auto" w:sz="4" w:space="0"/>
              <w:left w:val="single" w:color="auto" w:sz="4" w:space="0"/>
            </w:tcBorders>
            <w:shd w:val="clear" w:color="auto" w:fill="FFFFFF"/>
            <w:noWrap w:val="0"/>
            <w:vAlign w:val="center"/>
          </w:tcPr>
          <w:p w14:paraId="1F3A1F4C">
            <w:pPr>
              <w:pStyle w:val="52"/>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中型</w:t>
            </w:r>
          </w:p>
        </w:tc>
        <w:tc>
          <w:tcPr>
            <w:tcW w:w="6438" w:type="dxa"/>
            <w:tcBorders>
              <w:top w:val="single" w:color="auto" w:sz="4" w:space="0"/>
              <w:left w:val="single" w:color="auto" w:sz="4" w:space="0"/>
              <w:right w:val="single" w:color="auto" w:sz="4" w:space="0"/>
            </w:tcBorders>
            <w:shd w:val="clear" w:color="auto" w:fill="FFFFFF"/>
            <w:noWrap w:val="0"/>
            <w:vAlign w:val="center"/>
          </w:tcPr>
          <w:p w14:paraId="7C9B4EF0">
            <w:pPr>
              <w:pStyle w:val="52"/>
              <w:keepNext w:val="0"/>
              <w:keepLines w:val="0"/>
              <w:suppressLineNumbers w:val="0"/>
              <w:shd w:val="clear" w:color="auto" w:fill="auto"/>
              <w:spacing w:before="0" w:beforeAutospacing="0" w:after="0" w:afterAutospacing="0" w:line="360" w:lineRule="auto"/>
              <w:ind w:left="0" w:right="0"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从业人员100— 300人，且营业收入 2 000万元一10 000万元</w:t>
            </w:r>
          </w:p>
        </w:tc>
      </w:tr>
      <w:tr w14:paraId="56173D3B">
        <w:tblPrEx>
          <w:tblCellMar>
            <w:top w:w="0" w:type="dxa"/>
            <w:left w:w="10" w:type="dxa"/>
            <w:bottom w:w="0" w:type="dxa"/>
            <w:right w:w="10" w:type="dxa"/>
          </w:tblCellMar>
        </w:tblPrEx>
        <w:trPr>
          <w:trHeight w:val="388" w:hRule="exact"/>
          <w:jc w:val="center"/>
        </w:trPr>
        <w:tc>
          <w:tcPr>
            <w:tcW w:w="1604" w:type="dxa"/>
            <w:vMerge w:val="continue"/>
            <w:tcBorders>
              <w:left w:val="single" w:color="auto" w:sz="4" w:space="0"/>
            </w:tcBorders>
            <w:shd w:val="clear" w:color="auto" w:fill="FFFFFF"/>
            <w:noWrap w:val="0"/>
            <w:vAlign w:val="center"/>
          </w:tcPr>
          <w:p w14:paraId="43385B4F">
            <w:pPr>
              <w:keepNext w:val="0"/>
              <w:keepLines w:val="0"/>
              <w:suppressLineNumbers w:val="0"/>
              <w:spacing w:before="0" w:beforeAutospacing="0" w:after="0" w:afterAutospacing="0"/>
              <w:ind w:left="0" w:right="0"/>
              <w:jc w:val="center"/>
              <w:rPr>
                <w:rFonts w:hint="eastAsia" w:ascii="宋体" w:hAnsi="宋体" w:cs="宋体"/>
                <w:color w:val="000000"/>
                <w:sz w:val="18"/>
                <w:szCs w:val="18"/>
              </w:rPr>
            </w:pPr>
          </w:p>
        </w:tc>
        <w:tc>
          <w:tcPr>
            <w:tcW w:w="1298" w:type="dxa"/>
            <w:tcBorders>
              <w:top w:val="single" w:color="auto" w:sz="4" w:space="0"/>
              <w:left w:val="single" w:color="auto" w:sz="4" w:space="0"/>
            </w:tcBorders>
            <w:shd w:val="clear" w:color="auto" w:fill="FFFFFF"/>
            <w:noWrap w:val="0"/>
            <w:vAlign w:val="center"/>
          </w:tcPr>
          <w:p w14:paraId="29106A0A">
            <w:pPr>
              <w:pStyle w:val="52"/>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小型</w:t>
            </w:r>
          </w:p>
        </w:tc>
        <w:tc>
          <w:tcPr>
            <w:tcW w:w="6438" w:type="dxa"/>
            <w:tcBorders>
              <w:top w:val="single" w:color="auto" w:sz="4" w:space="0"/>
              <w:left w:val="single" w:color="auto" w:sz="4" w:space="0"/>
              <w:right w:val="single" w:color="auto" w:sz="4" w:space="0"/>
            </w:tcBorders>
            <w:shd w:val="clear" w:color="auto" w:fill="FFFFFF"/>
            <w:noWrap w:val="0"/>
            <w:vAlign w:val="center"/>
          </w:tcPr>
          <w:p w14:paraId="60207872">
            <w:pPr>
              <w:pStyle w:val="52"/>
              <w:keepNext w:val="0"/>
              <w:keepLines w:val="0"/>
              <w:suppressLineNumbers w:val="0"/>
              <w:shd w:val="clear" w:color="auto" w:fill="auto"/>
              <w:spacing w:before="0" w:beforeAutospacing="0" w:after="0" w:afterAutospacing="0" w:line="360" w:lineRule="auto"/>
              <w:ind w:left="0" w:right="0"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从业人员10人一100人，且营业收入 100万元一2 000万元</w:t>
            </w:r>
          </w:p>
        </w:tc>
      </w:tr>
      <w:tr w14:paraId="702BFB61">
        <w:tblPrEx>
          <w:tblCellMar>
            <w:top w:w="0" w:type="dxa"/>
            <w:left w:w="10" w:type="dxa"/>
            <w:bottom w:w="0" w:type="dxa"/>
            <w:right w:w="10" w:type="dxa"/>
          </w:tblCellMar>
        </w:tblPrEx>
        <w:trPr>
          <w:trHeight w:val="386" w:hRule="exact"/>
          <w:jc w:val="center"/>
        </w:trPr>
        <w:tc>
          <w:tcPr>
            <w:tcW w:w="1604" w:type="dxa"/>
            <w:vMerge w:val="continue"/>
            <w:tcBorders>
              <w:left w:val="single" w:color="auto" w:sz="4" w:space="0"/>
            </w:tcBorders>
            <w:shd w:val="clear" w:color="auto" w:fill="FFFFFF"/>
            <w:noWrap w:val="0"/>
            <w:vAlign w:val="center"/>
          </w:tcPr>
          <w:p w14:paraId="2AD16EAA">
            <w:pPr>
              <w:keepNext w:val="0"/>
              <w:keepLines w:val="0"/>
              <w:suppressLineNumbers w:val="0"/>
              <w:spacing w:before="0" w:beforeAutospacing="0" w:after="0" w:afterAutospacing="0"/>
              <w:ind w:left="0" w:right="0"/>
              <w:jc w:val="center"/>
              <w:rPr>
                <w:rFonts w:hint="eastAsia" w:ascii="宋体" w:hAnsi="宋体" w:cs="宋体"/>
                <w:color w:val="000000"/>
                <w:sz w:val="18"/>
                <w:szCs w:val="18"/>
              </w:rPr>
            </w:pPr>
          </w:p>
        </w:tc>
        <w:tc>
          <w:tcPr>
            <w:tcW w:w="1298" w:type="dxa"/>
            <w:tcBorders>
              <w:top w:val="single" w:color="auto" w:sz="4" w:space="0"/>
              <w:left w:val="single" w:color="auto" w:sz="4" w:space="0"/>
            </w:tcBorders>
            <w:shd w:val="clear" w:color="auto" w:fill="FFFFFF"/>
            <w:noWrap w:val="0"/>
            <w:vAlign w:val="center"/>
          </w:tcPr>
          <w:p w14:paraId="6DA3970D">
            <w:pPr>
              <w:pStyle w:val="52"/>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微型</w:t>
            </w:r>
          </w:p>
        </w:tc>
        <w:tc>
          <w:tcPr>
            <w:tcW w:w="6438" w:type="dxa"/>
            <w:tcBorders>
              <w:top w:val="single" w:color="auto" w:sz="4" w:space="0"/>
              <w:left w:val="single" w:color="auto" w:sz="4" w:space="0"/>
              <w:right w:val="single" w:color="auto" w:sz="4" w:space="0"/>
            </w:tcBorders>
            <w:shd w:val="clear" w:color="auto" w:fill="FFFFFF"/>
            <w:noWrap w:val="0"/>
            <w:vAlign w:val="center"/>
          </w:tcPr>
          <w:p w14:paraId="4AE2DE3C">
            <w:pPr>
              <w:pStyle w:val="52"/>
              <w:keepNext w:val="0"/>
              <w:keepLines w:val="0"/>
              <w:suppressLineNumbers w:val="0"/>
              <w:shd w:val="clear" w:color="auto" w:fill="auto"/>
              <w:spacing w:before="0" w:beforeAutospacing="0" w:after="0" w:afterAutospacing="0" w:line="360" w:lineRule="auto"/>
              <w:ind w:left="0" w:right="0"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从业人员10人以下或营业收入 100万元以下</w:t>
            </w:r>
          </w:p>
        </w:tc>
      </w:tr>
      <w:tr w14:paraId="12EB248D">
        <w:tblPrEx>
          <w:tblCellMar>
            <w:top w:w="0" w:type="dxa"/>
            <w:left w:w="10" w:type="dxa"/>
            <w:bottom w:w="0" w:type="dxa"/>
            <w:right w:w="10" w:type="dxa"/>
          </w:tblCellMar>
        </w:tblPrEx>
        <w:trPr>
          <w:trHeight w:val="383" w:hRule="exact"/>
          <w:jc w:val="center"/>
        </w:trPr>
        <w:tc>
          <w:tcPr>
            <w:tcW w:w="1604" w:type="dxa"/>
            <w:vMerge w:val="restart"/>
            <w:tcBorders>
              <w:top w:val="single" w:color="auto" w:sz="4" w:space="0"/>
              <w:left w:val="single" w:color="auto" w:sz="4" w:space="0"/>
            </w:tcBorders>
            <w:shd w:val="clear" w:color="auto" w:fill="FFFFFF"/>
            <w:noWrap w:val="0"/>
            <w:vAlign w:val="center"/>
          </w:tcPr>
          <w:p w14:paraId="1C536E40">
            <w:pPr>
              <w:pStyle w:val="52"/>
              <w:keepNext w:val="0"/>
              <w:keepLines w:val="0"/>
              <w:suppressLineNumbers w:val="0"/>
              <w:shd w:val="clear" w:color="auto" w:fill="auto"/>
              <w:spacing w:before="0" w:beforeAutospacing="0" w:after="0" w:afterAutospacing="0" w:line="492" w:lineRule="exact"/>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信息传输业</w:t>
            </w:r>
          </w:p>
          <w:p w14:paraId="5BE08A55">
            <w:pPr>
              <w:pStyle w:val="52"/>
              <w:keepNext w:val="0"/>
              <w:keepLines w:val="0"/>
              <w:suppressLineNumbers w:val="0"/>
              <w:shd w:val="clear" w:color="auto" w:fill="auto"/>
              <w:spacing w:before="0" w:beforeAutospacing="0" w:after="0" w:afterAutospacing="0" w:line="492" w:lineRule="exact"/>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（包括电信、互联网 和相关服务）</w:t>
            </w:r>
          </w:p>
        </w:tc>
        <w:tc>
          <w:tcPr>
            <w:tcW w:w="7736" w:type="dxa"/>
            <w:gridSpan w:val="2"/>
            <w:tcBorders>
              <w:top w:val="single" w:color="auto" w:sz="4" w:space="0"/>
              <w:left w:val="single" w:color="auto" w:sz="4" w:space="0"/>
              <w:right w:val="single" w:color="auto" w:sz="4" w:space="0"/>
            </w:tcBorders>
            <w:shd w:val="clear" w:color="auto" w:fill="FFFFFF"/>
            <w:noWrap w:val="0"/>
            <w:vAlign w:val="center"/>
          </w:tcPr>
          <w:p w14:paraId="29ACED77">
            <w:pPr>
              <w:pStyle w:val="52"/>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从业人员2 000人以下或营业收入 100 000万元以下的为中小微型企业。</w:t>
            </w:r>
          </w:p>
        </w:tc>
      </w:tr>
      <w:tr w14:paraId="224BAE47">
        <w:tblPrEx>
          <w:tblCellMar>
            <w:top w:w="0" w:type="dxa"/>
            <w:left w:w="10" w:type="dxa"/>
            <w:bottom w:w="0" w:type="dxa"/>
            <w:right w:w="10" w:type="dxa"/>
          </w:tblCellMar>
        </w:tblPrEx>
        <w:trPr>
          <w:trHeight w:val="351" w:hRule="exact"/>
          <w:jc w:val="center"/>
        </w:trPr>
        <w:tc>
          <w:tcPr>
            <w:tcW w:w="1604" w:type="dxa"/>
            <w:vMerge w:val="continue"/>
            <w:tcBorders>
              <w:left w:val="single" w:color="auto" w:sz="4" w:space="0"/>
            </w:tcBorders>
            <w:shd w:val="clear" w:color="auto" w:fill="FFFFFF"/>
            <w:noWrap w:val="0"/>
            <w:vAlign w:val="center"/>
          </w:tcPr>
          <w:p w14:paraId="6E5DCC75">
            <w:pPr>
              <w:keepNext w:val="0"/>
              <w:keepLines w:val="0"/>
              <w:suppressLineNumbers w:val="0"/>
              <w:spacing w:before="0" w:beforeAutospacing="0" w:after="0" w:afterAutospacing="0"/>
              <w:ind w:left="0" w:right="0"/>
              <w:jc w:val="center"/>
              <w:rPr>
                <w:rFonts w:hint="eastAsia" w:ascii="宋体" w:hAnsi="宋体" w:cs="宋体"/>
                <w:color w:val="000000"/>
                <w:sz w:val="18"/>
                <w:szCs w:val="18"/>
              </w:rPr>
            </w:pPr>
          </w:p>
        </w:tc>
        <w:tc>
          <w:tcPr>
            <w:tcW w:w="1298" w:type="dxa"/>
            <w:tcBorders>
              <w:top w:val="single" w:color="auto" w:sz="4" w:space="0"/>
              <w:left w:val="single" w:color="auto" w:sz="4" w:space="0"/>
            </w:tcBorders>
            <w:shd w:val="clear" w:color="auto" w:fill="FFFFFF"/>
            <w:noWrap w:val="0"/>
            <w:vAlign w:val="center"/>
          </w:tcPr>
          <w:p w14:paraId="4698847D">
            <w:pPr>
              <w:pStyle w:val="52"/>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中型</w:t>
            </w:r>
          </w:p>
        </w:tc>
        <w:tc>
          <w:tcPr>
            <w:tcW w:w="6438" w:type="dxa"/>
            <w:tcBorders>
              <w:top w:val="single" w:color="auto" w:sz="4" w:space="0"/>
              <w:left w:val="single" w:color="auto" w:sz="4" w:space="0"/>
              <w:right w:val="single" w:color="auto" w:sz="4" w:space="0"/>
            </w:tcBorders>
            <w:shd w:val="clear" w:color="auto" w:fill="FFFFFF"/>
            <w:noWrap w:val="0"/>
            <w:vAlign w:val="center"/>
          </w:tcPr>
          <w:p w14:paraId="4F213AAF">
            <w:pPr>
              <w:pStyle w:val="52"/>
              <w:keepNext w:val="0"/>
              <w:keepLines w:val="0"/>
              <w:suppressLineNumbers w:val="0"/>
              <w:shd w:val="clear" w:color="auto" w:fill="auto"/>
              <w:spacing w:before="0" w:beforeAutospacing="0" w:after="0" w:afterAutospacing="0" w:line="360" w:lineRule="auto"/>
              <w:ind w:left="0" w:right="0"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从业人员100人一2 000人，且营业收入 1 000万元一10 000万元</w:t>
            </w:r>
          </w:p>
        </w:tc>
      </w:tr>
      <w:tr w14:paraId="47EEE4FC">
        <w:tblPrEx>
          <w:tblCellMar>
            <w:top w:w="0" w:type="dxa"/>
            <w:left w:w="10" w:type="dxa"/>
            <w:bottom w:w="0" w:type="dxa"/>
            <w:right w:w="10" w:type="dxa"/>
          </w:tblCellMar>
        </w:tblPrEx>
        <w:trPr>
          <w:trHeight w:val="370" w:hRule="exact"/>
          <w:jc w:val="center"/>
        </w:trPr>
        <w:tc>
          <w:tcPr>
            <w:tcW w:w="1604" w:type="dxa"/>
            <w:vMerge w:val="continue"/>
            <w:tcBorders>
              <w:left w:val="single" w:color="auto" w:sz="4" w:space="0"/>
            </w:tcBorders>
            <w:shd w:val="clear" w:color="auto" w:fill="FFFFFF"/>
            <w:noWrap w:val="0"/>
            <w:vAlign w:val="center"/>
          </w:tcPr>
          <w:p w14:paraId="293D994D">
            <w:pPr>
              <w:keepNext w:val="0"/>
              <w:keepLines w:val="0"/>
              <w:suppressLineNumbers w:val="0"/>
              <w:spacing w:before="0" w:beforeAutospacing="0" w:after="0" w:afterAutospacing="0"/>
              <w:ind w:left="0" w:right="0"/>
              <w:jc w:val="center"/>
              <w:rPr>
                <w:rFonts w:hint="eastAsia" w:ascii="宋体" w:hAnsi="宋体" w:cs="宋体"/>
                <w:color w:val="000000"/>
                <w:sz w:val="18"/>
                <w:szCs w:val="18"/>
              </w:rPr>
            </w:pPr>
          </w:p>
        </w:tc>
        <w:tc>
          <w:tcPr>
            <w:tcW w:w="1298" w:type="dxa"/>
            <w:tcBorders>
              <w:top w:val="single" w:color="auto" w:sz="4" w:space="0"/>
              <w:left w:val="single" w:color="auto" w:sz="4" w:space="0"/>
            </w:tcBorders>
            <w:shd w:val="clear" w:color="auto" w:fill="FFFFFF"/>
            <w:noWrap w:val="0"/>
            <w:vAlign w:val="center"/>
          </w:tcPr>
          <w:p w14:paraId="42097F12">
            <w:pPr>
              <w:pStyle w:val="52"/>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小型</w:t>
            </w:r>
          </w:p>
        </w:tc>
        <w:tc>
          <w:tcPr>
            <w:tcW w:w="6438" w:type="dxa"/>
            <w:tcBorders>
              <w:top w:val="single" w:color="auto" w:sz="4" w:space="0"/>
              <w:left w:val="single" w:color="auto" w:sz="4" w:space="0"/>
              <w:right w:val="single" w:color="auto" w:sz="4" w:space="0"/>
            </w:tcBorders>
            <w:shd w:val="clear" w:color="auto" w:fill="FFFFFF"/>
            <w:noWrap w:val="0"/>
            <w:vAlign w:val="center"/>
          </w:tcPr>
          <w:p w14:paraId="7457B069">
            <w:pPr>
              <w:pStyle w:val="52"/>
              <w:keepNext w:val="0"/>
              <w:keepLines w:val="0"/>
              <w:suppressLineNumbers w:val="0"/>
              <w:shd w:val="clear" w:color="auto" w:fill="auto"/>
              <w:spacing w:before="0" w:beforeAutospacing="0" w:after="0" w:afterAutospacing="0" w:line="360" w:lineRule="auto"/>
              <w:ind w:left="0" w:right="0"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从业人员10人一100人，且营业收入 100万元一1 000万元</w:t>
            </w:r>
          </w:p>
        </w:tc>
      </w:tr>
      <w:tr w14:paraId="147AB16B">
        <w:tblPrEx>
          <w:tblCellMar>
            <w:top w:w="0" w:type="dxa"/>
            <w:left w:w="10" w:type="dxa"/>
            <w:bottom w:w="0" w:type="dxa"/>
            <w:right w:w="10" w:type="dxa"/>
          </w:tblCellMar>
        </w:tblPrEx>
        <w:trPr>
          <w:trHeight w:val="337" w:hRule="exact"/>
          <w:jc w:val="center"/>
        </w:trPr>
        <w:tc>
          <w:tcPr>
            <w:tcW w:w="1604" w:type="dxa"/>
            <w:vMerge w:val="continue"/>
            <w:tcBorders>
              <w:left w:val="single" w:color="auto" w:sz="4" w:space="0"/>
            </w:tcBorders>
            <w:shd w:val="clear" w:color="auto" w:fill="FFFFFF"/>
            <w:noWrap w:val="0"/>
            <w:vAlign w:val="center"/>
          </w:tcPr>
          <w:p w14:paraId="03FABB3C">
            <w:pPr>
              <w:keepNext w:val="0"/>
              <w:keepLines w:val="0"/>
              <w:suppressLineNumbers w:val="0"/>
              <w:spacing w:before="0" w:beforeAutospacing="0" w:after="0" w:afterAutospacing="0"/>
              <w:ind w:left="0" w:right="0"/>
              <w:jc w:val="center"/>
              <w:rPr>
                <w:rFonts w:hint="eastAsia" w:ascii="宋体" w:hAnsi="宋体" w:cs="宋体"/>
                <w:color w:val="000000"/>
                <w:sz w:val="18"/>
                <w:szCs w:val="18"/>
              </w:rPr>
            </w:pPr>
          </w:p>
        </w:tc>
        <w:tc>
          <w:tcPr>
            <w:tcW w:w="1298" w:type="dxa"/>
            <w:tcBorders>
              <w:top w:val="single" w:color="auto" w:sz="4" w:space="0"/>
              <w:left w:val="single" w:color="auto" w:sz="4" w:space="0"/>
            </w:tcBorders>
            <w:shd w:val="clear" w:color="auto" w:fill="FFFFFF"/>
            <w:noWrap w:val="0"/>
            <w:vAlign w:val="center"/>
          </w:tcPr>
          <w:p w14:paraId="7BD2DE34">
            <w:pPr>
              <w:pStyle w:val="52"/>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微型</w:t>
            </w:r>
          </w:p>
        </w:tc>
        <w:tc>
          <w:tcPr>
            <w:tcW w:w="6438" w:type="dxa"/>
            <w:tcBorders>
              <w:top w:val="single" w:color="auto" w:sz="4" w:space="0"/>
              <w:left w:val="single" w:color="auto" w:sz="4" w:space="0"/>
              <w:right w:val="single" w:color="auto" w:sz="4" w:space="0"/>
            </w:tcBorders>
            <w:shd w:val="clear" w:color="auto" w:fill="FFFFFF"/>
            <w:noWrap w:val="0"/>
            <w:vAlign w:val="center"/>
          </w:tcPr>
          <w:p w14:paraId="1AD6E6DF">
            <w:pPr>
              <w:pStyle w:val="52"/>
              <w:keepNext w:val="0"/>
              <w:keepLines w:val="0"/>
              <w:suppressLineNumbers w:val="0"/>
              <w:shd w:val="clear" w:color="auto" w:fill="auto"/>
              <w:spacing w:before="0" w:beforeAutospacing="0" w:after="0" w:afterAutospacing="0" w:line="360" w:lineRule="auto"/>
              <w:ind w:left="0" w:right="0"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从业人员10人以下或营业收入 100万元以下</w:t>
            </w:r>
          </w:p>
        </w:tc>
      </w:tr>
      <w:tr w14:paraId="3B703A78">
        <w:tblPrEx>
          <w:tblCellMar>
            <w:top w:w="0" w:type="dxa"/>
            <w:left w:w="10" w:type="dxa"/>
            <w:bottom w:w="0" w:type="dxa"/>
            <w:right w:w="10" w:type="dxa"/>
          </w:tblCellMar>
        </w:tblPrEx>
        <w:trPr>
          <w:trHeight w:val="351" w:hRule="exact"/>
          <w:jc w:val="center"/>
        </w:trPr>
        <w:tc>
          <w:tcPr>
            <w:tcW w:w="1604" w:type="dxa"/>
            <w:vMerge w:val="restart"/>
            <w:tcBorders>
              <w:top w:val="single" w:color="auto" w:sz="4" w:space="0"/>
              <w:left w:val="single" w:color="auto" w:sz="4" w:space="0"/>
            </w:tcBorders>
            <w:shd w:val="clear" w:color="auto" w:fill="FFFFFF"/>
            <w:noWrap w:val="0"/>
            <w:vAlign w:val="center"/>
          </w:tcPr>
          <w:p w14:paraId="3F2902BD">
            <w:pPr>
              <w:pStyle w:val="52"/>
              <w:keepNext w:val="0"/>
              <w:keepLines w:val="0"/>
              <w:suppressLineNumbers w:val="0"/>
              <w:shd w:val="clear" w:color="auto" w:fill="auto"/>
              <w:spacing w:before="0" w:beforeAutospacing="0" w:after="0" w:afterAutospacing="0" w:line="509" w:lineRule="exact"/>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软件和信息</w:t>
            </w:r>
          </w:p>
          <w:p w14:paraId="6F768EC5">
            <w:pPr>
              <w:pStyle w:val="52"/>
              <w:keepNext w:val="0"/>
              <w:keepLines w:val="0"/>
              <w:suppressLineNumbers w:val="0"/>
              <w:shd w:val="clear" w:color="auto" w:fill="auto"/>
              <w:spacing w:before="0" w:beforeAutospacing="0" w:after="0" w:afterAutospacing="0" w:line="509" w:lineRule="exact"/>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技术服务业</w:t>
            </w:r>
          </w:p>
        </w:tc>
        <w:tc>
          <w:tcPr>
            <w:tcW w:w="7736" w:type="dxa"/>
            <w:gridSpan w:val="2"/>
            <w:tcBorders>
              <w:top w:val="single" w:color="auto" w:sz="4" w:space="0"/>
              <w:left w:val="single" w:color="auto" w:sz="4" w:space="0"/>
              <w:right w:val="single" w:color="auto" w:sz="4" w:space="0"/>
            </w:tcBorders>
            <w:shd w:val="clear" w:color="auto" w:fill="FFFFFF"/>
            <w:noWrap w:val="0"/>
            <w:vAlign w:val="center"/>
          </w:tcPr>
          <w:p w14:paraId="318A9FD3">
            <w:pPr>
              <w:pStyle w:val="52"/>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从业人员300人以下或营业收入 10 000万元以下的为中小微型企业。</w:t>
            </w:r>
          </w:p>
        </w:tc>
      </w:tr>
      <w:tr w14:paraId="4644805D">
        <w:tblPrEx>
          <w:tblCellMar>
            <w:top w:w="0" w:type="dxa"/>
            <w:left w:w="10" w:type="dxa"/>
            <w:bottom w:w="0" w:type="dxa"/>
            <w:right w:w="10" w:type="dxa"/>
          </w:tblCellMar>
        </w:tblPrEx>
        <w:trPr>
          <w:trHeight w:val="423" w:hRule="exact"/>
          <w:jc w:val="center"/>
        </w:trPr>
        <w:tc>
          <w:tcPr>
            <w:tcW w:w="1604" w:type="dxa"/>
            <w:vMerge w:val="continue"/>
            <w:tcBorders>
              <w:left w:val="single" w:color="auto" w:sz="4" w:space="0"/>
            </w:tcBorders>
            <w:shd w:val="clear" w:color="auto" w:fill="FFFFFF"/>
            <w:noWrap w:val="0"/>
            <w:vAlign w:val="center"/>
          </w:tcPr>
          <w:p w14:paraId="26B3122C">
            <w:pPr>
              <w:keepNext w:val="0"/>
              <w:keepLines w:val="0"/>
              <w:suppressLineNumbers w:val="0"/>
              <w:spacing w:before="0" w:beforeAutospacing="0" w:after="0" w:afterAutospacing="0"/>
              <w:ind w:left="0" w:right="0"/>
              <w:jc w:val="center"/>
              <w:rPr>
                <w:rFonts w:hint="eastAsia" w:ascii="宋体" w:hAnsi="宋体" w:cs="宋体"/>
                <w:color w:val="000000"/>
                <w:sz w:val="18"/>
                <w:szCs w:val="18"/>
              </w:rPr>
            </w:pPr>
          </w:p>
        </w:tc>
        <w:tc>
          <w:tcPr>
            <w:tcW w:w="1298" w:type="dxa"/>
            <w:tcBorders>
              <w:top w:val="single" w:color="auto" w:sz="4" w:space="0"/>
              <w:left w:val="single" w:color="auto" w:sz="4" w:space="0"/>
            </w:tcBorders>
            <w:shd w:val="clear" w:color="auto" w:fill="FFFFFF"/>
            <w:noWrap w:val="0"/>
            <w:vAlign w:val="center"/>
          </w:tcPr>
          <w:p w14:paraId="2E1D7C48">
            <w:pPr>
              <w:pStyle w:val="52"/>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中型</w:t>
            </w:r>
          </w:p>
        </w:tc>
        <w:tc>
          <w:tcPr>
            <w:tcW w:w="6438" w:type="dxa"/>
            <w:tcBorders>
              <w:top w:val="single" w:color="auto" w:sz="4" w:space="0"/>
              <w:left w:val="single" w:color="auto" w:sz="4" w:space="0"/>
              <w:right w:val="single" w:color="auto" w:sz="4" w:space="0"/>
            </w:tcBorders>
            <w:shd w:val="clear" w:color="auto" w:fill="FFFFFF"/>
            <w:noWrap w:val="0"/>
            <w:vAlign w:val="center"/>
          </w:tcPr>
          <w:p w14:paraId="3129E5F2">
            <w:pPr>
              <w:pStyle w:val="52"/>
              <w:keepNext w:val="0"/>
              <w:keepLines w:val="0"/>
              <w:suppressLineNumbers w:val="0"/>
              <w:shd w:val="clear" w:color="auto" w:fill="auto"/>
              <w:spacing w:before="0" w:beforeAutospacing="0" w:after="0" w:afterAutospacing="0" w:line="360" w:lineRule="auto"/>
              <w:ind w:left="0" w:right="0"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从业人员100— 300人，且营业收入 1 000万元一10 000万元</w:t>
            </w:r>
          </w:p>
        </w:tc>
      </w:tr>
      <w:tr w14:paraId="572E106E">
        <w:tblPrEx>
          <w:tblCellMar>
            <w:top w:w="0" w:type="dxa"/>
            <w:left w:w="10" w:type="dxa"/>
            <w:bottom w:w="0" w:type="dxa"/>
            <w:right w:w="10" w:type="dxa"/>
          </w:tblCellMar>
        </w:tblPrEx>
        <w:trPr>
          <w:trHeight w:val="390" w:hRule="exact"/>
          <w:jc w:val="center"/>
        </w:trPr>
        <w:tc>
          <w:tcPr>
            <w:tcW w:w="1604" w:type="dxa"/>
            <w:vMerge w:val="continue"/>
            <w:tcBorders>
              <w:left w:val="single" w:color="auto" w:sz="4" w:space="0"/>
            </w:tcBorders>
            <w:shd w:val="clear" w:color="auto" w:fill="FFFFFF"/>
            <w:noWrap w:val="0"/>
            <w:vAlign w:val="center"/>
          </w:tcPr>
          <w:p w14:paraId="37417ADE">
            <w:pPr>
              <w:keepNext w:val="0"/>
              <w:keepLines w:val="0"/>
              <w:suppressLineNumbers w:val="0"/>
              <w:spacing w:before="0" w:beforeAutospacing="0" w:after="0" w:afterAutospacing="0"/>
              <w:ind w:left="0" w:right="0"/>
              <w:jc w:val="center"/>
              <w:rPr>
                <w:rFonts w:hint="eastAsia" w:ascii="宋体" w:hAnsi="宋体" w:cs="宋体"/>
                <w:color w:val="000000"/>
                <w:sz w:val="18"/>
                <w:szCs w:val="18"/>
              </w:rPr>
            </w:pPr>
          </w:p>
        </w:tc>
        <w:tc>
          <w:tcPr>
            <w:tcW w:w="1298" w:type="dxa"/>
            <w:tcBorders>
              <w:top w:val="single" w:color="auto" w:sz="4" w:space="0"/>
              <w:left w:val="single" w:color="auto" w:sz="4" w:space="0"/>
            </w:tcBorders>
            <w:shd w:val="clear" w:color="auto" w:fill="FFFFFF"/>
            <w:noWrap w:val="0"/>
            <w:vAlign w:val="center"/>
          </w:tcPr>
          <w:p w14:paraId="7BBDEDAD">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小型</w:t>
            </w:r>
          </w:p>
        </w:tc>
        <w:tc>
          <w:tcPr>
            <w:tcW w:w="6438" w:type="dxa"/>
            <w:tcBorders>
              <w:top w:val="single" w:color="auto" w:sz="4" w:space="0"/>
              <w:left w:val="single" w:color="auto" w:sz="4" w:space="0"/>
              <w:right w:val="single" w:color="auto" w:sz="4" w:space="0"/>
            </w:tcBorders>
            <w:shd w:val="clear" w:color="auto" w:fill="FFFFFF"/>
            <w:noWrap w:val="0"/>
            <w:vAlign w:val="center"/>
          </w:tcPr>
          <w:p w14:paraId="6184562F">
            <w:pPr>
              <w:pStyle w:val="52"/>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从业人员10人一100人，且营业收入 50万元一1 000万元</w:t>
            </w:r>
          </w:p>
        </w:tc>
      </w:tr>
      <w:tr w14:paraId="0CF426EC">
        <w:tblPrEx>
          <w:tblCellMar>
            <w:top w:w="0" w:type="dxa"/>
            <w:left w:w="10" w:type="dxa"/>
            <w:bottom w:w="0" w:type="dxa"/>
            <w:right w:w="10" w:type="dxa"/>
          </w:tblCellMar>
        </w:tblPrEx>
        <w:trPr>
          <w:trHeight w:val="393" w:hRule="exact"/>
          <w:jc w:val="center"/>
        </w:trPr>
        <w:tc>
          <w:tcPr>
            <w:tcW w:w="1604" w:type="dxa"/>
            <w:vMerge w:val="continue"/>
            <w:tcBorders>
              <w:left w:val="single" w:color="auto" w:sz="4" w:space="0"/>
            </w:tcBorders>
            <w:shd w:val="clear" w:color="auto" w:fill="FFFFFF"/>
            <w:noWrap w:val="0"/>
            <w:vAlign w:val="center"/>
          </w:tcPr>
          <w:p w14:paraId="4A144AC8">
            <w:pPr>
              <w:keepNext w:val="0"/>
              <w:keepLines w:val="0"/>
              <w:suppressLineNumbers w:val="0"/>
              <w:spacing w:before="0" w:beforeAutospacing="0" w:after="0" w:afterAutospacing="0"/>
              <w:ind w:left="0" w:right="0"/>
              <w:jc w:val="center"/>
              <w:rPr>
                <w:rFonts w:hint="eastAsia" w:ascii="宋体" w:hAnsi="宋体" w:cs="宋体"/>
                <w:color w:val="000000"/>
                <w:sz w:val="18"/>
                <w:szCs w:val="18"/>
              </w:rPr>
            </w:pPr>
          </w:p>
        </w:tc>
        <w:tc>
          <w:tcPr>
            <w:tcW w:w="1298" w:type="dxa"/>
            <w:tcBorders>
              <w:top w:val="single" w:color="auto" w:sz="4" w:space="0"/>
              <w:left w:val="single" w:color="auto" w:sz="4" w:space="0"/>
            </w:tcBorders>
            <w:shd w:val="clear" w:color="auto" w:fill="FFFFFF"/>
            <w:noWrap w:val="0"/>
            <w:vAlign w:val="center"/>
          </w:tcPr>
          <w:p w14:paraId="6C8875D5">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微型</w:t>
            </w:r>
          </w:p>
        </w:tc>
        <w:tc>
          <w:tcPr>
            <w:tcW w:w="6438" w:type="dxa"/>
            <w:tcBorders>
              <w:top w:val="single" w:color="auto" w:sz="4" w:space="0"/>
              <w:left w:val="single" w:color="auto" w:sz="4" w:space="0"/>
              <w:right w:val="single" w:color="auto" w:sz="4" w:space="0"/>
            </w:tcBorders>
            <w:shd w:val="clear" w:color="auto" w:fill="FFFFFF"/>
            <w:noWrap w:val="0"/>
            <w:vAlign w:val="center"/>
          </w:tcPr>
          <w:p w14:paraId="4C5B708E">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从业人员10人以下或营业收入 50万元以下</w:t>
            </w:r>
          </w:p>
        </w:tc>
      </w:tr>
      <w:tr w14:paraId="767C6F2C">
        <w:tblPrEx>
          <w:tblCellMar>
            <w:top w:w="0" w:type="dxa"/>
            <w:left w:w="10" w:type="dxa"/>
            <w:bottom w:w="0" w:type="dxa"/>
            <w:right w:w="10" w:type="dxa"/>
          </w:tblCellMar>
        </w:tblPrEx>
        <w:trPr>
          <w:trHeight w:val="469" w:hRule="exact"/>
          <w:jc w:val="center"/>
        </w:trPr>
        <w:tc>
          <w:tcPr>
            <w:tcW w:w="1604" w:type="dxa"/>
            <w:vMerge w:val="restart"/>
            <w:tcBorders>
              <w:top w:val="single" w:color="auto" w:sz="4" w:space="0"/>
              <w:left w:val="single" w:color="auto" w:sz="4" w:space="0"/>
            </w:tcBorders>
            <w:shd w:val="clear" w:color="auto" w:fill="FFFFFF"/>
            <w:noWrap w:val="0"/>
            <w:vAlign w:val="center"/>
          </w:tcPr>
          <w:p w14:paraId="6C08733A">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房地产开发经营</w:t>
            </w:r>
          </w:p>
        </w:tc>
        <w:tc>
          <w:tcPr>
            <w:tcW w:w="7736" w:type="dxa"/>
            <w:gridSpan w:val="2"/>
            <w:tcBorders>
              <w:top w:val="single" w:color="auto" w:sz="4" w:space="0"/>
              <w:left w:val="single" w:color="auto" w:sz="4" w:space="0"/>
              <w:right w:val="single" w:color="auto" w:sz="4" w:space="0"/>
            </w:tcBorders>
            <w:shd w:val="clear" w:color="auto" w:fill="FFFFFF"/>
            <w:noWrap w:val="0"/>
            <w:vAlign w:val="center"/>
          </w:tcPr>
          <w:p w14:paraId="3615A368">
            <w:pPr>
              <w:pStyle w:val="52"/>
              <w:keepNext w:val="0"/>
              <w:keepLines w:val="0"/>
              <w:suppressLineNumbers w:val="0"/>
              <w:shd w:val="clear" w:color="auto" w:fill="auto"/>
              <w:spacing w:before="0" w:beforeAutospacing="0" w:after="0" w:afterAutospacing="0" w:line="48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营业收入200 000万元以下或资产总额 10 000万元以下的为中小微型企业。</w:t>
            </w:r>
          </w:p>
        </w:tc>
      </w:tr>
      <w:tr w14:paraId="2F3ECB13">
        <w:tblPrEx>
          <w:tblCellMar>
            <w:top w:w="0" w:type="dxa"/>
            <w:left w:w="10" w:type="dxa"/>
            <w:bottom w:w="0" w:type="dxa"/>
            <w:right w:w="10" w:type="dxa"/>
          </w:tblCellMar>
        </w:tblPrEx>
        <w:trPr>
          <w:trHeight w:val="417" w:hRule="exact"/>
          <w:jc w:val="center"/>
        </w:trPr>
        <w:tc>
          <w:tcPr>
            <w:tcW w:w="1604" w:type="dxa"/>
            <w:vMerge w:val="continue"/>
            <w:tcBorders>
              <w:left w:val="single" w:color="auto" w:sz="4" w:space="0"/>
            </w:tcBorders>
            <w:shd w:val="clear" w:color="auto" w:fill="FFFFFF"/>
            <w:noWrap w:val="0"/>
            <w:vAlign w:val="center"/>
          </w:tcPr>
          <w:p w14:paraId="2A157DF5">
            <w:pPr>
              <w:keepNext w:val="0"/>
              <w:keepLines w:val="0"/>
              <w:suppressLineNumbers w:val="0"/>
              <w:spacing w:before="0" w:beforeAutospacing="0" w:after="0" w:afterAutospacing="0"/>
              <w:ind w:left="0" w:right="0"/>
              <w:jc w:val="center"/>
              <w:rPr>
                <w:rFonts w:hint="eastAsia" w:ascii="宋体" w:hAnsi="宋体" w:cs="宋体"/>
                <w:color w:val="000000"/>
                <w:sz w:val="18"/>
                <w:szCs w:val="18"/>
              </w:rPr>
            </w:pPr>
          </w:p>
        </w:tc>
        <w:tc>
          <w:tcPr>
            <w:tcW w:w="1298" w:type="dxa"/>
            <w:tcBorders>
              <w:top w:val="single" w:color="auto" w:sz="4" w:space="0"/>
              <w:left w:val="single" w:color="auto" w:sz="4" w:space="0"/>
            </w:tcBorders>
            <w:shd w:val="clear" w:color="auto" w:fill="FFFFFF"/>
            <w:noWrap w:val="0"/>
            <w:vAlign w:val="center"/>
          </w:tcPr>
          <w:p w14:paraId="7BF4A6C6">
            <w:pPr>
              <w:pStyle w:val="52"/>
              <w:keepNext w:val="0"/>
              <w:keepLines w:val="0"/>
              <w:suppressLineNumbers w:val="0"/>
              <w:shd w:val="clear" w:color="auto" w:fill="auto"/>
              <w:spacing w:before="0" w:beforeAutospacing="0" w:after="0" w:afterAutospacing="0" w:line="48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中型</w:t>
            </w:r>
          </w:p>
        </w:tc>
        <w:tc>
          <w:tcPr>
            <w:tcW w:w="6438" w:type="dxa"/>
            <w:tcBorders>
              <w:top w:val="single" w:color="auto" w:sz="4" w:space="0"/>
              <w:left w:val="single" w:color="auto" w:sz="4" w:space="0"/>
              <w:right w:val="single" w:color="auto" w:sz="4" w:space="0"/>
            </w:tcBorders>
            <w:shd w:val="clear" w:color="auto" w:fill="FFFFFF"/>
            <w:noWrap w:val="0"/>
            <w:vAlign w:val="center"/>
          </w:tcPr>
          <w:p w14:paraId="40778E84">
            <w:pPr>
              <w:pStyle w:val="52"/>
              <w:keepNext w:val="0"/>
              <w:keepLines w:val="0"/>
              <w:suppressLineNumbers w:val="0"/>
              <w:shd w:val="clear" w:color="auto" w:fill="auto"/>
              <w:spacing w:before="0" w:beforeAutospacing="0" w:after="0" w:afterAutospacing="0" w:line="48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营业收入1 000万元一200 000万元，且资产总额 5 000万元一10000力元</w:t>
            </w:r>
          </w:p>
        </w:tc>
      </w:tr>
      <w:tr w14:paraId="119418D3">
        <w:tblPrEx>
          <w:tblCellMar>
            <w:top w:w="0" w:type="dxa"/>
            <w:left w:w="10" w:type="dxa"/>
            <w:bottom w:w="0" w:type="dxa"/>
            <w:right w:w="10" w:type="dxa"/>
          </w:tblCellMar>
        </w:tblPrEx>
        <w:trPr>
          <w:trHeight w:val="410" w:hRule="exact"/>
          <w:jc w:val="center"/>
        </w:trPr>
        <w:tc>
          <w:tcPr>
            <w:tcW w:w="1604" w:type="dxa"/>
            <w:vMerge w:val="continue"/>
            <w:tcBorders>
              <w:left w:val="single" w:color="auto" w:sz="4" w:space="0"/>
            </w:tcBorders>
            <w:shd w:val="clear" w:color="auto" w:fill="FFFFFF"/>
            <w:noWrap w:val="0"/>
            <w:vAlign w:val="center"/>
          </w:tcPr>
          <w:p w14:paraId="0DF54D86">
            <w:pPr>
              <w:keepNext w:val="0"/>
              <w:keepLines w:val="0"/>
              <w:suppressLineNumbers w:val="0"/>
              <w:spacing w:before="0" w:beforeAutospacing="0" w:after="0" w:afterAutospacing="0"/>
              <w:ind w:left="0" w:right="0"/>
              <w:jc w:val="center"/>
              <w:rPr>
                <w:rFonts w:hint="eastAsia" w:ascii="宋体" w:hAnsi="宋体" w:cs="宋体"/>
                <w:color w:val="000000"/>
                <w:sz w:val="18"/>
                <w:szCs w:val="18"/>
              </w:rPr>
            </w:pPr>
          </w:p>
        </w:tc>
        <w:tc>
          <w:tcPr>
            <w:tcW w:w="1298" w:type="dxa"/>
            <w:tcBorders>
              <w:top w:val="single" w:color="auto" w:sz="4" w:space="0"/>
              <w:left w:val="single" w:color="auto" w:sz="4" w:space="0"/>
            </w:tcBorders>
            <w:shd w:val="clear" w:color="auto" w:fill="FFFFFF"/>
            <w:noWrap w:val="0"/>
            <w:vAlign w:val="center"/>
          </w:tcPr>
          <w:p w14:paraId="2FDEE289">
            <w:pPr>
              <w:pStyle w:val="52"/>
              <w:keepNext w:val="0"/>
              <w:keepLines w:val="0"/>
              <w:suppressLineNumbers w:val="0"/>
              <w:shd w:val="clear" w:color="auto" w:fill="auto"/>
              <w:spacing w:before="0" w:beforeAutospacing="0" w:after="0" w:afterAutospacing="0" w:line="48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小型</w:t>
            </w:r>
          </w:p>
        </w:tc>
        <w:tc>
          <w:tcPr>
            <w:tcW w:w="6438" w:type="dxa"/>
            <w:tcBorders>
              <w:top w:val="single" w:color="auto" w:sz="4" w:space="0"/>
              <w:left w:val="single" w:color="auto" w:sz="4" w:space="0"/>
              <w:right w:val="single" w:color="auto" w:sz="4" w:space="0"/>
            </w:tcBorders>
            <w:shd w:val="clear" w:color="auto" w:fill="FFFFFF"/>
            <w:noWrap w:val="0"/>
            <w:vAlign w:val="center"/>
          </w:tcPr>
          <w:p w14:paraId="2E180212">
            <w:pPr>
              <w:pStyle w:val="52"/>
              <w:keepNext w:val="0"/>
              <w:keepLines w:val="0"/>
              <w:suppressLineNumbers w:val="0"/>
              <w:shd w:val="clear" w:color="auto" w:fill="auto"/>
              <w:spacing w:before="0" w:beforeAutospacing="0" w:after="0" w:afterAutospacing="0" w:line="48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营业收入100万元一1 000万元，且资产总额 2 000万元一5 000 力元</w:t>
            </w:r>
          </w:p>
        </w:tc>
      </w:tr>
      <w:tr w14:paraId="4D792144">
        <w:tblPrEx>
          <w:tblCellMar>
            <w:top w:w="0" w:type="dxa"/>
            <w:left w:w="10" w:type="dxa"/>
            <w:bottom w:w="0" w:type="dxa"/>
            <w:right w:w="10" w:type="dxa"/>
          </w:tblCellMar>
        </w:tblPrEx>
        <w:trPr>
          <w:trHeight w:val="412" w:hRule="exact"/>
          <w:jc w:val="center"/>
        </w:trPr>
        <w:tc>
          <w:tcPr>
            <w:tcW w:w="1604" w:type="dxa"/>
            <w:vMerge w:val="continue"/>
            <w:tcBorders>
              <w:left w:val="single" w:color="auto" w:sz="4" w:space="0"/>
            </w:tcBorders>
            <w:shd w:val="clear" w:color="auto" w:fill="FFFFFF"/>
            <w:noWrap w:val="0"/>
            <w:vAlign w:val="center"/>
          </w:tcPr>
          <w:p w14:paraId="6389560A">
            <w:pPr>
              <w:keepNext w:val="0"/>
              <w:keepLines w:val="0"/>
              <w:suppressLineNumbers w:val="0"/>
              <w:spacing w:before="0" w:beforeAutospacing="0" w:after="0" w:afterAutospacing="0"/>
              <w:ind w:left="0" w:right="0"/>
              <w:jc w:val="center"/>
              <w:rPr>
                <w:rFonts w:hint="eastAsia" w:ascii="宋体" w:hAnsi="宋体" w:cs="宋体"/>
                <w:color w:val="000000"/>
                <w:sz w:val="18"/>
                <w:szCs w:val="18"/>
              </w:rPr>
            </w:pPr>
          </w:p>
        </w:tc>
        <w:tc>
          <w:tcPr>
            <w:tcW w:w="1298" w:type="dxa"/>
            <w:tcBorders>
              <w:top w:val="single" w:color="auto" w:sz="4" w:space="0"/>
              <w:left w:val="single" w:color="auto" w:sz="4" w:space="0"/>
            </w:tcBorders>
            <w:shd w:val="clear" w:color="auto" w:fill="FFFFFF"/>
            <w:noWrap w:val="0"/>
            <w:vAlign w:val="center"/>
          </w:tcPr>
          <w:p w14:paraId="067DAB55">
            <w:pPr>
              <w:pStyle w:val="52"/>
              <w:keepNext w:val="0"/>
              <w:keepLines w:val="0"/>
              <w:suppressLineNumbers w:val="0"/>
              <w:shd w:val="clear" w:color="auto" w:fill="auto"/>
              <w:spacing w:before="0" w:beforeAutospacing="0" w:after="0" w:afterAutospacing="0" w:line="48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微型</w:t>
            </w:r>
          </w:p>
        </w:tc>
        <w:tc>
          <w:tcPr>
            <w:tcW w:w="6438" w:type="dxa"/>
            <w:tcBorders>
              <w:top w:val="single" w:color="auto" w:sz="4" w:space="0"/>
              <w:left w:val="single" w:color="auto" w:sz="4" w:space="0"/>
              <w:right w:val="single" w:color="auto" w:sz="4" w:space="0"/>
            </w:tcBorders>
            <w:shd w:val="clear" w:color="auto" w:fill="FFFFFF"/>
            <w:noWrap w:val="0"/>
            <w:vAlign w:val="center"/>
          </w:tcPr>
          <w:p w14:paraId="1048B017">
            <w:pPr>
              <w:pStyle w:val="52"/>
              <w:keepNext w:val="0"/>
              <w:keepLines w:val="0"/>
              <w:suppressLineNumbers w:val="0"/>
              <w:shd w:val="clear" w:color="auto" w:fill="auto"/>
              <w:spacing w:before="0" w:beforeAutospacing="0" w:after="0" w:afterAutospacing="0" w:line="48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营业收入100万元以下或资产总额2 000万元以下的为微型企业</w:t>
            </w:r>
          </w:p>
        </w:tc>
      </w:tr>
      <w:tr w14:paraId="11E66E31">
        <w:tblPrEx>
          <w:tblCellMar>
            <w:top w:w="0" w:type="dxa"/>
            <w:left w:w="10" w:type="dxa"/>
            <w:bottom w:w="0" w:type="dxa"/>
            <w:right w:w="10" w:type="dxa"/>
          </w:tblCellMar>
        </w:tblPrEx>
        <w:trPr>
          <w:trHeight w:val="375" w:hRule="exact"/>
          <w:jc w:val="center"/>
        </w:trPr>
        <w:tc>
          <w:tcPr>
            <w:tcW w:w="1604" w:type="dxa"/>
            <w:vMerge w:val="restart"/>
            <w:tcBorders>
              <w:top w:val="single" w:color="auto" w:sz="4" w:space="0"/>
              <w:left w:val="single" w:color="auto" w:sz="4" w:space="0"/>
            </w:tcBorders>
            <w:shd w:val="clear" w:color="auto" w:fill="FFFFFF"/>
            <w:noWrap w:val="0"/>
            <w:vAlign w:val="center"/>
          </w:tcPr>
          <w:p w14:paraId="091DDCF2">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物业管理</w:t>
            </w:r>
          </w:p>
        </w:tc>
        <w:tc>
          <w:tcPr>
            <w:tcW w:w="7736" w:type="dxa"/>
            <w:gridSpan w:val="2"/>
            <w:tcBorders>
              <w:top w:val="single" w:color="auto" w:sz="4" w:space="0"/>
              <w:left w:val="single" w:color="auto" w:sz="4" w:space="0"/>
              <w:right w:val="single" w:color="auto" w:sz="4" w:space="0"/>
            </w:tcBorders>
            <w:shd w:val="clear" w:color="auto" w:fill="FFFFFF"/>
            <w:noWrap w:val="0"/>
            <w:vAlign w:val="center"/>
          </w:tcPr>
          <w:p w14:paraId="23389BB3">
            <w:pPr>
              <w:pStyle w:val="52"/>
              <w:keepNext w:val="0"/>
              <w:keepLines w:val="0"/>
              <w:suppressLineNumbers w:val="0"/>
              <w:shd w:val="clear" w:color="auto" w:fill="auto"/>
              <w:spacing w:before="0" w:beforeAutospacing="0" w:after="0" w:afterAutospacing="0" w:line="48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从业人员1 000人以下或营业收入 5 000万元以下的为中小微型企业。</w:t>
            </w:r>
          </w:p>
        </w:tc>
      </w:tr>
      <w:tr w14:paraId="1CD9445A">
        <w:tblPrEx>
          <w:tblCellMar>
            <w:top w:w="0" w:type="dxa"/>
            <w:left w:w="10" w:type="dxa"/>
            <w:bottom w:w="0" w:type="dxa"/>
            <w:right w:w="10" w:type="dxa"/>
          </w:tblCellMar>
        </w:tblPrEx>
        <w:trPr>
          <w:trHeight w:val="365" w:hRule="exact"/>
          <w:jc w:val="center"/>
        </w:trPr>
        <w:tc>
          <w:tcPr>
            <w:tcW w:w="1604" w:type="dxa"/>
            <w:vMerge w:val="continue"/>
            <w:tcBorders>
              <w:left w:val="single" w:color="auto" w:sz="4" w:space="0"/>
            </w:tcBorders>
            <w:shd w:val="clear" w:color="auto" w:fill="FFFFFF"/>
            <w:noWrap w:val="0"/>
            <w:vAlign w:val="center"/>
          </w:tcPr>
          <w:p w14:paraId="5E362E5D">
            <w:pPr>
              <w:keepNext w:val="0"/>
              <w:keepLines w:val="0"/>
              <w:suppressLineNumbers w:val="0"/>
              <w:spacing w:before="0" w:beforeAutospacing="0" w:after="0" w:afterAutospacing="0"/>
              <w:ind w:left="0" w:right="0"/>
              <w:jc w:val="center"/>
              <w:rPr>
                <w:rFonts w:hint="eastAsia" w:ascii="宋体" w:hAnsi="宋体" w:cs="宋体"/>
                <w:color w:val="000000"/>
                <w:sz w:val="18"/>
                <w:szCs w:val="18"/>
              </w:rPr>
            </w:pPr>
          </w:p>
        </w:tc>
        <w:tc>
          <w:tcPr>
            <w:tcW w:w="1298" w:type="dxa"/>
            <w:tcBorders>
              <w:top w:val="single" w:color="auto" w:sz="4" w:space="0"/>
              <w:left w:val="single" w:color="auto" w:sz="4" w:space="0"/>
            </w:tcBorders>
            <w:shd w:val="clear" w:color="auto" w:fill="FFFFFF"/>
            <w:noWrap w:val="0"/>
            <w:vAlign w:val="center"/>
          </w:tcPr>
          <w:p w14:paraId="387A6DAD">
            <w:pPr>
              <w:pStyle w:val="52"/>
              <w:keepNext w:val="0"/>
              <w:keepLines w:val="0"/>
              <w:suppressLineNumbers w:val="0"/>
              <w:shd w:val="clear" w:color="auto" w:fill="auto"/>
              <w:spacing w:before="0" w:beforeAutospacing="0" w:after="0" w:afterAutospacing="0" w:line="48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中型</w:t>
            </w:r>
          </w:p>
        </w:tc>
        <w:tc>
          <w:tcPr>
            <w:tcW w:w="6438" w:type="dxa"/>
            <w:tcBorders>
              <w:top w:val="single" w:color="auto" w:sz="4" w:space="0"/>
              <w:left w:val="single" w:color="auto" w:sz="4" w:space="0"/>
              <w:right w:val="single" w:color="auto" w:sz="4" w:space="0"/>
            </w:tcBorders>
            <w:shd w:val="clear" w:color="auto" w:fill="FFFFFF"/>
            <w:noWrap w:val="0"/>
            <w:vAlign w:val="center"/>
          </w:tcPr>
          <w:p w14:paraId="5CA42376">
            <w:pPr>
              <w:pStyle w:val="52"/>
              <w:keepNext w:val="0"/>
              <w:keepLines w:val="0"/>
              <w:suppressLineNumbers w:val="0"/>
              <w:shd w:val="clear" w:color="auto" w:fill="auto"/>
              <w:spacing w:before="0" w:beforeAutospacing="0" w:after="0" w:afterAutospacing="0" w:line="48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 300人一1 000人，且营业收入 1000万元一5 000万元</w:t>
            </w:r>
          </w:p>
        </w:tc>
      </w:tr>
      <w:tr w14:paraId="13096190">
        <w:tblPrEx>
          <w:tblCellMar>
            <w:top w:w="0" w:type="dxa"/>
            <w:left w:w="10" w:type="dxa"/>
            <w:bottom w:w="0" w:type="dxa"/>
            <w:right w:w="10" w:type="dxa"/>
          </w:tblCellMar>
        </w:tblPrEx>
        <w:trPr>
          <w:trHeight w:val="354" w:hRule="exact"/>
          <w:jc w:val="center"/>
        </w:trPr>
        <w:tc>
          <w:tcPr>
            <w:tcW w:w="1604" w:type="dxa"/>
            <w:vMerge w:val="continue"/>
            <w:tcBorders>
              <w:left w:val="single" w:color="auto" w:sz="4" w:space="0"/>
            </w:tcBorders>
            <w:shd w:val="clear" w:color="auto" w:fill="FFFFFF"/>
            <w:noWrap w:val="0"/>
            <w:vAlign w:val="center"/>
          </w:tcPr>
          <w:p w14:paraId="5B8F5203">
            <w:pPr>
              <w:keepNext w:val="0"/>
              <w:keepLines w:val="0"/>
              <w:suppressLineNumbers w:val="0"/>
              <w:spacing w:before="0" w:beforeAutospacing="0" w:after="0" w:afterAutospacing="0"/>
              <w:ind w:left="0" w:right="0"/>
              <w:jc w:val="center"/>
              <w:rPr>
                <w:rFonts w:hint="eastAsia" w:ascii="宋体" w:hAnsi="宋体" w:cs="宋体"/>
                <w:color w:val="000000"/>
                <w:sz w:val="18"/>
                <w:szCs w:val="18"/>
              </w:rPr>
            </w:pPr>
          </w:p>
        </w:tc>
        <w:tc>
          <w:tcPr>
            <w:tcW w:w="1298" w:type="dxa"/>
            <w:tcBorders>
              <w:top w:val="single" w:color="auto" w:sz="4" w:space="0"/>
              <w:left w:val="single" w:color="auto" w:sz="4" w:space="0"/>
            </w:tcBorders>
            <w:shd w:val="clear" w:color="auto" w:fill="FFFFFF"/>
            <w:noWrap w:val="0"/>
            <w:vAlign w:val="center"/>
          </w:tcPr>
          <w:p w14:paraId="31BB59A4">
            <w:pPr>
              <w:pStyle w:val="52"/>
              <w:keepNext w:val="0"/>
              <w:keepLines w:val="0"/>
              <w:suppressLineNumbers w:val="0"/>
              <w:shd w:val="clear" w:color="auto" w:fill="auto"/>
              <w:spacing w:before="0" w:beforeAutospacing="0" w:after="0" w:afterAutospacing="0" w:line="48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小型</w:t>
            </w:r>
          </w:p>
        </w:tc>
        <w:tc>
          <w:tcPr>
            <w:tcW w:w="6438" w:type="dxa"/>
            <w:tcBorders>
              <w:top w:val="single" w:color="auto" w:sz="4" w:space="0"/>
              <w:left w:val="single" w:color="auto" w:sz="4" w:space="0"/>
              <w:right w:val="single" w:color="auto" w:sz="4" w:space="0"/>
            </w:tcBorders>
            <w:shd w:val="clear" w:color="auto" w:fill="FFFFFF"/>
            <w:noWrap w:val="0"/>
            <w:vAlign w:val="center"/>
          </w:tcPr>
          <w:p w14:paraId="0EF1AF56">
            <w:pPr>
              <w:pStyle w:val="52"/>
              <w:keepNext w:val="0"/>
              <w:keepLines w:val="0"/>
              <w:suppressLineNumbers w:val="0"/>
              <w:shd w:val="clear" w:color="auto" w:fill="auto"/>
              <w:spacing w:before="0" w:beforeAutospacing="0" w:after="0" w:afterAutospacing="0" w:line="48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从业人员100人一300人，且营业收入 500万元一1 000万元</w:t>
            </w:r>
          </w:p>
        </w:tc>
      </w:tr>
      <w:tr w14:paraId="4D55EA69">
        <w:tblPrEx>
          <w:tblCellMar>
            <w:top w:w="0" w:type="dxa"/>
            <w:left w:w="10" w:type="dxa"/>
            <w:bottom w:w="0" w:type="dxa"/>
            <w:right w:w="10" w:type="dxa"/>
          </w:tblCellMar>
        </w:tblPrEx>
        <w:trPr>
          <w:trHeight w:val="437" w:hRule="exact"/>
          <w:jc w:val="center"/>
        </w:trPr>
        <w:tc>
          <w:tcPr>
            <w:tcW w:w="1604" w:type="dxa"/>
            <w:vMerge w:val="continue"/>
            <w:tcBorders>
              <w:left w:val="single" w:color="auto" w:sz="4" w:space="0"/>
            </w:tcBorders>
            <w:shd w:val="clear" w:color="auto" w:fill="FFFFFF"/>
            <w:noWrap w:val="0"/>
            <w:vAlign w:val="center"/>
          </w:tcPr>
          <w:p w14:paraId="344C0B2D">
            <w:pPr>
              <w:keepNext w:val="0"/>
              <w:keepLines w:val="0"/>
              <w:suppressLineNumbers w:val="0"/>
              <w:spacing w:before="0" w:beforeAutospacing="0" w:after="0" w:afterAutospacing="0"/>
              <w:ind w:left="0" w:right="0"/>
              <w:jc w:val="center"/>
              <w:rPr>
                <w:rFonts w:hint="eastAsia" w:ascii="宋体" w:hAnsi="宋体" w:cs="宋体"/>
                <w:color w:val="000000"/>
                <w:sz w:val="18"/>
                <w:szCs w:val="18"/>
              </w:rPr>
            </w:pPr>
          </w:p>
        </w:tc>
        <w:tc>
          <w:tcPr>
            <w:tcW w:w="1298" w:type="dxa"/>
            <w:tcBorders>
              <w:top w:val="single" w:color="auto" w:sz="4" w:space="0"/>
              <w:left w:val="single" w:color="auto" w:sz="4" w:space="0"/>
            </w:tcBorders>
            <w:shd w:val="clear" w:color="auto" w:fill="FFFFFF"/>
            <w:noWrap w:val="0"/>
            <w:vAlign w:val="center"/>
          </w:tcPr>
          <w:p w14:paraId="374A25DD">
            <w:pPr>
              <w:pStyle w:val="52"/>
              <w:keepNext w:val="0"/>
              <w:keepLines w:val="0"/>
              <w:suppressLineNumbers w:val="0"/>
              <w:shd w:val="clear" w:color="auto" w:fill="auto"/>
              <w:spacing w:before="0" w:beforeAutospacing="0" w:after="0" w:afterAutospacing="0" w:line="48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微型</w:t>
            </w:r>
          </w:p>
        </w:tc>
        <w:tc>
          <w:tcPr>
            <w:tcW w:w="6438" w:type="dxa"/>
            <w:tcBorders>
              <w:top w:val="single" w:color="auto" w:sz="4" w:space="0"/>
              <w:left w:val="single" w:color="auto" w:sz="4" w:space="0"/>
              <w:right w:val="single" w:color="auto" w:sz="4" w:space="0"/>
            </w:tcBorders>
            <w:shd w:val="clear" w:color="auto" w:fill="FFFFFF"/>
            <w:noWrap w:val="0"/>
            <w:vAlign w:val="center"/>
          </w:tcPr>
          <w:p w14:paraId="0C5D75ED">
            <w:pPr>
              <w:pStyle w:val="52"/>
              <w:keepNext w:val="0"/>
              <w:keepLines w:val="0"/>
              <w:suppressLineNumbers w:val="0"/>
              <w:shd w:val="clear" w:color="auto" w:fill="auto"/>
              <w:spacing w:before="0" w:beforeAutospacing="0" w:after="0" w:afterAutospacing="0" w:line="480" w:lineRule="auto"/>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从业人员100人以下或营业收入 500万元以下</w:t>
            </w:r>
          </w:p>
        </w:tc>
      </w:tr>
      <w:tr w14:paraId="7D0DAF31">
        <w:tblPrEx>
          <w:tblCellMar>
            <w:top w:w="0" w:type="dxa"/>
            <w:left w:w="10" w:type="dxa"/>
            <w:bottom w:w="0" w:type="dxa"/>
            <w:right w:w="10" w:type="dxa"/>
          </w:tblCellMar>
        </w:tblPrEx>
        <w:trPr>
          <w:trHeight w:val="1596" w:hRule="exact"/>
          <w:jc w:val="center"/>
        </w:trPr>
        <w:tc>
          <w:tcPr>
            <w:tcW w:w="1604" w:type="dxa"/>
            <w:vMerge w:val="restart"/>
            <w:tcBorders>
              <w:top w:val="single" w:color="auto" w:sz="4" w:space="0"/>
              <w:left w:val="single" w:color="auto" w:sz="4" w:space="0"/>
            </w:tcBorders>
            <w:shd w:val="clear" w:color="auto" w:fill="FFFFFF"/>
            <w:noWrap w:val="0"/>
            <w:vAlign w:val="center"/>
          </w:tcPr>
          <w:p w14:paraId="51784017">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租赁和商务服务业</w:t>
            </w:r>
          </w:p>
        </w:tc>
        <w:tc>
          <w:tcPr>
            <w:tcW w:w="7736" w:type="dxa"/>
            <w:gridSpan w:val="2"/>
            <w:tcBorders>
              <w:top w:val="single" w:color="auto" w:sz="4" w:space="0"/>
              <w:left w:val="single" w:color="auto" w:sz="4" w:space="0"/>
              <w:right w:val="single" w:color="auto" w:sz="4" w:space="0"/>
            </w:tcBorders>
            <w:shd w:val="clear" w:color="auto" w:fill="FFFFFF"/>
            <w:noWrap w:val="0"/>
            <w:vAlign w:val="center"/>
          </w:tcPr>
          <w:p w14:paraId="58B75CC4">
            <w:pPr>
              <w:pStyle w:val="52"/>
              <w:keepNext w:val="0"/>
              <w:keepLines w:val="0"/>
              <w:suppressLineNumbers w:val="0"/>
              <w:shd w:val="clear" w:color="auto" w:fill="auto"/>
              <w:tabs>
                <w:tab w:val="left" w:pos="10666"/>
              </w:tabs>
              <w:spacing w:before="0" w:beforeAutospacing="0" w:after="0" w:afterAutospacing="0" w:line="499" w:lineRule="exact"/>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从业人员300人以下或资产总额 120 000万元以下的为中小微型企业。 其中， 从业人员100人及以上，且资产总额 8 000万元及以上的为中型企业；从业 人员10人及以上，且资产总额 100万元及以上的为小型企业；从业人员</w:t>
            </w:r>
            <w:r>
              <w:rPr>
                <w:rFonts w:hint="eastAsia" w:ascii="宋体" w:hAnsi="宋体" w:eastAsia="宋体" w:cs="宋体"/>
                <w:color w:val="000000"/>
                <w:spacing w:val="0"/>
                <w:w w:val="100"/>
                <w:position w:val="0"/>
                <w:sz w:val="18"/>
                <w:szCs w:val="18"/>
                <w:shd w:val="clear" w:color="auto" w:fill="auto"/>
              </w:rPr>
              <w:t>人以下或资产总额 100万元以下的为微型企业。</w:t>
            </w:r>
            <w:r>
              <w:rPr>
                <w:rFonts w:hint="eastAsia" w:ascii="宋体" w:hAnsi="宋体" w:eastAsia="宋体" w:cs="宋体"/>
                <w:color w:val="000000"/>
                <w:sz w:val="18"/>
                <w:szCs w:val="18"/>
              </w:rPr>
              <w:tab/>
            </w:r>
            <w:r>
              <w:rPr>
                <w:rFonts w:hint="eastAsia" w:ascii="宋体" w:hAnsi="宋体" w:eastAsia="宋体" w:cs="宋体"/>
                <w:color w:val="000000"/>
                <w:sz w:val="18"/>
                <w:szCs w:val="18"/>
              </w:rPr>
              <w:t>10人以下或资产总额 100万元以下的为微型企业。</w:t>
            </w:r>
          </w:p>
        </w:tc>
      </w:tr>
      <w:tr w14:paraId="50CA49A1">
        <w:tblPrEx>
          <w:tblCellMar>
            <w:top w:w="0" w:type="dxa"/>
            <w:left w:w="10" w:type="dxa"/>
            <w:bottom w:w="0" w:type="dxa"/>
            <w:right w:w="10" w:type="dxa"/>
          </w:tblCellMar>
        </w:tblPrEx>
        <w:trPr>
          <w:trHeight w:val="362" w:hRule="exact"/>
          <w:jc w:val="center"/>
        </w:trPr>
        <w:tc>
          <w:tcPr>
            <w:tcW w:w="1604" w:type="dxa"/>
            <w:vMerge w:val="continue"/>
            <w:tcBorders>
              <w:left w:val="single" w:color="auto" w:sz="4" w:space="0"/>
            </w:tcBorders>
            <w:shd w:val="clear" w:color="auto" w:fill="FFFFFF"/>
            <w:noWrap w:val="0"/>
            <w:vAlign w:val="center"/>
          </w:tcPr>
          <w:p w14:paraId="38873CB4">
            <w:pPr>
              <w:keepNext w:val="0"/>
              <w:keepLines w:val="0"/>
              <w:suppressLineNumbers w:val="0"/>
              <w:spacing w:before="0" w:beforeAutospacing="0" w:after="0" w:afterAutospacing="0"/>
              <w:ind w:left="0" w:right="0"/>
              <w:jc w:val="center"/>
              <w:rPr>
                <w:rFonts w:hint="eastAsia" w:ascii="宋体" w:hAnsi="宋体" w:cs="宋体"/>
                <w:color w:val="000000"/>
                <w:sz w:val="18"/>
                <w:szCs w:val="18"/>
              </w:rPr>
            </w:pPr>
          </w:p>
        </w:tc>
        <w:tc>
          <w:tcPr>
            <w:tcW w:w="1298" w:type="dxa"/>
            <w:tcBorders>
              <w:top w:val="single" w:color="auto" w:sz="4" w:space="0"/>
              <w:left w:val="single" w:color="auto" w:sz="4" w:space="0"/>
            </w:tcBorders>
            <w:shd w:val="clear" w:color="auto" w:fill="FFFFFF"/>
            <w:noWrap w:val="0"/>
            <w:vAlign w:val="bottom"/>
          </w:tcPr>
          <w:p w14:paraId="20EE96B6">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中型</w:t>
            </w:r>
          </w:p>
        </w:tc>
        <w:tc>
          <w:tcPr>
            <w:tcW w:w="6438" w:type="dxa"/>
            <w:tcBorders>
              <w:top w:val="single" w:color="auto" w:sz="4" w:space="0"/>
              <w:left w:val="single" w:color="auto" w:sz="4" w:space="0"/>
              <w:right w:val="single" w:color="auto" w:sz="4" w:space="0"/>
            </w:tcBorders>
            <w:shd w:val="clear" w:color="auto" w:fill="FFFFFF"/>
            <w:noWrap w:val="0"/>
            <w:vAlign w:val="bottom"/>
          </w:tcPr>
          <w:p w14:paraId="054AA10F">
            <w:pPr>
              <w:pStyle w:val="52"/>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从业人员100人一300人，且资产总额 8 000万元一120 000万元</w:t>
            </w:r>
          </w:p>
        </w:tc>
      </w:tr>
      <w:tr w14:paraId="09EF36D0">
        <w:tblPrEx>
          <w:tblCellMar>
            <w:top w:w="0" w:type="dxa"/>
            <w:left w:w="10" w:type="dxa"/>
            <w:bottom w:w="0" w:type="dxa"/>
            <w:right w:w="10" w:type="dxa"/>
          </w:tblCellMar>
        </w:tblPrEx>
        <w:trPr>
          <w:trHeight w:val="336" w:hRule="exact"/>
          <w:jc w:val="center"/>
        </w:trPr>
        <w:tc>
          <w:tcPr>
            <w:tcW w:w="1604" w:type="dxa"/>
            <w:vMerge w:val="continue"/>
            <w:tcBorders>
              <w:left w:val="single" w:color="auto" w:sz="4" w:space="0"/>
            </w:tcBorders>
            <w:shd w:val="clear" w:color="auto" w:fill="FFFFFF"/>
            <w:noWrap w:val="0"/>
            <w:vAlign w:val="center"/>
          </w:tcPr>
          <w:p w14:paraId="004FC994">
            <w:pPr>
              <w:keepNext w:val="0"/>
              <w:keepLines w:val="0"/>
              <w:suppressLineNumbers w:val="0"/>
              <w:spacing w:before="0" w:beforeAutospacing="0" w:after="0" w:afterAutospacing="0"/>
              <w:ind w:left="0" w:right="0"/>
              <w:jc w:val="center"/>
              <w:rPr>
                <w:rFonts w:hint="eastAsia" w:ascii="宋体" w:hAnsi="宋体" w:cs="宋体"/>
                <w:color w:val="000000"/>
                <w:sz w:val="18"/>
                <w:szCs w:val="18"/>
              </w:rPr>
            </w:pPr>
          </w:p>
        </w:tc>
        <w:tc>
          <w:tcPr>
            <w:tcW w:w="1298" w:type="dxa"/>
            <w:tcBorders>
              <w:top w:val="single" w:color="auto" w:sz="4" w:space="0"/>
              <w:left w:val="single" w:color="auto" w:sz="4" w:space="0"/>
            </w:tcBorders>
            <w:shd w:val="clear" w:color="auto" w:fill="FFFFFF"/>
            <w:noWrap w:val="0"/>
            <w:vAlign w:val="bottom"/>
          </w:tcPr>
          <w:p w14:paraId="552B9601">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小型</w:t>
            </w:r>
          </w:p>
        </w:tc>
        <w:tc>
          <w:tcPr>
            <w:tcW w:w="6438" w:type="dxa"/>
            <w:tcBorders>
              <w:top w:val="single" w:color="auto" w:sz="4" w:space="0"/>
              <w:left w:val="single" w:color="auto" w:sz="4" w:space="0"/>
              <w:right w:val="single" w:color="auto" w:sz="4" w:space="0"/>
            </w:tcBorders>
            <w:shd w:val="clear" w:color="auto" w:fill="FFFFFF"/>
            <w:noWrap w:val="0"/>
            <w:vAlign w:val="bottom"/>
          </w:tcPr>
          <w:p w14:paraId="326F1EF7">
            <w:pPr>
              <w:pStyle w:val="52"/>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从业人员10人一100人，且资产总额 100万元一8 000万元</w:t>
            </w:r>
          </w:p>
        </w:tc>
      </w:tr>
      <w:tr w14:paraId="483CB33B">
        <w:tblPrEx>
          <w:tblCellMar>
            <w:top w:w="0" w:type="dxa"/>
            <w:left w:w="10" w:type="dxa"/>
            <w:bottom w:w="0" w:type="dxa"/>
            <w:right w:w="10" w:type="dxa"/>
          </w:tblCellMar>
        </w:tblPrEx>
        <w:trPr>
          <w:trHeight w:val="347" w:hRule="exact"/>
          <w:jc w:val="center"/>
        </w:trPr>
        <w:tc>
          <w:tcPr>
            <w:tcW w:w="1604" w:type="dxa"/>
            <w:vMerge w:val="continue"/>
            <w:tcBorders>
              <w:left w:val="single" w:color="auto" w:sz="4" w:space="0"/>
            </w:tcBorders>
            <w:shd w:val="clear" w:color="auto" w:fill="FFFFFF"/>
            <w:noWrap w:val="0"/>
            <w:vAlign w:val="center"/>
          </w:tcPr>
          <w:p w14:paraId="5D13D8D5">
            <w:pPr>
              <w:keepNext w:val="0"/>
              <w:keepLines w:val="0"/>
              <w:suppressLineNumbers w:val="0"/>
              <w:spacing w:before="0" w:beforeAutospacing="0" w:after="0" w:afterAutospacing="0"/>
              <w:ind w:left="0" w:right="0"/>
              <w:jc w:val="center"/>
              <w:rPr>
                <w:rFonts w:hint="eastAsia" w:ascii="宋体" w:hAnsi="宋体" w:cs="宋体"/>
                <w:color w:val="000000"/>
                <w:sz w:val="18"/>
                <w:szCs w:val="18"/>
              </w:rPr>
            </w:pPr>
          </w:p>
        </w:tc>
        <w:tc>
          <w:tcPr>
            <w:tcW w:w="1298" w:type="dxa"/>
            <w:tcBorders>
              <w:top w:val="single" w:color="auto" w:sz="4" w:space="0"/>
              <w:left w:val="single" w:color="auto" w:sz="4" w:space="0"/>
            </w:tcBorders>
            <w:shd w:val="clear" w:color="auto" w:fill="FFFFFF"/>
            <w:noWrap w:val="0"/>
            <w:vAlign w:val="top"/>
          </w:tcPr>
          <w:p w14:paraId="339309CC">
            <w:pPr>
              <w:pStyle w:val="52"/>
              <w:keepNext w:val="0"/>
              <w:keepLines w:val="0"/>
              <w:suppressLineNumbers w:val="0"/>
              <w:shd w:val="clear" w:color="auto" w:fill="auto"/>
              <w:spacing w:before="10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微型</w:t>
            </w:r>
          </w:p>
        </w:tc>
        <w:tc>
          <w:tcPr>
            <w:tcW w:w="6438" w:type="dxa"/>
            <w:tcBorders>
              <w:top w:val="single" w:color="auto" w:sz="4" w:space="0"/>
              <w:left w:val="single" w:color="auto" w:sz="4" w:space="0"/>
              <w:right w:val="single" w:color="auto" w:sz="4" w:space="0"/>
            </w:tcBorders>
            <w:shd w:val="clear" w:color="auto" w:fill="FFFFFF"/>
            <w:noWrap w:val="0"/>
            <w:vAlign w:val="top"/>
          </w:tcPr>
          <w:p w14:paraId="7FC0D615">
            <w:pPr>
              <w:pStyle w:val="52"/>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从业人员10人以下或资产总额 100万元以下</w:t>
            </w:r>
          </w:p>
        </w:tc>
      </w:tr>
      <w:tr w14:paraId="09BE8670">
        <w:tblPrEx>
          <w:tblCellMar>
            <w:top w:w="0" w:type="dxa"/>
            <w:left w:w="10" w:type="dxa"/>
            <w:bottom w:w="0" w:type="dxa"/>
            <w:right w:w="10" w:type="dxa"/>
          </w:tblCellMar>
        </w:tblPrEx>
        <w:trPr>
          <w:trHeight w:val="350" w:hRule="exact"/>
          <w:jc w:val="center"/>
        </w:trPr>
        <w:tc>
          <w:tcPr>
            <w:tcW w:w="1604" w:type="dxa"/>
            <w:vMerge w:val="restart"/>
            <w:tcBorders>
              <w:top w:val="single" w:color="auto" w:sz="4" w:space="0"/>
              <w:left w:val="single" w:color="auto" w:sz="4" w:space="0"/>
            </w:tcBorders>
            <w:shd w:val="clear" w:color="auto" w:fill="FFFFFF"/>
            <w:noWrap w:val="0"/>
            <w:vAlign w:val="center"/>
          </w:tcPr>
          <w:p w14:paraId="41790491">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其他未列明行业</w:t>
            </w:r>
          </w:p>
        </w:tc>
        <w:tc>
          <w:tcPr>
            <w:tcW w:w="7736" w:type="dxa"/>
            <w:gridSpan w:val="2"/>
            <w:tcBorders>
              <w:top w:val="single" w:color="auto" w:sz="4" w:space="0"/>
              <w:left w:val="single" w:color="auto" w:sz="4" w:space="0"/>
              <w:right w:val="single" w:color="auto" w:sz="4" w:space="0"/>
            </w:tcBorders>
            <w:shd w:val="clear" w:color="auto" w:fill="FFFFFF"/>
            <w:noWrap w:val="0"/>
            <w:vAlign w:val="bottom"/>
          </w:tcPr>
          <w:p w14:paraId="27F94310">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从业人员300人以下的为中小微型企业。</w:t>
            </w:r>
          </w:p>
        </w:tc>
      </w:tr>
      <w:tr w14:paraId="2F246C7F">
        <w:tblPrEx>
          <w:tblCellMar>
            <w:top w:w="0" w:type="dxa"/>
            <w:left w:w="10" w:type="dxa"/>
            <w:bottom w:w="0" w:type="dxa"/>
            <w:right w:w="10" w:type="dxa"/>
          </w:tblCellMar>
        </w:tblPrEx>
        <w:trPr>
          <w:trHeight w:val="305" w:hRule="exact"/>
          <w:jc w:val="center"/>
        </w:trPr>
        <w:tc>
          <w:tcPr>
            <w:tcW w:w="1604" w:type="dxa"/>
            <w:vMerge w:val="continue"/>
            <w:tcBorders>
              <w:left w:val="single" w:color="auto" w:sz="4" w:space="0"/>
            </w:tcBorders>
            <w:shd w:val="clear" w:color="auto" w:fill="FFFFFF"/>
            <w:noWrap w:val="0"/>
            <w:vAlign w:val="center"/>
          </w:tcPr>
          <w:p w14:paraId="16E94E26">
            <w:pPr>
              <w:keepNext w:val="0"/>
              <w:keepLines w:val="0"/>
              <w:suppressLineNumbers w:val="0"/>
              <w:spacing w:before="0" w:beforeAutospacing="0" w:after="0" w:afterAutospacing="0"/>
              <w:ind w:left="0" w:right="0"/>
              <w:jc w:val="center"/>
              <w:rPr>
                <w:rFonts w:hint="eastAsia" w:ascii="宋体" w:hAnsi="宋体" w:cs="宋体"/>
                <w:color w:val="000000"/>
                <w:sz w:val="18"/>
                <w:szCs w:val="18"/>
              </w:rPr>
            </w:pPr>
          </w:p>
        </w:tc>
        <w:tc>
          <w:tcPr>
            <w:tcW w:w="1298" w:type="dxa"/>
            <w:tcBorders>
              <w:top w:val="single" w:color="auto" w:sz="4" w:space="0"/>
              <w:left w:val="single" w:color="auto" w:sz="4" w:space="0"/>
            </w:tcBorders>
            <w:shd w:val="clear" w:color="auto" w:fill="FFFFFF"/>
            <w:noWrap w:val="0"/>
            <w:vAlign w:val="bottom"/>
          </w:tcPr>
          <w:p w14:paraId="02F910EE">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中型</w:t>
            </w:r>
          </w:p>
        </w:tc>
        <w:tc>
          <w:tcPr>
            <w:tcW w:w="6438" w:type="dxa"/>
            <w:tcBorders>
              <w:top w:val="single" w:color="auto" w:sz="4" w:space="0"/>
              <w:left w:val="single" w:color="auto" w:sz="4" w:space="0"/>
              <w:right w:val="single" w:color="auto" w:sz="4" w:space="0"/>
            </w:tcBorders>
            <w:shd w:val="clear" w:color="auto" w:fill="FFFFFF"/>
            <w:noWrap w:val="0"/>
            <w:vAlign w:val="bottom"/>
          </w:tcPr>
          <w:p w14:paraId="56A62DB3">
            <w:pPr>
              <w:pStyle w:val="52"/>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从业人员100— 300人</w:t>
            </w:r>
          </w:p>
        </w:tc>
      </w:tr>
      <w:tr w14:paraId="7C5379AD">
        <w:tblPrEx>
          <w:tblCellMar>
            <w:top w:w="0" w:type="dxa"/>
            <w:left w:w="10" w:type="dxa"/>
            <w:bottom w:w="0" w:type="dxa"/>
            <w:right w:w="10" w:type="dxa"/>
          </w:tblCellMar>
        </w:tblPrEx>
        <w:trPr>
          <w:trHeight w:val="332" w:hRule="exact"/>
          <w:jc w:val="center"/>
        </w:trPr>
        <w:tc>
          <w:tcPr>
            <w:tcW w:w="1604" w:type="dxa"/>
            <w:vMerge w:val="continue"/>
            <w:tcBorders>
              <w:left w:val="single" w:color="auto" w:sz="4" w:space="0"/>
            </w:tcBorders>
            <w:shd w:val="clear" w:color="auto" w:fill="FFFFFF"/>
            <w:noWrap w:val="0"/>
            <w:vAlign w:val="center"/>
          </w:tcPr>
          <w:p w14:paraId="0F29B0EA">
            <w:pPr>
              <w:keepNext w:val="0"/>
              <w:keepLines w:val="0"/>
              <w:suppressLineNumbers w:val="0"/>
              <w:spacing w:before="0" w:beforeAutospacing="0" w:after="0" w:afterAutospacing="0"/>
              <w:ind w:left="0" w:right="0"/>
              <w:jc w:val="center"/>
              <w:rPr>
                <w:rFonts w:hint="eastAsia" w:ascii="宋体" w:hAnsi="宋体" w:cs="宋体"/>
                <w:color w:val="000000"/>
                <w:sz w:val="18"/>
                <w:szCs w:val="18"/>
              </w:rPr>
            </w:pPr>
          </w:p>
        </w:tc>
        <w:tc>
          <w:tcPr>
            <w:tcW w:w="1298" w:type="dxa"/>
            <w:tcBorders>
              <w:top w:val="single" w:color="auto" w:sz="4" w:space="0"/>
              <w:left w:val="single" w:color="auto" w:sz="4" w:space="0"/>
            </w:tcBorders>
            <w:shd w:val="clear" w:color="auto" w:fill="FFFFFF"/>
            <w:noWrap w:val="0"/>
            <w:vAlign w:val="top"/>
          </w:tcPr>
          <w:p w14:paraId="02585384">
            <w:pPr>
              <w:pStyle w:val="52"/>
              <w:keepNext w:val="0"/>
              <w:keepLines w:val="0"/>
              <w:suppressLineNumbers w:val="0"/>
              <w:shd w:val="clear" w:color="auto" w:fill="auto"/>
              <w:spacing w:before="8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小型</w:t>
            </w:r>
          </w:p>
        </w:tc>
        <w:tc>
          <w:tcPr>
            <w:tcW w:w="6438" w:type="dxa"/>
            <w:tcBorders>
              <w:top w:val="single" w:color="auto" w:sz="4" w:space="0"/>
              <w:left w:val="single" w:color="auto" w:sz="4" w:space="0"/>
              <w:right w:val="single" w:color="auto" w:sz="4" w:space="0"/>
            </w:tcBorders>
            <w:shd w:val="clear" w:color="auto" w:fill="FFFFFF"/>
            <w:noWrap w:val="0"/>
            <w:vAlign w:val="top"/>
          </w:tcPr>
          <w:p w14:paraId="173BB17E">
            <w:pPr>
              <w:pStyle w:val="52"/>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从业人员10人一100人</w:t>
            </w:r>
          </w:p>
        </w:tc>
      </w:tr>
      <w:tr w14:paraId="4F764E54">
        <w:tblPrEx>
          <w:tblCellMar>
            <w:top w:w="0" w:type="dxa"/>
            <w:left w:w="10" w:type="dxa"/>
            <w:bottom w:w="0" w:type="dxa"/>
            <w:right w:w="10" w:type="dxa"/>
          </w:tblCellMar>
        </w:tblPrEx>
        <w:trPr>
          <w:trHeight w:val="308" w:hRule="exact"/>
          <w:jc w:val="center"/>
        </w:trPr>
        <w:tc>
          <w:tcPr>
            <w:tcW w:w="1604" w:type="dxa"/>
            <w:vMerge w:val="continue"/>
            <w:tcBorders>
              <w:left w:val="single" w:color="auto" w:sz="4" w:space="0"/>
              <w:bottom w:val="single" w:color="auto" w:sz="4" w:space="0"/>
            </w:tcBorders>
            <w:shd w:val="clear" w:color="auto" w:fill="FFFFFF"/>
            <w:noWrap w:val="0"/>
            <w:vAlign w:val="center"/>
          </w:tcPr>
          <w:p w14:paraId="3B3DBD58">
            <w:pPr>
              <w:keepNext w:val="0"/>
              <w:keepLines w:val="0"/>
              <w:suppressLineNumbers w:val="0"/>
              <w:spacing w:before="0" w:beforeAutospacing="0" w:after="0" w:afterAutospacing="0"/>
              <w:ind w:left="0" w:right="0"/>
              <w:jc w:val="center"/>
              <w:rPr>
                <w:rFonts w:hint="eastAsia" w:ascii="宋体" w:hAnsi="宋体" w:cs="宋体"/>
                <w:color w:val="000000"/>
                <w:sz w:val="18"/>
                <w:szCs w:val="18"/>
              </w:rPr>
            </w:pPr>
          </w:p>
        </w:tc>
        <w:tc>
          <w:tcPr>
            <w:tcW w:w="1298" w:type="dxa"/>
            <w:tcBorders>
              <w:top w:val="single" w:color="auto" w:sz="4" w:space="0"/>
              <w:left w:val="single" w:color="auto" w:sz="4" w:space="0"/>
              <w:bottom w:val="single" w:color="auto" w:sz="4" w:space="0"/>
            </w:tcBorders>
            <w:shd w:val="clear" w:color="auto" w:fill="FFFFFF"/>
            <w:noWrap w:val="0"/>
            <w:vAlign w:val="bottom"/>
          </w:tcPr>
          <w:p w14:paraId="33CC1CC9">
            <w:pPr>
              <w:pStyle w:val="52"/>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微型</w:t>
            </w:r>
          </w:p>
        </w:tc>
        <w:tc>
          <w:tcPr>
            <w:tcW w:w="6438" w:type="dxa"/>
            <w:tcBorders>
              <w:top w:val="single" w:color="auto" w:sz="4" w:space="0"/>
              <w:left w:val="single" w:color="auto" w:sz="4" w:space="0"/>
              <w:bottom w:val="single" w:color="auto" w:sz="4" w:space="0"/>
              <w:right w:val="single" w:color="auto" w:sz="4" w:space="0"/>
            </w:tcBorders>
            <w:shd w:val="clear" w:color="auto" w:fill="FFFFFF"/>
            <w:noWrap w:val="0"/>
            <w:vAlign w:val="bottom"/>
          </w:tcPr>
          <w:p w14:paraId="19D72457">
            <w:pPr>
              <w:pStyle w:val="52"/>
              <w:keepNext w:val="0"/>
              <w:keepLines w:val="0"/>
              <w:suppressLineNumbers w:val="0"/>
              <w:shd w:val="clear" w:color="auto" w:fill="auto"/>
              <w:spacing w:before="0" w:beforeAutospacing="0" w:after="0" w:afterAutospacing="0"/>
              <w:ind w:left="0" w:right="0" w:firstLine="140"/>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从业人员10人以下</w:t>
            </w:r>
          </w:p>
        </w:tc>
      </w:tr>
    </w:tbl>
    <w:p w14:paraId="2ADA7F6D">
      <w:pPr>
        <w:spacing w:line="1" w:lineRule="exact"/>
        <w:rPr>
          <w:rFonts w:hint="eastAsia" w:ascii="宋体" w:hAnsi="宋体" w:eastAsia="宋体" w:cs="宋体"/>
          <w:color w:val="auto"/>
          <w:sz w:val="24"/>
          <w:szCs w:val="24"/>
          <w:highlight w:val="none"/>
        </w:rPr>
        <w:sectPr>
          <w:pgSz w:w="11906" w:h="16838"/>
          <w:pgMar w:top="1440" w:right="1489"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5A300DAE">
      <w:pPr>
        <w:pStyle w:val="7"/>
        <w:numPr>
          <w:ilvl w:val="0"/>
          <w:numId w:val="0"/>
        </w:numPr>
        <w:spacing w:before="0" w:after="0" w:line="500" w:lineRule="exact"/>
        <w:jc w:val="center"/>
        <w:rPr>
          <w:rFonts w:hint="eastAsia" w:ascii="仿宋_GB2312" w:hAnsi="仿宋_GB2312" w:eastAsia="仿宋_GB2312" w:cs="仿宋_GB2312"/>
          <w:b/>
          <w:bCs/>
          <w:i w:val="0"/>
          <w:iCs w:val="0"/>
          <w:caps w:val="0"/>
          <w:color w:val="000000"/>
          <w:spacing w:val="0"/>
          <w:kern w:val="0"/>
          <w:sz w:val="32"/>
          <w:szCs w:val="32"/>
          <w:lang w:val="en-US" w:eastAsia="zh-CN" w:bidi="ar"/>
        </w:rPr>
      </w:pPr>
      <w:bookmarkStart w:id="32" w:name="_Toc503212208"/>
      <w:bookmarkStart w:id="33" w:name="_Toc23498"/>
      <w:bookmarkStart w:id="34" w:name="_Toc18108"/>
      <w:bookmarkStart w:id="35" w:name="_Toc521014776"/>
      <w:bookmarkStart w:id="36" w:name="_Toc67"/>
      <w:r>
        <w:rPr>
          <w:rFonts w:hint="eastAsia" w:ascii="仿宋_GB2312" w:hAnsi="仿宋_GB2312" w:eastAsia="仿宋_GB2312" w:cs="仿宋_GB2312"/>
          <w:b/>
          <w:bCs/>
          <w:i w:val="0"/>
          <w:iCs w:val="0"/>
          <w:caps w:val="0"/>
          <w:color w:val="000000"/>
          <w:spacing w:val="0"/>
          <w:kern w:val="0"/>
          <w:sz w:val="32"/>
          <w:szCs w:val="32"/>
          <w:lang w:val="en-US" w:eastAsia="zh-CN" w:bidi="ar"/>
        </w:rPr>
        <w:t>一、总  则</w:t>
      </w:r>
      <w:bookmarkEnd w:id="32"/>
      <w:bookmarkEnd w:id="33"/>
      <w:bookmarkEnd w:id="34"/>
      <w:bookmarkEnd w:id="35"/>
      <w:bookmarkEnd w:id="36"/>
    </w:p>
    <w:p w14:paraId="77A2AAC2">
      <w:pPr>
        <w:spacing w:line="500" w:lineRule="exact"/>
        <w:rPr>
          <w:rFonts w:hint="eastAsia" w:ascii="仿宋" w:hAnsi="仿宋" w:eastAsia="仿宋" w:cs="仿宋"/>
          <w:b/>
          <w:bCs/>
          <w:sz w:val="26"/>
          <w:szCs w:val="26"/>
        </w:rPr>
      </w:pPr>
      <w:r>
        <w:rPr>
          <w:rFonts w:hint="eastAsia" w:ascii="仿宋_GB2312" w:hAnsi="仿宋_GB2312" w:eastAsia="仿宋_GB2312" w:cs="仿宋_GB2312"/>
          <w:b/>
          <w:bCs/>
          <w:i w:val="0"/>
          <w:iCs w:val="0"/>
          <w:caps w:val="0"/>
          <w:color w:val="000000"/>
          <w:spacing w:val="0"/>
          <w:kern w:val="0"/>
          <w:sz w:val="26"/>
          <w:szCs w:val="26"/>
          <w:lang w:val="en-US" w:eastAsia="zh-CN" w:bidi="ar"/>
        </w:rPr>
        <w:t>（一） 适用范围</w:t>
      </w:r>
    </w:p>
    <w:p w14:paraId="250CFD01">
      <w:pPr>
        <w:snapToGrid w:val="0"/>
        <w:spacing w:line="500" w:lineRule="exact"/>
        <w:ind w:firstLine="520" w:firstLineChars="200"/>
        <w:jc w:val="left"/>
        <w:rPr>
          <w:rFonts w:hint="eastAsia" w:ascii="仿宋" w:hAnsi="仿宋" w:eastAsia="仿宋" w:cs="仿宋"/>
          <w:sz w:val="26"/>
          <w:szCs w:val="26"/>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本招标文件适用于本项目的招标、投标、评标、定标、验收、合同履约、付款等行为（法律、法规另有规定的，从其规定）。</w:t>
      </w:r>
    </w:p>
    <w:p w14:paraId="5A30F30B">
      <w:pPr>
        <w:spacing w:line="500" w:lineRule="exact"/>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（二）定义</w:t>
      </w:r>
    </w:p>
    <w:p w14:paraId="3B1B9EDD">
      <w:pPr>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1.招标采购单位系指组织本次招标的代理机构（“招标人”）和采购单位。</w:t>
      </w:r>
    </w:p>
    <w:p w14:paraId="5641E4D1">
      <w:pPr>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2.“投标人”系指向招标方提交投标文件的单位或个人。</w:t>
      </w:r>
    </w:p>
    <w:p w14:paraId="14175B8D">
      <w:pPr>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3.“产品”系指供方按招标文件规定，须向招标人提供的一切货物、设备、保险、税金、备品备件、工具、手册及其它有关技术资料和材料。</w:t>
      </w:r>
    </w:p>
    <w:p w14:paraId="4878BCD6">
      <w:pPr>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4.“服务”系指招标文件规定投标人须承担的技术协助、校准、培训、技术指导以及其他类似的义务。</w:t>
      </w:r>
    </w:p>
    <w:p w14:paraId="5B755A58">
      <w:pPr>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5.“项目”系指投标人按招标文件规定向招标人提供的产品和服务。</w:t>
      </w:r>
    </w:p>
    <w:p w14:paraId="6552B60D">
      <w:pPr>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6.“书面形式”包括信函、传真、电报等。</w:t>
      </w:r>
    </w:p>
    <w:p w14:paraId="59F65DF9">
      <w:pPr>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7.“▲”系指实质性要求条款。</w:t>
      </w:r>
    </w:p>
    <w:p w14:paraId="61959BBF">
      <w:pPr>
        <w:spacing w:line="500" w:lineRule="exact"/>
        <w:rPr>
          <w:rFonts w:hint="eastAsia" w:ascii="仿宋" w:hAnsi="仿宋" w:eastAsia="仿宋" w:cs="仿宋"/>
          <w:b/>
          <w:bCs/>
          <w:sz w:val="24"/>
        </w:rPr>
      </w:pPr>
      <w:r>
        <w:rPr>
          <w:rFonts w:hint="eastAsia" w:ascii="仿宋" w:hAnsi="仿宋" w:eastAsia="仿宋" w:cs="仿宋"/>
          <w:b/>
          <w:bCs/>
          <w:sz w:val="24"/>
        </w:rPr>
        <w:t xml:space="preserve"> </w:t>
      </w:r>
      <w:r>
        <w:rPr>
          <w:rFonts w:hint="eastAsia" w:ascii="仿宋_GB2312" w:hAnsi="仿宋_GB2312" w:eastAsia="仿宋_GB2312" w:cs="仿宋_GB2312"/>
          <w:b/>
          <w:bCs/>
          <w:i w:val="0"/>
          <w:iCs w:val="0"/>
          <w:caps w:val="0"/>
          <w:color w:val="000000"/>
          <w:spacing w:val="0"/>
          <w:kern w:val="0"/>
          <w:sz w:val="26"/>
          <w:szCs w:val="26"/>
          <w:lang w:val="en-US" w:eastAsia="zh-CN" w:bidi="ar"/>
        </w:rPr>
        <w:t>（三）招标方式</w:t>
      </w:r>
    </w:p>
    <w:p w14:paraId="7EC2C78C">
      <w:pPr>
        <w:snapToGrid w:val="0"/>
        <w:spacing w:line="500" w:lineRule="exact"/>
        <w:ind w:firstLine="520" w:firstLineChars="200"/>
        <w:jc w:val="left"/>
        <w:rPr>
          <w:rFonts w:hint="eastAsia" w:ascii="仿宋" w:hAnsi="仿宋" w:eastAsia="仿宋" w:cs="仿宋"/>
          <w:sz w:val="24"/>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本次招标采用公开招标方式进行。</w:t>
      </w:r>
    </w:p>
    <w:p w14:paraId="2ECD22AD">
      <w:pPr>
        <w:spacing w:line="500" w:lineRule="exact"/>
        <w:rPr>
          <w:rFonts w:hint="eastAsia" w:ascii="仿宋" w:hAnsi="仿宋" w:eastAsia="仿宋" w:cs="仿宋"/>
          <w:b/>
          <w:bCs/>
          <w:sz w:val="24"/>
        </w:rPr>
      </w:pPr>
      <w:r>
        <w:rPr>
          <w:rFonts w:hint="eastAsia" w:ascii="仿宋" w:hAnsi="仿宋" w:eastAsia="仿宋" w:cs="仿宋"/>
          <w:b/>
          <w:bCs/>
          <w:sz w:val="24"/>
        </w:rPr>
        <w:t xml:space="preserve"> </w:t>
      </w:r>
      <w:r>
        <w:rPr>
          <w:rFonts w:hint="eastAsia" w:ascii="仿宋_GB2312" w:hAnsi="仿宋_GB2312" w:eastAsia="仿宋_GB2312" w:cs="仿宋_GB2312"/>
          <w:b/>
          <w:bCs/>
          <w:i w:val="0"/>
          <w:iCs w:val="0"/>
          <w:caps w:val="0"/>
          <w:color w:val="000000"/>
          <w:spacing w:val="0"/>
          <w:kern w:val="0"/>
          <w:sz w:val="26"/>
          <w:szCs w:val="26"/>
          <w:lang w:val="en-US" w:eastAsia="zh-CN" w:bidi="ar"/>
        </w:rPr>
        <w:t>（四）投标报名</w:t>
      </w:r>
    </w:p>
    <w:p w14:paraId="1806EBBD">
      <w:pPr>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有意参加本次招标项目的投标企业，在符合招标公告报名条件的前提下，自行至</w:t>
      </w:r>
      <w:r>
        <w:rPr>
          <w:rFonts w:hint="eastAsia" w:ascii="仿宋_GB2312" w:hAnsi="仿宋_GB2312" w:eastAsia="仿宋_GB2312" w:cs="仿宋_GB2312"/>
          <w:b w:val="0"/>
          <w:bCs w:val="0"/>
          <w:i w:val="0"/>
          <w:iCs w:val="0"/>
          <w:caps w:val="0"/>
          <w:color w:val="000000"/>
          <w:spacing w:val="0"/>
          <w:kern w:val="0"/>
          <w:sz w:val="26"/>
          <w:szCs w:val="26"/>
          <w:u w:val="single"/>
          <w:lang w:val="en-US" w:eastAsia="zh-CN" w:bidi="ar"/>
        </w:rPr>
        <w:t>新疆政府采购网</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获取招标文件并参与投标，在开标时一并进行资格审查。</w:t>
      </w:r>
    </w:p>
    <w:p w14:paraId="30E3D1C6">
      <w:pPr>
        <w:spacing w:line="500" w:lineRule="exact"/>
        <w:rPr>
          <w:rFonts w:hint="eastAsia" w:ascii="仿宋" w:hAnsi="仿宋" w:eastAsia="仿宋" w:cs="仿宋"/>
          <w:b/>
          <w:bCs/>
          <w:sz w:val="24"/>
        </w:rPr>
      </w:pPr>
      <w:r>
        <w:rPr>
          <w:rFonts w:hint="eastAsia" w:ascii="仿宋" w:hAnsi="仿宋" w:eastAsia="仿宋" w:cs="仿宋"/>
          <w:b/>
          <w:bCs/>
          <w:sz w:val="24"/>
        </w:rPr>
        <w:t xml:space="preserve">  </w:t>
      </w:r>
      <w:r>
        <w:rPr>
          <w:rFonts w:hint="eastAsia" w:ascii="仿宋_GB2312" w:hAnsi="仿宋_GB2312" w:eastAsia="仿宋_GB2312" w:cs="仿宋_GB2312"/>
          <w:b/>
          <w:bCs/>
          <w:i w:val="0"/>
          <w:iCs w:val="0"/>
          <w:caps w:val="0"/>
          <w:color w:val="000000"/>
          <w:spacing w:val="0"/>
          <w:kern w:val="0"/>
          <w:sz w:val="26"/>
          <w:szCs w:val="26"/>
          <w:lang w:val="en-US" w:eastAsia="zh-CN" w:bidi="ar"/>
        </w:rPr>
        <w:t>（五）投标费用</w:t>
      </w:r>
    </w:p>
    <w:p w14:paraId="31210DA6">
      <w:pPr>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不论投标结果如何，投标人均应自行承担所有与投标有关的全部费用。</w:t>
      </w:r>
    </w:p>
    <w:p w14:paraId="372B342E">
      <w:pPr>
        <w:spacing w:line="500" w:lineRule="exact"/>
        <w:rPr>
          <w:rFonts w:hint="eastAsia" w:ascii="仿宋" w:hAnsi="仿宋" w:eastAsia="仿宋" w:cs="仿宋"/>
          <w:b/>
          <w:bCs/>
          <w:sz w:val="24"/>
        </w:rPr>
      </w:pPr>
      <w:r>
        <w:rPr>
          <w:rFonts w:hint="eastAsia" w:ascii="仿宋" w:hAnsi="仿宋" w:eastAsia="仿宋" w:cs="仿宋"/>
          <w:b/>
          <w:bCs/>
          <w:sz w:val="24"/>
        </w:rPr>
        <w:t xml:space="preserve">  </w:t>
      </w:r>
      <w:r>
        <w:rPr>
          <w:rFonts w:hint="eastAsia" w:ascii="仿宋_GB2312" w:hAnsi="仿宋_GB2312" w:eastAsia="仿宋_GB2312" w:cs="仿宋_GB2312"/>
          <w:b/>
          <w:bCs/>
          <w:i w:val="0"/>
          <w:iCs w:val="0"/>
          <w:caps w:val="0"/>
          <w:color w:val="000000"/>
          <w:spacing w:val="0"/>
          <w:kern w:val="0"/>
          <w:sz w:val="26"/>
          <w:szCs w:val="26"/>
          <w:lang w:val="en-US" w:eastAsia="zh-CN" w:bidi="ar"/>
        </w:rPr>
        <w:t>（六）联合体投标</w:t>
      </w:r>
    </w:p>
    <w:p w14:paraId="131F5006">
      <w:pPr>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本项目不接受联合体投标。</w:t>
      </w:r>
    </w:p>
    <w:p w14:paraId="256141D7">
      <w:pPr>
        <w:spacing w:line="500" w:lineRule="exact"/>
        <w:rPr>
          <w:rFonts w:hint="eastAsia" w:ascii="仿宋" w:hAnsi="仿宋" w:eastAsia="仿宋" w:cs="仿宋"/>
          <w:b/>
          <w:bCs/>
          <w:sz w:val="24"/>
        </w:rPr>
      </w:pPr>
      <w:r>
        <w:rPr>
          <w:rFonts w:hint="eastAsia" w:ascii="仿宋" w:hAnsi="仿宋" w:eastAsia="仿宋" w:cs="仿宋"/>
          <w:b/>
          <w:bCs/>
          <w:sz w:val="24"/>
        </w:rPr>
        <w:t xml:space="preserve">  </w:t>
      </w:r>
      <w:r>
        <w:rPr>
          <w:rFonts w:hint="eastAsia" w:ascii="仿宋_GB2312" w:hAnsi="仿宋_GB2312" w:eastAsia="仿宋_GB2312" w:cs="仿宋_GB2312"/>
          <w:b/>
          <w:bCs/>
          <w:i w:val="0"/>
          <w:iCs w:val="0"/>
          <w:caps w:val="0"/>
          <w:color w:val="000000"/>
          <w:spacing w:val="0"/>
          <w:kern w:val="0"/>
          <w:sz w:val="26"/>
          <w:szCs w:val="26"/>
          <w:lang w:val="en-US" w:eastAsia="zh-CN" w:bidi="ar"/>
        </w:rPr>
        <w:t>（七）转包与分包</w:t>
      </w:r>
    </w:p>
    <w:p w14:paraId="1477405A">
      <w:pPr>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1.本项目不允许转包。</w:t>
      </w:r>
    </w:p>
    <w:p w14:paraId="5AA90362">
      <w:pPr>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2.本项目不可以分包。</w:t>
      </w:r>
    </w:p>
    <w:p w14:paraId="0ADB6EBD">
      <w:pPr>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3.投标人应仔细阅读招标文件的所有内容，按照招标文件的要求提交投标文件，并对所提供的全部资料的真实性承担法律责任。</w:t>
      </w:r>
    </w:p>
    <w:p w14:paraId="6E427412">
      <w:pPr>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4.投标人在投标活动中提供任何虚假材料,其投标无效，并报监管部门查处；中标后发现的,中标人须依照《中华人民共和国消费者权益保护法》第49条之规定双倍赔偿招标人，且民事赔偿并不免除违法投标人的行政与刑事责任。</w:t>
      </w:r>
    </w:p>
    <w:p w14:paraId="53E1AD57">
      <w:pPr>
        <w:spacing w:line="500" w:lineRule="exact"/>
        <w:rPr>
          <w:rFonts w:hint="eastAsia" w:ascii="仿宋" w:hAnsi="仿宋" w:eastAsia="仿宋" w:cs="仿宋"/>
          <w:b/>
          <w:bCs/>
          <w:sz w:val="24"/>
        </w:rPr>
      </w:pPr>
      <w:r>
        <w:rPr>
          <w:rFonts w:hint="eastAsia" w:ascii="仿宋" w:hAnsi="仿宋" w:eastAsia="仿宋" w:cs="仿宋"/>
          <w:b/>
          <w:bCs/>
          <w:sz w:val="24"/>
        </w:rPr>
        <w:t xml:space="preserve">  </w:t>
      </w:r>
      <w:r>
        <w:rPr>
          <w:rFonts w:hint="eastAsia" w:ascii="仿宋_GB2312" w:hAnsi="仿宋_GB2312" w:eastAsia="仿宋_GB2312" w:cs="仿宋_GB2312"/>
          <w:b/>
          <w:bCs/>
          <w:i w:val="0"/>
          <w:iCs w:val="0"/>
          <w:caps w:val="0"/>
          <w:color w:val="000000"/>
          <w:spacing w:val="0"/>
          <w:kern w:val="0"/>
          <w:sz w:val="26"/>
          <w:szCs w:val="26"/>
          <w:lang w:val="en-US" w:eastAsia="zh-CN" w:bidi="ar"/>
        </w:rPr>
        <w:t>（八）质疑和投诉</w:t>
      </w:r>
    </w:p>
    <w:p w14:paraId="5A6FBF94">
      <w:pPr>
        <w:pStyle w:val="15"/>
        <w:snapToGrid w:val="0"/>
        <w:spacing w:line="500" w:lineRule="exact"/>
        <w:ind w:firstLine="520" w:firstLineChars="2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投标人认为招标文件、招标过程或中标结果使自己的合法权益受到损害，应当在知道或者应知其权益受到损害之日起七个工作日内，以书面形式向招标人、招标代理机构提出质疑。投标人对招标采购单位质疑答复不满意或者招标采购单位未在规定时间内作出答复的，可以在答复期满后十五个工作日内向招标人投诉。</w:t>
      </w:r>
    </w:p>
    <w:p w14:paraId="0E5C08FB">
      <w:pPr>
        <w:pStyle w:val="15"/>
        <w:snapToGrid w:val="0"/>
        <w:spacing w:line="500" w:lineRule="exact"/>
        <w:ind w:firstLine="520" w:firstLineChars="2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质疑、投诉应当采用书面形式，质疑书、投诉书均应明确阐述招标文件、招标过程或中标结果中使自己合法权益受到损害的实质性内容，提供相关事实、依据和证据及其来源或线索，便于有关单位调查、答复和处理。</w:t>
      </w:r>
      <w:bookmarkStart w:id="37" w:name="_Toc521014777"/>
      <w:bookmarkStart w:id="38" w:name="_Toc30350"/>
      <w:bookmarkStart w:id="39" w:name="_Toc503212209"/>
      <w:bookmarkStart w:id="40" w:name="_Toc32144"/>
      <w:bookmarkStart w:id="41" w:name="_Toc31674"/>
    </w:p>
    <w:p w14:paraId="09C6C2FA">
      <w:pPr>
        <w:pStyle w:val="15"/>
        <w:snapToGrid w:val="0"/>
        <w:spacing w:line="500" w:lineRule="exact"/>
        <w:jc w:val="center"/>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二、招标文件</w:t>
      </w:r>
      <w:bookmarkEnd w:id="37"/>
      <w:bookmarkEnd w:id="38"/>
      <w:bookmarkEnd w:id="39"/>
      <w:bookmarkEnd w:id="40"/>
      <w:bookmarkEnd w:id="41"/>
    </w:p>
    <w:p w14:paraId="391A31B4">
      <w:pPr>
        <w:snapToGrid w:val="0"/>
        <w:spacing w:line="500" w:lineRule="exact"/>
        <w:ind w:firstLine="261" w:firstLineChars="100"/>
        <w:jc w:val="both"/>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（一）招标文件的构成。本招标文件由以下部份组成：</w:t>
      </w:r>
    </w:p>
    <w:p w14:paraId="3CEDF810">
      <w:pPr>
        <w:pStyle w:val="18"/>
        <w:tabs>
          <w:tab w:val="left" w:pos="840"/>
          <w:tab w:val="right" w:leader="dot" w:pos="9008"/>
        </w:tabs>
        <w:spacing w:before="0" w:after="0"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fldChar w:fldCharType="begin"/>
      </w:r>
      <w:r>
        <w:rPr>
          <w:rFonts w:hint="eastAsia" w:ascii="仿宋_GB2312" w:hAnsi="仿宋_GB2312" w:eastAsia="仿宋_GB2312" w:cs="仿宋_GB2312"/>
          <w:b w:val="0"/>
          <w:bCs w:val="0"/>
          <w:i w:val="0"/>
          <w:iCs w:val="0"/>
          <w:caps w:val="0"/>
          <w:color w:val="000000"/>
          <w:spacing w:val="0"/>
          <w:kern w:val="0"/>
          <w:sz w:val="26"/>
          <w:szCs w:val="26"/>
          <w:lang w:val="en-US" w:eastAsia="zh-CN" w:bidi="ar"/>
        </w:rPr>
        <w:instrText xml:space="preserve"> HYPERLINK \l "_Toc521014774" </w:instrText>
      </w:r>
      <w:r>
        <w:rPr>
          <w:rFonts w:hint="eastAsia" w:ascii="仿宋_GB2312" w:hAnsi="仿宋_GB2312" w:eastAsia="仿宋_GB2312" w:cs="仿宋_GB2312"/>
          <w:b w:val="0"/>
          <w:bCs w:val="0"/>
          <w:i w:val="0"/>
          <w:iCs w:val="0"/>
          <w:caps w:val="0"/>
          <w:color w:val="000000"/>
          <w:spacing w:val="0"/>
          <w:kern w:val="0"/>
          <w:sz w:val="26"/>
          <w:szCs w:val="26"/>
          <w:lang w:val="en-US" w:eastAsia="zh-CN" w:bidi="ar"/>
        </w:rPr>
        <w:fldChar w:fldCharType="separate"/>
      </w:r>
      <w:r>
        <w:rPr>
          <w:rFonts w:hint="eastAsia" w:ascii="仿宋_GB2312" w:hAnsi="仿宋_GB2312" w:eastAsia="仿宋_GB2312" w:cs="仿宋_GB2312"/>
          <w:b w:val="0"/>
          <w:bCs w:val="0"/>
          <w:i w:val="0"/>
          <w:iCs w:val="0"/>
          <w:caps w:val="0"/>
          <w:color w:val="000000"/>
          <w:spacing w:val="0"/>
          <w:kern w:val="0"/>
          <w:sz w:val="26"/>
          <w:szCs w:val="26"/>
          <w:lang w:val="en-US" w:eastAsia="zh-CN" w:bidi="ar"/>
        </w:rPr>
        <w:t>第一章  招标公告</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fldChar w:fldCharType="end"/>
      </w:r>
    </w:p>
    <w:p w14:paraId="404FCBCD">
      <w:pPr>
        <w:pStyle w:val="18"/>
        <w:tabs>
          <w:tab w:val="left" w:pos="840"/>
          <w:tab w:val="right" w:leader="dot" w:pos="9008"/>
        </w:tabs>
        <w:spacing w:before="0" w:after="0"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fldChar w:fldCharType="begin"/>
      </w:r>
      <w:r>
        <w:rPr>
          <w:rFonts w:hint="eastAsia" w:ascii="仿宋_GB2312" w:hAnsi="仿宋_GB2312" w:eastAsia="仿宋_GB2312" w:cs="仿宋_GB2312"/>
          <w:b w:val="0"/>
          <w:bCs w:val="0"/>
          <w:i w:val="0"/>
          <w:iCs w:val="0"/>
          <w:caps w:val="0"/>
          <w:color w:val="000000"/>
          <w:spacing w:val="0"/>
          <w:kern w:val="0"/>
          <w:sz w:val="26"/>
          <w:szCs w:val="26"/>
          <w:lang w:val="en-US" w:eastAsia="zh-CN" w:bidi="ar"/>
        </w:rPr>
        <w:instrText xml:space="preserve"> HYPERLINK \l "_Toc521014775" </w:instrText>
      </w:r>
      <w:r>
        <w:rPr>
          <w:rFonts w:hint="eastAsia" w:ascii="仿宋_GB2312" w:hAnsi="仿宋_GB2312" w:eastAsia="仿宋_GB2312" w:cs="仿宋_GB2312"/>
          <w:b w:val="0"/>
          <w:bCs w:val="0"/>
          <w:i w:val="0"/>
          <w:iCs w:val="0"/>
          <w:caps w:val="0"/>
          <w:color w:val="000000"/>
          <w:spacing w:val="0"/>
          <w:kern w:val="0"/>
          <w:sz w:val="26"/>
          <w:szCs w:val="26"/>
          <w:lang w:val="en-US" w:eastAsia="zh-CN" w:bidi="ar"/>
        </w:rPr>
        <w:fldChar w:fldCharType="separate"/>
      </w:r>
      <w:r>
        <w:rPr>
          <w:rFonts w:hint="eastAsia" w:ascii="仿宋_GB2312" w:hAnsi="仿宋_GB2312" w:eastAsia="仿宋_GB2312" w:cs="仿宋_GB2312"/>
          <w:b w:val="0"/>
          <w:bCs w:val="0"/>
          <w:i w:val="0"/>
          <w:iCs w:val="0"/>
          <w:caps w:val="0"/>
          <w:color w:val="000000"/>
          <w:spacing w:val="0"/>
          <w:kern w:val="0"/>
          <w:sz w:val="26"/>
          <w:szCs w:val="26"/>
          <w:lang w:val="en-US" w:eastAsia="zh-CN" w:bidi="ar"/>
        </w:rPr>
        <w:t>第二章  投标人须知</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fldChar w:fldCharType="end"/>
      </w:r>
    </w:p>
    <w:p w14:paraId="4AB0179B">
      <w:pPr>
        <w:pStyle w:val="18"/>
        <w:tabs>
          <w:tab w:val="left" w:pos="840"/>
          <w:tab w:val="right" w:leader="dot" w:pos="9008"/>
        </w:tabs>
        <w:spacing w:before="0" w:after="0"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fldChar w:fldCharType="begin"/>
      </w:r>
      <w:r>
        <w:rPr>
          <w:rFonts w:hint="eastAsia" w:ascii="仿宋_GB2312" w:hAnsi="仿宋_GB2312" w:eastAsia="仿宋_GB2312" w:cs="仿宋_GB2312"/>
          <w:b w:val="0"/>
          <w:bCs w:val="0"/>
          <w:i w:val="0"/>
          <w:iCs w:val="0"/>
          <w:caps w:val="0"/>
          <w:color w:val="000000"/>
          <w:spacing w:val="0"/>
          <w:kern w:val="0"/>
          <w:sz w:val="26"/>
          <w:szCs w:val="26"/>
          <w:lang w:val="en-US" w:eastAsia="zh-CN" w:bidi="ar"/>
        </w:rPr>
        <w:instrText xml:space="preserve"> HYPERLINK \l "_Toc521014791" </w:instrText>
      </w:r>
      <w:r>
        <w:rPr>
          <w:rFonts w:hint="eastAsia" w:ascii="仿宋_GB2312" w:hAnsi="仿宋_GB2312" w:eastAsia="仿宋_GB2312" w:cs="仿宋_GB2312"/>
          <w:b w:val="0"/>
          <w:bCs w:val="0"/>
          <w:i w:val="0"/>
          <w:iCs w:val="0"/>
          <w:caps w:val="0"/>
          <w:color w:val="000000"/>
          <w:spacing w:val="0"/>
          <w:kern w:val="0"/>
          <w:sz w:val="26"/>
          <w:szCs w:val="26"/>
          <w:lang w:val="en-US" w:eastAsia="zh-CN" w:bidi="ar"/>
        </w:rPr>
        <w:fldChar w:fldCharType="separate"/>
      </w:r>
      <w:r>
        <w:rPr>
          <w:rFonts w:hint="eastAsia" w:ascii="仿宋_GB2312" w:hAnsi="仿宋_GB2312" w:eastAsia="仿宋_GB2312" w:cs="仿宋_GB2312"/>
          <w:b w:val="0"/>
          <w:bCs w:val="0"/>
          <w:i w:val="0"/>
          <w:iCs w:val="0"/>
          <w:caps w:val="0"/>
          <w:color w:val="000000"/>
          <w:spacing w:val="0"/>
          <w:kern w:val="0"/>
          <w:sz w:val="26"/>
          <w:szCs w:val="26"/>
          <w:lang w:val="en-US" w:eastAsia="zh-CN" w:bidi="ar"/>
        </w:rPr>
        <w:t>第三章  评标办法及标准</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fldChar w:fldCharType="end"/>
      </w:r>
    </w:p>
    <w:p w14:paraId="3B1D3576">
      <w:pPr>
        <w:pStyle w:val="18"/>
        <w:tabs>
          <w:tab w:val="left" w:pos="840"/>
          <w:tab w:val="right" w:leader="dot" w:pos="9008"/>
        </w:tabs>
        <w:spacing w:before="0" w:after="0" w:line="500" w:lineRule="exact"/>
        <w:ind w:firstLine="260" w:firstLineChars="100"/>
        <w:rPr>
          <w:rFonts w:hint="default"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fldChar w:fldCharType="begin"/>
      </w:r>
      <w:r>
        <w:rPr>
          <w:rFonts w:hint="eastAsia" w:ascii="仿宋_GB2312" w:hAnsi="仿宋_GB2312" w:eastAsia="仿宋_GB2312" w:cs="仿宋_GB2312"/>
          <w:b w:val="0"/>
          <w:bCs w:val="0"/>
          <w:i w:val="0"/>
          <w:iCs w:val="0"/>
          <w:caps w:val="0"/>
          <w:color w:val="000000"/>
          <w:spacing w:val="0"/>
          <w:kern w:val="0"/>
          <w:sz w:val="26"/>
          <w:szCs w:val="26"/>
          <w:lang w:val="en-US" w:eastAsia="zh-CN" w:bidi="ar"/>
        </w:rPr>
        <w:instrText xml:space="preserve"> HYPERLINK \l "_Toc521014792" </w:instrText>
      </w:r>
      <w:r>
        <w:rPr>
          <w:rFonts w:hint="eastAsia" w:ascii="仿宋_GB2312" w:hAnsi="仿宋_GB2312" w:eastAsia="仿宋_GB2312" w:cs="仿宋_GB2312"/>
          <w:b w:val="0"/>
          <w:bCs w:val="0"/>
          <w:i w:val="0"/>
          <w:iCs w:val="0"/>
          <w:caps w:val="0"/>
          <w:color w:val="000000"/>
          <w:spacing w:val="0"/>
          <w:kern w:val="0"/>
          <w:sz w:val="26"/>
          <w:szCs w:val="26"/>
          <w:lang w:val="en-US" w:eastAsia="zh-CN" w:bidi="ar"/>
        </w:rPr>
        <w:fldChar w:fldCharType="separate"/>
      </w:r>
      <w:r>
        <w:rPr>
          <w:rFonts w:hint="eastAsia" w:ascii="仿宋_GB2312" w:hAnsi="仿宋_GB2312" w:eastAsia="仿宋_GB2312" w:cs="仿宋_GB2312"/>
          <w:b w:val="0"/>
          <w:bCs w:val="0"/>
          <w:i w:val="0"/>
          <w:iCs w:val="0"/>
          <w:caps w:val="0"/>
          <w:color w:val="000000"/>
          <w:spacing w:val="0"/>
          <w:kern w:val="0"/>
          <w:sz w:val="26"/>
          <w:szCs w:val="26"/>
          <w:lang w:val="en-US" w:eastAsia="zh-CN" w:bidi="ar"/>
        </w:rPr>
        <w:t>第四章  货物需求</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fldChar w:fldCharType="end"/>
      </w:r>
      <w:r>
        <w:rPr>
          <w:rFonts w:hint="eastAsia" w:ascii="仿宋_GB2312" w:hAnsi="仿宋_GB2312" w:eastAsia="仿宋_GB2312" w:cs="仿宋_GB2312"/>
          <w:b w:val="0"/>
          <w:bCs w:val="0"/>
          <w:i w:val="0"/>
          <w:iCs w:val="0"/>
          <w:caps w:val="0"/>
          <w:color w:val="000000"/>
          <w:spacing w:val="0"/>
          <w:kern w:val="0"/>
          <w:sz w:val="26"/>
          <w:szCs w:val="26"/>
          <w:lang w:val="en-US" w:eastAsia="zh-CN" w:bidi="ar"/>
        </w:rPr>
        <w:t>及技术要求</w:t>
      </w:r>
    </w:p>
    <w:p w14:paraId="59C1F247">
      <w:pPr>
        <w:pStyle w:val="18"/>
        <w:tabs>
          <w:tab w:val="left" w:pos="840"/>
          <w:tab w:val="right" w:leader="dot" w:pos="9008"/>
        </w:tabs>
        <w:spacing w:before="0" w:after="0"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fldChar w:fldCharType="begin"/>
      </w:r>
      <w:r>
        <w:rPr>
          <w:rFonts w:hint="eastAsia" w:ascii="仿宋_GB2312" w:hAnsi="仿宋_GB2312" w:eastAsia="仿宋_GB2312" w:cs="仿宋_GB2312"/>
          <w:b w:val="0"/>
          <w:bCs w:val="0"/>
          <w:i w:val="0"/>
          <w:iCs w:val="0"/>
          <w:caps w:val="0"/>
          <w:color w:val="000000"/>
          <w:spacing w:val="0"/>
          <w:kern w:val="0"/>
          <w:sz w:val="26"/>
          <w:szCs w:val="26"/>
          <w:lang w:val="en-US" w:eastAsia="zh-CN" w:bidi="ar"/>
        </w:rPr>
        <w:instrText xml:space="preserve"> HYPERLINK \l "_Toc521014793" </w:instrText>
      </w:r>
      <w:r>
        <w:rPr>
          <w:rFonts w:hint="eastAsia" w:ascii="仿宋_GB2312" w:hAnsi="仿宋_GB2312" w:eastAsia="仿宋_GB2312" w:cs="仿宋_GB2312"/>
          <w:b w:val="0"/>
          <w:bCs w:val="0"/>
          <w:i w:val="0"/>
          <w:iCs w:val="0"/>
          <w:caps w:val="0"/>
          <w:color w:val="000000"/>
          <w:spacing w:val="0"/>
          <w:kern w:val="0"/>
          <w:sz w:val="26"/>
          <w:szCs w:val="26"/>
          <w:lang w:val="en-US" w:eastAsia="zh-CN" w:bidi="ar"/>
        </w:rPr>
        <w:fldChar w:fldCharType="separate"/>
      </w:r>
      <w:r>
        <w:rPr>
          <w:rFonts w:hint="eastAsia" w:ascii="仿宋_GB2312" w:hAnsi="仿宋_GB2312" w:eastAsia="仿宋_GB2312" w:cs="仿宋_GB2312"/>
          <w:b w:val="0"/>
          <w:bCs w:val="0"/>
          <w:i w:val="0"/>
          <w:iCs w:val="0"/>
          <w:caps w:val="0"/>
          <w:color w:val="000000"/>
          <w:spacing w:val="0"/>
          <w:kern w:val="0"/>
          <w:sz w:val="26"/>
          <w:szCs w:val="26"/>
          <w:lang w:val="en-US" w:eastAsia="zh-CN" w:bidi="ar"/>
        </w:rPr>
        <w:t>第五章  合同条款及合同格式</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fldChar w:fldCharType="end"/>
      </w:r>
    </w:p>
    <w:p w14:paraId="6A1B7AE9">
      <w:pPr>
        <w:pStyle w:val="18"/>
        <w:tabs>
          <w:tab w:val="left" w:pos="840"/>
          <w:tab w:val="right" w:leader="dot" w:pos="9008"/>
        </w:tabs>
        <w:spacing w:before="0" w:after="0"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fldChar w:fldCharType="begin"/>
      </w:r>
      <w:r>
        <w:rPr>
          <w:rFonts w:hint="eastAsia" w:ascii="仿宋_GB2312" w:hAnsi="仿宋_GB2312" w:eastAsia="仿宋_GB2312" w:cs="仿宋_GB2312"/>
          <w:b w:val="0"/>
          <w:bCs w:val="0"/>
          <w:i w:val="0"/>
          <w:iCs w:val="0"/>
          <w:caps w:val="0"/>
          <w:color w:val="000000"/>
          <w:spacing w:val="0"/>
          <w:kern w:val="0"/>
          <w:sz w:val="26"/>
          <w:szCs w:val="26"/>
          <w:lang w:val="en-US" w:eastAsia="zh-CN" w:bidi="ar"/>
        </w:rPr>
        <w:instrText xml:space="preserve"> HYPERLINK \l "_Toc521014794" </w:instrText>
      </w:r>
      <w:r>
        <w:rPr>
          <w:rFonts w:hint="eastAsia" w:ascii="仿宋_GB2312" w:hAnsi="仿宋_GB2312" w:eastAsia="仿宋_GB2312" w:cs="仿宋_GB2312"/>
          <w:b w:val="0"/>
          <w:bCs w:val="0"/>
          <w:i w:val="0"/>
          <w:iCs w:val="0"/>
          <w:caps w:val="0"/>
          <w:color w:val="000000"/>
          <w:spacing w:val="0"/>
          <w:kern w:val="0"/>
          <w:sz w:val="26"/>
          <w:szCs w:val="26"/>
          <w:lang w:val="en-US" w:eastAsia="zh-CN" w:bidi="ar"/>
        </w:rPr>
        <w:fldChar w:fldCharType="separate"/>
      </w:r>
      <w:r>
        <w:rPr>
          <w:rFonts w:hint="eastAsia" w:ascii="仿宋_GB2312" w:hAnsi="仿宋_GB2312" w:eastAsia="仿宋_GB2312" w:cs="仿宋_GB2312"/>
          <w:b w:val="0"/>
          <w:bCs w:val="0"/>
          <w:i w:val="0"/>
          <w:iCs w:val="0"/>
          <w:caps w:val="0"/>
          <w:color w:val="000000"/>
          <w:spacing w:val="0"/>
          <w:kern w:val="0"/>
          <w:sz w:val="26"/>
          <w:szCs w:val="26"/>
          <w:lang w:val="en-US" w:eastAsia="zh-CN" w:bidi="ar"/>
        </w:rPr>
        <w:t>第六章  投标文件格式</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fldChar w:fldCharType="end"/>
      </w:r>
    </w:p>
    <w:p w14:paraId="5FBD9F5A">
      <w:pPr>
        <w:snapToGrid w:val="0"/>
        <w:spacing w:line="500" w:lineRule="exact"/>
        <w:ind w:firstLine="512" w:firstLineChars="196"/>
        <w:jc w:val="left"/>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（二）投标人的风险</w:t>
      </w:r>
    </w:p>
    <w:p w14:paraId="003778E3">
      <w:pPr>
        <w:pStyle w:val="22"/>
        <w:spacing w:line="500" w:lineRule="exac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投标人没有按照招标文件要求提供全部资料，或者投标人没有对招标文件在各方面作出实质性响应是投标人的风险，并可能导致其投标为无效标。</w:t>
      </w:r>
    </w:p>
    <w:p w14:paraId="28B82FCD">
      <w:pPr>
        <w:pStyle w:val="22"/>
        <w:spacing w:line="500" w:lineRule="exact"/>
        <w:ind w:firstLine="482"/>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（三）招标文件的澄清与修改</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 xml:space="preserve"> </w:t>
      </w:r>
    </w:p>
    <w:p w14:paraId="1EDD3526">
      <w:pPr>
        <w:pStyle w:val="15"/>
        <w:snapToGrid w:val="0"/>
        <w:spacing w:line="500" w:lineRule="exact"/>
        <w:ind w:firstLine="520" w:firstLineChars="2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1.招标代理机构必须以书面形式答复投标人要求澄清的问题，并将不包含问题来源的答复书面通知所有购买招标文件的投标人；除书面答复以外的其他澄清方式及澄清内容均无效。</w:t>
      </w:r>
    </w:p>
    <w:p w14:paraId="0613BF4B">
      <w:pPr>
        <w:pStyle w:val="15"/>
        <w:snapToGrid w:val="0"/>
        <w:spacing w:line="500" w:lineRule="exact"/>
        <w:ind w:firstLine="520" w:firstLineChars="2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2.招标文件澄清、答复、修改、补充的内容为招标文件的组成部分。当招标文件与招标文件的答复、澄清、修改、补充通知就同一内容的表述不一致时，以最后发出</w:t>
      </w:r>
    </w:p>
    <w:p w14:paraId="36970D1B">
      <w:pPr>
        <w:pStyle w:val="15"/>
        <w:snapToGrid w:val="0"/>
        <w:spacing w:line="500" w:lineRule="exact"/>
        <w:jc w:val="both"/>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的书面文件为准。</w:t>
      </w:r>
    </w:p>
    <w:p w14:paraId="4C60124F">
      <w:pPr>
        <w:pStyle w:val="15"/>
        <w:snapToGrid w:val="0"/>
        <w:spacing w:line="500" w:lineRule="exact"/>
        <w:ind w:firstLine="520" w:firstLineChars="2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3.招标文件的澄清、答复、修改或补充都应该通过本代理机构以法定形式发布，招标人非通过本机构，不得擅自澄清、答复、修改或补充招标文件。</w:t>
      </w:r>
    </w:p>
    <w:p w14:paraId="04EA4210">
      <w:pPr>
        <w:pStyle w:val="7"/>
        <w:numPr>
          <w:ilvl w:val="0"/>
          <w:numId w:val="0"/>
        </w:numPr>
        <w:spacing w:before="0" w:after="0" w:line="500" w:lineRule="exact"/>
        <w:ind w:left="-420" w:leftChars="0"/>
        <w:jc w:val="center"/>
        <w:rPr>
          <w:rFonts w:hint="eastAsia" w:ascii="仿宋_GB2312" w:hAnsi="仿宋_GB2312" w:eastAsia="仿宋_GB2312" w:cs="仿宋_GB2312"/>
          <w:b/>
          <w:bCs/>
          <w:i w:val="0"/>
          <w:iCs w:val="0"/>
          <w:caps w:val="0"/>
          <w:color w:val="000000"/>
          <w:spacing w:val="0"/>
          <w:kern w:val="0"/>
          <w:sz w:val="26"/>
          <w:szCs w:val="26"/>
          <w:lang w:val="en-US" w:eastAsia="zh-CN" w:bidi="ar"/>
        </w:rPr>
      </w:pPr>
      <w:bookmarkStart w:id="42" w:name="_Toc503212210"/>
      <w:bookmarkStart w:id="43" w:name="_Toc27918"/>
      <w:bookmarkStart w:id="44" w:name="_Toc521014778"/>
      <w:bookmarkStart w:id="45" w:name="_Toc27456"/>
      <w:bookmarkStart w:id="46" w:name="_Toc12173"/>
      <w:r>
        <w:rPr>
          <w:rFonts w:hint="eastAsia" w:ascii="仿宋_GB2312" w:hAnsi="仿宋_GB2312" w:eastAsia="仿宋_GB2312" w:cs="仿宋_GB2312"/>
          <w:b/>
          <w:bCs/>
          <w:i w:val="0"/>
          <w:iCs w:val="0"/>
          <w:caps w:val="0"/>
          <w:color w:val="000000"/>
          <w:spacing w:val="0"/>
          <w:kern w:val="0"/>
          <w:sz w:val="26"/>
          <w:szCs w:val="26"/>
          <w:lang w:val="en-US" w:eastAsia="zh-CN" w:bidi="ar"/>
        </w:rPr>
        <w:t>三、投标文件的编制</w:t>
      </w:r>
      <w:bookmarkEnd w:id="42"/>
      <w:bookmarkEnd w:id="43"/>
      <w:bookmarkEnd w:id="44"/>
      <w:bookmarkEnd w:id="45"/>
      <w:bookmarkEnd w:id="46"/>
    </w:p>
    <w:p w14:paraId="32BC96FA">
      <w:pPr>
        <w:pStyle w:val="7"/>
        <w:numPr>
          <w:ilvl w:val="0"/>
          <w:numId w:val="0"/>
        </w:numPr>
        <w:spacing w:before="0" w:after="0" w:line="500" w:lineRule="exact"/>
        <w:ind w:firstLine="3393" w:firstLineChars="1300"/>
        <w:jc w:val="both"/>
        <w:rPr>
          <w:rFonts w:hint="eastAsia" w:ascii="仿宋_GB2312" w:hAnsi="仿宋_GB2312" w:eastAsia="仿宋_GB2312" w:cs="仿宋_GB2312"/>
          <w:b/>
          <w:bCs/>
          <w:i w:val="0"/>
          <w:iCs w:val="0"/>
          <w:caps w:val="0"/>
          <w:color w:val="000000"/>
          <w:spacing w:val="0"/>
          <w:kern w:val="0"/>
          <w:sz w:val="26"/>
          <w:szCs w:val="26"/>
          <w:lang w:val="en-US" w:eastAsia="zh-CN" w:bidi="ar"/>
        </w:rPr>
      </w:pPr>
      <w:bookmarkStart w:id="47" w:name="_Toc503212211"/>
      <w:bookmarkStart w:id="48" w:name="_Toc9753"/>
      <w:bookmarkStart w:id="49" w:name="_Toc521014779"/>
      <w:bookmarkStart w:id="50" w:name="_Toc23068"/>
      <w:bookmarkStart w:id="51" w:name="_Toc29977"/>
      <w:r>
        <w:rPr>
          <w:rFonts w:hint="eastAsia" w:ascii="仿宋_GB2312" w:hAnsi="仿宋_GB2312" w:eastAsia="仿宋_GB2312" w:cs="仿宋_GB2312"/>
          <w:b/>
          <w:bCs/>
          <w:i w:val="0"/>
          <w:iCs w:val="0"/>
          <w:caps w:val="0"/>
          <w:color w:val="000000"/>
          <w:spacing w:val="0"/>
          <w:kern w:val="0"/>
          <w:sz w:val="26"/>
          <w:szCs w:val="26"/>
          <w:lang w:val="en-US" w:eastAsia="zh-CN" w:bidi="ar"/>
        </w:rPr>
        <w:t>（一）投标文件的组成</w:t>
      </w:r>
      <w:bookmarkEnd w:id="47"/>
      <w:bookmarkEnd w:id="48"/>
      <w:bookmarkEnd w:id="49"/>
      <w:bookmarkEnd w:id="50"/>
      <w:bookmarkEnd w:id="51"/>
    </w:p>
    <w:p w14:paraId="02F8EF96">
      <w:pPr>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投标文件由以下内容组成：</w:t>
      </w:r>
    </w:p>
    <w:p w14:paraId="0ECA7D46">
      <w:pPr>
        <w:snapToGrid w:val="0"/>
        <w:spacing w:line="500" w:lineRule="exact"/>
        <w:ind w:firstLine="509" w:firstLineChars="196"/>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1.商务技术部分：</w:t>
      </w:r>
    </w:p>
    <w:p w14:paraId="6C9EC85D">
      <w:pPr>
        <w:spacing w:line="500" w:lineRule="exac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 xml:space="preserve">    1、投标单位应按招标文件的要求提供招标文件，并保证所有材料的真实性，以确保其投标对招标文件做出实质性的响应。</w:t>
      </w:r>
    </w:p>
    <w:p w14:paraId="48BD898D">
      <w:pPr>
        <w:spacing w:line="500" w:lineRule="exac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 xml:space="preserve">    2、招标文件使用的计量单位，应采用国家法定的计量单位。</w:t>
      </w:r>
    </w:p>
    <w:p w14:paraId="2E5FF311">
      <w:pPr>
        <w:spacing w:line="500" w:lineRule="exact"/>
        <w:ind w:firstLine="52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3、投标人所递交的投标文件应包含但不限于以下文件：</w:t>
      </w:r>
    </w:p>
    <w:p w14:paraId="37774C67">
      <w:pPr>
        <w:spacing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（1）投标书（投标文件格式五）</w:t>
      </w:r>
    </w:p>
    <w:p w14:paraId="215BE808">
      <w:pPr>
        <w:spacing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（2）投标保证金缴纳有效证明（见投标文件格式六）</w:t>
      </w:r>
    </w:p>
    <w:p w14:paraId="5C582EC1">
      <w:pPr>
        <w:spacing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（3）投标分项报价表（投标文件格式七）</w:t>
      </w:r>
    </w:p>
    <w:p w14:paraId="14844644">
      <w:pPr>
        <w:spacing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（4）服务说明一览表（投标文件格式八）</w:t>
      </w:r>
    </w:p>
    <w:p w14:paraId="4F47FE16">
      <w:pPr>
        <w:spacing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（5）技术规格偏离表（投标文件格式九）</w:t>
      </w:r>
    </w:p>
    <w:p w14:paraId="425DF5D9">
      <w:pPr>
        <w:spacing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（6）商务条款偏离表（投标文件格式十）</w:t>
      </w:r>
    </w:p>
    <w:p w14:paraId="370D5313">
      <w:pPr>
        <w:spacing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（7）符合《政府采购促进中小企业发展暂行办法》《关于政府采购支持监狱企业发展有关问题的通知》和《三部门联合发布关于促进残疾人就业政府采购政策的通知》价格扣减条件的投标人须提交）</w:t>
      </w:r>
    </w:p>
    <w:p w14:paraId="36601560">
      <w:pPr>
        <w:spacing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（7-1）《投标人企业（单位）类型声明函》（投标文件格式十一）</w:t>
      </w:r>
    </w:p>
    <w:p w14:paraId="3EE90A57">
      <w:pPr>
        <w:spacing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（7-2）《中小企业声明函（服务）》（投标文件格式十二）</w:t>
      </w:r>
    </w:p>
    <w:p w14:paraId="091C08F8">
      <w:pPr>
        <w:spacing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（7-3）《残疾人福利性单位声明函》（投标文件格式十三）</w:t>
      </w:r>
    </w:p>
    <w:p w14:paraId="2DD93D38">
      <w:pPr>
        <w:spacing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（8）投标人关联单位的说明（格式自拟）</w:t>
      </w:r>
    </w:p>
    <w:p w14:paraId="0AF05D25">
      <w:pPr>
        <w:spacing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（9）投标文件还应包括投标人须知里的所有技术文件</w:t>
      </w:r>
    </w:p>
    <w:p w14:paraId="0D370614">
      <w:pPr>
        <w:pStyle w:val="7"/>
        <w:numPr>
          <w:ilvl w:val="0"/>
          <w:numId w:val="0"/>
        </w:numPr>
        <w:spacing w:before="0" w:after="0" w:line="500" w:lineRule="exact"/>
        <w:ind w:left="-420" w:leftChars="0"/>
        <w:jc w:val="center"/>
        <w:rPr>
          <w:rFonts w:hint="eastAsia" w:ascii="仿宋_GB2312" w:hAnsi="仿宋_GB2312" w:eastAsia="仿宋_GB2312" w:cs="仿宋_GB2312"/>
          <w:b/>
          <w:bCs/>
          <w:i w:val="0"/>
          <w:iCs w:val="0"/>
          <w:caps w:val="0"/>
          <w:color w:val="000000"/>
          <w:spacing w:val="0"/>
          <w:kern w:val="0"/>
          <w:sz w:val="26"/>
          <w:szCs w:val="26"/>
          <w:lang w:val="en-US" w:eastAsia="zh-CN" w:bidi="ar"/>
        </w:rPr>
      </w:pPr>
      <w:bookmarkStart w:id="52" w:name="_Toc521014780"/>
      <w:bookmarkStart w:id="53" w:name="_Toc13056"/>
      <w:bookmarkStart w:id="54" w:name="_Toc503212212"/>
      <w:bookmarkStart w:id="55" w:name="_Toc14838"/>
      <w:bookmarkStart w:id="56" w:name="_Toc18015"/>
      <w:r>
        <w:rPr>
          <w:rFonts w:hint="eastAsia" w:ascii="仿宋_GB2312" w:hAnsi="仿宋_GB2312" w:eastAsia="仿宋_GB2312" w:cs="仿宋_GB2312"/>
          <w:b/>
          <w:bCs/>
          <w:i w:val="0"/>
          <w:iCs w:val="0"/>
          <w:caps w:val="0"/>
          <w:color w:val="000000"/>
          <w:spacing w:val="0"/>
          <w:kern w:val="0"/>
          <w:sz w:val="26"/>
          <w:szCs w:val="26"/>
          <w:lang w:val="en-US" w:eastAsia="zh-CN" w:bidi="ar"/>
        </w:rPr>
        <w:t>（二）投标文件的语言及计量</w:t>
      </w:r>
      <w:bookmarkEnd w:id="52"/>
      <w:bookmarkEnd w:id="53"/>
      <w:bookmarkEnd w:id="54"/>
      <w:bookmarkEnd w:id="55"/>
      <w:bookmarkEnd w:id="56"/>
    </w:p>
    <w:p w14:paraId="05C0C9F2">
      <w:pPr>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▲1.投标文件以及投标方与招标方就有关投标事宜的所有来往函电，均应以中文汉语书写。除签名、盖章、专用名称等特殊情形外，以中文汉语以外的文字表述的投标文件视同未提供。</w:t>
      </w:r>
    </w:p>
    <w:p w14:paraId="7F4C57E2">
      <w:pPr>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▲2.投标计量单位，招标文件已有明确规定的，使用招标文件规定的计量单位；招标文件没有规定的，应采用中华人民共和国法定计量单位（货币单位：人民币元），否则视同未响应。</w:t>
      </w:r>
    </w:p>
    <w:p w14:paraId="13E12E07">
      <w:pPr>
        <w:pStyle w:val="7"/>
        <w:numPr>
          <w:ilvl w:val="0"/>
          <w:numId w:val="0"/>
        </w:numPr>
        <w:spacing w:before="0" w:after="0" w:line="500" w:lineRule="exact"/>
        <w:ind w:left="-420" w:leftChars="0"/>
        <w:jc w:val="center"/>
        <w:rPr>
          <w:rFonts w:hint="eastAsia" w:ascii="仿宋_GB2312" w:hAnsi="仿宋_GB2312" w:eastAsia="仿宋_GB2312" w:cs="仿宋_GB2312"/>
          <w:b/>
          <w:bCs/>
          <w:i w:val="0"/>
          <w:iCs w:val="0"/>
          <w:caps w:val="0"/>
          <w:color w:val="000000"/>
          <w:spacing w:val="0"/>
          <w:kern w:val="0"/>
          <w:sz w:val="26"/>
          <w:szCs w:val="26"/>
          <w:lang w:val="en-US" w:eastAsia="zh-CN" w:bidi="ar"/>
        </w:rPr>
      </w:pPr>
      <w:bookmarkStart w:id="57" w:name="_Toc503212213"/>
      <w:bookmarkStart w:id="58" w:name="_Toc6985"/>
      <w:bookmarkStart w:id="59" w:name="_Toc1770"/>
      <w:bookmarkStart w:id="60" w:name="_Toc521014781"/>
      <w:bookmarkStart w:id="61" w:name="_Toc3970"/>
      <w:r>
        <w:rPr>
          <w:rFonts w:hint="eastAsia" w:ascii="仿宋_GB2312" w:hAnsi="仿宋_GB2312" w:eastAsia="仿宋_GB2312" w:cs="仿宋_GB2312"/>
          <w:b/>
          <w:bCs/>
          <w:i w:val="0"/>
          <w:iCs w:val="0"/>
          <w:caps w:val="0"/>
          <w:color w:val="000000"/>
          <w:spacing w:val="0"/>
          <w:kern w:val="0"/>
          <w:sz w:val="26"/>
          <w:szCs w:val="26"/>
          <w:lang w:val="en-US" w:eastAsia="zh-CN" w:bidi="ar"/>
        </w:rPr>
        <w:t>（三）投标报价</w:t>
      </w:r>
      <w:bookmarkEnd w:id="57"/>
      <w:bookmarkEnd w:id="58"/>
      <w:bookmarkEnd w:id="59"/>
      <w:bookmarkEnd w:id="60"/>
      <w:bookmarkEnd w:id="61"/>
    </w:p>
    <w:p w14:paraId="47AA5102">
      <w:pPr>
        <w:pStyle w:val="15"/>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▲1.投标报价应按招标文件中相关附表格式填写。</w:t>
      </w:r>
    </w:p>
    <w:p w14:paraId="04160F5D">
      <w:pPr>
        <w:pStyle w:val="15"/>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▲2.投标报价（开标一览表）必须按投标须知中标准要求执行，否则其报价无效，不进入评审阶段。</w:t>
      </w:r>
    </w:p>
    <w:p w14:paraId="4F1AFFD7">
      <w:pPr>
        <w:tabs>
          <w:tab w:val="left" w:pos="525"/>
        </w:tabs>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▲3.投标文件只允许有一个报价，有选择的或有条件的报价将不予接受。</w:t>
      </w:r>
    </w:p>
    <w:p w14:paraId="4B109922">
      <w:pPr>
        <w:tabs>
          <w:tab w:val="left" w:pos="525"/>
        </w:tabs>
        <w:snapToGrid w:val="0"/>
        <w:spacing w:line="500" w:lineRule="exact"/>
        <w:ind w:firstLine="520" w:firstLineChars="200"/>
        <w:jc w:val="left"/>
        <w:rPr>
          <w:rFonts w:hint="eastAsia" w:ascii="仿宋" w:hAnsi="仿宋" w:eastAsia="仿宋" w:cs="仿宋"/>
          <w:sz w:val="26"/>
          <w:szCs w:val="26"/>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▲4.招标代理服务费由中标单位支付，投标单位在报价时请考虑。</w:t>
      </w:r>
    </w:p>
    <w:p w14:paraId="79BE82AB">
      <w:pPr>
        <w:pStyle w:val="7"/>
        <w:numPr>
          <w:ilvl w:val="0"/>
          <w:numId w:val="0"/>
        </w:numPr>
        <w:spacing w:before="0" w:after="0" w:line="500" w:lineRule="exact"/>
        <w:ind w:left="-420" w:leftChars="0"/>
        <w:jc w:val="center"/>
        <w:rPr>
          <w:rFonts w:hint="eastAsia" w:ascii="仿宋_GB2312" w:hAnsi="仿宋_GB2312" w:eastAsia="仿宋_GB2312" w:cs="仿宋_GB2312"/>
          <w:b/>
          <w:bCs/>
          <w:i w:val="0"/>
          <w:iCs w:val="0"/>
          <w:caps w:val="0"/>
          <w:color w:val="000000"/>
          <w:spacing w:val="0"/>
          <w:kern w:val="0"/>
          <w:sz w:val="26"/>
          <w:szCs w:val="26"/>
          <w:lang w:val="en-US" w:eastAsia="zh-CN" w:bidi="ar"/>
        </w:rPr>
      </w:pPr>
      <w:bookmarkStart w:id="62" w:name="_Toc21211"/>
      <w:bookmarkStart w:id="63" w:name="_Toc503212214"/>
      <w:bookmarkStart w:id="64" w:name="_Toc21800"/>
      <w:bookmarkStart w:id="65" w:name="_Toc17019"/>
      <w:bookmarkStart w:id="66" w:name="_Toc521014782"/>
      <w:r>
        <w:rPr>
          <w:rFonts w:hint="eastAsia" w:ascii="仿宋_GB2312" w:hAnsi="仿宋_GB2312" w:eastAsia="仿宋_GB2312" w:cs="仿宋_GB2312"/>
          <w:b/>
          <w:bCs/>
          <w:i w:val="0"/>
          <w:iCs w:val="0"/>
          <w:caps w:val="0"/>
          <w:color w:val="000000"/>
          <w:spacing w:val="0"/>
          <w:kern w:val="0"/>
          <w:sz w:val="26"/>
          <w:szCs w:val="26"/>
          <w:lang w:val="en-US" w:eastAsia="zh-CN" w:bidi="ar"/>
        </w:rPr>
        <w:t>（四）投标文件的有效期</w:t>
      </w:r>
      <w:bookmarkEnd w:id="62"/>
      <w:bookmarkEnd w:id="63"/>
      <w:bookmarkEnd w:id="64"/>
      <w:bookmarkEnd w:id="65"/>
      <w:bookmarkEnd w:id="66"/>
    </w:p>
    <w:p w14:paraId="3619D7C6">
      <w:pPr>
        <w:pStyle w:val="11"/>
        <w:widowControl w:val="0"/>
        <w:numPr>
          <w:ilvl w:val="0"/>
          <w:numId w:val="0"/>
        </w:numPr>
        <w:tabs>
          <w:tab w:val="left" w:pos="0"/>
          <w:tab w:val="left" w:pos="454"/>
        </w:tabs>
        <w:snapToGrid w:val="0"/>
        <w:spacing w:after="0" w:afterLines="0" w:line="500" w:lineRule="exac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 w:hAnsi="仿宋" w:eastAsia="仿宋" w:cs="仿宋"/>
          <w:b w:val="0"/>
          <w:bCs w:val="0"/>
          <w:kern w:val="2"/>
          <w:sz w:val="26"/>
          <w:szCs w:val="26"/>
          <w:lang w:val="en-US" w:eastAsia="zh-CN" w:bidi="ar-SA"/>
        </w:rPr>
        <w:t xml:space="preserve">    </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▲1.自投标截止日起 90 日历日内投标文件应保持有效。有效期不足的投标文件将被拒绝。</w:t>
      </w:r>
    </w:p>
    <w:p w14:paraId="3FE0BCE6">
      <w:pPr>
        <w:pStyle w:val="11"/>
        <w:widowControl w:val="0"/>
        <w:numPr>
          <w:ilvl w:val="0"/>
          <w:numId w:val="0"/>
        </w:numPr>
        <w:tabs>
          <w:tab w:val="left" w:pos="0"/>
          <w:tab w:val="left" w:pos="454"/>
        </w:tabs>
        <w:snapToGrid w:val="0"/>
        <w:spacing w:after="0" w:afterLines="0" w:line="500" w:lineRule="exac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 xml:space="preserve">    2.在特殊情况下，招标人可与投标人协商延长投标书的有效期，这种要求和答复均以书面形式进行。</w:t>
      </w:r>
    </w:p>
    <w:p w14:paraId="173D6568">
      <w:pPr>
        <w:pStyle w:val="11"/>
        <w:widowControl w:val="0"/>
        <w:numPr>
          <w:ilvl w:val="0"/>
          <w:numId w:val="0"/>
        </w:numPr>
        <w:tabs>
          <w:tab w:val="left" w:pos="0"/>
          <w:tab w:val="left" w:pos="454"/>
        </w:tabs>
        <w:snapToGrid w:val="0"/>
        <w:spacing w:after="0" w:afterLines="0" w:line="500" w:lineRule="exac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 xml:space="preserve">    3.投标人可拒绝接受延期要求而不会导致投标保证金被没收。同意延长有效期的投标人需要相应延长投标保证金的有效期，但不能修改投标文件。 </w:t>
      </w:r>
    </w:p>
    <w:p w14:paraId="6028260F">
      <w:pPr>
        <w:pStyle w:val="11"/>
        <w:widowControl w:val="0"/>
        <w:numPr>
          <w:ilvl w:val="0"/>
          <w:numId w:val="0"/>
        </w:numPr>
        <w:tabs>
          <w:tab w:val="left" w:pos="0"/>
          <w:tab w:val="left" w:pos="454"/>
        </w:tabs>
        <w:snapToGrid w:val="0"/>
        <w:spacing w:after="0" w:afterLines="0" w:line="500" w:lineRule="exac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 xml:space="preserve">    4.中标人的投标文件自开标之日起至合同履行完毕止均应保持有效。</w:t>
      </w:r>
    </w:p>
    <w:p w14:paraId="667110FB">
      <w:pPr>
        <w:pStyle w:val="7"/>
        <w:numPr>
          <w:ilvl w:val="0"/>
          <w:numId w:val="0"/>
        </w:numPr>
        <w:spacing w:before="0" w:after="0" w:line="500" w:lineRule="exact"/>
        <w:ind w:left="-420" w:leftChars="0"/>
        <w:jc w:val="center"/>
        <w:rPr>
          <w:rFonts w:hint="eastAsia" w:ascii="仿宋_GB2312" w:hAnsi="仿宋_GB2312" w:eastAsia="仿宋_GB2312" w:cs="仿宋_GB2312"/>
          <w:b/>
          <w:bCs/>
          <w:i w:val="0"/>
          <w:iCs w:val="0"/>
          <w:caps w:val="0"/>
          <w:color w:val="000000"/>
          <w:spacing w:val="0"/>
          <w:kern w:val="0"/>
          <w:sz w:val="26"/>
          <w:szCs w:val="26"/>
          <w:lang w:val="en-US" w:eastAsia="zh-CN" w:bidi="ar"/>
        </w:rPr>
      </w:pPr>
      <w:bookmarkStart w:id="67" w:name="_Toc16117"/>
      <w:bookmarkStart w:id="68" w:name="_Toc13386"/>
      <w:bookmarkStart w:id="69" w:name="_Toc521014783"/>
      <w:bookmarkStart w:id="70" w:name="_Toc503212215"/>
      <w:bookmarkStart w:id="71" w:name="_Toc22838"/>
      <w:r>
        <w:rPr>
          <w:rFonts w:hint="eastAsia" w:ascii="仿宋_GB2312" w:hAnsi="仿宋_GB2312" w:eastAsia="仿宋_GB2312" w:cs="仿宋_GB2312"/>
          <w:b/>
          <w:bCs/>
          <w:i w:val="0"/>
          <w:iCs w:val="0"/>
          <w:caps w:val="0"/>
          <w:color w:val="000000"/>
          <w:spacing w:val="0"/>
          <w:kern w:val="0"/>
          <w:sz w:val="26"/>
          <w:szCs w:val="26"/>
          <w:lang w:val="en-US" w:eastAsia="zh-CN" w:bidi="ar"/>
        </w:rPr>
        <w:t>（五）投标保证金</w:t>
      </w:r>
      <w:bookmarkEnd w:id="67"/>
      <w:bookmarkEnd w:id="68"/>
      <w:bookmarkEnd w:id="69"/>
      <w:bookmarkEnd w:id="70"/>
      <w:bookmarkEnd w:id="71"/>
    </w:p>
    <w:p w14:paraId="611ACBEF">
      <w:pPr>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▲1.投标人须按规定提交投标保证金。否则，其投标将被拒绝。</w:t>
      </w:r>
    </w:p>
    <w:p w14:paraId="45B9C559">
      <w:pPr>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2.保证金形式： 投标保证金可以支票、汇票、本票、或者金融机构、担保机构出具的保函等非现金形式提交。</w:t>
      </w:r>
    </w:p>
    <w:p w14:paraId="468C3702">
      <w:pPr>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3.未中标人的投标保证金在公示期截止后退还。</w:t>
      </w:r>
    </w:p>
    <w:p w14:paraId="34844063">
      <w:pPr>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4.中标人的投标保证金在中标通知书发出签订正式采购合同，履约保证金打到指定账户后退还。</w:t>
      </w:r>
    </w:p>
    <w:p w14:paraId="65C67C86">
      <w:pPr>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5.保证金不计息。</w:t>
      </w:r>
    </w:p>
    <w:p w14:paraId="35DCB848">
      <w:pPr>
        <w:snapToGrid w:val="0"/>
        <w:spacing w:line="500" w:lineRule="exact"/>
        <w:ind w:firstLine="512" w:firstLineChars="196"/>
        <w:jc w:val="left"/>
        <w:rPr>
          <w:rFonts w:hint="eastAsia" w:ascii="仿宋" w:hAnsi="仿宋" w:eastAsia="仿宋" w:cs="仿宋"/>
          <w:b/>
          <w:bCs/>
          <w:sz w:val="26"/>
          <w:szCs w:val="26"/>
        </w:rPr>
      </w:pPr>
      <w:r>
        <w:rPr>
          <w:rFonts w:hint="eastAsia" w:ascii="仿宋" w:hAnsi="仿宋" w:eastAsia="仿宋" w:cs="仿宋"/>
          <w:b/>
          <w:bCs/>
          <w:sz w:val="26"/>
          <w:szCs w:val="26"/>
        </w:rPr>
        <w:t>6.投标人有下列情形之一的，投标保证金将不予退还：</w:t>
      </w:r>
    </w:p>
    <w:p w14:paraId="52034CF6">
      <w:pPr>
        <w:snapToGrid w:val="0"/>
        <w:spacing w:line="500" w:lineRule="exact"/>
        <w:ind w:firstLine="512" w:firstLineChars="196"/>
        <w:jc w:val="left"/>
        <w:rPr>
          <w:rFonts w:hint="eastAsia" w:ascii="仿宋" w:hAnsi="仿宋" w:eastAsia="仿宋" w:cs="仿宋"/>
          <w:b/>
          <w:bCs w:val="0"/>
          <w:sz w:val="26"/>
          <w:szCs w:val="26"/>
        </w:rPr>
      </w:pPr>
      <w:r>
        <w:rPr>
          <w:rFonts w:hint="eastAsia" w:ascii="仿宋" w:hAnsi="仿宋" w:eastAsia="仿宋" w:cs="仿宋"/>
          <w:b/>
          <w:bCs w:val="0"/>
          <w:sz w:val="26"/>
          <w:szCs w:val="26"/>
        </w:rPr>
        <w:t>（1）投标人在投标有效期内撤回投标文件的；</w:t>
      </w:r>
    </w:p>
    <w:p w14:paraId="019A7225">
      <w:pPr>
        <w:snapToGrid w:val="0"/>
        <w:spacing w:line="500" w:lineRule="exact"/>
        <w:ind w:firstLine="512" w:firstLineChars="196"/>
        <w:jc w:val="left"/>
        <w:rPr>
          <w:rFonts w:hint="eastAsia" w:ascii="仿宋" w:hAnsi="仿宋" w:eastAsia="仿宋" w:cs="仿宋"/>
          <w:b/>
          <w:bCs w:val="0"/>
          <w:sz w:val="26"/>
          <w:szCs w:val="26"/>
        </w:rPr>
      </w:pPr>
      <w:r>
        <w:rPr>
          <w:rFonts w:hint="eastAsia" w:ascii="仿宋" w:hAnsi="仿宋" w:eastAsia="仿宋" w:cs="仿宋"/>
          <w:b/>
          <w:bCs w:val="0"/>
          <w:sz w:val="26"/>
          <w:szCs w:val="26"/>
        </w:rPr>
        <w:t>（2）投标人在投标过程中弄虚作假，提供虚假材料的；</w:t>
      </w:r>
    </w:p>
    <w:p w14:paraId="092CBB42">
      <w:pPr>
        <w:snapToGrid w:val="0"/>
        <w:spacing w:line="500" w:lineRule="exact"/>
        <w:ind w:firstLine="512" w:firstLineChars="196"/>
        <w:rPr>
          <w:rFonts w:hint="eastAsia" w:ascii="仿宋" w:hAnsi="仿宋" w:eastAsia="仿宋" w:cs="仿宋"/>
          <w:b/>
          <w:bCs w:val="0"/>
          <w:sz w:val="26"/>
          <w:szCs w:val="26"/>
        </w:rPr>
      </w:pPr>
      <w:r>
        <w:rPr>
          <w:rFonts w:hint="eastAsia" w:ascii="仿宋" w:hAnsi="仿宋" w:eastAsia="仿宋" w:cs="仿宋"/>
          <w:b/>
          <w:bCs w:val="0"/>
          <w:sz w:val="26"/>
          <w:szCs w:val="26"/>
        </w:rPr>
        <w:t>（3）中标人无正当理由不与招标人签订合同的；</w:t>
      </w:r>
    </w:p>
    <w:p w14:paraId="430E22A8">
      <w:pPr>
        <w:snapToGrid w:val="0"/>
        <w:spacing w:line="500" w:lineRule="exact"/>
        <w:ind w:firstLine="522" w:firstLineChars="200"/>
        <w:rPr>
          <w:rFonts w:hint="eastAsia" w:ascii="仿宋" w:hAnsi="仿宋" w:eastAsia="仿宋" w:cs="仿宋"/>
          <w:b/>
          <w:bCs w:val="0"/>
          <w:sz w:val="26"/>
          <w:szCs w:val="26"/>
        </w:rPr>
      </w:pPr>
      <w:r>
        <w:rPr>
          <w:rFonts w:hint="eastAsia" w:ascii="仿宋" w:hAnsi="仿宋" w:eastAsia="仿宋" w:cs="仿宋"/>
          <w:b/>
          <w:bCs w:val="0"/>
          <w:sz w:val="26"/>
          <w:szCs w:val="26"/>
        </w:rPr>
        <w:t>（4）其他严重扰乱招投标程序的。</w:t>
      </w:r>
      <w:bookmarkStart w:id="72" w:name="_Toc4584"/>
      <w:bookmarkStart w:id="73" w:name="_Toc21003"/>
      <w:bookmarkStart w:id="74" w:name="_Toc503212216"/>
      <w:bookmarkStart w:id="75" w:name="_Toc521014784"/>
      <w:bookmarkStart w:id="76" w:name="_Toc25982"/>
    </w:p>
    <w:p w14:paraId="4ED4E7F2">
      <w:pPr>
        <w:pStyle w:val="7"/>
        <w:numPr>
          <w:ilvl w:val="0"/>
          <w:numId w:val="0"/>
        </w:numPr>
        <w:spacing w:before="0" w:after="0" w:line="500" w:lineRule="exact"/>
        <w:ind w:left="-420" w:leftChars="0"/>
        <w:jc w:val="center"/>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（六）投标文件的签署和份数</w:t>
      </w:r>
      <w:bookmarkEnd w:id="72"/>
      <w:bookmarkEnd w:id="73"/>
      <w:bookmarkEnd w:id="74"/>
      <w:bookmarkEnd w:id="75"/>
      <w:bookmarkEnd w:id="76"/>
    </w:p>
    <w:p w14:paraId="50E7640E">
      <w:pPr>
        <w:pStyle w:val="7"/>
        <w:numPr>
          <w:ilvl w:val="0"/>
          <w:numId w:val="0"/>
        </w:numPr>
        <w:spacing w:before="0" w:after="0" w:line="500" w:lineRule="exact"/>
        <w:ind w:left="-420" w:leftChars="0"/>
        <w:jc w:val="center"/>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（本项目为政采云不见面开评标，纸质版投标文件开标结束后提供）</w:t>
      </w:r>
    </w:p>
    <w:p w14:paraId="173C18E0">
      <w:pPr>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投标人应按本招标文件规定的格式和顺序编制、装订投标文件并标注页码，投标文件内容不完整、编排混乱导致投标文件被误读、漏读或者查找不到相关内容的，是投标人的责任。投标文件应装订成册用死页胶装方式装订,装订应牢固、不易拆散和换页，不得采用活页装订。</w:t>
      </w:r>
    </w:p>
    <w:p w14:paraId="6CCDBF32">
      <w:pPr>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投标人将投标文件1正2副本分别装订成册并密封，开标一览表1份（单独密封）投标文件电子版1份（单独密封）。</w:t>
      </w:r>
    </w:p>
    <w:p w14:paraId="17BB763B">
      <w:pPr>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3.供应商应严格按照招标文件要求的份数准备投标文件，每份投标文件须在投标文件封面左上角清楚地标明“正本”或“副本”字样。一旦正本和副本不符，以正本为准。</w:t>
      </w:r>
    </w:p>
    <w:p w14:paraId="2B82F458">
      <w:pPr>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4.投标文件具有法律效力,若投标文件与招标需求要求不一致，其内容影响成交结果时，责任由供应商自行承担。</w:t>
      </w:r>
    </w:p>
    <w:p w14:paraId="39C6B224">
      <w:pPr>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5.为了保证投标文件的合法性、安全性和完整性，招标文件的正本和所有的副本均需打印，由供应商法定代表人或其授权代表逐页签字。授权代表须将 “法人授权书”（原件）附在招标文件中。</w:t>
      </w:r>
    </w:p>
    <w:p w14:paraId="22459B34">
      <w:pPr>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6.除供应商对错处做必要修改外，投标文件不得行间插字、涂改或增删。如有修改错漏处，必须由投标文件签署人签字或盖章。</w:t>
      </w:r>
    </w:p>
    <w:p w14:paraId="526996C9">
      <w:pPr>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7.电子标书应提供带签章的纸质版投标文件最终稿的PDF格式。</w:t>
      </w:r>
    </w:p>
    <w:p w14:paraId="2F4167AF">
      <w:pPr>
        <w:pStyle w:val="7"/>
        <w:numPr>
          <w:ilvl w:val="0"/>
          <w:numId w:val="0"/>
        </w:numPr>
        <w:spacing w:before="0" w:after="0" w:line="500" w:lineRule="exact"/>
        <w:ind w:left="-420" w:leftChars="0"/>
        <w:jc w:val="center"/>
        <w:rPr>
          <w:rFonts w:hint="eastAsia" w:ascii="仿宋_GB2312" w:hAnsi="仿宋_GB2312" w:eastAsia="仿宋_GB2312" w:cs="仿宋_GB2312"/>
          <w:b/>
          <w:bCs/>
          <w:i w:val="0"/>
          <w:iCs w:val="0"/>
          <w:caps w:val="0"/>
          <w:color w:val="000000"/>
          <w:spacing w:val="0"/>
          <w:kern w:val="0"/>
          <w:sz w:val="26"/>
          <w:szCs w:val="26"/>
          <w:lang w:val="en-US" w:eastAsia="zh-CN" w:bidi="ar"/>
        </w:rPr>
      </w:pPr>
      <w:bookmarkStart w:id="77" w:name="_Toc15659"/>
      <w:bookmarkStart w:id="78" w:name="_Toc9280"/>
      <w:bookmarkStart w:id="79" w:name="_Toc521014785"/>
      <w:bookmarkStart w:id="80" w:name="_Toc503212217"/>
      <w:bookmarkStart w:id="81" w:name="_Toc28926"/>
      <w:r>
        <w:rPr>
          <w:rFonts w:hint="eastAsia" w:ascii="仿宋_GB2312" w:hAnsi="仿宋_GB2312" w:eastAsia="仿宋_GB2312" w:cs="仿宋_GB2312"/>
          <w:b/>
          <w:bCs/>
          <w:i w:val="0"/>
          <w:iCs w:val="0"/>
          <w:caps w:val="0"/>
          <w:color w:val="000000"/>
          <w:spacing w:val="0"/>
          <w:kern w:val="0"/>
          <w:sz w:val="26"/>
          <w:szCs w:val="26"/>
          <w:lang w:val="en-US" w:eastAsia="zh-CN" w:bidi="ar"/>
        </w:rPr>
        <w:t>（七）投标文件的包装、递交、修改和撤回</w:t>
      </w:r>
      <w:bookmarkEnd w:id="77"/>
      <w:bookmarkEnd w:id="78"/>
      <w:bookmarkEnd w:id="79"/>
      <w:bookmarkEnd w:id="80"/>
      <w:bookmarkEnd w:id="81"/>
    </w:p>
    <w:p w14:paraId="668EC446">
      <w:pPr>
        <w:pStyle w:val="7"/>
        <w:numPr>
          <w:ilvl w:val="0"/>
          <w:numId w:val="0"/>
        </w:numPr>
        <w:spacing w:before="0" w:after="0" w:line="500" w:lineRule="exact"/>
        <w:ind w:left="-420" w:leftChars="0"/>
        <w:jc w:val="center"/>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（本项目为政采云不见面开标，一切以政采云不见面系统为准）</w:t>
      </w:r>
    </w:p>
    <w:p w14:paraId="56260731">
      <w:pPr>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1.投标人应将投标文件、报价明细表、投标文件电子版，按招标文件规定要求密封，所有投标文件信封上均应贴上封条,且加盖公章；封套上应写明：</w:t>
      </w:r>
    </w:p>
    <w:p w14:paraId="46F637B0">
      <w:pPr>
        <w:snapToGrid w:val="0"/>
        <w:spacing w:line="500" w:lineRule="exact"/>
        <w:ind w:firstLine="520" w:firstLineChars="2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项目名称、项目编号、投标人名称、年  月  日；并加盖单位公章。注明“开标前不准启封”等字样。</w:t>
      </w:r>
    </w:p>
    <w:p w14:paraId="37C62FA6">
      <w:pPr>
        <w:snapToGrid w:val="0"/>
        <w:spacing w:line="500" w:lineRule="exact"/>
        <w:ind w:firstLine="520" w:firstLineChars="200"/>
        <w:jc w:val="left"/>
        <w:rPr>
          <w:rFonts w:hint="eastAsia" w:ascii="仿宋" w:hAnsi="仿宋" w:eastAsia="仿宋" w:cs="仿宋"/>
          <w:sz w:val="26"/>
          <w:szCs w:val="26"/>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14:paraId="4353618D">
      <w:pPr>
        <w:pStyle w:val="7"/>
        <w:numPr>
          <w:ilvl w:val="0"/>
          <w:numId w:val="0"/>
        </w:numPr>
        <w:spacing w:before="0" w:after="0" w:line="500" w:lineRule="exact"/>
        <w:ind w:left="-420" w:leftChars="0"/>
        <w:jc w:val="center"/>
        <w:rPr>
          <w:rFonts w:hint="eastAsia" w:ascii="仿宋_GB2312" w:hAnsi="仿宋_GB2312" w:eastAsia="仿宋_GB2312" w:cs="仿宋_GB2312"/>
          <w:b/>
          <w:bCs/>
          <w:i w:val="0"/>
          <w:iCs w:val="0"/>
          <w:caps w:val="0"/>
          <w:color w:val="000000"/>
          <w:spacing w:val="0"/>
          <w:kern w:val="0"/>
          <w:sz w:val="26"/>
          <w:szCs w:val="26"/>
          <w:lang w:val="en-US" w:eastAsia="zh-CN" w:bidi="ar"/>
        </w:rPr>
      </w:pPr>
      <w:bookmarkStart w:id="82" w:name="_Toc503212218"/>
      <w:bookmarkStart w:id="83" w:name="_Toc5328"/>
      <w:bookmarkStart w:id="84" w:name="_Toc521014786"/>
      <w:bookmarkStart w:id="85" w:name="_Toc6355"/>
      <w:bookmarkStart w:id="86" w:name="_Toc4197"/>
      <w:r>
        <w:rPr>
          <w:rFonts w:hint="eastAsia" w:ascii="仿宋_GB2312" w:hAnsi="仿宋_GB2312" w:eastAsia="仿宋_GB2312" w:cs="仿宋_GB2312"/>
          <w:b/>
          <w:bCs/>
          <w:i w:val="0"/>
          <w:iCs w:val="0"/>
          <w:caps w:val="0"/>
          <w:color w:val="000000"/>
          <w:spacing w:val="0"/>
          <w:kern w:val="0"/>
          <w:sz w:val="26"/>
          <w:szCs w:val="26"/>
          <w:lang w:val="en-US" w:eastAsia="zh-CN" w:bidi="ar"/>
        </w:rPr>
        <w:t>（八）投标无效、废标的情形</w:t>
      </w:r>
      <w:bookmarkEnd w:id="82"/>
      <w:bookmarkEnd w:id="83"/>
      <w:bookmarkEnd w:id="84"/>
      <w:bookmarkEnd w:id="85"/>
      <w:bookmarkEnd w:id="86"/>
    </w:p>
    <w:p w14:paraId="05BE5FA2">
      <w:pPr>
        <w:snapToGrid w:val="0"/>
        <w:spacing w:line="500" w:lineRule="exact"/>
        <w:ind w:firstLine="420"/>
        <w:jc w:val="left"/>
        <w:rPr>
          <w:rFonts w:hint="eastAsia" w:ascii="仿宋_GB2312" w:hAnsi="仿宋_GB2312" w:eastAsia="仿宋_GB2312" w:cs="仿宋_GB2312"/>
          <w:b/>
          <w:bCs/>
          <w:i w:val="0"/>
          <w:iCs w:val="0"/>
          <w:caps w:val="0"/>
          <w:color w:val="000000"/>
          <w:spacing w:val="0"/>
          <w:kern w:val="0"/>
          <w:sz w:val="26"/>
          <w:szCs w:val="26"/>
          <w:lang w:val="en-US" w:eastAsia="zh-CN" w:bidi="ar"/>
        </w:rPr>
      </w:pPr>
      <w:bookmarkStart w:id="87" w:name="_Toc489694845"/>
      <w:bookmarkStart w:id="88" w:name="_Toc147"/>
      <w:bookmarkStart w:id="89" w:name="_Toc4106"/>
      <w:bookmarkStart w:id="90" w:name="_Toc18383"/>
      <w:bookmarkStart w:id="91" w:name="_Toc8983614"/>
      <w:bookmarkStart w:id="92" w:name="_Toc490155548"/>
      <w:bookmarkStart w:id="93" w:name="_Toc13224"/>
      <w:bookmarkStart w:id="94" w:name="_Toc4280"/>
      <w:r>
        <w:rPr>
          <w:rFonts w:hint="eastAsia" w:ascii="仿宋_GB2312" w:hAnsi="仿宋_GB2312" w:eastAsia="仿宋_GB2312" w:cs="仿宋_GB2312"/>
          <w:b/>
          <w:bCs/>
          <w:i w:val="0"/>
          <w:iCs w:val="0"/>
          <w:caps w:val="0"/>
          <w:color w:val="000000"/>
          <w:spacing w:val="0"/>
          <w:kern w:val="0"/>
          <w:sz w:val="26"/>
          <w:szCs w:val="26"/>
          <w:lang w:val="en-US" w:eastAsia="zh-CN" w:bidi="ar"/>
        </w:rPr>
        <w:t>1.无效投标条款</w:t>
      </w:r>
      <w:bookmarkEnd w:id="87"/>
      <w:bookmarkEnd w:id="88"/>
      <w:bookmarkEnd w:id="89"/>
      <w:bookmarkEnd w:id="90"/>
      <w:bookmarkEnd w:id="91"/>
      <w:bookmarkEnd w:id="92"/>
      <w:r>
        <w:rPr>
          <w:rFonts w:hint="eastAsia" w:ascii="仿宋_GB2312" w:hAnsi="仿宋_GB2312" w:eastAsia="仿宋_GB2312" w:cs="仿宋_GB2312"/>
          <w:b/>
          <w:bCs/>
          <w:i w:val="0"/>
          <w:iCs w:val="0"/>
          <w:caps w:val="0"/>
          <w:color w:val="000000"/>
          <w:spacing w:val="0"/>
          <w:kern w:val="0"/>
          <w:sz w:val="26"/>
          <w:szCs w:val="26"/>
          <w:lang w:val="en-US" w:eastAsia="zh-CN" w:bidi="ar"/>
        </w:rPr>
        <w:t>：</w:t>
      </w:r>
    </w:p>
    <w:p w14:paraId="405A5895">
      <w:pPr>
        <w:snapToGrid w:val="0"/>
        <w:spacing w:line="500" w:lineRule="exact"/>
        <w:ind w:firstLine="520" w:firstLineChars="200"/>
        <w:jc w:val="both"/>
        <w:rPr>
          <w:rFonts w:hint="eastAsia" w:ascii="仿宋_GB2312" w:hAnsi="仿宋_GB2312" w:eastAsia="仿宋_GB2312" w:cs="仿宋_GB2312"/>
          <w:b w:val="0"/>
          <w:bCs w:val="0"/>
          <w:i w:val="0"/>
          <w:iCs w:val="0"/>
          <w:caps w:val="0"/>
          <w:color w:val="000000"/>
          <w:spacing w:val="0"/>
          <w:kern w:val="0"/>
          <w:sz w:val="26"/>
          <w:szCs w:val="26"/>
          <w:lang w:val="en-US" w:eastAsia="zh-CN" w:bidi="ar"/>
        </w:rPr>
      </w:pPr>
      <w:bookmarkStart w:id="95" w:name="_Toc3014"/>
      <w:bookmarkStart w:id="96" w:name="_Toc489694846"/>
      <w:bookmarkStart w:id="97" w:name="_Toc8983615"/>
      <w:bookmarkStart w:id="98" w:name="_Toc490155549"/>
      <w:bookmarkStart w:id="99" w:name="_Toc24648"/>
      <w:bookmarkStart w:id="100" w:name="_Toc30360"/>
      <w:r>
        <w:rPr>
          <w:rFonts w:hint="eastAsia" w:ascii="仿宋_GB2312" w:hAnsi="仿宋_GB2312" w:eastAsia="仿宋_GB2312" w:cs="仿宋_GB2312"/>
          <w:b w:val="0"/>
          <w:bCs w:val="0"/>
          <w:i w:val="0"/>
          <w:iCs w:val="0"/>
          <w:caps w:val="0"/>
          <w:color w:val="000000"/>
          <w:spacing w:val="0"/>
          <w:kern w:val="0"/>
          <w:sz w:val="26"/>
          <w:szCs w:val="26"/>
          <w:lang w:val="en-US" w:eastAsia="zh-CN" w:bidi="ar"/>
        </w:rPr>
        <w:t>（1）未按照招标文件的规定提交投标保证金的；</w:t>
      </w:r>
    </w:p>
    <w:p w14:paraId="339836C5">
      <w:pPr>
        <w:snapToGrid w:val="0"/>
        <w:spacing w:line="500" w:lineRule="exact"/>
        <w:ind w:firstLine="520" w:firstLineChars="200"/>
        <w:jc w:val="both"/>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（2）投标文件未按招标文件要求签署、盖章的；</w:t>
      </w:r>
    </w:p>
    <w:p w14:paraId="0E4FC501">
      <w:pPr>
        <w:snapToGrid w:val="0"/>
        <w:spacing w:line="500" w:lineRule="exact"/>
        <w:ind w:firstLine="520" w:firstLineChars="200"/>
        <w:jc w:val="both"/>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（3）不具备招标文件中规定的资格要求的；</w:t>
      </w:r>
    </w:p>
    <w:p w14:paraId="02B0CBCD">
      <w:pPr>
        <w:snapToGrid w:val="0"/>
        <w:spacing w:line="500" w:lineRule="exact"/>
        <w:ind w:firstLine="520" w:firstLineChars="200"/>
        <w:jc w:val="both"/>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（4）报价超过招标文件中规定的预算金额或者最高限价的；</w:t>
      </w:r>
    </w:p>
    <w:p w14:paraId="3FBDE703">
      <w:pPr>
        <w:snapToGrid w:val="0"/>
        <w:spacing w:line="500" w:lineRule="exact"/>
        <w:ind w:firstLine="520" w:firstLineChars="200"/>
        <w:jc w:val="both"/>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（5）投标文件含有采购人不能接受的附加条件的;</w:t>
      </w:r>
    </w:p>
    <w:p w14:paraId="67D7D92C">
      <w:pPr>
        <w:snapToGrid w:val="0"/>
        <w:spacing w:line="500" w:lineRule="exact"/>
        <w:ind w:firstLine="520" w:firstLineChars="200"/>
        <w:jc w:val="both"/>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（6）法律、法规和招标文件规定的其他无效情形。</w:t>
      </w:r>
    </w:p>
    <w:p w14:paraId="31D25BCC">
      <w:pPr>
        <w:snapToGrid w:val="0"/>
        <w:spacing w:line="500" w:lineRule="exact"/>
        <w:ind w:firstLine="420"/>
        <w:jc w:val="left"/>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2.废标条款</w:t>
      </w:r>
      <w:bookmarkEnd w:id="95"/>
      <w:bookmarkEnd w:id="96"/>
      <w:bookmarkEnd w:id="97"/>
      <w:bookmarkEnd w:id="98"/>
      <w:bookmarkEnd w:id="99"/>
      <w:bookmarkEnd w:id="100"/>
    </w:p>
    <w:p w14:paraId="55AD0874">
      <w:pPr>
        <w:snapToGrid w:val="0"/>
        <w:spacing w:line="500" w:lineRule="exact"/>
        <w:ind w:firstLine="520" w:firstLineChars="200"/>
        <w:jc w:val="both"/>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（1）符合专业条件的投标人或者对招标文件作实质响应的投标人不足三家；</w:t>
      </w:r>
    </w:p>
    <w:p w14:paraId="66503421">
      <w:pPr>
        <w:snapToGrid w:val="0"/>
        <w:spacing w:line="500" w:lineRule="exact"/>
        <w:ind w:firstLine="520" w:firstLineChars="200"/>
        <w:jc w:val="both"/>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（2）出现影响采购公正的违法、违规行为的；</w:t>
      </w:r>
    </w:p>
    <w:p w14:paraId="6D74E381">
      <w:pPr>
        <w:snapToGrid w:val="0"/>
        <w:spacing w:line="500" w:lineRule="exact"/>
        <w:ind w:firstLine="520" w:firstLineChars="200"/>
        <w:jc w:val="both"/>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（3）投标人的报价均超过了采购预算，采购人不能支付的；</w:t>
      </w:r>
    </w:p>
    <w:p w14:paraId="6082ABCE">
      <w:pPr>
        <w:snapToGrid w:val="0"/>
        <w:spacing w:line="500" w:lineRule="exact"/>
        <w:ind w:firstLine="520" w:firstLineChars="200"/>
        <w:jc w:val="both"/>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（4）因重大变故，采购任务取消的。</w:t>
      </w:r>
    </w:p>
    <w:p w14:paraId="4BB4BA08">
      <w:pPr>
        <w:snapToGrid w:val="0"/>
        <w:spacing w:line="500" w:lineRule="exact"/>
        <w:ind w:firstLine="520" w:firstLineChars="200"/>
        <w:jc w:val="both"/>
        <w:rPr>
          <w:rFonts w:hint="eastAsia" w:ascii="仿宋" w:hAnsi="仿宋" w:eastAsia="仿宋" w:cs="仿宋"/>
          <w:sz w:val="26"/>
          <w:szCs w:val="26"/>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废标后，采购人应当将废标理由通知所有投标人。</w:t>
      </w:r>
    </w:p>
    <w:p w14:paraId="3DDDE6F6">
      <w:pPr>
        <w:snapToGrid w:val="0"/>
        <w:spacing w:line="500" w:lineRule="exact"/>
        <w:ind w:firstLine="420"/>
        <w:jc w:val="left"/>
        <w:rPr>
          <w:rFonts w:hint="eastAsia" w:ascii="仿宋_GB2312" w:hAnsi="仿宋_GB2312" w:eastAsia="仿宋_GB2312" w:cs="仿宋_GB2312"/>
          <w:b/>
          <w:bCs/>
          <w:i w:val="0"/>
          <w:iCs w:val="0"/>
          <w:caps w:val="0"/>
          <w:color w:val="000000"/>
          <w:spacing w:val="0"/>
          <w:kern w:val="0"/>
          <w:sz w:val="26"/>
          <w:szCs w:val="26"/>
          <w:lang w:val="en-US" w:eastAsia="zh-CN" w:bidi="ar"/>
        </w:rPr>
      </w:pPr>
      <w:bookmarkStart w:id="101" w:name="_Toc490155550"/>
      <w:bookmarkStart w:id="102" w:name="_Toc8983616"/>
      <w:bookmarkStart w:id="103" w:name="_Toc19310"/>
      <w:bookmarkStart w:id="104" w:name="_Toc15294"/>
      <w:bookmarkStart w:id="105" w:name="_Toc26457"/>
      <w:bookmarkStart w:id="106" w:name="_Toc489694847"/>
      <w:r>
        <w:rPr>
          <w:rFonts w:hint="eastAsia" w:ascii="仿宋_GB2312" w:hAnsi="仿宋_GB2312" w:eastAsia="仿宋_GB2312" w:cs="仿宋_GB2312"/>
          <w:b/>
          <w:bCs/>
          <w:i w:val="0"/>
          <w:iCs w:val="0"/>
          <w:caps w:val="0"/>
          <w:color w:val="000000"/>
          <w:spacing w:val="0"/>
          <w:kern w:val="0"/>
          <w:sz w:val="26"/>
          <w:szCs w:val="26"/>
          <w:lang w:val="en-US" w:eastAsia="zh-CN" w:bidi="ar"/>
        </w:rPr>
        <w:t>3.投标人不足三家情形处理</w:t>
      </w:r>
      <w:bookmarkEnd w:id="101"/>
      <w:bookmarkEnd w:id="102"/>
      <w:bookmarkEnd w:id="103"/>
      <w:bookmarkEnd w:id="104"/>
      <w:bookmarkEnd w:id="105"/>
      <w:bookmarkEnd w:id="106"/>
    </w:p>
    <w:p w14:paraId="7DD23886">
      <w:pPr>
        <w:snapToGrid w:val="0"/>
        <w:spacing w:line="500" w:lineRule="exact"/>
        <w:ind w:firstLine="520" w:firstLineChars="200"/>
        <w:jc w:val="both"/>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如出现投标截止时间结束后参加的投标人不足三家的，采购单位应当报告财政部门，按照以下原则处理：</w:t>
      </w:r>
    </w:p>
    <w:p w14:paraId="60F711AB">
      <w:pPr>
        <w:snapToGrid w:val="0"/>
        <w:spacing w:line="500" w:lineRule="exact"/>
        <w:ind w:firstLine="520" w:firstLineChars="200"/>
        <w:jc w:val="both"/>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（1）招标文件存在不合理条款或者招标程序不符合规定的，采购人、采购代理机构改正后依法重新招标；</w:t>
      </w:r>
    </w:p>
    <w:p w14:paraId="6B8F4670">
      <w:pPr>
        <w:snapToGrid w:val="0"/>
        <w:spacing w:line="500" w:lineRule="exact"/>
        <w:ind w:firstLine="520" w:firstLineChars="200"/>
        <w:jc w:val="both"/>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（2）招标文件没有不合理条款、招标程序符合规定，需要采用其他采购人式采购的，采购人应当依法报财政部门批准。</w:t>
      </w:r>
    </w:p>
    <w:p w14:paraId="44ACD9A9">
      <w:pPr>
        <w:snapToGrid w:val="0"/>
        <w:spacing w:line="500" w:lineRule="exact"/>
        <w:ind w:firstLine="420"/>
        <w:jc w:val="left"/>
        <w:rPr>
          <w:rFonts w:hint="eastAsia" w:ascii="仿宋_GB2312" w:hAnsi="仿宋_GB2312" w:eastAsia="仿宋_GB2312" w:cs="仿宋_GB2312"/>
          <w:b/>
          <w:bCs/>
          <w:i w:val="0"/>
          <w:iCs w:val="0"/>
          <w:caps w:val="0"/>
          <w:color w:val="000000"/>
          <w:spacing w:val="0"/>
          <w:kern w:val="0"/>
          <w:sz w:val="26"/>
          <w:szCs w:val="26"/>
          <w:lang w:val="en-US" w:eastAsia="zh-CN" w:bidi="ar"/>
        </w:rPr>
      </w:pPr>
      <w:bookmarkStart w:id="107" w:name="_Toc11755"/>
      <w:bookmarkStart w:id="108" w:name="_Toc489694848"/>
      <w:bookmarkStart w:id="109" w:name="_Toc8983617"/>
      <w:bookmarkStart w:id="110" w:name="_Toc5435"/>
      <w:bookmarkStart w:id="111" w:name="_Toc21037"/>
      <w:bookmarkStart w:id="112" w:name="_Toc490155551"/>
      <w:r>
        <w:rPr>
          <w:rFonts w:hint="eastAsia" w:ascii="仿宋_GB2312" w:hAnsi="仿宋_GB2312" w:eastAsia="仿宋_GB2312" w:cs="仿宋_GB2312"/>
          <w:b/>
          <w:bCs/>
          <w:i w:val="0"/>
          <w:iCs w:val="0"/>
          <w:caps w:val="0"/>
          <w:color w:val="000000"/>
          <w:spacing w:val="0"/>
          <w:kern w:val="0"/>
          <w:sz w:val="26"/>
          <w:szCs w:val="26"/>
          <w:lang w:val="en-US" w:eastAsia="zh-CN" w:bidi="ar"/>
        </w:rPr>
        <w:t>4.中标、成交无效条款</w:t>
      </w:r>
      <w:bookmarkEnd w:id="107"/>
      <w:bookmarkEnd w:id="108"/>
      <w:bookmarkEnd w:id="109"/>
      <w:bookmarkEnd w:id="110"/>
      <w:bookmarkEnd w:id="111"/>
      <w:bookmarkEnd w:id="112"/>
    </w:p>
    <w:p w14:paraId="523471B6">
      <w:pPr>
        <w:snapToGrid w:val="0"/>
        <w:spacing w:line="500" w:lineRule="exact"/>
        <w:ind w:firstLine="520" w:firstLineChars="200"/>
        <w:jc w:val="both"/>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（1）提供虚假材料谋取成交的；</w:t>
      </w:r>
    </w:p>
    <w:p w14:paraId="63D3CBC3">
      <w:pPr>
        <w:snapToGrid w:val="0"/>
        <w:spacing w:line="500" w:lineRule="exact"/>
        <w:ind w:firstLine="520" w:firstLineChars="200"/>
        <w:jc w:val="both"/>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（2）采取不正当手段诋毁、排挤其他投标人的；</w:t>
      </w:r>
    </w:p>
    <w:p w14:paraId="00E49EF9">
      <w:pPr>
        <w:snapToGrid w:val="0"/>
        <w:spacing w:line="500" w:lineRule="exact"/>
        <w:ind w:firstLine="520" w:firstLineChars="200"/>
        <w:jc w:val="both"/>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（3）与采购人、其他投标人或者采购代理机构恶意串通的；</w:t>
      </w:r>
    </w:p>
    <w:p w14:paraId="0CE8DAC5">
      <w:pPr>
        <w:snapToGrid w:val="0"/>
        <w:spacing w:line="500" w:lineRule="exact"/>
        <w:ind w:firstLine="520" w:firstLineChars="200"/>
        <w:jc w:val="both"/>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（4）向采购人、采购代理机构行贿或者提供其他不正当利益的；</w:t>
      </w:r>
    </w:p>
    <w:p w14:paraId="20DCBF62">
      <w:pPr>
        <w:snapToGrid w:val="0"/>
        <w:spacing w:line="500" w:lineRule="exact"/>
        <w:ind w:firstLine="520" w:firstLineChars="200"/>
        <w:jc w:val="both"/>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（5）在规定的时间内未与采购人签订采购合同的；</w:t>
      </w:r>
    </w:p>
    <w:p w14:paraId="5C991B2E">
      <w:pPr>
        <w:snapToGrid w:val="0"/>
        <w:spacing w:line="500" w:lineRule="exact"/>
        <w:ind w:firstLine="520" w:firstLineChars="200"/>
        <w:jc w:val="both"/>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（6）在招标采购过程中与采购人进行协商谈判的;</w:t>
      </w:r>
    </w:p>
    <w:p w14:paraId="1D0C7C91">
      <w:pPr>
        <w:snapToGrid w:val="0"/>
        <w:spacing w:line="500" w:lineRule="exact"/>
        <w:ind w:firstLine="520" w:firstLineChars="200"/>
        <w:jc w:val="both"/>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（7）法律、法规规定的其他情况。</w:t>
      </w:r>
    </w:p>
    <w:p w14:paraId="468E8A40">
      <w:pPr>
        <w:pStyle w:val="7"/>
        <w:numPr>
          <w:ilvl w:val="0"/>
          <w:numId w:val="0"/>
        </w:numPr>
        <w:spacing w:before="0" w:after="0" w:line="500" w:lineRule="exact"/>
        <w:ind w:left="-420" w:leftChars="0"/>
        <w:jc w:val="center"/>
        <w:rPr>
          <w:rFonts w:hint="default" w:ascii="仿宋_GB2312" w:hAnsi="仿宋_GB2312" w:eastAsia="仿宋_GB2312" w:cs="仿宋_GB2312"/>
          <w:b/>
          <w:bCs/>
          <w:i w:val="0"/>
          <w:iCs w:val="0"/>
          <w:caps w:val="0"/>
          <w:color w:val="000000"/>
          <w:spacing w:val="0"/>
          <w:kern w:val="0"/>
          <w:sz w:val="26"/>
          <w:szCs w:val="26"/>
          <w:lang w:val="en-US" w:eastAsia="zh-CN" w:bidi="ar"/>
        </w:rPr>
      </w:pPr>
      <w:bookmarkStart w:id="113" w:name="_Toc503212219"/>
      <w:bookmarkStart w:id="114" w:name="_Toc521014787"/>
      <w:bookmarkStart w:id="115" w:name="_Toc20547"/>
      <w:r>
        <w:rPr>
          <w:rFonts w:hint="eastAsia" w:ascii="仿宋_GB2312" w:hAnsi="仿宋_GB2312" w:eastAsia="仿宋_GB2312" w:cs="仿宋_GB2312"/>
          <w:b/>
          <w:bCs/>
          <w:i w:val="0"/>
          <w:iCs w:val="0"/>
          <w:caps w:val="0"/>
          <w:color w:val="000000"/>
          <w:spacing w:val="0"/>
          <w:kern w:val="0"/>
          <w:sz w:val="26"/>
          <w:szCs w:val="26"/>
          <w:lang w:val="en-US" w:eastAsia="zh-CN" w:bidi="ar"/>
        </w:rPr>
        <w:t>（九）开标</w:t>
      </w:r>
      <w:bookmarkEnd w:id="93"/>
      <w:bookmarkEnd w:id="94"/>
      <w:bookmarkEnd w:id="113"/>
      <w:bookmarkEnd w:id="114"/>
      <w:bookmarkEnd w:id="115"/>
      <w:r>
        <w:rPr>
          <w:rFonts w:hint="eastAsia" w:ascii="仿宋_GB2312" w:hAnsi="仿宋_GB2312" w:eastAsia="仿宋_GB2312" w:cs="仿宋_GB2312"/>
          <w:b/>
          <w:bCs/>
          <w:i w:val="0"/>
          <w:iCs w:val="0"/>
          <w:caps w:val="0"/>
          <w:color w:val="000000"/>
          <w:spacing w:val="0"/>
          <w:kern w:val="0"/>
          <w:sz w:val="26"/>
          <w:szCs w:val="26"/>
          <w:lang w:val="en-US" w:eastAsia="zh-CN" w:bidi="ar"/>
        </w:rPr>
        <w:t>、评标</w:t>
      </w:r>
    </w:p>
    <w:p w14:paraId="34B58DA1">
      <w:pPr>
        <w:pStyle w:val="15"/>
        <w:snapToGrid w:val="0"/>
        <w:spacing w:line="500" w:lineRule="exact"/>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（一）开标程序：</w:t>
      </w:r>
      <w:bookmarkStart w:id="116" w:name="_Toc28275"/>
    </w:p>
    <w:p w14:paraId="47A7A47E">
      <w:pPr>
        <w:pStyle w:val="15"/>
        <w:snapToGrid w:val="0"/>
        <w:spacing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1.采购人按招标文件规定的时间、地点组织投标。采购单位代表及有关工作人员参加，政府采购监管部门视情况参与。</w:t>
      </w:r>
      <w:bookmarkStart w:id="117" w:name="_Hlk139879362"/>
    </w:p>
    <w:p w14:paraId="09D4C6F4">
      <w:pPr>
        <w:pStyle w:val="15"/>
        <w:snapToGrid w:val="0"/>
        <w:spacing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2.经采购人委托，开标由采购代理机构主持。投标人应在30分钟内完成在线解密。</w:t>
      </w:r>
      <w:bookmarkEnd w:id="117"/>
    </w:p>
    <w:p w14:paraId="1FD3CCAD">
      <w:pPr>
        <w:pStyle w:val="15"/>
        <w:snapToGrid w:val="0"/>
        <w:spacing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对各投标人报价进行唱标，投标文件中投标报价表内容与投标承诺书内容不一致的，以投标报价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260C3CA4">
      <w:pPr>
        <w:pStyle w:val="15"/>
        <w:snapToGrid w:val="0"/>
        <w:spacing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4.开标结束后30分钟内完成“开标一览表”在线签章。完毕之后进入资格审查及评标环节。</w:t>
      </w:r>
    </w:p>
    <w:p w14:paraId="4DCFCCDB">
      <w:pPr>
        <w:pStyle w:val="15"/>
        <w:snapToGrid w:val="0"/>
        <w:spacing w:line="500" w:lineRule="exact"/>
        <w:ind w:firstLine="260" w:firstLineChars="100"/>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5.开标时，由采购代理机构辅助采购人对投标人进行资格审查，未通过资格审查的投标人，未通过资格审查的投标人不进入评标；进入评标的投标人不足3家的，不得评标。</w:t>
      </w:r>
      <w:r>
        <w:rPr>
          <w:rFonts w:hint="eastAsia" w:ascii="仿宋_GB2312" w:hAnsi="仿宋_GB2312" w:eastAsia="仿宋_GB2312" w:cs="仿宋_GB2312"/>
          <w:b/>
          <w:bCs/>
          <w:i w:val="0"/>
          <w:iCs w:val="0"/>
          <w:caps w:val="0"/>
          <w:color w:val="000000"/>
          <w:spacing w:val="0"/>
          <w:kern w:val="0"/>
          <w:sz w:val="26"/>
          <w:szCs w:val="26"/>
          <w:lang w:val="en-US" w:eastAsia="zh-CN" w:bidi="ar"/>
        </w:rPr>
        <w:t>本项目资格要求必须提供证件：</w:t>
      </w:r>
    </w:p>
    <w:p w14:paraId="7DCBCD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20" w:firstLineChars="200"/>
        <w:jc w:val="both"/>
        <w:textAlignment w:val="auto"/>
        <w:rPr>
          <w:rFonts w:hint="eastAsia" w:ascii="仿宋" w:hAnsi="仿宋" w:eastAsia="仿宋" w:cs="仿宋"/>
          <w:i w:val="0"/>
          <w:iCs w:val="0"/>
          <w:caps w:val="0"/>
          <w:color w:val="000000"/>
          <w:spacing w:val="0"/>
          <w:kern w:val="0"/>
          <w:sz w:val="26"/>
          <w:szCs w:val="26"/>
          <w:lang w:val="en-US" w:eastAsia="zh-CN" w:bidi="ar"/>
        </w:rPr>
      </w:pPr>
      <w:r>
        <w:rPr>
          <w:rFonts w:hint="eastAsia" w:ascii="仿宋" w:hAnsi="仿宋" w:eastAsia="仿宋" w:cs="仿宋"/>
          <w:i w:val="0"/>
          <w:iCs w:val="0"/>
          <w:caps w:val="0"/>
          <w:color w:val="000000"/>
          <w:spacing w:val="0"/>
          <w:kern w:val="0"/>
          <w:sz w:val="26"/>
          <w:szCs w:val="26"/>
          <w:lang w:val="en-US" w:eastAsia="zh-CN" w:bidi="ar"/>
        </w:rPr>
        <w:t>（1）投标人须具备有效经年检合格的“三证合一”营业执照；</w:t>
      </w:r>
    </w:p>
    <w:p w14:paraId="4FF2ED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20" w:firstLineChars="200"/>
        <w:jc w:val="both"/>
        <w:textAlignment w:val="auto"/>
        <w:rPr>
          <w:rFonts w:hint="eastAsia" w:ascii="仿宋" w:hAnsi="仿宋" w:eastAsia="仿宋" w:cs="仿宋"/>
          <w:i w:val="0"/>
          <w:iCs w:val="0"/>
          <w:caps w:val="0"/>
          <w:color w:val="000000"/>
          <w:spacing w:val="0"/>
          <w:kern w:val="0"/>
          <w:sz w:val="26"/>
          <w:szCs w:val="26"/>
          <w:lang w:val="en-US" w:eastAsia="zh-CN" w:bidi="ar"/>
        </w:rPr>
      </w:pPr>
      <w:r>
        <w:rPr>
          <w:rFonts w:hint="eastAsia" w:ascii="仿宋" w:hAnsi="仿宋" w:eastAsia="仿宋" w:cs="仿宋"/>
          <w:i w:val="0"/>
          <w:iCs w:val="0"/>
          <w:caps w:val="0"/>
          <w:color w:val="000000"/>
          <w:spacing w:val="0"/>
          <w:kern w:val="0"/>
          <w:sz w:val="26"/>
          <w:szCs w:val="26"/>
          <w:lang w:val="en-US" w:eastAsia="zh-CN" w:bidi="ar"/>
        </w:rPr>
        <w:t>（2）法定代表人、委托人的身份证明及授权委托书；</w:t>
      </w:r>
    </w:p>
    <w:p w14:paraId="3FDD74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20" w:firstLineChars="200"/>
        <w:jc w:val="both"/>
        <w:textAlignment w:val="auto"/>
        <w:rPr>
          <w:rFonts w:hint="eastAsia" w:ascii="仿宋" w:hAnsi="仿宋" w:eastAsia="仿宋" w:cs="仿宋"/>
          <w:i w:val="0"/>
          <w:iCs w:val="0"/>
          <w:caps w:val="0"/>
          <w:color w:val="000000"/>
          <w:spacing w:val="0"/>
          <w:kern w:val="0"/>
          <w:sz w:val="26"/>
          <w:szCs w:val="26"/>
          <w:lang w:val="en-US" w:eastAsia="zh-CN" w:bidi="ar"/>
        </w:rPr>
      </w:pPr>
      <w:r>
        <w:rPr>
          <w:rFonts w:hint="eastAsia" w:ascii="仿宋" w:hAnsi="仿宋" w:eastAsia="仿宋" w:cs="仿宋"/>
          <w:i w:val="0"/>
          <w:iCs w:val="0"/>
          <w:caps w:val="0"/>
          <w:color w:val="000000"/>
          <w:spacing w:val="0"/>
          <w:kern w:val="0"/>
          <w:sz w:val="26"/>
          <w:szCs w:val="26"/>
          <w:lang w:val="en-US" w:eastAsia="zh-CN" w:bidi="ar"/>
        </w:rPr>
        <w:t>（3）投标人需提供本单位依法缴纳投标截止时间前半年内任意连续近三个月社保缴纳证明单位缴费个人明细表（社保证明可含：社保缴费凭证、社保缴费证明、社保缴费汇总单、依法缴纳社保的完税证明）；</w:t>
      </w:r>
    </w:p>
    <w:p w14:paraId="726083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20" w:firstLineChars="200"/>
        <w:jc w:val="both"/>
        <w:textAlignment w:val="auto"/>
        <w:rPr>
          <w:rFonts w:hint="eastAsia" w:ascii="仿宋" w:hAnsi="仿宋" w:eastAsia="仿宋" w:cs="仿宋"/>
          <w:i w:val="0"/>
          <w:iCs w:val="0"/>
          <w:caps w:val="0"/>
          <w:color w:val="000000"/>
          <w:spacing w:val="0"/>
          <w:kern w:val="0"/>
          <w:sz w:val="26"/>
          <w:szCs w:val="26"/>
          <w:lang w:val="en-US" w:eastAsia="zh-CN" w:bidi="ar"/>
        </w:rPr>
      </w:pPr>
      <w:r>
        <w:rPr>
          <w:rFonts w:hint="eastAsia" w:ascii="仿宋" w:hAnsi="仿宋" w:eastAsia="仿宋" w:cs="仿宋"/>
          <w:i w:val="0"/>
          <w:iCs w:val="0"/>
          <w:caps w:val="0"/>
          <w:color w:val="000000"/>
          <w:spacing w:val="0"/>
          <w:kern w:val="0"/>
          <w:sz w:val="26"/>
          <w:szCs w:val="26"/>
          <w:lang w:val="en-US" w:eastAsia="zh-CN" w:bidi="ar"/>
        </w:rPr>
        <w:t>（4）投标人需提供2023年度第三方审计机构出具的财务审计报告(会计周期不满一年的提供近三个月银行出具的资信证明）和健全的财务会计制度；</w:t>
      </w:r>
    </w:p>
    <w:p w14:paraId="37F52F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20" w:firstLineChars="200"/>
        <w:jc w:val="both"/>
        <w:textAlignment w:val="auto"/>
        <w:rPr>
          <w:rFonts w:hint="eastAsia" w:ascii="仿宋" w:hAnsi="仿宋" w:eastAsia="仿宋" w:cs="仿宋"/>
          <w:i w:val="0"/>
          <w:iCs w:val="0"/>
          <w:caps w:val="0"/>
          <w:color w:val="000000"/>
          <w:spacing w:val="0"/>
          <w:kern w:val="0"/>
          <w:sz w:val="26"/>
          <w:szCs w:val="26"/>
          <w:lang w:val="en-US" w:eastAsia="zh-CN" w:bidi="ar"/>
        </w:rPr>
      </w:pPr>
      <w:r>
        <w:rPr>
          <w:rFonts w:hint="eastAsia" w:ascii="仿宋" w:hAnsi="仿宋" w:eastAsia="仿宋" w:cs="仿宋"/>
          <w:i w:val="0"/>
          <w:iCs w:val="0"/>
          <w:caps w:val="0"/>
          <w:color w:val="000000"/>
          <w:spacing w:val="0"/>
          <w:kern w:val="0"/>
          <w:sz w:val="26"/>
          <w:szCs w:val="26"/>
          <w:lang w:val="en-US" w:eastAsia="zh-CN" w:bidi="ar"/>
        </w:rPr>
        <w:t>（5）投标人需提供税务部门出具投标截止时间前半年内任意连续近三个月缴纳税收的完税证明（需含增值税、印花税等税种；如当月无需缴税需提供税务机关出具的无欠税证明）；</w:t>
      </w:r>
    </w:p>
    <w:p w14:paraId="6047BC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20" w:firstLineChars="200"/>
        <w:jc w:val="both"/>
        <w:textAlignment w:val="auto"/>
        <w:rPr>
          <w:rFonts w:hint="eastAsia" w:ascii="仿宋_GB2312" w:hAnsi="仿宋_GB2312" w:eastAsia="仿宋_GB2312" w:cs="仿宋_GB2312"/>
          <w:i w:val="0"/>
          <w:iCs w:val="0"/>
          <w:caps w:val="0"/>
          <w:color w:val="000000"/>
          <w:spacing w:val="0"/>
          <w:kern w:val="0"/>
          <w:sz w:val="28"/>
          <w:szCs w:val="28"/>
          <w:highlight w:val="green"/>
          <w:lang w:val="en-US" w:eastAsia="zh-CN" w:bidi="ar"/>
        </w:rPr>
      </w:pPr>
      <w:r>
        <w:rPr>
          <w:rFonts w:hint="eastAsia" w:ascii="仿宋" w:hAnsi="仿宋" w:eastAsia="仿宋" w:cs="仿宋"/>
          <w:i w:val="0"/>
          <w:iCs w:val="0"/>
          <w:caps w:val="0"/>
          <w:color w:val="000000"/>
          <w:spacing w:val="0"/>
          <w:kern w:val="0"/>
          <w:sz w:val="26"/>
          <w:szCs w:val="26"/>
          <w:lang w:val="en-US" w:eastAsia="zh-CN" w:bidi="ar"/>
        </w:rPr>
        <w:t>（6）凡拟参加本次招标项目的投标人，近三年内如在“信用中国（www.creditchina.gov.cn）”被列入失信被执行人、企业经营异常名录、重大税收违法案件当事人名单、政府采购严重违法失信名单（尚在处罚期内的）“中国政府采购网（www.ccgp.gov.cn）”被列入政府采购严重违法失信行为记录名单的（尚在处罚期内的）“国家企业信用信息公示系统（http://www.gsxt.gov.cn）”列入经营异常名录信息、严重违法失信名单（黑名单）信息（尚在处罚期内的）；将拒绝其参与本次政府采购活动；提供上述网页查询截图并加盖公章，</w:t>
      </w:r>
      <w:r>
        <w:rPr>
          <w:rFonts w:hint="eastAsia" w:ascii="仿宋_GB2312" w:hAnsi="仿宋_GB2312" w:eastAsia="仿宋_GB2312" w:cs="仿宋_GB2312"/>
          <w:i w:val="0"/>
          <w:iCs w:val="0"/>
          <w:caps w:val="0"/>
          <w:color w:val="000000"/>
          <w:spacing w:val="0"/>
          <w:kern w:val="0"/>
          <w:sz w:val="26"/>
          <w:szCs w:val="26"/>
          <w:highlight w:val="green"/>
          <w:lang w:val="en-US" w:eastAsia="zh-CN" w:bidi="ar"/>
        </w:rPr>
        <w:t>查询日期必须为此项目公告发布至开标截止时间前一日内有效；</w:t>
      </w:r>
    </w:p>
    <w:p w14:paraId="0E8C38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20" w:firstLineChars="200"/>
        <w:jc w:val="both"/>
        <w:textAlignment w:val="auto"/>
        <w:rPr>
          <w:rFonts w:hint="eastAsia" w:ascii="仿宋" w:hAnsi="仿宋" w:eastAsia="仿宋" w:cs="仿宋"/>
          <w:i w:val="0"/>
          <w:iCs w:val="0"/>
          <w:caps w:val="0"/>
          <w:color w:val="000000"/>
          <w:spacing w:val="0"/>
          <w:kern w:val="0"/>
          <w:sz w:val="26"/>
          <w:szCs w:val="26"/>
          <w:lang w:val="en-US" w:eastAsia="zh-CN" w:bidi="ar"/>
        </w:rPr>
      </w:pPr>
      <w:r>
        <w:rPr>
          <w:rFonts w:hint="eastAsia" w:ascii="仿宋" w:hAnsi="仿宋" w:eastAsia="仿宋" w:cs="仿宋"/>
          <w:i w:val="0"/>
          <w:iCs w:val="0"/>
          <w:caps w:val="0"/>
          <w:color w:val="000000"/>
          <w:spacing w:val="0"/>
          <w:kern w:val="0"/>
          <w:sz w:val="26"/>
          <w:szCs w:val="26"/>
          <w:lang w:val="en-US" w:eastAsia="zh-CN" w:bidi="ar"/>
        </w:rPr>
        <w:t>（7）投标人提供针对本次项目《反商业贿赂承诺书》；</w:t>
      </w:r>
    </w:p>
    <w:p w14:paraId="03D3AD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20" w:firstLineChars="200"/>
        <w:jc w:val="both"/>
        <w:textAlignment w:val="auto"/>
        <w:rPr>
          <w:rFonts w:hint="eastAsia" w:ascii="仿宋" w:hAnsi="仿宋" w:eastAsia="仿宋" w:cs="仿宋"/>
          <w:i w:val="0"/>
          <w:iCs w:val="0"/>
          <w:caps w:val="0"/>
          <w:color w:val="000000"/>
          <w:spacing w:val="0"/>
          <w:kern w:val="0"/>
          <w:sz w:val="26"/>
          <w:szCs w:val="26"/>
          <w:lang w:val="en-US" w:eastAsia="zh-CN" w:bidi="ar"/>
        </w:rPr>
      </w:pPr>
      <w:r>
        <w:rPr>
          <w:rFonts w:hint="eastAsia" w:ascii="仿宋" w:hAnsi="仿宋" w:eastAsia="仿宋" w:cs="仿宋"/>
          <w:i w:val="0"/>
          <w:iCs w:val="0"/>
          <w:caps w:val="0"/>
          <w:color w:val="000000"/>
          <w:spacing w:val="0"/>
          <w:kern w:val="0"/>
          <w:sz w:val="26"/>
          <w:szCs w:val="26"/>
          <w:lang w:val="en-US" w:eastAsia="zh-CN" w:bidi="ar"/>
        </w:rPr>
        <w:t>（8）参加政府采购活动前3年内在经营活动中没有重大违法记录的书面声明；</w:t>
      </w:r>
    </w:p>
    <w:p w14:paraId="636A4C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20" w:firstLineChars="200"/>
        <w:jc w:val="both"/>
        <w:textAlignment w:val="auto"/>
        <w:rPr>
          <w:rFonts w:hint="eastAsia" w:ascii="仿宋" w:hAnsi="仿宋" w:eastAsia="仿宋" w:cs="仿宋"/>
          <w:i w:val="0"/>
          <w:iCs w:val="0"/>
          <w:caps w:val="0"/>
          <w:color w:val="000000"/>
          <w:spacing w:val="0"/>
          <w:kern w:val="0"/>
          <w:sz w:val="26"/>
          <w:szCs w:val="26"/>
          <w:lang w:val="en-US" w:eastAsia="zh-CN" w:bidi="ar"/>
        </w:rPr>
      </w:pPr>
      <w:r>
        <w:rPr>
          <w:rFonts w:hint="eastAsia" w:ascii="仿宋" w:hAnsi="仿宋" w:eastAsia="仿宋" w:cs="仿宋"/>
          <w:i w:val="0"/>
          <w:iCs w:val="0"/>
          <w:caps w:val="0"/>
          <w:color w:val="000000"/>
          <w:spacing w:val="0"/>
          <w:kern w:val="0"/>
          <w:sz w:val="26"/>
          <w:szCs w:val="26"/>
          <w:lang w:val="en-US" w:eastAsia="zh-CN" w:bidi="ar"/>
        </w:rPr>
        <w:t>（9）投标人提供有效期内《食品经营许可证》或《食品流通许可证》或《食品生产许可证》；</w:t>
      </w:r>
    </w:p>
    <w:p w14:paraId="66C031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20" w:firstLineChars="200"/>
        <w:jc w:val="both"/>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6"/>
          <w:szCs w:val="26"/>
          <w:lang w:val="en-US" w:eastAsia="zh-CN" w:bidi="ar"/>
        </w:rPr>
        <w:t>（10）投标保证金有效凭证</w:t>
      </w:r>
      <w:r>
        <w:rPr>
          <w:rFonts w:hint="eastAsia" w:ascii="仿宋" w:hAnsi="仿宋" w:eastAsia="仿宋" w:cs="仿宋"/>
          <w:i w:val="0"/>
          <w:iCs w:val="0"/>
          <w:caps w:val="0"/>
          <w:color w:val="000000"/>
          <w:spacing w:val="0"/>
          <w:kern w:val="0"/>
          <w:sz w:val="28"/>
          <w:szCs w:val="28"/>
          <w:lang w:val="en-US" w:eastAsia="zh-CN" w:bidi="ar"/>
        </w:rPr>
        <w:t>；</w:t>
      </w:r>
    </w:p>
    <w:p w14:paraId="1C96D5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20" w:firstLineChars="200"/>
        <w:jc w:val="both"/>
        <w:textAlignment w:val="auto"/>
        <w:rPr>
          <w:rFonts w:hint="eastAsia" w:ascii="仿宋" w:hAnsi="仿宋" w:eastAsia="仿宋" w:cs="仿宋"/>
          <w:i w:val="0"/>
          <w:iCs w:val="0"/>
          <w:caps w:val="0"/>
          <w:color w:val="000000"/>
          <w:spacing w:val="0"/>
          <w:kern w:val="0"/>
          <w:sz w:val="26"/>
          <w:szCs w:val="26"/>
          <w:lang w:val="en-US" w:eastAsia="zh-CN" w:bidi="ar"/>
        </w:rPr>
      </w:pPr>
      <w:r>
        <w:rPr>
          <w:rFonts w:hint="eastAsia" w:ascii="仿宋" w:hAnsi="仿宋" w:eastAsia="仿宋" w:cs="仿宋"/>
          <w:i w:val="0"/>
          <w:iCs w:val="0"/>
          <w:caps w:val="0"/>
          <w:color w:val="000000"/>
          <w:spacing w:val="0"/>
          <w:kern w:val="0"/>
          <w:sz w:val="26"/>
          <w:szCs w:val="26"/>
          <w:lang w:val="en-US" w:eastAsia="zh-CN" w:bidi="ar"/>
        </w:rPr>
        <w:t>(11)落实政府采购政策需满足的资格要求：本项目专门面向中小微企业采购，不再执行价格评审优惠政策。请根据要求单独上传《中小企业声明函》，格式以采购文件中要求为准。</w:t>
      </w:r>
    </w:p>
    <w:p w14:paraId="64AC8B19">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b w:val="0"/>
          <w:bCs w:val="0"/>
          <w:i w:val="0"/>
          <w:iCs w:val="0"/>
          <w:caps w:val="0"/>
          <w:color w:val="000000"/>
          <w:spacing w:val="0"/>
          <w:kern w:val="0"/>
          <w:sz w:val="28"/>
          <w:szCs w:val="28"/>
          <w:lang w:val="en-US" w:eastAsia="zh-CN" w:bidi="ar"/>
        </w:rPr>
      </w:pPr>
      <w:r>
        <w:rPr>
          <w:rFonts w:hint="eastAsia" w:ascii="仿宋" w:hAnsi="仿宋" w:eastAsia="仿宋" w:cs="仿宋"/>
          <w:b w:val="0"/>
          <w:bCs w:val="0"/>
          <w:i w:val="0"/>
          <w:iCs w:val="0"/>
          <w:caps w:val="0"/>
          <w:color w:val="000000"/>
          <w:spacing w:val="0"/>
          <w:kern w:val="0"/>
          <w:sz w:val="28"/>
          <w:szCs w:val="28"/>
          <w:lang w:val="en-US" w:eastAsia="zh-CN" w:bidi="ar"/>
        </w:rPr>
        <w:t>6.开标时，由监督人员对开标全过程进行监督评标和定标。</w:t>
      </w:r>
      <w:bookmarkEnd w:id="116"/>
      <w:bookmarkStart w:id="118" w:name="_Toc29773"/>
      <w:bookmarkStart w:id="119" w:name="_Toc12185"/>
      <w:bookmarkStart w:id="120" w:name="_Toc489694850"/>
      <w:bookmarkStart w:id="121" w:name="_Toc26675"/>
      <w:bookmarkStart w:id="122" w:name="_Toc490155553"/>
      <w:bookmarkStart w:id="123" w:name="_Toc8983619"/>
    </w:p>
    <w:p w14:paraId="60B0019A">
      <w:pPr>
        <w:keepNext w:val="0"/>
        <w:keepLines w:val="0"/>
        <w:pageBreakBefore w:val="0"/>
        <w:widowControl w:val="0"/>
        <w:kinsoku/>
        <w:wordWrap/>
        <w:overflowPunct/>
        <w:topLinePunct w:val="0"/>
        <w:autoSpaceDE/>
        <w:autoSpaceDN/>
        <w:bidi w:val="0"/>
        <w:adjustRightInd/>
        <w:snapToGrid/>
        <w:spacing w:line="360" w:lineRule="auto"/>
        <w:ind w:firstLine="261" w:firstLineChars="100"/>
        <w:textAlignment w:val="auto"/>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（二）评标委员会</w:t>
      </w:r>
      <w:bookmarkEnd w:id="118"/>
      <w:bookmarkEnd w:id="119"/>
      <w:bookmarkEnd w:id="120"/>
      <w:bookmarkEnd w:id="121"/>
      <w:bookmarkEnd w:id="122"/>
      <w:bookmarkEnd w:id="123"/>
      <w:r>
        <w:rPr>
          <w:rFonts w:hint="eastAsia" w:ascii="仿宋_GB2312" w:hAnsi="仿宋_GB2312" w:eastAsia="仿宋_GB2312" w:cs="仿宋_GB2312"/>
          <w:b/>
          <w:bCs/>
          <w:i w:val="0"/>
          <w:iCs w:val="0"/>
          <w:caps w:val="0"/>
          <w:color w:val="000000"/>
          <w:spacing w:val="0"/>
          <w:kern w:val="0"/>
          <w:sz w:val="26"/>
          <w:szCs w:val="26"/>
          <w:lang w:val="en-US" w:eastAsia="zh-CN" w:bidi="ar"/>
        </w:rPr>
        <w:t>：</w:t>
      </w:r>
    </w:p>
    <w:p w14:paraId="1888FD90">
      <w:pPr>
        <w:pStyle w:val="15"/>
        <w:snapToGrid w:val="0"/>
        <w:spacing w:line="500" w:lineRule="exact"/>
        <w:ind w:firstLine="520" w:firstLineChars="2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招标采购单位根据本项目的特点，于开标前48小时，从政采云评审专家库中随机抽取组建评标委员会，其组员由1名采购人代表及有关技术、经济等方面的4名专家组成。评标委员会在监督人员的监督下独立完成评标工作，负责对投标文件进行评审、推荐中标候选人。</w:t>
      </w:r>
    </w:p>
    <w:p w14:paraId="6DD56979">
      <w:pPr>
        <w:pStyle w:val="15"/>
        <w:snapToGrid w:val="0"/>
        <w:spacing w:line="500" w:lineRule="exact"/>
        <w:ind w:firstLine="522" w:firstLineChars="200"/>
        <w:rPr>
          <w:rFonts w:hint="eastAsia" w:ascii="仿宋_GB2312" w:hAnsi="仿宋_GB2312" w:eastAsia="仿宋_GB2312" w:cs="仿宋_GB2312"/>
          <w:b/>
          <w:bCs/>
          <w:i w:val="0"/>
          <w:iCs w:val="0"/>
          <w:caps w:val="0"/>
          <w:color w:val="000000"/>
          <w:spacing w:val="0"/>
          <w:kern w:val="0"/>
          <w:sz w:val="26"/>
          <w:szCs w:val="26"/>
          <w:lang w:val="en-US" w:eastAsia="zh-CN" w:bidi="ar"/>
        </w:rPr>
      </w:pPr>
      <w:bookmarkStart w:id="124" w:name="_Toc490155554"/>
      <w:bookmarkStart w:id="125" w:name="_Toc489694851"/>
      <w:bookmarkStart w:id="126" w:name="_Toc12278"/>
      <w:bookmarkStart w:id="127" w:name="_Toc8983620"/>
      <w:bookmarkStart w:id="128" w:name="_Toc18181"/>
      <w:bookmarkStart w:id="129" w:name="_Toc4724"/>
      <w:r>
        <w:rPr>
          <w:rFonts w:hint="eastAsia" w:ascii="仿宋_GB2312" w:hAnsi="仿宋_GB2312" w:eastAsia="仿宋_GB2312" w:cs="仿宋_GB2312"/>
          <w:b/>
          <w:bCs/>
          <w:i w:val="0"/>
          <w:iCs w:val="0"/>
          <w:caps w:val="0"/>
          <w:color w:val="000000"/>
          <w:spacing w:val="0"/>
          <w:kern w:val="0"/>
          <w:sz w:val="26"/>
          <w:szCs w:val="26"/>
          <w:lang w:val="en-US" w:eastAsia="zh-CN" w:bidi="ar"/>
        </w:rPr>
        <w:t>1、评标事务由评标委员会负责，并独立履行下列职责：</w:t>
      </w:r>
      <w:bookmarkEnd w:id="124"/>
      <w:bookmarkEnd w:id="125"/>
      <w:bookmarkEnd w:id="126"/>
      <w:bookmarkEnd w:id="127"/>
      <w:bookmarkEnd w:id="128"/>
      <w:bookmarkEnd w:id="129"/>
    </w:p>
    <w:p w14:paraId="3B5C87A8">
      <w:pPr>
        <w:pStyle w:val="15"/>
        <w:snapToGrid w:val="0"/>
        <w:spacing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（1）审查、评价投标文件是否符合招标文件的商务、技术等实质性要求；</w:t>
      </w:r>
    </w:p>
    <w:p w14:paraId="506DAB80">
      <w:pPr>
        <w:pStyle w:val="15"/>
        <w:snapToGrid w:val="0"/>
        <w:spacing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（2）要求投标人对投标文件有关事项作出澄清或者说明；</w:t>
      </w:r>
    </w:p>
    <w:p w14:paraId="3776101F">
      <w:pPr>
        <w:pStyle w:val="15"/>
        <w:snapToGrid w:val="0"/>
        <w:spacing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（3）对投标文件进行比较和评价；</w:t>
      </w:r>
    </w:p>
    <w:p w14:paraId="40F283D4">
      <w:pPr>
        <w:pStyle w:val="15"/>
        <w:snapToGrid w:val="0"/>
        <w:spacing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（4）确定中标候选人名单；</w:t>
      </w:r>
    </w:p>
    <w:p w14:paraId="32DB1A96">
      <w:pPr>
        <w:pStyle w:val="15"/>
        <w:snapToGrid w:val="0"/>
        <w:spacing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（5）向采购人、采购代理机构或者有关部门报告评标中发现的违法行为。</w:t>
      </w:r>
    </w:p>
    <w:p w14:paraId="3AB62A11">
      <w:pPr>
        <w:pStyle w:val="15"/>
        <w:snapToGrid w:val="0"/>
        <w:spacing w:line="500" w:lineRule="exact"/>
        <w:ind w:firstLine="522" w:firstLineChars="200"/>
        <w:rPr>
          <w:rFonts w:hint="eastAsia" w:ascii="仿宋_GB2312" w:hAnsi="仿宋_GB2312" w:eastAsia="仿宋_GB2312" w:cs="仿宋_GB2312"/>
          <w:b/>
          <w:bCs/>
          <w:i w:val="0"/>
          <w:iCs w:val="0"/>
          <w:caps w:val="0"/>
          <w:color w:val="000000"/>
          <w:spacing w:val="0"/>
          <w:kern w:val="0"/>
          <w:sz w:val="26"/>
          <w:szCs w:val="26"/>
          <w:lang w:val="en-US" w:eastAsia="zh-CN" w:bidi="ar"/>
        </w:rPr>
      </w:pPr>
      <w:bookmarkStart w:id="130" w:name="_Toc8983624"/>
      <w:bookmarkStart w:id="131" w:name="_Toc490155558"/>
      <w:bookmarkStart w:id="132" w:name="_Toc19411"/>
      <w:bookmarkStart w:id="133" w:name="_Toc11377"/>
      <w:bookmarkStart w:id="134" w:name="_Toc489694855"/>
      <w:bookmarkStart w:id="135" w:name="_Toc16997"/>
      <w:r>
        <w:rPr>
          <w:rFonts w:hint="eastAsia" w:ascii="仿宋_GB2312" w:hAnsi="仿宋_GB2312" w:eastAsia="仿宋_GB2312" w:cs="仿宋_GB2312"/>
          <w:b/>
          <w:bCs/>
          <w:i w:val="0"/>
          <w:iCs w:val="0"/>
          <w:caps w:val="0"/>
          <w:color w:val="000000"/>
          <w:spacing w:val="0"/>
          <w:kern w:val="0"/>
          <w:sz w:val="26"/>
          <w:szCs w:val="26"/>
          <w:lang w:val="en-US" w:eastAsia="zh-CN" w:bidi="ar"/>
        </w:rPr>
        <w:t>2、评标委员会成员的义务</w:t>
      </w:r>
      <w:bookmarkEnd w:id="130"/>
      <w:bookmarkEnd w:id="131"/>
      <w:bookmarkEnd w:id="132"/>
      <w:bookmarkEnd w:id="133"/>
      <w:bookmarkEnd w:id="134"/>
      <w:bookmarkEnd w:id="135"/>
      <w:r>
        <w:rPr>
          <w:rFonts w:hint="eastAsia" w:ascii="仿宋_GB2312" w:hAnsi="仿宋_GB2312" w:eastAsia="仿宋_GB2312" w:cs="仿宋_GB2312"/>
          <w:b/>
          <w:bCs/>
          <w:i w:val="0"/>
          <w:iCs w:val="0"/>
          <w:caps w:val="0"/>
          <w:color w:val="000000"/>
          <w:spacing w:val="0"/>
          <w:kern w:val="0"/>
          <w:sz w:val="26"/>
          <w:szCs w:val="26"/>
          <w:lang w:val="en-US" w:eastAsia="zh-CN" w:bidi="ar"/>
        </w:rPr>
        <w:t>：</w:t>
      </w:r>
    </w:p>
    <w:p w14:paraId="0F0F1AE7">
      <w:pPr>
        <w:pStyle w:val="15"/>
        <w:snapToGrid w:val="0"/>
        <w:spacing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（1）遵纪守法，客观、公正、廉洁地履行职责；</w:t>
      </w:r>
    </w:p>
    <w:p w14:paraId="13451ABB">
      <w:pPr>
        <w:pStyle w:val="15"/>
        <w:snapToGrid w:val="0"/>
        <w:spacing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（2）按照招标文件规定的评标方法和标准进行评标，对评审意见承担个人责任；</w:t>
      </w:r>
    </w:p>
    <w:p w14:paraId="003906CE">
      <w:pPr>
        <w:pStyle w:val="15"/>
        <w:snapToGrid w:val="0"/>
        <w:spacing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bookmarkStart w:id="136" w:name="_Toc17202"/>
      <w:bookmarkStart w:id="137" w:name="_Toc6429"/>
      <w:bookmarkStart w:id="138" w:name="_Toc31699"/>
      <w:bookmarkStart w:id="139" w:name="_Toc8983625"/>
      <w:bookmarkStart w:id="140" w:name="_Toc489694856"/>
      <w:bookmarkStart w:id="141" w:name="_Toc490155559"/>
      <w:r>
        <w:rPr>
          <w:rFonts w:hint="eastAsia" w:ascii="仿宋_GB2312" w:hAnsi="仿宋_GB2312" w:eastAsia="仿宋_GB2312" w:cs="仿宋_GB2312"/>
          <w:b w:val="0"/>
          <w:bCs w:val="0"/>
          <w:i w:val="0"/>
          <w:iCs w:val="0"/>
          <w:caps w:val="0"/>
          <w:color w:val="000000"/>
          <w:spacing w:val="0"/>
          <w:kern w:val="0"/>
          <w:sz w:val="26"/>
          <w:szCs w:val="26"/>
          <w:lang w:val="en-US" w:eastAsia="zh-CN" w:bidi="ar"/>
        </w:rPr>
        <w:t>（3）对评标过程和结果，以及投标人的商业秘密保密；</w:t>
      </w:r>
      <w:bookmarkEnd w:id="136"/>
      <w:bookmarkEnd w:id="137"/>
      <w:bookmarkEnd w:id="138"/>
      <w:bookmarkEnd w:id="139"/>
      <w:bookmarkEnd w:id="140"/>
      <w:bookmarkEnd w:id="141"/>
    </w:p>
    <w:p w14:paraId="3CF2590C">
      <w:pPr>
        <w:pStyle w:val="15"/>
        <w:snapToGrid w:val="0"/>
        <w:spacing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（4）参与评标报告的起草；</w:t>
      </w:r>
    </w:p>
    <w:p w14:paraId="6E393010">
      <w:pPr>
        <w:pStyle w:val="15"/>
        <w:snapToGrid w:val="0"/>
        <w:spacing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（5）配合财政部门的投诉处理工作；</w:t>
      </w:r>
    </w:p>
    <w:p w14:paraId="28FCE3D0">
      <w:pPr>
        <w:pStyle w:val="15"/>
        <w:snapToGrid w:val="0"/>
        <w:spacing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（6）配合采购单位答复投标人提出的质疑。</w:t>
      </w:r>
    </w:p>
    <w:p w14:paraId="152E05B7">
      <w:pPr>
        <w:pStyle w:val="15"/>
        <w:snapToGrid w:val="0"/>
        <w:spacing w:line="500" w:lineRule="exact"/>
        <w:ind w:firstLine="522" w:firstLineChars="200"/>
        <w:rPr>
          <w:rFonts w:hint="eastAsia" w:ascii="仿宋_GB2312" w:hAnsi="仿宋_GB2312" w:eastAsia="仿宋_GB2312" w:cs="仿宋_GB2312"/>
          <w:b/>
          <w:bCs/>
          <w:i w:val="0"/>
          <w:iCs w:val="0"/>
          <w:caps w:val="0"/>
          <w:color w:val="000000"/>
          <w:spacing w:val="0"/>
          <w:kern w:val="0"/>
          <w:sz w:val="26"/>
          <w:szCs w:val="26"/>
          <w:lang w:val="en-US" w:eastAsia="zh-CN" w:bidi="ar"/>
        </w:rPr>
      </w:pPr>
      <w:bookmarkStart w:id="142" w:name="_Toc490155560"/>
      <w:bookmarkStart w:id="143" w:name="_Toc1754"/>
      <w:bookmarkStart w:id="144" w:name="_Toc15007"/>
      <w:bookmarkStart w:id="145" w:name="_Toc31075"/>
      <w:bookmarkStart w:id="146" w:name="_Toc489694857"/>
      <w:bookmarkStart w:id="147" w:name="_Toc8983626"/>
      <w:r>
        <w:rPr>
          <w:rFonts w:hint="eastAsia" w:ascii="仿宋_GB2312" w:hAnsi="仿宋_GB2312" w:eastAsia="仿宋_GB2312" w:cs="仿宋_GB2312"/>
          <w:b/>
          <w:bCs/>
          <w:i w:val="0"/>
          <w:iCs w:val="0"/>
          <w:caps w:val="0"/>
          <w:color w:val="000000"/>
          <w:spacing w:val="0"/>
          <w:kern w:val="0"/>
          <w:sz w:val="26"/>
          <w:szCs w:val="26"/>
          <w:lang w:val="en-US" w:eastAsia="zh-CN" w:bidi="ar"/>
        </w:rPr>
        <w:t>3、评标原则</w:t>
      </w:r>
      <w:bookmarkEnd w:id="142"/>
      <w:bookmarkEnd w:id="143"/>
      <w:bookmarkEnd w:id="144"/>
      <w:bookmarkEnd w:id="145"/>
      <w:bookmarkEnd w:id="146"/>
      <w:bookmarkEnd w:id="147"/>
      <w:r>
        <w:rPr>
          <w:rFonts w:hint="eastAsia" w:ascii="仿宋_GB2312" w:hAnsi="仿宋_GB2312" w:eastAsia="仿宋_GB2312" w:cs="仿宋_GB2312"/>
          <w:b/>
          <w:bCs/>
          <w:i w:val="0"/>
          <w:iCs w:val="0"/>
          <w:caps w:val="0"/>
          <w:color w:val="000000"/>
          <w:spacing w:val="0"/>
          <w:kern w:val="0"/>
          <w:sz w:val="26"/>
          <w:szCs w:val="26"/>
          <w:lang w:val="en-US" w:eastAsia="zh-CN" w:bidi="ar"/>
        </w:rPr>
        <w:t>：</w:t>
      </w:r>
    </w:p>
    <w:p w14:paraId="2829F75A">
      <w:pPr>
        <w:pStyle w:val="15"/>
        <w:snapToGrid w:val="0"/>
        <w:spacing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“公开、公平、公正、客观、择优”为评标的基本原则，评标委员会将根据这一原则，公正、平等地对待各投标人。</w:t>
      </w:r>
    </w:p>
    <w:p w14:paraId="72CC0D91">
      <w:pPr>
        <w:pStyle w:val="15"/>
        <w:snapToGrid w:val="0"/>
        <w:spacing w:line="500" w:lineRule="exact"/>
        <w:ind w:firstLine="522" w:firstLineChars="200"/>
        <w:rPr>
          <w:rFonts w:hint="eastAsia" w:ascii="仿宋" w:hAnsi="仿宋" w:eastAsia="仿宋" w:cs="仿宋"/>
          <w:b/>
          <w:bCs/>
          <w:sz w:val="26"/>
          <w:szCs w:val="26"/>
          <w:lang w:eastAsia="zh-CN"/>
        </w:rPr>
      </w:pPr>
      <w:bookmarkStart w:id="148" w:name="_Toc182"/>
      <w:bookmarkStart w:id="149" w:name="_Toc490155561"/>
      <w:bookmarkStart w:id="150" w:name="_Toc8983627"/>
      <w:bookmarkStart w:id="151" w:name="_Toc489694858"/>
      <w:bookmarkStart w:id="152" w:name="_Toc19537"/>
      <w:bookmarkStart w:id="153" w:name="_Toc22722"/>
      <w:r>
        <w:rPr>
          <w:rFonts w:hint="eastAsia" w:ascii="仿宋" w:hAnsi="仿宋" w:eastAsia="仿宋" w:cs="仿宋"/>
          <w:b/>
          <w:bCs/>
          <w:sz w:val="26"/>
          <w:szCs w:val="26"/>
        </w:rPr>
        <w:t>4</w:t>
      </w:r>
      <w:r>
        <w:rPr>
          <w:rFonts w:hint="eastAsia" w:ascii="仿宋_GB2312" w:hAnsi="仿宋_GB2312" w:eastAsia="仿宋_GB2312" w:cs="仿宋_GB2312"/>
          <w:b/>
          <w:bCs/>
          <w:i w:val="0"/>
          <w:iCs w:val="0"/>
          <w:caps w:val="0"/>
          <w:color w:val="000000"/>
          <w:spacing w:val="0"/>
          <w:kern w:val="0"/>
          <w:sz w:val="26"/>
          <w:szCs w:val="26"/>
          <w:lang w:val="en-US" w:eastAsia="zh-CN" w:bidi="ar"/>
        </w:rPr>
        <w:t>、评标程序</w:t>
      </w:r>
      <w:bookmarkEnd w:id="148"/>
      <w:bookmarkEnd w:id="149"/>
      <w:bookmarkEnd w:id="150"/>
      <w:bookmarkEnd w:id="151"/>
      <w:bookmarkEnd w:id="152"/>
      <w:bookmarkEnd w:id="153"/>
      <w:r>
        <w:rPr>
          <w:rFonts w:hint="eastAsia" w:ascii="仿宋_GB2312" w:hAnsi="仿宋_GB2312" w:eastAsia="仿宋_GB2312" w:cs="仿宋_GB2312"/>
          <w:b/>
          <w:bCs/>
          <w:i w:val="0"/>
          <w:iCs w:val="0"/>
          <w:caps w:val="0"/>
          <w:color w:val="000000"/>
          <w:spacing w:val="0"/>
          <w:kern w:val="0"/>
          <w:sz w:val="26"/>
          <w:szCs w:val="26"/>
          <w:lang w:val="en-US" w:eastAsia="zh-CN" w:bidi="ar"/>
        </w:rPr>
        <w:t>：</w:t>
      </w:r>
    </w:p>
    <w:p w14:paraId="54B22711">
      <w:pPr>
        <w:pStyle w:val="15"/>
        <w:snapToGrid w:val="0"/>
        <w:spacing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（1）评标会议由评标委员会组长主持。评标委员会首先对各投标文件进行符合性审查，未通过审查的为无效标。</w:t>
      </w:r>
    </w:p>
    <w:p w14:paraId="60EB2BF0">
      <w:pPr>
        <w:pStyle w:val="15"/>
        <w:snapToGrid w:val="0"/>
        <w:spacing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（2）评标委员会判断“投标文件”的响应性，仅基于“投标文件”本身而不靠外部证据。对非实质性响应的投标文件，投标人不能通过修正或撤销不符之处，而使其成为实质性响应。</w:t>
      </w:r>
    </w:p>
    <w:p w14:paraId="44F4D594">
      <w:pPr>
        <w:pStyle w:val="15"/>
        <w:snapToGrid w:val="0"/>
        <w:spacing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（3）评标委员会根据招标文件要求，讨论、通过评标工作流程和评标要点。</w:t>
      </w:r>
    </w:p>
    <w:p w14:paraId="07949D3A">
      <w:pPr>
        <w:pStyle w:val="15"/>
        <w:snapToGrid w:val="0"/>
        <w:spacing w:line="500" w:lineRule="exact"/>
        <w:ind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（4）围绕评标要点，评标委员会全体成员对有效投标人递交投标文件分别进行评标。</w:t>
      </w:r>
    </w:p>
    <w:p w14:paraId="20605649">
      <w:pPr>
        <w:pStyle w:val="15"/>
        <w:keepNext w:val="0"/>
        <w:keepLines w:val="0"/>
        <w:pageBreakBefore w:val="0"/>
        <w:widowControl w:val="0"/>
        <w:kinsoku/>
        <w:wordWrap/>
        <w:overflowPunct/>
        <w:topLinePunct w:val="0"/>
        <w:autoSpaceDE/>
        <w:autoSpaceDN/>
        <w:bidi w:val="0"/>
        <w:adjustRightInd/>
        <w:snapToGrid w:val="0"/>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5）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51BD31BE">
      <w:pPr>
        <w:pStyle w:val="15"/>
        <w:keepNext w:val="0"/>
        <w:keepLines w:val="0"/>
        <w:pageBreakBefore w:val="0"/>
        <w:widowControl w:val="0"/>
        <w:kinsoku/>
        <w:wordWrap/>
        <w:overflowPunct/>
        <w:topLinePunct w:val="0"/>
        <w:autoSpaceDE/>
        <w:autoSpaceDN/>
        <w:bidi w:val="0"/>
        <w:adjustRightInd/>
        <w:snapToGrid w:val="0"/>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（6）根据国家计委等七部委颁发的《评标委员会和评标方法暂行规定》为重大偏离：</w:t>
      </w:r>
    </w:p>
    <w:p w14:paraId="3C0EFC2C">
      <w:pPr>
        <w:pStyle w:val="15"/>
        <w:keepNext w:val="0"/>
        <w:keepLines w:val="0"/>
        <w:pageBreakBefore w:val="0"/>
        <w:widowControl w:val="0"/>
        <w:kinsoku/>
        <w:wordWrap/>
        <w:overflowPunct/>
        <w:topLinePunct w:val="0"/>
        <w:autoSpaceDE/>
        <w:autoSpaceDN/>
        <w:bidi w:val="0"/>
        <w:adjustRightInd/>
        <w:snapToGrid w:val="0"/>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（一）投标保证金的缴纳主体与投标人不一致的，没有按照招标文件要求提供投标担保，或者所提供的投标担保有瑕疵的；</w:t>
      </w:r>
    </w:p>
    <w:p w14:paraId="621E1C42">
      <w:pPr>
        <w:pStyle w:val="15"/>
        <w:keepNext w:val="0"/>
        <w:keepLines w:val="0"/>
        <w:pageBreakBefore w:val="0"/>
        <w:widowControl w:val="0"/>
        <w:kinsoku/>
        <w:wordWrap/>
        <w:overflowPunct/>
        <w:topLinePunct w:val="0"/>
        <w:autoSpaceDE/>
        <w:autoSpaceDN/>
        <w:bidi w:val="0"/>
        <w:adjustRightInd/>
        <w:snapToGrid w:val="0"/>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（二）投标文件没有投标人法定代表人或其授权代表签字（章）和加盖公章的；</w:t>
      </w:r>
    </w:p>
    <w:p w14:paraId="0CA188A3">
      <w:pPr>
        <w:pStyle w:val="15"/>
        <w:keepNext w:val="0"/>
        <w:keepLines w:val="0"/>
        <w:pageBreakBefore w:val="0"/>
        <w:widowControl w:val="0"/>
        <w:kinsoku/>
        <w:wordWrap/>
        <w:overflowPunct/>
        <w:topLinePunct w:val="0"/>
        <w:autoSpaceDE/>
        <w:autoSpaceDN/>
        <w:bidi w:val="0"/>
        <w:adjustRightInd/>
        <w:snapToGrid w:val="0"/>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（三）投标文件记载的招标项目完成期限超过招标文件规定的完成期限；</w:t>
      </w:r>
    </w:p>
    <w:p w14:paraId="4A9E0737">
      <w:pPr>
        <w:pStyle w:val="15"/>
        <w:keepNext w:val="0"/>
        <w:keepLines w:val="0"/>
        <w:pageBreakBefore w:val="0"/>
        <w:widowControl w:val="0"/>
        <w:kinsoku/>
        <w:wordWrap/>
        <w:overflowPunct/>
        <w:topLinePunct w:val="0"/>
        <w:autoSpaceDE/>
        <w:autoSpaceDN/>
        <w:bidi w:val="0"/>
        <w:adjustRightInd/>
        <w:snapToGrid w:val="0"/>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（四）明显不符合技术规格和技术标准（技术规格、合同条款有偏离情况的）；</w:t>
      </w:r>
    </w:p>
    <w:p w14:paraId="145DED01">
      <w:pPr>
        <w:pStyle w:val="15"/>
        <w:keepNext w:val="0"/>
        <w:keepLines w:val="0"/>
        <w:pageBreakBefore w:val="0"/>
        <w:widowControl w:val="0"/>
        <w:kinsoku/>
        <w:wordWrap/>
        <w:overflowPunct/>
        <w:topLinePunct w:val="0"/>
        <w:autoSpaceDE/>
        <w:autoSpaceDN/>
        <w:bidi w:val="0"/>
        <w:adjustRightInd/>
        <w:snapToGrid w:val="0"/>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（五）商务条款有偏离情况的；</w:t>
      </w:r>
    </w:p>
    <w:p w14:paraId="7C0A9BE5">
      <w:pPr>
        <w:pStyle w:val="15"/>
        <w:keepNext w:val="0"/>
        <w:keepLines w:val="0"/>
        <w:pageBreakBefore w:val="0"/>
        <w:widowControl w:val="0"/>
        <w:kinsoku/>
        <w:wordWrap/>
        <w:overflowPunct/>
        <w:topLinePunct w:val="0"/>
        <w:autoSpaceDE/>
        <w:autoSpaceDN/>
        <w:bidi w:val="0"/>
        <w:adjustRightInd/>
        <w:snapToGrid w:val="0"/>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（六）投标附有招标人不能接受的条件；</w:t>
      </w:r>
    </w:p>
    <w:p w14:paraId="04EB65D4">
      <w:pPr>
        <w:pStyle w:val="15"/>
        <w:keepNext w:val="0"/>
        <w:keepLines w:val="0"/>
        <w:pageBreakBefore w:val="0"/>
        <w:widowControl w:val="0"/>
        <w:kinsoku/>
        <w:wordWrap/>
        <w:overflowPunct/>
        <w:topLinePunct w:val="0"/>
        <w:autoSpaceDE/>
        <w:autoSpaceDN/>
        <w:bidi w:val="0"/>
        <w:adjustRightInd/>
        <w:snapToGrid w:val="0"/>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（七）不符合招标文件中规定的其他实质性要求。</w:t>
      </w:r>
    </w:p>
    <w:p w14:paraId="63A74724">
      <w:pPr>
        <w:pStyle w:val="15"/>
        <w:keepNext w:val="0"/>
        <w:keepLines w:val="0"/>
        <w:pageBreakBefore w:val="0"/>
        <w:widowControl w:val="0"/>
        <w:kinsoku/>
        <w:wordWrap/>
        <w:overflowPunct/>
        <w:topLinePunct w:val="0"/>
        <w:autoSpaceDE/>
        <w:autoSpaceDN/>
        <w:bidi w:val="0"/>
        <w:adjustRightInd/>
        <w:snapToGrid w:val="0"/>
        <w:spacing w:line="500" w:lineRule="exact"/>
        <w:ind w:firstLine="260" w:firstLineChars="100"/>
        <w:textAlignment w:val="auto"/>
        <w:rPr>
          <w:rFonts w:hint="eastAsia"/>
          <w:lang w:val="en-US" w:eastAsia="zh-CN"/>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（八) 投标报价不符合招标文件规定的要求。</w:t>
      </w:r>
    </w:p>
    <w:p w14:paraId="05F876B6">
      <w:pPr>
        <w:pStyle w:val="19"/>
        <w:keepNext w:val="0"/>
        <w:keepLines w:val="0"/>
        <w:pageBreakBefore w:val="0"/>
        <w:widowControl w:val="0"/>
        <w:numPr>
          <w:ilvl w:val="0"/>
          <w:numId w:val="0"/>
        </w:numPr>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7）开标后招标人将审查投标文件的完整性、准确性以及保证金提交、文件签署情况。在审查时，（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若投标人拒绝接受上述修正，其投标将可能被拒绝。</w:t>
      </w:r>
    </w:p>
    <w:p w14:paraId="07C64B8F">
      <w:pPr>
        <w:pStyle w:val="19"/>
        <w:keepNext w:val="0"/>
        <w:keepLines w:val="0"/>
        <w:pageBreakBefore w:val="0"/>
        <w:widowControl w:val="0"/>
        <w:numPr>
          <w:ilvl w:val="0"/>
          <w:numId w:val="0"/>
        </w:numPr>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（8）本项目</w:t>
      </w:r>
      <w:r>
        <w:rPr>
          <w:rFonts w:hint="eastAsia" w:ascii="仿宋_GB2312" w:hAnsi="仿宋_GB2312" w:eastAsia="仿宋_GB2312" w:cs="仿宋_GB2312"/>
          <w:b w:val="0"/>
          <w:bCs w:val="0"/>
          <w:i w:val="0"/>
          <w:iCs w:val="0"/>
          <w:caps w:val="0"/>
          <w:color w:val="auto"/>
          <w:spacing w:val="0"/>
          <w:kern w:val="0"/>
          <w:sz w:val="26"/>
          <w:szCs w:val="26"/>
          <w:lang w:val="en-US" w:eastAsia="zh-CN" w:bidi="ar"/>
        </w:rPr>
        <w:t>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14:paraId="7E512E1D">
      <w:pPr>
        <w:pStyle w:val="16"/>
        <w:keepNext w:val="0"/>
        <w:keepLines w:val="0"/>
        <w:pageBreakBefore w:val="0"/>
        <w:widowControl w:val="0"/>
        <w:kinsoku/>
        <w:wordWrap/>
        <w:overflowPunct/>
        <w:topLinePunct w:val="0"/>
        <w:autoSpaceDE/>
        <w:autoSpaceDN/>
        <w:bidi w:val="0"/>
        <w:adjustRightInd/>
        <w:snapToGrid w:val="0"/>
        <w:spacing w:line="500" w:lineRule="exact"/>
        <w:ind w:firstLine="261" w:firstLineChars="100"/>
        <w:textAlignment w:val="auto"/>
        <w:rPr>
          <w:rFonts w:hint="eastAsia" w:ascii="仿宋_GB2312" w:hAnsi="仿宋_GB2312" w:eastAsia="仿宋_GB2312" w:cs="仿宋_GB2312"/>
          <w:b/>
          <w:bCs/>
          <w:i w:val="0"/>
          <w:iCs w:val="0"/>
          <w:caps w:val="0"/>
          <w:color w:val="000000"/>
          <w:spacing w:val="0"/>
          <w:kern w:val="0"/>
          <w:sz w:val="26"/>
          <w:szCs w:val="26"/>
          <w:lang w:val="en-US" w:eastAsia="zh-CN" w:bidi="ar"/>
        </w:rPr>
      </w:pPr>
      <w:bookmarkStart w:id="154" w:name="_Toc490155562"/>
      <w:bookmarkStart w:id="155" w:name="_Toc8983628"/>
      <w:r>
        <w:rPr>
          <w:rFonts w:hint="eastAsia" w:ascii="仿宋_GB2312" w:hAnsi="仿宋_GB2312" w:eastAsia="仿宋_GB2312" w:cs="仿宋_GB2312"/>
          <w:b/>
          <w:bCs/>
          <w:i w:val="0"/>
          <w:iCs w:val="0"/>
          <w:caps w:val="0"/>
          <w:color w:val="000000"/>
          <w:spacing w:val="0"/>
          <w:kern w:val="0"/>
          <w:sz w:val="26"/>
          <w:szCs w:val="26"/>
          <w:lang w:val="en-US" w:eastAsia="zh-CN" w:bidi="ar"/>
        </w:rPr>
        <w:t>5.中标人</w:t>
      </w:r>
      <w:bookmarkEnd w:id="154"/>
      <w:bookmarkEnd w:id="155"/>
      <w:r>
        <w:rPr>
          <w:rFonts w:hint="eastAsia" w:ascii="仿宋_GB2312" w:hAnsi="仿宋_GB2312" w:eastAsia="仿宋_GB2312" w:cs="仿宋_GB2312"/>
          <w:b/>
          <w:bCs/>
          <w:i w:val="0"/>
          <w:iCs w:val="0"/>
          <w:caps w:val="0"/>
          <w:color w:val="000000"/>
          <w:spacing w:val="0"/>
          <w:kern w:val="0"/>
          <w:sz w:val="26"/>
          <w:szCs w:val="26"/>
          <w:lang w:val="en-US" w:eastAsia="zh-CN" w:bidi="ar"/>
        </w:rPr>
        <w:t>：</w:t>
      </w:r>
    </w:p>
    <w:p w14:paraId="6E729188">
      <w:pPr>
        <w:pStyle w:val="16"/>
        <w:keepNext w:val="0"/>
        <w:keepLines w:val="0"/>
        <w:pageBreakBefore w:val="0"/>
        <w:widowControl w:val="0"/>
        <w:kinsoku/>
        <w:wordWrap/>
        <w:overflowPunct/>
        <w:topLinePunct w:val="0"/>
        <w:autoSpaceDE/>
        <w:autoSpaceDN/>
        <w:bidi w:val="0"/>
        <w:adjustRightInd/>
        <w:snapToGrid w:val="0"/>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评标委员会统一签署评标汇总表，并按最大程度满足招标文件各项综合评价标准为中标人的原则，推荐中标候选人。得分相同的，以报价低的中标候选人优先。</w:t>
      </w:r>
      <w:bookmarkStart w:id="156" w:name="_Toc213839741"/>
      <w:bookmarkStart w:id="157" w:name="_Toc5998"/>
      <w:bookmarkStart w:id="158" w:name="_Toc489694860"/>
      <w:bookmarkStart w:id="159" w:name="_Toc231"/>
      <w:bookmarkStart w:id="160" w:name="_Toc23278"/>
    </w:p>
    <w:p w14:paraId="163836FD">
      <w:pPr>
        <w:pStyle w:val="16"/>
        <w:keepNext w:val="0"/>
        <w:keepLines w:val="0"/>
        <w:pageBreakBefore w:val="0"/>
        <w:widowControl w:val="0"/>
        <w:kinsoku/>
        <w:wordWrap/>
        <w:overflowPunct/>
        <w:topLinePunct w:val="0"/>
        <w:autoSpaceDE/>
        <w:autoSpaceDN/>
        <w:bidi w:val="0"/>
        <w:adjustRightInd/>
        <w:snapToGrid w:val="0"/>
        <w:spacing w:line="500" w:lineRule="exact"/>
        <w:ind w:firstLine="261" w:firstLineChars="100"/>
        <w:textAlignment w:val="auto"/>
        <w:rPr>
          <w:rFonts w:hint="eastAsia" w:ascii="仿宋_GB2312" w:hAnsi="仿宋_GB2312" w:eastAsia="仿宋_GB2312" w:cs="仿宋_GB2312"/>
          <w:b/>
          <w:bCs/>
          <w:i w:val="0"/>
          <w:iCs w:val="0"/>
          <w:caps w:val="0"/>
          <w:color w:val="000000"/>
          <w:spacing w:val="0"/>
          <w:kern w:val="0"/>
          <w:sz w:val="26"/>
          <w:szCs w:val="26"/>
          <w:lang w:val="en-US" w:eastAsia="zh-CN" w:bidi="ar"/>
        </w:rPr>
      </w:pPr>
      <w:bookmarkStart w:id="161" w:name="_Toc8983629"/>
      <w:bookmarkStart w:id="162" w:name="_Toc490155563"/>
      <w:r>
        <w:rPr>
          <w:rFonts w:hint="eastAsia" w:ascii="仿宋_GB2312" w:hAnsi="仿宋_GB2312" w:eastAsia="仿宋_GB2312" w:cs="仿宋_GB2312"/>
          <w:b/>
          <w:bCs/>
          <w:i w:val="0"/>
          <w:iCs w:val="0"/>
          <w:caps w:val="0"/>
          <w:color w:val="000000"/>
          <w:spacing w:val="0"/>
          <w:kern w:val="0"/>
          <w:sz w:val="26"/>
          <w:szCs w:val="26"/>
          <w:lang w:val="en-US" w:eastAsia="zh-CN" w:bidi="ar"/>
        </w:rPr>
        <w:t>6.评标过程</w:t>
      </w:r>
      <w:bookmarkEnd w:id="156"/>
      <w:r>
        <w:rPr>
          <w:rFonts w:hint="eastAsia" w:ascii="仿宋_GB2312" w:hAnsi="仿宋_GB2312" w:eastAsia="仿宋_GB2312" w:cs="仿宋_GB2312"/>
          <w:b/>
          <w:bCs/>
          <w:i w:val="0"/>
          <w:iCs w:val="0"/>
          <w:caps w:val="0"/>
          <w:color w:val="000000"/>
          <w:spacing w:val="0"/>
          <w:kern w:val="0"/>
          <w:sz w:val="26"/>
          <w:szCs w:val="26"/>
          <w:lang w:val="en-US" w:eastAsia="zh-CN" w:bidi="ar"/>
        </w:rPr>
        <w:t>保密</w:t>
      </w:r>
      <w:bookmarkEnd w:id="157"/>
      <w:bookmarkEnd w:id="158"/>
      <w:bookmarkEnd w:id="159"/>
      <w:bookmarkEnd w:id="160"/>
      <w:bookmarkEnd w:id="161"/>
      <w:bookmarkEnd w:id="162"/>
      <w:r>
        <w:rPr>
          <w:rFonts w:hint="eastAsia" w:ascii="仿宋_GB2312" w:hAnsi="仿宋_GB2312" w:eastAsia="仿宋_GB2312" w:cs="仿宋_GB2312"/>
          <w:b/>
          <w:bCs/>
          <w:i w:val="0"/>
          <w:iCs w:val="0"/>
          <w:caps w:val="0"/>
          <w:color w:val="000000"/>
          <w:spacing w:val="0"/>
          <w:kern w:val="0"/>
          <w:sz w:val="26"/>
          <w:szCs w:val="26"/>
          <w:lang w:val="en-US" w:eastAsia="zh-CN" w:bidi="ar"/>
        </w:rPr>
        <w:t>：</w:t>
      </w:r>
    </w:p>
    <w:p w14:paraId="3503CCCD">
      <w:pPr>
        <w:pStyle w:val="16"/>
        <w:keepNext w:val="0"/>
        <w:keepLines w:val="0"/>
        <w:pageBreakBefore w:val="0"/>
        <w:widowControl w:val="0"/>
        <w:kinsoku/>
        <w:wordWrap/>
        <w:overflowPunct/>
        <w:topLinePunct w:val="0"/>
        <w:autoSpaceDE/>
        <w:autoSpaceDN/>
        <w:bidi w:val="0"/>
        <w:adjustRightInd/>
        <w:snapToGrid w:val="0"/>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在评标过程中和评标结束后，凡属于审查、澄清、评价、比较招标文件等有关信息，评标委员会的研究情况和所有投标人的商业秘密都属于保密内容相关当事人均不得泄露给任何投标人或与评标工作无关的人员。</w:t>
      </w:r>
    </w:p>
    <w:p w14:paraId="1B5CE44A">
      <w:pPr>
        <w:pStyle w:val="16"/>
        <w:keepNext w:val="0"/>
        <w:keepLines w:val="0"/>
        <w:pageBreakBefore w:val="0"/>
        <w:widowControl w:val="0"/>
        <w:kinsoku/>
        <w:wordWrap/>
        <w:overflowPunct/>
        <w:topLinePunct w:val="0"/>
        <w:autoSpaceDE/>
        <w:autoSpaceDN/>
        <w:bidi w:val="0"/>
        <w:adjustRightInd/>
        <w:snapToGrid w:val="0"/>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（2）投标人不得探听上述信息，不得以任何行为影响评标过程。</w:t>
      </w:r>
    </w:p>
    <w:p w14:paraId="22630D7F">
      <w:pPr>
        <w:pStyle w:val="16"/>
        <w:keepNext w:val="0"/>
        <w:keepLines w:val="0"/>
        <w:pageBreakBefore w:val="0"/>
        <w:widowControl w:val="0"/>
        <w:kinsoku/>
        <w:wordWrap/>
        <w:overflowPunct/>
        <w:topLinePunct w:val="0"/>
        <w:autoSpaceDE/>
        <w:autoSpaceDN/>
        <w:bidi w:val="0"/>
        <w:adjustRightInd/>
        <w:snapToGrid w:val="0"/>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采购人、采购代理机构应当采取必要措施，保证评标在严格保密的情况下进行。除采购人代表、评标现场组织人员外，采购人的其他工作人员以及与评标工作无关的人员不得进入评标现场。有关人员对评标情况以及在评标过程中获悉的国家秘密、商业秘密负有保密责任。</w:t>
      </w:r>
    </w:p>
    <w:p w14:paraId="11A075E8">
      <w:pPr>
        <w:pStyle w:val="16"/>
        <w:keepNext w:val="0"/>
        <w:keepLines w:val="0"/>
        <w:pageBreakBefore w:val="0"/>
        <w:widowControl w:val="0"/>
        <w:kinsoku/>
        <w:wordWrap/>
        <w:overflowPunct/>
        <w:topLinePunct w:val="0"/>
        <w:autoSpaceDE/>
        <w:autoSpaceDN/>
        <w:bidi w:val="0"/>
        <w:adjustRightInd/>
        <w:snapToGrid w:val="0"/>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（4）采购人和评标委员会不向未成交的投标人解释未成交原因，也不对评标过程中的细节问题进行公布。</w:t>
      </w:r>
    </w:p>
    <w:p w14:paraId="627FA02D">
      <w:pPr>
        <w:pStyle w:val="16"/>
        <w:keepNext w:val="0"/>
        <w:keepLines w:val="0"/>
        <w:pageBreakBefore w:val="0"/>
        <w:widowControl w:val="0"/>
        <w:kinsoku/>
        <w:wordWrap/>
        <w:overflowPunct/>
        <w:topLinePunct w:val="0"/>
        <w:autoSpaceDE/>
        <w:autoSpaceDN/>
        <w:bidi w:val="0"/>
        <w:adjustRightInd/>
        <w:snapToGrid w:val="0"/>
        <w:spacing w:line="500" w:lineRule="exact"/>
        <w:ind w:firstLine="261" w:firstLineChars="100"/>
        <w:textAlignment w:val="auto"/>
        <w:rPr>
          <w:rFonts w:hint="eastAsia" w:ascii="仿宋_GB2312" w:hAnsi="仿宋_GB2312" w:eastAsia="仿宋_GB2312" w:cs="仿宋_GB2312"/>
          <w:b/>
          <w:bCs/>
          <w:i w:val="0"/>
          <w:iCs w:val="0"/>
          <w:caps w:val="0"/>
          <w:color w:val="000000"/>
          <w:spacing w:val="0"/>
          <w:kern w:val="0"/>
          <w:sz w:val="26"/>
          <w:szCs w:val="26"/>
          <w:lang w:val="en-US" w:eastAsia="zh-CN" w:bidi="ar"/>
        </w:rPr>
      </w:pPr>
      <w:bookmarkStart w:id="163" w:name="_Toc489694861"/>
      <w:bookmarkStart w:id="164" w:name="_Toc490155564"/>
      <w:bookmarkStart w:id="165" w:name="_Toc8361"/>
      <w:bookmarkStart w:id="166" w:name="_Toc21319"/>
      <w:bookmarkStart w:id="167" w:name="_Toc19075"/>
      <w:bookmarkStart w:id="168" w:name="_Toc8983630"/>
      <w:r>
        <w:rPr>
          <w:rFonts w:hint="eastAsia" w:ascii="仿宋_GB2312" w:hAnsi="仿宋_GB2312" w:eastAsia="仿宋_GB2312" w:cs="仿宋_GB2312"/>
          <w:b/>
          <w:bCs/>
          <w:i w:val="0"/>
          <w:iCs w:val="0"/>
          <w:caps w:val="0"/>
          <w:color w:val="000000"/>
          <w:spacing w:val="0"/>
          <w:kern w:val="0"/>
          <w:sz w:val="26"/>
          <w:szCs w:val="26"/>
          <w:lang w:val="en-US" w:eastAsia="zh-CN" w:bidi="ar"/>
        </w:rPr>
        <w:t>7.投标人有下列情形之一的，视为无效投标</w:t>
      </w:r>
      <w:bookmarkEnd w:id="163"/>
      <w:bookmarkEnd w:id="164"/>
      <w:bookmarkEnd w:id="165"/>
      <w:bookmarkEnd w:id="166"/>
      <w:bookmarkEnd w:id="167"/>
      <w:bookmarkEnd w:id="168"/>
      <w:r>
        <w:rPr>
          <w:rFonts w:hint="eastAsia" w:ascii="仿宋_GB2312" w:hAnsi="仿宋_GB2312" w:eastAsia="仿宋_GB2312" w:cs="仿宋_GB2312"/>
          <w:b/>
          <w:bCs/>
          <w:i w:val="0"/>
          <w:iCs w:val="0"/>
          <w:caps w:val="0"/>
          <w:color w:val="000000"/>
          <w:spacing w:val="0"/>
          <w:kern w:val="0"/>
          <w:sz w:val="26"/>
          <w:szCs w:val="26"/>
          <w:lang w:val="en-US" w:eastAsia="zh-CN" w:bidi="ar"/>
        </w:rPr>
        <w:t>：</w:t>
      </w:r>
    </w:p>
    <w:p w14:paraId="41F8C510">
      <w:pPr>
        <w:pStyle w:val="16"/>
        <w:keepNext w:val="0"/>
        <w:keepLines w:val="0"/>
        <w:pageBreakBefore w:val="0"/>
        <w:widowControl w:val="0"/>
        <w:kinsoku/>
        <w:wordWrap/>
        <w:overflowPunct/>
        <w:topLinePunct w:val="0"/>
        <w:autoSpaceDE/>
        <w:autoSpaceDN/>
        <w:bidi w:val="0"/>
        <w:adjustRightInd/>
        <w:snapToGrid w:val="0"/>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（1）投标文件所投标段中的应标范围小于本文件对应标段要求的采购范围；</w:t>
      </w:r>
    </w:p>
    <w:p w14:paraId="427224AF">
      <w:pPr>
        <w:pStyle w:val="16"/>
        <w:keepNext w:val="0"/>
        <w:keepLines w:val="0"/>
        <w:pageBreakBefore w:val="0"/>
        <w:widowControl w:val="0"/>
        <w:kinsoku/>
        <w:wordWrap/>
        <w:overflowPunct/>
        <w:topLinePunct w:val="0"/>
        <w:autoSpaceDE/>
        <w:autoSpaceDN/>
        <w:bidi w:val="0"/>
        <w:adjustRightInd/>
        <w:snapToGrid w:val="0"/>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（2）投标文件与事实不符的；</w:t>
      </w:r>
    </w:p>
    <w:p w14:paraId="6CFD343A">
      <w:pPr>
        <w:pStyle w:val="16"/>
        <w:keepNext w:val="0"/>
        <w:keepLines w:val="0"/>
        <w:pageBreakBefore w:val="0"/>
        <w:widowControl w:val="0"/>
        <w:kinsoku/>
        <w:wordWrap/>
        <w:overflowPunct/>
        <w:topLinePunct w:val="0"/>
        <w:autoSpaceDE/>
        <w:autoSpaceDN/>
        <w:bidi w:val="0"/>
        <w:adjustRightInd/>
        <w:snapToGrid w:val="0"/>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（3）经评标委员会一致认定为重大偏离的；</w:t>
      </w:r>
    </w:p>
    <w:p w14:paraId="5885B8C8">
      <w:pPr>
        <w:pStyle w:val="16"/>
        <w:keepNext w:val="0"/>
        <w:keepLines w:val="0"/>
        <w:pageBreakBefore w:val="0"/>
        <w:widowControl w:val="0"/>
        <w:kinsoku/>
        <w:wordWrap/>
        <w:overflowPunct/>
        <w:topLinePunct w:val="0"/>
        <w:autoSpaceDE/>
        <w:autoSpaceDN/>
        <w:bidi w:val="0"/>
        <w:adjustRightInd/>
        <w:snapToGrid w:val="0"/>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（4）不符合本文件中规定的其他实质性要求的；</w:t>
      </w:r>
    </w:p>
    <w:p w14:paraId="3ED1632F">
      <w:pPr>
        <w:pStyle w:val="16"/>
        <w:keepNext w:val="0"/>
        <w:keepLines w:val="0"/>
        <w:pageBreakBefore w:val="0"/>
        <w:widowControl w:val="0"/>
        <w:kinsoku/>
        <w:wordWrap/>
        <w:overflowPunct/>
        <w:topLinePunct w:val="0"/>
        <w:autoSpaceDE/>
        <w:autoSpaceDN/>
        <w:bidi w:val="0"/>
        <w:adjustRightInd/>
        <w:snapToGrid w:val="0"/>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（5）不符合法律、法规有关规定的。</w:t>
      </w:r>
    </w:p>
    <w:p w14:paraId="021B4F6A">
      <w:pPr>
        <w:pStyle w:val="16"/>
        <w:keepNext w:val="0"/>
        <w:keepLines w:val="0"/>
        <w:pageBreakBefore w:val="0"/>
        <w:widowControl w:val="0"/>
        <w:kinsoku/>
        <w:wordWrap/>
        <w:overflowPunct/>
        <w:topLinePunct w:val="0"/>
        <w:autoSpaceDE/>
        <w:autoSpaceDN/>
        <w:bidi w:val="0"/>
        <w:adjustRightInd/>
        <w:snapToGrid w:val="0"/>
        <w:spacing w:line="500" w:lineRule="exact"/>
        <w:ind w:firstLine="261" w:firstLineChars="100"/>
        <w:textAlignment w:val="auto"/>
        <w:rPr>
          <w:rFonts w:hint="eastAsia" w:ascii="仿宋_GB2312" w:hAnsi="仿宋_GB2312" w:eastAsia="仿宋_GB2312" w:cs="仿宋_GB2312"/>
          <w:b/>
          <w:bCs/>
          <w:i w:val="0"/>
          <w:iCs w:val="0"/>
          <w:caps w:val="0"/>
          <w:color w:val="000000"/>
          <w:spacing w:val="0"/>
          <w:kern w:val="0"/>
          <w:sz w:val="26"/>
          <w:szCs w:val="26"/>
          <w:lang w:val="en-US" w:eastAsia="zh-CN" w:bidi="ar"/>
        </w:rPr>
      </w:pPr>
      <w:bookmarkStart w:id="169" w:name="_Toc29065"/>
      <w:bookmarkStart w:id="170" w:name="_Toc19492"/>
      <w:bookmarkStart w:id="171" w:name="_Toc490155565"/>
      <w:bookmarkStart w:id="172" w:name="_Toc8983631"/>
      <w:bookmarkStart w:id="173" w:name="_Toc23164"/>
      <w:bookmarkStart w:id="174" w:name="_Toc489694862"/>
      <w:r>
        <w:rPr>
          <w:rFonts w:hint="eastAsia" w:ascii="仿宋_GB2312" w:hAnsi="仿宋_GB2312" w:eastAsia="仿宋_GB2312" w:cs="仿宋_GB2312"/>
          <w:b/>
          <w:bCs/>
          <w:i w:val="0"/>
          <w:iCs w:val="0"/>
          <w:caps w:val="0"/>
          <w:color w:val="000000"/>
          <w:spacing w:val="0"/>
          <w:kern w:val="0"/>
          <w:sz w:val="26"/>
          <w:szCs w:val="26"/>
          <w:lang w:val="en-US" w:eastAsia="zh-CN" w:bidi="ar"/>
        </w:rPr>
        <w:t>8.出现下列情形之一的，本项目作废标处理，除采购任务取消外，重新组织采购</w:t>
      </w:r>
      <w:bookmarkEnd w:id="169"/>
      <w:bookmarkEnd w:id="170"/>
      <w:bookmarkEnd w:id="171"/>
      <w:bookmarkEnd w:id="172"/>
      <w:bookmarkEnd w:id="173"/>
      <w:bookmarkEnd w:id="174"/>
      <w:r>
        <w:rPr>
          <w:rFonts w:hint="eastAsia" w:ascii="仿宋_GB2312" w:hAnsi="仿宋_GB2312" w:eastAsia="仿宋_GB2312" w:cs="仿宋_GB2312"/>
          <w:b/>
          <w:bCs/>
          <w:i w:val="0"/>
          <w:iCs w:val="0"/>
          <w:caps w:val="0"/>
          <w:color w:val="000000"/>
          <w:spacing w:val="0"/>
          <w:kern w:val="0"/>
          <w:sz w:val="26"/>
          <w:szCs w:val="26"/>
          <w:lang w:val="en-US" w:eastAsia="zh-CN" w:bidi="ar"/>
        </w:rPr>
        <w:t>：</w:t>
      </w:r>
    </w:p>
    <w:p w14:paraId="440F5778">
      <w:pPr>
        <w:pStyle w:val="16"/>
        <w:keepNext w:val="0"/>
        <w:keepLines w:val="0"/>
        <w:pageBreakBefore w:val="0"/>
        <w:widowControl w:val="0"/>
        <w:kinsoku/>
        <w:wordWrap/>
        <w:overflowPunct/>
        <w:topLinePunct w:val="0"/>
        <w:autoSpaceDE/>
        <w:autoSpaceDN/>
        <w:bidi w:val="0"/>
        <w:adjustRightInd/>
        <w:snapToGrid w:val="0"/>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（1）本文件存在不合理条款，公告时间及程序不符合规定的；</w:t>
      </w:r>
    </w:p>
    <w:p w14:paraId="09CFD34F">
      <w:pPr>
        <w:pStyle w:val="16"/>
        <w:keepNext w:val="0"/>
        <w:keepLines w:val="0"/>
        <w:pageBreakBefore w:val="0"/>
        <w:widowControl w:val="0"/>
        <w:kinsoku/>
        <w:wordWrap/>
        <w:overflowPunct/>
        <w:topLinePunct w:val="0"/>
        <w:autoSpaceDE/>
        <w:autoSpaceDN/>
        <w:bidi w:val="0"/>
        <w:adjustRightInd/>
        <w:snapToGrid w:val="0"/>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（2）出现影响采购公正的违法、违规行为的；</w:t>
      </w:r>
    </w:p>
    <w:p w14:paraId="199ED261">
      <w:pPr>
        <w:pStyle w:val="16"/>
        <w:keepNext w:val="0"/>
        <w:keepLines w:val="0"/>
        <w:pageBreakBefore w:val="0"/>
        <w:widowControl w:val="0"/>
        <w:kinsoku/>
        <w:wordWrap/>
        <w:overflowPunct/>
        <w:topLinePunct w:val="0"/>
        <w:autoSpaceDE/>
        <w:autoSpaceDN/>
        <w:bidi w:val="0"/>
        <w:adjustRightInd/>
        <w:snapToGrid w:val="0"/>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（3）因重大变故，采购任务取消的。</w:t>
      </w:r>
    </w:p>
    <w:p w14:paraId="64039AB2">
      <w:pPr>
        <w:pStyle w:val="16"/>
        <w:keepNext w:val="0"/>
        <w:keepLines w:val="0"/>
        <w:pageBreakBefore w:val="0"/>
        <w:widowControl w:val="0"/>
        <w:kinsoku/>
        <w:wordWrap/>
        <w:overflowPunct/>
        <w:topLinePunct w:val="0"/>
        <w:autoSpaceDE/>
        <w:autoSpaceDN/>
        <w:bidi w:val="0"/>
        <w:adjustRightInd/>
        <w:snapToGrid w:val="0"/>
        <w:spacing w:line="500" w:lineRule="exact"/>
        <w:ind w:firstLine="261" w:firstLineChars="100"/>
        <w:textAlignment w:val="auto"/>
        <w:rPr>
          <w:rFonts w:hint="eastAsia" w:ascii="仿宋_GB2312" w:hAnsi="仿宋_GB2312" w:eastAsia="仿宋_GB2312" w:cs="仿宋_GB2312"/>
          <w:b/>
          <w:bCs/>
          <w:i w:val="0"/>
          <w:iCs w:val="0"/>
          <w:caps w:val="0"/>
          <w:color w:val="000000"/>
          <w:spacing w:val="0"/>
          <w:kern w:val="0"/>
          <w:sz w:val="26"/>
          <w:szCs w:val="26"/>
          <w:lang w:val="en-US" w:eastAsia="zh-CN" w:bidi="ar"/>
        </w:rPr>
      </w:pPr>
      <w:bookmarkStart w:id="175" w:name="_Toc490155566"/>
      <w:bookmarkStart w:id="176" w:name="_Toc229"/>
      <w:bookmarkStart w:id="177" w:name="_Toc8983632"/>
      <w:bookmarkStart w:id="178" w:name="_Toc30155"/>
      <w:bookmarkStart w:id="179" w:name="_Toc30501"/>
      <w:bookmarkStart w:id="180" w:name="_Toc489694863"/>
      <w:r>
        <w:rPr>
          <w:rFonts w:hint="eastAsia" w:ascii="仿宋_GB2312" w:hAnsi="仿宋_GB2312" w:eastAsia="仿宋_GB2312" w:cs="仿宋_GB2312"/>
          <w:b/>
          <w:bCs/>
          <w:i w:val="0"/>
          <w:iCs w:val="0"/>
          <w:caps w:val="0"/>
          <w:color w:val="000000"/>
          <w:spacing w:val="0"/>
          <w:kern w:val="0"/>
          <w:sz w:val="26"/>
          <w:szCs w:val="26"/>
          <w:lang w:val="en-US" w:eastAsia="zh-CN" w:bidi="ar"/>
        </w:rPr>
        <w:t>9.评标办法</w:t>
      </w:r>
      <w:bookmarkEnd w:id="175"/>
      <w:bookmarkEnd w:id="176"/>
      <w:bookmarkEnd w:id="177"/>
      <w:bookmarkEnd w:id="178"/>
      <w:bookmarkEnd w:id="179"/>
      <w:bookmarkEnd w:id="180"/>
      <w:r>
        <w:rPr>
          <w:rFonts w:hint="eastAsia" w:ascii="仿宋_GB2312" w:hAnsi="仿宋_GB2312" w:eastAsia="仿宋_GB2312" w:cs="仿宋_GB2312"/>
          <w:b/>
          <w:bCs/>
          <w:i w:val="0"/>
          <w:iCs w:val="0"/>
          <w:caps w:val="0"/>
          <w:color w:val="000000"/>
          <w:spacing w:val="0"/>
          <w:kern w:val="0"/>
          <w:sz w:val="26"/>
          <w:szCs w:val="26"/>
          <w:lang w:val="en-US" w:eastAsia="zh-CN" w:bidi="ar"/>
        </w:rPr>
        <w:t>：</w:t>
      </w:r>
    </w:p>
    <w:p w14:paraId="273D3260">
      <w:pPr>
        <w:pStyle w:val="16"/>
        <w:keepNext w:val="0"/>
        <w:keepLines w:val="0"/>
        <w:pageBreakBefore w:val="0"/>
        <w:widowControl w:val="0"/>
        <w:numPr>
          <w:ilvl w:val="0"/>
          <w:numId w:val="8"/>
        </w:numPr>
        <w:kinsoku/>
        <w:wordWrap/>
        <w:overflowPunct/>
        <w:topLinePunct w:val="0"/>
        <w:autoSpaceDE/>
        <w:autoSpaceDN/>
        <w:bidi w:val="0"/>
        <w:adjustRightInd/>
        <w:snapToGrid w:val="0"/>
        <w:spacing w:line="500" w:lineRule="exact"/>
        <w:ind w:left="-50" w:leftChars="0" w:firstLine="260" w:firstLineChars="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本项目采用</w:t>
      </w:r>
      <w:r>
        <w:rPr>
          <w:rFonts w:hint="eastAsia" w:ascii="仿宋_GB2312" w:hAnsi="仿宋_GB2312" w:eastAsia="仿宋_GB2312" w:cs="仿宋_GB2312"/>
          <w:b/>
          <w:bCs/>
          <w:i w:val="0"/>
          <w:iCs w:val="0"/>
          <w:caps w:val="0"/>
          <w:color w:val="000000"/>
          <w:spacing w:val="0"/>
          <w:kern w:val="0"/>
          <w:sz w:val="26"/>
          <w:szCs w:val="26"/>
          <w:u w:val="single"/>
          <w:lang w:val="en-US" w:eastAsia="zh-CN" w:bidi="ar"/>
        </w:rPr>
        <w:t>综合评分法</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，投标文件满足招标文件全部实质性要求，且按照评审因素的量化指标评审得分最高的投标人为中标候选人的评标方法。</w:t>
      </w:r>
    </w:p>
    <w:p w14:paraId="0C8CA59B">
      <w:pPr>
        <w:pStyle w:val="7"/>
        <w:numPr>
          <w:ilvl w:val="0"/>
          <w:numId w:val="0"/>
        </w:numPr>
        <w:spacing w:before="0" w:after="0" w:line="500" w:lineRule="exact"/>
        <w:ind w:left="-420" w:leftChars="0"/>
        <w:jc w:val="center"/>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（十）成交及合同签订</w:t>
      </w:r>
    </w:p>
    <w:p w14:paraId="7872E731">
      <w:pPr>
        <w:ind w:firstLine="261" w:firstLineChars="100"/>
        <w:jc w:val="left"/>
        <w:rPr>
          <w:rFonts w:hint="eastAsia" w:ascii="仿宋_GB2312" w:hAnsi="仿宋_GB2312" w:eastAsia="仿宋_GB2312" w:cs="仿宋_GB2312"/>
          <w:b/>
          <w:bCs/>
          <w:i w:val="0"/>
          <w:iCs w:val="0"/>
          <w:caps w:val="0"/>
          <w:color w:val="000000"/>
          <w:spacing w:val="0"/>
          <w:kern w:val="0"/>
          <w:sz w:val="26"/>
          <w:szCs w:val="26"/>
          <w:lang w:val="en-US" w:eastAsia="zh-CN" w:bidi="ar"/>
        </w:rPr>
      </w:pPr>
      <w:bookmarkStart w:id="181" w:name="_Toc490155596"/>
      <w:bookmarkStart w:id="182" w:name="_Toc24108"/>
      <w:bookmarkStart w:id="183" w:name="_Toc31101"/>
      <w:bookmarkStart w:id="184" w:name="_Toc489694893"/>
      <w:bookmarkStart w:id="185" w:name="_Toc4233"/>
      <w:bookmarkStart w:id="186" w:name="_Toc8983656"/>
      <w:r>
        <w:rPr>
          <w:rFonts w:hint="eastAsia" w:ascii="仿宋_GB2312" w:hAnsi="仿宋_GB2312" w:eastAsia="仿宋_GB2312" w:cs="仿宋_GB2312"/>
          <w:b/>
          <w:bCs/>
          <w:i w:val="0"/>
          <w:iCs w:val="0"/>
          <w:caps w:val="0"/>
          <w:color w:val="000000"/>
          <w:spacing w:val="0"/>
          <w:kern w:val="0"/>
          <w:sz w:val="26"/>
          <w:szCs w:val="26"/>
          <w:lang w:val="en-US" w:eastAsia="zh-CN" w:bidi="ar"/>
        </w:rPr>
        <w:t>1.中标人</w:t>
      </w:r>
      <w:bookmarkEnd w:id="181"/>
      <w:bookmarkEnd w:id="182"/>
      <w:bookmarkEnd w:id="183"/>
      <w:bookmarkEnd w:id="184"/>
      <w:bookmarkEnd w:id="185"/>
      <w:bookmarkEnd w:id="186"/>
    </w:p>
    <w:p w14:paraId="2648E4AE">
      <w:pPr>
        <w:ind w:firstLine="260" w:firstLineChars="100"/>
        <w:jc w:val="left"/>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采购代理机构应当在评标结束后2个工作日内将评标报告送采购人。</w:t>
      </w:r>
    </w:p>
    <w:p w14:paraId="3CFE9382">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采购人应当自收到评标报告之日起５个工作日内，在评标报告确定的中标候选人名单中按顺序确定中标人。中标候选人并列的，由采购人或者采购人委托评标委员会按照招标文件规定的方式确定中标人；</w:t>
      </w:r>
    </w:p>
    <w:p w14:paraId="2EE30536">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招标文件未规定的，采取随机抽取的方式确定。</w:t>
      </w:r>
    </w:p>
    <w:p w14:paraId="028E84E6">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采购人自行组织招标的，应当在评标结束后5个工作日内确定中标人。</w:t>
      </w:r>
    </w:p>
    <w:p w14:paraId="1718643F">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采购人在收到评标报告5个工作日内未按评标报告推荐的中标候选人顺序确定中标人，又不能说明合法理由的，视同按评标报告推荐的顺序确定排名第一的中标候选人为中标人。</w:t>
      </w:r>
    </w:p>
    <w:p w14:paraId="6D7BF7A6">
      <w:pPr>
        <w:keepNext w:val="0"/>
        <w:keepLines w:val="0"/>
        <w:pageBreakBefore w:val="0"/>
        <w:widowControl w:val="0"/>
        <w:kinsoku/>
        <w:wordWrap/>
        <w:overflowPunct/>
        <w:topLinePunct w:val="0"/>
        <w:autoSpaceDE/>
        <w:autoSpaceDN/>
        <w:bidi w:val="0"/>
        <w:adjustRightInd/>
        <w:spacing w:line="500" w:lineRule="exact"/>
        <w:ind w:firstLine="261" w:firstLineChars="100"/>
        <w:textAlignment w:val="auto"/>
        <w:rPr>
          <w:rFonts w:hint="eastAsia" w:ascii="仿宋_GB2312" w:hAnsi="仿宋_GB2312" w:eastAsia="仿宋_GB2312" w:cs="仿宋_GB2312"/>
          <w:b/>
          <w:bCs/>
          <w:i w:val="0"/>
          <w:iCs w:val="0"/>
          <w:caps w:val="0"/>
          <w:color w:val="000000"/>
          <w:spacing w:val="0"/>
          <w:kern w:val="0"/>
          <w:sz w:val="26"/>
          <w:szCs w:val="26"/>
          <w:lang w:val="en-US" w:eastAsia="zh-CN" w:bidi="ar"/>
        </w:rPr>
      </w:pPr>
      <w:bookmarkStart w:id="187" w:name="_Toc11718"/>
      <w:bookmarkStart w:id="188" w:name="_Toc489694894"/>
      <w:bookmarkStart w:id="189" w:name="_Toc3696"/>
      <w:bookmarkStart w:id="190" w:name="_Toc8983657"/>
      <w:bookmarkStart w:id="191" w:name="_Toc490155597"/>
      <w:bookmarkStart w:id="192" w:name="_Toc3926"/>
      <w:r>
        <w:rPr>
          <w:rFonts w:hint="eastAsia" w:ascii="仿宋_GB2312" w:hAnsi="仿宋_GB2312" w:eastAsia="仿宋_GB2312" w:cs="仿宋_GB2312"/>
          <w:b/>
          <w:bCs/>
          <w:i w:val="0"/>
          <w:iCs w:val="0"/>
          <w:caps w:val="0"/>
          <w:color w:val="000000"/>
          <w:spacing w:val="0"/>
          <w:kern w:val="0"/>
          <w:sz w:val="26"/>
          <w:szCs w:val="26"/>
          <w:lang w:val="en-US" w:eastAsia="zh-CN" w:bidi="ar"/>
        </w:rPr>
        <w:t>2.</w:t>
      </w:r>
      <w:bookmarkEnd w:id="187"/>
      <w:bookmarkEnd w:id="188"/>
      <w:bookmarkEnd w:id="189"/>
      <w:bookmarkEnd w:id="190"/>
      <w:bookmarkEnd w:id="191"/>
      <w:bookmarkEnd w:id="192"/>
      <w:r>
        <w:rPr>
          <w:rFonts w:hint="eastAsia" w:ascii="仿宋_GB2312" w:hAnsi="仿宋_GB2312" w:eastAsia="仿宋_GB2312" w:cs="仿宋_GB2312"/>
          <w:b/>
          <w:bCs/>
          <w:i w:val="0"/>
          <w:iCs w:val="0"/>
          <w:caps w:val="0"/>
          <w:color w:val="000000"/>
          <w:spacing w:val="0"/>
          <w:kern w:val="0"/>
          <w:sz w:val="26"/>
          <w:szCs w:val="26"/>
          <w:lang w:val="en-US" w:eastAsia="zh-CN" w:bidi="ar"/>
        </w:rPr>
        <w:t>履行合同能力审查</w:t>
      </w:r>
    </w:p>
    <w:p w14:paraId="057558C7">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采购人将在签订合同前对中标候选人是否能圆满地履行合同进行审查。审查包括中标候选人投标文件中提供的所有资格证明材料原件，中标候选人投标文件及补充承诺中涉及的其他相关资料原件，以及对本项目实施可能存在风险的其他因素。</w:t>
      </w:r>
    </w:p>
    <w:p w14:paraId="58A96DD2">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（2）采购人若发现中标候选人在投标过程中提供虚假证明文件，故意隐瞒公司不良信誉和财务状况，以及存在可能对合同圆满履行造成风险的其他因素等，则按规定取消其成交资格，监管部门依法进行处理。</w:t>
      </w:r>
    </w:p>
    <w:p w14:paraId="58B6F85D">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（3）如果中标候选人被确认为不具备执行合同的能力，采购人将考虑按同样的程序审查下一个中标候选人。</w:t>
      </w:r>
    </w:p>
    <w:p w14:paraId="63D6B841">
      <w:pPr>
        <w:keepNext w:val="0"/>
        <w:keepLines w:val="0"/>
        <w:pageBreakBefore w:val="0"/>
        <w:widowControl w:val="0"/>
        <w:kinsoku/>
        <w:wordWrap/>
        <w:overflowPunct/>
        <w:topLinePunct w:val="0"/>
        <w:autoSpaceDE/>
        <w:autoSpaceDN/>
        <w:bidi w:val="0"/>
        <w:adjustRightInd/>
        <w:spacing w:line="500" w:lineRule="exact"/>
        <w:ind w:firstLine="261" w:firstLineChars="100"/>
        <w:textAlignment w:val="auto"/>
        <w:rPr>
          <w:rFonts w:hint="eastAsia" w:ascii="仿宋_GB2312" w:hAnsi="仿宋_GB2312" w:eastAsia="仿宋_GB2312" w:cs="仿宋_GB2312"/>
          <w:b/>
          <w:bCs/>
          <w:i w:val="0"/>
          <w:iCs w:val="0"/>
          <w:caps w:val="0"/>
          <w:color w:val="000000"/>
          <w:spacing w:val="0"/>
          <w:kern w:val="0"/>
          <w:sz w:val="26"/>
          <w:szCs w:val="26"/>
          <w:lang w:val="en-US" w:eastAsia="zh-CN" w:bidi="ar"/>
        </w:rPr>
      </w:pPr>
      <w:bookmarkStart w:id="193" w:name="_Toc490155598"/>
      <w:bookmarkStart w:id="194" w:name="_Toc8983658"/>
      <w:bookmarkStart w:id="195" w:name="_Toc7149"/>
      <w:bookmarkStart w:id="196" w:name="_Toc489694895"/>
      <w:bookmarkStart w:id="197" w:name="_Toc16618"/>
      <w:bookmarkStart w:id="198" w:name="_Toc12865"/>
      <w:r>
        <w:rPr>
          <w:rFonts w:hint="eastAsia" w:ascii="仿宋_GB2312" w:hAnsi="仿宋_GB2312" w:eastAsia="仿宋_GB2312" w:cs="仿宋_GB2312"/>
          <w:b/>
          <w:bCs/>
          <w:i w:val="0"/>
          <w:iCs w:val="0"/>
          <w:caps w:val="0"/>
          <w:color w:val="000000"/>
          <w:spacing w:val="0"/>
          <w:kern w:val="0"/>
          <w:sz w:val="26"/>
          <w:szCs w:val="26"/>
          <w:lang w:val="en-US" w:eastAsia="zh-CN" w:bidi="ar"/>
        </w:rPr>
        <w:t>3.中标通知书</w:t>
      </w:r>
      <w:bookmarkEnd w:id="193"/>
      <w:bookmarkEnd w:id="194"/>
      <w:bookmarkEnd w:id="195"/>
      <w:bookmarkEnd w:id="196"/>
      <w:bookmarkEnd w:id="197"/>
      <w:bookmarkEnd w:id="198"/>
    </w:p>
    <w:p w14:paraId="37F25143">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bookmarkStart w:id="199" w:name="_Toc22669"/>
      <w:bookmarkStart w:id="200" w:name="_Toc489694896"/>
      <w:bookmarkStart w:id="201" w:name="_Toc20838"/>
      <w:bookmarkStart w:id="202" w:name="_Toc19456"/>
      <w:bookmarkStart w:id="203" w:name="_Toc490155599"/>
      <w:r>
        <w:rPr>
          <w:rFonts w:hint="eastAsia" w:ascii="仿宋_GB2312" w:hAnsi="仿宋_GB2312" w:eastAsia="仿宋_GB2312" w:cs="仿宋_GB2312"/>
          <w:b w:val="0"/>
          <w:bCs w:val="0"/>
          <w:i w:val="0"/>
          <w:iCs w:val="0"/>
          <w:caps w:val="0"/>
          <w:color w:val="000000"/>
          <w:spacing w:val="0"/>
          <w:kern w:val="0"/>
          <w:sz w:val="26"/>
          <w:szCs w:val="26"/>
          <w:lang w:val="en-US" w:eastAsia="zh-CN" w:bidi="ar"/>
        </w:rPr>
        <w:t>（1）中标公告期1个工作日期满后，采购人或者采购代理机构应当向中标人发出中标通知书。</w:t>
      </w:r>
    </w:p>
    <w:p w14:paraId="2D49D14A">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（2）中标人应及时到采购代理机构领取中标通知书，中标通知书是签订合同的依据和组成部分。</w:t>
      </w:r>
    </w:p>
    <w:p w14:paraId="1A600AFB">
      <w:pPr>
        <w:keepNext w:val="0"/>
        <w:keepLines w:val="0"/>
        <w:pageBreakBefore w:val="0"/>
        <w:widowControl w:val="0"/>
        <w:kinsoku/>
        <w:wordWrap/>
        <w:overflowPunct/>
        <w:topLinePunct w:val="0"/>
        <w:autoSpaceDE/>
        <w:autoSpaceDN/>
        <w:bidi w:val="0"/>
        <w:adjustRightInd/>
        <w:spacing w:line="500" w:lineRule="exact"/>
        <w:ind w:firstLine="261" w:firstLineChars="100"/>
        <w:textAlignment w:val="auto"/>
        <w:rPr>
          <w:rFonts w:hint="eastAsia" w:ascii="仿宋_GB2312" w:hAnsi="仿宋_GB2312" w:eastAsia="仿宋_GB2312" w:cs="仿宋_GB2312"/>
          <w:b/>
          <w:bCs/>
          <w:i w:val="0"/>
          <w:iCs w:val="0"/>
          <w:caps w:val="0"/>
          <w:color w:val="000000"/>
          <w:spacing w:val="0"/>
          <w:kern w:val="0"/>
          <w:sz w:val="26"/>
          <w:szCs w:val="26"/>
          <w:lang w:val="en-US" w:eastAsia="zh-CN" w:bidi="ar"/>
        </w:rPr>
      </w:pPr>
      <w:bookmarkStart w:id="204" w:name="_Toc8983659"/>
      <w:r>
        <w:rPr>
          <w:rFonts w:hint="eastAsia" w:ascii="仿宋_GB2312" w:hAnsi="仿宋_GB2312" w:eastAsia="仿宋_GB2312" w:cs="仿宋_GB2312"/>
          <w:b/>
          <w:bCs/>
          <w:i w:val="0"/>
          <w:iCs w:val="0"/>
          <w:caps w:val="0"/>
          <w:color w:val="000000"/>
          <w:spacing w:val="0"/>
          <w:kern w:val="0"/>
          <w:sz w:val="26"/>
          <w:szCs w:val="26"/>
          <w:lang w:val="en-US" w:eastAsia="zh-CN" w:bidi="ar"/>
        </w:rPr>
        <w:t>4.签订合同</w:t>
      </w:r>
      <w:bookmarkEnd w:id="199"/>
      <w:bookmarkEnd w:id="200"/>
      <w:bookmarkEnd w:id="201"/>
      <w:bookmarkEnd w:id="202"/>
      <w:bookmarkEnd w:id="203"/>
      <w:bookmarkEnd w:id="204"/>
    </w:p>
    <w:p w14:paraId="002613C7">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中标人应在规定的时间、地点与采购人签订合同，招标文件、中标人的投标文件、分次报价及服务承诺文件以及评标过程中有关澄清文件均作为合同附件，合同经采购人审核盖章后实施。</w:t>
      </w:r>
    </w:p>
    <w:p w14:paraId="19016B55">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（1）中标人无正当理由未在规定时间内与采购人签订合同的，采购人有权建议取消其成交资格，监管部门将对其依法处理。</w:t>
      </w:r>
    </w:p>
    <w:p w14:paraId="0392E160">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（2）采购人不得向中标人提出任何不合理的要求，作为签订合同的条件；不得与中标人私下订立背离合同实质性内容的协议。</w:t>
      </w:r>
    </w:p>
    <w:p w14:paraId="6303FA1C">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中标人因不可抗力或自身原因不能签订采购合同或者不能履行合同的，参照《中华人民共和国政府采购法实施条例》第四十九条，采购人可以按中标候选顺序确定新的中标人并签订合同，以此类推，或重新进行采购。</w:t>
      </w:r>
    </w:p>
    <w:p w14:paraId="61FA4FEA">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（4）采购人在授予合同时有权对本文件规定的货物和服务予以适当的增加或减少，但不得改变单价或其他条款和条件。</w:t>
      </w:r>
    </w:p>
    <w:p w14:paraId="7EC1C641">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（5）中标人应当按照合同约定履行义务，完成中标项目，不得将中标项目转让给他人。除本文件另有规定外，也不得将中标项目进行分包给他人。</w:t>
      </w:r>
    </w:p>
    <w:p w14:paraId="031FE5FA">
      <w:pPr>
        <w:pStyle w:val="7"/>
        <w:numPr>
          <w:ilvl w:val="0"/>
          <w:numId w:val="0"/>
        </w:numPr>
        <w:spacing w:before="0" w:after="0" w:line="500" w:lineRule="exact"/>
        <w:ind w:left="-420" w:leftChars="0"/>
        <w:jc w:val="center"/>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（十一）验收及付款</w:t>
      </w:r>
    </w:p>
    <w:p w14:paraId="3179F47E">
      <w:pPr>
        <w:keepNext w:val="0"/>
        <w:keepLines w:val="0"/>
        <w:pageBreakBefore w:val="0"/>
        <w:widowControl w:val="0"/>
        <w:kinsoku/>
        <w:wordWrap/>
        <w:overflowPunct/>
        <w:topLinePunct w:val="0"/>
        <w:autoSpaceDE/>
        <w:autoSpaceDN/>
        <w:bidi w:val="0"/>
        <w:adjustRightInd/>
        <w:spacing w:line="500" w:lineRule="exact"/>
        <w:ind w:firstLine="261" w:firstLineChars="100"/>
        <w:textAlignment w:val="auto"/>
        <w:rPr>
          <w:rFonts w:hint="eastAsia" w:ascii="仿宋_GB2312" w:hAnsi="仿宋_GB2312" w:eastAsia="仿宋_GB2312" w:cs="仿宋_GB2312"/>
          <w:b/>
          <w:bCs/>
          <w:i w:val="0"/>
          <w:iCs w:val="0"/>
          <w:caps w:val="0"/>
          <w:color w:val="000000"/>
          <w:spacing w:val="0"/>
          <w:kern w:val="0"/>
          <w:sz w:val="26"/>
          <w:szCs w:val="26"/>
          <w:lang w:val="en-US" w:eastAsia="zh-CN" w:bidi="ar"/>
        </w:rPr>
      </w:pPr>
      <w:bookmarkStart w:id="205" w:name="_Toc10138"/>
      <w:bookmarkStart w:id="206" w:name="_Toc17247"/>
      <w:bookmarkStart w:id="207" w:name="_Toc489694897"/>
      <w:bookmarkStart w:id="208" w:name="_Toc4855"/>
      <w:bookmarkStart w:id="209" w:name="_Toc8983660"/>
      <w:bookmarkStart w:id="210" w:name="_Toc490155600"/>
      <w:r>
        <w:rPr>
          <w:rFonts w:hint="eastAsia" w:ascii="仿宋_GB2312" w:hAnsi="仿宋_GB2312" w:eastAsia="仿宋_GB2312" w:cs="仿宋_GB2312"/>
          <w:b/>
          <w:bCs/>
          <w:i w:val="0"/>
          <w:iCs w:val="0"/>
          <w:caps w:val="0"/>
          <w:color w:val="000000"/>
          <w:spacing w:val="0"/>
          <w:kern w:val="0"/>
          <w:sz w:val="26"/>
          <w:szCs w:val="26"/>
          <w:lang w:val="en-US" w:eastAsia="zh-CN" w:bidi="ar"/>
        </w:rPr>
        <w:t>1.验收</w:t>
      </w:r>
      <w:bookmarkEnd w:id="205"/>
      <w:bookmarkEnd w:id="206"/>
      <w:bookmarkEnd w:id="207"/>
      <w:bookmarkEnd w:id="208"/>
      <w:bookmarkEnd w:id="209"/>
      <w:bookmarkEnd w:id="210"/>
    </w:p>
    <w:p w14:paraId="53F5D6AC">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中标人根据初步验收的结果进行整改并满足合同技术要求后，由中标人提交完备的项目实施文档及书面申请，经采购人审核通过后，由采购人组织开展验收工作，签署项目验收文件。</w:t>
      </w:r>
    </w:p>
    <w:p w14:paraId="7193D0DA">
      <w:pPr>
        <w:keepNext w:val="0"/>
        <w:keepLines w:val="0"/>
        <w:pageBreakBefore w:val="0"/>
        <w:widowControl w:val="0"/>
        <w:kinsoku/>
        <w:wordWrap/>
        <w:overflowPunct/>
        <w:topLinePunct w:val="0"/>
        <w:autoSpaceDE/>
        <w:autoSpaceDN/>
        <w:bidi w:val="0"/>
        <w:adjustRightInd/>
        <w:spacing w:line="500" w:lineRule="exact"/>
        <w:ind w:firstLine="261" w:firstLineChars="100"/>
        <w:textAlignment w:val="auto"/>
        <w:rPr>
          <w:rFonts w:hint="eastAsia" w:ascii="仿宋_GB2312" w:hAnsi="仿宋_GB2312" w:eastAsia="仿宋_GB2312" w:cs="仿宋_GB2312"/>
          <w:b/>
          <w:bCs/>
          <w:i w:val="0"/>
          <w:iCs w:val="0"/>
          <w:caps w:val="0"/>
          <w:color w:val="000000"/>
          <w:spacing w:val="0"/>
          <w:kern w:val="0"/>
          <w:sz w:val="26"/>
          <w:szCs w:val="26"/>
          <w:lang w:val="en-US" w:eastAsia="zh-CN" w:bidi="ar"/>
        </w:rPr>
      </w:pPr>
      <w:bookmarkStart w:id="211" w:name="_Toc3365"/>
      <w:bookmarkStart w:id="212" w:name="_Toc16133"/>
      <w:bookmarkStart w:id="213" w:name="_Toc489694898"/>
      <w:bookmarkStart w:id="214" w:name="_Toc12537"/>
      <w:bookmarkStart w:id="215" w:name="_Toc490155601"/>
      <w:bookmarkStart w:id="216" w:name="_Toc8983661"/>
      <w:r>
        <w:rPr>
          <w:rFonts w:hint="eastAsia" w:ascii="仿宋_GB2312" w:hAnsi="仿宋_GB2312" w:eastAsia="仿宋_GB2312" w:cs="仿宋_GB2312"/>
          <w:b/>
          <w:bCs/>
          <w:i w:val="0"/>
          <w:iCs w:val="0"/>
          <w:caps w:val="0"/>
          <w:color w:val="000000"/>
          <w:spacing w:val="0"/>
          <w:kern w:val="0"/>
          <w:sz w:val="26"/>
          <w:szCs w:val="26"/>
          <w:lang w:val="en-US" w:eastAsia="zh-CN" w:bidi="ar"/>
        </w:rPr>
        <w:t>2.</w:t>
      </w:r>
      <w:bookmarkEnd w:id="211"/>
      <w:bookmarkEnd w:id="212"/>
      <w:bookmarkEnd w:id="213"/>
      <w:bookmarkEnd w:id="214"/>
      <w:r>
        <w:rPr>
          <w:rFonts w:hint="eastAsia" w:ascii="仿宋_GB2312" w:hAnsi="仿宋_GB2312" w:eastAsia="仿宋_GB2312" w:cs="仿宋_GB2312"/>
          <w:b/>
          <w:bCs/>
          <w:i w:val="0"/>
          <w:iCs w:val="0"/>
          <w:caps w:val="0"/>
          <w:color w:val="000000"/>
          <w:spacing w:val="0"/>
          <w:kern w:val="0"/>
          <w:sz w:val="26"/>
          <w:szCs w:val="26"/>
          <w:lang w:val="en-US" w:eastAsia="zh-CN" w:bidi="ar"/>
        </w:rPr>
        <w:t>付款</w:t>
      </w:r>
      <w:bookmarkEnd w:id="215"/>
      <w:bookmarkEnd w:id="216"/>
    </w:p>
    <w:p w14:paraId="053FA8A0">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 w:hAnsi="仿宋" w:eastAsia="仿宋" w:cs="仿宋"/>
          <w:sz w:val="26"/>
          <w:szCs w:val="26"/>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采购人凭项目合同、验收报告合同约定的时间内办理采购款支付手续。</w:t>
      </w:r>
    </w:p>
    <w:p w14:paraId="6E9C8E46">
      <w:pPr>
        <w:pStyle w:val="7"/>
        <w:numPr>
          <w:ilvl w:val="0"/>
          <w:numId w:val="0"/>
        </w:numPr>
        <w:spacing w:before="0" w:after="0" w:line="500" w:lineRule="exact"/>
        <w:ind w:left="-420" w:leftChars="0"/>
        <w:jc w:val="center"/>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（十二）法律责任</w:t>
      </w:r>
    </w:p>
    <w:p w14:paraId="230BF66A">
      <w:pPr>
        <w:keepNext w:val="0"/>
        <w:keepLines w:val="0"/>
        <w:pageBreakBefore w:val="0"/>
        <w:widowControl w:val="0"/>
        <w:kinsoku/>
        <w:wordWrap/>
        <w:overflowPunct/>
        <w:topLinePunct w:val="0"/>
        <w:autoSpaceDE/>
        <w:autoSpaceDN/>
        <w:bidi w:val="0"/>
        <w:adjustRightInd/>
        <w:spacing w:line="500" w:lineRule="exact"/>
        <w:ind w:firstLine="261" w:firstLineChars="100"/>
        <w:textAlignment w:val="auto"/>
        <w:rPr>
          <w:rFonts w:hint="eastAsia" w:ascii="仿宋_GB2312" w:hAnsi="仿宋_GB2312" w:eastAsia="仿宋_GB2312" w:cs="仿宋_GB2312"/>
          <w:b/>
          <w:bCs/>
          <w:i w:val="0"/>
          <w:iCs w:val="0"/>
          <w:caps w:val="0"/>
          <w:color w:val="000000"/>
          <w:spacing w:val="0"/>
          <w:kern w:val="0"/>
          <w:sz w:val="26"/>
          <w:szCs w:val="26"/>
          <w:lang w:val="en-US" w:eastAsia="zh-CN" w:bidi="ar"/>
        </w:rPr>
      </w:pPr>
      <w:bookmarkStart w:id="217" w:name="_Toc490155602"/>
      <w:bookmarkStart w:id="218" w:name="_Toc32052"/>
      <w:bookmarkStart w:id="219" w:name="_Toc489694899"/>
      <w:bookmarkStart w:id="220" w:name="_Toc23082"/>
      <w:bookmarkStart w:id="221" w:name="_Toc15425"/>
      <w:bookmarkStart w:id="222" w:name="_Toc8983662"/>
      <w:r>
        <w:rPr>
          <w:rFonts w:hint="eastAsia" w:ascii="仿宋_GB2312" w:hAnsi="仿宋_GB2312" w:eastAsia="仿宋_GB2312" w:cs="仿宋_GB2312"/>
          <w:b/>
          <w:bCs/>
          <w:i w:val="0"/>
          <w:iCs w:val="0"/>
          <w:caps w:val="0"/>
          <w:color w:val="000000"/>
          <w:spacing w:val="0"/>
          <w:kern w:val="0"/>
          <w:sz w:val="26"/>
          <w:szCs w:val="26"/>
          <w:lang w:val="en-US" w:eastAsia="zh-CN" w:bidi="ar"/>
        </w:rPr>
        <w:t>1.法律责任</w:t>
      </w:r>
      <w:bookmarkEnd w:id="217"/>
      <w:bookmarkEnd w:id="218"/>
      <w:bookmarkEnd w:id="219"/>
      <w:bookmarkEnd w:id="220"/>
      <w:bookmarkEnd w:id="221"/>
      <w:bookmarkEnd w:id="222"/>
    </w:p>
    <w:p w14:paraId="452CBD13">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 w:hAnsi="仿宋" w:eastAsia="仿宋" w:cs="仿宋"/>
          <w:sz w:val="26"/>
          <w:szCs w:val="26"/>
        </w:rPr>
      </w:pPr>
      <w:bookmarkStart w:id="223" w:name="_Toc8983663"/>
      <w:r>
        <w:rPr>
          <w:rFonts w:hint="eastAsia" w:ascii="仿宋_GB2312" w:hAnsi="仿宋_GB2312" w:eastAsia="仿宋_GB2312" w:cs="仿宋_GB2312"/>
          <w:b w:val="0"/>
          <w:bCs w:val="0"/>
          <w:i w:val="0"/>
          <w:iCs w:val="0"/>
          <w:caps w:val="0"/>
          <w:color w:val="000000"/>
          <w:spacing w:val="0"/>
          <w:kern w:val="0"/>
          <w:sz w:val="26"/>
          <w:szCs w:val="26"/>
          <w:lang w:val="en-US" w:eastAsia="zh-CN" w:bidi="ar"/>
        </w:rPr>
        <w:t>1、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bookmarkEnd w:id="223"/>
    </w:p>
    <w:p w14:paraId="62353135">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bookmarkStart w:id="224" w:name="_Toc8983664"/>
      <w:r>
        <w:rPr>
          <w:rFonts w:hint="eastAsia" w:ascii="仿宋" w:hAnsi="仿宋" w:eastAsia="仿宋" w:cs="仿宋"/>
          <w:sz w:val="26"/>
          <w:szCs w:val="26"/>
        </w:rPr>
        <w:t>（1）</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提供虚假材料谋取中标的；</w:t>
      </w:r>
      <w:bookmarkEnd w:id="224"/>
    </w:p>
    <w:p w14:paraId="2590DB20">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bookmarkStart w:id="225" w:name="_Toc8983665"/>
      <w:r>
        <w:rPr>
          <w:rFonts w:hint="eastAsia" w:ascii="仿宋_GB2312" w:hAnsi="仿宋_GB2312" w:eastAsia="仿宋_GB2312" w:cs="仿宋_GB2312"/>
          <w:b w:val="0"/>
          <w:bCs w:val="0"/>
          <w:i w:val="0"/>
          <w:iCs w:val="0"/>
          <w:caps w:val="0"/>
          <w:color w:val="000000"/>
          <w:spacing w:val="0"/>
          <w:kern w:val="0"/>
          <w:sz w:val="26"/>
          <w:szCs w:val="26"/>
          <w:lang w:val="en-US" w:eastAsia="zh-CN" w:bidi="ar"/>
        </w:rPr>
        <w:t>（2）采取不正当手段诋毁、排挤其他投标人的；</w:t>
      </w:r>
      <w:bookmarkEnd w:id="225"/>
    </w:p>
    <w:p w14:paraId="65014D7F">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bookmarkStart w:id="226" w:name="_Toc8983666"/>
      <w:r>
        <w:rPr>
          <w:rFonts w:hint="eastAsia" w:ascii="仿宋_GB2312" w:hAnsi="仿宋_GB2312" w:eastAsia="仿宋_GB2312" w:cs="仿宋_GB2312"/>
          <w:b w:val="0"/>
          <w:bCs w:val="0"/>
          <w:i w:val="0"/>
          <w:iCs w:val="0"/>
          <w:caps w:val="0"/>
          <w:color w:val="000000"/>
          <w:spacing w:val="0"/>
          <w:kern w:val="0"/>
          <w:sz w:val="26"/>
          <w:szCs w:val="26"/>
          <w:lang w:val="en-US" w:eastAsia="zh-CN" w:bidi="ar"/>
        </w:rPr>
        <w:t>（3）与采购人、其他投标人或采购代理机构恶意串通的；</w:t>
      </w:r>
      <w:bookmarkEnd w:id="226"/>
    </w:p>
    <w:p w14:paraId="4DF19677">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bookmarkStart w:id="227" w:name="_Toc8983667"/>
      <w:r>
        <w:rPr>
          <w:rFonts w:hint="eastAsia" w:ascii="仿宋_GB2312" w:hAnsi="仿宋_GB2312" w:eastAsia="仿宋_GB2312" w:cs="仿宋_GB2312"/>
          <w:b w:val="0"/>
          <w:bCs w:val="0"/>
          <w:i w:val="0"/>
          <w:iCs w:val="0"/>
          <w:caps w:val="0"/>
          <w:color w:val="000000"/>
          <w:spacing w:val="0"/>
          <w:kern w:val="0"/>
          <w:sz w:val="26"/>
          <w:szCs w:val="26"/>
          <w:lang w:val="en-US" w:eastAsia="zh-CN" w:bidi="ar"/>
        </w:rPr>
        <w:t>（4）向采购人、采购代理机构行贿或者提供其他不正当利益的；</w:t>
      </w:r>
      <w:bookmarkEnd w:id="227"/>
      <w:bookmarkStart w:id="228" w:name="_Toc8983668"/>
    </w:p>
    <w:p w14:paraId="7FA09931">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（5）在招标过程中与招标采购单位进行协商谈判、不按照招标文件和中标投标人的投标文件订立合同，或者与采购人另行订立背离合同实质性内容的协议的；</w:t>
      </w:r>
      <w:bookmarkEnd w:id="228"/>
    </w:p>
    <w:p w14:paraId="79A977CC">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bookmarkStart w:id="229" w:name="_Toc8983669"/>
      <w:r>
        <w:rPr>
          <w:rFonts w:hint="eastAsia" w:ascii="仿宋_GB2312" w:hAnsi="仿宋_GB2312" w:eastAsia="仿宋_GB2312" w:cs="仿宋_GB2312"/>
          <w:b w:val="0"/>
          <w:bCs w:val="0"/>
          <w:i w:val="0"/>
          <w:iCs w:val="0"/>
          <w:caps w:val="0"/>
          <w:color w:val="000000"/>
          <w:spacing w:val="0"/>
          <w:kern w:val="0"/>
          <w:sz w:val="26"/>
          <w:szCs w:val="26"/>
          <w:lang w:val="en-US" w:eastAsia="zh-CN" w:bidi="ar"/>
        </w:rPr>
        <w:t>（6）拒绝有关部门监督检查或者提供虚假情况的。投标人有前款情形之一中标无效。</w:t>
      </w:r>
      <w:bookmarkEnd w:id="229"/>
    </w:p>
    <w:p w14:paraId="0A00465D">
      <w:pPr>
        <w:keepNext w:val="0"/>
        <w:keepLines w:val="0"/>
        <w:pageBreakBefore w:val="0"/>
        <w:widowControl w:val="0"/>
        <w:kinsoku/>
        <w:wordWrap/>
        <w:overflowPunct/>
        <w:topLinePunct w:val="0"/>
        <w:autoSpaceDE/>
        <w:autoSpaceDN/>
        <w:bidi w:val="0"/>
        <w:adjustRightInd/>
        <w:spacing w:line="500" w:lineRule="exact"/>
        <w:ind w:firstLine="520" w:firstLineChars="2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bookmarkStart w:id="230" w:name="_Toc8983670"/>
      <w:r>
        <w:rPr>
          <w:rFonts w:hint="eastAsia" w:ascii="仿宋_GB2312" w:hAnsi="仿宋_GB2312" w:eastAsia="仿宋_GB2312" w:cs="仿宋_GB2312"/>
          <w:b w:val="0"/>
          <w:bCs w:val="0"/>
          <w:i w:val="0"/>
          <w:iCs w:val="0"/>
          <w:caps w:val="0"/>
          <w:color w:val="000000"/>
          <w:spacing w:val="0"/>
          <w:kern w:val="0"/>
          <w:sz w:val="26"/>
          <w:szCs w:val="26"/>
          <w:lang w:val="en-US" w:eastAsia="zh-CN" w:bidi="ar"/>
        </w:rPr>
        <w:t>2、中标人有下列情形之一的，招标采购单位不予退还其交纳的投标保证金；情节严重的，由财政部门将其列入不良行为记录名单，在一至三年内禁止参加政府采购活动，并予以通报：</w:t>
      </w:r>
      <w:bookmarkEnd w:id="230"/>
    </w:p>
    <w:p w14:paraId="0E7395E7">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bookmarkStart w:id="231" w:name="_Toc8983671"/>
      <w:r>
        <w:rPr>
          <w:rFonts w:hint="eastAsia" w:ascii="仿宋_GB2312" w:hAnsi="仿宋_GB2312" w:eastAsia="仿宋_GB2312" w:cs="仿宋_GB2312"/>
          <w:b w:val="0"/>
          <w:bCs w:val="0"/>
          <w:i w:val="0"/>
          <w:iCs w:val="0"/>
          <w:caps w:val="0"/>
          <w:color w:val="000000"/>
          <w:spacing w:val="0"/>
          <w:kern w:val="0"/>
          <w:sz w:val="26"/>
          <w:szCs w:val="26"/>
          <w:lang w:val="en-US" w:eastAsia="zh-CN" w:bidi="ar"/>
        </w:rPr>
        <w:t>（1）中标后无正当理由不与采购人签订合同，或者与采购人另行订立背离合同实质性内容的协议的；</w:t>
      </w:r>
      <w:bookmarkEnd w:id="231"/>
    </w:p>
    <w:p w14:paraId="19C94935">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bookmarkStart w:id="232" w:name="_Toc8983672"/>
      <w:r>
        <w:rPr>
          <w:rFonts w:hint="eastAsia" w:ascii="仿宋_GB2312" w:hAnsi="仿宋_GB2312" w:eastAsia="仿宋_GB2312" w:cs="仿宋_GB2312"/>
          <w:b w:val="0"/>
          <w:bCs w:val="0"/>
          <w:i w:val="0"/>
          <w:iCs w:val="0"/>
          <w:caps w:val="0"/>
          <w:color w:val="000000"/>
          <w:spacing w:val="0"/>
          <w:kern w:val="0"/>
          <w:sz w:val="26"/>
          <w:szCs w:val="26"/>
          <w:lang w:val="en-US" w:eastAsia="zh-CN" w:bidi="ar"/>
        </w:rPr>
        <w:t>（2）将中标项目转让给他人，或者在投标文件中未说明，且未经采购人同意，将中标项目分包给他人的；</w:t>
      </w:r>
      <w:bookmarkEnd w:id="232"/>
    </w:p>
    <w:p w14:paraId="6D3E66B4">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bookmarkStart w:id="233" w:name="_Toc8983673"/>
      <w:r>
        <w:rPr>
          <w:rFonts w:hint="eastAsia" w:ascii="仿宋_GB2312" w:hAnsi="仿宋_GB2312" w:eastAsia="仿宋_GB2312" w:cs="仿宋_GB2312"/>
          <w:b w:val="0"/>
          <w:bCs w:val="0"/>
          <w:i w:val="0"/>
          <w:iCs w:val="0"/>
          <w:caps w:val="0"/>
          <w:color w:val="000000"/>
          <w:spacing w:val="0"/>
          <w:kern w:val="0"/>
          <w:sz w:val="26"/>
          <w:szCs w:val="26"/>
          <w:lang w:val="en-US" w:eastAsia="zh-CN" w:bidi="ar"/>
        </w:rPr>
        <w:t>（3）拒绝履行合同义务的。</w:t>
      </w:r>
      <w:bookmarkEnd w:id="233"/>
    </w:p>
    <w:p w14:paraId="562656D5">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bookmarkStart w:id="234" w:name="_Toc8983674"/>
      <w:r>
        <w:rPr>
          <w:rFonts w:hint="eastAsia" w:ascii="仿宋_GB2312" w:hAnsi="仿宋_GB2312" w:eastAsia="仿宋_GB2312" w:cs="仿宋_GB2312"/>
          <w:b w:val="0"/>
          <w:bCs w:val="0"/>
          <w:i w:val="0"/>
          <w:iCs w:val="0"/>
          <w:caps w:val="0"/>
          <w:color w:val="000000"/>
          <w:spacing w:val="0"/>
          <w:kern w:val="0"/>
          <w:sz w:val="26"/>
          <w:szCs w:val="26"/>
          <w:lang w:val="en-US" w:eastAsia="zh-CN" w:bidi="ar"/>
        </w:rPr>
        <w:t>中标人有前款情形之一的，中标无效。</w:t>
      </w:r>
      <w:bookmarkEnd w:id="234"/>
      <w:bookmarkStart w:id="235" w:name="_Toc8983675"/>
    </w:p>
    <w:p w14:paraId="572FB9A1">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按照以上条款规定，经同级或其上级财政部门认定中标无效的，可按中标候选顺序重新确定，或重新进行采购。</w:t>
      </w:r>
      <w:bookmarkEnd w:id="235"/>
    </w:p>
    <w:p w14:paraId="5D137734">
      <w:pPr>
        <w:keepNext w:val="0"/>
        <w:keepLines w:val="0"/>
        <w:pageBreakBefore w:val="0"/>
        <w:widowControl w:val="0"/>
        <w:kinsoku/>
        <w:wordWrap/>
        <w:overflowPunct/>
        <w:topLinePunct w:val="0"/>
        <w:autoSpaceDE/>
        <w:autoSpaceDN/>
        <w:bidi w:val="0"/>
        <w:adjustRightInd/>
        <w:spacing w:line="500" w:lineRule="exact"/>
        <w:ind w:firstLine="520" w:firstLineChars="2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3、发生下列情况之一，投标人将被列入不良记录名单，在1～3年内禁止参加政府采购活动，并予以公告：</w:t>
      </w:r>
    </w:p>
    <w:p w14:paraId="1B777322">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(1)开标后在投标有效期内，投标人撤回其投标；</w:t>
      </w:r>
    </w:p>
    <w:p w14:paraId="1BF136AD">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(2)中标后无正当理由不与采购人签订政府采购合同；</w:t>
      </w:r>
    </w:p>
    <w:p w14:paraId="137ACADE">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(3)中标后未按照招标文件和中标投标人的投标文件订立政府采购合同，或者与采购人另行订立背离合同实质性内容的协议的；</w:t>
      </w:r>
    </w:p>
    <w:p w14:paraId="742342AF">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(4)将中标项目转让给他人，或者在投标文件中未说明，且未经采购招标机构同意，将中标项目分包给他人；</w:t>
      </w:r>
    </w:p>
    <w:p w14:paraId="2BCDDD4F">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(5)拒绝履行合同义务的；</w:t>
      </w:r>
    </w:p>
    <w:p w14:paraId="05797708">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(6)《政府采购法》第七十七条和《政府采购法实施条例》第七十二条规定其他情形；</w:t>
      </w:r>
    </w:p>
    <w:p w14:paraId="569A260C">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(7)其他违反法律法规相关规定的情形。</w:t>
      </w:r>
    </w:p>
    <w:p w14:paraId="4412F2A3">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3.1 《政府采购法》七十七条：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C604B5B">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（1）提供虚假材料谋取中标、成交的；</w:t>
      </w:r>
    </w:p>
    <w:p w14:paraId="2C7D93FC">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（2）采取不正当手段诋毁、排挤其他投标人的；</w:t>
      </w:r>
    </w:p>
    <w:p w14:paraId="4D37941C">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（3）与采购人、其他投标人或者采购代理机构恶意串通的；</w:t>
      </w:r>
    </w:p>
    <w:p w14:paraId="775B829B">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（4）向采购人、采购代理机构行贿或者提供其他不正当利益的；</w:t>
      </w:r>
    </w:p>
    <w:p w14:paraId="581E32EB">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（5）在招标采购过程中与采购人进行协商谈判的；</w:t>
      </w:r>
    </w:p>
    <w:p w14:paraId="0250F118">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（6）拒绝有关部门监督检查或者提供虚假情况的。</w:t>
      </w:r>
    </w:p>
    <w:p w14:paraId="03E9125F">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3.2《政府采购法实施条例》第七十二条：投标人有下列情形之一的，依照政府采购法第七十七条第一款的规定追究法律责任：</w:t>
      </w:r>
    </w:p>
    <w:p w14:paraId="6886457A">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（1）向评标委员会、竞争性谈判小组或询价小组成员行贿或者提供其他不正当利益；</w:t>
      </w:r>
    </w:p>
    <w:p w14:paraId="65116DA6">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（2）中标或者成交后无正当理由拒不与采购人签订政府采购合同；</w:t>
      </w:r>
    </w:p>
    <w:p w14:paraId="3B7DA36D">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（3）未按照招标文件确定的事项签订政府采购合同；</w:t>
      </w:r>
    </w:p>
    <w:p w14:paraId="7E53CF9E">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（4）将政府采购合同转包；</w:t>
      </w:r>
    </w:p>
    <w:p w14:paraId="61E2585E">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（5）提供假冒伪劣产品；</w:t>
      </w:r>
    </w:p>
    <w:p w14:paraId="06C8A0F7">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（6）擅自变更、中止或者终止政府采购合同。</w:t>
      </w:r>
    </w:p>
    <w:p w14:paraId="53FE1D68">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投标人有前款第一项规定情形的，中标、成交无效，列入不良行为记录名单。</w:t>
      </w:r>
    </w:p>
    <w:p w14:paraId="75C6C6A2">
      <w:pPr>
        <w:pStyle w:val="7"/>
        <w:numPr>
          <w:ilvl w:val="0"/>
          <w:numId w:val="0"/>
        </w:numPr>
        <w:spacing w:before="0" w:after="0" w:line="500" w:lineRule="exact"/>
        <w:ind w:left="-420" w:leftChars="0"/>
        <w:jc w:val="center"/>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（十三）质疑及处理</w:t>
      </w:r>
    </w:p>
    <w:p w14:paraId="470EB4CB">
      <w:pPr>
        <w:keepNext w:val="0"/>
        <w:keepLines w:val="0"/>
        <w:pageBreakBefore w:val="0"/>
        <w:widowControl w:val="0"/>
        <w:kinsoku/>
        <w:wordWrap/>
        <w:overflowPunct/>
        <w:topLinePunct w:val="0"/>
        <w:autoSpaceDE/>
        <w:autoSpaceDN/>
        <w:bidi w:val="0"/>
        <w:adjustRightInd/>
        <w:spacing w:line="500" w:lineRule="exact"/>
        <w:ind w:firstLine="520" w:firstLineChars="2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投标人认为招标文件、招标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3AF37976">
      <w:pPr>
        <w:keepNext w:val="0"/>
        <w:keepLines w:val="0"/>
        <w:pageBreakBefore w:val="0"/>
        <w:widowControl w:val="0"/>
        <w:kinsoku/>
        <w:wordWrap/>
        <w:overflowPunct/>
        <w:topLinePunct w:val="0"/>
        <w:autoSpaceDE/>
        <w:autoSpaceDN/>
        <w:bidi w:val="0"/>
        <w:adjustRightInd/>
        <w:spacing w:line="500" w:lineRule="exact"/>
        <w:ind w:firstLine="520" w:firstLineChars="2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质疑投标人应按照财政部制定的《政府采购质疑函范本》格式（可从财政部官方网站下载）和《政府采购质疑和投诉办法》的要求，在法定质疑期内以纸质形式提出质疑，针对同一采购程序环节的质疑应一次性提出。</w:t>
      </w:r>
    </w:p>
    <w:p w14:paraId="091E723B">
      <w:pPr>
        <w:keepNext w:val="0"/>
        <w:keepLines w:val="0"/>
        <w:pageBreakBefore w:val="0"/>
        <w:widowControl w:val="0"/>
        <w:kinsoku/>
        <w:wordWrap/>
        <w:overflowPunct/>
        <w:topLinePunct w:val="0"/>
        <w:autoSpaceDE/>
        <w:autoSpaceDN/>
        <w:bidi w:val="0"/>
        <w:adjustRightInd/>
        <w:spacing w:line="500" w:lineRule="exact"/>
        <w:ind w:firstLine="520" w:firstLineChars="2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超出法定质疑期的、重复提出的、分次提出的或内容、形式不符合《政府采购质疑和投诉办法》的，质疑投标人将依法承担不利后果。</w:t>
      </w:r>
    </w:p>
    <w:p w14:paraId="795E3876">
      <w:pPr>
        <w:keepNext w:val="0"/>
        <w:keepLines w:val="0"/>
        <w:pageBreakBefore w:val="0"/>
        <w:widowControl w:val="0"/>
        <w:kinsoku/>
        <w:wordWrap/>
        <w:overflowPunct/>
        <w:topLinePunct w:val="0"/>
        <w:autoSpaceDE/>
        <w:autoSpaceDN/>
        <w:bidi w:val="0"/>
        <w:adjustRightInd/>
        <w:spacing w:line="500" w:lineRule="exact"/>
        <w:ind w:firstLine="520" w:firstLineChars="2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3、采购代理机构质疑函接收部门、联系电话和通讯地址, 投标人须知资料表。</w:t>
      </w:r>
    </w:p>
    <w:p w14:paraId="37951A89">
      <w:pPr>
        <w:keepNext w:val="0"/>
        <w:keepLines w:val="0"/>
        <w:pageBreakBefore w:val="0"/>
        <w:widowControl w:val="0"/>
        <w:kinsoku/>
        <w:wordWrap/>
        <w:overflowPunct/>
        <w:topLinePunct w:val="0"/>
        <w:autoSpaceDE/>
        <w:autoSpaceDN/>
        <w:bidi w:val="0"/>
        <w:adjustRightInd/>
        <w:spacing w:line="500" w:lineRule="exact"/>
        <w:ind w:firstLine="520" w:firstLineChars="2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4、质疑的提出</w:t>
      </w:r>
    </w:p>
    <w:p w14:paraId="524E9450">
      <w:pPr>
        <w:keepNext w:val="0"/>
        <w:keepLines w:val="0"/>
        <w:pageBreakBefore w:val="0"/>
        <w:widowControl w:val="0"/>
        <w:kinsoku/>
        <w:wordWrap/>
        <w:overflowPunct/>
        <w:topLinePunct w:val="0"/>
        <w:autoSpaceDE/>
        <w:autoSpaceDN/>
        <w:bidi w:val="0"/>
        <w:adjustRightInd/>
        <w:spacing w:line="500" w:lineRule="exact"/>
        <w:ind w:firstLine="520" w:firstLineChars="2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5、本采购文件中所称质疑及答复，是指参加本次采购活动的投标人对政府采购活动中的采购文件、采购过程和成交结果向采购人提出质疑，采购人答复质疑的行为。</w:t>
      </w:r>
    </w:p>
    <w:p w14:paraId="5C03EBBA">
      <w:pPr>
        <w:keepNext w:val="0"/>
        <w:keepLines w:val="0"/>
        <w:pageBreakBefore w:val="0"/>
        <w:widowControl w:val="0"/>
        <w:kinsoku/>
        <w:wordWrap/>
        <w:overflowPunct/>
        <w:topLinePunct w:val="0"/>
        <w:autoSpaceDE/>
        <w:autoSpaceDN/>
        <w:bidi w:val="0"/>
        <w:adjustRightInd/>
        <w:spacing w:line="500" w:lineRule="exact"/>
        <w:ind w:firstLine="520" w:firstLineChars="2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6、投标人认为采购文件、采购过程和成交结果使自己的权益受到损害的，可以在知道或者应知其权益受到损害之日起7个工作日内，以书面形式向采购人提出质疑。投标人应知其权益受到损害之日，是指：</w:t>
      </w:r>
    </w:p>
    <w:p w14:paraId="75095D30">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（1）对可以质疑的采购文件提出质疑，为收到采购文件之日或者采购文件公告期限届满之日；</w:t>
      </w:r>
    </w:p>
    <w:p w14:paraId="63778AB2">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（2）对采购过程提出质疑的，为各采购程序环节结束之日；</w:t>
      </w:r>
    </w:p>
    <w:p w14:paraId="1753E363">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（3）对成交结果提出质疑的，为成交结果公告期限届满之日。</w:t>
      </w:r>
    </w:p>
    <w:p w14:paraId="737FC6C4">
      <w:pPr>
        <w:keepNext w:val="0"/>
        <w:keepLines w:val="0"/>
        <w:pageBreakBefore w:val="0"/>
        <w:widowControl w:val="0"/>
        <w:kinsoku/>
        <w:wordWrap/>
        <w:overflowPunct/>
        <w:topLinePunct w:val="0"/>
        <w:autoSpaceDE/>
        <w:autoSpaceDN/>
        <w:bidi w:val="0"/>
        <w:adjustRightInd/>
        <w:spacing w:line="500" w:lineRule="exact"/>
        <w:ind w:firstLine="520" w:firstLineChars="2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7、对可以质疑的采购文件提出质疑的，质疑人为参与本项目的报价方或潜在报价方。可质疑的文件为采购公告以及采购文件（包括属于其组成部分的澄清、修改、补充文件和评审标准、合同文本等）。</w:t>
      </w:r>
    </w:p>
    <w:p w14:paraId="24FA0615">
      <w:pPr>
        <w:keepNext w:val="0"/>
        <w:keepLines w:val="0"/>
        <w:pageBreakBefore w:val="0"/>
        <w:widowControl w:val="0"/>
        <w:kinsoku/>
        <w:wordWrap/>
        <w:overflowPunct/>
        <w:topLinePunct w:val="0"/>
        <w:autoSpaceDE/>
        <w:autoSpaceDN/>
        <w:bidi w:val="0"/>
        <w:adjustRightInd/>
        <w:spacing w:line="500" w:lineRule="exact"/>
        <w:ind w:firstLine="520" w:firstLineChars="2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8、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4E34F93B">
      <w:pPr>
        <w:keepNext w:val="0"/>
        <w:keepLines w:val="0"/>
        <w:pageBreakBefore w:val="0"/>
        <w:widowControl w:val="0"/>
        <w:kinsoku/>
        <w:wordWrap/>
        <w:overflowPunct/>
        <w:topLinePunct w:val="0"/>
        <w:autoSpaceDE/>
        <w:autoSpaceDN/>
        <w:bidi w:val="0"/>
        <w:adjustRightInd/>
        <w:spacing w:line="500" w:lineRule="exact"/>
        <w:ind w:firstLine="520" w:firstLineChars="2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9、提出质疑应当符合下列条件：</w:t>
      </w:r>
    </w:p>
    <w:p w14:paraId="135290F0">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（1）质疑主体应当符合有关规定；</w:t>
      </w:r>
    </w:p>
    <w:p w14:paraId="4EC6A7E4">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（2）在质疑法定期限内提出；</w:t>
      </w:r>
    </w:p>
    <w:p w14:paraId="63CBC6ED">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（3）属于可以提出质疑的政府采购事项受理范围和本项目采购人的管辖权范围；</w:t>
      </w:r>
    </w:p>
    <w:p w14:paraId="19B29AFD">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（4）政府采购法律、法规、规章规定的其他条件。</w:t>
      </w:r>
    </w:p>
    <w:p w14:paraId="2FC94995">
      <w:pPr>
        <w:keepNext w:val="0"/>
        <w:keepLines w:val="0"/>
        <w:pageBreakBefore w:val="0"/>
        <w:widowControl w:val="0"/>
        <w:kinsoku/>
        <w:wordWrap/>
        <w:overflowPunct/>
        <w:topLinePunct w:val="0"/>
        <w:autoSpaceDE/>
        <w:autoSpaceDN/>
        <w:bidi w:val="0"/>
        <w:adjustRightInd/>
        <w:spacing w:line="500" w:lineRule="exact"/>
        <w:ind w:firstLine="520" w:firstLineChars="2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10、提出质疑应当具有明确的请求和提供必要的证明材料。明确请求,即质疑人在质疑函中提出的，要求采购人对其予以支持的主张。必要的证明材料,即能够证明质疑人的质疑请求成立的必要材料，包括相关证据、依据和其他有关材料。</w:t>
      </w:r>
    </w:p>
    <w:p w14:paraId="7261EBED">
      <w:pPr>
        <w:keepNext w:val="0"/>
        <w:keepLines w:val="0"/>
        <w:pageBreakBefore w:val="0"/>
        <w:widowControl w:val="0"/>
        <w:kinsoku/>
        <w:wordWrap/>
        <w:overflowPunct/>
        <w:topLinePunct w:val="0"/>
        <w:autoSpaceDE/>
        <w:autoSpaceDN/>
        <w:bidi w:val="0"/>
        <w:adjustRightInd/>
        <w:spacing w:line="500" w:lineRule="exact"/>
        <w:ind w:firstLine="520" w:firstLineChars="2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11、质疑人所提供的证明材料应当具有真实性、合法性以及与质疑事项的关联性和证明力，否则不能作为认定该质疑事项成立的依据。</w:t>
      </w:r>
    </w:p>
    <w:p w14:paraId="3EA4382D">
      <w:pPr>
        <w:keepNext w:val="0"/>
        <w:keepLines w:val="0"/>
        <w:pageBreakBefore w:val="0"/>
        <w:widowControl w:val="0"/>
        <w:kinsoku/>
        <w:wordWrap/>
        <w:overflowPunct/>
        <w:topLinePunct w:val="0"/>
        <w:autoSpaceDE/>
        <w:autoSpaceDN/>
        <w:bidi w:val="0"/>
        <w:adjustRightInd/>
        <w:spacing w:line="500" w:lineRule="exact"/>
        <w:ind w:firstLine="520" w:firstLineChars="2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12、质疑人提出质疑时应当提交质疑函。质疑函包括下列内容：</w:t>
      </w:r>
    </w:p>
    <w:p w14:paraId="72FEAEE2">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（1）提出质疑的质疑人的名称、地址、邮编、联系人及联系电话等；</w:t>
      </w:r>
    </w:p>
    <w:p w14:paraId="669A9BD0">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（2）质疑项目的名称、编号；</w:t>
      </w:r>
    </w:p>
    <w:p w14:paraId="1A370075">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（3）质疑事项；</w:t>
      </w:r>
    </w:p>
    <w:p w14:paraId="52018602">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（4）事实依据和证明材料；</w:t>
      </w:r>
    </w:p>
    <w:p w14:paraId="4D8D5082">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（5）法律依据；</w:t>
      </w:r>
    </w:p>
    <w:p w14:paraId="3BCF54EE">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（6）提出质疑的日期。</w:t>
      </w:r>
    </w:p>
    <w:p w14:paraId="2B0F3646">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质疑函采用实名制。质疑人为自然人的应当由本人签字，并附有效身份证明文件；质疑人为法人或者非法人组织的应当由法定代表人或者负责人签字并加盖公章，并附有效身份证明文件。</w:t>
      </w:r>
    </w:p>
    <w:p w14:paraId="419F6373">
      <w:pPr>
        <w:keepNext w:val="0"/>
        <w:keepLines w:val="0"/>
        <w:pageBreakBefore w:val="0"/>
        <w:widowControl w:val="0"/>
        <w:kinsoku/>
        <w:wordWrap/>
        <w:overflowPunct/>
        <w:topLinePunct w:val="0"/>
        <w:autoSpaceDE/>
        <w:autoSpaceDN/>
        <w:bidi w:val="0"/>
        <w:adjustRightInd/>
        <w:spacing w:line="500" w:lineRule="exact"/>
        <w:ind w:firstLine="520" w:firstLineChars="2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13、质疑人可以委托代理人进行质疑。代理人应当提交授权委托书。授权委托书应当载明委托代理的具体权限、期限和相关事项。</w:t>
      </w:r>
    </w:p>
    <w:p w14:paraId="76766429">
      <w:pPr>
        <w:keepNext w:val="0"/>
        <w:keepLines w:val="0"/>
        <w:pageBreakBefore w:val="0"/>
        <w:widowControl w:val="0"/>
        <w:kinsoku/>
        <w:wordWrap/>
        <w:overflowPunct/>
        <w:topLinePunct w:val="0"/>
        <w:autoSpaceDE/>
        <w:autoSpaceDN/>
        <w:bidi w:val="0"/>
        <w:adjustRightInd/>
        <w:spacing w:line="500" w:lineRule="exact"/>
        <w:ind w:firstLine="520" w:firstLineChars="2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14、质疑的审查和受理</w:t>
      </w:r>
    </w:p>
    <w:p w14:paraId="5C638234">
      <w:pPr>
        <w:keepNext w:val="0"/>
        <w:keepLines w:val="0"/>
        <w:pageBreakBefore w:val="0"/>
        <w:widowControl w:val="0"/>
        <w:kinsoku/>
        <w:wordWrap/>
        <w:overflowPunct/>
        <w:topLinePunct w:val="0"/>
        <w:autoSpaceDE/>
        <w:autoSpaceDN/>
        <w:bidi w:val="0"/>
        <w:adjustRightInd/>
        <w:spacing w:line="500" w:lineRule="exact"/>
        <w:ind w:firstLine="520" w:firstLineChars="2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采购人在收到质疑函后应当及时审查是否符合质疑受理条件，对符合质疑受理条件的，及时予以受理。</w:t>
      </w:r>
    </w:p>
    <w:p w14:paraId="12473B25">
      <w:pPr>
        <w:keepNext w:val="0"/>
        <w:keepLines w:val="0"/>
        <w:pageBreakBefore w:val="0"/>
        <w:widowControl w:val="0"/>
        <w:kinsoku/>
        <w:wordWrap/>
        <w:overflowPunct/>
        <w:topLinePunct w:val="0"/>
        <w:autoSpaceDE/>
        <w:autoSpaceDN/>
        <w:bidi w:val="0"/>
        <w:adjustRightInd/>
        <w:spacing w:line="500" w:lineRule="exact"/>
        <w:ind w:firstLine="520" w:firstLineChars="2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15、对不符合质疑受理条件的，分别按照下列不同情形予以处理：</w:t>
      </w:r>
    </w:p>
    <w:p w14:paraId="7C1BF3BE">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（1）质疑函内容不符合规定的，告知质疑人进行修改并重新提出质疑。修改后质疑事项仍不具体、不明确或者最终递交质疑函的时间超过质疑法定期限的，不予受理；</w:t>
      </w:r>
    </w:p>
    <w:p w14:paraId="7FAD80E2">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（2）质疑主体不符合有关规定的，告知质疑人不予受理；</w:t>
      </w:r>
    </w:p>
    <w:p w14:paraId="6B4DE0CF">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（3）超过质疑法定期限提出质疑的，告知质疑人不予受理；</w:t>
      </w:r>
    </w:p>
    <w:p w14:paraId="3DBFF8DB">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（4）对不属于可以提出质疑的政府采购事项提出质疑，告知质疑人不予受理；</w:t>
      </w:r>
    </w:p>
    <w:p w14:paraId="3787947F">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（5）质疑不属于本项目采购人管辖的，告知质疑人向有管辖权的采购人提出质疑；</w:t>
      </w:r>
    </w:p>
    <w:p w14:paraId="6B78F048">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（6）质疑不符合其他条件的，告知质疑人不予受理。</w:t>
      </w:r>
    </w:p>
    <w:p w14:paraId="636CC70C">
      <w:pPr>
        <w:keepNext w:val="0"/>
        <w:keepLines w:val="0"/>
        <w:pageBreakBefore w:val="0"/>
        <w:widowControl w:val="0"/>
        <w:kinsoku/>
        <w:wordWrap/>
        <w:overflowPunct/>
        <w:topLinePunct w:val="0"/>
        <w:autoSpaceDE/>
        <w:autoSpaceDN/>
        <w:bidi w:val="0"/>
        <w:adjustRightInd/>
        <w:spacing w:line="500" w:lineRule="exact"/>
        <w:ind w:firstLine="520" w:firstLineChars="2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16、质疑的处理和答复</w:t>
      </w:r>
    </w:p>
    <w:p w14:paraId="1CB3C29D">
      <w:pPr>
        <w:keepNext w:val="0"/>
        <w:keepLines w:val="0"/>
        <w:pageBreakBefore w:val="0"/>
        <w:widowControl w:val="0"/>
        <w:kinsoku/>
        <w:wordWrap/>
        <w:overflowPunct/>
        <w:topLinePunct w:val="0"/>
        <w:autoSpaceDE/>
        <w:autoSpaceDN/>
        <w:bidi w:val="0"/>
        <w:adjustRightInd/>
        <w:spacing w:line="500" w:lineRule="exact"/>
        <w:ind w:firstLine="520" w:firstLineChars="2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17、采购人受理质疑后，将及时把质疑函发送给被质疑人，并要求其在一定限期内提交书面答复，同时提供有关证据、依据和相关材料。</w:t>
      </w:r>
    </w:p>
    <w:p w14:paraId="2948C3FA">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18、对于质疑事项中涉及的问题较多、情况比较复杂的，为了全面查清事实、取得充分的证据，采购人认为有必要时，可以进行调查取证或者组织质证。</w:t>
      </w:r>
    </w:p>
    <w:p w14:paraId="1B5786A2">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19、对评审过程、成交结果提出质疑，采购人可以组织原评审委员会协助答复质疑。</w:t>
      </w:r>
    </w:p>
    <w:p w14:paraId="5BF6DA4C">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20、质疑处理过程中，质疑人书面申请撤回质疑的，将终止质疑处理程序。</w:t>
      </w:r>
    </w:p>
    <w:p w14:paraId="096875EB">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21、质疑人拒绝配合采购人依法对质疑进行调查处理的，采购人将按质疑人自动撤回质疑处理；被质疑人拒绝配合采购人依法对质疑进行调查处理的，采购人将视同其认可质疑事项。</w:t>
      </w:r>
    </w:p>
    <w:p w14:paraId="16759F94">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22、质疑人拒绝配合采购人依法对质疑进行调查处理的，采购人将按质疑人自动撤回质疑处理；被质疑人拒绝配合采购人依法对质疑进行调查处理的，采购人将视同其认可质疑事项。</w:t>
      </w:r>
    </w:p>
    <w:p w14:paraId="4E01F096">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23、采购人将在正式受理质疑后7个工作日内作出答复。</w:t>
      </w:r>
    </w:p>
    <w:p w14:paraId="6A7D2953">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24、质疑答复应当包括下列内容：</w:t>
      </w:r>
    </w:p>
    <w:p w14:paraId="4E752096">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（1）质疑人的姓名或者名称；</w:t>
      </w:r>
    </w:p>
    <w:p w14:paraId="534A492E">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（2）收到质疑函的日期、质疑项目名称及编号；</w:t>
      </w:r>
    </w:p>
    <w:p w14:paraId="0E781B52">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（3）质疑事项、质疑答复的具体内容、事实依据和法律依据；</w:t>
      </w:r>
    </w:p>
    <w:p w14:paraId="7060B323">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（4）告知质疑投标人依法投诉的权利；</w:t>
      </w:r>
    </w:p>
    <w:p w14:paraId="04282102">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（5）质疑答复人名称；</w:t>
      </w:r>
    </w:p>
    <w:p w14:paraId="68A5E5CE">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 w:hAnsi="仿宋" w:eastAsia="仿宋" w:cs="仿宋"/>
          <w:sz w:val="26"/>
          <w:szCs w:val="26"/>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（6）答复质疑的日期。</w:t>
      </w:r>
    </w:p>
    <w:p w14:paraId="34C69D9B">
      <w:pPr>
        <w:keepNext w:val="0"/>
        <w:keepLines w:val="0"/>
        <w:pageBreakBefore w:val="0"/>
        <w:widowControl w:val="0"/>
        <w:kinsoku/>
        <w:wordWrap/>
        <w:overflowPunct/>
        <w:topLinePunct w:val="0"/>
        <w:autoSpaceDE/>
        <w:autoSpaceDN/>
        <w:bidi w:val="0"/>
        <w:adjustRightInd/>
        <w:spacing w:line="500" w:lineRule="exact"/>
        <w:ind w:firstLine="261" w:firstLineChars="100"/>
        <w:jc w:val="center"/>
        <w:textAlignment w:val="auto"/>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质疑函范本</w:t>
      </w:r>
    </w:p>
    <w:p w14:paraId="07361FFF">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sz w:val="26"/>
          <w:szCs w:val="26"/>
        </w:rPr>
      </w:pPr>
      <w:r>
        <w:rPr>
          <w:rFonts w:hint="eastAsia" w:ascii="仿宋" w:hAnsi="仿宋" w:eastAsia="仿宋" w:cs="仿宋"/>
          <w:sz w:val="26"/>
          <w:szCs w:val="26"/>
        </w:rPr>
        <w:t>一、</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质疑投标人基本信息</w:t>
      </w:r>
    </w:p>
    <w:p w14:paraId="226CB5E5">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 xml:space="preserve">质疑投标人：                  地址：                          邮编：                                                   </w:t>
      </w:r>
    </w:p>
    <w:p w14:paraId="42C17085">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 xml:space="preserve">联系人：                      联系电话：                              </w:t>
      </w:r>
    </w:p>
    <w:p w14:paraId="4DBF9AC4">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授权代表：                    联系电话：</w:t>
      </w:r>
      <w:r>
        <w:rPr>
          <w:rFonts w:hint="eastAsia" w:ascii="仿宋" w:hAnsi="仿宋" w:eastAsia="仿宋" w:cs="仿宋"/>
          <w:sz w:val="26"/>
          <w:szCs w:val="26"/>
        </w:rPr>
        <w:t xml:space="preserve">                </w:t>
      </w:r>
      <w:r>
        <w:rPr>
          <w:rFonts w:hint="eastAsia" w:ascii="仿宋" w:hAnsi="仿宋" w:eastAsia="仿宋" w:cs="仿宋"/>
          <w:sz w:val="26"/>
          <w:szCs w:val="26"/>
          <w:lang w:val="en-US" w:eastAsia="zh-CN"/>
        </w:rPr>
        <w:t xml:space="preserve">    </w:t>
      </w:r>
      <w:r>
        <w:rPr>
          <w:rFonts w:hint="eastAsia" w:ascii="仿宋" w:hAnsi="仿宋" w:eastAsia="仿宋" w:cs="仿宋"/>
          <w:sz w:val="26"/>
          <w:szCs w:val="26"/>
        </w:rPr>
        <w:t xml:space="preserve">  </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 xml:space="preserve">邮编：  </w:t>
      </w:r>
      <w:r>
        <w:rPr>
          <w:rFonts w:hint="eastAsia" w:ascii="仿宋" w:hAnsi="仿宋" w:eastAsia="仿宋" w:cs="仿宋"/>
          <w:sz w:val="26"/>
          <w:szCs w:val="26"/>
        </w:rPr>
        <w:t xml:space="preserve">                          </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 xml:space="preserve">                                                                    </w:t>
      </w:r>
    </w:p>
    <w:p w14:paraId="79F164C4">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二、质疑项目基本情况</w:t>
      </w:r>
    </w:p>
    <w:p w14:paraId="2EF798CE">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 xml:space="preserve">质疑项目的名称：               质疑项目的编号：               包号：                 </w:t>
      </w:r>
    </w:p>
    <w:p w14:paraId="51EE2776">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 xml:space="preserve">采购人名称：                   招标文件获取日期：                                           </w:t>
      </w:r>
    </w:p>
    <w:p w14:paraId="275686F4">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三、质疑事项具体内容</w:t>
      </w:r>
    </w:p>
    <w:p w14:paraId="1B8FD065">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 xml:space="preserve">质疑事项1：                                         </w:t>
      </w:r>
    </w:p>
    <w:p w14:paraId="23832A7E">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 xml:space="preserve">事实依据：                                                                                              </w:t>
      </w:r>
    </w:p>
    <w:p w14:paraId="0C7D87BF">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 xml:space="preserve">法律依据：                                                                                          </w:t>
      </w:r>
    </w:p>
    <w:p w14:paraId="4072A5B7">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质疑事项2</w:t>
      </w:r>
    </w:p>
    <w:p w14:paraId="5C725E5D">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w:t>
      </w:r>
    </w:p>
    <w:p w14:paraId="660A24DB">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四、与质疑事项相关的质疑请求</w:t>
      </w:r>
    </w:p>
    <w:p w14:paraId="08D89DBD">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 xml:space="preserve">请求：              签字(签章)：           公章：               日期：    </w:t>
      </w:r>
    </w:p>
    <w:p w14:paraId="5E5CA33F">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质疑函制作说明：</w:t>
      </w:r>
    </w:p>
    <w:p w14:paraId="71F8346B">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1.投标人提出质疑时，应提交质疑函和必要的证明材料。</w:t>
      </w:r>
    </w:p>
    <w:p w14:paraId="77F678F2">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49390A2C">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3.质疑投标人若对项目的某一分包进行质疑，质疑函中应列明具体分包号。</w:t>
      </w:r>
    </w:p>
    <w:p w14:paraId="776B6D7A">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4.质疑函的质疑事项应具体、明确，并有必要的事实依据和法律依据。</w:t>
      </w:r>
    </w:p>
    <w:p w14:paraId="040F7AA2">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5.质疑函的质疑请求应与质疑事项相关。</w:t>
      </w:r>
    </w:p>
    <w:p w14:paraId="26AFC7F6">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6.质疑投标人为自然人的，质疑函应由本人签字；质疑投标人为法人或者其他组织，质疑函应由法定代表人、主要负责人，或者其授权代表签字或者盖章，并加盖公章。</w:t>
      </w:r>
    </w:p>
    <w:p w14:paraId="588EEE3E">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备注：</w:t>
      </w:r>
    </w:p>
    <w:p w14:paraId="1BC99FE8">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1、质疑人的法定代表人办理质疑事务的，在提交质疑函（无需填写授权委托人）的同时，还应提交加盖质疑人公章的营业执照副本复印件和法定代表人的身份证复印件。请持身份证原件用于核对。</w:t>
      </w:r>
    </w:p>
    <w:p w14:paraId="033D44F6">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身份证复印件。</w:t>
      </w:r>
    </w:p>
    <w:p w14:paraId="7AED704D">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3、与质疑事项有关的材料应与质疑函合并装订。</w:t>
      </w:r>
    </w:p>
    <w:p w14:paraId="3D6777ED">
      <w:pPr>
        <w:keepNext w:val="0"/>
        <w:keepLines w:val="0"/>
        <w:pageBreakBefore w:val="0"/>
        <w:widowControl w:val="0"/>
        <w:kinsoku/>
        <w:wordWrap/>
        <w:overflowPunct/>
        <w:topLinePunct w:val="0"/>
        <w:autoSpaceDE/>
        <w:autoSpaceDN/>
        <w:bidi w:val="0"/>
        <w:adjustRightInd/>
        <w:spacing w:line="500" w:lineRule="exact"/>
        <w:ind w:firstLine="260" w:firstLineChars="100"/>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4、质疑函一式三份。</w:t>
      </w:r>
    </w:p>
    <w:p w14:paraId="53733F6E">
      <w:pPr>
        <w:rPr>
          <w:rFonts w:hint="eastAsia"/>
          <w:lang w:val="en-US" w:eastAsia="zh-CN"/>
        </w:rPr>
      </w:pPr>
      <w:bookmarkStart w:id="236" w:name="_Toc132362808"/>
    </w:p>
    <w:p w14:paraId="08D3F588">
      <w:pPr>
        <w:pStyle w:val="2"/>
        <w:rPr>
          <w:rFonts w:hint="eastAsia"/>
          <w:lang w:val="en-US" w:eastAsia="zh-CN"/>
        </w:rPr>
      </w:pPr>
    </w:p>
    <w:p w14:paraId="006B57D9">
      <w:pPr>
        <w:pStyle w:val="4"/>
        <w:rPr>
          <w:rFonts w:hint="eastAsia"/>
          <w:lang w:val="en-US" w:eastAsia="zh-CN"/>
        </w:rPr>
      </w:pPr>
    </w:p>
    <w:p w14:paraId="455BBD1F">
      <w:pPr>
        <w:pStyle w:val="5"/>
        <w:rPr>
          <w:rFonts w:hint="eastAsia"/>
          <w:lang w:val="en-US" w:eastAsia="zh-CN"/>
        </w:rPr>
      </w:pPr>
    </w:p>
    <w:p w14:paraId="2974AD88">
      <w:pPr>
        <w:rPr>
          <w:rFonts w:hint="eastAsia"/>
          <w:lang w:val="en-US" w:eastAsia="zh-CN"/>
        </w:rPr>
      </w:pPr>
    </w:p>
    <w:p w14:paraId="1FA8FDCD">
      <w:pPr>
        <w:pStyle w:val="2"/>
        <w:rPr>
          <w:rFonts w:hint="eastAsia"/>
          <w:lang w:val="en-US" w:eastAsia="zh-CN"/>
        </w:rPr>
      </w:pPr>
    </w:p>
    <w:p w14:paraId="25A46574">
      <w:pPr>
        <w:pStyle w:val="4"/>
        <w:rPr>
          <w:rFonts w:hint="eastAsia"/>
          <w:lang w:val="en-US" w:eastAsia="zh-CN"/>
        </w:rPr>
      </w:pPr>
    </w:p>
    <w:p w14:paraId="3B8172D2">
      <w:pPr>
        <w:pStyle w:val="5"/>
        <w:rPr>
          <w:rFonts w:hint="eastAsia"/>
          <w:lang w:val="en-US" w:eastAsia="zh-CN"/>
        </w:rPr>
      </w:pPr>
    </w:p>
    <w:p w14:paraId="041009B3">
      <w:pPr>
        <w:rPr>
          <w:rFonts w:hint="eastAsia"/>
          <w:lang w:val="en-US" w:eastAsia="zh-CN"/>
        </w:rPr>
      </w:pPr>
    </w:p>
    <w:p w14:paraId="0E8C3F6D">
      <w:pPr>
        <w:pStyle w:val="34"/>
        <w:pageBreakBefore w:val="0"/>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b/>
          <w:bCs/>
          <w:i w:val="0"/>
          <w:iCs w:val="0"/>
          <w:caps w:val="0"/>
          <w:color w:val="000000"/>
          <w:spacing w:val="0"/>
          <w:kern w:val="0"/>
          <w:sz w:val="36"/>
          <w:szCs w:val="36"/>
          <w:lang w:val="en-US" w:eastAsia="zh-CN" w:bidi="ar"/>
        </w:rPr>
      </w:pPr>
      <w:r>
        <w:rPr>
          <w:rFonts w:hint="eastAsia" w:ascii="仿宋_GB2312" w:hAnsi="仿宋_GB2312" w:eastAsia="仿宋_GB2312" w:cs="仿宋_GB2312"/>
          <w:b/>
          <w:bCs/>
          <w:i w:val="0"/>
          <w:iCs w:val="0"/>
          <w:caps w:val="0"/>
          <w:color w:val="000000"/>
          <w:spacing w:val="0"/>
          <w:kern w:val="0"/>
          <w:sz w:val="36"/>
          <w:szCs w:val="36"/>
          <w:lang w:val="en-US" w:eastAsia="zh-CN" w:bidi="ar"/>
        </w:rPr>
        <w:t>第三章  评审的方法和标准</w:t>
      </w:r>
    </w:p>
    <w:p w14:paraId="4AFB4C8B">
      <w:pPr>
        <w:keepNext w:val="0"/>
        <w:keepLines w:val="0"/>
        <w:pageBreakBefore w:val="0"/>
        <w:widowControl w:val="0"/>
        <w:kinsoku/>
        <w:wordWrap/>
        <w:overflowPunct/>
        <w:topLinePunct w:val="0"/>
        <w:autoSpaceDE/>
        <w:autoSpaceDN/>
        <w:bidi w:val="0"/>
        <w:adjustRightInd/>
        <w:spacing w:line="500" w:lineRule="exact"/>
        <w:ind w:firstLine="261" w:firstLineChars="100"/>
        <w:jc w:val="center"/>
        <w:textAlignment w:val="auto"/>
        <w:rPr>
          <w:rFonts w:hint="default"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初步评审标准—资格性审查</w:t>
      </w:r>
    </w:p>
    <w:tbl>
      <w:tblPr>
        <w:tblStyle w:val="25"/>
        <w:tblW w:w="10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660"/>
        <w:gridCol w:w="8421"/>
      </w:tblGrid>
      <w:tr w14:paraId="5FFB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725" w:type="dxa"/>
            <w:gridSpan w:val="2"/>
            <w:noWrap w:val="0"/>
            <w:vAlign w:val="center"/>
          </w:tcPr>
          <w:p w14:paraId="216AC72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90" w:lineRule="exact"/>
              <w:ind w:left="0" w:right="0" w:firstLine="261" w:firstLineChars="100"/>
              <w:jc w:val="center"/>
              <w:textAlignment w:val="auto"/>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条款号</w:t>
            </w:r>
          </w:p>
        </w:tc>
        <w:tc>
          <w:tcPr>
            <w:tcW w:w="8421" w:type="dxa"/>
            <w:noWrap w:val="0"/>
            <w:vAlign w:val="center"/>
          </w:tcPr>
          <w:p w14:paraId="25DBAA4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90" w:lineRule="exact"/>
              <w:ind w:left="0" w:right="0" w:firstLine="261" w:firstLineChars="100"/>
              <w:jc w:val="center"/>
              <w:textAlignment w:val="auto"/>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评审标准</w:t>
            </w:r>
          </w:p>
        </w:tc>
      </w:tr>
      <w:tr w14:paraId="5552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65" w:type="dxa"/>
            <w:vMerge w:val="restart"/>
            <w:noWrap w:val="0"/>
            <w:vAlign w:val="center"/>
          </w:tcPr>
          <w:p w14:paraId="52B695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仿宋" w:hAnsi="仿宋" w:eastAsia="仿宋" w:cs="仿宋"/>
                <w:sz w:val="26"/>
                <w:szCs w:val="26"/>
                <w:lang w:val="en-US" w:eastAsia="zh-CN"/>
              </w:rPr>
            </w:pPr>
            <w:r>
              <w:rPr>
                <w:rFonts w:hint="eastAsia" w:ascii="仿宋_GB2312" w:hAnsi="仿宋_GB2312" w:eastAsia="仿宋_GB2312" w:cs="仿宋_GB2312"/>
                <w:kern w:val="2"/>
                <w:sz w:val="26"/>
                <w:szCs w:val="26"/>
                <w:lang w:val="en-US" w:eastAsia="zh-CN" w:bidi="ar-SA"/>
              </w:rPr>
              <w:t>资格性审查</w:t>
            </w:r>
          </w:p>
        </w:tc>
        <w:tc>
          <w:tcPr>
            <w:tcW w:w="660" w:type="dxa"/>
            <w:noWrap w:val="0"/>
            <w:vAlign w:val="center"/>
          </w:tcPr>
          <w:p w14:paraId="3434BC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仿宋" w:hAnsi="仿宋" w:eastAsia="仿宋" w:cs="仿宋"/>
                <w:sz w:val="26"/>
                <w:szCs w:val="26"/>
                <w:lang w:val="en-US" w:eastAsia="zh-CN"/>
              </w:rPr>
            </w:pPr>
            <w:r>
              <w:rPr>
                <w:rFonts w:hint="eastAsia" w:ascii="仿宋" w:hAnsi="仿宋" w:eastAsia="仿宋" w:cs="仿宋"/>
                <w:sz w:val="26"/>
                <w:szCs w:val="26"/>
                <w:lang w:val="en-US" w:eastAsia="zh-CN"/>
              </w:rPr>
              <w:t>1</w:t>
            </w:r>
          </w:p>
        </w:tc>
        <w:tc>
          <w:tcPr>
            <w:tcW w:w="8421" w:type="dxa"/>
            <w:noWrap w:val="0"/>
            <w:vAlign w:val="center"/>
          </w:tcPr>
          <w:p w14:paraId="2AB13F16">
            <w:pPr>
              <w:pStyle w:val="15"/>
              <w:keepNext w:val="0"/>
              <w:keepLines w:val="0"/>
              <w:pageBreakBefore w:val="0"/>
              <w:widowControl w:val="0"/>
              <w:suppressLineNumbers w:val="0"/>
              <w:kinsoku/>
              <w:wordWrap/>
              <w:overflowPunct/>
              <w:topLinePunct w:val="0"/>
              <w:autoSpaceDE/>
              <w:autoSpaceDN/>
              <w:bidi w:val="0"/>
              <w:adjustRightInd/>
              <w:snapToGrid w:val="0"/>
              <w:spacing w:before="0" w:beforeLines="10" w:beforeAutospacing="0" w:after="0" w:afterLines="10" w:afterAutospacing="0" w:line="290" w:lineRule="exact"/>
              <w:ind w:left="0" w:leftChars="0" w:right="0" w:rightChars="0"/>
              <w:jc w:val="both"/>
              <w:textAlignment w:val="auto"/>
              <w:outlineLvl w:val="2"/>
              <w:rPr>
                <w:rFonts w:hint="eastAsia" w:ascii="仿宋" w:hAnsi="仿宋" w:eastAsia="仿宋" w:cs="仿宋"/>
                <w:color w:val="0000FF"/>
                <w:kern w:val="2"/>
                <w:sz w:val="26"/>
                <w:szCs w:val="26"/>
                <w:highlight w:val="none"/>
                <w:lang w:val="en-US" w:eastAsia="zh-CN" w:bidi="ar-SA"/>
              </w:rPr>
            </w:pPr>
            <w:r>
              <w:rPr>
                <w:rFonts w:hint="eastAsia" w:ascii="仿宋_GB2312" w:hAnsi="仿宋_GB2312" w:eastAsia="仿宋_GB2312" w:cs="仿宋_GB2312"/>
                <w:kern w:val="2"/>
                <w:sz w:val="26"/>
                <w:szCs w:val="26"/>
                <w:lang w:val="en-US" w:eastAsia="zh-CN" w:bidi="ar-SA"/>
              </w:rPr>
              <w:t>投标人须具备有效经年检合格的“三证合一”营业执照；</w:t>
            </w:r>
          </w:p>
        </w:tc>
      </w:tr>
      <w:tr w14:paraId="3943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65" w:type="dxa"/>
            <w:vMerge w:val="continue"/>
            <w:tcBorders/>
            <w:noWrap w:val="0"/>
            <w:vAlign w:val="center"/>
          </w:tcPr>
          <w:p w14:paraId="59AD9A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仿宋" w:hAnsi="仿宋" w:eastAsia="仿宋" w:cs="仿宋"/>
                <w:sz w:val="26"/>
                <w:szCs w:val="26"/>
              </w:rPr>
            </w:pPr>
          </w:p>
        </w:tc>
        <w:tc>
          <w:tcPr>
            <w:tcW w:w="660" w:type="dxa"/>
            <w:noWrap w:val="0"/>
            <w:vAlign w:val="center"/>
          </w:tcPr>
          <w:p w14:paraId="680E5F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仿宋" w:hAnsi="仿宋" w:eastAsia="仿宋" w:cs="仿宋"/>
                <w:sz w:val="26"/>
                <w:szCs w:val="26"/>
                <w:lang w:val="en-US" w:eastAsia="zh-CN"/>
              </w:rPr>
            </w:pPr>
            <w:r>
              <w:rPr>
                <w:rFonts w:hint="eastAsia" w:ascii="仿宋" w:hAnsi="仿宋" w:eastAsia="仿宋" w:cs="仿宋"/>
                <w:sz w:val="26"/>
                <w:szCs w:val="26"/>
                <w:lang w:val="en-US" w:eastAsia="zh-CN"/>
              </w:rPr>
              <w:t>2</w:t>
            </w:r>
          </w:p>
        </w:tc>
        <w:tc>
          <w:tcPr>
            <w:tcW w:w="8421" w:type="dxa"/>
            <w:noWrap w:val="0"/>
            <w:vAlign w:val="center"/>
          </w:tcPr>
          <w:p w14:paraId="30EF6961">
            <w:pPr>
              <w:pStyle w:val="15"/>
              <w:keepNext w:val="0"/>
              <w:keepLines w:val="0"/>
              <w:pageBreakBefore w:val="0"/>
              <w:widowControl w:val="0"/>
              <w:suppressLineNumbers w:val="0"/>
              <w:kinsoku/>
              <w:wordWrap/>
              <w:overflowPunct/>
              <w:topLinePunct w:val="0"/>
              <w:autoSpaceDE/>
              <w:autoSpaceDN/>
              <w:bidi w:val="0"/>
              <w:adjustRightInd/>
              <w:snapToGrid w:val="0"/>
              <w:spacing w:before="0" w:beforeLines="10" w:beforeAutospacing="0" w:after="0" w:afterLines="10" w:afterAutospacing="0" w:line="290" w:lineRule="exact"/>
              <w:ind w:left="0" w:leftChars="0" w:right="0" w:rightChars="0"/>
              <w:jc w:val="both"/>
              <w:textAlignment w:val="auto"/>
              <w:outlineLvl w:val="2"/>
              <w:rPr>
                <w:rFonts w:hint="eastAsia" w:ascii="仿宋" w:hAnsi="仿宋" w:eastAsia="仿宋" w:cs="仿宋"/>
                <w:color w:val="0000FF"/>
                <w:kern w:val="2"/>
                <w:sz w:val="26"/>
                <w:szCs w:val="26"/>
                <w:highlight w:val="none"/>
                <w:lang w:val="en-US" w:eastAsia="zh-CN" w:bidi="ar-SA"/>
              </w:rPr>
            </w:pPr>
            <w:r>
              <w:rPr>
                <w:rFonts w:hint="eastAsia" w:ascii="仿宋_GB2312" w:hAnsi="仿宋_GB2312" w:eastAsia="仿宋_GB2312" w:cs="仿宋_GB2312"/>
                <w:kern w:val="2"/>
                <w:sz w:val="26"/>
                <w:szCs w:val="26"/>
                <w:lang w:val="en-US" w:eastAsia="zh-CN" w:bidi="ar-SA"/>
              </w:rPr>
              <w:t>法定代表人、委托人的身份证明及授权委托书；</w:t>
            </w:r>
          </w:p>
        </w:tc>
      </w:tr>
      <w:tr w14:paraId="0618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065" w:type="dxa"/>
            <w:vMerge w:val="continue"/>
            <w:tcBorders/>
            <w:noWrap w:val="0"/>
            <w:vAlign w:val="center"/>
          </w:tcPr>
          <w:p w14:paraId="4D3D1D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仿宋" w:hAnsi="仿宋" w:eastAsia="仿宋" w:cs="仿宋"/>
                <w:sz w:val="26"/>
                <w:szCs w:val="26"/>
              </w:rPr>
            </w:pPr>
          </w:p>
        </w:tc>
        <w:tc>
          <w:tcPr>
            <w:tcW w:w="660" w:type="dxa"/>
            <w:noWrap w:val="0"/>
            <w:vAlign w:val="center"/>
          </w:tcPr>
          <w:p w14:paraId="04B7C0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仿宋" w:hAnsi="仿宋" w:eastAsia="仿宋" w:cs="仿宋"/>
                <w:sz w:val="26"/>
                <w:szCs w:val="26"/>
                <w:lang w:val="en-US" w:eastAsia="zh-CN"/>
              </w:rPr>
            </w:pPr>
            <w:r>
              <w:rPr>
                <w:rFonts w:hint="eastAsia" w:ascii="仿宋" w:hAnsi="仿宋" w:eastAsia="仿宋" w:cs="仿宋"/>
                <w:sz w:val="26"/>
                <w:szCs w:val="26"/>
                <w:lang w:val="en-US" w:eastAsia="zh-CN"/>
              </w:rPr>
              <w:t>3</w:t>
            </w:r>
          </w:p>
        </w:tc>
        <w:tc>
          <w:tcPr>
            <w:tcW w:w="8421" w:type="dxa"/>
            <w:noWrap w:val="0"/>
            <w:vAlign w:val="center"/>
          </w:tcPr>
          <w:p w14:paraId="28B53BBE">
            <w:pPr>
              <w:pStyle w:val="15"/>
              <w:keepNext w:val="0"/>
              <w:keepLines w:val="0"/>
              <w:pageBreakBefore w:val="0"/>
              <w:widowControl w:val="0"/>
              <w:suppressLineNumbers w:val="0"/>
              <w:kinsoku/>
              <w:wordWrap/>
              <w:overflowPunct/>
              <w:topLinePunct w:val="0"/>
              <w:autoSpaceDE/>
              <w:autoSpaceDN/>
              <w:bidi w:val="0"/>
              <w:adjustRightInd/>
              <w:snapToGrid w:val="0"/>
              <w:spacing w:before="0" w:beforeLines="10" w:beforeAutospacing="0" w:after="0" w:afterLines="10" w:afterAutospacing="0" w:line="290" w:lineRule="exact"/>
              <w:ind w:left="0" w:leftChars="0" w:right="0" w:rightChars="0"/>
              <w:jc w:val="both"/>
              <w:textAlignment w:val="auto"/>
              <w:outlineLvl w:val="2"/>
              <w:rPr>
                <w:rFonts w:hint="eastAsia" w:ascii="仿宋" w:hAnsi="仿宋" w:eastAsia="仿宋" w:cs="仿宋"/>
                <w:color w:val="0000FF"/>
                <w:kern w:val="2"/>
                <w:sz w:val="26"/>
                <w:szCs w:val="26"/>
                <w:highlight w:val="none"/>
                <w:lang w:val="en-US" w:eastAsia="zh-CN" w:bidi="ar-SA"/>
              </w:rPr>
            </w:pPr>
            <w:r>
              <w:rPr>
                <w:rFonts w:hint="eastAsia" w:ascii="仿宋_GB2312" w:hAnsi="仿宋_GB2312" w:eastAsia="仿宋_GB2312" w:cs="仿宋_GB2312"/>
                <w:kern w:val="2"/>
                <w:sz w:val="26"/>
                <w:szCs w:val="26"/>
                <w:lang w:val="en-US" w:eastAsia="zh-CN" w:bidi="ar-SA"/>
              </w:rPr>
              <w:t>投标人需提供本单位依法缴纳投标截止时间前半年内任意连续近三个月社保缴纳证明单位缴费个人明细表（社保证明可含：社保缴费凭证、社保缴费证明、社保缴费汇总单、依法缴纳社保的完税证明）；</w:t>
            </w:r>
          </w:p>
        </w:tc>
      </w:tr>
      <w:tr w14:paraId="3D82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65" w:type="dxa"/>
            <w:vMerge w:val="continue"/>
            <w:tcBorders/>
            <w:noWrap w:val="0"/>
            <w:vAlign w:val="center"/>
          </w:tcPr>
          <w:p w14:paraId="7867F4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仿宋" w:hAnsi="仿宋" w:eastAsia="仿宋" w:cs="仿宋"/>
                <w:sz w:val="26"/>
                <w:szCs w:val="26"/>
              </w:rPr>
            </w:pPr>
          </w:p>
        </w:tc>
        <w:tc>
          <w:tcPr>
            <w:tcW w:w="660" w:type="dxa"/>
            <w:noWrap w:val="0"/>
            <w:vAlign w:val="center"/>
          </w:tcPr>
          <w:p w14:paraId="5FCA08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仿宋" w:hAnsi="仿宋" w:eastAsia="仿宋" w:cs="仿宋"/>
                <w:sz w:val="26"/>
                <w:szCs w:val="26"/>
                <w:lang w:val="en-US" w:eastAsia="zh-CN"/>
              </w:rPr>
            </w:pPr>
            <w:r>
              <w:rPr>
                <w:rFonts w:hint="eastAsia" w:ascii="仿宋" w:hAnsi="仿宋" w:eastAsia="仿宋" w:cs="仿宋"/>
                <w:sz w:val="26"/>
                <w:szCs w:val="26"/>
                <w:lang w:val="en-US" w:eastAsia="zh-CN"/>
              </w:rPr>
              <w:t>4</w:t>
            </w:r>
          </w:p>
        </w:tc>
        <w:tc>
          <w:tcPr>
            <w:tcW w:w="8421" w:type="dxa"/>
            <w:noWrap w:val="0"/>
            <w:vAlign w:val="center"/>
          </w:tcPr>
          <w:p w14:paraId="76A2CD33">
            <w:pPr>
              <w:pStyle w:val="15"/>
              <w:keepNext w:val="0"/>
              <w:keepLines w:val="0"/>
              <w:pageBreakBefore w:val="0"/>
              <w:widowControl w:val="0"/>
              <w:suppressLineNumbers w:val="0"/>
              <w:kinsoku/>
              <w:wordWrap/>
              <w:overflowPunct/>
              <w:topLinePunct w:val="0"/>
              <w:autoSpaceDE/>
              <w:autoSpaceDN/>
              <w:bidi w:val="0"/>
              <w:adjustRightInd/>
              <w:snapToGrid w:val="0"/>
              <w:spacing w:before="0" w:beforeLines="10" w:beforeAutospacing="0" w:after="0" w:afterLines="10" w:afterAutospacing="0" w:line="290" w:lineRule="exact"/>
              <w:ind w:left="0" w:leftChars="0" w:right="0" w:rightChars="0"/>
              <w:jc w:val="both"/>
              <w:textAlignment w:val="auto"/>
              <w:outlineLvl w:val="2"/>
              <w:rPr>
                <w:rFonts w:hint="eastAsia" w:ascii="仿宋" w:hAnsi="仿宋" w:eastAsia="仿宋" w:cs="仿宋"/>
                <w:color w:val="0000FF"/>
                <w:kern w:val="2"/>
                <w:sz w:val="26"/>
                <w:szCs w:val="26"/>
                <w:highlight w:val="none"/>
                <w:lang w:val="en-US" w:eastAsia="zh-CN" w:bidi="ar-SA"/>
              </w:rPr>
            </w:pPr>
            <w:r>
              <w:rPr>
                <w:rFonts w:hint="eastAsia" w:ascii="仿宋_GB2312" w:hAnsi="仿宋_GB2312" w:eastAsia="仿宋_GB2312" w:cs="仿宋_GB2312"/>
                <w:kern w:val="2"/>
                <w:sz w:val="26"/>
                <w:szCs w:val="26"/>
                <w:lang w:val="en-US" w:eastAsia="zh-CN" w:bidi="ar-SA"/>
              </w:rPr>
              <w:t>投标人需提供2023年度第三方审计机构出具的财务审计报告(会计</w:t>
            </w:r>
            <w:r>
              <w:rPr>
                <w:rFonts w:hint="eastAsia" w:ascii="仿宋_GB2312" w:hAnsi="仿宋_GB2312" w:eastAsia="仿宋_GB2312" w:cs="仿宋_GB2312"/>
                <w:color w:val="auto"/>
                <w:kern w:val="2"/>
                <w:sz w:val="26"/>
                <w:szCs w:val="26"/>
                <w:lang w:val="en-US" w:eastAsia="zh-CN" w:bidi="ar-SA"/>
              </w:rPr>
              <w:t>周期不满一年的提供近三个月银行出具的资信证明）和健全的财务会计制度；</w:t>
            </w:r>
          </w:p>
        </w:tc>
      </w:tr>
      <w:tr w14:paraId="2E21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65" w:type="dxa"/>
            <w:vMerge w:val="continue"/>
            <w:tcBorders/>
            <w:noWrap w:val="0"/>
            <w:vAlign w:val="center"/>
          </w:tcPr>
          <w:p w14:paraId="2BDA19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仿宋" w:hAnsi="仿宋" w:eastAsia="仿宋" w:cs="仿宋"/>
                <w:sz w:val="26"/>
                <w:szCs w:val="26"/>
              </w:rPr>
            </w:pPr>
          </w:p>
        </w:tc>
        <w:tc>
          <w:tcPr>
            <w:tcW w:w="660" w:type="dxa"/>
            <w:noWrap w:val="0"/>
            <w:vAlign w:val="center"/>
          </w:tcPr>
          <w:p w14:paraId="5FAC8A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仿宋" w:hAnsi="仿宋" w:eastAsia="仿宋" w:cs="仿宋"/>
                <w:sz w:val="26"/>
                <w:szCs w:val="26"/>
                <w:lang w:val="en-US" w:eastAsia="zh-CN"/>
              </w:rPr>
            </w:pPr>
            <w:r>
              <w:rPr>
                <w:rFonts w:hint="eastAsia" w:ascii="仿宋" w:hAnsi="仿宋" w:eastAsia="仿宋" w:cs="仿宋"/>
                <w:sz w:val="26"/>
                <w:szCs w:val="26"/>
                <w:lang w:val="en-US" w:eastAsia="zh-CN"/>
              </w:rPr>
              <w:t>5</w:t>
            </w:r>
          </w:p>
        </w:tc>
        <w:tc>
          <w:tcPr>
            <w:tcW w:w="8421" w:type="dxa"/>
            <w:noWrap w:val="0"/>
            <w:vAlign w:val="center"/>
          </w:tcPr>
          <w:p w14:paraId="60683029">
            <w:pPr>
              <w:pStyle w:val="15"/>
              <w:keepNext w:val="0"/>
              <w:keepLines w:val="0"/>
              <w:pageBreakBefore w:val="0"/>
              <w:widowControl w:val="0"/>
              <w:suppressLineNumbers w:val="0"/>
              <w:kinsoku/>
              <w:wordWrap/>
              <w:overflowPunct/>
              <w:topLinePunct w:val="0"/>
              <w:autoSpaceDE/>
              <w:autoSpaceDN/>
              <w:bidi w:val="0"/>
              <w:adjustRightInd/>
              <w:snapToGrid w:val="0"/>
              <w:spacing w:before="0" w:beforeLines="10" w:beforeAutospacing="0" w:after="0" w:afterLines="10" w:afterAutospacing="0" w:line="290" w:lineRule="exact"/>
              <w:ind w:left="0" w:leftChars="0" w:right="0" w:rightChars="0"/>
              <w:jc w:val="both"/>
              <w:textAlignment w:val="auto"/>
              <w:outlineLvl w:val="2"/>
              <w:rPr>
                <w:rFonts w:hint="eastAsia" w:ascii="仿宋" w:hAnsi="仿宋" w:eastAsia="仿宋" w:cs="仿宋"/>
                <w:color w:val="0000FF"/>
                <w:kern w:val="2"/>
                <w:sz w:val="26"/>
                <w:szCs w:val="26"/>
                <w:highlight w:val="none"/>
                <w:lang w:val="en-US" w:eastAsia="zh-CN" w:bidi="ar-SA"/>
              </w:rPr>
            </w:pPr>
            <w:r>
              <w:rPr>
                <w:rFonts w:hint="eastAsia" w:ascii="仿宋_GB2312" w:hAnsi="仿宋_GB2312" w:eastAsia="仿宋_GB2312" w:cs="仿宋_GB2312"/>
                <w:kern w:val="2"/>
                <w:sz w:val="26"/>
                <w:szCs w:val="26"/>
                <w:lang w:val="en-US" w:eastAsia="zh-CN" w:bidi="ar-SA"/>
              </w:rPr>
              <w:t>投标人需提供税务部门出具投标截止时间前半年内任意连续近三个月缴纳税收的完税证明（需含增值税、印花税等税种；如当月无需缴税需提供税务机关出具的无欠税证明）；</w:t>
            </w:r>
          </w:p>
        </w:tc>
      </w:tr>
      <w:tr w14:paraId="52ED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1065" w:type="dxa"/>
            <w:vMerge w:val="continue"/>
            <w:tcBorders/>
            <w:noWrap w:val="0"/>
            <w:vAlign w:val="center"/>
          </w:tcPr>
          <w:p w14:paraId="7D87D2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仿宋" w:hAnsi="仿宋" w:eastAsia="仿宋" w:cs="仿宋"/>
                <w:sz w:val="26"/>
                <w:szCs w:val="26"/>
              </w:rPr>
            </w:pPr>
          </w:p>
        </w:tc>
        <w:tc>
          <w:tcPr>
            <w:tcW w:w="660" w:type="dxa"/>
            <w:noWrap w:val="0"/>
            <w:vAlign w:val="center"/>
          </w:tcPr>
          <w:p w14:paraId="0EDF81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default" w:ascii="仿宋" w:hAnsi="仿宋" w:eastAsia="仿宋" w:cs="仿宋"/>
                <w:sz w:val="26"/>
                <w:szCs w:val="26"/>
                <w:lang w:val="en-US" w:eastAsia="zh-CN"/>
              </w:rPr>
            </w:pPr>
            <w:r>
              <w:rPr>
                <w:rFonts w:hint="eastAsia" w:ascii="仿宋" w:hAnsi="仿宋" w:eastAsia="仿宋" w:cs="仿宋"/>
                <w:sz w:val="26"/>
                <w:szCs w:val="26"/>
                <w:lang w:val="en-US" w:eastAsia="zh-CN"/>
              </w:rPr>
              <w:t>6</w:t>
            </w:r>
          </w:p>
        </w:tc>
        <w:tc>
          <w:tcPr>
            <w:tcW w:w="8421" w:type="dxa"/>
            <w:noWrap w:val="0"/>
            <w:vAlign w:val="center"/>
          </w:tcPr>
          <w:p w14:paraId="0DA03A12">
            <w:pPr>
              <w:pStyle w:val="15"/>
              <w:keepNext w:val="0"/>
              <w:keepLines w:val="0"/>
              <w:pageBreakBefore w:val="0"/>
              <w:widowControl w:val="0"/>
              <w:suppressLineNumbers w:val="0"/>
              <w:kinsoku/>
              <w:wordWrap/>
              <w:overflowPunct/>
              <w:topLinePunct w:val="0"/>
              <w:autoSpaceDE/>
              <w:autoSpaceDN/>
              <w:bidi w:val="0"/>
              <w:adjustRightInd/>
              <w:snapToGrid w:val="0"/>
              <w:spacing w:before="0" w:beforeLines="10" w:beforeAutospacing="0" w:after="0" w:afterLines="10" w:afterAutospacing="0" w:line="290" w:lineRule="exact"/>
              <w:ind w:left="0" w:leftChars="0" w:right="0" w:rightChars="0"/>
              <w:jc w:val="both"/>
              <w:textAlignment w:val="auto"/>
              <w:outlineLvl w:val="2"/>
              <w:rPr>
                <w:rFonts w:hint="default" w:ascii="仿宋" w:hAnsi="仿宋" w:eastAsia="仿宋" w:cs="仿宋"/>
                <w:color w:val="0000FF"/>
                <w:kern w:val="2"/>
                <w:sz w:val="26"/>
                <w:szCs w:val="26"/>
                <w:highlight w:val="none"/>
                <w:lang w:val="en-US" w:eastAsia="zh-CN" w:bidi="ar-SA"/>
              </w:rPr>
            </w:pPr>
            <w:r>
              <w:rPr>
                <w:rFonts w:hint="eastAsia" w:ascii="仿宋_GB2312" w:hAnsi="仿宋_GB2312" w:eastAsia="仿宋_GB2312" w:cs="仿宋_GB2312"/>
                <w:kern w:val="2"/>
                <w:sz w:val="26"/>
                <w:szCs w:val="26"/>
                <w:lang w:val="en-US" w:eastAsia="zh-CN" w:bidi="ar-SA"/>
              </w:rPr>
              <w:t>凡拟参加本次招标项目的投标人，近三年内如在“信用中国（www.creditchina.gov.cn）”被列入失信被执行人、企业经营异常名录、重大税收违法案件当事人名单、政府采购严重违法失信名单（尚在处罚期内的）“中国政府采购网（www.ccgp.gov.cn）”被列入政府采购严重违法失信行为记录名单的（尚在处罚期内的）“国家企业信用信息公示系统（http://www.gsxt.gov.cn）”列入经营异常名录信息、严重违法失信名单（黑名单）信息（尚在处罚期内的）；将拒绝其参与本次政府采购活动；提供上述网页查询截图并加盖公章，</w:t>
            </w:r>
            <w:r>
              <w:rPr>
                <w:rFonts w:hint="eastAsia" w:ascii="仿宋_GB2312" w:hAnsi="仿宋_GB2312" w:eastAsia="仿宋_GB2312" w:cs="仿宋_GB2312"/>
                <w:kern w:val="2"/>
                <w:sz w:val="26"/>
                <w:szCs w:val="26"/>
                <w:highlight w:val="green"/>
                <w:lang w:val="en-US" w:eastAsia="zh-CN" w:bidi="ar-SA"/>
              </w:rPr>
              <w:t>查询日期必须为此项目公告发布至开标截止时间前一日内有效；</w:t>
            </w:r>
          </w:p>
        </w:tc>
      </w:tr>
      <w:tr w14:paraId="16B3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65" w:type="dxa"/>
            <w:vMerge w:val="continue"/>
            <w:tcBorders/>
            <w:noWrap w:val="0"/>
            <w:vAlign w:val="center"/>
          </w:tcPr>
          <w:p w14:paraId="422AF1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仿宋" w:hAnsi="仿宋" w:eastAsia="仿宋" w:cs="仿宋"/>
                <w:sz w:val="26"/>
                <w:szCs w:val="26"/>
              </w:rPr>
            </w:pPr>
          </w:p>
        </w:tc>
        <w:tc>
          <w:tcPr>
            <w:tcW w:w="660" w:type="dxa"/>
            <w:noWrap w:val="0"/>
            <w:vAlign w:val="center"/>
          </w:tcPr>
          <w:p w14:paraId="6A22E2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default" w:ascii="仿宋" w:hAnsi="仿宋" w:eastAsia="仿宋" w:cs="仿宋"/>
                <w:sz w:val="26"/>
                <w:szCs w:val="26"/>
                <w:lang w:val="en-US" w:eastAsia="zh-CN"/>
              </w:rPr>
            </w:pPr>
            <w:r>
              <w:rPr>
                <w:rFonts w:hint="eastAsia" w:ascii="仿宋" w:hAnsi="仿宋" w:eastAsia="仿宋" w:cs="仿宋"/>
                <w:sz w:val="26"/>
                <w:szCs w:val="26"/>
                <w:lang w:val="en-US" w:eastAsia="zh-CN"/>
              </w:rPr>
              <w:t>7</w:t>
            </w:r>
          </w:p>
        </w:tc>
        <w:tc>
          <w:tcPr>
            <w:tcW w:w="8421" w:type="dxa"/>
            <w:noWrap w:val="0"/>
            <w:vAlign w:val="center"/>
          </w:tcPr>
          <w:p w14:paraId="43AEA8E7">
            <w:pPr>
              <w:pStyle w:val="15"/>
              <w:keepNext w:val="0"/>
              <w:keepLines w:val="0"/>
              <w:pageBreakBefore w:val="0"/>
              <w:widowControl w:val="0"/>
              <w:suppressLineNumbers w:val="0"/>
              <w:kinsoku/>
              <w:wordWrap/>
              <w:overflowPunct/>
              <w:topLinePunct w:val="0"/>
              <w:autoSpaceDE/>
              <w:autoSpaceDN/>
              <w:bidi w:val="0"/>
              <w:adjustRightInd/>
              <w:snapToGrid w:val="0"/>
              <w:spacing w:before="0" w:beforeLines="10" w:beforeAutospacing="0" w:after="0" w:afterLines="10" w:afterAutospacing="0" w:line="290" w:lineRule="exact"/>
              <w:ind w:left="0" w:leftChars="0" w:right="0" w:rightChars="0"/>
              <w:jc w:val="both"/>
              <w:textAlignment w:val="auto"/>
              <w:outlineLvl w:val="2"/>
              <w:rPr>
                <w:rFonts w:hint="default" w:ascii="仿宋" w:hAnsi="仿宋" w:eastAsia="仿宋" w:cs="仿宋"/>
                <w:color w:val="0000FF"/>
                <w:kern w:val="2"/>
                <w:sz w:val="26"/>
                <w:szCs w:val="26"/>
                <w:highlight w:val="none"/>
                <w:lang w:val="en-US" w:eastAsia="zh-CN" w:bidi="ar-SA"/>
              </w:rPr>
            </w:pPr>
            <w:r>
              <w:rPr>
                <w:rFonts w:hint="eastAsia" w:ascii="仿宋_GB2312" w:hAnsi="仿宋_GB2312" w:eastAsia="仿宋_GB2312" w:cs="仿宋_GB2312"/>
                <w:kern w:val="2"/>
                <w:sz w:val="26"/>
                <w:szCs w:val="26"/>
                <w:lang w:val="en-US" w:eastAsia="zh-CN" w:bidi="ar-SA"/>
              </w:rPr>
              <w:t>投标人提供针对本次项目《反商业贿赂承诺书》；</w:t>
            </w:r>
          </w:p>
        </w:tc>
      </w:tr>
      <w:tr w14:paraId="7EE7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65" w:type="dxa"/>
            <w:vMerge w:val="continue"/>
            <w:tcBorders/>
            <w:noWrap w:val="0"/>
            <w:vAlign w:val="center"/>
          </w:tcPr>
          <w:p w14:paraId="7B40D7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仿宋" w:hAnsi="仿宋" w:eastAsia="仿宋" w:cs="仿宋"/>
                <w:sz w:val="26"/>
                <w:szCs w:val="26"/>
              </w:rPr>
            </w:pPr>
          </w:p>
        </w:tc>
        <w:tc>
          <w:tcPr>
            <w:tcW w:w="660" w:type="dxa"/>
            <w:noWrap w:val="0"/>
            <w:vAlign w:val="center"/>
          </w:tcPr>
          <w:p w14:paraId="2F1C9B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default" w:ascii="仿宋" w:hAnsi="仿宋" w:eastAsia="仿宋" w:cs="仿宋"/>
                <w:sz w:val="26"/>
                <w:szCs w:val="26"/>
                <w:lang w:val="en-US" w:eastAsia="zh-CN"/>
              </w:rPr>
            </w:pPr>
            <w:r>
              <w:rPr>
                <w:rFonts w:hint="eastAsia" w:ascii="仿宋" w:hAnsi="仿宋" w:eastAsia="仿宋" w:cs="仿宋"/>
                <w:sz w:val="26"/>
                <w:szCs w:val="26"/>
                <w:lang w:val="en-US" w:eastAsia="zh-CN"/>
              </w:rPr>
              <w:t>8</w:t>
            </w:r>
          </w:p>
        </w:tc>
        <w:tc>
          <w:tcPr>
            <w:tcW w:w="8421" w:type="dxa"/>
            <w:noWrap w:val="0"/>
            <w:vAlign w:val="center"/>
          </w:tcPr>
          <w:p w14:paraId="51488520">
            <w:pPr>
              <w:pStyle w:val="15"/>
              <w:keepNext w:val="0"/>
              <w:keepLines w:val="0"/>
              <w:pageBreakBefore w:val="0"/>
              <w:widowControl w:val="0"/>
              <w:suppressLineNumbers w:val="0"/>
              <w:kinsoku/>
              <w:wordWrap/>
              <w:overflowPunct/>
              <w:topLinePunct w:val="0"/>
              <w:autoSpaceDE/>
              <w:autoSpaceDN/>
              <w:bidi w:val="0"/>
              <w:adjustRightInd/>
              <w:snapToGrid w:val="0"/>
              <w:spacing w:before="0" w:beforeLines="10" w:beforeAutospacing="0" w:after="0" w:afterLines="10" w:afterAutospacing="0" w:line="290" w:lineRule="exact"/>
              <w:ind w:left="0" w:leftChars="0" w:right="0" w:rightChars="0"/>
              <w:jc w:val="both"/>
              <w:textAlignment w:val="auto"/>
              <w:outlineLvl w:val="2"/>
              <w:rPr>
                <w:rFonts w:hint="default" w:ascii="仿宋" w:hAnsi="仿宋" w:eastAsia="仿宋" w:cs="仿宋"/>
                <w:color w:val="0000FF"/>
                <w:kern w:val="2"/>
                <w:sz w:val="26"/>
                <w:szCs w:val="26"/>
                <w:highlight w:val="none"/>
                <w:lang w:val="en-US" w:eastAsia="zh-CN" w:bidi="ar-SA"/>
              </w:rPr>
            </w:pPr>
            <w:r>
              <w:rPr>
                <w:rFonts w:hint="eastAsia" w:ascii="仿宋_GB2312" w:hAnsi="仿宋_GB2312" w:eastAsia="仿宋_GB2312" w:cs="仿宋_GB2312"/>
                <w:kern w:val="2"/>
                <w:sz w:val="26"/>
                <w:szCs w:val="26"/>
                <w:lang w:val="en-US" w:eastAsia="zh-CN" w:bidi="ar-SA"/>
              </w:rPr>
              <w:t>参加政府采购活动前3年内在经营活动中没有重大违法记录的书面声明；</w:t>
            </w:r>
          </w:p>
        </w:tc>
      </w:tr>
      <w:tr w14:paraId="3C8F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65" w:type="dxa"/>
            <w:vMerge w:val="continue"/>
            <w:tcBorders/>
            <w:noWrap w:val="0"/>
            <w:vAlign w:val="center"/>
          </w:tcPr>
          <w:p w14:paraId="0AF1B7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仿宋" w:hAnsi="仿宋" w:eastAsia="仿宋" w:cs="仿宋"/>
                <w:sz w:val="26"/>
                <w:szCs w:val="26"/>
              </w:rPr>
            </w:pPr>
          </w:p>
        </w:tc>
        <w:tc>
          <w:tcPr>
            <w:tcW w:w="660" w:type="dxa"/>
            <w:noWrap w:val="0"/>
            <w:vAlign w:val="center"/>
          </w:tcPr>
          <w:p w14:paraId="1E565F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default" w:ascii="仿宋" w:hAnsi="仿宋" w:eastAsia="仿宋" w:cs="仿宋"/>
                <w:sz w:val="26"/>
                <w:szCs w:val="26"/>
                <w:lang w:val="en-US" w:eastAsia="zh-CN"/>
              </w:rPr>
            </w:pPr>
            <w:r>
              <w:rPr>
                <w:rFonts w:hint="eastAsia" w:ascii="仿宋" w:hAnsi="仿宋" w:eastAsia="仿宋" w:cs="仿宋"/>
                <w:sz w:val="26"/>
                <w:szCs w:val="26"/>
                <w:lang w:val="en-US" w:eastAsia="zh-CN"/>
              </w:rPr>
              <w:t>9</w:t>
            </w:r>
          </w:p>
        </w:tc>
        <w:tc>
          <w:tcPr>
            <w:tcW w:w="8421" w:type="dxa"/>
            <w:noWrap w:val="0"/>
            <w:vAlign w:val="center"/>
          </w:tcPr>
          <w:p w14:paraId="7CE20619">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Lines="10" w:beforeAutospacing="0" w:after="0" w:afterLines="10" w:afterAutospacing="0" w:line="290" w:lineRule="exact"/>
              <w:ind w:left="0" w:leftChars="0" w:right="0" w:rightChars="0" w:firstLine="0" w:firstLineChars="0"/>
              <w:jc w:val="both"/>
              <w:textAlignment w:val="auto"/>
              <w:outlineLvl w:val="2"/>
              <w:rPr>
                <w:rFonts w:hint="default" w:ascii="仿宋" w:hAnsi="仿宋" w:eastAsia="仿宋" w:cs="仿宋"/>
                <w:color w:val="auto"/>
                <w:kern w:val="2"/>
                <w:sz w:val="26"/>
                <w:szCs w:val="26"/>
                <w:highlight w:val="none"/>
                <w:lang w:val="en-US" w:eastAsia="zh-CN" w:bidi="ar-SA"/>
              </w:rPr>
            </w:pPr>
            <w:r>
              <w:rPr>
                <w:rFonts w:hint="eastAsia" w:ascii="仿宋_GB2312" w:hAnsi="仿宋_GB2312" w:eastAsia="仿宋_GB2312" w:cs="仿宋_GB2312"/>
                <w:b w:val="0"/>
                <w:bCs w:val="0"/>
                <w:kern w:val="2"/>
                <w:sz w:val="26"/>
                <w:szCs w:val="26"/>
                <w:lang w:val="en-US" w:eastAsia="zh-CN" w:bidi="ar-SA"/>
              </w:rPr>
              <w:t>投标人提供有效期内《食品经营许可证》或《食品流通许可证》或《食品生产许可证》；</w:t>
            </w:r>
          </w:p>
        </w:tc>
      </w:tr>
      <w:tr w14:paraId="38EC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65" w:type="dxa"/>
            <w:vMerge w:val="continue"/>
            <w:tcBorders/>
            <w:noWrap w:val="0"/>
            <w:vAlign w:val="center"/>
          </w:tcPr>
          <w:p w14:paraId="3DEF8C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仿宋" w:hAnsi="仿宋" w:eastAsia="仿宋" w:cs="仿宋"/>
                <w:sz w:val="26"/>
                <w:szCs w:val="26"/>
              </w:rPr>
            </w:pPr>
          </w:p>
        </w:tc>
        <w:tc>
          <w:tcPr>
            <w:tcW w:w="660" w:type="dxa"/>
            <w:noWrap w:val="0"/>
            <w:vAlign w:val="center"/>
          </w:tcPr>
          <w:p w14:paraId="76B45E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default" w:ascii="仿宋" w:hAnsi="仿宋" w:eastAsia="仿宋" w:cs="仿宋"/>
                <w:sz w:val="26"/>
                <w:szCs w:val="26"/>
                <w:lang w:val="en-US" w:eastAsia="zh-CN"/>
              </w:rPr>
            </w:pPr>
            <w:r>
              <w:rPr>
                <w:rFonts w:hint="eastAsia" w:ascii="仿宋" w:hAnsi="仿宋" w:eastAsia="仿宋" w:cs="仿宋"/>
                <w:sz w:val="26"/>
                <w:szCs w:val="26"/>
                <w:lang w:val="en-US" w:eastAsia="zh-CN"/>
              </w:rPr>
              <w:t>10</w:t>
            </w:r>
          </w:p>
        </w:tc>
        <w:tc>
          <w:tcPr>
            <w:tcW w:w="8421" w:type="dxa"/>
            <w:noWrap w:val="0"/>
            <w:vAlign w:val="center"/>
          </w:tcPr>
          <w:p w14:paraId="46838D78">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290" w:lineRule="exact"/>
              <w:ind w:left="0" w:leftChars="0" w:right="0" w:rightChars="0" w:firstLine="0" w:firstLineChars="0"/>
              <w:jc w:val="both"/>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6"/>
                <w:szCs w:val="26"/>
                <w:lang w:val="en-US" w:eastAsia="zh-CN" w:bidi="ar"/>
              </w:rPr>
              <w:t>投标保证金有效凭证；</w:t>
            </w:r>
          </w:p>
        </w:tc>
      </w:tr>
      <w:tr w14:paraId="64757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65" w:type="dxa"/>
            <w:vMerge w:val="continue"/>
            <w:tcBorders/>
            <w:noWrap w:val="0"/>
            <w:vAlign w:val="center"/>
          </w:tcPr>
          <w:p w14:paraId="382FF1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仿宋" w:hAnsi="仿宋" w:eastAsia="仿宋" w:cs="仿宋"/>
                <w:sz w:val="26"/>
                <w:szCs w:val="26"/>
              </w:rPr>
            </w:pPr>
          </w:p>
        </w:tc>
        <w:tc>
          <w:tcPr>
            <w:tcW w:w="660" w:type="dxa"/>
            <w:noWrap w:val="0"/>
            <w:vAlign w:val="center"/>
          </w:tcPr>
          <w:p w14:paraId="789B97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eastAsia" w:ascii="仿宋" w:hAnsi="仿宋" w:eastAsia="仿宋" w:cs="仿宋"/>
                <w:sz w:val="26"/>
                <w:szCs w:val="26"/>
                <w:lang w:val="en-US" w:eastAsia="zh-CN"/>
              </w:rPr>
            </w:pPr>
            <w:r>
              <w:rPr>
                <w:rFonts w:hint="eastAsia" w:ascii="仿宋_GB2312" w:hAnsi="仿宋_GB2312" w:eastAsia="仿宋_GB2312" w:cs="仿宋_GB2312"/>
                <w:kern w:val="2"/>
                <w:sz w:val="28"/>
                <w:szCs w:val="28"/>
                <w:lang w:val="en-US" w:eastAsia="zh-CN" w:bidi="ar-SA"/>
              </w:rPr>
              <w:t>11</w:t>
            </w:r>
          </w:p>
        </w:tc>
        <w:tc>
          <w:tcPr>
            <w:tcW w:w="8421" w:type="dxa"/>
            <w:noWrap w:val="0"/>
            <w:vAlign w:val="center"/>
          </w:tcPr>
          <w:p w14:paraId="505082E3">
            <w:pPr>
              <w:keepNext w:val="0"/>
              <w:keepLines w:val="0"/>
              <w:pageBreakBefore w:val="0"/>
              <w:widowControl w:val="0"/>
              <w:suppressLineNumbers w:val="0"/>
              <w:kinsoku/>
              <w:wordWrap/>
              <w:overflowPunct/>
              <w:topLinePunct w:val="0"/>
              <w:autoSpaceDE/>
              <w:autoSpaceDN/>
              <w:bidi w:val="0"/>
              <w:adjustRightInd/>
              <w:snapToGrid/>
              <w:spacing w:before="0" w:beforeLines="10" w:beforeAutospacing="0" w:after="0" w:afterLines="10" w:afterAutospacing="0" w:line="290" w:lineRule="exact"/>
              <w:ind w:left="0" w:leftChars="0" w:right="0" w:rightChars="0" w:firstLine="0" w:firstLineChars="0"/>
              <w:jc w:val="both"/>
              <w:textAlignment w:val="auto"/>
              <w:rPr>
                <w:rFonts w:hint="eastAsia" w:ascii="仿宋_GB2312" w:hAnsi="仿宋_GB2312" w:eastAsia="仿宋_GB2312" w:cs="仿宋_GB2312"/>
                <w:i w:val="0"/>
                <w:iCs w:val="0"/>
                <w:caps w:val="0"/>
                <w:color w:val="000000"/>
                <w:spacing w:val="0"/>
                <w:kern w:val="0"/>
                <w:sz w:val="26"/>
                <w:szCs w:val="26"/>
                <w:lang w:val="en-US" w:eastAsia="zh-CN" w:bidi="ar"/>
              </w:rPr>
            </w:pPr>
            <w:r>
              <w:rPr>
                <w:rFonts w:hint="eastAsia" w:ascii="仿宋_GB2312" w:hAnsi="仿宋_GB2312" w:eastAsia="仿宋_GB2312" w:cs="仿宋_GB2312"/>
                <w:kern w:val="2"/>
                <w:sz w:val="28"/>
                <w:szCs w:val="28"/>
                <w:lang w:val="en-US" w:eastAsia="zh-CN" w:bidi="ar-SA"/>
              </w:rPr>
              <w:t>落实政府采购政策需满足的资格要求：本项目专门面向中小微企业采购，不再执行价格评审优惠政策。请根据要求单独上传《中小企业声明函》，格式以采购文件中要求为准。</w:t>
            </w:r>
          </w:p>
        </w:tc>
      </w:tr>
      <w:tr w14:paraId="4CD8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725" w:type="dxa"/>
            <w:gridSpan w:val="2"/>
            <w:noWrap w:val="0"/>
            <w:vAlign w:val="top"/>
          </w:tcPr>
          <w:p w14:paraId="13C28C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90" w:lineRule="exact"/>
              <w:ind w:left="0" w:right="0"/>
              <w:jc w:val="center"/>
              <w:textAlignment w:val="auto"/>
              <w:rPr>
                <w:rFonts w:hint="default" w:ascii="仿宋" w:hAnsi="仿宋" w:eastAsia="仿宋" w:cs="仿宋"/>
                <w:sz w:val="26"/>
                <w:szCs w:val="26"/>
                <w:lang w:val="en-US" w:eastAsia="zh-CN"/>
              </w:rPr>
            </w:pPr>
            <w:r>
              <w:rPr>
                <w:rFonts w:hint="eastAsia" w:ascii="仿宋_GB2312" w:hAnsi="仿宋_GB2312" w:eastAsia="仿宋_GB2312" w:cs="仿宋_GB2312"/>
                <w:i w:val="0"/>
                <w:iCs w:val="0"/>
                <w:caps w:val="0"/>
                <w:color w:val="000000"/>
                <w:spacing w:val="0"/>
                <w:kern w:val="0"/>
                <w:sz w:val="26"/>
                <w:szCs w:val="26"/>
                <w:lang w:val="en-US" w:eastAsia="zh-CN" w:bidi="ar"/>
              </w:rPr>
              <w:t>结论</w:t>
            </w:r>
          </w:p>
        </w:tc>
        <w:tc>
          <w:tcPr>
            <w:tcW w:w="8421" w:type="dxa"/>
            <w:noWrap w:val="0"/>
            <w:vAlign w:val="center"/>
          </w:tcPr>
          <w:p w14:paraId="61264E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90" w:lineRule="exact"/>
              <w:ind w:left="0" w:right="0"/>
              <w:jc w:val="left"/>
              <w:textAlignment w:val="auto"/>
              <w:rPr>
                <w:rFonts w:hint="eastAsia" w:ascii="仿宋" w:hAnsi="仿宋" w:eastAsia="仿宋" w:cs="仿宋"/>
                <w:color w:val="auto"/>
                <w:kern w:val="0"/>
                <w:sz w:val="26"/>
                <w:szCs w:val="26"/>
                <w:highlight w:val="none"/>
              </w:rPr>
            </w:pPr>
          </w:p>
        </w:tc>
      </w:tr>
    </w:tbl>
    <w:p w14:paraId="25E70552">
      <w:pPr>
        <w:rPr>
          <w:rFonts w:hint="eastAsia" w:ascii="仿宋" w:hAnsi="仿宋" w:eastAsia="仿宋" w:cs="仿宋"/>
          <w:b/>
          <w:sz w:val="26"/>
          <w:szCs w:val="26"/>
        </w:rPr>
      </w:pPr>
    </w:p>
    <w:p w14:paraId="05987E46">
      <w:pPr>
        <w:keepNext w:val="0"/>
        <w:keepLines w:val="0"/>
        <w:pageBreakBefore w:val="0"/>
        <w:widowControl w:val="0"/>
        <w:kinsoku/>
        <w:wordWrap/>
        <w:overflowPunct/>
        <w:topLinePunct w:val="0"/>
        <w:autoSpaceDE/>
        <w:autoSpaceDN/>
        <w:bidi w:val="0"/>
        <w:adjustRightInd/>
        <w:snapToGrid/>
        <w:spacing w:beforeLines="10" w:afterLines="10" w:line="250" w:lineRule="exact"/>
        <w:ind w:left="0" w:leftChars="0" w:right="0" w:rightChars="0" w:firstLine="0" w:firstLineChars="0"/>
        <w:jc w:val="both"/>
        <w:textAlignment w:val="auto"/>
        <w:rPr>
          <w:rFonts w:hint="eastAsia" w:ascii="仿宋_GB2312" w:hAnsi="仿宋_GB2312" w:eastAsia="仿宋_GB2312" w:cs="仿宋_GB2312"/>
          <w:b/>
          <w:bCs/>
          <w:i w:val="0"/>
          <w:iCs w:val="0"/>
          <w:caps w:val="0"/>
          <w:color w:val="000000"/>
          <w:spacing w:val="0"/>
          <w:kern w:val="0"/>
          <w:sz w:val="22"/>
          <w:szCs w:val="22"/>
          <w:lang w:val="en-US" w:eastAsia="zh-CN" w:bidi="ar"/>
        </w:rPr>
      </w:pPr>
      <w:r>
        <w:rPr>
          <w:rFonts w:hint="eastAsia" w:ascii="仿宋_GB2312" w:hAnsi="仿宋_GB2312" w:eastAsia="仿宋_GB2312" w:cs="仿宋_GB2312"/>
          <w:b/>
          <w:bCs/>
          <w:i w:val="0"/>
          <w:iCs w:val="0"/>
          <w:caps w:val="0"/>
          <w:color w:val="000000"/>
          <w:spacing w:val="0"/>
          <w:kern w:val="0"/>
          <w:sz w:val="22"/>
          <w:szCs w:val="22"/>
          <w:lang w:val="en-US" w:eastAsia="zh-CN" w:bidi="ar"/>
        </w:rPr>
        <w:t>备注：</w:t>
      </w:r>
    </w:p>
    <w:p w14:paraId="1EDAB454">
      <w:pPr>
        <w:keepNext w:val="0"/>
        <w:keepLines w:val="0"/>
        <w:pageBreakBefore w:val="0"/>
        <w:widowControl w:val="0"/>
        <w:kinsoku/>
        <w:wordWrap/>
        <w:overflowPunct/>
        <w:topLinePunct w:val="0"/>
        <w:autoSpaceDE/>
        <w:autoSpaceDN/>
        <w:bidi w:val="0"/>
        <w:adjustRightInd/>
        <w:snapToGrid/>
        <w:spacing w:beforeLines="10" w:afterLines="10" w:line="250" w:lineRule="exact"/>
        <w:ind w:left="0" w:leftChars="0" w:right="0" w:rightChars="0" w:firstLine="221" w:firstLineChars="100"/>
        <w:jc w:val="both"/>
        <w:textAlignment w:val="auto"/>
        <w:rPr>
          <w:rFonts w:hint="eastAsia" w:ascii="仿宋_GB2312" w:hAnsi="仿宋_GB2312" w:eastAsia="仿宋_GB2312" w:cs="仿宋_GB2312"/>
          <w:b/>
          <w:bCs/>
          <w:i w:val="0"/>
          <w:iCs w:val="0"/>
          <w:caps w:val="0"/>
          <w:color w:val="000000"/>
          <w:spacing w:val="0"/>
          <w:kern w:val="0"/>
          <w:sz w:val="22"/>
          <w:szCs w:val="22"/>
          <w:lang w:val="en-US" w:eastAsia="zh-CN" w:bidi="ar"/>
        </w:rPr>
      </w:pPr>
      <w:r>
        <w:rPr>
          <w:rFonts w:hint="eastAsia" w:ascii="仿宋_GB2312" w:hAnsi="仿宋_GB2312" w:eastAsia="仿宋_GB2312" w:cs="仿宋_GB2312"/>
          <w:b/>
          <w:bCs/>
          <w:i w:val="0"/>
          <w:iCs w:val="0"/>
          <w:caps w:val="0"/>
          <w:color w:val="000000"/>
          <w:spacing w:val="0"/>
          <w:kern w:val="0"/>
          <w:sz w:val="22"/>
          <w:szCs w:val="22"/>
          <w:lang w:val="en-US" w:eastAsia="zh-CN" w:bidi="ar"/>
        </w:rPr>
        <w:t>1.本表与招标文件中相关评审条款内容不一致的，以本表内容为准。</w:t>
      </w:r>
    </w:p>
    <w:p w14:paraId="7D9F3B31">
      <w:pPr>
        <w:keepNext w:val="0"/>
        <w:keepLines w:val="0"/>
        <w:pageBreakBefore w:val="0"/>
        <w:widowControl w:val="0"/>
        <w:kinsoku/>
        <w:wordWrap/>
        <w:overflowPunct/>
        <w:topLinePunct w:val="0"/>
        <w:autoSpaceDE/>
        <w:autoSpaceDN/>
        <w:bidi w:val="0"/>
        <w:adjustRightInd/>
        <w:snapToGrid/>
        <w:spacing w:beforeLines="10" w:afterLines="10" w:line="250" w:lineRule="exact"/>
        <w:ind w:left="0" w:leftChars="0" w:right="0" w:rightChars="0" w:firstLine="221" w:firstLineChars="100"/>
        <w:jc w:val="both"/>
        <w:textAlignment w:val="auto"/>
        <w:rPr>
          <w:rFonts w:hint="eastAsia" w:ascii="仿宋_GB2312" w:hAnsi="仿宋_GB2312" w:eastAsia="仿宋_GB2312" w:cs="仿宋_GB2312"/>
          <w:b/>
          <w:bCs/>
          <w:i w:val="0"/>
          <w:iCs w:val="0"/>
          <w:caps w:val="0"/>
          <w:color w:val="000000"/>
          <w:spacing w:val="0"/>
          <w:kern w:val="0"/>
          <w:sz w:val="22"/>
          <w:szCs w:val="22"/>
          <w:lang w:val="en-US" w:eastAsia="zh-CN" w:bidi="ar"/>
        </w:rPr>
      </w:pPr>
      <w:r>
        <w:rPr>
          <w:rFonts w:hint="eastAsia" w:ascii="仿宋_GB2312" w:hAnsi="仿宋_GB2312" w:eastAsia="仿宋_GB2312" w:cs="仿宋_GB2312"/>
          <w:b/>
          <w:bCs/>
          <w:i w:val="0"/>
          <w:iCs w:val="0"/>
          <w:caps w:val="0"/>
          <w:color w:val="000000"/>
          <w:spacing w:val="0"/>
          <w:kern w:val="0"/>
          <w:sz w:val="22"/>
          <w:szCs w:val="22"/>
          <w:lang w:val="en-US" w:eastAsia="zh-CN" w:bidi="ar"/>
        </w:rPr>
        <w:t>2.每一项符合的打“√”，不符合的打“×”。</w:t>
      </w:r>
    </w:p>
    <w:p w14:paraId="00E7E626">
      <w:pPr>
        <w:keepNext w:val="0"/>
        <w:keepLines w:val="0"/>
        <w:pageBreakBefore w:val="0"/>
        <w:widowControl w:val="0"/>
        <w:kinsoku/>
        <w:wordWrap/>
        <w:overflowPunct/>
        <w:topLinePunct w:val="0"/>
        <w:autoSpaceDE/>
        <w:autoSpaceDN/>
        <w:bidi w:val="0"/>
        <w:adjustRightInd/>
        <w:snapToGrid/>
        <w:spacing w:beforeLines="10" w:afterLines="10" w:line="250" w:lineRule="exact"/>
        <w:ind w:left="0" w:leftChars="0" w:right="0" w:rightChars="0" w:firstLine="221" w:firstLineChars="100"/>
        <w:jc w:val="both"/>
        <w:textAlignment w:val="auto"/>
        <w:rPr>
          <w:rFonts w:hint="eastAsia" w:ascii="仿宋_GB2312" w:hAnsi="仿宋_GB2312" w:eastAsia="仿宋_GB2312" w:cs="仿宋_GB2312"/>
          <w:b/>
          <w:bCs/>
          <w:i w:val="0"/>
          <w:iCs w:val="0"/>
          <w:caps w:val="0"/>
          <w:color w:val="000000"/>
          <w:spacing w:val="0"/>
          <w:kern w:val="0"/>
          <w:sz w:val="22"/>
          <w:szCs w:val="22"/>
          <w:lang w:val="en-US" w:eastAsia="zh-CN" w:bidi="ar"/>
        </w:rPr>
      </w:pPr>
      <w:r>
        <w:rPr>
          <w:rFonts w:hint="eastAsia" w:ascii="仿宋_GB2312" w:hAnsi="仿宋_GB2312" w:eastAsia="仿宋_GB2312" w:cs="仿宋_GB2312"/>
          <w:b/>
          <w:bCs/>
          <w:i w:val="0"/>
          <w:iCs w:val="0"/>
          <w:caps w:val="0"/>
          <w:color w:val="000000"/>
          <w:spacing w:val="0"/>
          <w:kern w:val="0"/>
          <w:sz w:val="22"/>
          <w:szCs w:val="22"/>
          <w:lang w:val="en-US" w:eastAsia="zh-CN" w:bidi="ar"/>
        </w:rPr>
        <w:t>3.“结论”一栏填写“通过”或“不通过”；任何一项出现“×”的，结论为不通过。</w:t>
      </w:r>
    </w:p>
    <w:p w14:paraId="283CF8A2">
      <w:pPr>
        <w:keepNext w:val="0"/>
        <w:keepLines w:val="0"/>
        <w:pageBreakBefore w:val="0"/>
        <w:widowControl w:val="0"/>
        <w:kinsoku/>
        <w:wordWrap/>
        <w:overflowPunct/>
        <w:topLinePunct w:val="0"/>
        <w:autoSpaceDE/>
        <w:autoSpaceDN/>
        <w:bidi w:val="0"/>
        <w:adjustRightInd/>
        <w:snapToGrid/>
        <w:spacing w:beforeLines="10" w:afterLines="10" w:line="250" w:lineRule="exact"/>
        <w:ind w:left="0" w:leftChars="0" w:right="0" w:rightChars="0" w:firstLine="221" w:firstLineChars="100"/>
        <w:jc w:val="both"/>
        <w:textAlignment w:val="auto"/>
        <w:rPr>
          <w:rFonts w:hint="eastAsia" w:ascii="仿宋_GB2312" w:hAnsi="仿宋_GB2312" w:eastAsia="仿宋_GB2312" w:cs="仿宋_GB2312"/>
          <w:b/>
          <w:bCs/>
          <w:i w:val="0"/>
          <w:iCs w:val="0"/>
          <w:caps w:val="0"/>
          <w:color w:val="000000"/>
          <w:spacing w:val="0"/>
          <w:kern w:val="0"/>
          <w:sz w:val="22"/>
          <w:szCs w:val="22"/>
          <w:lang w:val="en-US" w:eastAsia="zh-CN" w:bidi="ar"/>
        </w:rPr>
      </w:pPr>
      <w:r>
        <w:rPr>
          <w:rFonts w:hint="eastAsia" w:ascii="仿宋_GB2312" w:hAnsi="仿宋_GB2312" w:eastAsia="仿宋_GB2312" w:cs="仿宋_GB2312"/>
          <w:b/>
          <w:bCs/>
          <w:i w:val="0"/>
          <w:iCs w:val="0"/>
          <w:caps w:val="0"/>
          <w:color w:val="000000"/>
          <w:spacing w:val="0"/>
          <w:kern w:val="0"/>
          <w:sz w:val="22"/>
          <w:szCs w:val="22"/>
          <w:lang w:val="en-US" w:eastAsia="zh-CN" w:bidi="ar"/>
        </w:rPr>
        <w:t>4.汇总时出现不同意见的，资格审查小组按少数服从多数原则表决决定。</w:t>
      </w:r>
    </w:p>
    <w:p w14:paraId="77DE3F72">
      <w:pPr>
        <w:keepNext w:val="0"/>
        <w:keepLines w:val="0"/>
        <w:pageBreakBefore w:val="0"/>
        <w:widowControl w:val="0"/>
        <w:kinsoku/>
        <w:wordWrap/>
        <w:overflowPunct/>
        <w:topLinePunct w:val="0"/>
        <w:autoSpaceDE/>
        <w:autoSpaceDN/>
        <w:bidi w:val="0"/>
        <w:adjustRightInd/>
        <w:snapToGrid/>
        <w:spacing w:beforeLines="10" w:afterLines="10" w:line="250" w:lineRule="exact"/>
        <w:ind w:left="0" w:leftChars="0" w:right="0" w:rightChars="0" w:firstLine="221" w:firstLineChars="100"/>
        <w:jc w:val="both"/>
        <w:textAlignment w:val="auto"/>
        <w:rPr>
          <w:rFonts w:hint="eastAsia" w:ascii="仿宋_GB2312" w:hAnsi="仿宋_GB2312" w:eastAsia="仿宋_GB2312" w:cs="仿宋_GB2312"/>
          <w:b/>
          <w:bCs/>
          <w:i w:val="0"/>
          <w:iCs w:val="0"/>
          <w:caps w:val="0"/>
          <w:color w:val="000000"/>
          <w:spacing w:val="0"/>
          <w:kern w:val="0"/>
          <w:sz w:val="22"/>
          <w:szCs w:val="22"/>
          <w:lang w:val="en-US" w:eastAsia="zh-CN" w:bidi="ar"/>
        </w:rPr>
      </w:pPr>
      <w:r>
        <w:rPr>
          <w:rFonts w:hint="eastAsia" w:ascii="仿宋_GB2312" w:hAnsi="仿宋_GB2312" w:eastAsia="仿宋_GB2312" w:cs="仿宋_GB2312"/>
          <w:b/>
          <w:bCs/>
          <w:i w:val="0"/>
          <w:iCs w:val="0"/>
          <w:caps w:val="0"/>
          <w:color w:val="000000"/>
          <w:spacing w:val="0"/>
          <w:kern w:val="0"/>
          <w:sz w:val="22"/>
          <w:szCs w:val="22"/>
          <w:lang w:val="en-US" w:eastAsia="zh-CN" w:bidi="ar"/>
        </w:rPr>
        <w:t>5.未通过资格审查的供应商不进入评标；通过资格审查的供应商少于不足三家的，不得评标。</w:t>
      </w:r>
    </w:p>
    <w:p w14:paraId="6604B298">
      <w:pPr>
        <w:pStyle w:val="4"/>
        <w:ind w:left="0" w:leftChars="0" w:firstLine="0" w:firstLineChars="0"/>
        <w:jc w:val="center"/>
        <w:rPr>
          <w:rFonts w:hint="eastAsia" w:ascii="仿宋_GB2312" w:hAnsi="仿宋_GB2312" w:eastAsia="仿宋_GB2312" w:cs="仿宋_GB2312"/>
          <w:b/>
          <w:bCs/>
          <w:i w:val="0"/>
          <w:iCs w:val="0"/>
          <w:caps w:val="0"/>
          <w:color w:val="000000"/>
          <w:spacing w:val="0"/>
          <w:kern w:val="0"/>
          <w:sz w:val="28"/>
          <w:szCs w:val="28"/>
          <w:lang w:val="en-US" w:eastAsia="zh-CN" w:bidi="ar"/>
        </w:rPr>
      </w:pPr>
    </w:p>
    <w:p w14:paraId="3F92C32A">
      <w:pPr>
        <w:pStyle w:val="4"/>
        <w:ind w:left="0" w:leftChars="0" w:firstLine="0" w:firstLineChars="0"/>
        <w:jc w:val="center"/>
        <w:rPr>
          <w:rFonts w:hint="eastAsia" w:ascii="仿宋_GB2312" w:hAnsi="仿宋_GB2312" w:eastAsia="仿宋_GB2312" w:cs="仿宋_GB2312"/>
          <w:b/>
          <w:bCs/>
          <w:i w:val="0"/>
          <w:iCs w:val="0"/>
          <w:caps w:val="0"/>
          <w:color w:val="000000"/>
          <w:spacing w:val="0"/>
          <w:kern w:val="0"/>
          <w:sz w:val="28"/>
          <w:szCs w:val="28"/>
          <w:lang w:val="en-US" w:eastAsia="zh-CN" w:bidi="ar"/>
        </w:rPr>
      </w:pPr>
    </w:p>
    <w:p w14:paraId="1ED1AF1F">
      <w:pPr>
        <w:pStyle w:val="4"/>
        <w:ind w:left="0" w:leftChars="0" w:firstLine="0" w:firstLineChars="0"/>
        <w:jc w:val="center"/>
        <w:rPr>
          <w:rFonts w:hint="eastAsia" w:ascii="仿宋_GB2312" w:hAnsi="仿宋_GB2312" w:eastAsia="仿宋_GB2312" w:cs="仿宋_GB2312"/>
          <w:b/>
          <w:bCs/>
          <w:i w:val="0"/>
          <w:iCs w:val="0"/>
          <w:caps w:val="0"/>
          <w:color w:val="000000"/>
          <w:spacing w:val="0"/>
          <w:kern w:val="0"/>
          <w:sz w:val="28"/>
          <w:szCs w:val="28"/>
          <w:lang w:val="en-US" w:eastAsia="zh-CN" w:bidi="ar"/>
        </w:rPr>
      </w:pPr>
    </w:p>
    <w:p w14:paraId="15A0BBBD">
      <w:pPr>
        <w:pStyle w:val="4"/>
        <w:ind w:left="0" w:leftChars="0" w:firstLine="0" w:firstLineChars="0"/>
        <w:jc w:val="center"/>
        <w:rPr>
          <w:rFonts w:hint="eastAsia" w:ascii="仿宋_GB2312" w:hAnsi="仿宋_GB2312" w:eastAsia="仿宋_GB2312" w:cs="仿宋_GB2312"/>
          <w:b/>
          <w:bCs/>
          <w:i w:val="0"/>
          <w:iCs w:val="0"/>
          <w:caps w:val="0"/>
          <w:color w:val="000000"/>
          <w:spacing w:val="0"/>
          <w:kern w:val="0"/>
          <w:sz w:val="28"/>
          <w:szCs w:val="28"/>
          <w:lang w:val="en-US" w:eastAsia="zh-CN" w:bidi="ar"/>
        </w:rPr>
      </w:pPr>
    </w:p>
    <w:p w14:paraId="044D0617">
      <w:pPr>
        <w:pStyle w:val="4"/>
        <w:ind w:left="0" w:leftChars="0" w:firstLine="0" w:firstLineChars="0"/>
        <w:jc w:val="center"/>
        <w:rPr>
          <w:rFonts w:hint="eastAsia" w:ascii="仿宋_GB2312" w:hAnsi="仿宋_GB2312" w:eastAsia="仿宋_GB2312" w:cs="仿宋_GB2312"/>
          <w:b/>
          <w:bCs/>
          <w:i w:val="0"/>
          <w:iCs w:val="0"/>
          <w:caps w:val="0"/>
          <w:color w:val="000000"/>
          <w:spacing w:val="0"/>
          <w:kern w:val="0"/>
          <w:sz w:val="28"/>
          <w:szCs w:val="28"/>
          <w:lang w:val="en-US" w:eastAsia="zh-CN" w:bidi="ar"/>
        </w:rPr>
      </w:pPr>
    </w:p>
    <w:p w14:paraId="7D08A371">
      <w:pPr>
        <w:pStyle w:val="4"/>
        <w:ind w:left="0" w:leftChars="0" w:firstLine="0" w:firstLineChars="0"/>
        <w:jc w:val="center"/>
        <w:rPr>
          <w:rFonts w:hint="eastAsia" w:ascii="仿宋_GB2312" w:hAnsi="仿宋_GB2312" w:eastAsia="仿宋_GB2312" w:cs="仿宋_GB2312"/>
          <w:b/>
          <w:bCs/>
          <w:i w:val="0"/>
          <w:iCs w:val="0"/>
          <w:caps w:val="0"/>
          <w:color w:val="000000"/>
          <w:spacing w:val="0"/>
          <w:kern w:val="0"/>
          <w:sz w:val="28"/>
          <w:szCs w:val="28"/>
          <w:lang w:val="en-US" w:eastAsia="zh-CN" w:bidi="ar"/>
        </w:rPr>
      </w:pPr>
    </w:p>
    <w:p w14:paraId="7B099DD7">
      <w:pPr>
        <w:pStyle w:val="4"/>
        <w:ind w:left="0" w:leftChars="0" w:firstLine="0" w:firstLineChars="0"/>
        <w:jc w:val="center"/>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8"/>
          <w:szCs w:val="28"/>
          <w:lang w:val="en-US" w:eastAsia="zh-CN" w:bidi="ar"/>
        </w:rPr>
        <w:t>初步评审标准—符合性审查</w:t>
      </w:r>
    </w:p>
    <w:p w14:paraId="5C6E2F1B">
      <w:pPr>
        <w:pStyle w:val="5"/>
        <w:rPr>
          <w:rFonts w:hint="eastAsia"/>
        </w:rPr>
      </w:pPr>
    </w:p>
    <w:p w14:paraId="65418748">
      <w:pPr>
        <w:rPr>
          <w:rFonts w:hint="eastAsia"/>
        </w:rPr>
      </w:pPr>
    </w:p>
    <w:tbl>
      <w:tblPr>
        <w:tblStyle w:val="25"/>
        <w:tblW w:w="10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660"/>
        <w:gridCol w:w="8421"/>
      </w:tblGrid>
      <w:tr w14:paraId="0AF9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725" w:type="dxa"/>
            <w:gridSpan w:val="2"/>
            <w:noWrap w:val="0"/>
            <w:vAlign w:val="center"/>
          </w:tcPr>
          <w:p w14:paraId="29459B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条款号</w:t>
            </w:r>
          </w:p>
        </w:tc>
        <w:tc>
          <w:tcPr>
            <w:tcW w:w="8421" w:type="dxa"/>
            <w:noWrap w:val="0"/>
            <w:vAlign w:val="center"/>
          </w:tcPr>
          <w:p w14:paraId="00DD5B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评审标准</w:t>
            </w:r>
          </w:p>
        </w:tc>
      </w:tr>
      <w:tr w14:paraId="0AAC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65" w:type="dxa"/>
            <w:vMerge w:val="restart"/>
            <w:noWrap w:val="0"/>
            <w:vAlign w:val="center"/>
          </w:tcPr>
          <w:p w14:paraId="30F9E0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符合性审查</w:t>
            </w:r>
          </w:p>
        </w:tc>
        <w:tc>
          <w:tcPr>
            <w:tcW w:w="660" w:type="dxa"/>
            <w:noWrap w:val="0"/>
            <w:vAlign w:val="center"/>
          </w:tcPr>
          <w:p w14:paraId="72F207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w:t>
            </w:r>
          </w:p>
        </w:tc>
        <w:tc>
          <w:tcPr>
            <w:tcW w:w="8421" w:type="dxa"/>
            <w:noWrap w:val="0"/>
            <w:vAlign w:val="center"/>
          </w:tcPr>
          <w:p w14:paraId="7CDF97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响应文件格式符合招标文件要求</w:t>
            </w:r>
          </w:p>
        </w:tc>
      </w:tr>
      <w:tr w14:paraId="5D64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65" w:type="dxa"/>
            <w:vMerge w:val="continue"/>
            <w:noWrap w:val="0"/>
            <w:vAlign w:val="top"/>
          </w:tcPr>
          <w:p w14:paraId="009D8F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p>
        </w:tc>
        <w:tc>
          <w:tcPr>
            <w:tcW w:w="660" w:type="dxa"/>
            <w:noWrap w:val="0"/>
            <w:vAlign w:val="center"/>
          </w:tcPr>
          <w:p w14:paraId="53BE4F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w:t>
            </w:r>
          </w:p>
        </w:tc>
        <w:tc>
          <w:tcPr>
            <w:tcW w:w="8421" w:type="dxa"/>
            <w:noWrap w:val="0"/>
            <w:vAlign w:val="center"/>
          </w:tcPr>
          <w:p w14:paraId="72CAA6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响应文件的签名盖章符合招标文件要求</w:t>
            </w:r>
          </w:p>
        </w:tc>
      </w:tr>
      <w:tr w14:paraId="6CEB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65" w:type="dxa"/>
            <w:vMerge w:val="continue"/>
            <w:noWrap w:val="0"/>
            <w:vAlign w:val="top"/>
          </w:tcPr>
          <w:p w14:paraId="3C3D98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p>
        </w:tc>
        <w:tc>
          <w:tcPr>
            <w:tcW w:w="660" w:type="dxa"/>
            <w:noWrap w:val="0"/>
            <w:vAlign w:val="center"/>
          </w:tcPr>
          <w:p w14:paraId="55F7E6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w:t>
            </w:r>
          </w:p>
        </w:tc>
        <w:tc>
          <w:tcPr>
            <w:tcW w:w="8421" w:type="dxa"/>
            <w:noWrap w:val="0"/>
            <w:vAlign w:val="center"/>
          </w:tcPr>
          <w:p w14:paraId="578CB9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投标有效期符合招标文件要求</w:t>
            </w:r>
          </w:p>
        </w:tc>
      </w:tr>
      <w:tr w14:paraId="7A89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65" w:type="dxa"/>
            <w:vMerge w:val="continue"/>
            <w:noWrap w:val="0"/>
            <w:vAlign w:val="top"/>
          </w:tcPr>
          <w:p w14:paraId="60A498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p>
        </w:tc>
        <w:tc>
          <w:tcPr>
            <w:tcW w:w="660" w:type="dxa"/>
            <w:noWrap w:val="0"/>
            <w:vAlign w:val="center"/>
          </w:tcPr>
          <w:p w14:paraId="64EA01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4</w:t>
            </w:r>
          </w:p>
        </w:tc>
        <w:tc>
          <w:tcPr>
            <w:tcW w:w="8421" w:type="dxa"/>
            <w:noWrap w:val="0"/>
            <w:vAlign w:val="center"/>
          </w:tcPr>
          <w:p w14:paraId="73F64A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供货期符合招标文件要求</w:t>
            </w:r>
          </w:p>
        </w:tc>
      </w:tr>
      <w:tr w14:paraId="3E80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65" w:type="dxa"/>
            <w:vMerge w:val="continue"/>
            <w:noWrap w:val="0"/>
            <w:vAlign w:val="top"/>
          </w:tcPr>
          <w:p w14:paraId="4066D9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p>
        </w:tc>
        <w:tc>
          <w:tcPr>
            <w:tcW w:w="660" w:type="dxa"/>
            <w:noWrap w:val="0"/>
            <w:vAlign w:val="center"/>
          </w:tcPr>
          <w:p w14:paraId="6E359F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5</w:t>
            </w:r>
          </w:p>
        </w:tc>
        <w:tc>
          <w:tcPr>
            <w:tcW w:w="8421" w:type="dxa"/>
            <w:noWrap w:val="0"/>
            <w:vAlign w:val="center"/>
          </w:tcPr>
          <w:p w14:paraId="4F10C1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质量目标符合招标文件要求</w:t>
            </w:r>
          </w:p>
        </w:tc>
      </w:tr>
      <w:tr w14:paraId="5D94F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65" w:type="dxa"/>
            <w:vMerge w:val="continue"/>
            <w:noWrap w:val="0"/>
            <w:vAlign w:val="top"/>
          </w:tcPr>
          <w:p w14:paraId="52C730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p>
        </w:tc>
        <w:tc>
          <w:tcPr>
            <w:tcW w:w="660" w:type="dxa"/>
            <w:noWrap w:val="0"/>
            <w:vAlign w:val="center"/>
          </w:tcPr>
          <w:p w14:paraId="18E96D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6</w:t>
            </w:r>
          </w:p>
        </w:tc>
        <w:tc>
          <w:tcPr>
            <w:tcW w:w="8421" w:type="dxa"/>
            <w:noWrap w:val="0"/>
            <w:vAlign w:val="center"/>
          </w:tcPr>
          <w:p w14:paraId="1D7AB1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按照招标文件规定报价且没有漏项</w:t>
            </w:r>
          </w:p>
        </w:tc>
      </w:tr>
      <w:tr w14:paraId="05B7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65" w:type="dxa"/>
            <w:vMerge w:val="continue"/>
            <w:noWrap w:val="0"/>
            <w:vAlign w:val="top"/>
          </w:tcPr>
          <w:p w14:paraId="3A99E6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p>
        </w:tc>
        <w:tc>
          <w:tcPr>
            <w:tcW w:w="660" w:type="dxa"/>
            <w:noWrap w:val="0"/>
            <w:vAlign w:val="center"/>
          </w:tcPr>
          <w:p w14:paraId="179C19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7</w:t>
            </w:r>
          </w:p>
        </w:tc>
        <w:tc>
          <w:tcPr>
            <w:tcW w:w="8421" w:type="dxa"/>
            <w:noWrap w:val="0"/>
            <w:vAlign w:val="center"/>
          </w:tcPr>
          <w:p w14:paraId="4AA133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投标文件附有采购人不能接受的其他条件；</w:t>
            </w:r>
          </w:p>
        </w:tc>
      </w:tr>
      <w:tr w14:paraId="2772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65" w:type="dxa"/>
            <w:vMerge w:val="continue"/>
            <w:noWrap w:val="0"/>
            <w:vAlign w:val="top"/>
          </w:tcPr>
          <w:p w14:paraId="744068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p>
        </w:tc>
        <w:tc>
          <w:tcPr>
            <w:tcW w:w="660" w:type="dxa"/>
            <w:noWrap w:val="0"/>
            <w:vAlign w:val="center"/>
          </w:tcPr>
          <w:p w14:paraId="038C69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8</w:t>
            </w:r>
          </w:p>
        </w:tc>
        <w:tc>
          <w:tcPr>
            <w:tcW w:w="8421" w:type="dxa"/>
            <w:noWrap w:val="0"/>
            <w:vAlign w:val="center"/>
          </w:tcPr>
          <w:p w14:paraId="0971AC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不符合法律、法规和招标文件规定的其他实质性要求</w:t>
            </w:r>
          </w:p>
        </w:tc>
      </w:tr>
      <w:tr w14:paraId="76D8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725" w:type="dxa"/>
            <w:gridSpan w:val="2"/>
            <w:noWrap w:val="0"/>
            <w:vAlign w:val="top"/>
          </w:tcPr>
          <w:p w14:paraId="3B0573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仿宋" w:hAnsi="仿宋" w:eastAsia="仿宋" w:cs="仿宋"/>
                <w:sz w:val="26"/>
                <w:szCs w:val="26"/>
                <w:lang w:val="en-US" w:eastAsia="zh-CN"/>
              </w:rPr>
            </w:pPr>
            <w:r>
              <w:rPr>
                <w:rFonts w:hint="eastAsia" w:ascii="仿宋" w:hAnsi="仿宋" w:eastAsia="仿宋" w:cs="仿宋"/>
                <w:sz w:val="26"/>
                <w:szCs w:val="26"/>
                <w:lang w:val="en-US" w:eastAsia="zh-CN"/>
              </w:rPr>
              <w:t>结论</w:t>
            </w:r>
          </w:p>
        </w:tc>
        <w:tc>
          <w:tcPr>
            <w:tcW w:w="8421" w:type="dxa"/>
            <w:noWrap w:val="0"/>
            <w:vAlign w:val="center"/>
          </w:tcPr>
          <w:p w14:paraId="1C4C53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仿宋" w:hAnsi="仿宋" w:eastAsia="仿宋" w:cs="仿宋"/>
                <w:color w:val="auto"/>
                <w:kern w:val="0"/>
                <w:sz w:val="26"/>
                <w:szCs w:val="26"/>
                <w:highlight w:val="none"/>
              </w:rPr>
            </w:pPr>
          </w:p>
        </w:tc>
      </w:tr>
    </w:tbl>
    <w:p w14:paraId="1C5C8205">
      <w:pPr>
        <w:ind w:firstLine="422" w:firstLineChars="200"/>
        <w:rPr>
          <w:rFonts w:hint="eastAsia" w:ascii="仿宋" w:hAnsi="仿宋" w:eastAsia="仿宋" w:cs="仿宋"/>
          <w:b/>
          <w:szCs w:val="32"/>
        </w:rPr>
      </w:pPr>
    </w:p>
    <w:p w14:paraId="020CA1F6">
      <w:pPr>
        <w:rPr>
          <w:rFonts w:hint="eastAsia" w:ascii="仿宋" w:hAnsi="仿宋" w:eastAsia="仿宋" w:cs="仿宋"/>
          <w:b/>
          <w:szCs w:val="32"/>
        </w:rPr>
      </w:pPr>
    </w:p>
    <w:p w14:paraId="1CCD537D">
      <w:pPr>
        <w:ind w:firstLine="422" w:firstLineChars="200"/>
        <w:rPr>
          <w:rFonts w:hint="eastAsia" w:ascii="仿宋" w:hAnsi="仿宋" w:eastAsia="仿宋" w:cs="仿宋"/>
          <w:b/>
          <w:szCs w:val="32"/>
        </w:rPr>
      </w:pPr>
    </w:p>
    <w:p w14:paraId="43EAF9C5">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bCs/>
          <w:i w:val="0"/>
          <w:iCs w:val="0"/>
          <w:caps w:val="0"/>
          <w:color w:val="000000"/>
          <w:spacing w:val="0"/>
          <w:kern w:val="0"/>
          <w:sz w:val="21"/>
          <w:szCs w:val="21"/>
          <w:lang w:val="en-US" w:eastAsia="zh-CN" w:bidi="ar"/>
        </w:rPr>
      </w:pPr>
      <w:r>
        <w:rPr>
          <w:rFonts w:hint="eastAsia" w:ascii="仿宋_GB2312" w:hAnsi="仿宋_GB2312" w:eastAsia="仿宋_GB2312" w:cs="仿宋_GB2312"/>
          <w:b/>
          <w:bCs/>
          <w:i w:val="0"/>
          <w:iCs w:val="0"/>
          <w:caps w:val="0"/>
          <w:color w:val="000000"/>
          <w:spacing w:val="0"/>
          <w:kern w:val="0"/>
          <w:sz w:val="21"/>
          <w:szCs w:val="21"/>
          <w:lang w:val="en-US" w:eastAsia="zh-CN" w:bidi="ar"/>
        </w:rPr>
        <w:t>备注：</w:t>
      </w:r>
    </w:p>
    <w:p w14:paraId="1ABA3F05">
      <w:pPr>
        <w:keepNext w:val="0"/>
        <w:keepLines w:val="0"/>
        <w:pageBreakBefore w:val="0"/>
        <w:widowControl/>
        <w:kinsoku/>
        <w:wordWrap/>
        <w:overflowPunct/>
        <w:topLinePunct w:val="0"/>
        <w:autoSpaceDE/>
        <w:autoSpaceDN/>
        <w:bidi w:val="0"/>
        <w:adjustRightInd/>
        <w:snapToGrid/>
        <w:spacing w:line="480" w:lineRule="exact"/>
        <w:ind w:firstLine="211" w:firstLineChars="100"/>
        <w:jc w:val="left"/>
        <w:textAlignment w:val="auto"/>
        <w:rPr>
          <w:rFonts w:hint="eastAsia" w:ascii="仿宋_GB2312" w:hAnsi="仿宋_GB2312" w:eastAsia="仿宋_GB2312" w:cs="仿宋_GB2312"/>
          <w:b/>
          <w:bCs/>
          <w:i w:val="0"/>
          <w:iCs w:val="0"/>
          <w:caps w:val="0"/>
          <w:color w:val="000000"/>
          <w:spacing w:val="0"/>
          <w:kern w:val="0"/>
          <w:sz w:val="21"/>
          <w:szCs w:val="21"/>
          <w:lang w:val="en-US" w:eastAsia="zh-CN" w:bidi="ar"/>
        </w:rPr>
      </w:pPr>
      <w:r>
        <w:rPr>
          <w:rFonts w:hint="eastAsia" w:ascii="仿宋_GB2312" w:hAnsi="仿宋_GB2312" w:eastAsia="仿宋_GB2312" w:cs="仿宋_GB2312"/>
          <w:b/>
          <w:bCs/>
          <w:i w:val="0"/>
          <w:iCs w:val="0"/>
          <w:caps w:val="0"/>
          <w:color w:val="000000"/>
          <w:spacing w:val="0"/>
          <w:kern w:val="0"/>
          <w:sz w:val="21"/>
          <w:szCs w:val="21"/>
          <w:lang w:val="en-US" w:eastAsia="zh-CN" w:bidi="ar"/>
        </w:rPr>
        <w:t>1.本表与招标文件中相关评审条款内容不一致的，以本表内容为准。</w:t>
      </w:r>
    </w:p>
    <w:p w14:paraId="2D55FA26">
      <w:pPr>
        <w:keepNext w:val="0"/>
        <w:keepLines w:val="0"/>
        <w:pageBreakBefore w:val="0"/>
        <w:widowControl/>
        <w:kinsoku/>
        <w:wordWrap/>
        <w:overflowPunct/>
        <w:topLinePunct w:val="0"/>
        <w:autoSpaceDE/>
        <w:autoSpaceDN/>
        <w:bidi w:val="0"/>
        <w:adjustRightInd/>
        <w:snapToGrid/>
        <w:spacing w:line="480" w:lineRule="exact"/>
        <w:ind w:firstLine="211" w:firstLineChars="100"/>
        <w:jc w:val="left"/>
        <w:textAlignment w:val="auto"/>
        <w:rPr>
          <w:rFonts w:hint="eastAsia" w:ascii="仿宋_GB2312" w:hAnsi="仿宋_GB2312" w:eastAsia="仿宋_GB2312" w:cs="仿宋_GB2312"/>
          <w:b/>
          <w:bCs/>
          <w:i w:val="0"/>
          <w:iCs w:val="0"/>
          <w:caps w:val="0"/>
          <w:color w:val="000000"/>
          <w:spacing w:val="0"/>
          <w:kern w:val="0"/>
          <w:sz w:val="21"/>
          <w:szCs w:val="21"/>
          <w:lang w:val="en-US" w:eastAsia="zh-CN" w:bidi="ar"/>
        </w:rPr>
      </w:pPr>
      <w:r>
        <w:rPr>
          <w:rFonts w:hint="eastAsia" w:ascii="仿宋_GB2312" w:hAnsi="仿宋_GB2312" w:eastAsia="仿宋_GB2312" w:cs="仿宋_GB2312"/>
          <w:b/>
          <w:bCs/>
          <w:i w:val="0"/>
          <w:iCs w:val="0"/>
          <w:caps w:val="0"/>
          <w:color w:val="000000"/>
          <w:spacing w:val="0"/>
          <w:kern w:val="0"/>
          <w:sz w:val="21"/>
          <w:szCs w:val="21"/>
          <w:lang w:val="en-US" w:eastAsia="zh-CN" w:bidi="ar"/>
        </w:rPr>
        <w:t>2.每一项符合的打“√”，不符合的打“×”。</w:t>
      </w:r>
    </w:p>
    <w:p w14:paraId="2E3F6732">
      <w:pPr>
        <w:keepNext w:val="0"/>
        <w:keepLines w:val="0"/>
        <w:pageBreakBefore w:val="0"/>
        <w:widowControl/>
        <w:kinsoku/>
        <w:wordWrap/>
        <w:overflowPunct/>
        <w:topLinePunct w:val="0"/>
        <w:autoSpaceDE/>
        <w:autoSpaceDN/>
        <w:bidi w:val="0"/>
        <w:adjustRightInd/>
        <w:snapToGrid/>
        <w:spacing w:line="480" w:lineRule="exact"/>
        <w:ind w:firstLine="211" w:firstLineChars="100"/>
        <w:jc w:val="left"/>
        <w:textAlignment w:val="auto"/>
        <w:rPr>
          <w:rFonts w:hint="eastAsia" w:ascii="仿宋_GB2312" w:hAnsi="仿宋_GB2312" w:eastAsia="仿宋_GB2312" w:cs="仿宋_GB2312"/>
          <w:b/>
          <w:bCs/>
          <w:i w:val="0"/>
          <w:iCs w:val="0"/>
          <w:caps w:val="0"/>
          <w:color w:val="000000"/>
          <w:spacing w:val="0"/>
          <w:kern w:val="0"/>
          <w:sz w:val="21"/>
          <w:szCs w:val="21"/>
          <w:lang w:val="en-US" w:eastAsia="zh-CN" w:bidi="ar"/>
        </w:rPr>
      </w:pPr>
      <w:r>
        <w:rPr>
          <w:rFonts w:hint="eastAsia" w:ascii="仿宋_GB2312" w:hAnsi="仿宋_GB2312" w:eastAsia="仿宋_GB2312" w:cs="仿宋_GB2312"/>
          <w:b/>
          <w:bCs/>
          <w:i w:val="0"/>
          <w:iCs w:val="0"/>
          <w:caps w:val="0"/>
          <w:color w:val="000000"/>
          <w:spacing w:val="0"/>
          <w:kern w:val="0"/>
          <w:sz w:val="21"/>
          <w:szCs w:val="21"/>
          <w:lang w:val="en-US" w:eastAsia="zh-CN" w:bidi="ar"/>
        </w:rPr>
        <w:t>3.“结论”一栏填写“通过”或“不通过”；任何一项出现“×”的，结论为不通过。</w:t>
      </w:r>
    </w:p>
    <w:p w14:paraId="77F7A42D">
      <w:pPr>
        <w:keepNext w:val="0"/>
        <w:keepLines w:val="0"/>
        <w:pageBreakBefore w:val="0"/>
        <w:widowControl/>
        <w:kinsoku/>
        <w:wordWrap/>
        <w:overflowPunct/>
        <w:topLinePunct w:val="0"/>
        <w:autoSpaceDE/>
        <w:autoSpaceDN/>
        <w:bidi w:val="0"/>
        <w:adjustRightInd/>
        <w:snapToGrid/>
        <w:spacing w:line="480" w:lineRule="exact"/>
        <w:ind w:firstLine="211" w:firstLineChars="100"/>
        <w:jc w:val="left"/>
        <w:textAlignment w:val="auto"/>
        <w:rPr>
          <w:rFonts w:hint="eastAsia" w:ascii="仿宋_GB2312" w:hAnsi="仿宋_GB2312" w:eastAsia="仿宋_GB2312" w:cs="仿宋_GB2312"/>
          <w:b/>
          <w:bCs/>
          <w:i w:val="0"/>
          <w:iCs w:val="0"/>
          <w:caps w:val="0"/>
          <w:color w:val="000000"/>
          <w:spacing w:val="0"/>
          <w:kern w:val="0"/>
          <w:sz w:val="21"/>
          <w:szCs w:val="21"/>
          <w:lang w:val="en-US" w:eastAsia="zh-CN" w:bidi="ar"/>
        </w:rPr>
      </w:pPr>
      <w:r>
        <w:rPr>
          <w:rFonts w:hint="eastAsia" w:ascii="仿宋_GB2312" w:hAnsi="仿宋_GB2312" w:eastAsia="仿宋_GB2312" w:cs="仿宋_GB2312"/>
          <w:b/>
          <w:bCs/>
          <w:i w:val="0"/>
          <w:iCs w:val="0"/>
          <w:caps w:val="0"/>
          <w:color w:val="000000"/>
          <w:spacing w:val="0"/>
          <w:kern w:val="0"/>
          <w:sz w:val="21"/>
          <w:szCs w:val="21"/>
          <w:lang w:val="en-US" w:eastAsia="zh-CN" w:bidi="ar"/>
        </w:rPr>
        <w:t>4.汇总时出现不同意见的，资格审查小组按少数服从多数原则表决决定。</w:t>
      </w:r>
    </w:p>
    <w:p w14:paraId="4C726C9D">
      <w:pPr>
        <w:keepNext w:val="0"/>
        <w:keepLines w:val="0"/>
        <w:pageBreakBefore w:val="0"/>
        <w:widowControl/>
        <w:kinsoku/>
        <w:wordWrap/>
        <w:overflowPunct/>
        <w:topLinePunct w:val="0"/>
        <w:autoSpaceDE/>
        <w:autoSpaceDN/>
        <w:bidi w:val="0"/>
        <w:adjustRightInd/>
        <w:snapToGrid/>
        <w:spacing w:line="480" w:lineRule="exact"/>
        <w:ind w:firstLine="211" w:firstLineChars="100"/>
        <w:jc w:val="left"/>
        <w:textAlignment w:val="auto"/>
        <w:rPr>
          <w:rFonts w:hint="eastAsia" w:ascii="仿宋_GB2312" w:hAnsi="仿宋_GB2312" w:eastAsia="仿宋_GB2312" w:cs="仿宋_GB2312"/>
          <w:b/>
          <w:bCs/>
          <w:i w:val="0"/>
          <w:iCs w:val="0"/>
          <w:caps w:val="0"/>
          <w:color w:val="000000"/>
          <w:spacing w:val="0"/>
          <w:kern w:val="0"/>
          <w:sz w:val="21"/>
          <w:szCs w:val="21"/>
          <w:lang w:val="en-US" w:eastAsia="zh-CN" w:bidi="ar"/>
        </w:rPr>
      </w:pPr>
      <w:r>
        <w:rPr>
          <w:rFonts w:hint="eastAsia" w:ascii="仿宋_GB2312" w:hAnsi="仿宋_GB2312" w:eastAsia="仿宋_GB2312" w:cs="仿宋_GB2312"/>
          <w:b/>
          <w:bCs/>
          <w:i w:val="0"/>
          <w:iCs w:val="0"/>
          <w:caps w:val="0"/>
          <w:color w:val="000000"/>
          <w:spacing w:val="0"/>
          <w:kern w:val="0"/>
          <w:sz w:val="21"/>
          <w:szCs w:val="21"/>
          <w:lang w:val="en-US" w:eastAsia="zh-CN" w:bidi="ar"/>
        </w:rPr>
        <w:t>5.未通过资格审查的供应商不进入评标；通过资格审查的供应商少于不足三家的，不得评标。</w:t>
      </w:r>
    </w:p>
    <w:p w14:paraId="3A03D5DB">
      <w:pPr>
        <w:jc w:val="center"/>
        <w:rPr>
          <w:rFonts w:hint="eastAsia" w:ascii="仿宋" w:hAnsi="仿宋" w:eastAsia="仿宋" w:cs="仿宋"/>
          <w:b/>
          <w:bCs/>
          <w:sz w:val="28"/>
          <w:szCs w:val="28"/>
          <w:lang w:val="en-US" w:eastAsia="zh-CN"/>
        </w:rPr>
      </w:pPr>
    </w:p>
    <w:p w14:paraId="60FD016D">
      <w:pPr>
        <w:jc w:val="center"/>
        <w:rPr>
          <w:rFonts w:hint="eastAsia" w:ascii="仿宋" w:hAnsi="仿宋" w:eastAsia="仿宋" w:cs="仿宋"/>
          <w:b/>
          <w:bCs/>
          <w:sz w:val="28"/>
          <w:szCs w:val="28"/>
          <w:lang w:val="en-US" w:eastAsia="zh-CN"/>
        </w:rPr>
      </w:pPr>
    </w:p>
    <w:p w14:paraId="4BE68742">
      <w:pPr>
        <w:pStyle w:val="2"/>
        <w:rPr>
          <w:rFonts w:hint="eastAsia" w:ascii="仿宋" w:hAnsi="仿宋" w:eastAsia="仿宋" w:cs="仿宋"/>
          <w:b/>
          <w:bCs/>
          <w:sz w:val="28"/>
          <w:szCs w:val="28"/>
          <w:lang w:val="en-US" w:eastAsia="zh-CN"/>
        </w:rPr>
      </w:pPr>
    </w:p>
    <w:p w14:paraId="1372E1FE">
      <w:pPr>
        <w:pStyle w:val="4"/>
        <w:rPr>
          <w:rFonts w:hint="eastAsia" w:ascii="仿宋" w:hAnsi="仿宋" w:eastAsia="仿宋" w:cs="仿宋"/>
          <w:b/>
          <w:bCs/>
          <w:sz w:val="28"/>
          <w:szCs w:val="28"/>
          <w:lang w:val="en-US" w:eastAsia="zh-CN"/>
        </w:rPr>
      </w:pPr>
    </w:p>
    <w:p w14:paraId="6DF01409">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br w:type="page"/>
      </w:r>
    </w:p>
    <w:p w14:paraId="1DDB8956">
      <w:pPr>
        <w:pStyle w:val="13"/>
        <w:spacing w:before="133" w:line="189" w:lineRule="auto"/>
        <w:jc w:val="center"/>
        <w:outlineLvl w:val="1"/>
        <w:rPr>
          <w:rFonts w:hint="eastAsia" w:eastAsiaTheme="minorEastAsia"/>
          <w:b/>
          <w:bCs/>
          <w:spacing w:val="11"/>
          <w:sz w:val="31"/>
          <w:szCs w:val="31"/>
          <w:highlight w:val="green"/>
          <w:lang w:eastAsia="zh-CN"/>
        </w:rPr>
      </w:pPr>
      <w:r>
        <w:rPr>
          <w:b/>
          <w:bCs/>
          <w:spacing w:val="11"/>
          <w:sz w:val="31"/>
          <w:szCs w:val="31"/>
          <w:highlight w:val="none"/>
        </w:rPr>
        <w:t>综合评分法评分标准</w:t>
      </w:r>
    </w:p>
    <w:tbl>
      <w:tblPr>
        <w:tblStyle w:val="26"/>
        <w:tblW w:w="9357"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086"/>
        <w:gridCol w:w="767"/>
        <w:gridCol w:w="5437"/>
        <w:gridCol w:w="1307"/>
      </w:tblGrid>
      <w:tr w14:paraId="1A5A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15A63BD2">
            <w:pPr>
              <w:keepNext w:val="0"/>
              <w:keepLines w:val="0"/>
              <w:widowControl w:val="0"/>
              <w:suppressLineNumbers w:val="0"/>
              <w:bidi w:val="0"/>
              <w:spacing w:before="0" w:beforeAutospacing="0" w:after="0" w:afterAutospacing="0" w:line="240" w:lineRule="auto"/>
              <w:ind w:left="0" w:right="0"/>
              <w:jc w:val="center"/>
              <w:rPr>
                <w:rFonts w:hint="eastAsia" w:ascii="仿宋" w:hAnsi="仿宋" w:eastAsia="仿宋" w:cs="仿宋"/>
                <w:sz w:val="22"/>
                <w:szCs w:val="22"/>
                <w:highlight w:val="none"/>
                <w:vertAlign w:val="baseline"/>
              </w:rPr>
            </w:pPr>
            <w:r>
              <w:rPr>
                <w:rFonts w:hint="eastAsia" w:ascii="仿宋" w:hAnsi="仿宋" w:eastAsia="仿宋" w:cs="仿宋"/>
                <w:sz w:val="22"/>
                <w:szCs w:val="22"/>
                <w:highlight w:val="none"/>
              </w:rPr>
              <w:t>序号</w:t>
            </w:r>
          </w:p>
        </w:tc>
        <w:tc>
          <w:tcPr>
            <w:tcW w:w="1086" w:type="dxa"/>
            <w:vAlign w:val="center"/>
          </w:tcPr>
          <w:p w14:paraId="3CA62C29">
            <w:pPr>
              <w:keepNext w:val="0"/>
              <w:keepLines w:val="0"/>
              <w:widowControl w:val="0"/>
              <w:suppressLineNumbers w:val="0"/>
              <w:bidi w:val="0"/>
              <w:spacing w:before="0" w:beforeAutospacing="0" w:after="0" w:afterAutospacing="0" w:line="240" w:lineRule="auto"/>
              <w:ind w:left="0" w:right="0"/>
              <w:jc w:val="center"/>
              <w:rPr>
                <w:rFonts w:hint="eastAsia" w:ascii="仿宋" w:hAnsi="仿宋" w:eastAsia="仿宋" w:cs="仿宋"/>
                <w:sz w:val="22"/>
                <w:szCs w:val="22"/>
                <w:highlight w:val="none"/>
                <w:vertAlign w:val="baseline"/>
              </w:rPr>
            </w:pPr>
            <w:r>
              <w:rPr>
                <w:rFonts w:hint="eastAsia" w:ascii="仿宋" w:hAnsi="仿宋" w:eastAsia="仿宋" w:cs="仿宋"/>
                <w:sz w:val="22"/>
                <w:szCs w:val="22"/>
                <w:highlight w:val="none"/>
              </w:rPr>
              <w:t>评分因素及权重</w:t>
            </w:r>
          </w:p>
        </w:tc>
        <w:tc>
          <w:tcPr>
            <w:tcW w:w="767" w:type="dxa"/>
            <w:vAlign w:val="center"/>
          </w:tcPr>
          <w:p w14:paraId="05B2F757">
            <w:pPr>
              <w:keepNext w:val="0"/>
              <w:keepLines w:val="0"/>
              <w:widowControl w:val="0"/>
              <w:suppressLineNumbers w:val="0"/>
              <w:bidi w:val="0"/>
              <w:spacing w:before="0" w:beforeAutospacing="0" w:after="0" w:afterAutospacing="0" w:line="240" w:lineRule="auto"/>
              <w:ind w:left="0" w:right="0"/>
              <w:jc w:val="center"/>
              <w:rPr>
                <w:rFonts w:hint="eastAsia" w:ascii="仿宋" w:hAnsi="仿宋" w:eastAsia="仿宋" w:cs="仿宋"/>
                <w:sz w:val="22"/>
                <w:szCs w:val="22"/>
                <w:highlight w:val="none"/>
                <w:vertAlign w:val="baseline"/>
              </w:rPr>
            </w:pPr>
            <w:r>
              <w:rPr>
                <w:rFonts w:hint="eastAsia" w:ascii="仿宋" w:hAnsi="仿宋" w:eastAsia="仿宋" w:cs="仿宋"/>
                <w:sz w:val="22"/>
                <w:szCs w:val="22"/>
                <w:highlight w:val="none"/>
              </w:rPr>
              <w:t>分值</w:t>
            </w:r>
          </w:p>
        </w:tc>
        <w:tc>
          <w:tcPr>
            <w:tcW w:w="5437" w:type="dxa"/>
            <w:vAlign w:val="center"/>
          </w:tcPr>
          <w:p w14:paraId="00BBE8BC">
            <w:pPr>
              <w:keepNext w:val="0"/>
              <w:keepLines w:val="0"/>
              <w:widowControl w:val="0"/>
              <w:suppressLineNumbers w:val="0"/>
              <w:bidi w:val="0"/>
              <w:spacing w:before="0" w:beforeAutospacing="0" w:after="0" w:afterAutospacing="0" w:line="240" w:lineRule="auto"/>
              <w:ind w:left="0" w:right="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评分标准</w:t>
            </w:r>
          </w:p>
          <w:p w14:paraId="7AC60043">
            <w:pPr>
              <w:keepNext w:val="0"/>
              <w:keepLines w:val="0"/>
              <w:widowControl w:val="0"/>
              <w:suppressLineNumbers w:val="0"/>
              <w:bidi w:val="0"/>
              <w:spacing w:before="0" w:beforeAutospacing="0" w:after="0" w:afterAutospacing="0" w:line="240" w:lineRule="auto"/>
              <w:ind w:left="0" w:right="0"/>
              <w:jc w:val="center"/>
              <w:rPr>
                <w:rFonts w:hint="eastAsia" w:ascii="仿宋" w:hAnsi="仿宋" w:eastAsia="仿宋" w:cs="仿宋"/>
                <w:sz w:val="22"/>
                <w:szCs w:val="22"/>
                <w:highlight w:val="none"/>
                <w:vertAlign w:val="baseline"/>
              </w:rPr>
            </w:pPr>
            <w:r>
              <w:rPr>
                <w:rFonts w:hint="eastAsia" w:ascii="仿宋" w:hAnsi="仿宋" w:eastAsia="仿宋" w:cs="仿宋"/>
                <w:sz w:val="22"/>
                <w:szCs w:val="22"/>
                <w:highlight w:val="none"/>
              </w:rPr>
              <w:t>价格 ：</w:t>
            </w: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0 分       商务及技术 ：</w:t>
            </w:r>
            <w:r>
              <w:rPr>
                <w:rFonts w:hint="eastAsia" w:ascii="仿宋" w:hAnsi="仿宋" w:eastAsia="仿宋" w:cs="仿宋"/>
                <w:sz w:val="22"/>
                <w:szCs w:val="22"/>
                <w:highlight w:val="none"/>
                <w:lang w:val="en-US" w:eastAsia="zh-CN"/>
              </w:rPr>
              <w:t>7</w:t>
            </w:r>
            <w:r>
              <w:rPr>
                <w:rFonts w:hint="eastAsia" w:ascii="仿宋" w:hAnsi="仿宋" w:eastAsia="仿宋" w:cs="仿宋"/>
                <w:sz w:val="22"/>
                <w:szCs w:val="22"/>
                <w:highlight w:val="none"/>
              </w:rPr>
              <w:t>0 分</w:t>
            </w:r>
          </w:p>
        </w:tc>
        <w:tc>
          <w:tcPr>
            <w:tcW w:w="1307" w:type="dxa"/>
            <w:vAlign w:val="center"/>
          </w:tcPr>
          <w:p w14:paraId="5CB7DD96">
            <w:pPr>
              <w:keepNext w:val="0"/>
              <w:keepLines w:val="0"/>
              <w:widowControl w:val="0"/>
              <w:suppressLineNumbers w:val="0"/>
              <w:bidi w:val="0"/>
              <w:spacing w:before="0" w:beforeAutospacing="0" w:after="0" w:afterAutospacing="0" w:line="240" w:lineRule="auto"/>
              <w:ind w:left="0" w:right="0"/>
              <w:jc w:val="center"/>
              <w:rPr>
                <w:rFonts w:hint="eastAsia" w:ascii="仿宋" w:hAnsi="仿宋" w:eastAsia="仿宋" w:cs="仿宋"/>
                <w:sz w:val="22"/>
                <w:szCs w:val="22"/>
                <w:highlight w:val="none"/>
                <w:vertAlign w:val="baseline"/>
              </w:rPr>
            </w:pPr>
            <w:r>
              <w:rPr>
                <w:rFonts w:hint="eastAsia" w:ascii="仿宋" w:hAnsi="仿宋" w:eastAsia="仿宋" w:cs="仿宋"/>
                <w:sz w:val="22"/>
                <w:szCs w:val="22"/>
                <w:highlight w:val="none"/>
              </w:rPr>
              <w:t>说明</w:t>
            </w:r>
          </w:p>
        </w:tc>
      </w:tr>
      <w:tr w14:paraId="4C5B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14:paraId="443BDE0F">
            <w:pPr>
              <w:keepNext w:val="0"/>
              <w:keepLines w:val="0"/>
              <w:widowControl w:val="0"/>
              <w:suppressLineNumbers w:val="0"/>
              <w:bidi w:val="0"/>
              <w:spacing w:before="0" w:beforeAutospacing="0" w:after="0" w:afterAutospacing="0" w:line="240" w:lineRule="auto"/>
              <w:ind w:left="0" w:right="0"/>
              <w:jc w:val="center"/>
              <w:rPr>
                <w:rFonts w:hint="eastAsia" w:ascii="仿宋" w:hAnsi="仿宋" w:eastAsia="仿宋" w:cs="仿宋"/>
                <w:sz w:val="22"/>
                <w:szCs w:val="22"/>
                <w:highlight w:val="none"/>
                <w:vertAlign w:val="baseline"/>
              </w:rPr>
            </w:pPr>
            <w:r>
              <w:rPr>
                <w:rFonts w:hint="eastAsia" w:ascii="仿宋" w:hAnsi="仿宋" w:eastAsia="仿宋" w:cs="仿宋"/>
                <w:sz w:val="22"/>
                <w:szCs w:val="22"/>
                <w:highlight w:val="none"/>
              </w:rPr>
              <w:t>价格评分标准</w:t>
            </w:r>
          </w:p>
        </w:tc>
        <w:tc>
          <w:tcPr>
            <w:tcW w:w="1086" w:type="dxa"/>
            <w:vAlign w:val="center"/>
          </w:tcPr>
          <w:p w14:paraId="5D478326">
            <w:pPr>
              <w:keepNext w:val="0"/>
              <w:keepLines w:val="0"/>
              <w:widowControl w:val="0"/>
              <w:suppressLineNumbers w:val="0"/>
              <w:bidi w:val="0"/>
              <w:spacing w:before="0" w:beforeAutospacing="0" w:after="0" w:afterAutospacing="0" w:line="240" w:lineRule="auto"/>
              <w:ind w:left="0" w:right="0"/>
              <w:jc w:val="center"/>
              <w:rPr>
                <w:rFonts w:hint="eastAsia" w:ascii="仿宋" w:hAnsi="仿宋" w:eastAsia="仿宋" w:cs="仿宋"/>
                <w:sz w:val="22"/>
                <w:szCs w:val="22"/>
                <w:highlight w:val="none"/>
              </w:rPr>
            </w:pPr>
          </w:p>
          <w:p w14:paraId="78C135D4">
            <w:pPr>
              <w:keepNext w:val="0"/>
              <w:keepLines w:val="0"/>
              <w:widowControl w:val="0"/>
              <w:suppressLineNumbers w:val="0"/>
              <w:bidi w:val="0"/>
              <w:spacing w:before="0" w:beforeAutospacing="0" w:after="0" w:afterAutospacing="0" w:line="240" w:lineRule="auto"/>
              <w:ind w:left="0" w:right="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投标</w:t>
            </w:r>
          </w:p>
          <w:p w14:paraId="48CD3615">
            <w:pPr>
              <w:keepNext w:val="0"/>
              <w:keepLines w:val="0"/>
              <w:widowControl w:val="0"/>
              <w:suppressLineNumbers w:val="0"/>
              <w:bidi w:val="0"/>
              <w:spacing w:before="0" w:beforeAutospacing="0" w:after="0" w:afterAutospacing="0" w:line="240" w:lineRule="auto"/>
              <w:ind w:left="0" w:right="0"/>
              <w:jc w:val="center"/>
              <w:rPr>
                <w:rFonts w:hint="eastAsia" w:ascii="仿宋" w:hAnsi="仿宋" w:eastAsia="仿宋" w:cs="仿宋"/>
                <w:sz w:val="22"/>
                <w:szCs w:val="22"/>
                <w:highlight w:val="none"/>
                <w:vertAlign w:val="baseline"/>
              </w:rPr>
            </w:pPr>
            <w:r>
              <w:rPr>
                <w:rFonts w:hint="eastAsia" w:ascii="仿宋" w:hAnsi="仿宋" w:eastAsia="仿宋" w:cs="仿宋"/>
                <w:sz w:val="22"/>
                <w:szCs w:val="22"/>
                <w:highlight w:val="none"/>
              </w:rPr>
              <w:t>报价</w:t>
            </w:r>
          </w:p>
        </w:tc>
        <w:tc>
          <w:tcPr>
            <w:tcW w:w="767" w:type="dxa"/>
            <w:vAlign w:val="center"/>
          </w:tcPr>
          <w:p w14:paraId="77542DDE">
            <w:pPr>
              <w:keepNext w:val="0"/>
              <w:keepLines w:val="0"/>
              <w:widowControl w:val="0"/>
              <w:suppressLineNumbers w:val="0"/>
              <w:bidi w:val="0"/>
              <w:spacing w:before="0" w:beforeAutospacing="0" w:after="0" w:afterAutospacing="0" w:line="240" w:lineRule="auto"/>
              <w:ind w:left="0" w:right="0"/>
              <w:jc w:val="center"/>
              <w:rPr>
                <w:rFonts w:hint="eastAsia" w:ascii="仿宋" w:hAnsi="仿宋" w:eastAsia="仿宋" w:cs="仿宋"/>
                <w:sz w:val="22"/>
                <w:szCs w:val="22"/>
                <w:highlight w:val="none"/>
              </w:rPr>
            </w:pPr>
          </w:p>
          <w:p w14:paraId="0DEC9156">
            <w:pPr>
              <w:keepNext w:val="0"/>
              <w:keepLines w:val="0"/>
              <w:widowControl w:val="0"/>
              <w:suppressLineNumbers w:val="0"/>
              <w:bidi w:val="0"/>
              <w:spacing w:before="0" w:beforeAutospacing="0" w:after="0" w:afterAutospacing="0" w:line="240" w:lineRule="auto"/>
              <w:ind w:left="0" w:right="0"/>
              <w:jc w:val="center"/>
              <w:rPr>
                <w:rFonts w:hint="eastAsia" w:ascii="仿宋" w:hAnsi="仿宋" w:eastAsia="仿宋" w:cs="仿宋"/>
                <w:sz w:val="22"/>
                <w:szCs w:val="22"/>
                <w:highlight w:val="none"/>
                <w:vertAlign w:val="baseline"/>
              </w:rPr>
            </w:pP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0</w:t>
            </w:r>
          </w:p>
        </w:tc>
        <w:tc>
          <w:tcPr>
            <w:tcW w:w="5437" w:type="dxa"/>
            <w:vAlign w:val="top"/>
          </w:tcPr>
          <w:p w14:paraId="6E0280FD">
            <w:pPr>
              <w:keepNext w:val="0"/>
              <w:keepLines w:val="0"/>
              <w:widowControl w:val="0"/>
              <w:suppressLineNumbers w:val="0"/>
              <w:bidi w:val="0"/>
              <w:spacing w:before="0" w:beforeAutospacing="0" w:after="0" w:afterAutospacing="0" w:line="240" w:lineRule="auto"/>
              <w:ind w:left="0" w:right="0"/>
              <w:jc w:val="both"/>
              <w:rPr>
                <w:rFonts w:hint="eastAsia" w:ascii="仿宋" w:hAnsi="仿宋" w:eastAsia="仿宋" w:cs="仿宋"/>
                <w:sz w:val="22"/>
                <w:szCs w:val="22"/>
                <w:highlight w:val="none"/>
                <w:vertAlign w:val="baseline"/>
              </w:rPr>
            </w:pPr>
            <w:r>
              <w:rPr>
                <w:rFonts w:hint="eastAsia" w:ascii="仿宋" w:hAnsi="仿宋" w:eastAsia="仿宋" w:cs="仿宋"/>
                <w:sz w:val="22"/>
                <w:szCs w:val="22"/>
                <w:highlight w:val="none"/>
              </w:rPr>
              <w:t>完全满足招标文件参数的投标报价中的最</w:t>
            </w:r>
            <w:r>
              <w:rPr>
                <w:rFonts w:hint="eastAsia" w:ascii="仿宋" w:hAnsi="仿宋" w:eastAsia="仿宋" w:cs="仿宋"/>
                <w:sz w:val="22"/>
                <w:szCs w:val="22"/>
                <w:highlight w:val="none"/>
                <w:lang w:eastAsia="zh-CN"/>
              </w:rPr>
              <w:t>高下浮率的</w:t>
            </w:r>
            <w:r>
              <w:rPr>
                <w:rFonts w:hint="eastAsia" w:ascii="仿宋" w:hAnsi="仿宋" w:eastAsia="仿宋" w:cs="仿宋"/>
                <w:sz w:val="22"/>
                <w:szCs w:val="22"/>
                <w:highlight w:val="none"/>
              </w:rPr>
              <w:t>为评审基准价</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按照下列公式计算每个供应商的投标价格得分。投标报价得分＝（基准价/投标报价）×价格权重 × 100。</w:t>
            </w:r>
          </w:p>
        </w:tc>
        <w:tc>
          <w:tcPr>
            <w:tcW w:w="1307" w:type="dxa"/>
            <w:vAlign w:val="center"/>
          </w:tcPr>
          <w:p w14:paraId="34AEE155">
            <w:pPr>
              <w:keepNext w:val="0"/>
              <w:keepLines w:val="0"/>
              <w:widowControl w:val="0"/>
              <w:suppressLineNumbers w:val="0"/>
              <w:bidi w:val="0"/>
              <w:spacing w:before="0" w:beforeAutospacing="0" w:after="0" w:afterAutospacing="0" w:line="240" w:lineRule="auto"/>
              <w:ind w:left="0" w:right="0"/>
              <w:jc w:val="center"/>
              <w:rPr>
                <w:rFonts w:hint="eastAsia" w:ascii="仿宋" w:hAnsi="仿宋" w:eastAsia="仿宋" w:cs="仿宋"/>
                <w:sz w:val="22"/>
                <w:szCs w:val="22"/>
                <w:highlight w:val="none"/>
                <w:vertAlign w:val="baseline"/>
              </w:rPr>
            </w:pPr>
            <w:r>
              <w:rPr>
                <w:rFonts w:hint="eastAsia" w:ascii="仿宋" w:hAnsi="仿宋" w:eastAsia="仿宋" w:cs="仿宋"/>
                <w:sz w:val="22"/>
                <w:szCs w:val="22"/>
                <w:highlight w:val="none"/>
              </w:rPr>
              <w:t>投标报价</w:t>
            </w:r>
            <w:r>
              <w:rPr>
                <w:rFonts w:hint="eastAsia" w:ascii="仿宋" w:hAnsi="仿宋" w:eastAsia="仿宋" w:cs="仿宋"/>
                <w:sz w:val="22"/>
                <w:szCs w:val="22"/>
                <w:highlight w:val="none"/>
                <w:lang w:val="en-US" w:eastAsia="zh-CN"/>
              </w:rPr>
              <w:t>不得</w:t>
            </w:r>
            <w:r>
              <w:rPr>
                <w:rFonts w:hint="eastAsia" w:ascii="仿宋" w:hAnsi="仿宋" w:eastAsia="仿宋" w:cs="仿宋"/>
                <w:sz w:val="22"/>
                <w:szCs w:val="22"/>
                <w:highlight w:val="none"/>
              </w:rPr>
              <w:t xml:space="preserve">超过采购预算 </w:t>
            </w:r>
          </w:p>
        </w:tc>
      </w:tr>
      <w:tr w14:paraId="6688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restart"/>
            <w:shd w:val="clear" w:color="auto" w:fill="auto"/>
            <w:vAlign w:val="center"/>
          </w:tcPr>
          <w:p w14:paraId="3A41F70E">
            <w:pPr>
              <w:keepNext w:val="0"/>
              <w:keepLines w:val="0"/>
              <w:widowControl w:val="0"/>
              <w:suppressLineNumbers w:val="0"/>
              <w:bidi w:val="0"/>
              <w:spacing w:before="0" w:beforeAutospacing="0" w:after="0" w:afterAutospacing="0" w:line="240" w:lineRule="auto"/>
              <w:ind w:left="0" w:right="0"/>
              <w:jc w:val="center"/>
              <w:rPr>
                <w:rFonts w:hint="eastAsia" w:ascii="仿宋" w:hAnsi="仿宋" w:eastAsia="仿宋" w:cs="仿宋"/>
                <w:snapToGrid w:val="0"/>
                <w:color w:val="000000"/>
                <w:kern w:val="0"/>
                <w:sz w:val="22"/>
                <w:szCs w:val="22"/>
                <w:highlight w:val="none"/>
                <w:lang w:val="en-US" w:eastAsia="en-US" w:bidi="ar-SA"/>
              </w:rPr>
            </w:pPr>
            <w:r>
              <w:rPr>
                <w:rFonts w:hint="eastAsia" w:ascii="仿宋" w:hAnsi="仿宋" w:eastAsia="仿宋" w:cs="仿宋"/>
                <w:sz w:val="22"/>
                <w:szCs w:val="22"/>
                <w:highlight w:val="none"/>
              </w:rPr>
              <w:t>商务及技术评 分标准</w:t>
            </w:r>
          </w:p>
        </w:tc>
        <w:tc>
          <w:tcPr>
            <w:tcW w:w="1086" w:type="dxa"/>
            <w:shd w:val="clear" w:color="auto" w:fill="auto"/>
            <w:vAlign w:val="center"/>
          </w:tcPr>
          <w:p w14:paraId="315932E8">
            <w:pPr>
              <w:keepNext w:val="0"/>
              <w:keepLines w:val="0"/>
              <w:widowControl w:val="0"/>
              <w:suppressLineNumbers w:val="0"/>
              <w:bidi w:val="0"/>
              <w:spacing w:before="0" w:beforeAutospacing="0" w:after="0" w:afterAutospacing="0" w:line="240" w:lineRule="auto"/>
              <w:ind w:left="0" w:right="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项目</w:t>
            </w:r>
          </w:p>
          <w:p w14:paraId="73C4BBD7">
            <w:pPr>
              <w:keepNext w:val="0"/>
              <w:keepLines w:val="0"/>
              <w:widowControl w:val="0"/>
              <w:suppressLineNumbers w:val="0"/>
              <w:bidi w:val="0"/>
              <w:spacing w:before="0" w:beforeAutospacing="0" w:after="0" w:afterAutospacing="0" w:line="240" w:lineRule="auto"/>
              <w:ind w:left="0" w:right="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 xml:space="preserve">实施 </w:t>
            </w:r>
          </w:p>
          <w:p w14:paraId="4BABCCF6">
            <w:pPr>
              <w:keepNext w:val="0"/>
              <w:keepLines w:val="0"/>
              <w:widowControl w:val="0"/>
              <w:suppressLineNumbers w:val="0"/>
              <w:bidi w:val="0"/>
              <w:spacing w:before="0" w:beforeAutospacing="0" w:after="0" w:afterAutospacing="0" w:line="240" w:lineRule="auto"/>
              <w:ind w:left="0" w:right="0"/>
              <w:jc w:val="center"/>
              <w:rPr>
                <w:rFonts w:hint="eastAsia" w:ascii="仿宋" w:hAnsi="仿宋" w:eastAsia="仿宋" w:cs="仿宋"/>
                <w:snapToGrid w:val="0"/>
                <w:color w:val="000000"/>
                <w:kern w:val="0"/>
                <w:sz w:val="22"/>
                <w:szCs w:val="22"/>
                <w:highlight w:val="none"/>
                <w:lang w:val="en-US" w:eastAsia="en-US" w:bidi="ar-SA"/>
              </w:rPr>
            </w:pPr>
            <w:r>
              <w:rPr>
                <w:rFonts w:hint="eastAsia" w:ascii="仿宋" w:hAnsi="仿宋" w:eastAsia="仿宋" w:cs="仿宋"/>
                <w:sz w:val="22"/>
                <w:szCs w:val="22"/>
                <w:highlight w:val="none"/>
              </w:rPr>
              <w:t>方案</w:t>
            </w:r>
          </w:p>
        </w:tc>
        <w:tc>
          <w:tcPr>
            <w:tcW w:w="767" w:type="dxa"/>
            <w:shd w:val="clear" w:color="auto" w:fill="auto"/>
            <w:vAlign w:val="center"/>
          </w:tcPr>
          <w:p w14:paraId="48733CF8">
            <w:pPr>
              <w:keepNext w:val="0"/>
              <w:keepLines w:val="0"/>
              <w:widowControl w:val="0"/>
              <w:suppressLineNumbers w:val="0"/>
              <w:bidi w:val="0"/>
              <w:spacing w:before="0" w:beforeAutospacing="0" w:after="0" w:afterAutospacing="0" w:line="240" w:lineRule="auto"/>
              <w:ind w:left="0" w:right="0"/>
              <w:jc w:val="center"/>
              <w:rPr>
                <w:rFonts w:hint="eastAsia" w:ascii="仿宋" w:hAnsi="仿宋" w:eastAsia="仿宋" w:cs="仿宋"/>
                <w:snapToGrid w:val="0"/>
                <w:color w:val="000000"/>
                <w:kern w:val="0"/>
                <w:sz w:val="22"/>
                <w:szCs w:val="22"/>
                <w:highlight w:val="none"/>
                <w:lang w:val="en-US" w:eastAsia="zh-CN" w:bidi="ar-SA"/>
              </w:rPr>
            </w:pPr>
            <w:r>
              <w:rPr>
                <w:rFonts w:hint="eastAsia" w:ascii="仿宋" w:hAnsi="仿宋" w:eastAsia="仿宋" w:cs="仿宋"/>
                <w:sz w:val="22"/>
                <w:szCs w:val="22"/>
                <w:highlight w:val="none"/>
              </w:rPr>
              <w:t>1</w:t>
            </w:r>
            <w:r>
              <w:rPr>
                <w:rFonts w:hint="eastAsia" w:ascii="仿宋" w:hAnsi="仿宋" w:eastAsia="仿宋" w:cs="仿宋"/>
                <w:sz w:val="22"/>
                <w:szCs w:val="22"/>
                <w:highlight w:val="none"/>
                <w:lang w:val="en-US" w:eastAsia="zh-CN"/>
              </w:rPr>
              <w:t>5</w:t>
            </w:r>
          </w:p>
        </w:tc>
        <w:tc>
          <w:tcPr>
            <w:tcW w:w="5437" w:type="dxa"/>
            <w:shd w:val="clear" w:color="auto" w:fill="auto"/>
            <w:vAlign w:val="top"/>
          </w:tcPr>
          <w:p w14:paraId="331AA602">
            <w:pPr>
              <w:keepNext w:val="0"/>
              <w:keepLines w:val="0"/>
              <w:widowControl w:val="0"/>
              <w:suppressLineNumbers w:val="0"/>
              <w:bidi w:val="0"/>
              <w:spacing w:before="0" w:beforeAutospacing="0" w:after="0" w:afterAutospacing="0" w:line="240" w:lineRule="auto"/>
              <w:ind w:left="0" w:right="0"/>
              <w:jc w:val="both"/>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根据供应商针对本项目提供实施方案，至少包含：1、管理制度建设方案（含日常管理）；2、服务质量控制体系及措施；3、正规进货渠道、货源供应渠道链的货源保障方案；4、实施进度计划方案；5、仓储能力及出入库管理方案；6、配送交接方案；7、验收方案；8、服务人员管理方案。</w:t>
            </w:r>
          </w:p>
          <w:p w14:paraId="001E97AD">
            <w:pPr>
              <w:keepNext w:val="0"/>
              <w:keepLines w:val="0"/>
              <w:widowControl w:val="0"/>
              <w:suppressLineNumbers w:val="0"/>
              <w:bidi w:val="0"/>
              <w:spacing w:before="0" w:beforeAutospacing="0" w:after="0" w:afterAutospacing="0" w:line="240" w:lineRule="auto"/>
              <w:ind w:left="0" w:right="0"/>
              <w:jc w:val="both"/>
              <w:rPr>
                <w:rFonts w:hint="eastAsia" w:ascii="仿宋" w:hAnsi="仿宋" w:eastAsia="仿宋" w:cs="仿宋"/>
                <w:snapToGrid w:val="0"/>
                <w:color w:val="000000"/>
                <w:kern w:val="0"/>
                <w:sz w:val="22"/>
                <w:szCs w:val="22"/>
                <w:highlight w:val="none"/>
                <w:lang w:val="en-US" w:eastAsia="en-US" w:bidi="ar-SA"/>
              </w:rPr>
            </w:pPr>
            <w:r>
              <w:rPr>
                <w:rFonts w:hint="eastAsia" w:ascii="仿宋" w:hAnsi="仿宋" w:eastAsia="仿宋" w:cs="仿宋"/>
                <w:sz w:val="22"/>
                <w:szCs w:val="22"/>
                <w:highlight w:val="none"/>
              </w:rPr>
              <w:t>方案贴合本项目实际情况</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逻辑清晰</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方案内容全面</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完全满足项目采购需求的得</w:t>
            </w:r>
            <w:r>
              <w:rPr>
                <w:rFonts w:hint="eastAsia" w:ascii="仿宋" w:hAnsi="仿宋" w:eastAsia="仿宋" w:cs="仿宋"/>
                <w:sz w:val="22"/>
                <w:szCs w:val="22"/>
                <w:highlight w:val="none"/>
                <w:lang w:val="en-US" w:eastAsia="zh-CN"/>
              </w:rPr>
              <w:t>15</w:t>
            </w:r>
            <w:r>
              <w:rPr>
                <w:rFonts w:hint="eastAsia" w:ascii="仿宋" w:hAnsi="仿宋" w:eastAsia="仿宋" w:cs="仿宋"/>
                <w:sz w:val="22"/>
                <w:szCs w:val="22"/>
                <w:highlight w:val="none"/>
              </w:rPr>
              <w:t>分 ；其中缺项漏项或内容不全面或内容不具体或文字表述不清晰或与项目内容无关的</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每有一项扣</w:t>
            </w: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分</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扣完为止。</w:t>
            </w:r>
          </w:p>
        </w:tc>
        <w:tc>
          <w:tcPr>
            <w:tcW w:w="1307" w:type="dxa"/>
          </w:tcPr>
          <w:p w14:paraId="3CA91349">
            <w:pPr>
              <w:keepNext w:val="0"/>
              <w:keepLines w:val="0"/>
              <w:widowControl w:val="0"/>
              <w:suppressLineNumbers w:val="0"/>
              <w:bidi w:val="0"/>
              <w:spacing w:before="0" w:beforeAutospacing="0" w:after="0" w:afterAutospacing="0" w:line="240" w:lineRule="auto"/>
              <w:ind w:left="0" w:right="0"/>
              <w:rPr>
                <w:rFonts w:hint="eastAsia" w:ascii="仿宋" w:hAnsi="仿宋" w:eastAsia="仿宋" w:cs="仿宋"/>
                <w:sz w:val="22"/>
                <w:szCs w:val="22"/>
                <w:highlight w:val="none"/>
                <w:vertAlign w:val="baseline"/>
              </w:rPr>
            </w:pPr>
          </w:p>
        </w:tc>
      </w:tr>
      <w:tr w14:paraId="13EF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tcPr>
          <w:p w14:paraId="0E8E36E4">
            <w:pPr>
              <w:keepNext w:val="0"/>
              <w:keepLines w:val="0"/>
              <w:widowControl w:val="0"/>
              <w:suppressLineNumbers w:val="0"/>
              <w:bidi w:val="0"/>
              <w:spacing w:before="0" w:beforeAutospacing="0" w:after="0" w:afterAutospacing="0" w:line="240" w:lineRule="auto"/>
              <w:ind w:left="0" w:right="0"/>
              <w:rPr>
                <w:rFonts w:hint="eastAsia" w:ascii="仿宋" w:hAnsi="仿宋" w:eastAsia="仿宋" w:cs="仿宋"/>
                <w:sz w:val="22"/>
                <w:szCs w:val="22"/>
                <w:highlight w:val="none"/>
                <w:vertAlign w:val="baseline"/>
              </w:rPr>
            </w:pPr>
          </w:p>
        </w:tc>
        <w:tc>
          <w:tcPr>
            <w:tcW w:w="1086" w:type="dxa"/>
            <w:shd w:val="clear" w:color="auto" w:fill="auto"/>
            <w:vAlign w:val="center"/>
          </w:tcPr>
          <w:p w14:paraId="5A28F58B">
            <w:pPr>
              <w:keepNext w:val="0"/>
              <w:keepLines w:val="0"/>
              <w:widowControl w:val="0"/>
              <w:suppressLineNumbers w:val="0"/>
              <w:bidi w:val="0"/>
              <w:spacing w:before="0" w:beforeAutospacing="0" w:after="0" w:afterAutospacing="0" w:line="240" w:lineRule="auto"/>
              <w:ind w:left="0" w:right="0"/>
              <w:jc w:val="center"/>
              <w:rPr>
                <w:rFonts w:hint="eastAsia" w:ascii="仿宋" w:hAnsi="仿宋" w:eastAsia="仿宋" w:cs="仿宋"/>
                <w:snapToGrid w:val="0"/>
                <w:color w:val="000000"/>
                <w:kern w:val="0"/>
                <w:sz w:val="22"/>
                <w:szCs w:val="22"/>
                <w:highlight w:val="none"/>
                <w:lang w:val="en-US" w:eastAsia="zh-CN" w:bidi="ar-SA"/>
              </w:rPr>
            </w:pPr>
            <w:r>
              <w:rPr>
                <w:rFonts w:hint="eastAsia" w:ascii="仿宋" w:hAnsi="仿宋" w:eastAsia="仿宋" w:cs="仿宋"/>
                <w:sz w:val="22"/>
                <w:szCs w:val="22"/>
                <w:highlight w:val="none"/>
              </w:rPr>
              <w:t>配送</w:t>
            </w:r>
            <w:r>
              <w:rPr>
                <w:rFonts w:hint="eastAsia" w:ascii="仿宋" w:hAnsi="仿宋" w:eastAsia="仿宋" w:cs="仿宋"/>
                <w:sz w:val="22"/>
                <w:szCs w:val="22"/>
                <w:highlight w:val="none"/>
                <w:lang w:val="en-US" w:eastAsia="zh-CN"/>
              </w:rPr>
              <w:t>服务</w:t>
            </w:r>
            <w:r>
              <w:rPr>
                <w:rFonts w:hint="eastAsia" w:ascii="仿宋" w:hAnsi="仿宋" w:eastAsia="仿宋" w:cs="仿宋"/>
                <w:sz w:val="22"/>
                <w:szCs w:val="22"/>
                <w:highlight w:val="none"/>
              </w:rPr>
              <w:t>方案</w:t>
            </w:r>
          </w:p>
        </w:tc>
        <w:tc>
          <w:tcPr>
            <w:tcW w:w="767" w:type="dxa"/>
            <w:shd w:val="clear" w:color="auto" w:fill="auto"/>
            <w:vAlign w:val="center"/>
          </w:tcPr>
          <w:p w14:paraId="75BBACE0">
            <w:pPr>
              <w:keepNext w:val="0"/>
              <w:keepLines w:val="0"/>
              <w:widowControl w:val="0"/>
              <w:suppressLineNumbers w:val="0"/>
              <w:bidi w:val="0"/>
              <w:spacing w:before="0" w:beforeAutospacing="0" w:after="0" w:afterAutospacing="0" w:line="240" w:lineRule="auto"/>
              <w:ind w:left="0" w:right="0"/>
              <w:jc w:val="center"/>
              <w:rPr>
                <w:rFonts w:hint="eastAsia" w:ascii="仿宋" w:hAnsi="仿宋" w:eastAsia="仿宋" w:cs="仿宋"/>
                <w:snapToGrid w:val="0"/>
                <w:color w:val="000000"/>
                <w:kern w:val="0"/>
                <w:sz w:val="22"/>
                <w:szCs w:val="22"/>
                <w:highlight w:val="none"/>
                <w:lang w:val="en-US" w:eastAsia="zh-CN" w:bidi="ar-SA"/>
              </w:rPr>
            </w:pPr>
            <w:r>
              <w:rPr>
                <w:rFonts w:hint="eastAsia" w:ascii="仿宋" w:hAnsi="仿宋" w:eastAsia="仿宋" w:cs="仿宋"/>
                <w:sz w:val="22"/>
                <w:szCs w:val="22"/>
                <w:highlight w:val="none"/>
                <w:lang w:val="en-US" w:eastAsia="zh-CN"/>
              </w:rPr>
              <w:t>8</w:t>
            </w:r>
          </w:p>
        </w:tc>
        <w:tc>
          <w:tcPr>
            <w:tcW w:w="5437" w:type="dxa"/>
            <w:shd w:val="clear" w:color="auto" w:fill="auto"/>
            <w:vAlign w:val="top"/>
          </w:tcPr>
          <w:p w14:paraId="5A7D8FA8">
            <w:pPr>
              <w:keepNext w:val="0"/>
              <w:keepLines w:val="0"/>
              <w:widowControl w:val="0"/>
              <w:suppressLineNumbers w:val="0"/>
              <w:bidi w:val="0"/>
              <w:spacing w:before="0" w:beforeAutospacing="0" w:after="0" w:afterAutospacing="0" w:line="240" w:lineRule="auto"/>
              <w:ind w:left="0" w:right="0"/>
              <w:jc w:val="both"/>
              <w:rPr>
                <w:rFonts w:hint="eastAsia" w:ascii="仿宋" w:hAnsi="仿宋" w:eastAsia="仿宋" w:cs="仿宋"/>
                <w:snapToGrid w:val="0"/>
                <w:color w:val="000000"/>
                <w:kern w:val="0"/>
                <w:sz w:val="22"/>
                <w:szCs w:val="22"/>
                <w:highlight w:val="none"/>
                <w:lang w:val="en-US" w:eastAsia="en-US" w:bidi="ar-SA"/>
              </w:rPr>
            </w:pPr>
            <w:r>
              <w:rPr>
                <w:rFonts w:hint="eastAsia" w:ascii="仿宋" w:hAnsi="仿宋" w:eastAsia="仿宋" w:cs="仿宋"/>
                <w:sz w:val="22"/>
                <w:szCs w:val="22"/>
                <w:highlight w:val="none"/>
              </w:rPr>
              <w:t>投标人需提供</w:t>
            </w:r>
            <w:r>
              <w:rPr>
                <w:rFonts w:hint="eastAsia" w:ascii="仿宋" w:hAnsi="仿宋" w:eastAsia="仿宋" w:cs="仿宋"/>
                <w:sz w:val="22"/>
                <w:szCs w:val="22"/>
                <w:highlight w:val="none"/>
                <w:lang w:val="en-US" w:eastAsia="zh-CN"/>
              </w:rPr>
              <w:t>完整的</w:t>
            </w:r>
            <w:r>
              <w:rPr>
                <w:rFonts w:hint="eastAsia" w:ascii="仿宋" w:hAnsi="仿宋" w:eastAsia="仿宋" w:cs="仿宋"/>
                <w:sz w:val="22"/>
                <w:szCs w:val="22"/>
                <w:highlight w:val="none"/>
              </w:rPr>
              <w:t>配送服务方案（</w:t>
            </w:r>
            <w:r>
              <w:rPr>
                <w:rFonts w:hint="eastAsia" w:ascii="仿宋" w:hAnsi="仿宋" w:eastAsia="仿宋" w:cs="仿宋"/>
                <w:sz w:val="22"/>
                <w:szCs w:val="22"/>
                <w:highlight w:val="none"/>
                <w:lang w:val="en-US" w:eastAsia="zh-CN"/>
              </w:rPr>
              <w:t>至少</w:t>
            </w:r>
            <w:r>
              <w:rPr>
                <w:rFonts w:hint="eastAsia" w:ascii="仿宋" w:hAnsi="仿宋" w:eastAsia="仿宋" w:cs="仿宋"/>
                <w:sz w:val="22"/>
                <w:szCs w:val="22"/>
                <w:highlight w:val="none"/>
              </w:rPr>
              <w:t>包含：</w:t>
            </w: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rPr>
              <w:t>配送方式及配送</w:t>
            </w:r>
            <w:r>
              <w:rPr>
                <w:rFonts w:hint="eastAsia" w:ascii="仿宋" w:hAnsi="仿宋" w:eastAsia="仿宋" w:cs="仿宋"/>
                <w:sz w:val="22"/>
                <w:szCs w:val="22"/>
                <w:highlight w:val="none"/>
                <w:lang w:val="en-US" w:eastAsia="zh-CN"/>
              </w:rPr>
              <w:t>过程中具体方案，2、</w:t>
            </w:r>
            <w:r>
              <w:rPr>
                <w:rFonts w:hint="eastAsia" w:ascii="仿宋" w:hAnsi="仿宋" w:eastAsia="仿宋" w:cs="仿宋"/>
                <w:sz w:val="22"/>
                <w:szCs w:val="22"/>
                <w:highlight w:val="none"/>
              </w:rPr>
              <w:t>不合格产品的退换</w:t>
            </w:r>
            <w:r>
              <w:rPr>
                <w:rFonts w:hint="eastAsia" w:ascii="仿宋" w:hAnsi="仿宋" w:eastAsia="仿宋" w:cs="仿宋"/>
                <w:sz w:val="22"/>
                <w:szCs w:val="22"/>
                <w:highlight w:val="none"/>
                <w:lang w:val="en-US" w:eastAsia="zh-CN"/>
              </w:rPr>
              <w:t>货</w:t>
            </w:r>
            <w:r>
              <w:rPr>
                <w:rFonts w:hint="eastAsia" w:ascii="仿宋" w:hAnsi="仿宋" w:eastAsia="仿宋" w:cs="仿宋"/>
                <w:sz w:val="22"/>
                <w:szCs w:val="22"/>
                <w:highlight w:val="none"/>
              </w:rPr>
              <w:t>方案</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配送</w:t>
            </w:r>
            <w:r>
              <w:rPr>
                <w:rFonts w:hint="eastAsia" w:ascii="仿宋" w:hAnsi="仿宋" w:eastAsia="仿宋" w:cs="仿宋"/>
                <w:sz w:val="22"/>
                <w:szCs w:val="22"/>
                <w:highlight w:val="none"/>
              </w:rPr>
              <w:t>食材安全保障措施</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4、</w:t>
            </w:r>
            <w:r>
              <w:rPr>
                <w:rFonts w:hint="eastAsia" w:ascii="仿宋" w:hAnsi="仿宋" w:eastAsia="仿宋" w:cs="仿宋"/>
                <w:sz w:val="22"/>
                <w:szCs w:val="22"/>
                <w:highlight w:val="none"/>
              </w:rPr>
              <w:t>食材保鲜的供货计划评标委员会根据项目实际情况</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有利于项目实施且资料详细完整的每提供一项得</w:t>
            </w: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分</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green"/>
              </w:rPr>
              <w:t>最高</w:t>
            </w:r>
            <w:r>
              <w:rPr>
                <w:rFonts w:hint="eastAsia" w:ascii="仿宋" w:hAnsi="仿宋" w:eastAsia="仿宋" w:cs="仿宋"/>
                <w:sz w:val="22"/>
                <w:szCs w:val="22"/>
                <w:highlight w:val="green"/>
                <w:lang w:val="en-US" w:eastAsia="zh-CN"/>
              </w:rPr>
              <w:t>8</w:t>
            </w:r>
            <w:r>
              <w:rPr>
                <w:rFonts w:hint="eastAsia" w:ascii="仿宋" w:hAnsi="仿宋" w:eastAsia="仿宋" w:cs="仿宋"/>
                <w:sz w:val="22"/>
                <w:szCs w:val="22"/>
                <w:highlight w:val="green"/>
              </w:rPr>
              <w:t>分</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提供不全或不提供不得分。</w:t>
            </w:r>
          </w:p>
        </w:tc>
        <w:tc>
          <w:tcPr>
            <w:tcW w:w="1307" w:type="dxa"/>
          </w:tcPr>
          <w:p w14:paraId="658377F7">
            <w:pPr>
              <w:keepNext w:val="0"/>
              <w:keepLines w:val="0"/>
              <w:widowControl w:val="0"/>
              <w:suppressLineNumbers w:val="0"/>
              <w:bidi w:val="0"/>
              <w:spacing w:before="0" w:beforeAutospacing="0" w:after="0" w:afterAutospacing="0" w:line="240" w:lineRule="auto"/>
              <w:ind w:left="0" w:right="0"/>
              <w:rPr>
                <w:rFonts w:hint="eastAsia" w:ascii="仿宋" w:hAnsi="仿宋" w:eastAsia="仿宋" w:cs="仿宋"/>
                <w:sz w:val="22"/>
                <w:szCs w:val="22"/>
                <w:highlight w:val="none"/>
                <w:vertAlign w:val="baseline"/>
              </w:rPr>
            </w:pPr>
          </w:p>
        </w:tc>
      </w:tr>
      <w:tr w14:paraId="2AFF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tcPr>
          <w:p w14:paraId="7D66BE9B">
            <w:pPr>
              <w:keepNext w:val="0"/>
              <w:keepLines w:val="0"/>
              <w:widowControl w:val="0"/>
              <w:suppressLineNumbers w:val="0"/>
              <w:bidi w:val="0"/>
              <w:spacing w:before="0" w:beforeAutospacing="0" w:after="0" w:afterAutospacing="0" w:line="240" w:lineRule="auto"/>
              <w:ind w:left="0" w:right="0"/>
              <w:rPr>
                <w:rFonts w:hint="eastAsia" w:ascii="仿宋" w:hAnsi="仿宋" w:eastAsia="仿宋" w:cs="仿宋"/>
                <w:sz w:val="22"/>
                <w:szCs w:val="22"/>
                <w:highlight w:val="none"/>
                <w:vertAlign w:val="baseline"/>
              </w:rPr>
            </w:pPr>
          </w:p>
        </w:tc>
        <w:tc>
          <w:tcPr>
            <w:tcW w:w="1086" w:type="dxa"/>
            <w:shd w:val="clear" w:color="auto" w:fill="auto"/>
            <w:vAlign w:val="center"/>
          </w:tcPr>
          <w:p w14:paraId="7794D1F7">
            <w:pPr>
              <w:keepNext w:val="0"/>
              <w:keepLines w:val="0"/>
              <w:widowControl w:val="0"/>
              <w:suppressLineNumbers w:val="0"/>
              <w:bidi w:val="0"/>
              <w:spacing w:before="0" w:beforeAutospacing="0" w:after="0" w:afterAutospacing="0" w:line="240" w:lineRule="auto"/>
              <w:ind w:left="0" w:right="0"/>
              <w:jc w:val="cente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配送</w:t>
            </w:r>
          </w:p>
          <w:p w14:paraId="775AD6B2">
            <w:pPr>
              <w:keepNext w:val="0"/>
              <w:keepLines w:val="0"/>
              <w:widowControl w:val="0"/>
              <w:suppressLineNumbers w:val="0"/>
              <w:bidi w:val="0"/>
              <w:spacing w:before="0" w:beforeAutospacing="0" w:after="0" w:afterAutospacing="0" w:line="240" w:lineRule="auto"/>
              <w:ind w:left="0" w:right="0"/>
              <w:jc w:val="center"/>
              <w:rPr>
                <w:rFonts w:hint="eastAsia" w:ascii="仿宋" w:hAnsi="仿宋" w:eastAsia="仿宋" w:cs="仿宋"/>
                <w:snapToGrid w:val="0"/>
                <w:color w:val="000000"/>
                <w:kern w:val="0"/>
                <w:sz w:val="22"/>
                <w:szCs w:val="22"/>
                <w:highlight w:val="none"/>
                <w:lang w:val="en-US" w:eastAsia="en-US" w:bidi="ar-SA"/>
              </w:rPr>
            </w:pPr>
            <w:r>
              <w:rPr>
                <w:rFonts w:hint="eastAsia" w:ascii="仿宋" w:hAnsi="仿宋" w:eastAsia="仿宋" w:cs="仿宋"/>
                <w:sz w:val="22"/>
                <w:szCs w:val="22"/>
                <w:highlight w:val="none"/>
                <w:lang w:val="en-US" w:eastAsia="zh-CN"/>
              </w:rPr>
              <w:t>能力</w:t>
            </w:r>
          </w:p>
        </w:tc>
        <w:tc>
          <w:tcPr>
            <w:tcW w:w="767" w:type="dxa"/>
            <w:shd w:val="clear" w:color="auto" w:fill="auto"/>
            <w:vAlign w:val="center"/>
          </w:tcPr>
          <w:p w14:paraId="1EC3B697">
            <w:pPr>
              <w:keepNext w:val="0"/>
              <w:keepLines w:val="0"/>
              <w:widowControl w:val="0"/>
              <w:suppressLineNumbers w:val="0"/>
              <w:bidi w:val="0"/>
              <w:spacing w:before="0" w:beforeAutospacing="0" w:after="0" w:afterAutospacing="0" w:line="240" w:lineRule="auto"/>
              <w:ind w:left="0" w:right="0"/>
              <w:jc w:val="center"/>
              <w:rPr>
                <w:rFonts w:hint="eastAsia" w:ascii="仿宋" w:hAnsi="仿宋" w:eastAsia="仿宋" w:cs="仿宋"/>
                <w:snapToGrid w:val="0"/>
                <w:color w:val="000000"/>
                <w:kern w:val="0"/>
                <w:sz w:val="22"/>
                <w:szCs w:val="22"/>
                <w:highlight w:val="none"/>
                <w:lang w:val="en-US" w:eastAsia="en-US" w:bidi="ar-SA"/>
              </w:rPr>
            </w:pPr>
            <w:r>
              <w:rPr>
                <w:rFonts w:hint="eastAsia" w:ascii="仿宋" w:hAnsi="仿宋" w:eastAsia="仿宋" w:cs="仿宋"/>
                <w:sz w:val="22"/>
                <w:szCs w:val="22"/>
                <w:highlight w:val="none"/>
                <w:lang w:val="en-US" w:eastAsia="zh-CN"/>
              </w:rPr>
              <w:t>15</w:t>
            </w:r>
          </w:p>
        </w:tc>
        <w:tc>
          <w:tcPr>
            <w:tcW w:w="5437" w:type="dxa"/>
            <w:shd w:val="clear" w:color="auto" w:fill="auto"/>
            <w:vAlign w:val="top"/>
          </w:tcPr>
          <w:p w14:paraId="4FE69718">
            <w:pPr>
              <w:keepNext w:val="0"/>
              <w:keepLines w:val="0"/>
              <w:widowControl w:val="0"/>
              <w:suppressLineNumbers w:val="0"/>
              <w:bidi w:val="0"/>
              <w:spacing w:before="0" w:beforeAutospacing="0" w:after="0" w:afterAutospacing="0" w:line="240" w:lineRule="auto"/>
              <w:ind w:left="0" w:right="0"/>
              <w:jc w:val="both"/>
              <w:rPr>
                <w:rFonts w:hint="eastAsia" w:ascii="仿宋" w:hAnsi="仿宋" w:eastAsia="仿宋" w:cs="仿宋"/>
                <w:snapToGrid w:val="0"/>
                <w:color w:val="000000"/>
                <w:kern w:val="0"/>
                <w:sz w:val="22"/>
                <w:szCs w:val="22"/>
                <w:highlight w:val="none"/>
                <w:lang w:val="en-US" w:eastAsia="en-US" w:bidi="ar-SA"/>
              </w:rPr>
            </w:pPr>
            <w:r>
              <w:rPr>
                <w:rFonts w:hint="eastAsia" w:ascii="仿宋" w:hAnsi="仿宋" w:eastAsia="仿宋" w:cs="仿宋"/>
                <w:sz w:val="22"/>
                <w:szCs w:val="22"/>
                <w:highlight w:val="none"/>
              </w:rPr>
              <w:t>投标人需提供普通运输车辆</w:t>
            </w:r>
            <w:r>
              <w:rPr>
                <w:rFonts w:hint="eastAsia" w:ascii="仿宋" w:hAnsi="仿宋" w:eastAsia="仿宋" w:cs="仿宋"/>
                <w:sz w:val="22"/>
                <w:szCs w:val="22"/>
                <w:highlight w:val="none"/>
                <w:lang w:val="en-US" w:eastAsia="zh-CN"/>
              </w:rPr>
              <w:t>9</w:t>
            </w:r>
            <w:r>
              <w:rPr>
                <w:rFonts w:hint="eastAsia" w:ascii="仿宋" w:hAnsi="仿宋" w:eastAsia="仿宋" w:cs="仿宋"/>
                <w:sz w:val="22"/>
                <w:szCs w:val="22"/>
                <w:highlight w:val="none"/>
              </w:rPr>
              <w:t>辆、冷藏车辆</w:t>
            </w:r>
            <w:r>
              <w:rPr>
                <w:rFonts w:hint="eastAsia" w:ascii="仿宋" w:hAnsi="仿宋" w:eastAsia="仿宋" w:cs="仿宋"/>
                <w:sz w:val="22"/>
                <w:szCs w:val="22"/>
                <w:highlight w:val="none"/>
                <w:lang w:val="en-US" w:eastAsia="zh-CN"/>
              </w:rPr>
              <w:t>6</w:t>
            </w:r>
            <w:r>
              <w:rPr>
                <w:rFonts w:hint="eastAsia" w:ascii="仿宋" w:hAnsi="仿宋" w:eastAsia="仿宋" w:cs="仿宋"/>
                <w:sz w:val="22"/>
                <w:szCs w:val="22"/>
                <w:highlight w:val="none"/>
              </w:rPr>
              <w:t>辆</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需</w:t>
            </w:r>
            <w:r>
              <w:rPr>
                <w:rFonts w:hint="eastAsia" w:ascii="仿宋" w:hAnsi="仿宋" w:eastAsia="仿宋" w:cs="仿宋"/>
                <w:sz w:val="22"/>
                <w:szCs w:val="22"/>
                <w:highlight w:val="none"/>
              </w:rPr>
              <w:t>提供相关证明材料</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包括但不限于</w:t>
            </w:r>
            <w:r>
              <w:rPr>
                <w:rFonts w:hint="eastAsia" w:ascii="仿宋" w:hAnsi="仿宋" w:eastAsia="仿宋" w:cs="仿宋"/>
                <w:sz w:val="22"/>
                <w:szCs w:val="22"/>
                <w:highlight w:val="none"/>
              </w:rPr>
              <w:t>车辆行驶证</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有效期内车辆保险</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车辆照片</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体现车牌号</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租赁车辆</w:t>
            </w:r>
            <w:r>
              <w:rPr>
                <w:rFonts w:hint="eastAsia" w:ascii="仿宋" w:hAnsi="仿宋" w:eastAsia="仿宋" w:cs="仿宋"/>
                <w:sz w:val="22"/>
                <w:szCs w:val="22"/>
                <w:highlight w:val="none"/>
                <w:lang w:val="en-US" w:eastAsia="zh-CN"/>
              </w:rPr>
              <w:t>需同时</w:t>
            </w:r>
            <w:r>
              <w:rPr>
                <w:rFonts w:hint="eastAsia" w:ascii="仿宋" w:hAnsi="仿宋" w:eastAsia="仿宋" w:cs="仿宋"/>
                <w:sz w:val="22"/>
                <w:szCs w:val="22"/>
                <w:highlight w:val="none"/>
              </w:rPr>
              <w:t>提供租赁合同；</w:t>
            </w:r>
            <w:r>
              <w:rPr>
                <w:rFonts w:hint="eastAsia" w:ascii="仿宋" w:hAnsi="仿宋" w:eastAsia="仿宋" w:cs="仿宋"/>
                <w:sz w:val="22"/>
                <w:szCs w:val="22"/>
                <w:highlight w:val="none"/>
                <w:lang w:val="en-US" w:eastAsia="zh-CN"/>
              </w:rPr>
              <w:t>每辆车配备一名驾驶员，驾驶员需有</w:t>
            </w:r>
            <w:r>
              <w:rPr>
                <w:rFonts w:hint="eastAsia" w:ascii="仿宋" w:hAnsi="仿宋" w:eastAsia="仿宋" w:cs="仿宋"/>
                <w:sz w:val="22"/>
                <w:szCs w:val="22"/>
                <w:highlight w:val="none"/>
              </w:rPr>
              <w:t>有效期内的劳务合同</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驾驶证</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健康证</w:t>
            </w:r>
            <w:r>
              <w:rPr>
                <w:rFonts w:hint="eastAsia" w:ascii="仿宋" w:hAnsi="仿宋" w:eastAsia="仿宋" w:cs="仿宋"/>
                <w:sz w:val="22"/>
                <w:szCs w:val="22"/>
                <w:highlight w:val="none"/>
                <w:lang w:val="en-US" w:eastAsia="zh-CN"/>
              </w:rPr>
              <w:t>等</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资料</w:t>
            </w:r>
            <w:r>
              <w:rPr>
                <w:rFonts w:hint="eastAsia" w:ascii="仿宋" w:hAnsi="仿宋" w:eastAsia="仿宋" w:cs="仿宋"/>
                <w:sz w:val="22"/>
                <w:szCs w:val="22"/>
                <w:highlight w:val="none"/>
              </w:rPr>
              <w:t>配备齐全共计得</w:t>
            </w:r>
            <w:r>
              <w:rPr>
                <w:rFonts w:hint="eastAsia" w:ascii="仿宋" w:hAnsi="仿宋" w:eastAsia="仿宋" w:cs="仿宋"/>
                <w:sz w:val="22"/>
                <w:szCs w:val="22"/>
                <w:highlight w:val="none"/>
                <w:lang w:val="en-US" w:eastAsia="zh-CN"/>
              </w:rPr>
              <w:t>15</w:t>
            </w:r>
            <w:r>
              <w:rPr>
                <w:rFonts w:hint="eastAsia" w:ascii="仿宋" w:hAnsi="仿宋" w:eastAsia="仿宋" w:cs="仿宋"/>
                <w:sz w:val="22"/>
                <w:szCs w:val="22"/>
                <w:highlight w:val="none"/>
              </w:rPr>
              <w:t>分</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每漏</w:t>
            </w: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rPr>
              <w:t>项扣</w:t>
            </w: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rPr>
              <w:t>分</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扣完为止</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不提供不得分。</w:t>
            </w:r>
          </w:p>
        </w:tc>
        <w:tc>
          <w:tcPr>
            <w:tcW w:w="1307" w:type="dxa"/>
          </w:tcPr>
          <w:p w14:paraId="5E69AB4F">
            <w:pPr>
              <w:keepNext w:val="0"/>
              <w:keepLines w:val="0"/>
              <w:widowControl w:val="0"/>
              <w:suppressLineNumbers w:val="0"/>
              <w:bidi w:val="0"/>
              <w:spacing w:before="0" w:beforeAutospacing="0" w:after="0" w:afterAutospacing="0" w:line="240" w:lineRule="auto"/>
              <w:ind w:left="0" w:right="0"/>
              <w:rPr>
                <w:rFonts w:hint="eastAsia" w:ascii="仿宋" w:hAnsi="仿宋" w:eastAsia="仿宋" w:cs="仿宋"/>
                <w:sz w:val="22"/>
                <w:szCs w:val="22"/>
                <w:highlight w:val="none"/>
                <w:vertAlign w:val="baseline"/>
              </w:rPr>
            </w:pPr>
          </w:p>
        </w:tc>
      </w:tr>
      <w:tr w14:paraId="6C79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tcPr>
          <w:p w14:paraId="3F140388">
            <w:pPr>
              <w:keepNext w:val="0"/>
              <w:keepLines w:val="0"/>
              <w:widowControl w:val="0"/>
              <w:suppressLineNumbers w:val="0"/>
              <w:bidi w:val="0"/>
              <w:spacing w:before="0" w:beforeAutospacing="0" w:after="0" w:afterAutospacing="0" w:line="240" w:lineRule="auto"/>
              <w:ind w:left="0" w:right="0"/>
              <w:rPr>
                <w:rFonts w:hint="eastAsia" w:ascii="仿宋" w:hAnsi="仿宋" w:eastAsia="仿宋" w:cs="仿宋"/>
                <w:sz w:val="22"/>
                <w:szCs w:val="22"/>
                <w:highlight w:val="none"/>
                <w:vertAlign w:val="baseline"/>
              </w:rPr>
            </w:pPr>
          </w:p>
        </w:tc>
        <w:tc>
          <w:tcPr>
            <w:tcW w:w="1086" w:type="dxa"/>
            <w:shd w:val="clear" w:color="auto" w:fill="auto"/>
            <w:vAlign w:val="center"/>
          </w:tcPr>
          <w:p w14:paraId="1D2133B6">
            <w:pPr>
              <w:keepNext w:val="0"/>
              <w:keepLines w:val="0"/>
              <w:widowControl w:val="0"/>
              <w:suppressLineNumbers w:val="0"/>
              <w:bidi w:val="0"/>
              <w:spacing w:before="0" w:beforeAutospacing="0" w:after="0" w:afterAutospacing="0" w:line="240" w:lineRule="auto"/>
              <w:ind w:left="0" w:right="0"/>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应急</w:t>
            </w:r>
          </w:p>
          <w:p w14:paraId="2297967E">
            <w:pPr>
              <w:keepNext w:val="0"/>
              <w:keepLines w:val="0"/>
              <w:widowControl w:val="0"/>
              <w:suppressLineNumbers w:val="0"/>
              <w:bidi w:val="0"/>
              <w:spacing w:before="0" w:beforeAutospacing="0" w:after="0" w:afterAutospacing="0" w:line="240" w:lineRule="auto"/>
              <w:ind w:left="0" w:right="0"/>
              <w:jc w:val="center"/>
              <w:rPr>
                <w:rFonts w:hint="eastAsia" w:ascii="仿宋" w:hAnsi="仿宋" w:eastAsia="仿宋" w:cs="仿宋"/>
                <w:snapToGrid w:val="0"/>
                <w:color w:val="000000"/>
                <w:kern w:val="0"/>
                <w:sz w:val="22"/>
                <w:szCs w:val="22"/>
                <w:highlight w:val="none"/>
                <w:lang w:val="en-US" w:eastAsia="zh-CN" w:bidi="ar-SA"/>
              </w:rPr>
            </w:pPr>
            <w:r>
              <w:rPr>
                <w:rFonts w:hint="eastAsia" w:ascii="仿宋" w:hAnsi="仿宋" w:eastAsia="仿宋" w:cs="仿宋"/>
                <w:sz w:val="22"/>
                <w:szCs w:val="22"/>
                <w:highlight w:val="none"/>
              </w:rPr>
              <w:t>措施</w:t>
            </w:r>
          </w:p>
        </w:tc>
        <w:tc>
          <w:tcPr>
            <w:tcW w:w="767" w:type="dxa"/>
            <w:shd w:val="clear" w:color="auto" w:fill="auto"/>
            <w:vAlign w:val="center"/>
          </w:tcPr>
          <w:p w14:paraId="52B42B9E">
            <w:pPr>
              <w:keepNext w:val="0"/>
              <w:keepLines w:val="0"/>
              <w:widowControl w:val="0"/>
              <w:suppressLineNumbers w:val="0"/>
              <w:bidi w:val="0"/>
              <w:spacing w:before="0" w:beforeAutospacing="0" w:after="0" w:afterAutospacing="0" w:line="240" w:lineRule="auto"/>
              <w:ind w:left="0" w:right="0"/>
              <w:jc w:val="center"/>
              <w:rPr>
                <w:rFonts w:hint="eastAsia" w:ascii="仿宋" w:hAnsi="仿宋" w:eastAsia="仿宋" w:cs="仿宋"/>
                <w:snapToGrid w:val="0"/>
                <w:color w:val="000000"/>
                <w:kern w:val="0"/>
                <w:sz w:val="22"/>
                <w:szCs w:val="22"/>
                <w:highlight w:val="none"/>
                <w:lang w:val="en-US" w:eastAsia="zh-CN" w:bidi="ar-SA"/>
              </w:rPr>
            </w:pPr>
            <w:r>
              <w:rPr>
                <w:rFonts w:hint="eastAsia" w:ascii="仿宋" w:hAnsi="仿宋" w:eastAsia="仿宋" w:cs="仿宋"/>
                <w:sz w:val="22"/>
                <w:szCs w:val="22"/>
                <w:highlight w:val="none"/>
                <w:lang w:val="en-US" w:eastAsia="zh-CN"/>
              </w:rPr>
              <w:t>6</w:t>
            </w:r>
          </w:p>
        </w:tc>
        <w:tc>
          <w:tcPr>
            <w:tcW w:w="5437" w:type="dxa"/>
            <w:shd w:val="clear" w:color="auto" w:fill="auto"/>
            <w:vAlign w:val="top"/>
          </w:tcPr>
          <w:p w14:paraId="779A97CE">
            <w:pPr>
              <w:keepNext w:val="0"/>
              <w:keepLines w:val="0"/>
              <w:widowControl w:val="0"/>
              <w:suppressLineNumbers w:val="0"/>
              <w:bidi w:val="0"/>
              <w:spacing w:before="0" w:beforeAutospacing="0" w:after="0" w:afterAutospacing="0" w:line="240" w:lineRule="auto"/>
              <w:ind w:left="0" w:right="0"/>
              <w:jc w:val="both"/>
              <w:rPr>
                <w:rFonts w:hint="eastAsia" w:ascii="仿宋" w:hAnsi="仿宋" w:eastAsia="仿宋" w:cs="仿宋"/>
                <w:snapToGrid w:val="0"/>
                <w:color w:val="000000"/>
                <w:kern w:val="0"/>
                <w:sz w:val="22"/>
                <w:szCs w:val="22"/>
                <w:highlight w:val="none"/>
                <w:lang w:val="en-US" w:eastAsia="en-US" w:bidi="ar-SA"/>
              </w:rPr>
            </w:pPr>
            <w:r>
              <w:rPr>
                <w:rFonts w:hint="eastAsia" w:ascii="仿宋" w:hAnsi="仿宋" w:eastAsia="仿宋" w:cs="仿宋"/>
                <w:snapToGrid w:val="0"/>
                <w:color w:val="000000"/>
                <w:kern w:val="0"/>
                <w:sz w:val="22"/>
                <w:szCs w:val="22"/>
                <w:highlight w:val="none"/>
                <w:lang w:val="en-US" w:eastAsia="en-US" w:bidi="ar-SA"/>
              </w:rPr>
              <w:t>投标人需提供</w:t>
            </w:r>
            <w:r>
              <w:rPr>
                <w:rFonts w:hint="eastAsia" w:ascii="仿宋" w:hAnsi="仿宋" w:eastAsia="仿宋" w:cs="仿宋"/>
                <w:snapToGrid w:val="0"/>
                <w:color w:val="000000"/>
                <w:kern w:val="0"/>
                <w:sz w:val="22"/>
                <w:szCs w:val="22"/>
                <w:highlight w:val="none"/>
                <w:lang w:val="en-US" w:eastAsia="zh-CN" w:bidi="ar-SA"/>
              </w:rPr>
              <w:t>：</w:t>
            </w:r>
            <w:r>
              <w:rPr>
                <w:rFonts w:hint="eastAsia" w:ascii="仿宋" w:hAnsi="仿宋" w:eastAsia="仿宋" w:cs="仿宋"/>
                <w:snapToGrid w:val="0"/>
                <w:color w:val="000000"/>
                <w:kern w:val="0"/>
                <w:sz w:val="22"/>
                <w:szCs w:val="22"/>
                <w:highlight w:val="none"/>
                <w:lang w:val="en-US" w:eastAsia="en-US" w:bidi="ar-SA"/>
              </w:rPr>
              <w:t>1.发生自然灾害等不可抗力事件、2.车辆故障、3.季节性食材短缺、4、商品下单漏项，零星增补等问题、5.配送时间或配送需求量临时调整、6</w:t>
            </w:r>
            <w:r>
              <w:rPr>
                <w:rFonts w:hint="eastAsia" w:ascii="仿宋" w:hAnsi="仿宋" w:eastAsia="仿宋" w:cs="仿宋"/>
                <w:snapToGrid w:val="0"/>
                <w:color w:val="000000"/>
                <w:kern w:val="0"/>
                <w:sz w:val="22"/>
                <w:szCs w:val="22"/>
                <w:highlight w:val="none"/>
                <w:lang w:val="en-US" w:eastAsia="zh-CN" w:bidi="ar-SA"/>
              </w:rPr>
              <w:t>.</w:t>
            </w:r>
            <w:r>
              <w:rPr>
                <w:rFonts w:hint="eastAsia" w:ascii="仿宋" w:hAnsi="仿宋" w:eastAsia="仿宋" w:cs="仿宋"/>
                <w:snapToGrid w:val="0"/>
                <w:color w:val="000000"/>
                <w:kern w:val="0"/>
                <w:sz w:val="22"/>
                <w:szCs w:val="22"/>
                <w:highlight w:val="none"/>
                <w:lang w:val="en-US" w:eastAsia="en-US" w:bidi="ar-SA"/>
              </w:rPr>
              <w:t>采购人临时调整采购计划、</w:t>
            </w:r>
            <w:r>
              <w:rPr>
                <w:rFonts w:hint="eastAsia" w:ascii="仿宋" w:hAnsi="仿宋" w:eastAsia="仿宋" w:cs="仿宋"/>
                <w:snapToGrid w:val="0"/>
                <w:color w:val="000000"/>
                <w:kern w:val="0"/>
                <w:sz w:val="22"/>
                <w:szCs w:val="22"/>
                <w:highlight w:val="none"/>
                <w:lang w:val="en-US" w:eastAsia="zh-CN" w:bidi="ar-SA"/>
              </w:rPr>
              <w:t>7</w:t>
            </w:r>
            <w:r>
              <w:rPr>
                <w:rFonts w:hint="eastAsia" w:ascii="仿宋" w:hAnsi="仿宋" w:eastAsia="仿宋" w:cs="仿宋"/>
                <w:snapToGrid w:val="0"/>
                <w:color w:val="000000"/>
                <w:kern w:val="0"/>
                <w:sz w:val="22"/>
                <w:szCs w:val="22"/>
                <w:highlight w:val="none"/>
                <w:lang w:val="en-US" w:eastAsia="en-US" w:bidi="ar-SA"/>
              </w:rPr>
              <w:t>.突发食品安全事故，在满足采购人需求的情况下投标人应该采用的方案。</w:t>
            </w:r>
          </w:p>
          <w:p w14:paraId="05B7B558">
            <w:pPr>
              <w:keepNext w:val="0"/>
              <w:keepLines w:val="0"/>
              <w:widowControl w:val="0"/>
              <w:suppressLineNumbers w:val="0"/>
              <w:bidi w:val="0"/>
              <w:spacing w:before="0" w:beforeAutospacing="0" w:after="0" w:afterAutospacing="0" w:line="240" w:lineRule="auto"/>
              <w:ind w:left="0" w:right="0"/>
              <w:jc w:val="both"/>
              <w:rPr>
                <w:rFonts w:hint="eastAsia" w:ascii="仿宋" w:hAnsi="仿宋" w:eastAsia="仿宋" w:cs="仿宋"/>
                <w:snapToGrid w:val="0"/>
                <w:color w:val="000000"/>
                <w:kern w:val="0"/>
                <w:sz w:val="22"/>
                <w:szCs w:val="22"/>
                <w:highlight w:val="none"/>
                <w:lang w:val="en-US" w:eastAsia="en-US" w:bidi="ar-SA"/>
              </w:rPr>
            </w:pPr>
            <w:r>
              <w:rPr>
                <w:rFonts w:hint="eastAsia" w:ascii="仿宋" w:hAnsi="仿宋" w:eastAsia="仿宋" w:cs="仿宋"/>
                <w:snapToGrid w:val="0"/>
                <w:color w:val="000000"/>
                <w:kern w:val="0"/>
                <w:sz w:val="22"/>
                <w:szCs w:val="22"/>
                <w:highlight w:val="none"/>
                <w:lang w:val="en-US" w:eastAsia="en-US" w:bidi="ar-SA"/>
              </w:rPr>
              <w:t>以上方案贴合本项目实际情况、方案内容全面、逻辑清晰，完全满足项目采购需求的得</w:t>
            </w:r>
            <w:r>
              <w:rPr>
                <w:rFonts w:hint="eastAsia" w:ascii="仿宋" w:hAnsi="仿宋" w:eastAsia="仿宋" w:cs="仿宋"/>
                <w:snapToGrid w:val="0"/>
                <w:color w:val="000000"/>
                <w:kern w:val="0"/>
                <w:sz w:val="22"/>
                <w:szCs w:val="22"/>
                <w:highlight w:val="none"/>
                <w:lang w:val="en-US" w:eastAsia="zh-CN" w:bidi="ar-SA"/>
              </w:rPr>
              <w:t>6</w:t>
            </w:r>
            <w:r>
              <w:rPr>
                <w:rFonts w:hint="eastAsia" w:ascii="仿宋" w:hAnsi="仿宋" w:eastAsia="仿宋" w:cs="仿宋"/>
                <w:snapToGrid w:val="0"/>
                <w:color w:val="000000"/>
                <w:kern w:val="0"/>
                <w:sz w:val="22"/>
                <w:szCs w:val="22"/>
                <w:highlight w:val="none"/>
                <w:lang w:val="en-US" w:eastAsia="en-US" w:bidi="ar-SA"/>
              </w:rPr>
              <w:t>分，其中缺项漏项或每项内容存在内容不全面或内容不具体或文字表述不清晰或方案内容与项目无关的，每有一项扣1分，扣完为止。</w:t>
            </w:r>
          </w:p>
        </w:tc>
        <w:tc>
          <w:tcPr>
            <w:tcW w:w="1307" w:type="dxa"/>
          </w:tcPr>
          <w:p w14:paraId="4941AFB8">
            <w:pPr>
              <w:keepNext w:val="0"/>
              <w:keepLines w:val="0"/>
              <w:widowControl w:val="0"/>
              <w:suppressLineNumbers w:val="0"/>
              <w:bidi w:val="0"/>
              <w:spacing w:before="0" w:beforeAutospacing="0" w:after="0" w:afterAutospacing="0" w:line="240" w:lineRule="auto"/>
              <w:ind w:left="0" w:right="0"/>
              <w:rPr>
                <w:rFonts w:hint="eastAsia" w:ascii="仿宋" w:hAnsi="仿宋" w:eastAsia="仿宋" w:cs="仿宋"/>
                <w:sz w:val="22"/>
                <w:szCs w:val="22"/>
                <w:highlight w:val="none"/>
                <w:vertAlign w:val="baseline"/>
              </w:rPr>
            </w:pPr>
          </w:p>
        </w:tc>
      </w:tr>
      <w:tr w14:paraId="1FAB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tcPr>
          <w:p w14:paraId="0F5839EA">
            <w:pPr>
              <w:keepNext w:val="0"/>
              <w:keepLines w:val="0"/>
              <w:widowControl w:val="0"/>
              <w:suppressLineNumbers w:val="0"/>
              <w:bidi w:val="0"/>
              <w:spacing w:before="0" w:beforeAutospacing="0" w:after="0" w:afterAutospacing="0" w:line="240" w:lineRule="auto"/>
              <w:ind w:left="0" w:right="0"/>
              <w:rPr>
                <w:rFonts w:hint="eastAsia" w:ascii="仿宋" w:hAnsi="仿宋" w:eastAsia="仿宋" w:cs="仿宋"/>
                <w:sz w:val="22"/>
                <w:szCs w:val="22"/>
                <w:highlight w:val="none"/>
                <w:vertAlign w:val="baseline"/>
              </w:rPr>
            </w:pPr>
          </w:p>
        </w:tc>
        <w:tc>
          <w:tcPr>
            <w:tcW w:w="1086" w:type="dxa"/>
            <w:shd w:val="clear" w:color="auto" w:fill="auto"/>
            <w:vAlign w:val="center"/>
          </w:tcPr>
          <w:p w14:paraId="2369A118">
            <w:pPr>
              <w:pStyle w:val="56"/>
              <w:keepNext w:val="0"/>
              <w:keepLines w:val="0"/>
              <w:widowControl w:val="0"/>
              <w:suppressLineNumbers w:val="0"/>
              <w:spacing w:before="86" w:beforeAutospacing="0" w:after="0" w:afterAutospacing="0" w:line="240" w:lineRule="auto"/>
              <w:ind w:left="0" w:right="0"/>
              <w:jc w:val="center"/>
              <w:rPr>
                <w:rFonts w:hint="eastAsia" w:ascii="仿宋" w:hAnsi="仿宋" w:eastAsia="仿宋" w:cs="仿宋"/>
                <w:spacing w:val="8"/>
                <w:sz w:val="22"/>
                <w:szCs w:val="22"/>
                <w:highlight w:val="none"/>
                <w:lang w:val="en-US" w:eastAsia="zh-CN"/>
              </w:rPr>
            </w:pPr>
            <w:r>
              <w:rPr>
                <w:rFonts w:hint="eastAsia" w:ascii="仿宋" w:hAnsi="仿宋" w:eastAsia="仿宋" w:cs="仿宋"/>
                <w:spacing w:val="8"/>
                <w:sz w:val="22"/>
                <w:szCs w:val="22"/>
                <w:highlight w:val="none"/>
                <w:lang w:val="en-US" w:eastAsia="zh-CN"/>
              </w:rPr>
              <w:t>加工</w:t>
            </w:r>
          </w:p>
          <w:p w14:paraId="6BA30256">
            <w:pPr>
              <w:pStyle w:val="56"/>
              <w:keepNext w:val="0"/>
              <w:keepLines w:val="0"/>
              <w:widowControl w:val="0"/>
              <w:suppressLineNumbers w:val="0"/>
              <w:spacing w:before="86" w:beforeAutospacing="0" w:after="0" w:afterAutospacing="0" w:line="240" w:lineRule="auto"/>
              <w:ind w:left="0" w:right="0"/>
              <w:jc w:val="center"/>
              <w:rPr>
                <w:rFonts w:hint="eastAsia" w:ascii="仿宋" w:hAnsi="仿宋" w:eastAsia="仿宋" w:cs="仿宋"/>
                <w:snapToGrid w:val="0"/>
                <w:color w:val="000000"/>
                <w:spacing w:val="8"/>
                <w:kern w:val="0"/>
                <w:sz w:val="22"/>
                <w:szCs w:val="22"/>
                <w:highlight w:val="none"/>
                <w:lang w:val="en-US" w:eastAsia="en-US" w:bidi="ar-SA"/>
              </w:rPr>
            </w:pPr>
            <w:r>
              <w:rPr>
                <w:rFonts w:hint="eastAsia" w:ascii="仿宋" w:hAnsi="仿宋" w:eastAsia="仿宋" w:cs="仿宋"/>
                <w:spacing w:val="8"/>
                <w:sz w:val="22"/>
                <w:szCs w:val="22"/>
                <w:highlight w:val="none"/>
                <w:lang w:val="en-US" w:eastAsia="zh-CN"/>
              </w:rPr>
              <w:t>能力</w:t>
            </w:r>
          </w:p>
        </w:tc>
        <w:tc>
          <w:tcPr>
            <w:tcW w:w="767" w:type="dxa"/>
            <w:shd w:val="clear" w:color="auto" w:fill="auto"/>
            <w:vAlign w:val="center"/>
          </w:tcPr>
          <w:p w14:paraId="01E56D53">
            <w:pPr>
              <w:pStyle w:val="56"/>
              <w:keepNext w:val="0"/>
              <w:keepLines w:val="0"/>
              <w:widowControl w:val="0"/>
              <w:suppressLineNumbers w:val="0"/>
              <w:spacing w:before="85" w:beforeAutospacing="0" w:after="0" w:afterAutospacing="0" w:line="240" w:lineRule="auto"/>
              <w:ind w:left="0" w:right="0"/>
              <w:jc w:val="center"/>
              <w:rPr>
                <w:rFonts w:hint="eastAsia" w:ascii="仿宋" w:hAnsi="仿宋" w:eastAsia="仿宋" w:cs="仿宋"/>
                <w:snapToGrid w:val="0"/>
                <w:color w:val="000000"/>
                <w:kern w:val="0"/>
                <w:sz w:val="22"/>
                <w:szCs w:val="22"/>
                <w:highlight w:val="none"/>
                <w:lang w:val="en-US" w:eastAsia="en-US" w:bidi="ar-SA"/>
              </w:rPr>
            </w:pPr>
            <w:r>
              <w:rPr>
                <w:rFonts w:hint="eastAsia" w:ascii="仿宋" w:hAnsi="仿宋" w:eastAsia="仿宋" w:cs="仿宋"/>
                <w:sz w:val="22"/>
                <w:szCs w:val="22"/>
                <w:highlight w:val="none"/>
                <w:lang w:val="en-US" w:eastAsia="zh-CN"/>
              </w:rPr>
              <w:t>3</w:t>
            </w:r>
          </w:p>
        </w:tc>
        <w:tc>
          <w:tcPr>
            <w:tcW w:w="5437" w:type="dxa"/>
            <w:shd w:val="clear" w:color="auto" w:fill="auto"/>
            <w:vAlign w:val="top"/>
          </w:tcPr>
          <w:p w14:paraId="7BE2D8D5">
            <w:pPr>
              <w:pStyle w:val="56"/>
              <w:keepNext w:val="0"/>
              <w:keepLines w:val="0"/>
              <w:widowControl w:val="0"/>
              <w:suppressLineNumbers w:val="0"/>
              <w:spacing w:before="3" w:beforeAutospacing="0" w:after="0" w:afterAutospacing="0" w:line="240" w:lineRule="auto"/>
              <w:ind w:left="0" w:right="104"/>
              <w:jc w:val="both"/>
              <w:rPr>
                <w:rFonts w:hint="eastAsia" w:ascii="仿宋" w:hAnsi="仿宋" w:eastAsia="仿宋" w:cs="仿宋"/>
                <w:snapToGrid w:val="0"/>
                <w:color w:val="000000"/>
                <w:kern w:val="0"/>
                <w:sz w:val="22"/>
                <w:szCs w:val="22"/>
                <w:highlight w:val="none"/>
                <w:lang w:val="en-US" w:eastAsia="zh-CN" w:bidi="ar-SA"/>
              </w:rPr>
            </w:pPr>
            <w:r>
              <w:rPr>
                <w:rFonts w:hint="eastAsia" w:ascii="仿宋" w:hAnsi="仿宋" w:eastAsia="仿宋" w:cs="仿宋"/>
                <w:snapToGrid w:val="0"/>
                <w:color w:val="000000"/>
                <w:kern w:val="0"/>
                <w:sz w:val="22"/>
                <w:szCs w:val="22"/>
                <w:highlight w:val="none"/>
                <w:lang w:val="en-US" w:eastAsia="zh-CN" w:bidi="ar-SA"/>
              </w:rPr>
              <w:t>为方便食材配送到位后便捷加工，投标人可提供配送前果蔬类食材加工服务，但必须确保</w:t>
            </w:r>
            <w:r>
              <w:rPr>
                <w:rFonts w:hint="eastAsia" w:ascii="仿宋" w:hAnsi="仿宋" w:eastAsia="仿宋" w:cs="仿宋"/>
                <w:snapToGrid w:val="0"/>
                <w:color w:val="000000"/>
                <w:kern w:val="0"/>
                <w:sz w:val="22"/>
                <w:szCs w:val="22"/>
                <w:highlight w:val="none"/>
                <w:lang w:val="en-US" w:eastAsia="en-US" w:bidi="ar-SA"/>
              </w:rPr>
              <w:t>加工前经过彻底的检查和清洁</w:t>
            </w:r>
            <w:r>
              <w:rPr>
                <w:rFonts w:hint="eastAsia" w:ascii="仿宋" w:hAnsi="仿宋" w:eastAsia="仿宋" w:cs="仿宋"/>
                <w:snapToGrid w:val="0"/>
                <w:color w:val="000000"/>
                <w:kern w:val="0"/>
                <w:sz w:val="22"/>
                <w:szCs w:val="22"/>
                <w:highlight w:val="none"/>
                <w:lang w:val="en-US" w:eastAsia="zh-CN" w:bidi="ar-SA"/>
              </w:rPr>
              <w:t>，</w:t>
            </w:r>
            <w:r>
              <w:rPr>
                <w:rFonts w:hint="eastAsia" w:ascii="仿宋" w:hAnsi="仿宋" w:eastAsia="仿宋" w:cs="仿宋"/>
                <w:snapToGrid w:val="0"/>
                <w:color w:val="000000"/>
                <w:kern w:val="0"/>
                <w:sz w:val="22"/>
                <w:szCs w:val="22"/>
                <w:highlight w:val="none"/>
                <w:lang w:val="en-US" w:eastAsia="en-US" w:bidi="ar-SA"/>
              </w:rPr>
              <w:t>果蔬需要彻底清洗</w:t>
            </w:r>
            <w:r>
              <w:rPr>
                <w:rFonts w:hint="eastAsia" w:ascii="仿宋" w:hAnsi="仿宋" w:eastAsia="仿宋" w:cs="仿宋"/>
                <w:snapToGrid w:val="0"/>
                <w:color w:val="000000"/>
                <w:kern w:val="0"/>
                <w:sz w:val="22"/>
                <w:szCs w:val="22"/>
                <w:highlight w:val="none"/>
                <w:lang w:val="en-US" w:eastAsia="zh-CN" w:bidi="ar-SA"/>
              </w:rPr>
              <w:t>干净，</w:t>
            </w:r>
            <w:r>
              <w:rPr>
                <w:rFonts w:hint="eastAsia" w:ascii="仿宋" w:hAnsi="仿宋" w:eastAsia="仿宋" w:cs="仿宋"/>
                <w:snapToGrid w:val="0"/>
                <w:color w:val="000000"/>
                <w:kern w:val="0"/>
                <w:sz w:val="22"/>
                <w:szCs w:val="22"/>
                <w:highlight w:val="none"/>
                <w:lang w:val="en-US" w:eastAsia="en-US" w:bidi="ar-SA"/>
              </w:rPr>
              <w:t>肉类和海鲜应检查新鲜度，并根据需要进行切割或去骨</w:t>
            </w:r>
            <w:r>
              <w:rPr>
                <w:rFonts w:hint="eastAsia" w:ascii="仿宋" w:hAnsi="仿宋" w:eastAsia="仿宋" w:cs="仿宋"/>
                <w:snapToGrid w:val="0"/>
                <w:color w:val="000000"/>
                <w:kern w:val="0"/>
                <w:sz w:val="22"/>
                <w:szCs w:val="22"/>
                <w:highlight w:val="none"/>
                <w:lang w:val="en-US" w:eastAsia="zh-CN" w:bidi="ar-SA"/>
              </w:rPr>
              <w:t>，</w:t>
            </w:r>
            <w:r>
              <w:rPr>
                <w:rFonts w:hint="eastAsia" w:ascii="仿宋" w:hAnsi="仿宋" w:eastAsia="仿宋" w:cs="仿宋"/>
                <w:snapToGrid w:val="0"/>
                <w:color w:val="000000"/>
                <w:kern w:val="0"/>
                <w:sz w:val="22"/>
                <w:szCs w:val="22"/>
                <w:highlight w:val="none"/>
                <w:lang w:val="en-US" w:eastAsia="en-US" w:bidi="ar-SA"/>
              </w:rPr>
              <w:t>投标人需具备</w:t>
            </w:r>
            <w:r>
              <w:rPr>
                <w:rFonts w:hint="eastAsia" w:ascii="仿宋" w:hAnsi="仿宋" w:eastAsia="仿宋" w:cs="仿宋"/>
                <w:snapToGrid w:val="0"/>
                <w:color w:val="000000"/>
                <w:kern w:val="0"/>
                <w:sz w:val="22"/>
                <w:szCs w:val="22"/>
                <w:highlight w:val="none"/>
                <w:lang w:val="en-US" w:eastAsia="zh-CN" w:bidi="ar-SA"/>
              </w:rPr>
              <w:t>先进且齐全的净菜车间及加工设备，包括但不限于清洗设备，分拣设备、切割设备、包装设备等提供净菜车间及相关设备，提供设备购置合同及发票（若是租赁设备需提供租赁合同）、车间设备等照片等证明材料；</w:t>
            </w:r>
          </w:p>
          <w:p w14:paraId="2E371441">
            <w:pPr>
              <w:keepNext w:val="0"/>
              <w:keepLines w:val="0"/>
              <w:widowControl/>
              <w:suppressLineNumbers w:val="0"/>
              <w:spacing w:before="0" w:beforeAutospacing="0" w:after="0" w:afterAutospacing="0" w:line="240" w:lineRule="auto"/>
              <w:ind w:left="0" w:right="0"/>
              <w:jc w:val="both"/>
              <w:rPr>
                <w:rFonts w:hint="eastAsia" w:ascii="仿宋" w:hAnsi="仿宋" w:eastAsia="仿宋" w:cs="仿宋"/>
                <w:b/>
                <w:bCs/>
                <w:snapToGrid w:val="0"/>
                <w:color w:val="000000"/>
                <w:kern w:val="0"/>
                <w:sz w:val="22"/>
                <w:szCs w:val="22"/>
                <w:highlight w:val="none"/>
                <w:lang w:val="en-US" w:eastAsia="zh-CN" w:bidi="ar"/>
              </w:rPr>
            </w:pPr>
            <w:r>
              <w:rPr>
                <w:rFonts w:hint="eastAsia" w:ascii="仿宋" w:hAnsi="仿宋" w:eastAsia="仿宋" w:cs="仿宋"/>
                <w:b/>
                <w:bCs/>
                <w:snapToGrid w:val="0"/>
                <w:color w:val="000000"/>
                <w:kern w:val="0"/>
                <w:sz w:val="22"/>
                <w:szCs w:val="22"/>
                <w:highlight w:val="none"/>
                <w:lang w:val="en-US" w:eastAsia="zh-CN" w:bidi="ar"/>
              </w:rPr>
              <w:t>并提供中标后在甲方项目所在地设置符合要求的净菜车间承诺书且中标后甲方将进行现场查验。承诺加工后的食材需要每天配送，且在食堂开饭前三小时内送达。</w:t>
            </w:r>
          </w:p>
          <w:p w14:paraId="04D219BC">
            <w:pPr>
              <w:pStyle w:val="56"/>
              <w:keepNext w:val="0"/>
              <w:keepLines w:val="0"/>
              <w:widowControl w:val="0"/>
              <w:suppressLineNumbers w:val="0"/>
              <w:spacing w:before="3" w:beforeAutospacing="0" w:after="0" w:afterAutospacing="0" w:line="240" w:lineRule="auto"/>
              <w:ind w:left="0" w:right="104"/>
              <w:jc w:val="both"/>
              <w:rPr>
                <w:rFonts w:hint="eastAsia" w:ascii="仿宋" w:hAnsi="仿宋" w:eastAsia="仿宋" w:cs="仿宋"/>
                <w:snapToGrid w:val="0"/>
                <w:color w:val="000000"/>
                <w:kern w:val="0"/>
                <w:sz w:val="22"/>
                <w:szCs w:val="22"/>
                <w:highlight w:val="none"/>
                <w:lang w:val="en-US" w:eastAsia="en-US" w:bidi="ar-SA"/>
              </w:rPr>
            </w:pPr>
            <w:r>
              <w:rPr>
                <w:rFonts w:hint="eastAsia" w:ascii="仿宋" w:hAnsi="仿宋" w:eastAsia="仿宋" w:cs="仿宋"/>
                <w:b/>
                <w:bCs/>
                <w:snapToGrid w:val="0"/>
                <w:color w:val="000000"/>
                <w:kern w:val="0"/>
                <w:sz w:val="22"/>
                <w:szCs w:val="22"/>
                <w:highlight w:val="none"/>
                <w:lang w:val="en-US" w:eastAsia="zh-CN" w:bidi="ar"/>
              </w:rPr>
              <w:t>上述资料全部提供视为一套有效证明材料，材料齐全得3分，不提供或不齐全不得分。</w:t>
            </w:r>
          </w:p>
        </w:tc>
        <w:tc>
          <w:tcPr>
            <w:tcW w:w="1307" w:type="dxa"/>
          </w:tcPr>
          <w:p w14:paraId="00886E15">
            <w:pPr>
              <w:keepNext w:val="0"/>
              <w:keepLines w:val="0"/>
              <w:widowControl w:val="0"/>
              <w:suppressLineNumbers w:val="0"/>
              <w:bidi w:val="0"/>
              <w:spacing w:before="0" w:beforeAutospacing="0" w:after="0" w:afterAutospacing="0" w:line="240" w:lineRule="auto"/>
              <w:ind w:left="0" w:right="0"/>
              <w:rPr>
                <w:rFonts w:hint="eastAsia" w:ascii="仿宋" w:hAnsi="仿宋" w:eastAsia="仿宋" w:cs="仿宋"/>
                <w:sz w:val="22"/>
                <w:szCs w:val="22"/>
                <w:highlight w:val="none"/>
                <w:vertAlign w:val="baseline"/>
              </w:rPr>
            </w:pPr>
          </w:p>
        </w:tc>
      </w:tr>
      <w:tr w14:paraId="58E5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tcPr>
          <w:p w14:paraId="2BCC0296">
            <w:pPr>
              <w:keepNext w:val="0"/>
              <w:keepLines w:val="0"/>
              <w:widowControl w:val="0"/>
              <w:suppressLineNumbers w:val="0"/>
              <w:bidi w:val="0"/>
              <w:spacing w:before="0" w:beforeAutospacing="0" w:after="0" w:afterAutospacing="0" w:line="240" w:lineRule="auto"/>
              <w:ind w:left="0" w:right="0"/>
              <w:rPr>
                <w:rFonts w:hint="eastAsia" w:ascii="仿宋" w:hAnsi="仿宋" w:eastAsia="仿宋" w:cs="仿宋"/>
                <w:sz w:val="22"/>
                <w:szCs w:val="22"/>
                <w:highlight w:val="none"/>
                <w:vertAlign w:val="baseline"/>
              </w:rPr>
            </w:pPr>
          </w:p>
        </w:tc>
        <w:tc>
          <w:tcPr>
            <w:tcW w:w="1086" w:type="dxa"/>
            <w:shd w:val="clear" w:color="auto" w:fill="auto"/>
            <w:vAlign w:val="center"/>
          </w:tcPr>
          <w:p w14:paraId="1F17B77B">
            <w:pPr>
              <w:pStyle w:val="56"/>
              <w:keepNext w:val="0"/>
              <w:keepLines w:val="0"/>
              <w:widowControl w:val="0"/>
              <w:suppressLineNumbers w:val="0"/>
              <w:spacing w:before="86" w:beforeAutospacing="0" w:after="0" w:afterAutospacing="0" w:line="240" w:lineRule="auto"/>
              <w:ind w:left="0" w:right="0"/>
              <w:jc w:val="center"/>
              <w:rPr>
                <w:rFonts w:hint="eastAsia" w:ascii="仿宋" w:hAnsi="仿宋" w:eastAsia="仿宋" w:cs="仿宋"/>
                <w:spacing w:val="8"/>
                <w:sz w:val="22"/>
                <w:szCs w:val="22"/>
                <w:highlight w:val="none"/>
              </w:rPr>
            </w:pPr>
            <w:r>
              <w:rPr>
                <w:rFonts w:hint="eastAsia" w:ascii="仿宋" w:hAnsi="仿宋" w:eastAsia="仿宋" w:cs="仿宋"/>
                <w:spacing w:val="8"/>
                <w:sz w:val="22"/>
                <w:szCs w:val="22"/>
                <w:highlight w:val="none"/>
              </w:rPr>
              <w:t>仓储</w:t>
            </w:r>
          </w:p>
          <w:p w14:paraId="53417BB5">
            <w:pPr>
              <w:pStyle w:val="56"/>
              <w:keepNext w:val="0"/>
              <w:keepLines w:val="0"/>
              <w:widowControl w:val="0"/>
              <w:suppressLineNumbers w:val="0"/>
              <w:spacing w:before="86" w:beforeAutospacing="0" w:after="0" w:afterAutospacing="0" w:line="240" w:lineRule="auto"/>
              <w:ind w:left="0" w:right="0"/>
              <w:jc w:val="center"/>
              <w:rPr>
                <w:rFonts w:hint="eastAsia" w:ascii="仿宋" w:hAnsi="仿宋" w:eastAsia="仿宋" w:cs="仿宋"/>
                <w:snapToGrid w:val="0"/>
                <w:color w:val="000000"/>
                <w:kern w:val="0"/>
                <w:sz w:val="22"/>
                <w:szCs w:val="22"/>
                <w:highlight w:val="none"/>
                <w:lang w:val="en-US" w:eastAsia="zh-CN" w:bidi="ar-SA"/>
              </w:rPr>
            </w:pPr>
            <w:r>
              <w:rPr>
                <w:rFonts w:hint="eastAsia" w:ascii="仿宋" w:hAnsi="仿宋" w:eastAsia="仿宋" w:cs="仿宋"/>
                <w:spacing w:val="8"/>
                <w:sz w:val="22"/>
                <w:szCs w:val="22"/>
                <w:highlight w:val="none"/>
              </w:rPr>
              <w:t>能力</w:t>
            </w:r>
          </w:p>
        </w:tc>
        <w:tc>
          <w:tcPr>
            <w:tcW w:w="767" w:type="dxa"/>
            <w:shd w:val="clear" w:color="auto" w:fill="auto"/>
            <w:vAlign w:val="center"/>
          </w:tcPr>
          <w:p w14:paraId="6B6D72A1">
            <w:pPr>
              <w:pStyle w:val="56"/>
              <w:keepNext w:val="0"/>
              <w:keepLines w:val="0"/>
              <w:widowControl w:val="0"/>
              <w:suppressLineNumbers w:val="0"/>
              <w:spacing w:before="85" w:beforeAutospacing="0" w:after="0" w:afterAutospacing="0" w:line="240" w:lineRule="auto"/>
              <w:ind w:left="0" w:right="0"/>
              <w:jc w:val="center"/>
              <w:rPr>
                <w:rFonts w:hint="eastAsia" w:ascii="仿宋" w:hAnsi="仿宋" w:eastAsia="仿宋" w:cs="仿宋"/>
                <w:snapToGrid w:val="0"/>
                <w:color w:val="000000"/>
                <w:kern w:val="0"/>
                <w:sz w:val="22"/>
                <w:szCs w:val="22"/>
                <w:highlight w:val="none"/>
                <w:lang w:val="en-US" w:eastAsia="zh-CN" w:bidi="ar-SA"/>
              </w:rPr>
            </w:pPr>
            <w:r>
              <w:rPr>
                <w:rFonts w:hint="eastAsia" w:ascii="仿宋" w:hAnsi="仿宋" w:eastAsia="仿宋" w:cs="仿宋"/>
                <w:sz w:val="22"/>
                <w:szCs w:val="22"/>
                <w:highlight w:val="none"/>
                <w:lang w:val="en-US" w:eastAsia="zh-CN"/>
              </w:rPr>
              <w:t>5</w:t>
            </w:r>
          </w:p>
        </w:tc>
        <w:tc>
          <w:tcPr>
            <w:tcW w:w="5437" w:type="dxa"/>
            <w:shd w:val="clear" w:color="auto" w:fill="auto"/>
            <w:vAlign w:val="top"/>
          </w:tcPr>
          <w:p w14:paraId="3F86BC21">
            <w:pPr>
              <w:pStyle w:val="56"/>
              <w:keepNext w:val="0"/>
              <w:keepLines w:val="0"/>
              <w:widowControl w:val="0"/>
              <w:suppressLineNumbers w:val="0"/>
              <w:spacing w:before="3" w:beforeAutospacing="0" w:after="0" w:afterAutospacing="0" w:line="240" w:lineRule="auto"/>
              <w:ind w:left="0" w:right="104" w:rightChars="0"/>
              <w:jc w:val="both"/>
              <w:rPr>
                <w:rFonts w:hint="eastAsia" w:ascii="仿宋" w:hAnsi="仿宋" w:eastAsia="仿宋" w:cs="仿宋"/>
                <w:snapToGrid w:val="0"/>
                <w:color w:val="000000"/>
                <w:kern w:val="0"/>
                <w:sz w:val="22"/>
                <w:szCs w:val="22"/>
                <w:highlight w:val="none"/>
                <w:lang w:val="en-US" w:eastAsia="zh-CN" w:bidi="ar-SA"/>
              </w:rPr>
            </w:pPr>
            <w:r>
              <w:rPr>
                <w:rFonts w:hint="eastAsia" w:ascii="仿宋" w:hAnsi="仿宋" w:eastAsia="仿宋" w:cs="仿宋"/>
                <w:spacing w:val="6"/>
                <w:sz w:val="22"/>
                <w:szCs w:val="22"/>
                <w:highlight w:val="none"/>
                <w:lang w:val="en-US" w:eastAsia="zh-CN"/>
              </w:rPr>
              <w:t>投标人需具备符合要求的仓库条件，需</w:t>
            </w:r>
            <w:r>
              <w:rPr>
                <w:rFonts w:hint="eastAsia" w:ascii="仿宋" w:hAnsi="仿宋" w:eastAsia="仿宋" w:cs="仿宋"/>
                <w:spacing w:val="6"/>
                <w:sz w:val="22"/>
                <w:szCs w:val="22"/>
                <w:highlight w:val="none"/>
              </w:rPr>
              <w:t>具备冷藏</w:t>
            </w:r>
            <w:r>
              <w:rPr>
                <w:rFonts w:hint="eastAsia" w:ascii="仿宋" w:hAnsi="仿宋" w:eastAsia="仿宋" w:cs="仿宋"/>
                <w:spacing w:val="6"/>
                <w:sz w:val="22"/>
                <w:szCs w:val="22"/>
                <w:highlight w:val="none"/>
                <w:lang w:val="en-US" w:eastAsia="zh-CN"/>
              </w:rPr>
              <w:t>及存储能力</w:t>
            </w:r>
            <w:r>
              <w:rPr>
                <w:rFonts w:hint="eastAsia" w:ascii="仿宋" w:hAnsi="仿宋" w:eastAsia="仿宋" w:cs="仿宋"/>
                <w:spacing w:val="6"/>
                <w:sz w:val="22"/>
                <w:szCs w:val="22"/>
                <w:highlight w:val="none"/>
              </w:rPr>
              <w:t>，仓储面积</w:t>
            </w:r>
            <w:r>
              <w:rPr>
                <w:rFonts w:hint="eastAsia" w:ascii="仿宋" w:hAnsi="仿宋" w:eastAsia="仿宋" w:cs="仿宋"/>
                <w:spacing w:val="3"/>
                <w:sz w:val="22"/>
                <w:szCs w:val="22"/>
                <w:highlight w:val="none"/>
              </w:rPr>
              <w:t>≥</w:t>
            </w:r>
            <w:r>
              <w:rPr>
                <w:rFonts w:hint="eastAsia" w:ascii="仿宋" w:hAnsi="仿宋" w:eastAsia="仿宋" w:cs="仿宋"/>
                <w:spacing w:val="6"/>
                <w:sz w:val="22"/>
                <w:szCs w:val="22"/>
                <w:highlight w:val="none"/>
                <w:lang w:val="en-US" w:eastAsia="zh-CN"/>
              </w:rPr>
              <w:t>4</w:t>
            </w:r>
            <w:r>
              <w:rPr>
                <w:rFonts w:hint="eastAsia" w:ascii="仿宋" w:hAnsi="仿宋" w:eastAsia="仿宋" w:cs="仿宋"/>
                <w:spacing w:val="5"/>
                <w:sz w:val="22"/>
                <w:szCs w:val="22"/>
                <w:highlight w:val="none"/>
              </w:rPr>
              <w:t>000㎡</w:t>
            </w:r>
            <w:r>
              <w:rPr>
                <w:rFonts w:hint="eastAsia" w:ascii="仿宋" w:hAnsi="仿宋" w:eastAsia="仿宋" w:cs="仿宋"/>
                <w:spacing w:val="4"/>
                <w:sz w:val="22"/>
                <w:szCs w:val="22"/>
                <w:highlight w:val="none"/>
                <w:lang w:val="en-US" w:eastAsia="zh-CN"/>
              </w:rPr>
              <w:t>得5</w:t>
            </w:r>
            <w:r>
              <w:rPr>
                <w:rFonts w:hint="eastAsia" w:ascii="仿宋" w:hAnsi="仿宋" w:eastAsia="仿宋" w:cs="仿宋"/>
                <w:spacing w:val="3"/>
                <w:sz w:val="22"/>
                <w:szCs w:val="22"/>
                <w:highlight w:val="none"/>
              </w:rPr>
              <w:t>分</w:t>
            </w:r>
            <w:r>
              <w:rPr>
                <w:rFonts w:hint="eastAsia" w:ascii="仿宋" w:hAnsi="仿宋" w:eastAsia="仿宋" w:cs="仿宋"/>
                <w:spacing w:val="3"/>
                <w:sz w:val="22"/>
                <w:szCs w:val="22"/>
                <w:highlight w:val="none"/>
                <w:lang w:eastAsia="zh-CN"/>
              </w:rPr>
              <w:t>；</w:t>
            </w:r>
            <w:r>
              <w:rPr>
                <w:rFonts w:hint="eastAsia" w:ascii="仿宋" w:hAnsi="仿宋" w:eastAsia="仿宋" w:cs="仿宋"/>
                <w:spacing w:val="6"/>
                <w:sz w:val="22"/>
                <w:szCs w:val="22"/>
                <w:highlight w:val="none"/>
              </w:rPr>
              <w:t>仓储面积</w:t>
            </w:r>
            <w:r>
              <w:rPr>
                <w:rFonts w:hint="eastAsia" w:ascii="仿宋" w:hAnsi="仿宋" w:eastAsia="仿宋" w:cs="仿宋"/>
                <w:spacing w:val="1"/>
                <w:sz w:val="22"/>
                <w:szCs w:val="22"/>
                <w:highlight w:val="none"/>
                <w:lang w:val="en-US" w:eastAsia="zh-CN"/>
              </w:rPr>
              <w:t>1</w:t>
            </w:r>
            <w:r>
              <w:rPr>
                <w:rFonts w:hint="eastAsia" w:ascii="仿宋" w:hAnsi="仿宋" w:eastAsia="仿宋" w:cs="仿宋"/>
                <w:spacing w:val="1"/>
                <w:sz w:val="22"/>
                <w:szCs w:val="22"/>
                <w:highlight w:val="none"/>
              </w:rPr>
              <w:t>000㎡-</w:t>
            </w:r>
            <w:r>
              <w:rPr>
                <w:rFonts w:hint="eastAsia" w:ascii="仿宋" w:hAnsi="仿宋" w:eastAsia="仿宋" w:cs="仿宋"/>
                <w:spacing w:val="1"/>
                <w:sz w:val="22"/>
                <w:szCs w:val="22"/>
                <w:highlight w:val="none"/>
                <w:lang w:val="en-US" w:eastAsia="zh-CN"/>
              </w:rPr>
              <w:t>4</w:t>
            </w:r>
            <w:r>
              <w:rPr>
                <w:rFonts w:hint="eastAsia" w:ascii="仿宋" w:hAnsi="仿宋" w:eastAsia="仿宋" w:cs="仿宋"/>
                <w:spacing w:val="1"/>
                <w:sz w:val="22"/>
                <w:szCs w:val="22"/>
                <w:highlight w:val="none"/>
              </w:rPr>
              <w:t>000㎡</w:t>
            </w:r>
            <w:r>
              <w:rPr>
                <w:rFonts w:hint="eastAsia" w:ascii="仿宋" w:hAnsi="仿宋" w:eastAsia="仿宋" w:cs="仿宋"/>
                <w:spacing w:val="4"/>
                <w:sz w:val="22"/>
                <w:szCs w:val="22"/>
                <w:highlight w:val="none"/>
                <w:lang w:val="en-US" w:eastAsia="zh-CN"/>
              </w:rPr>
              <w:t>（不含1000</w:t>
            </w:r>
            <w:r>
              <w:rPr>
                <w:rFonts w:hint="eastAsia" w:ascii="仿宋" w:hAnsi="仿宋" w:eastAsia="仿宋" w:cs="仿宋"/>
                <w:spacing w:val="5"/>
                <w:sz w:val="22"/>
                <w:szCs w:val="22"/>
                <w:highlight w:val="none"/>
              </w:rPr>
              <w:t>㎡</w:t>
            </w:r>
            <w:r>
              <w:rPr>
                <w:rFonts w:hint="eastAsia" w:ascii="仿宋" w:hAnsi="仿宋" w:eastAsia="仿宋" w:cs="仿宋"/>
                <w:spacing w:val="4"/>
                <w:sz w:val="22"/>
                <w:szCs w:val="22"/>
                <w:highlight w:val="none"/>
                <w:lang w:val="en-US" w:eastAsia="zh-CN"/>
              </w:rPr>
              <w:t>）</w:t>
            </w:r>
            <w:r>
              <w:rPr>
                <w:rFonts w:hint="eastAsia" w:ascii="仿宋" w:hAnsi="仿宋" w:eastAsia="仿宋" w:cs="仿宋"/>
                <w:spacing w:val="1"/>
                <w:sz w:val="22"/>
                <w:szCs w:val="22"/>
                <w:highlight w:val="none"/>
              </w:rPr>
              <w:t>得</w:t>
            </w:r>
            <w:r>
              <w:rPr>
                <w:rFonts w:hint="eastAsia" w:ascii="仿宋" w:hAnsi="仿宋" w:eastAsia="仿宋" w:cs="仿宋"/>
                <w:spacing w:val="1"/>
                <w:sz w:val="22"/>
                <w:szCs w:val="22"/>
                <w:highlight w:val="none"/>
                <w:lang w:val="en-US" w:eastAsia="zh-CN"/>
              </w:rPr>
              <w:t>3</w:t>
            </w:r>
            <w:r>
              <w:rPr>
                <w:rFonts w:hint="eastAsia" w:ascii="仿宋" w:hAnsi="仿宋" w:eastAsia="仿宋" w:cs="仿宋"/>
                <w:sz w:val="22"/>
                <w:szCs w:val="22"/>
                <w:highlight w:val="none"/>
              </w:rPr>
              <w:t>分</w:t>
            </w:r>
            <w:r>
              <w:rPr>
                <w:rFonts w:hint="eastAsia" w:ascii="仿宋" w:hAnsi="仿宋" w:eastAsia="仿宋" w:cs="仿宋"/>
                <w:sz w:val="22"/>
                <w:szCs w:val="22"/>
                <w:highlight w:val="none"/>
                <w:lang w:eastAsia="zh-CN"/>
              </w:rPr>
              <w:t>；</w:t>
            </w:r>
            <w:r>
              <w:rPr>
                <w:rFonts w:hint="eastAsia" w:ascii="仿宋" w:hAnsi="仿宋" w:eastAsia="仿宋" w:cs="仿宋"/>
                <w:spacing w:val="4"/>
                <w:sz w:val="22"/>
                <w:szCs w:val="22"/>
                <w:highlight w:val="none"/>
                <w:lang w:val="en-US" w:eastAsia="zh-CN"/>
              </w:rPr>
              <w:t>仓库面积≦</w:t>
            </w:r>
            <w:r>
              <w:rPr>
                <w:rFonts w:hint="eastAsia" w:ascii="仿宋" w:hAnsi="仿宋" w:eastAsia="仿宋" w:cs="仿宋"/>
                <w:sz w:val="22"/>
                <w:szCs w:val="22"/>
                <w:highlight w:val="none"/>
              </w:rPr>
              <w:t>1000㎡</w:t>
            </w:r>
            <w:r>
              <w:rPr>
                <w:rFonts w:hint="eastAsia" w:ascii="仿宋" w:hAnsi="仿宋" w:eastAsia="仿宋" w:cs="仿宋"/>
                <w:spacing w:val="4"/>
                <w:sz w:val="22"/>
                <w:szCs w:val="22"/>
                <w:highlight w:val="none"/>
                <w:lang w:val="en-US" w:eastAsia="zh-CN"/>
              </w:rPr>
              <w:t>以下得1分。</w:t>
            </w:r>
            <w:r>
              <w:rPr>
                <w:rFonts w:hint="eastAsia" w:ascii="仿宋" w:hAnsi="仿宋" w:eastAsia="仿宋" w:cs="仿宋"/>
                <w:b/>
                <w:bCs/>
                <w:spacing w:val="9"/>
                <w:sz w:val="22"/>
                <w:szCs w:val="22"/>
                <w:highlight w:val="none"/>
                <w:lang w:val="en-US" w:eastAsia="zh-CN"/>
              </w:rPr>
              <w:t>需</w:t>
            </w:r>
            <w:r>
              <w:rPr>
                <w:rFonts w:hint="eastAsia" w:ascii="仿宋" w:hAnsi="仿宋" w:eastAsia="仿宋" w:cs="仿宋"/>
                <w:b/>
                <w:bCs/>
                <w:spacing w:val="9"/>
                <w:sz w:val="22"/>
                <w:szCs w:val="22"/>
                <w:highlight w:val="none"/>
              </w:rPr>
              <w:t>提供</w:t>
            </w:r>
            <w:r>
              <w:rPr>
                <w:rFonts w:hint="eastAsia" w:ascii="仿宋" w:hAnsi="仿宋" w:eastAsia="仿宋" w:cs="仿宋"/>
                <w:b/>
                <w:bCs/>
                <w:spacing w:val="9"/>
                <w:sz w:val="22"/>
                <w:szCs w:val="22"/>
                <w:highlight w:val="none"/>
                <w:lang w:val="en-US" w:eastAsia="zh-CN"/>
              </w:rPr>
              <w:t>仓库</w:t>
            </w:r>
            <w:r>
              <w:rPr>
                <w:rFonts w:hint="eastAsia" w:ascii="仿宋" w:hAnsi="仿宋" w:eastAsia="仿宋" w:cs="仿宋"/>
                <w:b/>
                <w:bCs/>
                <w:spacing w:val="9"/>
                <w:sz w:val="22"/>
                <w:szCs w:val="22"/>
                <w:highlight w:val="none"/>
              </w:rPr>
              <w:t>产权</w:t>
            </w:r>
            <w:r>
              <w:rPr>
                <w:rFonts w:hint="eastAsia" w:ascii="仿宋" w:hAnsi="仿宋" w:eastAsia="仿宋" w:cs="仿宋"/>
                <w:b/>
                <w:bCs/>
                <w:spacing w:val="9"/>
                <w:sz w:val="22"/>
                <w:szCs w:val="22"/>
                <w:highlight w:val="none"/>
                <w:lang w:val="en-US" w:eastAsia="zh-CN"/>
              </w:rPr>
              <w:t>证明</w:t>
            </w:r>
            <w:r>
              <w:rPr>
                <w:rFonts w:hint="eastAsia" w:ascii="仿宋" w:hAnsi="仿宋" w:eastAsia="仿宋" w:cs="仿宋"/>
                <w:b/>
                <w:bCs/>
                <w:spacing w:val="9"/>
                <w:sz w:val="22"/>
                <w:szCs w:val="22"/>
                <w:highlight w:val="none"/>
              </w:rPr>
              <w:t>或</w:t>
            </w:r>
            <w:r>
              <w:rPr>
                <w:rFonts w:hint="eastAsia" w:ascii="仿宋" w:hAnsi="仿宋" w:eastAsia="仿宋" w:cs="仿宋"/>
                <w:b/>
                <w:bCs/>
                <w:spacing w:val="9"/>
                <w:sz w:val="22"/>
                <w:szCs w:val="22"/>
                <w:highlight w:val="none"/>
                <w:lang w:val="en-US" w:eastAsia="zh-CN"/>
              </w:rPr>
              <w:t>仓库</w:t>
            </w:r>
            <w:r>
              <w:rPr>
                <w:rFonts w:hint="eastAsia" w:ascii="仿宋" w:hAnsi="仿宋" w:eastAsia="仿宋" w:cs="仿宋"/>
                <w:b/>
                <w:bCs/>
                <w:spacing w:val="9"/>
                <w:sz w:val="22"/>
                <w:szCs w:val="22"/>
                <w:highlight w:val="none"/>
              </w:rPr>
              <w:t>租赁合同、</w:t>
            </w:r>
            <w:r>
              <w:rPr>
                <w:rFonts w:hint="eastAsia" w:ascii="仿宋" w:hAnsi="仿宋" w:eastAsia="仿宋" w:cs="仿宋"/>
                <w:b/>
                <w:bCs/>
                <w:spacing w:val="9"/>
                <w:sz w:val="22"/>
                <w:szCs w:val="22"/>
                <w:highlight w:val="none"/>
                <w:lang w:val="en-US" w:eastAsia="zh-CN"/>
              </w:rPr>
              <w:t>仓库</w:t>
            </w:r>
            <w:r>
              <w:rPr>
                <w:rFonts w:hint="eastAsia" w:ascii="仿宋" w:hAnsi="仿宋" w:eastAsia="仿宋" w:cs="仿宋"/>
                <w:b/>
                <w:bCs/>
                <w:spacing w:val="9"/>
                <w:sz w:val="22"/>
                <w:szCs w:val="22"/>
                <w:highlight w:val="none"/>
              </w:rPr>
              <w:t>实景照片等证明材料</w:t>
            </w:r>
            <w:r>
              <w:rPr>
                <w:rFonts w:hint="eastAsia" w:ascii="仿宋" w:hAnsi="仿宋" w:eastAsia="仿宋" w:cs="仿宋"/>
                <w:b/>
                <w:bCs/>
                <w:spacing w:val="9"/>
                <w:sz w:val="22"/>
                <w:szCs w:val="22"/>
                <w:highlight w:val="none"/>
                <w:lang w:eastAsia="zh-CN"/>
              </w:rPr>
              <w:t>，</w:t>
            </w:r>
            <w:r>
              <w:rPr>
                <w:rFonts w:hint="eastAsia" w:ascii="仿宋" w:hAnsi="仿宋" w:eastAsia="仿宋" w:cs="仿宋"/>
                <w:b/>
                <w:bCs/>
                <w:spacing w:val="8"/>
                <w:sz w:val="22"/>
                <w:szCs w:val="22"/>
                <w:highlight w:val="none"/>
              </w:rPr>
              <w:t>上述资料全部提供视为一套有效证明材料</w:t>
            </w:r>
            <w:r>
              <w:rPr>
                <w:rFonts w:hint="eastAsia" w:ascii="仿宋" w:hAnsi="仿宋" w:eastAsia="仿宋" w:cs="仿宋"/>
                <w:b/>
                <w:bCs/>
                <w:spacing w:val="8"/>
                <w:sz w:val="22"/>
                <w:szCs w:val="22"/>
                <w:highlight w:val="none"/>
                <w:lang w:eastAsia="zh-CN"/>
              </w:rPr>
              <w:t>，</w:t>
            </w:r>
            <w:r>
              <w:rPr>
                <w:rFonts w:hint="eastAsia" w:ascii="仿宋" w:hAnsi="仿宋" w:eastAsia="仿宋" w:cs="仿宋"/>
                <w:b/>
                <w:bCs/>
                <w:spacing w:val="9"/>
                <w:sz w:val="22"/>
                <w:szCs w:val="22"/>
                <w:highlight w:val="none"/>
              </w:rPr>
              <w:t>提供不全或</w:t>
            </w:r>
            <w:r>
              <w:rPr>
                <w:rFonts w:hint="eastAsia" w:ascii="仿宋" w:hAnsi="仿宋" w:eastAsia="仿宋" w:cs="仿宋"/>
                <w:b/>
                <w:bCs/>
                <w:spacing w:val="9"/>
                <w:sz w:val="22"/>
                <w:szCs w:val="22"/>
                <w:highlight w:val="none"/>
                <w:lang w:val="en-US" w:eastAsia="zh-CN"/>
              </w:rPr>
              <w:t>不</w:t>
            </w:r>
            <w:r>
              <w:rPr>
                <w:rFonts w:hint="eastAsia" w:ascii="仿宋" w:hAnsi="仿宋" w:eastAsia="仿宋" w:cs="仿宋"/>
                <w:b/>
                <w:bCs/>
                <w:spacing w:val="9"/>
                <w:sz w:val="22"/>
                <w:szCs w:val="22"/>
                <w:highlight w:val="none"/>
              </w:rPr>
              <w:t>提供不得分</w:t>
            </w:r>
          </w:p>
        </w:tc>
        <w:tc>
          <w:tcPr>
            <w:tcW w:w="1307" w:type="dxa"/>
          </w:tcPr>
          <w:p w14:paraId="54747960">
            <w:pPr>
              <w:keepNext w:val="0"/>
              <w:keepLines w:val="0"/>
              <w:widowControl w:val="0"/>
              <w:suppressLineNumbers w:val="0"/>
              <w:bidi w:val="0"/>
              <w:spacing w:before="0" w:beforeAutospacing="0" w:after="0" w:afterAutospacing="0" w:line="240" w:lineRule="auto"/>
              <w:ind w:left="0" w:right="0"/>
              <w:rPr>
                <w:rFonts w:hint="eastAsia" w:ascii="仿宋" w:hAnsi="仿宋" w:eastAsia="仿宋" w:cs="仿宋"/>
                <w:sz w:val="22"/>
                <w:szCs w:val="22"/>
                <w:highlight w:val="none"/>
                <w:vertAlign w:val="baseline"/>
              </w:rPr>
            </w:pPr>
          </w:p>
        </w:tc>
      </w:tr>
      <w:tr w14:paraId="3455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tcPr>
          <w:p w14:paraId="2D7C9E44">
            <w:pPr>
              <w:keepNext w:val="0"/>
              <w:keepLines w:val="0"/>
              <w:widowControl w:val="0"/>
              <w:suppressLineNumbers w:val="0"/>
              <w:bidi w:val="0"/>
              <w:spacing w:before="0" w:beforeAutospacing="0" w:after="0" w:afterAutospacing="0" w:line="240" w:lineRule="auto"/>
              <w:ind w:left="0" w:right="0"/>
              <w:rPr>
                <w:rFonts w:hint="eastAsia" w:ascii="仿宋" w:hAnsi="仿宋" w:eastAsia="仿宋" w:cs="仿宋"/>
                <w:sz w:val="22"/>
                <w:szCs w:val="22"/>
                <w:highlight w:val="none"/>
                <w:vertAlign w:val="baseline"/>
              </w:rPr>
            </w:pPr>
          </w:p>
        </w:tc>
        <w:tc>
          <w:tcPr>
            <w:tcW w:w="1086" w:type="dxa"/>
            <w:shd w:val="clear" w:color="auto" w:fill="auto"/>
            <w:vAlign w:val="center"/>
          </w:tcPr>
          <w:p w14:paraId="40ED0E6F">
            <w:pPr>
              <w:pStyle w:val="56"/>
              <w:keepNext w:val="0"/>
              <w:keepLines w:val="0"/>
              <w:widowControl w:val="0"/>
              <w:suppressLineNumbers w:val="0"/>
              <w:spacing w:before="86" w:beforeAutospacing="0" w:after="0" w:afterAutospacing="0" w:line="240" w:lineRule="auto"/>
              <w:ind w:left="0" w:right="197" w:rightChars="0"/>
              <w:jc w:val="center"/>
              <w:rPr>
                <w:rFonts w:hint="eastAsia" w:ascii="仿宋" w:hAnsi="仿宋" w:eastAsia="仿宋" w:cs="仿宋"/>
                <w:snapToGrid w:val="0"/>
                <w:color w:val="000000"/>
                <w:kern w:val="0"/>
                <w:sz w:val="22"/>
                <w:szCs w:val="22"/>
                <w:highlight w:val="none"/>
                <w:lang w:val="en-US" w:eastAsia="en-US" w:bidi="ar-SA"/>
              </w:rPr>
            </w:pPr>
            <w:r>
              <w:rPr>
                <w:rFonts w:hint="eastAsia" w:ascii="仿宋" w:hAnsi="仿宋" w:eastAsia="仿宋" w:cs="仿宋"/>
                <w:spacing w:val="8"/>
                <w:sz w:val="22"/>
                <w:szCs w:val="22"/>
                <w:highlight w:val="none"/>
              </w:rPr>
              <w:t>人员安排</w:t>
            </w:r>
            <w:r>
              <w:rPr>
                <w:rFonts w:hint="eastAsia" w:ascii="仿宋" w:hAnsi="仿宋" w:eastAsia="仿宋" w:cs="仿宋"/>
                <w:spacing w:val="7"/>
                <w:sz w:val="22"/>
                <w:szCs w:val="22"/>
                <w:highlight w:val="none"/>
              </w:rPr>
              <w:t>配置情况</w:t>
            </w:r>
          </w:p>
        </w:tc>
        <w:tc>
          <w:tcPr>
            <w:tcW w:w="767" w:type="dxa"/>
            <w:shd w:val="clear" w:color="auto" w:fill="auto"/>
            <w:vAlign w:val="center"/>
          </w:tcPr>
          <w:p w14:paraId="3BE96030">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2"/>
                <w:szCs w:val="22"/>
                <w:highlight w:val="none"/>
              </w:rPr>
            </w:pPr>
          </w:p>
          <w:p w14:paraId="547A00FE">
            <w:pPr>
              <w:pStyle w:val="56"/>
              <w:keepNext w:val="0"/>
              <w:keepLines w:val="0"/>
              <w:widowControl w:val="0"/>
              <w:suppressLineNumbers w:val="0"/>
              <w:spacing w:before="86" w:beforeAutospacing="0" w:after="0" w:afterAutospacing="0" w:line="240" w:lineRule="auto"/>
              <w:ind w:left="0" w:right="0"/>
              <w:jc w:val="center"/>
              <w:rPr>
                <w:rFonts w:hint="eastAsia" w:ascii="仿宋" w:hAnsi="仿宋" w:eastAsia="仿宋" w:cs="仿宋"/>
                <w:snapToGrid w:val="0"/>
                <w:color w:val="000000"/>
                <w:kern w:val="0"/>
                <w:sz w:val="22"/>
                <w:szCs w:val="22"/>
                <w:highlight w:val="none"/>
                <w:lang w:val="en-US" w:eastAsia="zh-CN" w:bidi="ar-SA"/>
              </w:rPr>
            </w:pPr>
            <w:r>
              <w:rPr>
                <w:rFonts w:hint="eastAsia" w:ascii="仿宋" w:hAnsi="仿宋" w:eastAsia="仿宋" w:cs="仿宋"/>
                <w:spacing w:val="-5"/>
                <w:sz w:val="22"/>
                <w:szCs w:val="22"/>
                <w:highlight w:val="none"/>
              </w:rPr>
              <w:t>10</w:t>
            </w:r>
          </w:p>
        </w:tc>
        <w:tc>
          <w:tcPr>
            <w:tcW w:w="5437" w:type="dxa"/>
            <w:shd w:val="clear" w:color="auto" w:fill="auto"/>
            <w:vAlign w:val="top"/>
          </w:tcPr>
          <w:p w14:paraId="0266DC02">
            <w:pPr>
              <w:keepNext w:val="0"/>
              <w:keepLines w:val="0"/>
              <w:widowControl w:val="0"/>
              <w:suppressLineNumbers w:val="0"/>
              <w:bidi w:val="0"/>
              <w:spacing w:before="0" w:beforeAutospacing="0" w:after="0" w:afterAutospacing="0" w:line="240" w:lineRule="auto"/>
              <w:ind w:left="0" w:right="0"/>
              <w:jc w:val="both"/>
              <w:rPr>
                <w:rFonts w:hint="eastAsia" w:ascii="仿宋" w:hAnsi="仿宋" w:eastAsia="仿宋" w:cs="仿宋"/>
                <w:sz w:val="22"/>
                <w:szCs w:val="22"/>
                <w:highlight w:val="none"/>
              </w:rPr>
            </w:pPr>
            <w:r>
              <w:rPr>
                <w:rFonts w:hint="eastAsia" w:ascii="仿宋" w:hAnsi="仿宋" w:eastAsia="仿宋" w:cs="仿宋"/>
                <w:spacing w:val="3"/>
                <w:sz w:val="22"/>
                <w:szCs w:val="22"/>
                <w:highlight w:val="none"/>
              </w:rPr>
              <w:t>1.为确保食品安全</w:t>
            </w:r>
            <w:r>
              <w:rPr>
                <w:rFonts w:hint="eastAsia" w:ascii="仿宋" w:hAnsi="仿宋" w:eastAsia="仿宋" w:cs="仿宋"/>
                <w:spacing w:val="3"/>
                <w:sz w:val="22"/>
                <w:szCs w:val="22"/>
                <w:highlight w:val="none"/>
                <w:lang w:val="en-US" w:eastAsia="zh-CN"/>
              </w:rPr>
              <w:t>及食材配送的时效性</w:t>
            </w:r>
            <w:r>
              <w:rPr>
                <w:rFonts w:hint="eastAsia" w:ascii="仿宋" w:hAnsi="仿宋" w:eastAsia="仿宋" w:cs="仿宋"/>
                <w:spacing w:val="37"/>
                <w:w w:val="101"/>
                <w:sz w:val="22"/>
                <w:szCs w:val="22"/>
                <w:highlight w:val="none"/>
                <w:lang w:eastAsia="zh-CN"/>
              </w:rPr>
              <w:t>，</w:t>
            </w:r>
            <w:r>
              <w:rPr>
                <w:rFonts w:hint="eastAsia" w:ascii="仿宋" w:hAnsi="仿宋" w:eastAsia="仿宋" w:cs="仿宋"/>
                <w:spacing w:val="3"/>
                <w:sz w:val="22"/>
                <w:szCs w:val="22"/>
                <w:highlight w:val="none"/>
              </w:rPr>
              <w:t>需配备</w:t>
            </w:r>
            <w:r>
              <w:rPr>
                <w:rFonts w:hint="eastAsia" w:ascii="仿宋" w:hAnsi="仿宋" w:eastAsia="仿宋" w:cs="仿宋"/>
                <w:spacing w:val="3"/>
                <w:sz w:val="22"/>
                <w:szCs w:val="22"/>
                <w:highlight w:val="none"/>
                <w:lang w:val="en-US" w:eastAsia="zh-CN"/>
              </w:rPr>
              <w:t>本项目</w:t>
            </w:r>
            <w:r>
              <w:rPr>
                <w:rFonts w:hint="eastAsia" w:ascii="仿宋" w:hAnsi="仿宋" w:eastAsia="仿宋" w:cs="仿宋"/>
                <w:spacing w:val="3"/>
                <w:sz w:val="22"/>
                <w:szCs w:val="22"/>
                <w:highlight w:val="none"/>
              </w:rPr>
              <w:t>专职的工作人员</w:t>
            </w:r>
            <w:r>
              <w:rPr>
                <w:rFonts w:hint="eastAsia" w:ascii="仿宋" w:hAnsi="仿宋" w:eastAsia="仿宋" w:cs="仿宋"/>
                <w:spacing w:val="3"/>
                <w:sz w:val="22"/>
                <w:szCs w:val="22"/>
                <w:highlight w:val="none"/>
                <w:lang w:eastAsia="zh-CN"/>
              </w:rPr>
              <w:t>，</w:t>
            </w:r>
            <w:r>
              <w:rPr>
                <w:rFonts w:hint="eastAsia" w:ascii="仿宋" w:hAnsi="仿宋" w:eastAsia="仿宋" w:cs="仿宋"/>
                <w:spacing w:val="8"/>
                <w:sz w:val="22"/>
                <w:szCs w:val="22"/>
                <w:highlight w:val="none"/>
              </w:rPr>
              <w:t>职责分工</w:t>
            </w:r>
            <w:r>
              <w:rPr>
                <w:rFonts w:hint="eastAsia" w:ascii="仿宋" w:hAnsi="仿宋" w:eastAsia="仿宋" w:cs="仿宋"/>
                <w:spacing w:val="8"/>
                <w:sz w:val="22"/>
                <w:szCs w:val="22"/>
                <w:highlight w:val="none"/>
                <w:lang w:val="en-US" w:eastAsia="zh-CN"/>
              </w:rPr>
              <w:t>明确</w:t>
            </w:r>
            <w:r>
              <w:rPr>
                <w:rFonts w:hint="eastAsia" w:ascii="仿宋" w:hAnsi="仿宋" w:eastAsia="仿宋" w:cs="仿宋"/>
                <w:spacing w:val="8"/>
                <w:sz w:val="22"/>
                <w:szCs w:val="22"/>
                <w:highlight w:val="none"/>
              </w:rPr>
              <w:t>。</w:t>
            </w:r>
          </w:p>
          <w:p w14:paraId="5D13B655">
            <w:pPr>
              <w:keepNext w:val="0"/>
              <w:keepLines w:val="0"/>
              <w:widowControl w:val="0"/>
              <w:suppressLineNumbers w:val="0"/>
              <w:bidi w:val="0"/>
              <w:spacing w:before="0" w:beforeAutospacing="0" w:after="0" w:afterAutospacing="0" w:line="240" w:lineRule="auto"/>
              <w:ind w:left="0" w:right="0"/>
              <w:jc w:val="both"/>
              <w:rPr>
                <w:rFonts w:hint="eastAsia" w:ascii="仿宋" w:hAnsi="仿宋" w:eastAsia="仿宋" w:cs="仿宋"/>
                <w:sz w:val="22"/>
                <w:szCs w:val="22"/>
                <w:highlight w:val="none"/>
              </w:rPr>
            </w:pPr>
            <w:r>
              <w:rPr>
                <w:rFonts w:hint="eastAsia" w:ascii="仿宋" w:hAnsi="仿宋" w:eastAsia="仿宋" w:cs="仿宋"/>
                <w:spacing w:val="3"/>
                <w:sz w:val="22"/>
                <w:szCs w:val="22"/>
                <w:highlight w:val="none"/>
              </w:rPr>
              <w:t>投入本项目配送人员≥</w:t>
            </w:r>
            <w:r>
              <w:rPr>
                <w:rFonts w:hint="eastAsia" w:ascii="仿宋" w:hAnsi="仿宋" w:eastAsia="仿宋" w:cs="仿宋"/>
                <w:spacing w:val="3"/>
                <w:sz w:val="22"/>
                <w:szCs w:val="22"/>
                <w:highlight w:val="none"/>
                <w:lang w:val="en-US" w:eastAsia="zh-CN"/>
              </w:rPr>
              <w:t>25</w:t>
            </w:r>
            <w:r>
              <w:rPr>
                <w:rFonts w:hint="eastAsia" w:ascii="仿宋" w:hAnsi="仿宋" w:eastAsia="仿宋" w:cs="仿宋"/>
                <w:spacing w:val="3"/>
                <w:sz w:val="22"/>
                <w:szCs w:val="22"/>
                <w:highlight w:val="none"/>
              </w:rPr>
              <w:t>人</w:t>
            </w:r>
            <w:r>
              <w:rPr>
                <w:rFonts w:hint="eastAsia" w:ascii="仿宋" w:hAnsi="仿宋" w:eastAsia="仿宋" w:cs="仿宋"/>
                <w:spacing w:val="3"/>
                <w:sz w:val="22"/>
                <w:szCs w:val="22"/>
                <w:highlight w:val="none"/>
                <w:lang w:eastAsia="zh-CN"/>
              </w:rPr>
              <w:t>，</w:t>
            </w:r>
            <w:r>
              <w:rPr>
                <w:rFonts w:hint="eastAsia" w:ascii="仿宋" w:hAnsi="仿宋" w:eastAsia="仿宋" w:cs="仿宋"/>
                <w:spacing w:val="3"/>
                <w:sz w:val="22"/>
                <w:szCs w:val="22"/>
                <w:highlight w:val="none"/>
              </w:rPr>
              <w:t>得</w:t>
            </w:r>
            <w:r>
              <w:rPr>
                <w:rFonts w:hint="eastAsia" w:ascii="仿宋" w:hAnsi="仿宋" w:eastAsia="仿宋" w:cs="仿宋"/>
                <w:sz w:val="22"/>
                <w:szCs w:val="22"/>
                <w:highlight w:val="none"/>
                <w:lang w:val="en-US" w:eastAsia="zh-CN"/>
              </w:rPr>
              <w:t>6</w:t>
            </w:r>
            <w:r>
              <w:rPr>
                <w:rFonts w:hint="eastAsia" w:ascii="仿宋" w:hAnsi="仿宋" w:eastAsia="仿宋" w:cs="仿宋"/>
                <w:spacing w:val="3"/>
                <w:sz w:val="22"/>
                <w:szCs w:val="22"/>
                <w:highlight w:val="none"/>
              </w:rPr>
              <w:t>分</w:t>
            </w:r>
          </w:p>
          <w:p w14:paraId="055F2D0C">
            <w:pPr>
              <w:keepNext w:val="0"/>
              <w:keepLines w:val="0"/>
              <w:widowControl w:val="0"/>
              <w:suppressLineNumbers w:val="0"/>
              <w:bidi w:val="0"/>
              <w:spacing w:before="0" w:beforeAutospacing="0" w:after="0" w:afterAutospacing="0" w:line="240" w:lineRule="auto"/>
              <w:ind w:left="0" w:right="0"/>
              <w:jc w:val="both"/>
              <w:rPr>
                <w:rFonts w:hint="eastAsia" w:ascii="仿宋" w:hAnsi="仿宋" w:eastAsia="仿宋" w:cs="仿宋"/>
                <w:spacing w:val="4"/>
                <w:sz w:val="22"/>
                <w:szCs w:val="22"/>
                <w:highlight w:val="none"/>
              </w:rPr>
            </w:pPr>
            <w:r>
              <w:rPr>
                <w:rFonts w:hint="eastAsia" w:ascii="仿宋" w:hAnsi="仿宋" w:eastAsia="仿宋" w:cs="仿宋"/>
                <w:spacing w:val="5"/>
                <w:sz w:val="22"/>
                <w:szCs w:val="22"/>
                <w:highlight w:val="none"/>
              </w:rPr>
              <w:t>投入本项目配送人员&lt;</w:t>
            </w:r>
            <w:r>
              <w:rPr>
                <w:rFonts w:hint="eastAsia" w:ascii="仿宋" w:hAnsi="仿宋" w:eastAsia="仿宋" w:cs="仿宋"/>
                <w:spacing w:val="5"/>
                <w:sz w:val="22"/>
                <w:szCs w:val="22"/>
                <w:highlight w:val="none"/>
                <w:lang w:val="en-US" w:eastAsia="zh-CN"/>
              </w:rPr>
              <w:t>25</w:t>
            </w:r>
            <w:r>
              <w:rPr>
                <w:rFonts w:hint="eastAsia" w:ascii="仿宋" w:hAnsi="仿宋" w:eastAsia="仿宋" w:cs="仿宋"/>
                <w:spacing w:val="5"/>
                <w:sz w:val="22"/>
                <w:szCs w:val="22"/>
                <w:highlight w:val="none"/>
              </w:rPr>
              <w:t>人</w:t>
            </w:r>
            <w:r>
              <w:rPr>
                <w:rFonts w:hint="eastAsia" w:ascii="仿宋" w:hAnsi="仿宋" w:eastAsia="仿宋" w:cs="仿宋"/>
                <w:spacing w:val="5"/>
                <w:sz w:val="22"/>
                <w:szCs w:val="22"/>
                <w:highlight w:val="none"/>
                <w:lang w:eastAsia="zh-CN"/>
              </w:rPr>
              <w:t>，</w:t>
            </w:r>
            <w:r>
              <w:rPr>
                <w:rFonts w:hint="eastAsia" w:ascii="仿宋" w:hAnsi="仿宋" w:eastAsia="仿宋" w:cs="仿宋"/>
                <w:spacing w:val="5"/>
                <w:sz w:val="22"/>
                <w:szCs w:val="22"/>
                <w:highlight w:val="none"/>
              </w:rPr>
              <w:t>≥10人</w:t>
            </w:r>
            <w:r>
              <w:rPr>
                <w:rFonts w:hint="eastAsia" w:ascii="仿宋" w:hAnsi="仿宋" w:eastAsia="仿宋" w:cs="仿宋"/>
                <w:spacing w:val="5"/>
                <w:sz w:val="22"/>
                <w:szCs w:val="22"/>
                <w:highlight w:val="none"/>
                <w:lang w:eastAsia="zh-CN"/>
              </w:rPr>
              <w:t>，</w:t>
            </w:r>
            <w:r>
              <w:rPr>
                <w:rFonts w:hint="eastAsia" w:ascii="仿宋" w:hAnsi="仿宋" w:eastAsia="仿宋" w:cs="仿宋"/>
                <w:spacing w:val="4"/>
                <w:sz w:val="22"/>
                <w:szCs w:val="22"/>
                <w:highlight w:val="none"/>
              </w:rPr>
              <w:t>得</w:t>
            </w:r>
            <w:r>
              <w:rPr>
                <w:rFonts w:hint="eastAsia" w:ascii="仿宋" w:hAnsi="仿宋" w:eastAsia="仿宋" w:cs="仿宋"/>
                <w:spacing w:val="1"/>
                <w:sz w:val="22"/>
                <w:szCs w:val="22"/>
                <w:highlight w:val="none"/>
                <w:lang w:val="en-US" w:eastAsia="zh-CN"/>
              </w:rPr>
              <w:t>3</w:t>
            </w:r>
            <w:r>
              <w:rPr>
                <w:rFonts w:hint="eastAsia" w:ascii="仿宋" w:hAnsi="仿宋" w:eastAsia="仿宋" w:cs="仿宋"/>
                <w:spacing w:val="4"/>
                <w:sz w:val="22"/>
                <w:szCs w:val="22"/>
                <w:highlight w:val="none"/>
              </w:rPr>
              <w:t>分</w:t>
            </w:r>
          </w:p>
          <w:p w14:paraId="5B83BAF5">
            <w:pPr>
              <w:keepNext w:val="0"/>
              <w:keepLines w:val="0"/>
              <w:widowControl w:val="0"/>
              <w:suppressLineNumbers w:val="0"/>
              <w:bidi w:val="0"/>
              <w:spacing w:before="0" w:beforeAutospacing="0" w:after="0" w:afterAutospacing="0" w:line="240" w:lineRule="auto"/>
              <w:ind w:left="0" w:right="0"/>
              <w:jc w:val="both"/>
              <w:rPr>
                <w:rFonts w:hint="eastAsia" w:ascii="仿宋" w:hAnsi="仿宋" w:eastAsia="仿宋" w:cs="仿宋"/>
                <w:sz w:val="22"/>
                <w:szCs w:val="22"/>
                <w:highlight w:val="none"/>
              </w:rPr>
            </w:pPr>
            <w:r>
              <w:rPr>
                <w:rFonts w:hint="eastAsia" w:ascii="仿宋" w:hAnsi="仿宋" w:eastAsia="仿宋" w:cs="仿宋"/>
                <w:spacing w:val="4"/>
                <w:sz w:val="22"/>
                <w:szCs w:val="22"/>
                <w:highlight w:val="none"/>
              </w:rPr>
              <w:t>投入本项目配送人员&lt;10人</w:t>
            </w:r>
            <w:r>
              <w:rPr>
                <w:rFonts w:hint="eastAsia" w:ascii="仿宋" w:hAnsi="仿宋" w:eastAsia="仿宋" w:cs="仿宋"/>
                <w:spacing w:val="4"/>
                <w:sz w:val="22"/>
                <w:szCs w:val="22"/>
                <w:highlight w:val="none"/>
                <w:lang w:eastAsia="zh-CN"/>
              </w:rPr>
              <w:t>，</w:t>
            </w:r>
            <w:r>
              <w:rPr>
                <w:rFonts w:hint="eastAsia" w:ascii="仿宋" w:hAnsi="仿宋" w:eastAsia="仿宋" w:cs="仿宋"/>
                <w:spacing w:val="4"/>
                <w:sz w:val="22"/>
                <w:szCs w:val="22"/>
                <w:highlight w:val="none"/>
              </w:rPr>
              <w:t>得</w:t>
            </w:r>
            <w:r>
              <w:rPr>
                <w:rFonts w:hint="eastAsia" w:ascii="仿宋" w:hAnsi="仿宋" w:eastAsia="仿宋" w:cs="仿宋"/>
                <w:spacing w:val="4"/>
                <w:sz w:val="22"/>
                <w:szCs w:val="22"/>
                <w:highlight w:val="none"/>
                <w:lang w:val="en-US" w:eastAsia="zh-CN"/>
              </w:rPr>
              <w:t>1</w:t>
            </w:r>
            <w:r>
              <w:rPr>
                <w:rFonts w:hint="eastAsia" w:ascii="仿宋" w:hAnsi="仿宋" w:eastAsia="仿宋" w:cs="仿宋"/>
                <w:spacing w:val="4"/>
                <w:sz w:val="22"/>
                <w:szCs w:val="22"/>
                <w:highlight w:val="none"/>
              </w:rPr>
              <w:t>分。</w:t>
            </w:r>
          </w:p>
          <w:p w14:paraId="5705648B">
            <w:pPr>
              <w:keepNext w:val="0"/>
              <w:keepLines w:val="0"/>
              <w:widowControl w:val="0"/>
              <w:suppressLineNumbers w:val="0"/>
              <w:bidi w:val="0"/>
              <w:spacing w:before="0" w:beforeAutospacing="0" w:after="0" w:afterAutospacing="0" w:line="240" w:lineRule="auto"/>
              <w:ind w:left="0" w:right="0"/>
              <w:jc w:val="both"/>
              <w:rPr>
                <w:rFonts w:hint="eastAsia" w:ascii="仿宋" w:hAnsi="仿宋" w:eastAsia="仿宋" w:cs="仿宋"/>
                <w:snapToGrid w:val="0"/>
                <w:color w:val="000000"/>
                <w:kern w:val="0"/>
                <w:sz w:val="22"/>
                <w:szCs w:val="22"/>
                <w:highlight w:val="none"/>
                <w:lang w:val="en-US" w:eastAsia="en-US" w:bidi="ar-SA"/>
              </w:rPr>
            </w:pPr>
            <w:r>
              <w:rPr>
                <w:rFonts w:hint="eastAsia" w:ascii="仿宋" w:hAnsi="仿宋" w:eastAsia="仿宋" w:cs="仿宋"/>
                <w:spacing w:val="11"/>
                <w:sz w:val="22"/>
                <w:szCs w:val="22"/>
                <w:highlight w:val="none"/>
              </w:rPr>
              <w:t>2.</w:t>
            </w:r>
            <w:r>
              <w:rPr>
                <w:rFonts w:hint="eastAsia" w:ascii="仿宋" w:hAnsi="仿宋" w:eastAsia="仿宋" w:cs="仿宋"/>
                <w:spacing w:val="11"/>
                <w:sz w:val="22"/>
                <w:szCs w:val="22"/>
                <w:highlight w:val="none"/>
                <w:lang w:val="en-US" w:eastAsia="zh-CN"/>
              </w:rPr>
              <w:t>配备至少1名</w:t>
            </w:r>
            <w:r>
              <w:rPr>
                <w:rFonts w:hint="eastAsia" w:ascii="仿宋" w:hAnsi="仿宋" w:eastAsia="仿宋" w:cs="仿宋"/>
                <w:spacing w:val="11"/>
                <w:sz w:val="22"/>
                <w:szCs w:val="22"/>
                <w:highlight w:val="none"/>
              </w:rPr>
              <w:t>食品安全总监和</w:t>
            </w:r>
            <w:r>
              <w:rPr>
                <w:rFonts w:hint="eastAsia" w:ascii="仿宋" w:hAnsi="仿宋" w:eastAsia="仿宋" w:cs="仿宋"/>
                <w:spacing w:val="11"/>
                <w:sz w:val="22"/>
                <w:szCs w:val="22"/>
                <w:highlight w:val="none"/>
                <w:lang w:val="en-US" w:eastAsia="zh-CN"/>
              </w:rPr>
              <w:t>1名</w:t>
            </w:r>
            <w:r>
              <w:rPr>
                <w:rFonts w:hint="eastAsia" w:ascii="仿宋" w:hAnsi="仿宋" w:eastAsia="仿宋" w:cs="仿宋"/>
                <w:spacing w:val="11"/>
                <w:sz w:val="22"/>
                <w:szCs w:val="22"/>
                <w:highlight w:val="none"/>
              </w:rPr>
              <w:t>食品</w:t>
            </w:r>
            <w:r>
              <w:rPr>
                <w:rFonts w:hint="eastAsia" w:ascii="仿宋" w:hAnsi="仿宋" w:eastAsia="仿宋" w:cs="仿宋"/>
                <w:spacing w:val="11"/>
                <w:sz w:val="22"/>
                <w:szCs w:val="22"/>
                <w:highlight w:val="none"/>
                <w:lang w:val="en-US" w:eastAsia="zh-CN"/>
              </w:rPr>
              <w:t>检验</w:t>
            </w:r>
            <w:r>
              <w:rPr>
                <w:rFonts w:hint="eastAsia" w:ascii="仿宋" w:hAnsi="仿宋" w:eastAsia="仿宋" w:cs="仿宋"/>
                <w:spacing w:val="11"/>
                <w:sz w:val="22"/>
                <w:szCs w:val="22"/>
                <w:highlight w:val="none"/>
              </w:rPr>
              <w:t>员</w:t>
            </w:r>
            <w:r>
              <w:rPr>
                <w:rFonts w:hint="eastAsia" w:ascii="仿宋" w:hAnsi="仿宋" w:eastAsia="仿宋" w:cs="仿宋"/>
                <w:spacing w:val="11"/>
                <w:sz w:val="22"/>
                <w:szCs w:val="22"/>
                <w:highlight w:val="none"/>
                <w:lang w:eastAsia="zh-CN"/>
              </w:rPr>
              <w:t>，</w:t>
            </w:r>
            <w:r>
              <w:rPr>
                <w:rFonts w:hint="eastAsia" w:ascii="仿宋" w:hAnsi="仿宋" w:eastAsia="仿宋" w:cs="仿宋"/>
                <w:spacing w:val="11"/>
                <w:sz w:val="22"/>
                <w:szCs w:val="22"/>
                <w:highlight w:val="none"/>
                <w:lang w:val="en-US" w:eastAsia="zh-CN"/>
              </w:rPr>
              <w:t>每配备一名得2分，</w:t>
            </w:r>
            <w:r>
              <w:rPr>
                <w:rFonts w:hint="eastAsia" w:ascii="仿宋" w:hAnsi="仿宋" w:eastAsia="仿宋" w:cs="仿宋"/>
                <w:spacing w:val="4"/>
                <w:sz w:val="22"/>
                <w:szCs w:val="22"/>
                <w:highlight w:val="none"/>
              </w:rPr>
              <w:t>满分</w:t>
            </w:r>
            <w:r>
              <w:rPr>
                <w:rFonts w:hint="eastAsia" w:ascii="仿宋" w:hAnsi="仿宋" w:eastAsia="仿宋" w:cs="仿宋"/>
                <w:spacing w:val="4"/>
                <w:sz w:val="22"/>
                <w:szCs w:val="22"/>
                <w:highlight w:val="none"/>
                <w:lang w:val="en-US" w:eastAsia="zh-CN"/>
              </w:rPr>
              <w:t>4</w:t>
            </w:r>
            <w:r>
              <w:rPr>
                <w:rFonts w:hint="eastAsia" w:ascii="仿宋" w:hAnsi="仿宋" w:eastAsia="仿宋" w:cs="仿宋"/>
                <w:spacing w:val="4"/>
                <w:sz w:val="22"/>
                <w:szCs w:val="22"/>
                <w:highlight w:val="none"/>
              </w:rPr>
              <w:t>分。</w:t>
            </w:r>
            <w:r>
              <w:rPr>
                <w:rFonts w:hint="eastAsia" w:ascii="仿宋" w:hAnsi="仿宋" w:eastAsia="仿宋" w:cs="仿宋"/>
                <w:b/>
                <w:bCs/>
                <w:spacing w:val="4"/>
                <w:sz w:val="22"/>
                <w:szCs w:val="22"/>
                <w:highlight w:val="none"/>
                <w:lang w:val="en-US" w:eastAsia="zh-CN"/>
              </w:rPr>
              <w:t>以上</w:t>
            </w:r>
            <w:r>
              <w:rPr>
                <w:rFonts w:hint="eastAsia" w:ascii="仿宋" w:hAnsi="仿宋" w:eastAsia="仿宋" w:cs="仿宋"/>
                <w:b/>
                <w:bCs/>
                <w:spacing w:val="6"/>
                <w:sz w:val="22"/>
                <w:szCs w:val="22"/>
                <w:highlight w:val="none"/>
              </w:rPr>
              <w:t>人员</w:t>
            </w:r>
            <w:r>
              <w:rPr>
                <w:rFonts w:hint="eastAsia" w:ascii="仿宋" w:hAnsi="仿宋" w:eastAsia="仿宋" w:cs="仿宋"/>
                <w:b/>
                <w:bCs/>
                <w:spacing w:val="6"/>
                <w:sz w:val="22"/>
                <w:szCs w:val="22"/>
                <w:highlight w:val="none"/>
                <w:lang w:val="en-US" w:eastAsia="zh-CN"/>
              </w:rPr>
              <w:t>需提供近3</w:t>
            </w:r>
            <w:r>
              <w:rPr>
                <w:rFonts w:hint="eastAsia" w:ascii="仿宋" w:hAnsi="仿宋" w:eastAsia="仿宋" w:cs="仿宋"/>
                <w:b/>
                <w:bCs/>
                <w:spacing w:val="6"/>
                <w:sz w:val="22"/>
                <w:szCs w:val="22"/>
                <w:highlight w:val="none"/>
              </w:rPr>
              <w:t>个月内社保</w:t>
            </w:r>
            <w:r>
              <w:rPr>
                <w:rFonts w:hint="eastAsia" w:ascii="仿宋" w:hAnsi="仿宋" w:eastAsia="仿宋" w:cs="仿宋"/>
                <w:b/>
                <w:bCs/>
                <w:spacing w:val="6"/>
                <w:sz w:val="22"/>
                <w:szCs w:val="22"/>
                <w:highlight w:val="none"/>
                <w:lang w:val="en-US" w:eastAsia="zh-CN"/>
              </w:rPr>
              <w:t>证明</w:t>
            </w:r>
            <w:r>
              <w:rPr>
                <w:rFonts w:hint="eastAsia" w:ascii="仿宋" w:hAnsi="仿宋" w:eastAsia="仿宋" w:cs="仿宋"/>
                <w:b/>
                <w:bCs/>
                <w:spacing w:val="6"/>
                <w:sz w:val="22"/>
                <w:szCs w:val="22"/>
                <w:highlight w:val="none"/>
              </w:rPr>
              <w:t>、有效期内健康证明</w:t>
            </w:r>
            <w:r>
              <w:rPr>
                <w:rFonts w:hint="eastAsia" w:ascii="仿宋" w:hAnsi="仿宋" w:eastAsia="仿宋" w:cs="仿宋"/>
                <w:b/>
                <w:bCs/>
                <w:spacing w:val="5"/>
                <w:sz w:val="22"/>
                <w:szCs w:val="22"/>
                <w:highlight w:val="none"/>
              </w:rPr>
              <w:t>、</w:t>
            </w:r>
            <w:r>
              <w:rPr>
                <w:rFonts w:hint="eastAsia" w:ascii="仿宋" w:hAnsi="仿宋" w:eastAsia="仿宋" w:cs="仿宋"/>
                <w:b/>
                <w:bCs/>
                <w:spacing w:val="5"/>
                <w:sz w:val="22"/>
                <w:szCs w:val="22"/>
                <w:highlight w:val="none"/>
                <w:lang w:val="en-US" w:eastAsia="zh-CN"/>
              </w:rPr>
              <w:t>劳务</w:t>
            </w:r>
            <w:r>
              <w:rPr>
                <w:rFonts w:hint="eastAsia" w:ascii="仿宋" w:hAnsi="仿宋" w:eastAsia="仿宋" w:cs="仿宋"/>
                <w:b/>
                <w:bCs/>
                <w:spacing w:val="5"/>
                <w:sz w:val="22"/>
                <w:szCs w:val="22"/>
                <w:highlight w:val="none"/>
              </w:rPr>
              <w:t>合同</w:t>
            </w:r>
            <w:r>
              <w:rPr>
                <w:rFonts w:hint="eastAsia" w:ascii="仿宋" w:hAnsi="仿宋" w:eastAsia="仿宋" w:cs="仿宋"/>
                <w:b/>
                <w:bCs/>
                <w:spacing w:val="5"/>
                <w:sz w:val="22"/>
                <w:szCs w:val="22"/>
                <w:highlight w:val="none"/>
                <w:lang w:eastAsia="zh-CN"/>
              </w:rPr>
              <w:t>，</w:t>
            </w:r>
            <w:r>
              <w:rPr>
                <w:rFonts w:hint="eastAsia" w:ascii="仿宋" w:hAnsi="仿宋" w:eastAsia="仿宋" w:cs="仿宋"/>
                <w:b/>
                <w:bCs/>
                <w:spacing w:val="9"/>
                <w:sz w:val="22"/>
                <w:szCs w:val="22"/>
                <w:highlight w:val="none"/>
              </w:rPr>
              <w:t>食品安全总监证、食品</w:t>
            </w:r>
            <w:r>
              <w:rPr>
                <w:rFonts w:hint="eastAsia" w:ascii="仿宋" w:hAnsi="仿宋" w:eastAsia="仿宋" w:cs="仿宋"/>
                <w:b/>
                <w:bCs/>
                <w:spacing w:val="9"/>
                <w:sz w:val="22"/>
                <w:szCs w:val="22"/>
                <w:highlight w:val="none"/>
                <w:lang w:val="en-US" w:eastAsia="zh-CN"/>
              </w:rPr>
              <w:t>检验员证</w:t>
            </w:r>
            <w:r>
              <w:rPr>
                <w:rFonts w:hint="eastAsia" w:ascii="仿宋" w:hAnsi="仿宋" w:eastAsia="仿宋" w:cs="仿宋"/>
                <w:b/>
                <w:bCs/>
                <w:spacing w:val="9"/>
                <w:sz w:val="22"/>
                <w:szCs w:val="22"/>
                <w:highlight w:val="none"/>
              </w:rPr>
              <w:t>、身份证等相关资料。提</w:t>
            </w:r>
            <w:r>
              <w:rPr>
                <w:rFonts w:hint="eastAsia" w:ascii="仿宋" w:hAnsi="仿宋" w:eastAsia="仿宋" w:cs="仿宋"/>
                <w:b/>
                <w:bCs/>
                <w:spacing w:val="8"/>
                <w:sz w:val="22"/>
                <w:szCs w:val="22"/>
                <w:highlight w:val="none"/>
              </w:rPr>
              <w:t>供不全或不提供不得分。</w:t>
            </w:r>
          </w:p>
        </w:tc>
        <w:tc>
          <w:tcPr>
            <w:tcW w:w="1307" w:type="dxa"/>
          </w:tcPr>
          <w:p w14:paraId="6FC00816">
            <w:pPr>
              <w:keepNext w:val="0"/>
              <w:keepLines w:val="0"/>
              <w:widowControl w:val="0"/>
              <w:suppressLineNumbers w:val="0"/>
              <w:bidi w:val="0"/>
              <w:spacing w:before="0" w:beforeAutospacing="0" w:after="0" w:afterAutospacing="0" w:line="240" w:lineRule="auto"/>
              <w:ind w:left="0" w:right="0"/>
              <w:rPr>
                <w:rFonts w:hint="eastAsia" w:ascii="仿宋" w:hAnsi="仿宋" w:eastAsia="仿宋" w:cs="仿宋"/>
                <w:sz w:val="22"/>
                <w:szCs w:val="22"/>
                <w:highlight w:val="none"/>
                <w:vertAlign w:val="baseline"/>
              </w:rPr>
            </w:pPr>
          </w:p>
        </w:tc>
      </w:tr>
      <w:tr w14:paraId="4385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tcPr>
          <w:p w14:paraId="5CA19867">
            <w:pPr>
              <w:keepNext w:val="0"/>
              <w:keepLines w:val="0"/>
              <w:widowControl w:val="0"/>
              <w:suppressLineNumbers w:val="0"/>
              <w:bidi w:val="0"/>
              <w:spacing w:before="0" w:beforeAutospacing="0" w:after="0" w:afterAutospacing="0" w:line="240" w:lineRule="auto"/>
              <w:ind w:left="0" w:right="0"/>
              <w:rPr>
                <w:rFonts w:hint="eastAsia" w:ascii="仿宋" w:hAnsi="仿宋" w:eastAsia="仿宋" w:cs="仿宋"/>
                <w:sz w:val="22"/>
                <w:szCs w:val="22"/>
                <w:highlight w:val="none"/>
                <w:vertAlign w:val="baseline"/>
              </w:rPr>
            </w:pPr>
          </w:p>
        </w:tc>
        <w:tc>
          <w:tcPr>
            <w:tcW w:w="1086" w:type="dxa"/>
            <w:shd w:val="clear" w:color="auto" w:fill="auto"/>
            <w:vAlign w:val="center"/>
          </w:tcPr>
          <w:p w14:paraId="556AC95B">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sz w:val="22"/>
                <w:szCs w:val="22"/>
                <w:highlight w:val="none"/>
              </w:rPr>
            </w:pPr>
          </w:p>
          <w:p w14:paraId="08B9CEDC">
            <w:pPr>
              <w:pStyle w:val="56"/>
              <w:keepNext w:val="0"/>
              <w:keepLines w:val="0"/>
              <w:widowControl w:val="0"/>
              <w:suppressLineNumbers w:val="0"/>
              <w:spacing w:before="86" w:beforeAutospacing="0" w:after="0" w:afterAutospacing="0" w:line="240" w:lineRule="auto"/>
              <w:ind w:left="0" w:right="0"/>
              <w:jc w:val="center"/>
              <w:rPr>
                <w:rFonts w:hint="eastAsia" w:ascii="仿宋" w:hAnsi="仿宋" w:eastAsia="仿宋" w:cs="仿宋"/>
                <w:spacing w:val="9"/>
                <w:sz w:val="22"/>
                <w:szCs w:val="22"/>
                <w:highlight w:val="none"/>
              </w:rPr>
            </w:pPr>
            <w:r>
              <w:rPr>
                <w:rFonts w:hint="eastAsia" w:ascii="仿宋" w:hAnsi="仿宋" w:eastAsia="仿宋" w:cs="仿宋"/>
                <w:spacing w:val="9"/>
                <w:sz w:val="22"/>
                <w:szCs w:val="22"/>
                <w:highlight w:val="none"/>
              </w:rPr>
              <w:t>售后</w:t>
            </w:r>
          </w:p>
          <w:p w14:paraId="2D45945A">
            <w:pPr>
              <w:pStyle w:val="56"/>
              <w:keepNext w:val="0"/>
              <w:keepLines w:val="0"/>
              <w:widowControl w:val="0"/>
              <w:suppressLineNumbers w:val="0"/>
              <w:spacing w:before="86" w:beforeAutospacing="0" w:after="0" w:afterAutospacing="0" w:line="240" w:lineRule="auto"/>
              <w:ind w:left="0" w:right="0"/>
              <w:jc w:val="center"/>
              <w:rPr>
                <w:rFonts w:hint="eastAsia" w:ascii="仿宋" w:hAnsi="仿宋" w:eastAsia="仿宋" w:cs="仿宋"/>
                <w:snapToGrid w:val="0"/>
                <w:color w:val="000000"/>
                <w:kern w:val="0"/>
                <w:sz w:val="22"/>
                <w:szCs w:val="22"/>
                <w:highlight w:val="none"/>
                <w:lang w:val="en-US" w:eastAsia="en-US" w:bidi="ar-SA"/>
              </w:rPr>
            </w:pPr>
            <w:r>
              <w:rPr>
                <w:rFonts w:hint="eastAsia" w:ascii="仿宋" w:hAnsi="仿宋" w:eastAsia="仿宋" w:cs="仿宋"/>
                <w:spacing w:val="9"/>
                <w:sz w:val="22"/>
                <w:szCs w:val="22"/>
                <w:highlight w:val="none"/>
              </w:rPr>
              <w:t>服务</w:t>
            </w:r>
          </w:p>
        </w:tc>
        <w:tc>
          <w:tcPr>
            <w:tcW w:w="767" w:type="dxa"/>
            <w:shd w:val="clear" w:color="auto" w:fill="auto"/>
            <w:vAlign w:val="center"/>
          </w:tcPr>
          <w:p w14:paraId="6A9FCDE3">
            <w:pPr>
              <w:pStyle w:val="56"/>
              <w:keepNext w:val="0"/>
              <w:keepLines w:val="0"/>
              <w:widowControl w:val="0"/>
              <w:suppressLineNumbers w:val="0"/>
              <w:spacing w:before="85" w:beforeAutospacing="0" w:after="0" w:afterAutospacing="0" w:line="240" w:lineRule="auto"/>
              <w:ind w:left="0" w:right="0"/>
              <w:jc w:val="center"/>
              <w:rPr>
                <w:rFonts w:hint="eastAsia" w:ascii="仿宋" w:hAnsi="仿宋" w:eastAsia="仿宋" w:cs="仿宋"/>
                <w:snapToGrid w:val="0"/>
                <w:color w:val="000000"/>
                <w:kern w:val="0"/>
                <w:sz w:val="22"/>
                <w:szCs w:val="22"/>
                <w:highlight w:val="none"/>
                <w:lang w:val="en-US" w:eastAsia="zh-CN" w:bidi="ar-SA"/>
              </w:rPr>
            </w:pPr>
            <w:r>
              <w:rPr>
                <w:rFonts w:hint="eastAsia" w:ascii="仿宋" w:hAnsi="仿宋" w:eastAsia="仿宋" w:cs="仿宋"/>
                <w:spacing w:val="3"/>
                <w:sz w:val="22"/>
                <w:szCs w:val="22"/>
                <w:highlight w:val="none"/>
                <w:lang w:val="en-US" w:eastAsia="zh-CN"/>
              </w:rPr>
              <w:t>8</w:t>
            </w:r>
          </w:p>
        </w:tc>
        <w:tc>
          <w:tcPr>
            <w:tcW w:w="5437" w:type="dxa"/>
            <w:shd w:val="clear" w:color="auto" w:fill="auto"/>
            <w:vAlign w:val="top"/>
          </w:tcPr>
          <w:p w14:paraId="4298639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both"/>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根据供应商针对本项目提供售后服务方案，至少包含：1、售后服务管理制度；2、项目售后服务组织措施；3、响应时间及现场服务支持能力；4、针对服务中出现各项问题的解决办法；5、售后24小时服务专线，确保快速解决一切突发紧急情况（配备不少于3名专职售后小组人员，需提供具体联系人、联系电话及人员近3个月内社保证明、有效期内健康证明、劳务合同、身份证等相关资料等）；6、验货不合格产品的退换方案等。</w:t>
            </w:r>
          </w:p>
          <w:p w14:paraId="5FEA0BC0">
            <w:pPr>
              <w:pStyle w:val="56"/>
              <w:keepNext w:val="0"/>
              <w:keepLines w:val="0"/>
              <w:widowControl w:val="0"/>
              <w:suppressLineNumbers w:val="0"/>
              <w:spacing w:before="5" w:beforeAutospacing="0" w:after="0" w:afterAutospacing="0" w:line="240" w:lineRule="auto"/>
              <w:ind w:left="0" w:right="105" w:rightChars="0"/>
              <w:jc w:val="both"/>
              <w:rPr>
                <w:rFonts w:hint="eastAsia" w:ascii="仿宋" w:hAnsi="仿宋" w:eastAsia="仿宋" w:cs="仿宋"/>
                <w:snapToGrid w:val="0"/>
                <w:color w:val="000000"/>
                <w:kern w:val="0"/>
                <w:sz w:val="22"/>
                <w:szCs w:val="22"/>
                <w:highlight w:val="none"/>
                <w:lang w:val="en-US" w:eastAsia="en-US" w:bidi="ar-SA"/>
              </w:rPr>
            </w:pPr>
            <w:r>
              <w:rPr>
                <w:rFonts w:hint="eastAsia" w:ascii="仿宋" w:hAnsi="仿宋" w:eastAsia="仿宋" w:cs="仿宋"/>
                <w:color w:val="auto"/>
                <w:kern w:val="0"/>
                <w:sz w:val="22"/>
                <w:szCs w:val="22"/>
                <w:highlight w:val="none"/>
                <w:lang w:val="en-US" w:eastAsia="zh-CN" w:bidi="ar"/>
              </w:rPr>
              <w:t>以上方案贴合本项目实际情况、方案内容全面、逻辑清晰，完全满足项目采购需求的得8分，其中缺项漏项或每项内容存在内容不全面或内容不具体或文字表述不清晰或方案内容与项目无关的，每有一项扣2分，扣完为止。</w:t>
            </w:r>
          </w:p>
        </w:tc>
        <w:tc>
          <w:tcPr>
            <w:tcW w:w="1307" w:type="dxa"/>
          </w:tcPr>
          <w:p w14:paraId="2F29FF15">
            <w:pPr>
              <w:keepNext w:val="0"/>
              <w:keepLines w:val="0"/>
              <w:widowControl w:val="0"/>
              <w:suppressLineNumbers w:val="0"/>
              <w:bidi w:val="0"/>
              <w:spacing w:before="0" w:beforeAutospacing="0" w:after="0" w:afterAutospacing="0" w:line="240" w:lineRule="auto"/>
              <w:ind w:left="0" w:right="0"/>
              <w:rPr>
                <w:rFonts w:hint="eastAsia" w:ascii="仿宋" w:hAnsi="仿宋" w:eastAsia="仿宋" w:cs="仿宋"/>
                <w:sz w:val="22"/>
                <w:szCs w:val="22"/>
                <w:highlight w:val="none"/>
                <w:vertAlign w:val="baseline"/>
              </w:rPr>
            </w:pPr>
          </w:p>
        </w:tc>
      </w:tr>
    </w:tbl>
    <w:p w14:paraId="11F60F7A">
      <w:pPr>
        <w:rPr>
          <w:rFonts w:hint="eastAsia"/>
          <w:lang w:val="en-US" w:eastAsia="zh-CN"/>
        </w:rPr>
      </w:pPr>
    </w:p>
    <w:p w14:paraId="1EDD6D70">
      <w:pPr>
        <w:rPr>
          <w:rFonts w:hint="eastAsia" w:ascii="仿宋" w:hAnsi="仿宋" w:eastAsia="仿宋" w:cs="仿宋"/>
          <w:b/>
          <w:bCs/>
          <w:sz w:val="28"/>
          <w:szCs w:val="28"/>
          <w:lang w:val="en-US" w:eastAsia="zh-CN"/>
        </w:rPr>
      </w:pPr>
    </w:p>
    <w:p w14:paraId="4B1DE74F">
      <w:pPr>
        <w:rPr>
          <w:rFonts w:hint="eastAsia" w:ascii="仿宋" w:hAnsi="仿宋" w:eastAsia="仿宋" w:cs="仿宋"/>
          <w:b/>
          <w:bCs/>
          <w:sz w:val="28"/>
          <w:szCs w:val="28"/>
          <w:lang w:val="en-US" w:eastAsia="zh-CN"/>
        </w:rPr>
      </w:pPr>
    </w:p>
    <w:p w14:paraId="217E0589">
      <w:pPr>
        <w:rPr>
          <w:rFonts w:hint="eastAsia" w:ascii="仿宋" w:hAnsi="仿宋" w:eastAsia="仿宋" w:cs="仿宋"/>
          <w:b/>
          <w:bCs/>
          <w:sz w:val="28"/>
          <w:szCs w:val="28"/>
          <w:lang w:val="en-US" w:eastAsia="zh-CN"/>
        </w:rPr>
      </w:pPr>
    </w:p>
    <w:p w14:paraId="5C5BF49B">
      <w:pPr>
        <w:rPr>
          <w:rFonts w:hint="eastAsia" w:ascii="仿宋" w:hAnsi="仿宋" w:eastAsia="仿宋" w:cs="仿宋"/>
          <w:b/>
          <w:bCs/>
          <w:sz w:val="28"/>
          <w:szCs w:val="28"/>
          <w:lang w:val="en-US" w:eastAsia="zh-CN"/>
        </w:rPr>
      </w:pPr>
    </w:p>
    <w:p w14:paraId="687DDFD2">
      <w:pPr>
        <w:pStyle w:val="5"/>
        <w:ind w:left="0" w:leftChars="0" w:firstLine="0" w:firstLineChars="0"/>
        <w:rPr>
          <w:rFonts w:hint="eastAsia" w:ascii="仿宋" w:hAnsi="仿宋" w:eastAsia="仿宋" w:cs="仿宋"/>
          <w:b/>
          <w:bCs/>
          <w:sz w:val="28"/>
          <w:szCs w:val="28"/>
          <w:lang w:val="en-US" w:eastAsia="zh-CN"/>
        </w:rPr>
      </w:pPr>
    </w:p>
    <w:p w14:paraId="0FCFE251">
      <w:pPr>
        <w:jc w:val="both"/>
        <w:rPr>
          <w:rFonts w:hint="eastAsia" w:ascii="仿宋" w:hAnsi="仿宋" w:eastAsia="仿宋" w:cs="仿宋"/>
          <w:b/>
          <w:bCs/>
          <w:sz w:val="28"/>
          <w:szCs w:val="28"/>
          <w:lang w:val="en-US" w:eastAsia="zh-CN"/>
        </w:rPr>
        <w:sectPr>
          <w:headerReference r:id="rId3" w:type="default"/>
          <w:footerReference r:id="rId4" w:type="default"/>
          <w:pgSz w:w="11907" w:h="16840"/>
          <w:pgMar w:top="1440" w:right="1080" w:bottom="1440" w:left="1080" w:header="851" w:footer="850" w:gutter="0"/>
          <w:pgNumType w:fmt="decimal"/>
          <w:cols w:space="720" w:num="1"/>
          <w:docGrid w:linePitch="462" w:charSpace="0"/>
        </w:sectPr>
      </w:pPr>
    </w:p>
    <w:bookmarkEnd w:id="236"/>
    <w:p w14:paraId="1914EEDE">
      <w:pPr>
        <w:pStyle w:val="4"/>
        <w:numPr>
          <w:ilvl w:val="0"/>
          <w:numId w:val="9"/>
        </w:numPr>
        <w:spacing w:line="360" w:lineRule="auto"/>
        <w:ind w:leftChars="0"/>
        <w:jc w:val="center"/>
        <w:rPr>
          <w:rFonts w:hint="eastAsia" w:ascii="仿宋_GB2312" w:hAnsi="仿宋_GB2312" w:eastAsia="仿宋_GB2312" w:cs="仿宋_GB2312"/>
          <w:b/>
          <w:bCs/>
          <w:i w:val="0"/>
          <w:iCs w:val="0"/>
          <w:caps w:val="0"/>
          <w:color w:val="000000"/>
          <w:spacing w:val="0"/>
          <w:kern w:val="0"/>
          <w:sz w:val="36"/>
          <w:szCs w:val="36"/>
          <w:lang w:val="en-US" w:eastAsia="zh-CN" w:bidi="ar"/>
        </w:rPr>
      </w:pPr>
      <w:bookmarkStart w:id="237" w:name="_Toc6050"/>
      <w:r>
        <w:rPr>
          <w:rFonts w:hint="eastAsia" w:ascii="仿宋_GB2312" w:hAnsi="仿宋_GB2312" w:eastAsia="仿宋_GB2312" w:cs="仿宋_GB2312"/>
          <w:b/>
          <w:bCs/>
          <w:i w:val="0"/>
          <w:iCs w:val="0"/>
          <w:caps w:val="0"/>
          <w:color w:val="000000"/>
          <w:spacing w:val="0"/>
          <w:kern w:val="0"/>
          <w:sz w:val="36"/>
          <w:szCs w:val="36"/>
          <w:lang w:val="en-US" w:eastAsia="zh-CN" w:bidi="ar"/>
        </w:rPr>
        <w:t xml:space="preserve"> 货物需求一览表</w:t>
      </w:r>
    </w:p>
    <w:p w14:paraId="1BF73D72">
      <w:pPr>
        <w:rPr>
          <w:rFonts w:hint="eastAsia"/>
          <w:lang w:val="en-US" w:eastAsia="zh-CN"/>
        </w:rPr>
      </w:pPr>
    </w:p>
    <w:p w14:paraId="6C89464B">
      <w:pPr>
        <w:pStyle w:val="5"/>
        <w:ind w:left="0" w:leftChars="0" w:firstLine="0" w:firstLineChars="0"/>
        <w:rPr>
          <w:rFonts w:hint="eastAsia"/>
          <w:sz w:val="28"/>
          <w:szCs w:val="28"/>
          <w:lang w:val="en-US" w:eastAsia="zh-CN"/>
        </w:rPr>
      </w:pPr>
      <w:r>
        <w:rPr>
          <w:rFonts w:hint="eastAsia" w:ascii="仿宋_GB2312" w:hAnsi="仿宋_GB2312" w:eastAsia="仿宋_GB2312" w:cs="仿宋_GB2312"/>
          <w:b/>
          <w:bCs/>
          <w:i w:val="0"/>
          <w:iCs w:val="0"/>
          <w:caps w:val="0"/>
          <w:color w:val="000000"/>
          <w:spacing w:val="0"/>
          <w:kern w:val="0"/>
          <w:sz w:val="28"/>
          <w:szCs w:val="28"/>
          <w:lang w:val="en-US" w:eastAsia="zh-CN" w:bidi="ar"/>
        </w:rPr>
        <w:t>采购需求：</w:t>
      </w:r>
    </w:p>
    <w:tbl>
      <w:tblPr>
        <w:tblStyle w:val="26"/>
        <w:tblW w:w="14893"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547"/>
        <w:gridCol w:w="880"/>
        <w:gridCol w:w="1149"/>
        <w:gridCol w:w="10464"/>
      </w:tblGrid>
      <w:tr w14:paraId="4B6A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42A0C9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仿宋_GB2312" w:hAnsi="仿宋_GB2312" w:eastAsia="仿宋_GB2312" w:cs="仿宋_GB2312"/>
                <w:b/>
                <w:bCs/>
                <w:i w:val="0"/>
                <w:iCs w:val="0"/>
                <w:caps w:val="0"/>
                <w:color w:val="000000"/>
                <w:spacing w:val="0"/>
                <w:kern w:val="0"/>
                <w:sz w:val="23"/>
                <w:szCs w:val="23"/>
                <w:lang w:val="en-US" w:eastAsia="zh-CN" w:bidi="ar"/>
              </w:rPr>
            </w:pPr>
            <w:r>
              <w:rPr>
                <w:rFonts w:hint="eastAsia" w:ascii="仿宋_GB2312" w:hAnsi="仿宋_GB2312" w:eastAsia="仿宋_GB2312" w:cs="仿宋_GB2312"/>
                <w:b/>
                <w:bCs/>
                <w:i w:val="0"/>
                <w:iCs w:val="0"/>
                <w:caps w:val="0"/>
                <w:color w:val="000000"/>
                <w:spacing w:val="0"/>
                <w:kern w:val="0"/>
                <w:sz w:val="23"/>
                <w:szCs w:val="23"/>
                <w:lang w:val="en-US" w:eastAsia="zh-CN" w:bidi="ar"/>
              </w:rPr>
              <w:t>序号</w:t>
            </w:r>
          </w:p>
        </w:tc>
        <w:tc>
          <w:tcPr>
            <w:tcW w:w="1547" w:type="dxa"/>
            <w:vAlign w:val="center"/>
          </w:tcPr>
          <w:p w14:paraId="291EF7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仿宋_GB2312" w:hAnsi="仿宋_GB2312" w:eastAsia="仿宋_GB2312" w:cs="仿宋_GB2312"/>
                <w:b/>
                <w:bCs/>
                <w:i w:val="0"/>
                <w:iCs w:val="0"/>
                <w:caps w:val="0"/>
                <w:color w:val="000000"/>
                <w:spacing w:val="0"/>
                <w:kern w:val="0"/>
                <w:sz w:val="23"/>
                <w:szCs w:val="23"/>
                <w:lang w:val="en-US" w:eastAsia="zh-CN" w:bidi="ar"/>
              </w:rPr>
            </w:pPr>
            <w:r>
              <w:rPr>
                <w:rFonts w:hint="eastAsia" w:ascii="仿宋_GB2312" w:hAnsi="仿宋_GB2312" w:eastAsia="仿宋_GB2312" w:cs="仿宋_GB2312"/>
                <w:b/>
                <w:bCs/>
                <w:i w:val="0"/>
                <w:iCs w:val="0"/>
                <w:caps w:val="0"/>
                <w:color w:val="000000"/>
                <w:spacing w:val="0"/>
                <w:kern w:val="0"/>
                <w:sz w:val="23"/>
                <w:szCs w:val="23"/>
                <w:lang w:val="en-US" w:eastAsia="zh-CN" w:bidi="ar"/>
              </w:rPr>
              <w:t>名称</w:t>
            </w:r>
          </w:p>
        </w:tc>
        <w:tc>
          <w:tcPr>
            <w:tcW w:w="880" w:type="dxa"/>
            <w:vAlign w:val="center"/>
          </w:tcPr>
          <w:p w14:paraId="1DC8B9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bCs/>
                <w:i w:val="0"/>
                <w:iCs w:val="0"/>
                <w:caps w:val="0"/>
                <w:color w:val="000000"/>
                <w:spacing w:val="0"/>
                <w:kern w:val="0"/>
                <w:sz w:val="23"/>
                <w:szCs w:val="23"/>
                <w:lang w:val="en-US" w:eastAsia="zh-CN" w:bidi="ar"/>
              </w:rPr>
            </w:pPr>
            <w:r>
              <w:rPr>
                <w:rFonts w:hint="eastAsia" w:ascii="仿宋_GB2312" w:hAnsi="仿宋_GB2312" w:eastAsia="仿宋_GB2312" w:cs="仿宋_GB2312"/>
                <w:b/>
                <w:bCs/>
                <w:i w:val="0"/>
                <w:iCs w:val="0"/>
                <w:caps w:val="0"/>
                <w:color w:val="000000"/>
                <w:spacing w:val="0"/>
                <w:kern w:val="0"/>
                <w:sz w:val="23"/>
                <w:szCs w:val="23"/>
                <w:lang w:val="en-US" w:eastAsia="zh-CN" w:bidi="ar"/>
              </w:rPr>
              <w:t>单位</w:t>
            </w:r>
          </w:p>
        </w:tc>
        <w:tc>
          <w:tcPr>
            <w:tcW w:w="1149" w:type="dxa"/>
            <w:vAlign w:val="center"/>
          </w:tcPr>
          <w:p w14:paraId="6494E3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仿宋_GB2312" w:hAnsi="仿宋_GB2312" w:eastAsia="仿宋_GB2312" w:cs="仿宋_GB2312"/>
                <w:b/>
                <w:bCs/>
                <w:i w:val="0"/>
                <w:iCs w:val="0"/>
                <w:caps w:val="0"/>
                <w:color w:val="000000"/>
                <w:spacing w:val="0"/>
                <w:kern w:val="0"/>
                <w:sz w:val="23"/>
                <w:szCs w:val="23"/>
                <w:lang w:val="en-US" w:eastAsia="zh-CN" w:bidi="ar"/>
              </w:rPr>
            </w:pPr>
            <w:r>
              <w:rPr>
                <w:rFonts w:hint="eastAsia" w:ascii="仿宋_GB2312" w:hAnsi="仿宋_GB2312" w:eastAsia="仿宋_GB2312" w:cs="仿宋_GB2312"/>
                <w:b/>
                <w:bCs/>
                <w:i w:val="0"/>
                <w:iCs w:val="0"/>
                <w:caps w:val="0"/>
                <w:color w:val="000000"/>
                <w:spacing w:val="0"/>
                <w:kern w:val="0"/>
                <w:sz w:val="23"/>
                <w:szCs w:val="23"/>
                <w:lang w:val="en-US" w:eastAsia="zh-CN" w:bidi="ar"/>
              </w:rPr>
              <w:t>数量</w:t>
            </w:r>
          </w:p>
        </w:tc>
        <w:tc>
          <w:tcPr>
            <w:tcW w:w="10464" w:type="dxa"/>
            <w:vAlign w:val="center"/>
          </w:tcPr>
          <w:p w14:paraId="0AE7BC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仿宋_GB2312" w:hAnsi="仿宋_GB2312" w:eastAsia="仿宋_GB2312" w:cs="仿宋_GB2312"/>
                <w:b/>
                <w:bCs/>
                <w:i w:val="0"/>
                <w:iCs w:val="0"/>
                <w:caps w:val="0"/>
                <w:color w:val="000000"/>
                <w:spacing w:val="0"/>
                <w:kern w:val="0"/>
                <w:sz w:val="23"/>
                <w:szCs w:val="23"/>
                <w:lang w:val="en-US" w:eastAsia="zh-CN" w:bidi="ar"/>
              </w:rPr>
            </w:pPr>
            <w:r>
              <w:rPr>
                <w:rFonts w:hint="eastAsia" w:ascii="仿宋_GB2312" w:hAnsi="仿宋_GB2312" w:eastAsia="仿宋_GB2312" w:cs="仿宋_GB2312"/>
                <w:b/>
                <w:bCs/>
                <w:i w:val="0"/>
                <w:iCs w:val="0"/>
                <w:caps w:val="0"/>
                <w:color w:val="000000"/>
                <w:spacing w:val="0"/>
                <w:kern w:val="0"/>
                <w:sz w:val="23"/>
                <w:szCs w:val="23"/>
                <w:lang w:val="en-US" w:eastAsia="zh-CN" w:bidi="ar"/>
              </w:rPr>
              <w:t>规格要求</w:t>
            </w:r>
          </w:p>
        </w:tc>
      </w:tr>
      <w:tr w14:paraId="7E59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893" w:type="dxa"/>
            <w:gridSpan w:val="5"/>
            <w:vAlign w:val="center"/>
          </w:tcPr>
          <w:p w14:paraId="4A1EF7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bCs/>
                <w:i w:val="0"/>
                <w:iCs w:val="0"/>
                <w:caps w:val="0"/>
                <w:color w:val="000000"/>
                <w:spacing w:val="0"/>
                <w:kern w:val="0"/>
                <w:sz w:val="23"/>
                <w:szCs w:val="23"/>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一、粮油类</w:t>
            </w:r>
          </w:p>
        </w:tc>
      </w:tr>
      <w:tr w14:paraId="2757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074BA6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1</w:t>
            </w:r>
          </w:p>
        </w:tc>
        <w:tc>
          <w:tcPr>
            <w:tcW w:w="1547" w:type="dxa"/>
            <w:vAlign w:val="center"/>
          </w:tcPr>
          <w:p w14:paraId="22F4DA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大米</w:t>
            </w:r>
          </w:p>
        </w:tc>
        <w:tc>
          <w:tcPr>
            <w:tcW w:w="880" w:type="dxa"/>
            <w:vAlign w:val="center"/>
          </w:tcPr>
          <w:p w14:paraId="2C0207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袋</w:t>
            </w:r>
          </w:p>
        </w:tc>
        <w:tc>
          <w:tcPr>
            <w:tcW w:w="1149" w:type="dxa"/>
            <w:vMerge w:val="restart"/>
            <w:vAlign w:val="center"/>
          </w:tcPr>
          <w:p w14:paraId="687155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按甲方的需求量配送，最终以配送量为准</w:t>
            </w:r>
          </w:p>
        </w:tc>
        <w:tc>
          <w:tcPr>
            <w:tcW w:w="10464" w:type="dxa"/>
            <w:vAlign w:val="center"/>
          </w:tcPr>
          <w:p w14:paraId="311F0C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优质珍珠米或长粒香，米粒要饱满，光泽鲜亮，无碎粒和杂质，产品符合国家标准GB/T1354-2018，净含量25KG/袋，每袋上需有产地、批号、有效期等标识</w:t>
            </w:r>
          </w:p>
        </w:tc>
      </w:tr>
      <w:tr w14:paraId="7DD4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74E53F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2</w:t>
            </w:r>
          </w:p>
        </w:tc>
        <w:tc>
          <w:tcPr>
            <w:tcW w:w="1547" w:type="dxa"/>
            <w:vAlign w:val="center"/>
          </w:tcPr>
          <w:p w14:paraId="5C37FE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大米</w:t>
            </w:r>
          </w:p>
        </w:tc>
        <w:tc>
          <w:tcPr>
            <w:tcW w:w="880" w:type="dxa"/>
            <w:vAlign w:val="center"/>
          </w:tcPr>
          <w:p w14:paraId="7867D2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袋</w:t>
            </w:r>
          </w:p>
        </w:tc>
        <w:tc>
          <w:tcPr>
            <w:tcW w:w="1149" w:type="dxa"/>
            <w:vMerge w:val="continue"/>
            <w:vAlign w:val="center"/>
          </w:tcPr>
          <w:p w14:paraId="2BD439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2317B4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精品珍珠米或长粒香，米粒要饱满，光泽鲜亮，无碎粒和杂质，产品符合国家标准GB/T1354-2018，净含量25KG/袋，每袋上需有产地、批号、有效期等标识</w:t>
            </w:r>
          </w:p>
        </w:tc>
      </w:tr>
      <w:tr w14:paraId="18EF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0EC6E7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3</w:t>
            </w:r>
          </w:p>
        </w:tc>
        <w:tc>
          <w:tcPr>
            <w:tcW w:w="1547" w:type="dxa"/>
            <w:vAlign w:val="center"/>
          </w:tcPr>
          <w:p w14:paraId="0371CB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面粉</w:t>
            </w:r>
          </w:p>
        </w:tc>
        <w:tc>
          <w:tcPr>
            <w:tcW w:w="880" w:type="dxa"/>
            <w:vAlign w:val="center"/>
          </w:tcPr>
          <w:p w14:paraId="281B45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袋</w:t>
            </w:r>
          </w:p>
        </w:tc>
        <w:tc>
          <w:tcPr>
            <w:tcW w:w="1149" w:type="dxa"/>
            <w:vMerge w:val="continue"/>
            <w:vAlign w:val="center"/>
          </w:tcPr>
          <w:p w14:paraId="1001A0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12893E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特一级面粉，产品符合国家标准GB1355，净含量25kg/袋，保证干燥、不得有结块、板结现象，包装内必须有质量检测《合格证》</w:t>
            </w:r>
          </w:p>
        </w:tc>
      </w:tr>
      <w:tr w14:paraId="11A5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31FDED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4</w:t>
            </w:r>
          </w:p>
        </w:tc>
        <w:tc>
          <w:tcPr>
            <w:tcW w:w="1547" w:type="dxa"/>
            <w:vAlign w:val="center"/>
          </w:tcPr>
          <w:p w14:paraId="6560D1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面粉</w:t>
            </w:r>
          </w:p>
        </w:tc>
        <w:tc>
          <w:tcPr>
            <w:tcW w:w="880" w:type="dxa"/>
            <w:vAlign w:val="center"/>
          </w:tcPr>
          <w:p w14:paraId="18806C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袋</w:t>
            </w:r>
          </w:p>
        </w:tc>
        <w:tc>
          <w:tcPr>
            <w:tcW w:w="1149" w:type="dxa"/>
            <w:vMerge w:val="continue"/>
            <w:vAlign w:val="center"/>
          </w:tcPr>
          <w:p w14:paraId="5EE977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352CB0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特二级面粉，产品符合国家标准GB1355，净含量25kg/袋，保证干燥、不得有结块、板结现象，包装内必须有质量检测《合格证》</w:t>
            </w:r>
          </w:p>
        </w:tc>
      </w:tr>
      <w:tr w14:paraId="19E7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0D4F96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5</w:t>
            </w:r>
          </w:p>
        </w:tc>
        <w:tc>
          <w:tcPr>
            <w:tcW w:w="1547" w:type="dxa"/>
            <w:vAlign w:val="center"/>
          </w:tcPr>
          <w:p w14:paraId="0E1E69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清油1</w:t>
            </w:r>
          </w:p>
        </w:tc>
        <w:tc>
          <w:tcPr>
            <w:tcW w:w="880" w:type="dxa"/>
            <w:vAlign w:val="center"/>
          </w:tcPr>
          <w:p w14:paraId="7D1FD9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桶</w:t>
            </w:r>
          </w:p>
        </w:tc>
        <w:tc>
          <w:tcPr>
            <w:tcW w:w="1149" w:type="dxa"/>
            <w:vMerge w:val="continue"/>
            <w:vAlign w:val="center"/>
          </w:tcPr>
          <w:p w14:paraId="0DFA83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26E9FB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二级棉籽油、调和油，每桶20L，质量必须符合国家质量检测要求，桶面上有清油品牌、认定标志、检验报告、保质期、出厂日期、生产成分表等，必须相关部门出具有效检验报告</w:t>
            </w:r>
          </w:p>
        </w:tc>
      </w:tr>
      <w:tr w14:paraId="4D8C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6894C8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6</w:t>
            </w:r>
          </w:p>
        </w:tc>
        <w:tc>
          <w:tcPr>
            <w:tcW w:w="1547" w:type="dxa"/>
            <w:vAlign w:val="center"/>
          </w:tcPr>
          <w:p w14:paraId="776422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清油2</w:t>
            </w:r>
          </w:p>
        </w:tc>
        <w:tc>
          <w:tcPr>
            <w:tcW w:w="880" w:type="dxa"/>
            <w:vAlign w:val="center"/>
          </w:tcPr>
          <w:p w14:paraId="761DFF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桶</w:t>
            </w:r>
          </w:p>
        </w:tc>
        <w:tc>
          <w:tcPr>
            <w:tcW w:w="1149" w:type="dxa"/>
            <w:vMerge w:val="continue"/>
            <w:vAlign w:val="center"/>
          </w:tcPr>
          <w:p w14:paraId="52B710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139BBB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一级压榨纯菜籽油，每桶5L，质量必须符合国家质量检测要求，桶面上有清油品牌、认定标志、检验报告、保质期、出厂日期、商标上有非转基因标识、生产成分表等，必须相关部门出具的有效检验报告</w:t>
            </w:r>
          </w:p>
        </w:tc>
      </w:tr>
      <w:tr w14:paraId="40C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22D0CA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7</w:t>
            </w:r>
          </w:p>
        </w:tc>
        <w:tc>
          <w:tcPr>
            <w:tcW w:w="1547" w:type="dxa"/>
            <w:vAlign w:val="center"/>
          </w:tcPr>
          <w:p w14:paraId="144284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馕</w:t>
            </w:r>
          </w:p>
        </w:tc>
        <w:tc>
          <w:tcPr>
            <w:tcW w:w="880" w:type="dxa"/>
            <w:vAlign w:val="center"/>
          </w:tcPr>
          <w:p w14:paraId="655C4D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个</w:t>
            </w:r>
          </w:p>
        </w:tc>
        <w:tc>
          <w:tcPr>
            <w:tcW w:w="1149" w:type="dxa"/>
            <w:vMerge w:val="continue"/>
            <w:vAlign w:val="center"/>
          </w:tcPr>
          <w:p w14:paraId="13A5A0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20F9C0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中号窝窝馕150克左右，必须保质保量，不得发酸、夹生、烤焦、生硬、发霉</w:t>
            </w:r>
          </w:p>
        </w:tc>
      </w:tr>
      <w:tr w14:paraId="696C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1A2E4C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8</w:t>
            </w:r>
          </w:p>
        </w:tc>
        <w:tc>
          <w:tcPr>
            <w:tcW w:w="1547" w:type="dxa"/>
            <w:vAlign w:val="center"/>
          </w:tcPr>
          <w:p w14:paraId="1096BF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挂面</w:t>
            </w:r>
          </w:p>
        </w:tc>
        <w:tc>
          <w:tcPr>
            <w:tcW w:w="880" w:type="dxa"/>
            <w:vAlign w:val="center"/>
          </w:tcPr>
          <w:p w14:paraId="22AA91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袋</w:t>
            </w:r>
          </w:p>
        </w:tc>
        <w:tc>
          <w:tcPr>
            <w:tcW w:w="1149" w:type="dxa"/>
            <w:vMerge w:val="continue"/>
            <w:vAlign w:val="center"/>
          </w:tcPr>
          <w:p w14:paraId="6E8593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1040CD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有品牌，不得含有食品添加剂，1kg/把，20把/袋，精致小麦粉制做，保证干燥，不得有发霉、粉粹现象，包装内必须有质量检测《合格证》</w:t>
            </w:r>
          </w:p>
        </w:tc>
      </w:tr>
      <w:tr w14:paraId="758E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893" w:type="dxa"/>
            <w:gridSpan w:val="5"/>
            <w:vAlign w:val="center"/>
          </w:tcPr>
          <w:p w14:paraId="7BA1682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二、鲜肉类</w:t>
            </w:r>
          </w:p>
        </w:tc>
      </w:tr>
      <w:tr w14:paraId="5696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0A18DB6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1</w:t>
            </w:r>
          </w:p>
        </w:tc>
        <w:tc>
          <w:tcPr>
            <w:tcW w:w="1547" w:type="dxa"/>
            <w:vAlign w:val="center"/>
          </w:tcPr>
          <w:p w14:paraId="6FFC44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羊肉</w:t>
            </w:r>
          </w:p>
        </w:tc>
        <w:tc>
          <w:tcPr>
            <w:tcW w:w="880" w:type="dxa"/>
            <w:vAlign w:val="center"/>
          </w:tcPr>
          <w:p w14:paraId="4F400C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公斤</w:t>
            </w:r>
          </w:p>
        </w:tc>
        <w:tc>
          <w:tcPr>
            <w:tcW w:w="1149" w:type="dxa"/>
            <w:vMerge w:val="restart"/>
            <w:vAlign w:val="center"/>
          </w:tcPr>
          <w:p w14:paraId="56321D1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600DAEB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593257B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35FC03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按甲方的需求量配送，最终以配送量为准</w:t>
            </w:r>
          </w:p>
          <w:p w14:paraId="1AE734C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7FF1011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102880F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5DAC6AC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72867D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66515B7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3624BA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629A44D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65D6B2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6C0735C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16A04DC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按甲方的需求量配送，最终以配送量为准</w:t>
            </w:r>
          </w:p>
        </w:tc>
        <w:tc>
          <w:tcPr>
            <w:tcW w:w="10464" w:type="dxa"/>
            <w:vAlign w:val="center"/>
          </w:tcPr>
          <w:p w14:paraId="78218D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本地当天宰杀新鲜羊肉，非冻肉（不带羊尾油、内脏油、杂碎、去头去尾）整只羊重量不得超过35公斤，肉质红色均匀，有光泽。无泥污、无血污、放血状况良好，肉边整齐、无破碎肉、无粘液渗出或发干的表皮，无点状、小颗粒及各类寄生附着物。具有其固有的正常气味(羊肉重膻)，无臭味、无腐烂变质。配送的鲜羊肉表面加盖动物检疫检验部门鲜章，动物检疫合格证及肉品检验合格证必须齐全</w:t>
            </w:r>
          </w:p>
        </w:tc>
      </w:tr>
      <w:tr w14:paraId="54CB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65D9099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2</w:t>
            </w:r>
          </w:p>
        </w:tc>
        <w:tc>
          <w:tcPr>
            <w:tcW w:w="1547" w:type="dxa"/>
            <w:vAlign w:val="center"/>
          </w:tcPr>
          <w:p w14:paraId="505040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牛肉</w:t>
            </w:r>
          </w:p>
        </w:tc>
        <w:tc>
          <w:tcPr>
            <w:tcW w:w="880" w:type="dxa"/>
            <w:vAlign w:val="center"/>
          </w:tcPr>
          <w:p w14:paraId="6AE7E5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0535138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752090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本地当天宰杀新鲜牛肉，非冻肉，本地新鲜剔骨肉，肉质红色均匀，有光泽。无泥污、无血污、放血状况良好，肉边整齐、无内脏、无粘液渗出或发干的表皮，无点状、小颗粒及各类寄生附着物。具有其固有的正常气味(牛肉微膻)，无臭味、无腐烂变质。指压后凹陷、能恢复原状。配送的鲜羊肉表面加盖动物检疫检验部门鲜章，动物检疫合格证及肉品检验合格证必须齐全</w:t>
            </w:r>
          </w:p>
        </w:tc>
      </w:tr>
      <w:tr w14:paraId="65AA1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6154FB2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3</w:t>
            </w:r>
          </w:p>
        </w:tc>
        <w:tc>
          <w:tcPr>
            <w:tcW w:w="1547" w:type="dxa"/>
            <w:vAlign w:val="center"/>
          </w:tcPr>
          <w:p w14:paraId="0E6DE5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鸡肉</w:t>
            </w:r>
          </w:p>
        </w:tc>
        <w:tc>
          <w:tcPr>
            <w:tcW w:w="880" w:type="dxa"/>
            <w:vAlign w:val="center"/>
          </w:tcPr>
          <w:p w14:paraId="41A9ED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2F2DA43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34D23E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速冻鸡肉，符合国家动物检疫标准的冻鸡（需提供检疫合格证或原产地证明）</w:t>
            </w:r>
          </w:p>
        </w:tc>
      </w:tr>
      <w:tr w14:paraId="693C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648511D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4</w:t>
            </w:r>
          </w:p>
        </w:tc>
        <w:tc>
          <w:tcPr>
            <w:tcW w:w="1547" w:type="dxa"/>
            <w:vAlign w:val="center"/>
          </w:tcPr>
          <w:p w14:paraId="5C293B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鸡腿1</w:t>
            </w:r>
          </w:p>
        </w:tc>
        <w:tc>
          <w:tcPr>
            <w:tcW w:w="880" w:type="dxa"/>
            <w:vAlign w:val="center"/>
          </w:tcPr>
          <w:p w14:paraId="34DAEF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378454B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06298C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速冻鸡中腿/10kg/件，符合国家动物检疫标准的冻鸡中腿（需提供检疫合格证或原产地证明）</w:t>
            </w:r>
          </w:p>
        </w:tc>
      </w:tr>
      <w:tr w14:paraId="00AE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7A570B3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5</w:t>
            </w:r>
          </w:p>
        </w:tc>
        <w:tc>
          <w:tcPr>
            <w:tcW w:w="1547" w:type="dxa"/>
            <w:vAlign w:val="center"/>
          </w:tcPr>
          <w:p w14:paraId="193C88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鸡腿2</w:t>
            </w:r>
          </w:p>
        </w:tc>
        <w:tc>
          <w:tcPr>
            <w:tcW w:w="880" w:type="dxa"/>
            <w:vAlign w:val="center"/>
          </w:tcPr>
          <w:p w14:paraId="30C78F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4E699D3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0A4A81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速冻鸡小腿/10kg/件，符合国家动物检疫标准的冻鸡小腿（需提供检疫合格证或原产地证明）</w:t>
            </w:r>
          </w:p>
        </w:tc>
      </w:tr>
      <w:tr w14:paraId="7236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11112D8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6</w:t>
            </w:r>
          </w:p>
        </w:tc>
        <w:tc>
          <w:tcPr>
            <w:tcW w:w="1547" w:type="dxa"/>
            <w:vAlign w:val="center"/>
          </w:tcPr>
          <w:p w14:paraId="1AF304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鱼肉</w:t>
            </w:r>
          </w:p>
        </w:tc>
        <w:tc>
          <w:tcPr>
            <w:tcW w:w="880" w:type="dxa"/>
            <w:vAlign w:val="center"/>
          </w:tcPr>
          <w:p w14:paraId="599E39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0810DF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3F3C45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无臭味、无腐烂变质，无内脏、无粘液渗出或发干的表皮，去除内脏和鱼鳞，鲜活草鱼、鲫鱼</w:t>
            </w:r>
          </w:p>
        </w:tc>
      </w:tr>
      <w:tr w14:paraId="6725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5B21E88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7</w:t>
            </w:r>
          </w:p>
        </w:tc>
        <w:tc>
          <w:tcPr>
            <w:tcW w:w="1547" w:type="dxa"/>
            <w:vAlign w:val="center"/>
          </w:tcPr>
          <w:p w14:paraId="32C52B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鸡蛋</w:t>
            </w:r>
          </w:p>
        </w:tc>
        <w:tc>
          <w:tcPr>
            <w:tcW w:w="880" w:type="dxa"/>
            <w:vAlign w:val="center"/>
          </w:tcPr>
          <w:p w14:paraId="754EF3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板</w:t>
            </w:r>
          </w:p>
        </w:tc>
        <w:tc>
          <w:tcPr>
            <w:tcW w:w="1149" w:type="dxa"/>
            <w:vMerge w:val="continue"/>
          </w:tcPr>
          <w:p w14:paraId="528AFCA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784D9F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新鲜鸡蛋30个/板，鸡蛋必须是新鲜的，不能供破碎、过期、变质有质量问题</w:t>
            </w:r>
          </w:p>
        </w:tc>
      </w:tr>
      <w:tr w14:paraId="746D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7652F38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8</w:t>
            </w:r>
          </w:p>
        </w:tc>
        <w:tc>
          <w:tcPr>
            <w:tcW w:w="1547" w:type="dxa"/>
            <w:vAlign w:val="center"/>
          </w:tcPr>
          <w:p w14:paraId="284F84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牛肚</w:t>
            </w:r>
          </w:p>
        </w:tc>
        <w:tc>
          <w:tcPr>
            <w:tcW w:w="880" w:type="dxa"/>
            <w:vAlign w:val="center"/>
          </w:tcPr>
          <w:p w14:paraId="0A275C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5C85A2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052858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当天新鲜牛肚，无臭味、无腐烂变质</w:t>
            </w:r>
          </w:p>
        </w:tc>
      </w:tr>
      <w:tr w14:paraId="7B94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18A5F2D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9</w:t>
            </w:r>
          </w:p>
        </w:tc>
        <w:tc>
          <w:tcPr>
            <w:tcW w:w="1547" w:type="dxa"/>
            <w:vAlign w:val="center"/>
          </w:tcPr>
          <w:p w14:paraId="4238E5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牛奶</w:t>
            </w:r>
          </w:p>
        </w:tc>
        <w:tc>
          <w:tcPr>
            <w:tcW w:w="880" w:type="dxa"/>
            <w:vAlign w:val="center"/>
          </w:tcPr>
          <w:p w14:paraId="52FEAF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箱</w:t>
            </w:r>
          </w:p>
        </w:tc>
        <w:tc>
          <w:tcPr>
            <w:tcW w:w="1149" w:type="dxa"/>
            <w:vMerge w:val="continue"/>
          </w:tcPr>
          <w:p w14:paraId="547076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074184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牛奶味全脂灭菌乳，达到国家行业标准，规格每包200毫升，每箱24袋，保质期大于等于60天，有产品合格证、检测报告、食品生产许可证编号及生产日期等标识</w:t>
            </w:r>
          </w:p>
        </w:tc>
      </w:tr>
      <w:tr w14:paraId="2DB9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24C7C2E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10</w:t>
            </w:r>
          </w:p>
        </w:tc>
        <w:tc>
          <w:tcPr>
            <w:tcW w:w="1547" w:type="dxa"/>
            <w:vAlign w:val="center"/>
          </w:tcPr>
          <w:p w14:paraId="798C2D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冷冻鸭肉</w:t>
            </w:r>
          </w:p>
        </w:tc>
        <w:tc>
          <w:tcPr>
            <w:tcW w:w="880" w:type="dxa"/>
            <w:vAlign w:val="center"/>
          </w:tcPr>
          <w:p w14:paraId="312555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2C4B6C7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59781F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整只速冻鸭/10kg/件，符合国家动物检疫标准的冻鸭肉（需提供检疫合格证或原产地证明）</w:t>
            </w:r>
          </w:p>
        </w:tc>
      </w:tr>
      <w:tr w14:paraId="0670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5A511D9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11</w:t>
            </w:r>
          </w:p>
        </w:tc>
        <w:tc>
          <w:tcPr>
            <w:tcW w:w="1547" w:type="dxa"/>
            <w:vAlign w:val="center"/>
          </w:tcPr>
          <w:p w14:paraId="5BEA15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牛骨头</w:t>
            </w:r>
          </w:p>
        </w:tc>
        <w:tc>
          <w:tcPr>
            <w:tcW w:w="880" w:type="dxa"/>
            <w:vAlign w:val="center"/>
          </w:tcPr>
          <w:p w14:paraId="1AB711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25F8DAB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0DB638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当天新鲜牛骨，无臭味、无腐烂变质</w:t>
            </w:r>
          </w:p>
        </w:tc>
      </w:tr>
      <w:tr w14:paraId="3D10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44A9A31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12</w:t>
            </w:r>
          </w:p>
        </w:tc>
        <w:tc>
          <w:tcPr>
            <w:tcW w:w="1547" w:type="dxa"/>
            <w:vAlign w:val="center"/>
          </w:tcPr>
          <w:p w14:paraId="4307FE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新鲜鸡</w:t>
            </w:r>
          </w:p>
        </w:tc>
        <w:tc>
          <w:tcPr>
            <w:tcW w:w="880" w:type="dxa"/>
            <w:vAlign w:val="center"/>
          </w:tcPr>
          <w:p w14:paraId="48EC52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68FB735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6213BE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整只三黄鸡胴体，所送的鸡肉不能带鸡头、鸡爪、鸡内脏，有相应包装措施,包装材料必须符合国家食用包装标准；必须出具县级以上动物检疫所出具的肉品检验合格证、动物检验合格证。</w:t>
            </w:r>
          </w:p>
        </w:tc>
      </w:tr>
      <w:tr w14:paraId="0DE12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0120CCF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13</w:t>
            </w:r>
          </w:p>
        </w:tc>
        <w:tc>
          <w:tcPr>
            <w:tcW w:w="1547" w:type="dxa"/>
            <w:vAlign w:val="center"/>
          </w:tcPr>
          <w:p w14:paraId="6AA1F5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猪排骨</w:t>
            </w:r>
          </w:p>
        </w:tc>
        <w:tc>
          <w:tcPr>
            <w:tcW w:w="880" w:type="dxa"/>
            <w:vAlign w:val="center"/>
          </w:tcPr>
          <w:p w14:paraId="2FB4B4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6B35547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7833A5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本地当天宰杀新鲜猪排骨，肉质红色均匀，有光泽。无泥污、无血污、放血状况良好</w:t>
            </w:r>
          </w:p>
        </w:tc>
      </w:tr>
      <w:tr w14:paraId="6375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08FF3BE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14</w:t>
            </w:r>
          </w:p>
        </w:tc>
        <w:tc>
          <w:tcPr>
            <w:tcW w:w="1547" w:type="dxa"/>
            <w:vAlign w:val="center"/>
          </w:tcPr>
          <w:p w14:paraId="7B4C11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猪肉</w:t>
            </w:r>
          </w:p>
        </w:tc>
        <w:tc>
          <w:tcPr>
            <w:tcW w:w="880" w:type="dxa"/>
            <w:vAlign w:val="center"/>
          </w:tcPr>
          <w:p w14:paraId="573D07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7706796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632F18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本地当天宰杀猪肉（必须加盖畜牧局动物检疫合格证明单）。具有其固有的正常颜色，肉质红色均匀，有光泽。无泥污、无血污、放血状况良好，肉边整齐、无内脏、无粘液渗出 或发干的表皮，无点状、小颗粒及各类寄生附着物。具有其固有的正常气味，无臭味、无腐烂变质。指压后凹陷、能恢复原状。</w:t>
            </w:r>
          </w:p>
        </w:tc>
      </w:tr>
      <w:tr w14:paraId="5C00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893" w:type="dxa"/>
            <w:gridSpan w:val="5"/>
            <w:vAlign w:val="center"/>
          </w:tcPr>
          <w:p w14:paraId="680C015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三、蔬菜类</w:t>
            </w:r>
          </w:p>
        </w:tc>
      </w:tr>
      <w:tr w14:paraId="798E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551A99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1</w:t>
            </w:r>
          </w:p>
        </w:tc>
        <w:tc>
          <w:tcPr>
            <w:tcW w:w="1547" w:type="dxa"/>
            <w:vAlign w:val="center"/>
          </w:tcPr>
          <w:p w14:paraId="48FBCE5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白菜</w:t>
            </w:r>
          </w:p>
        </w:tc>
        <w:tc>
          <w:tcPr>
            <w:tcW w:w="880" w:type="dxa"/>
            <w:vMerge w:val="restart"/>
            <w:vAlign w:val="center"/>
          </w:tcPr>
          <w:p w14:paraId="242245E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7A23CDC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2D5867D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23B59052">
            <w:pPr>
              <w:pStyle w:val="2"/>
              <w:keepNext w:val="0"/>
              <w:keepLines w:val="0"/>
              <w:suppressLineNumbers w:val="0"/>
              <w:spacing w:before="0" w:beforeAutospacing="0" w:after="0" w:afterAutospacing="0"/>
              <w:ind w:left="0" w:right="0"/>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41249CDE">
            <w:pPr>
              <w:pStyle w:val="4"/>
              <w:keepNext w:val="0"/>
              <w:keepLines w:val="0"/>
              <w:suppressLineNumbers w:val="0"/>
              <w:spacing w:before="0" w:beforeAutospacing="0" w:after="0" w:afterAutospacing="0"/>
              <w:ind w:left="0" w:right="0"/>
              <w:rPr>
                <w:rFonts w:hint="default"/>
                <w:lang w:val="en-US" w:eastAsia="zh-CN"/>
              </w:rPr>
            </w:pPr>
          </w:p>
          <w:p w14:paraId="0D3A008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103BA5C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Calibri" w:eastAsia="仿宋_GB2312" w:cs="仿宋_GB2312"/>
                <w:b w:val="0"/>
                <w:bCs w:val="0"/>
                <w:i w:val="0"/>
                <w:iCs w:val="0"/>
                <w:caps w:val="0"/>
                <w:color w:val="000000"/>
                <w:spacing w:val="0"/>
                <w:kern w:val="0"/>
                <w:sz w:val="23"/>
                <w:szCs w:val="23"/>
                <w:lang w:val="en-US" w:eastAsia="zh-CN" w:bidi="ar"/>
              </w:rPr>
            </w:pPr>
          </w:p>
          <w:p w14:paraId="05F77C2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r>
              <w:rPr>
                <w:rFonts w:hint="eastAsia" w:ascii="仿宋_GB2312" w:hAnsi="Calibri" w:eastAsia="仿宋_GB2312" w:cs="仿宋_GB2312"/>
                <w:b w:val="0"/>
                <w:bCs w:val="0"/>
                <w:i w:val="0"/>
                <w:iCs w:val="0"/>
                <w:caps w:val="0"/>
                <w:color w:val="000000"/>
                <w:spacing w:val="0"/>
                <w:kern w:val="0"/>
                <w:sz w:val="23"/>
                <w:szCs w:val="23"/>
                <w:lang w:val="en-US" w:eastAsia="zh-CN" w:bidi="ar"/>
              </w:rPr>
              <w:t>公斤</w:t>
            </w:r>
          </w:p>
          <w:p w14:paraId="1565C7D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11C3E27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54B38A5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54811E2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374E8B3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5B2BAD9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276F80B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64E142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356F5D0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237215B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2FFBABD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1CC1FDE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p w14:paraId="52183D0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restart"/>
            <w:vAlign w:val="center"/>
          </w:tcPr>
          <w:p w14:paraId="1C97A72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064E08F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59F3607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5D23FF92">
            <w:pPr>
              <w:pStyle w:val="2"/>
              <w:keepNext w:val="0"/>
              <w:keepLines w:val="0"/>
              <w:suppressLineNumbers w:val="0"/>
              <w:spacing w:before="0" w:beforeAutospacing="0" w:after="0" w:afterAutospacing="0"/>
              <w:ind w:left="0" w:right="0"/>
              <w:rPr>
                <w:rFonts w:hint="eastAsia"/>
                <w:lang w:val="en-US" w:eastAsia="zh-CN"/>
              </w:rPr>
            </w:pPr>
          </w:p>
          <w:p w14:paraId="769E18D2">
            <w:pPr>
              <w:pStyle w:val="4"/>
              <w:keepNext w:val="0"/>
              <w:keepLines w:val="0"/>
              <w:suppressLineNumbers w:val="0"/>
              <w:spacing w:before="0" w:beforeAutospacing="0" w:after="0" w:afterAutospacing="0"/>
              <w:ind w:left="0" w:right="0"/>
              <w:rPr>
                <w:rFonts w:hint="eastAsia"/>
                <w:lang w:val="en-US" w:eastAsia="zh-CN"/>
              </w:rPr>
            </w:pPr>
          </w:p>
          <w:p w14:paraId="2CA638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按甲方的需求量配送，最终以配送量为准</w:t>
            </w:r>
          </w:p>
          <w:p w14:paraId="0E63985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680A852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2607EC0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1CDD20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7531A80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69FC71B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390F0A8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73C9D33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按甲方的需求量配送，最终以配送量为准</w:t>
            </w:r>
          </w:p>
        </w:tc>
        <w:tc>
          <w:tcPr>
            <w:tcW w:w="10464" w:type="dxa"/>
            <w:vAlign w:val="center"/>
          </w:tcPr>
          <w:p w14:paraId="0F7890F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叶新鲜光泽，棵株大、外形整齐，大小均匀，完整、包心坚实紧密，根部断面洁白完整，外观新鲜，色泽鲜爽，外表干爽无泥，用手握捏时手感坚实，根削平，心部不腐烂，无空心、压伤、冻伤、虫蛀、裂缝、泥土，无花斑、锈点，无黄叶、枯老叶、烂叶，无泥土，无机械伤，无病虫害。</w:t>
            </w:r>
          </w:p>
        </w:tc>
      </w:tr>
      <w:tr w14:paraId="7A7D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0D9C30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2</w:t>
            </w:r>
          </w:p>
        </w:tc>
        <w:tc>
          <w:tcPr>
            <w:tcW w:w="1547" w:type="dxa"/>
            <w:vAlign w:val="center"/>
          </w:tcPr>
          <w:p w14:paraId="4F5F242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莲花白</w:t>
            </w:r>
          </w:p>
        </w:tc>
        <w:tc>
          <w:tcPr>
            <w:tcW w:w="880" w:type="dxa"/>
            <w:vMerge w:val="continue"/>
            <w:vAlign w:val="center"/>
          </w:tcPr>
          <w:p w14:paraId="57AD53E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796DA11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7D9186B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单个重约 1公斤，叶球为圆形，呈浅绿色，外叶去除，无黄叶、虫叶，结实无烂心</w:t>
            </w:r>
          </w:p>
        </w:tc>
      </w:tr>
      <w:tr w14:paraId="5FC3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082FB3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3</w:t>
            </w:r>
          </w:p>
        </w:tc>
        <w:tc>
          <w:tcPr>
            <w:tcW w:w="1547" w:type="dxa"/>
            <w:vAlign w:val="center"/>
          </w:tcPr>
          <w:p w14:paraId="3D783A2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油白菜</w:t>
            </w:r>
          </w:p>
        </w:tc>
        <w:tc>
          <w:tcPr>
            <w:tcW w:w="880" w:type="dxa"/>
            <w:vMerge w:val="continue"/>
            <w:vAlign w:val="center"/>
          </w:tcPr>
          <w:p w14:paraId="3202DF8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5F0E332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2AB7C6B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色泽鲜嫩翠绿，叶嫩绿茎、水分充足，无枯黄叶和花斑叶，植株健壮，整齐而不断，捆扎成捆，根上无泥，捆内无杂物，不抽苔，无烂叶、无泥土、黄叶、烂叶、根茎变黄、断裂及腐烂出现</w:t>
            </w:r>
          </w:p>
        </w:tc>
      </w:tr>
      <w:tr w14:paraId="3055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4025E1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4</w:t>
            </w:r>
          </w:p>
        </w:tc>
        <w:tc>
          <w:tcPr>
            <w:tcW w:w="1547" w:type="dxa"/>
            <w:vAlign w:val="center"/>
          </w:tcPr>
          <w:p w14:paraId="5E991AF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油麦菜</w:t>
            </w:r>
          </w:p>
        </w:tc>
        <w:tc>
          <w:tcPr>
            <w:tcW w:w="880" w:type="dxa"/>
            <w:vMerge w:val="continue"/>
            <w:vAlign w:val="center"/>
          </w:tcPr>
          <w:p w14:paraId="2C4A01C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6054BA8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782ECAE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色泽鲜嫩翠绿，叶嫩绿茎、水分充足，无枯黄叶和花斑叶，植株健壮，整齐而不断，捆扎成捆，根上无泥，捆内无杂物，不抽苔，无烂叶、无泥土、黄叶、烂叶、根茎变黄</w:t>
            </w:r>
          </w:p>
        </w:tc>
      </w:tr>
      <w:tr w14:paraId="66AA2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70286B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5</w:t>
            </w:r>
          </w:p>
        </w:tc>
        <w:tc>
          <w:tcPr>
            <w:tcW w:w="1547" w:type="dxa"/>
            <w:vAlign w:val="center"/>
          </w:tcPr>
          <w:p w14:paraId="14250E6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菠菜</w:t>
            </w:r>
          </w:p>
        </w:tc>
        <w:tc>
          <w:tcPr>
            <w:tcW w:w="880" w:type="dxa"/>
            <w:vMerge w:val="continue"/>
            <w:vAlign w:val="center"/>
          </w:tcPr>
          <w:p w14:paraId="23E0B25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5944BFA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0C84792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色泽鲜嫩翠绿，叶嫩绿茎、水分充足，无枯黄叶和花斑叶，植株健壮，整齐而不断，捆扎成捆，根上无泥，捆内无杂物，不抽苔，无烂叶、无泥土、黄叶、烂叶、根茎变黄、断裂及腐烂出现</w:t>
            </w:r>
          </w:p>
        </w:tc>
      </w:tr>
      <w:tr w14:paraId="6720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299A87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6</w:t>
            </w:r>
          </w:p>
        </w:tc>
        <w:tc>
          <w:tcPr>
            <w:tcW w:w="1547" w:type="dxa"/>
            <w:vAlign w:val="center"/>
          </w:tcPr>
          <w:p w14:paraId="3815068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芹菜</w:t>
            </w:r>
          </w:p>
        </w:tc>
        <w:tc>
          <w:tcPr>
            <w:tcW w:w="880" w:type="dxa"/>
            <w:vMerge w:val="continue"/>
            <w:vAlign w:val="center"/>
          </w:tcPr>
          <w:p w14:paraId="6DC88C4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7912F67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14C7F61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叶嫩绿茎，水分充足，有清香味。无泥土、黄叶、烂叶、根茎变黄、断裂及腐烂出现</w:t>
            </w:r>
          </w:p>
        </w:tc>
      </w:tr>
      <w:tr w14:paraId="344A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7BF8BF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7</w:t>
            </w:r>
          </w:p>
        </w:tc>
        <w:tc>
          <w:tcPr>
            <w:tcW w:w="1547" w:type="dxa"/>
            <w:vAlign w:val="center"/>
          </w:tcPr>
          <w:p w14:paraId="6BEE48B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韭菜</w:t>
            </w:r>
          </w:p>
        </w:tc>
        <w:tc>
          <w:tcPr>
            <w:tcW w:w="880" w:type="dxa"/>
            <w:vMerge w:val="continue"/>
            <w:vAlign w:val="center"/>
          </w:tcPr>
          <w:p w14:paraId="21FE33C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395C05F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1276707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叶嫩绿茎，水分充足，有清香味。无泥土、黄叶、烂叶、根茎变黄、断裂及腐烂出现</w:t>
            </w:r>
          </w:p>
        </w:tc>
      </w:tr>
      <w:tr w14:paraId="0D79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5C3D86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8</w:t>
            </w:r>
          </w:p>
        </w:tc>
        <w:tc>
          <w:tcPr>
            <w:tcW w:w="1547" w:type="dxa"/>
            <w:vAlign w:val="center"/>
          </w:tcPr>
          <w:p w14:paraId="44ED77F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香菜</w:t>
            </w:r>
          </w:p>
        </w:tc>
        <w:tc>
          <w:tcPr>
            <w:tcW w:w="880" w:type="dxa"/>
            <w:vMerge w:val="continue"/>
            <w:vAlign w:val="center"/>
          </w:tcPr>
          <w:p w14:paraId="27ECD4F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4752F69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3210E0F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叶片鲜嫩青绿，无折断，叶片不干枯，无斑点，有清香味</w:t>
            </w:r>
          </w:p>
        </w:tc>
      </w:tr>
      <w:tr w14:paraId="0FBC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7DA081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9</w:t>
            </w:r>
          </w:p>
        </w:tc>
        <w:tc>
          <w:tcPr>
            <w:tcW w:w="1547" w:type="dxa"/>
            <w:vAlign w:val="center"/>
          </w:tcPr>
          <w:p w14:paraId="03BE384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白萝卜</w:t>
            </w:r>
          </w:p>
        </w:tc>
        <w:tc>
          <w:tcPr>
            <w:tcW w:w="880" w:type="dxa"/>
            <w:vMerge w:val="continue"/>
            <w:vAlign w:val="center"/>
          </w:tcPr>
          <w:p w14:paraId="6F2A723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6D79C7B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5860F3D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肉质根粗壮，大小均匀，饱满而无损伤，弹击时有实心感觉，无擦伤腐烂</w:t>
            </w:r>
          </w:p>
        </w:tc>
      </w:tr>
      <w:tr w14:paraId="71E5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2CF841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10</w:t>
            </w:r>
          </w:p>
        </w:tc>
        <w:tc>
          <w:tcPr>
            <w:tcW w:w="1547" w:type="dxa"/>
            <w:vAlign w:val="center"/>
          </w:tcPr>
          <w:p w14:paraId="435C83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胡萝卜</w:t>
            </w:r>
          </w:p>
        </w:tc>
        <w:tc>
          <w:tcPr>
            <w:tcW w:w="880" w:type="dxa"/>
            <w:vMerge w:val="continue"/>
            <w:vAlign w:val="center"/>
          </w:tcPr>
          <w:p w14:paraId="245E45A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7C2137C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4453528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外观新鲜，色泽鲜嫩，果型完整，肉质松脆多汁，大小均匀，饱满而无损伤，弹击时有实心感觉，表皮光滑而不开裂，无病虫害，不空心，不黑心，不发糠，无泥土、断裂、压伤、虫洞、泥土，黄斑、黑斑、无擦伤及腐烂出现</w:t>
            </w:r>
          </w:p>
        </w:tc>
      </w:tr>
      <w:tr w14:paraId="38C4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6A9684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11</w:t>
            </w:r>
          </w:p>
        </w:tc>
        <w:tc>
          <w:tcPr>
            <w:tcW w:w="1547" w:type="dxa"/>
            <w:vAlign w:val="center"/>
          </w:tcPr>
          <w:p w14:paraId="563D66C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西红柿</w:t>
            </w:r>
          </w:p>
        </w:tc>
        <w:tc>
          <w:tcPr>
            <w:tcW w:w="880" w:type="dxa"/>
            <w:vMerge w:val="continue"/>
            <w:vAlign w:val="center"/>
          </w:tcPr>
          <w:p w14:paraId="4ED60AA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39154CB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31A55CF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着色均匀，果肉充实，味道酸甜适口，单个重约125-250克，成熟度7成以上，有98%变成红色，果肉饱满有弹性，不破裂，果蒂新绿，表面光滑洁净，无腐烂，无病虫害</w:t>
            </w:r>
          </w:p>
        </w:tc>
      </w:tr>
      <w:tr w14:paraId="3B10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463B56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12</w:t>
            </w:r>
          </w:p>
        </w:tc>
        <w:tc>
          <w:tcPr>
            <w:tcW w:w="1547" w:type="dxa"/>
            <w:vAlign w:val="center"/>
          </w:tcPr>
          <w:p w14:paraId="1BFB126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青辣子</w:t>
            </w:r>
          </w:p>
        </w:tc>
        <w:tc>
          <w:tcPr>
            <w:tcW w:w="880" w:type="dxa"/>
            <w:vMerge w:val="continue"/>
            <w:vAlign w:val="center"/>
          </w:tcPr>
          <w:p w14:paraId="54A2704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113221C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610CB2F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个头大小均匀，表面光滑，蒂部应新鲜不发黑，不萎蔫，无虫咬霉烂，尖椒长度不短于10公分。其中尖椒、圆椒、红椒可适当搭配，开箱后无异味，尾部新鲜、硬朗</w:t>
            </w:r>
          </w:p>
        </w:tc>
      </w:tr>
      <w:tr w14:paraId="04C1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2C920C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13</w:t>
            </w:r>
          </w:p>
        </w:tc>
        <w:tc>
          <w:tcPr>
            <w:tcW w:w="1547" w:type="dxa"/>
            <w:vAlign w:val="center"/>
          </w:tcPr>
          <w:p w14:paraId="522CBD6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红辣椒</w:t>
            </w:r>
          </w:p>
        </w:tc>
        <w:tc>
          <w:tcPr>
            <w:tcW w:w="880" w:type="dxa"/>
            <w:vMerge w:val="restart"/>
            <w:vAlign w:val="center"/>
          </w:tcPr>
          <w:p w14:paraId="72C3634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p w14:paraId="6E2639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restart"/>
            <w:vAlign w:val="center"/>
          </w:tcPr>
          <w:p w14:paraId="7D560DA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按甲方的需求量配送，最终以配送量为准</w:t>
            </w:r>
          </w:p>
        </w:tc>
        <w:tc>
          <w:tcPr>
            <w:tcW w:w="10464" w:type="dxa"/>
            <w:vAlign w:val="center"/>
          </w:tcPr>
          <w:p w14:paraId="61F6BD2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个头大小均匀，表面光滑，蒂部应新鲜不发黑，不萎蔫，无虫咬霉烂，尖椒长度不短于10公分。其中尖椒、圆椒、红椒可适当搭配，开箱后无异味，尾部新鲜、硬朗，圆椒个头不能太小，红椒红而不烂</w:t>
            </w:r>
          </w:p>
        </w:tc>
      </w:tr>
      <w:tr w14:paraId="443B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0B00AC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14</w:t>
            </w:r>
          </w:p>
        </w:tc>
        <w:tc>
          <w:tcPr>
            <w:tcW w:w="1547" w:type="dxa"/>
            <w:vAlign w:val="center"/>
          </w:tcPr>
          <w:p w14:paraId="11FB6B0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小米椒</w:t>
            </w:r>
          </w:p>
        </w:tc>
        <w:tc>
          <w:tcPr>
            <w:tcW w:w="880" w:type="dxa"/>
            <w:vMerge w:val="continue"/>
            <w:vAlign w:val="center"/>
          </w:tcPr>
          <w:p w14:paraId="54874DF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056263C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469D4A1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个头大小均匀，表面光滑，蒂部应新鲜不发黑，不萎蔫，无虫咬霉烂，开箱后无异味，尾部新鲜、硬朗</w:t>
            </w:r>
          </w:p>
        </w:tc>
      </w:tr>
      <w:tr w14:paraId="7560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071446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15</w:t>
            </w:r>
          </w:p>
        </w:tc>
        <w:tc>
          <w:tcPr>
            <w:tcW w:w="1547" w:type="dxa"/>
            <w:vAlign w:val="center"/>
          </w:tcPr>
          <w:p w14:paraId="7F244D9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土豆</w:t>
            </w:r>
          </w:p>
        </w:tc>
        <w:tc>
          <w:tcPr>
            <w:tcW w:w="880" w:type="dxa"/>
            <w:vMerge w:val="continue"/>
            <w:vAlign w:val="center"/>
          </w:tcPr>
          <w:p w14:paraId="465F2AD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44F7AF2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1E4BE9A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单个重约250-400克，表皮光滑，果体新鲜，表皮为黄色，肉呈白色，脆嫩多汁，外观良好干净。内部不发黑，外部无发芽，不变绿，表面无干疤和糙皮、无病斑、无虫咬和机械外伤，不萎蔫、无软腐及泥土，无发酵酒精气味</w:t>
            </w:r>
          </w:p>
        </w:tc>
      </w:tr>
      <w:tr w14:paraId="5F62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5A3114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16</w:t>
            </w:r>
          </w:p>
        </w:tc>
        <w:tc>
          <w:tcPr>
            <w:tcW w:w="1547" w:type="dxa"/>
            <w:vAlign w:val="center"/>
          </w:tcPr>
          <w:p w14:paraId="336F6D2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西葫芦</w:t>
            </w:r>
          </w:p>
        </w:tc>
        <w:tc>
          <w:tcPr>
            <w:tcW w:w="880" w:type="dxa"/>
            <w:vMerge w:val="continue"/>
            <w:vAlign w:val="center"/>
          </w:tcPr>
          <w:p w14:paraId="06883BF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0FF3E3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00AA268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个头均匀，表皮光滑完整而不开裂，无干枯与腐烂，不空心，不黑心，无病虫害，表面干净新鲜</w:t>
            </w:r>
          </w:p>
        </w:tc>
      </w:tr>
      <w:tr w14:paraId="0FC4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6F2DB8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17</w:t>
            </w:r>
          </w:p>
        </w:tc>
        <w:tc>
          <w:tcPr>
            <w:tcW w:w="1547" w:type="dxa"/>
            <w:vAlign w:val="center"/>
          </w:tcPr>
          <w:p w14:paraId="4710BC1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黄瓜</w:t>
            </w:r>
          </w:p>
        </w:tc>
        <w:tc>
          <w:tcPr>
            <w:tcW w:w="880" w:type="dxa"/>
            <w:vMerge w:val="continue"/>
            <w:vAlign w:val="center"/>
          </w:tcPr>
          <w:p w14:paraId="45F2362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4C1C4D9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231679A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个头均匀，表皮光滑完整而不开裂，无干枯与腐烂，不空心，不黑心，无病虫害，表面干净新鲜</w:t>
            </w:r>
          </w:p>
        </w:tc>
      </w:tr>
      <w:tr w14:paraId="1978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3BFB6A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18</w:t>
            </w:r>
          </w:p>
        </w:tc>
        <w:tc>
          <w:tcPr>
            <w:tcW w:w="1547" w:type="dxa"/>
            <w:vAlign w:val="center"/>
          </w:tcPr>
          <w:p w14:paraId="4C4FC29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豆芽</w:t>
            </w:r>
          </w:p>
        </w:tc>
        <w:tc>
          <w:tcPr>
            <w:tcW w:w="880" w:type="dxa"/>
            <w:vMerge w:val="continue"/>
            <w:vAlign w:val="center"/>
          </w:tcPr>
          <w:p w14:paraId="2F99C64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55727EC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2B5D718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无腐烂，无斑点，无病虫害，黄豆芽、绿豆芽</w:t>
            </w:r>
          </w:p>
        </w:tc>
      </w:tr>
      <w:tr w14:paraId="3568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671D11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19</w:t>
            </w:r>
          </w:p>
        </w:tc>
        <w:tc>
          <w:tcPr>
            <w:tcW w:w="1547" w:type="dxa"/>
            <w:vAlign w:val="center"/>
          </w:tcPr>
          <w:p w14:paraId="7F51829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蘑菇</w:t>
            </w:r>
          </w:p>
        </w:tc>
        <w:tc>
          <w:tcPr>
            <w:tcW w:w="880" w:type="dxa"/>
            <w:vMerge w:val="continue"/>
            <w:vAlign w:val="center"/>
          </w:tcPr>
          <w:p w14:paraId="3914B72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5A014DD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5643D15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无腐烂，朵片大小均匀完整，不含杂异物、无味、无泥沙，无糟烂现象，平菇、圆菇、香菇等</w:t>
            </w:r>
          </w:p>
        </w:tc>
      </w:tr>
      <w:tr w14:paraId="05C3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7B7E51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20</w:t>
            </w:r>
          </w:p>
        </w:tc>
        <w:tc>
          <w:tcPr>
            <w:tcW w:w="1547" w:type="dxa"/>
            <w:vAlign w:val="center"/>
          </w:tcPr>
          <w:p w14:paraId="75EA960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洋葱</w:t>
            </w:r>
          </w:p>
        </w:tc>
        <w:tc>
          <w:tcPr>
            <w:tcW w:w="880" w:type="dxa"/>
            <w:vMerge w:val="continue"/>
            <w:vAlign w:val="center"/>
          </w:tcPr>
          <w:p w14:paraId="60A0C0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58BAFDD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01BDBEE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单个重约200-250克，鳞径形态良好,色泽正常,表面光滑、脆嫩,心部不腐烂，无机械伤、无病虫害、无鳞芽,无软腐及泥土</w:t>
            </w:r>
          </w:p>
        </w:tc>
      </w:tr>
      <w:tr w14:paraId="2D9F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1ED530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21</w:t>
            </w:r>
          </w:p>
        </w:tc>
        <w:tc>
          <w:tcPr>
            <w:tcW w:w="1547" w:type="dxa"/>
            <w:vAlign w:val="center"/>
          </w:tcPr>
          <w:p w14:paraId="7BDBB9F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大葱</w:t>
            </w:r>
          </w:p>
        </w:tc>
        <w:tc>
          <w:tcPr>
            <w:tcW w:w="880" w:type="dxa"/>
            <w:vMerge w:val="continue"/>
            <w:vAlign w:val="center"/>
          </w:tcPr>
          <w:p w14:paraId="42233F4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05B16D5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72EF05C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完整而不折断，扎成捆，干净无泥，不夹杂异物，葱横径3cm左右，纵径为40cm左右（去顶端叶）</w:t>
            </w:r>
          </w:p>
        </w:tc>
      </w:tr>
      <w:tr w14:paraId="358E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7F4246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22</w:t>
            </w:r>
          </w:p>
        </w:tc>
        <w:tc>
          <w:tcPr>
            <w:tcW w:w="1547" w:type="dxa"/>
            <w:vAlign w:val="center"/>
          </w:tcPr>
          <w:p w14:paraId="3E1029D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香葱</w:t>
            </w:r>
          </w:p>
        </w:tc>
        <w:tc>
          <w:tcPr>
            <w:tcW w:w="880" w:type="dxa"/>
            <w:vMerge w:val="continue"/>
            <w:vAlign w:val="center"/>
          </w:tcPr>
          <w:p w14:paraId="43F1A71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37F0A8C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30E026A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色泽鲜嫩翠绿，叶嫩绿茎、水分充足，无枯黄叶和花斑叶，无折断，叶片不干枯，无斑点，无腐烂</w:t>
            </w:r>
          </w:p>
        </w:tc>
      </w:tr>
      <w:tr w14:paraId="4F09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604A5C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23</w:t>
            </w:r>
          </w:p>
        </w:tc>
        <w:tc>
          <w:tcPr>
            <w:tcW w:w="1547" w:type="dxa"/>
            <w:vAlign w:val="center"/>
          </w:tcPr>
          <w:p w14:paraId="1020BEA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生姜</w:t>
            </w:r>
          </w:p>
        </w:tc>
        <w:tc>
          <w:tcPr>
            <w:tcW w:w="880" w:type="dxa"/>
            <w:vMerge w:val="continue"/>
            <w:vAlign w:val="center"/>
          </w:tcPr>
          <w:p w14:paraId="61AF41B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17D185B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00531C9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姜块完整、丰满结实，无损伤，无姜腐病，不带枯苗和泥土，无焦皮、不皱缩、无黑心、糠心现象，不烂芽</w:t>
            </w:r>
          </w:p>
        </w:tc>
      </w:tr>
      <w:tr w14:paraId="04FF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66A71B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24</w:t>
            </w:r>
          </w:p>
        </w:tc>
        <w:tc>
          <w:tcPr>
            <w:tcW w:w="1547" w:type="dxa"/>
            <w:vAlign w:val="center"/>
          </w:tcPr>
          <w:p w14:paraId="7B6F5A8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大蒜</w:t>
            </w:r>
          </w:p>
        </w:tc>
        <w:tc>
          <w:tcPr>
            <w:tcW w:w="880" w:type="dxa"/>
            <w:vMerge w:val="continue"/>
            <w:vAlign w:val="center"/>
          </w:tcPr>
          <w:p w14:paraId="501D0E1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16BFFE1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36A9913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个头均匀，无瘪变蒜，蒜瓣丰满，无虫眼，根部干净、无细沙泥土及杂物，蒜头大小均匀，蒜皮完整而不开裂，蒜瓣饱满，无干枯与腐烂，蒜身干爽无泥，无病虫害，不出芽</w:t>
            </w:r>
          </w:p>
        </w:tc>
      </w:tr>
      <w:tr w14:paraId="1178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737184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25</w:t>
            </w:r>
          </w:p>
        </w:tc>
        <w:tc>
          <w:tcPr>
            <w:tcW w:w="1547" w:type="dxa"/>
            <w:vAlign w:val="center"/>
          </w:tcPr>
          <w:p w14:paraId="664919F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蒜苗</w:t>
            </w:r>
          </w:p>
        </w:tc>
        <w:tc>
          <w:tcPr>
            <w:tcW w:w="880" w:type="dxa"/>
            <w:vMerge w:val="continue"/>
            <w:vAlign w:val="center"/>
          </w:tcPr>
          <w:p w14:paraId="234F3A3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66F37D5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66604AD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株棵完整粗壮，无折断，叶片不干枯，无斑点，干净无泥土</w:t>
            </w:r>
          </w:p>
        </w:tc>
      </w:tr>
      <w:tr w14:paraId="5063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00D963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26</w:t>
            </w:r>
          </w:p>
        </w:tc>
        <w:tc>
          <w:tcPr>
            <w:tcW w:w="1547" w:type="dxa"/>
            <w:vAlign w:val="center"/>
          </w:tcPr>
          <w:p w14:paraId="633136E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金瓜</w:t>
            </w:r>
          </w:p>
        </w:tc>
        <w:tc>
          <w:tcPr>
            <w:tcW w:w="880" w:type="dxa"/>
            <w:vMerge w:val="continue"/>
            <w:vAlign w:val="center"/>
          </w:tcPr>
          <w:p w14:paraId="6C97F2E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5D615C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5101026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外观新鲜，大小均匀，表皮干净而不开裂，无病虫害，无断裂、压伤、虫洞、泥土，无擦伤及腐烂出现</w:t>
            </w:r>
          </w:p>
        </w:tc>
      </w:tr>
      <w:tr w14:paraId="61EF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642A0D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27</w:t>
            </w:r>
          </w:p>
        </w:tc>
        <w:tc>
          <w:tcPr>
            <w:tcW w:w="1547" w:type="dxa"/>
            <w:vAlign w:val="center"/>
          </w:tcPr>
          <w:p w14:paraId="7622103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金针菇</w:t>
            </w:r>
          </w:p>
        </w:tc>
        <w:tc>
          <w:tcPr>
            <w:tcW w:w="880" w:type="dxa"/>
            <w:vMerge w:val="restart"/>
            <w:vAlign w:val="bottom"/>
          </w:tcPr>
          <w:p w14:paraId="34B8E34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3BF5E9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3490A96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4C10F32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1F97F38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6A7CCCE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30832FB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2848738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6A863AD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07995B0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5692F6D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6E0F543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6D55D3B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445F2D1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49D080F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p w14:paraId="63DEE44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p w14:paraId="10B32D7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53C7A4D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63D5D09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32D9104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608E3D1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7AF7E90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71594D3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4F28728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315595B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797119E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04CE0D6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6C396F5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16A5DB2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3DCB348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1F83AB7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5EB100B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464543C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56DF57BB">
            <w:pPr>
              <w:pStyle w:val="2"/>
              <w:keepNext w:val="0"/>
              <w:keepLines w:val="0"/>
              <w:suppressLineNumbers w:val="0"/>
              <w:spacing w:before="0" w:beforeAutospacing="0" w:after="0" w:afterAutospacing="0"/>
              <w:ind w:left="0" w:right="0"/>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3DB445A5">
            <w:pPr>
              <w:pStyle w:val="4"/>
              <w:keepNext w:val="0"/>
              <w:keepLines w:val="0"/>
              <w:suppressLineNumbers w:val="0"/>
              <w:spacing w:before="0" w:beforeAutospacing="0" w:after="0" w:afterAutospacing="0"/>
              <w:ind w:left="0" w:right="0"/>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49807FC8">
            <w:pPr>
              <w:pStyle w:val="5"/>
              <w:keepNext w:val="0"/>
              <w:keepLines w:val="0"/>
              <w:suppressLineNumbers w:val="0"/>
              <w:spacing w:beforeAutospacing="0" w:after="0" w:afterAutospacing="0"/>
              <w:ind w:left="0" w:right="0"/>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6150CC21">
            <w:pPr>
              <w:keepNext w:val="0"/>
              <w:keepLines w:val="0"/>
              <w:suppressLineNumbers w:val="0"/>
              <w:spacing w:before="0" w:beforeAutospacing="0" w:after="0" w:afterAutospacing="0"/>
              <w:ind w:left="0" w:right="0"/>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1CEB32BD">
            <w:pPr>
              <w:pStyle w:val="2"/>
              <w:keepNext w:val="0"/>
              <w:keepLines w:val="0"/>
              <w:suppressLineNumbers w:val="0"/>
              <w:spacing w:before="0" w:beforeAutospacing="0" w:after="0" w:afterAutospacing="0"/>
              <w:ind w:left="0" w:right="0"/>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34041D50">
            <w:pPr>
              <w:pStyle w:val="4"/>
              <w:keepNext w:val="0"/>
              <w:keepLines w:val="0"/>
              <w:suppressLineNumbers w:val="0"/>
              <w:spacing w:before="0" w:beforeAutospacing="0" w:after="0" w:afterAutospacing="0"/>
              <w:ind w:left="0" w:right="0"/>
              <w:rPr>
                <w:rFonts w:hint="default"/>
                <w:lang w:val="en-US" w:eastAsia="zh-CN"/>
              </w:rPr>
            </w:pPr>
          </w:p>
          <w:p w14:paraId="6882E07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2330C28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p>
          <w:p w14:paraId="3848EDD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p w14:paraId="5E90C0D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restart"/>
            <w:vAlign w:val="center"/>
          </w:tcPr>
          <w:p w14:paraId="5F28A8D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232BFA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494BE7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1E64996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0C367CA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1AEFFD4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042A09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2F783FD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36FC29F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6C82A3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6610D9C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50B4D48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214759A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0CEF79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按甲方的需求量配送，最终以配送量为准</w:t>
            </w:r>
          </w:p>
          <w:p w14:paraId="484AE2B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650EA05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4226D2E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027C0E2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1CE1458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6AA6BB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3EF882B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324EABB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23CF5E5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0632F13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218006A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5904E65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2BF5F3B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2013D28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4FEA8A4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2B85CF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13AE98E6">
            <w:pPr>
              <w:pStyle w:val="2"/>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0A61EB27">
            <w:pPr>
              <w:pStyle w:val="4"/>
              <w:keepNext w:val="0"/>
              <w:keepLines w:val="0"/>
              <w:suppressLineNumbers w:val="0"/>
              <w:spacing w:before="0" w:beforeAutospacing="0" w:after="0" w:afterAutospacing="0"/>
              <w:ind w:left="0" w:right="0"/>
              <w:rPr>
                <w:rFonts w:hint="eastAsia"/>
                <w:lang w:val="en-US" w:eastAsia="zh-CN"/>
              </w:rPr>
            </w:pPr>
          </w:p>
          <w:p w14:paraId="072CFA4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6E0BF0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252E6DB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612A9BC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27D2DEF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228B11E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按甲方的需求量配送，最终以配送量为准</w:t>
            </w:r>
          </w:p>
        </w:tc>
        <w:tc>
          <w:tcPr>
            <w:tcW w:w="10464" w:type="dxa"/>
            <w:vAlign w:val="center"/>
          </w:tcPr>
          <w:p w14:paraId="1C4A575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不干枯，表面干净，无病虫害，无泥沙、断裂、压伤、虫洞、泥土，黄斑、黑斑、无擦伤及腐烂出现</w:t>
            </w:r>
          </w:p>
        </w:tc>
      </w:tr>
      <w:tr w14:paraId="0B62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19A2ED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28</w:t>
            </w:r>
          </w:p>
        </w:tc>
        <w:tc>
          <w:tcPr>
            <w:tcW w:w="1547" w:type="dxa"/>
            <w:vAlign w:val="center"/>
          </w:tcPr>
          <w:p w14:paraId="0D5BB20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红薯</w:t>
            </w:r>
          </w:p>
        </w:tc>
        <w:tc>
          <w:tcPr>
            <w:tcW w:w="880" w:type="dxa"/>
            <w:vMerge w:val="continue"/>
            <w:vAlign w:val="center"/>
          </w:tcPr>
          <w:p w14:paraId="708556C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7E64F4C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3B79B9C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外观新鲜，大小均匀，表皮干净而不开裂，无病虫害，无断裂、压伤、虫洞、泥土，无擦伤及腐烂出现</w:t>
            </w:r>
          </w:p>
        </w:tc>
      </w:tr>
      <w:tr w14:paraId="3FE6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140078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29</w:t>
            </w:r>
          </w:p>
        </w:tc>
        <w:tc>
          <w:tcPr>
            <w:tcW w:w="1547" w:type="dxa"/>
            <w:vAlign w:val="center"/>
          </w:tcPr>
          <w:p w14:paraId="294F923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紫薯</w:t>
            </w:r>
          </w:p>
        </w:tc>
        <w:tc>
          <w:tcPr>
            <w:tcW w:w="880" w:type="dxa"/>
            <w:vMerge w:val="continue"/>
            <w:vAlign w:val="center"/>
          </w:tcPr>
          <w:p w14:paraId="68CCF66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385F65A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7583434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个重约250-300克，内部不发黑，外部无发芽，不变绿，无病斑、无虫咬和机械外伤，不萎蔫、不变软，无发酵酒精味</w:t>
            </w:r>
          </w:p>
        </w:tc>
      </w:tr>
      <w:tr w14:paraId="3BE7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773484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30</w:t>
            </w:r>
          </w:p>
        </w:tc>
        <w:tc>
          <w:tcPr>
            <w:tcW w:w="1547" w:type="dxa"/>
            <w:vAlign w:val="center"/>
          </w:tcPr>
          <w:p w14:paraId="1168766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西兰花</w:t>
            </w:r>
          </w:p>
        </w:tc>
        <w:tc>
          <w:tcPr>
            <w:tcW w:w="880" w:type="dxa"/>
            <w:vMerge w:val="continue"/>
            <w:vAlign w:val="center"/>
          </w:tcPr>
          <w:p w14:paraId="1DD0F52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083DBDB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6713E0C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色泽新鲜青绿，不干枯，表面干净，无病虫害，无泥沙、断裂、压伤、虫洞、泥土，黄斑、黑斑、无擦伤及腐烂出现</w:t>
            </w:r>
          </w:p>
        </w:tc>
      </w:tr>
      <w:tr w14:paraId="482A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6444D6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31</w:t>
            </w:r>
          </w:p>
        </w:tc>
        <w:tc>
          <w:tcPr>
            <w:tcW w:w="1547" w:type="dxa"/>
            <w:vAlign w:val="center"/>
          </w:tcPr>
          <w:p w14:paraId="42523EC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花菜</w:t>
            </w:r>
          </w:p>
        </w:tc>
        <w:tc>
          <w:tcPr>
            <w:tcW w:w="880" w:type="dxa"/>
            <w:vMerge w:val="continue"/>
            <w:vAlign w:val="center"/>
          </w:tcPr>
          <w:p w14:paraId="679A1C6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3BC6F46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352311C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色泽新鲜青绿，表面干净，无病虫害，无泥土、断裂、压伤、虫洞、泥土，黄斑、黑斑、无擦伤及腐烂出现</w:t>
            </w:r>
          </w:p>
        </w:tc>
      </w:tr>
      <w:tr w14:paraId="7B4D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19DA69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32</w:t>
            </w:r>
          </w:p>
        </w:tc>
        <w:tc>
          <w:tcPr>
            <w:tcW w:w="1547" w:type="dxa"/>
            <w:vAlign w:val="center"/>
          </w:tcPr>
          <w:p w14:paraId="7B7E80D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笋子</w:t>
            </w:r>
          </w:p>
        </w:tc>
        <w:tc>
          <w:tcPr>
            <w:tcW w:w="880" w:type="dxa"/>
            <w:vMerge w:val="continue"/>
            <w:vAlign w:val="center"/>
          </w:tcPr>
          <w:p w14:paraId="3FC8443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620C34F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7932763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色泽新鲜青绿，表面干净，无病虫害，无泥土、断裂、压伤、虫洞、泥土，黄斑、黑斑、无擦伤及腐烂出现</w:t>
            </w:r>
          </w:p>
        </w:tc>
      </w:tr>
      <w:tr w14:paraId="42A41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598F5C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33</w:t>
            </w:r>
          </w:p>
        </w:tc>
        <w:tc>
          <w:tcPr>
            <w:tcW w:w="1547" w:type="dxa"/>
            <w:vAlign w:val="center"/>
          </w:tcPr>
          <w:p w14:paraId="4446322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山药</w:t>
            </w:r>
          </w:p>
        </w:tc>
        <w:tc>
          <w:tcPr>
            <w:tcW w:w="880" w:type="dxa"/>
            <w:vMerge w:val="continue"/>
            <w:vAlign w:val="center"/>
          </w:tcPr>
          <w:p w14:paraId="53D4C71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3B431B2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26979A8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外观新鲜，大小均匀，表皮干净而不开裂，无病虫害，无断裂、压伤、虫洞、泥土，无擦伤及腐烂出现</w:t>
            </w:r>
          </w:p>
        </w:tc>
      </w:tr>
      <w:tr w14:paraId="2C2E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45E58A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34</w:t>
            </w:r>
          </w:p>
        </w:tc>
        <w:tc>
          <w:tcPr>
            <w:tcW w:w="1547" w:type="dxa"/>
            <w:vAlign w:val="center"/>
          </w:tcPr>
          <w:p w14:paraId="22DFF3A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玉米棒子</w:t>
            </w:r>
          </w:p>
        </w:tc>
        <w:tc>
          <w:tcPr>
            <w:tcW w:w="880" w:type="dxa"/>
            <w:vMerge w:val="continue"/>
            <w:vAlign w:val="center"/>
          </w:tcPr>
          <w:p w14:paraId="21A6F9A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3E4FE47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12597CD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外观新鲜，大小均匀，表皮干净而不开裂，无病虫害，无断裂、压伤、虫洞、泥土，无擦伤及腐烂出现</w:t>
            </w:r>
          </w:p>
        </w:tc>
      </w:tr>
      <w:tr w14:paraId="30E8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2B1115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35</w:t>
            </w:r>
          </w:p>
        </w:tc>
        <w:tc>
          <w:tcPr>
            <w:tcW w:w="1547" w:type="dxa"/>
            <w:vAlign w:val="center"/>
          </w:tcPr>
          <w:p w14:paraId="3604545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茼蒿</w:t>
            </w:r>
          </w:p>
        </w:tc>
        <w:tc>
          <w:tcPr>
            <w:tcW w:w="880" w:type="dxa"/>
            <w:vMerge w:val="continue"/>
            <w:vAlign w:val="center"/>
          </w:tcPr>
          <w:p w14:paraId="56ABCD8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415D35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7EC26B4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色泽鲜嫩翠绿，叶嫩绿茎、水分充足，无枯黄叶和花斑叶，植株健壮，整齐而不断，捆扎成捆，根上无泥，捆内无杂物，不抽苔，无烂叶、无泥土、黄叶、烂叶、根茎变黄、断裂及腐烂出现</w:t>
            </w:r>
          </w:p>
        </w:tc>
      </w:tr>
      <w:tr w14:paraId="4010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7694A3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36</w:t>
            </w:r>
          </w:p>
        </w:tc>
        <w:tc>
          <w:tcPr>
            <w:tcW w:w="1547" w:type="dxa"/>
            <w:vAlign w:val="center"/>
          </w:tcPr>
          <w:p w14:paraId="4AD5AA8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莲藕</w:t>
            </w:r>
          </w:p>
        </w:tc>
        <w:tc>
          <w:tcPr>
            <w:tcW w:w="880" w:type="dxa"/>
            <w:vMerge w:val="continue"/>
            <w:vAlign w:val="center"/>
          </w:tcPr>
          <w:p w14:paraId="57F3C11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601C555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2BEEA31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外观新鲜，大小均匀，表皮干净而不开裂，无病虫害，无断裂、压伤、虫洞、泥土，无擦伤及腐烂出现</w:t>
            </w:r>
          </w:p>
        </w:tc>
      </w:tr>
      <w:tr w14:paraId="1DD7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3C274C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37</w:t>
            </w:r>
          </w:p>
        </w:tc>
        <w:tc>
          <w:tcPr>
            <w:tcW w:w="1547" w:type="dxa"/>
            <w:vAlign w:val="center"/>
          </w:tcPr>
          <w:p w14:paraId="3B58B23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豆腐</w:t>
            </w:r>
          </w:p>
        </w:tc>
        <w:tc>
          <w:tcPr>
            <w:tcW w:w="880" w:type="dxa"/>
            <w:vMerge w:val="continue"/>
            <w:vAlign w:val="center"/>
          </w:tcPr>
          <w:p w14:paraId="4997DF3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0B4B267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7804745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新鲜，颜色呈均匀的乳白色或淡黄色，稍有光泽；豆腐块型完整，软硬适度，要有一定的弹性；豆腐口感细腻鲜嫩，味道纯正清香；具有豆腐香味</w:t>
            </w:r>
          </w:p>
        </w:tc>
      </w:tr>
      <w:tr w14:paraId="7FEF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5BD327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38</w:t>
            </w:r>
          </w:p>
        </w:tc>
        <w:tc>
          <w:tcPr>
            <w:tcW w:w="1547" w:type="dxa"/>
            <w:vAlign w:val="center"/>
          </w:tcPr>
          <w:p w14:paraId="35AB89F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豆腐干</w:t>
            </w:r>
          </w:p>
        </w:tc>
        <w:tc>
          <w:tcPr>
            <w:tcW w:w="880" w:type="dxa"/>
            <w:vMerge w:val="continue"/>
            <w:vAlign w:val="center"/>
          </w:tcPr>
          <w:p w14:paraId="7411CD3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00CED5A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68702AE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清香味，厚度均匀，光泽，未有腐烂、变质、表面清洁</w:t>
            </w:r>
          </w:p>
        </w:tc>
      </w:tr>
      <w:tr w14:paraId="3184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0D46E5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39</w:t>
            </w:r>
          </w:p>
        </w:tc>
        <w:tc>
          <w:tcPr>
            <w:tcW w:w="1547" w:type="dxa"/>
            <w:vAlign w:val="center"/>
          </w:tcPr>
          <w:p w14:paraId="3C25013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豆腐皮</w:t>
            </w:r>
          </w:p>
        </w:tc>
        <w:tc>
          <w:tcPr>
            <w:tcW w:w="880" w:type="dxa"/>
            <w:vMerge w:val="continue"/>
            <w:vAlign w:val="center"/>
          </w:tcPr>
          <w:p w14:paraId="5CD66E3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592126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306BFD2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清香味，厚度均匀，光泽，未有腐烂、变质、表面清洁</w:t>
            </w:r>
          </w:p>
        </w:tc>
      </w:tr>
      <w:tr w14:paraId="087D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525D39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40</w:t>
            </w:r>
          </w:p>
        </w:tc>
        <w:tc>
          <w:tcPr>
            <w:tcW w:w="1547" w:type="dxa"/>
            <w:vAlign w:val="center"/>
          </w:tcPr>
          <w:p w14:paraId="0086BC5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西瓜</w:t>
            </w:r>
          </w:p>
        </w:tc>
        <w:tc>
          <w:tcPr>
            <w:tcW w:w="880" w:type="dxa"/>
            <w:vMerge w:val="continue"/>
            <w:vAlign w:val="center"/>
          </w:tcPr>
          <w:p w14:paraId="0C5975E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1AC1AE7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6FA1696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新疆产西瓜≥3千克，果形圆正、成熟度高，皮薄瓤沙，肉色深红；未有腐烂、变质，必须提供产地证明</w:t>
            </w:r>
          </w:p>
        </w:tc>
      </w:tr>
      <w:tr w14:paraId="6752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716BE1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41</w:t>
            </w:r>
          </w:p>
        </w:tc>
        <w:tc>
          <w:tcPr>
            <w:tcW w:w="1547" w:type="dxa"/>
            <w:vAlign w:val="center"/>
          </w:tcPr>
          <w:p w14:paraId="4477FCC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哈密瓜</w:t>
            </w:r>
          </w:p>
        </w:tc>
        <w:tc>
          <w:tcPr>
            <w:tcW w:w="880" w:type="dxa"/>
            <w:vMerge w:val="continue"/>
            <w:vAlign w:val="center"/>
          </w:tcPr>
          <w:p w14:paraId="6D120C8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vAlign w:val="center"/>
          </w:tcPr>
          <w:p w14:paraId="1DD3E9D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043A13B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新疆产甜瓜≥2千克，果形圆正、成熟度高，皮薄瓤甜，爽脆，多汁；未有腐烂、变质，必须提供产地证明</w:t>
            </w:r>
          </w:p>
        </w:tc>
      </w:tr>
      <w:tr w14:paraId="4D50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209434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42</w:t>
            </w:r>
          </w:p>
        </w:tc>
        <w:tc>
          <w:tcPr>
            <w:tcW w:w="1547" w:type="dxa"/>
            <w:vAlign w:val="center"/>
          </w:tcPr>
          <w:p w14:paraId="7C8D965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苹果</w:t>
            </w:r>
          </w:p>
        </w:tc>
        <w:tc>
          <w:tcPr>
            <w:tcW w:w="880" w:type="dxa"/>
            <w:vMerge w:val="continue"/>
            <w:vAlign w:val="center"/>
          </w:tcPr>
          <w:p w14:paraId="66368CA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13A8313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770C57F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品种为红富士，等级为一级苹果，每个150克以上，皮薄、肉质脆、质密多汁、味甜稍酸，未有腐烂、变质</w:t>
            </w:r>
          </w:p>
        </w:tc>
      </w:tr>
      <w:tr w14:paraId="5EE4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1A5C8C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43</w:t>
            </w:r>
          </w:p>
        </w:tc>
        <w:tc>
          <w:tcPr>
            <w:tcW w:w="1547" w:type="dxa"/>
            <w:vAlign w:val="center"/>
          </w:tcPr>
          <w:p w14:paraId="4BD5334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葡萄</w:t>
            </w:r>
          </w:p>
        </w:tc>
        <w:tc>
          <w:tcPr>
            <w:tcW w:w="880" w:type="dxa"/>
            <w:vMerge w:val="continue"/>
            <w:vAlign w:val="center"/>
          </w:tcPr>
          <w:p w14:paraId="5D69294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20AC9C8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43C47FF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成熟度高，果粒较大，果皮中等厚，果肉多汁，味酸甜，未有</w:t>
            </w:r>
            <w:r>
              <w:rPr>
                <w:rFonts w:hint="eastAsia" w:ascii="仿宋_GB2312" w:hAnsi="Calibri" w:eastAsia="仿宋_GB2312" w:cs="仿宋_GB2312"/>
                <w:b w:val="0"/>
                <w:bCs w:val="0"/>
                <w:i w:val="0"/>
                <w:iCs w:val="0"/>
                <w:caps w:val="0"/>
                <w:color w:val="000000"/>
                <w:spacing w:val="0"/>
                <w:kern w:val="0"/>
                <w:sz w:val="23"/>
                <w:szCs w:val="23"/>
                <w:lang w:val="en-US" w:eastAsia="zh-CN" w:bidi="ar"/>
              </w:rPr>
              <w:t>变质</w:t>
            </w:r>
          </w:p>
        </w:tc>
      </w:tr>
      <w:tr w14:paraId="0920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6E2DE8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44</w:t>
            </w:r>
          </w:p>
        </w:tc>
        <w:tc>
          <w:tcPr>
            <w:tcW w:w="1547" w:type="dxa"/>
            <w:vAlign w:val="center"/>
          </w:tcPr>
          <w:p w14:paraId="4EE777D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梨</w:t>
            </w:r>
          </w:p>
        </w:tc>
        <w:tc>
          <w:tcPr>
            <w:tcW w:w="880" w:type="dxa"/>
            <w:vMerge w:val="continue"/>
            <w:vAlign w:val="center"/>
          </w:tcPr>
          <w:p w14:paraId="5CFDA16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154BA33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4031998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无虫害，无腐烂，一级果大小均匀，果面黄绿色，皮薄，光滑，未有变质</w:t>
            </w:r>
          </w:p>
        </w:tc>
      </w:tr>
      <w:tr w14:paraId="4DEA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310D3E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45</w:t>
            </w:r>
          </w:p>
        </w:tc>
        <w:tc>
          <w:tcPr>
            <w:tcW w:w="1547" w:type="dxa"/>
            <w:vAlign w:val="center"/>
          </w:tcPr>
          <w:p w14:paraId="7B78F67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橘子</w:t>
            </w:r>
          </w:p>
        </w:tc>
        <w:tc>
          <w:tcPr>
            <w:tcW w:w="880" w:type="dxa"/>
            <w:vMerge w:val="continue"/>
            <w:vAlign w:val="center"/>
          </w:tcPr>
          <w:p w14:paraId="244C513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460157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0E792E6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一级橘，果色金黄，皮薄核少，个头均匀，易剥离，高糖低酸，未</w:t>
            </w:r>
            <w:r>
              <w:rPr>
                <w:rFonts w:hint="eastAsia" w:ascii="仿宋_GB2312" w:hAnsi="Calibri" w:eastAsia="仿宋_GB2312" w:cs="仿宋_GB2312"/>
                <w:b w:val="0"/>
                <w:bCs w:val="0"/>
                <w:i w:val="0"/>
                <w:iCs w:val="0"/>
                <w:caps w:val="0"/>
                <w:color w:val="000000"/>
                <w:spacing w:val="0"/>
                <w:kern w:val="0"/>
                <w:sz w:val="23"/>
                <w:szCs w:val="23"/>
                <w:lang w:val="en-US" w:eastAsia="zh-CN" w:bidi="ar"/>
              </w:rPr>
              <w:t>有</w:t>
            </w:r>
            <w:r>
              <w:rPr>
                <w:rFonts w:hint="default" w:ascii="仿宋_GB2312" w:hAnsi="Calibri" w:eastAsia="仿宋_GB2312" w:cs="仿宋_GB2312"/>
                <w:b w:val="0"/>
                <w:bCs w:val="0"/>
                <w:i w:val="0"/>
                <w:iCs w:val="0"/>
                <w:caps w:val="0"/>
                <w:color w:val="000000"/>
                <w:spacing w:val="0"/>
                <w:kern w:val="0"/>
                <w:sz w:val="23"/>
                <w:szCs w:val="23"/>
                <w:lang w:val="en-US" w:eastAsia="zh-CN" w:bidi="ar"/>
              </w:rPr>
              <w:t>变质</w:t>
            </w:r>
          </w:p>
        </w:tc>
      </w:tr>
      <w:tr w14:paraId="147B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68FF3B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46</w:t>
            </w:r>
          </w:p>
        </w:tc>
        <w:tc>
          <w:tcPr>
            <w:tcW w:w="1547" w:type="dxa"/>
            <w:vAlign w:val="center"/>
          </w:tcPr>
          <w:p w14:paraId="52747FB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香蕉</w:t>
            </w:r>
          </w:p>
        </w:tc>
        <w:tc>
          <w:tcPr>
            <w:tcW w:w="880" w:type="dxa"/>
            <w:vMerge w:val="continue"/>
            <w:vAlign w:val="center"/>
          </w:tcPr>
          <w:p w14:paraId="6E4E459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6ADDB5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5E055D2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一级蕉，色泽鲜黄，表皮无斑，无过熟，未有腐烂、变质，果实丰满，果型端正，无病，无霉菌，无创伤</w:t>
            </w:r>
          </w:p>
        </w:tc>
      </w:tr>
      <w:tr w14:paraId="6224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53C359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47</w:t>
            </w:r>
          </w:p>
        </w:tc>
        <w:tc>
          <w:tcPr>
            <w:tcW w:w="1547" w:type="dxa"/>
            <w:vAlign w:val="center"/>
          </w:tcPr>
          <w:p w14:paraId="6CFA6F1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Calibri" w:eastAsia="仿宋_GB2312" w:cs="仿宋_GB2312"/>
                <w:b w:val="0"/>
                <w:bCs w:val="0"/>
                <w:i w:val="0"/>
                <w:iCs w:val="0"/>
                <w:caps w:val="0"/>
                <w:color w:val="0000FF"/>
                <w:spacing w:val="0"/>
                <w:kern w:val="0"/>
                <w:sz w:val="23"/>
                <w:szCs w:val="23"/>
                <w:lang w:val="en-US" w:eastAsia="zh-CN" w:bidi="ar"/>
              </w:rPr>
            </w:pPr>
            <w:r>
              <w:rPr>
                <w:rFonts w:hint="eastAsia" w:ascii="仿宋_GB2312" w:hAnsi="Calibri" w:eastAsia="仿宋_GB2312" w:cs="仿宋_GB2312"/>
                <w:b w:val="0"/>
                <w:bCs w:val="0"/>
                <w:i w:val="0"/>
                <w:iCs w:val="0"/>
                <w:caps w:val="0"/>
                <w:color w:val="0000FF"/>
                <w:spacing w:val="0"/>
                <w:kern w:val="0"/>
                <w:sz w:val="23"/>
                <w:szCs w:val="23"/>
                <w:lang w:val="en-US" w:eastAsia="zh-CN" w:bidi="ar"/>
              </w:rPr>
              <w:t>茄子</w:t>
            </w:r>
          </w:p>
        </w:tc>
        <w:tc>
          <w:tcPr>
            <w:tcW w:w="880" w:type="dxa"/>
            <w:vMerge w:val="continue"/>
            <w:vAlign w:val="center"/>
          </w:tcPr>
          <w:p w14:paraId="71A8A9A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55E455B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7A928BA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外观新鲜，大小均匀，表皮干净而不开裂，无病虫害，无断裂、压伤、虫洞、泥土，无擦伤及腐烂出现</w:t>
            </w:r>
          </w:p>
        </w:tc>
      </w:tr>
      <w:tr w14:paraId="06634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 w:type="dxa"/>
            <w:vAlign w:val="center"/>
          </w:tcPr>
          <w:p w14:paraId="1A3695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48</w:t>
            </w:r>
          </w:p>
        </w:tc>
        <w:tc>
          <w:tcPr>
            <w:tcW w:w="1547" w:type="dxa"/>
            <w:vAlign w:val="center"/>
          </w:tcPr>
          <w:p w14:paraId="6C3556E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Calibri" w:eastAsia="仿宋_GB2312" w:cs="仿宋_GB2312"/>
                <w:b w:val="0"/>
                <w:bCs w:val="0"/>
                <w:i w:val="0"/>
                <w:iCs w:val="0"/>
                <w:caps w:val="0"/>
                <w:color w:val="0000FF"/>
                <w:spacing w:val="0"/>
                <w:kern w:val="0"/>
                <w:sz w:val="23"/>
                <w:szCs w:val="23"/>
                <w:lang w:val="en-US" w:eastAsia="zh-CN" w:bidi="ar"/>
              </w:rPr>
            </w:pPr>
            <w:r>
              <w:rPr>
                <w:rFonts w:hint="eastAsia" w:ascii="仿宋_GB2312" w:hAnsi="Calibri" w:eastAsia="仿宋_GB2312" w:cs="仿宋_GB2312"/>
                <w:b w:val="0"/>
                <w:bCs w:val="0"/>
                <w:i w:val="0"/>
                <w:iCs w:val="0"/>
                <w:caps w:val="0"/>
                <w:color w:val="0000FF"/>
                <w:spacing w:val="0"/>
                <w:kern w:val="0"/>
                <w:sz w:val="23"/>
                <w:szCs w:val="23"/>
                <w:lang w:val="en-US" w:eastAsia="zh-CN" w:bidi="ar"/>
              </w:rPr>
              <w:t>冬瓜</w:t>
            </w:r>
          </w:p>
        </w:tc>
        <w:tc>
          <w:tcPr>
            <w:tcW w:w="880" w:type="dxa"/>
            <w:vMerge w:val="continue"/>
            <w:vAlign w:val="center"/>
          </w:tcPr>
          <w:p w14:paraId="3859954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59695B8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1B6E61F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外观新鲜，大小均匀，表皮干净而不开裂，无病虫害，无断裂、压伤、虫洞、泥土，无擦伤及腐烂出现</w:t>
            </w:r>
          </w:p>
        </w:tc>
      </w:tr>
      <w:tr w14:paraId="3F29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46B798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49</w:t>
            </w:r>
          </w:p>
        </w:tc>
        <w:tc>
          <w:tcPr>
            <w:tcW w:w="1547" w:type="dxa"/>
            <w:vAlign w:val="center"/>
          </w:tcPr>
          <w:p w14:paraId="6A21657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Calibri" w:eastAsia="仿宋_GB2312" w:cs="仿宋_GB2312"/>
                <w:b w:val="0"/>
                <w:bCs w:val="0"/>
                <w:i w:val="0"/>
                <w:iCs w:val="0"/>
                <w:caps w:val="0"/>
                <w:color w:val="0000FF"/>
                <w:spacing w:val="0"/>
                <w:kern w:val="0"/>
                <w:sz w:val="23"/>
                <w:szCs w:val="23"/>
                <w:lang w:val="en-US" w:eastAsia="zh-CN" w:bidi="ar"/>
              </w:rPr>
            </w:pPr>
            <w:r>
              <w:rPr>
                <w:rFonts w:hint="eastAsia" w:ascii="仿宋_GB2312" w:hAnsi="Calibri" w:eastAsia="仿宋_GB2312" w:cs="仿宋_GB2312"/>
                <w:b w:val="0"/>
                <w:bCs w:val="0"/>
                <w:i w:val="0"/>
                <w:iCs w:val="0"/>
                <w:caps w:val="0"/>
                <w:color w:val="0000FF"/>
                <w:spacing w:val="0"/>
                <w:kern w:val="0"/>
                <w:sz w:val="23"/>
                <w:szCs w:val="23"/>
                <w:lang w:val="en-US" w:eastAsia="zh-CN" w:bidi="ar"/>
              </w:rPr>
              <w:t>毛白菜</w:t>
            </w:r>
          </w:p>
        </w:tc>
        <w:tc>
          <w:tcPr>
            <w:tcW w:w="880" w:type="dxa"/>
            <w:vMerge w:val="continue"/>
            <w:vAlign w:val="center"/>
          </w:tcPr>
          <w:p w14:paraId="404064D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5D75D2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5BC7CB6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外观新鲜，大小均匀，表皮干净而不开裂，无病虫害，无断裂、压伤、虫洞、泥土，无擦伤及腐烂出现</w:t>
            </w:r>
          </w:p>
        </w:tc>
      </w:tr>
      <w:tr w14:paraId="13D5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3" w:type="dxa"/>
            <w:vAlign w:val="center"/>
          </w:tcPr>
          <w:p w14:paraId="5575A2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50</w:t>
            </w:r>
          </w:p>
        </w:tc>
        <w:tc>
          <w:tcPr>
            <w:tcW w:w="1547" w:type="dxa"/>
            <w:vAlign w:val="center"/>
          </w:tcPr>
          <w:p w14:paraId="687230B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Calibri" w:eastAsia="仿宋_GB2312" w:cs="仿宋_GB2312"/>
                <w:b w:val="0"/>
                <w:bCs w:val="0"/>
                <w:i w:val="0"/>
                <w:iCs w:val="0"/>
                <w:caps w:val="0"/>
                <w:color w:val="0000FF"/>
                <w:spacing w:val="0"/>
                <w:kern w:val="0"/>
                <w:sz w:val="23"/>
                <w:szCs w:val="23"/>
                <w:lang w:val="en-US" w:eastAsia="zh-CN" w:bidi="ar"/>
              </w:rPr>
            </w:pPr>
            <w:r>
              <w:rPr>
                <w:rFonts w:hint="default" w:ascii="仿宋_GB2312" w:hAnsi="Calibri" w:eastAsia="仿宋_GB2312" w:cs="仿宋_GB2312"/>
                <w:b w:val="0"/>
                <w:bCs w:val="0"/>
                <w:i w:val="0"/>
                <w:iCs w:val="0"/>
                <w:caps w:val="0"/>
                <w:color w:val="0000FF"/>
                <w:spacing w:val="0"/>
                <w:kern w:val="0"/>
                <w:sz w:val="23"/>
                <w:szCs w:val="23"/>
                <w:lang w:val="en-US" w:eastAsia="zh-CN" w:bidi="ar"/>
              </w:rPr>
              <w:t>蒜</w:t>
            </w:r>
            <w:r>
              <w:rPr>
                <w:rFonts w:hint="eastAsia" w:ascii="仿宋_GB2312" w:hAnsi="Calibri" w:eastAsia="仿宋_GB2312" w:cs="仿宋_GB2312"/>
                <w:b w:val="0"/>
                <w:bCs w:val="0"/>
                <w:i w:val="0"/>
                <w:iCs w:val="0"/>
                <w:caps w:val="0"/>
                <w:color w:val="0000FF"/>
                <w:spacing w:val="0"/>
                <w:kern w:val="0"/>
                <w:sz w:val="23"/>
                <w:szCs w:val="23"/>
                <w:lang w:val="en-US" w:eastAsia="zh-CN" w:bidi="ar"/>
              </w:rPr>
              <w:t>苔</w:t>
            </w:r>
          </w:p>
        </w:tc>
        <w:tc>
          <w:tcPr>
            <w:tcW w:w="880" w:type="dxa"/>
            <w:vMerge w:val="continue"/>
            <w:vAlign w:val="center"/>
          </w:tcPr>
          <w:p w14:paraId="6034333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7885947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5442504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外观新鲜，大小均匀，表皮干净而不开裂，无病虫害，无断裂、压伤、虫洞、泥土，无擦伤及腐烂出现</w:t>
            </w:r>
          </w:p>
        </w:tc>
      </w:tr>
      <w:tr w14:paraId="738F2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3" w:type="dxa"/>
            <w:vAlign w:val="center"/>
          </w:tcPr>
          <w:p w14:paraId="4979E7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51</w:t>
            </w:r>
          </w:p>
        </w:tc>
        <w:tc>
          <w:tcPr>
            <w:tcW w:w="1547" w:type="dxa"/>
            <w:vAlign w:val="center"/>
          </w:tcPr>
          <w:p w14:paraId="6E1011F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FF"/>
                <w:spacing w:val="0"/>
                <w:kern w:val="0"/>
                <w:sz w:val="23"/>
                <w:szCs w:val="23"/>
                <w:lang w:val="en-US" w:eastAsia="zh-CN" w:bidi="ar"/>
              </w:rPr>
            </w:pPr>
            <w:r>
              <w:rPr>
                <w:rFonts w:hint="eastAsia" w:ascii="仿宋_GB2312" w:hAnsi="Calibri" w:eastAsia="仿宋_GB2312" w:cs="仿宋_GB2312"/>
                <w:b w:val="0"/>
                <w:bCs w:val="0"/>
                <w:i w:val="0"/>
                <w:iCs w:val="0"/>
                <w:caps w:val="0"/>
                <w:color w:val="0000FF"/>
                <w:spacing w:val="0"/>
                <w:kern w:val="0"/>
                <w:sz w:val="23"/>
                <w:szCs w:val="23"/>
                <w:lang w:val="en-US" w:eastAsia="zh-CN" w:bidi="ar"/>
              </w:rPr>
              <w:t>缸豆</w:t>
            </w:r>
          </w:p>
        </w:tc>
        <w:tc>
          <w:tcPr>
            <w:tcW w:w="880" w:type="dxa"/>
            <w:vMerge w:val="continue"/>
            <w:vAlign w:val="center"/>
          </w:tcPr>
          <w:p w14:paraId="77CCD1B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p>
        </w:tc>
        <w:tc>
          <w:tcPr>
            <w:tcW w:w="1149" w:type="dxa"/>
            <w:vMerge w:val="continue"/>
          </w:tcPr>
          <w:p w14:paraId="72558C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2C58F2C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外观新鲜，大小均匀，表皮干净而不开裂，无病虫害，无断裂、压伤、虫洞、泥土，无擦伤及腐烂出现</w:t>
            </w:r>
          </w:p>
        </w:tc>
      </w:tr>
      <w:tr w14:paraId="2802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893" w:type="dxa"/>
            <w:gridSpan w:val="5"/>
            <w:vAlign w:val="center"/>
          </w:tcPr>
          <w:p w14:paraId="396B4298">
            <w:pPr>
              <w:keepNext w:val="0"/>
              <w:keepLines w:val="0"/>
              <w:pageBreakBefore w:val="0"/>
              <w:widowControl w:val="0"/>
              <w:numPr>
                <w:ilvl w:val="0"/>
                <w:numId w:val="0"/>
              </w:numPr>
              <w:suppressLineNumbers w:val="0"/>
              <w:kinsoku/>
              <w:wordWrap/>
              <w:overflowPunct/>
              <w:topLinePunct w:val="0"/>
              <w:autoSpaceDN/>
              <w:bidi w:val="0"/>
              <w:adjustRightInd/>
              <w:snapToGrid/>
              <w:spacing w:before="0" w:beforeAutospacing="0" w:after="0" w:afterAutospacing="0" w:line="240" w:lineRule="exact"/>
              <w:ind w:left="0" w:right="0" w:rightChars="0"/>
              <w:jc w:val="center"/>
              <w:textAlignment w:val="auto"/>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四、调料副食品类</w:t>
            </w:r>
          </w:p>
        </w:tc>
      </w:tr>
      <w:tr w14:paraId="256C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4943555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1</w:t>
            </w:r>
          </w:p>
        </w:tc>
        <w:tc>
          <w:tcPr>
            <w:tcW w:w="1547" w:type="dxa"/>
            <w:vAlign w:val="center"/>
          </w:tcPr>
          <w:p w14:paraId="46F036F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粉条</w:t>
            </w:r>
          </w:p>
        </w:tc>
        <w:tc>
          <w:tcPr>
            <w:tcW w:w="880" w:type="dxa"/>
            <w:vAlign w:val="center"/>
          </w:tcPr>
          <w:p w14:paraId="05C82F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tc>
        <w:tc>
          <w:tcPr>
            <w:tcW w:w="1149" w:type="dxa"/>
            <w:vMerge w:val="restart"/>
            <w:vAlign w:val="center"/>
          </w:tcPr>
          <w:p w14:paraId="6C6B653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按甲方的需求量配送，最终以配送量为准</w:t>
            </w:r>
          </w:p>
        </w:tc>
        <w:tc>
          <w:tcPr>
            <w:tcW w:w="10464" w:type="dxa"/>
            <w:vAlign w:val="center"/>
          </w:tcPr>
          <w:p w14:paraId="77685B0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优质散装粉条，粗细均匀，无并条，无碎条，手感柔韧，有弹性，无杂质，无任何异味，按形状可分为圆粉条、细粉条和宽粉条等，口感爽滑极富弹性，具有合格证</w:t>
            </w:r>
          </w:p>
        </w:tc>
      </w:tr>
      <w:tr w14:paraId="4FAE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1C91593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2</w:t>
            </w:r>
          </w:p>
        </w:tc>
        <w:tc>
          <w:tcPr>
            <w:tcW w:w="1547" w:type="dxa"/>
            <w:vAlign w:val="center"/>
          </w:tcPr>
          <w:p w14:paraId="406106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宽粉</w:t>
            </w:r>
          </w:p>
        </w:tc>
        <w:tc>
          <w:tcPr>
            <w:tcW w:w="880" w:type="dxa"/>
            <w:vAlign w:val="center"/>
          </w:tcPr>
          <w:p w14:paraId="383230C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5AA4146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6795499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优质散装宽粉，粗细均匀，无并条，无碎条，手感柔韧，有弹性，无杂质，无异味，口感爽滑极富弹性，具有合格证</w:t>
            </w:r>
          </w:p>
        </w:tc>
      </w:tr>
      <w:tr w14:paraId="603C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465077F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3</w:t>
            </w:r>
          </w:p>
        </w:tc>
        <w:tc>
          <w:tcPr>
            <w:tcW w:w="1547" w:type="dxa"/>
            <w:vAlign w:val="center"/>
          </w:tcPr>
          <w:p w14:paraId="66B4C0B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粉皮</w:t>
            </w:r>
          </w:p>
        </w:tc>
        <w:tc>
          <w:tcPr>
            <w:tcW w:w="880" w:type="dxa"/>
            <w:vAlign w:val="center"/>
          </w:tcPr>
          <w:p w14:paraId="116D0C5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34C6FD7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1EC35A9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优质散装粉皮，无并条，无碎条，手感柔韧，有弹性，无杂质，无任何异味，口感爽滑极富弹性，具有合格证</w:t>
            </w:r>
          </w:p>
        </w:tc>
      </w:tr>
      <w:tr w14:paraId="015A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17D8CCD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4</w:t>
            </w:r>
          </w:p>
        </w:tc>
        <w:tc>
          <w:tcPr>
            <w:tcW w:w="1547" w:type="dxa"/>
            <w:vAlign w:val="center"/>
          </w:tcPr>
          <w:p w14:paraId="2A9FE2B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凉皮</w:t>
            </w:r>
          </w:p>
        </w:tc>
        <w:tc>
          <w:tcPr>
            <w:tcW w:w="880" w:type="dxa"/>
            <w:vAlign w:val="center"/>
          </w:tcPr>
          <w:p w14:paraId="35493C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2264920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1C069FE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优质散装凉皮，无异味，口感爽滑极富弹性，具有合格证</w:t>
            </w:r>
          </w:p>
        </w:tc>
      </w:tr>
      <w:tr w14:paraId="1BFE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2AF22DE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5</w:t>
            </w:r>
          </w:p>
        </w:tc>
        <w:tc>
          <w:tcPr>
            <w:tcW w:w="1547" w:type="dxa"/>
            <w:vAlign w:val="center"/>
          </w:tcPr>
          <w:p w14:paraId="76932F6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干香菇</w:t>
            </w:r>
          </w:p>
        </w:tc>
        <w:tc>
          <w:tcPr>
            <w:tcW w:w="880" w:type="dxa"/>
            <w:vAlign w:val="center"/>
          </w:tcPr>
          <w:p w14:paraId="62640E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71BC2E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28877D3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优质散装干香菇，无杂质，无任何异味，具有合格证</w:t>
            </w:r>
          </w:p>
        </w:tc>
      </w:tr>
      <w:tr w14:paraId="39C9C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7334B71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6</w:t>
            </w:r>
          </w:p>
        </w:tc>
        <w:tc>
          <w:tcPr>
            <w:tcW w:w="1547" w:type="dxa"/>
            <w:vAlign w:val="center"/>
          </w:tcPr>
          <w:p w14:paraId="6A8A341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黑木耳</w:t>
            </w:r>
          </w:p>
        </w:tc>
        <w:tc>
          <w:tcPr>
            <w:tcW w:w="880" w:type="dxa"/>
            <w:vAlign w:val="center"/>
          </w:tcPr>
          <w:p w14:paraId="32F6DF8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640FD26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662D7A9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优质散装黑木耳，无杂质，无任何异味，具有合格证</w:t>
            </w:r>
          </w:p>
        </w:tc>
      </w:tr>
      <w:tr w14:paraId="1071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75C51CC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7</w:t>
            </w:r>
          </w:p>
        </w:tc>
        <w:tc>
          <w:tcPr>
            <w:tcW w:w="1547" w:type="dxa"/>
            <w:vAlign w:val="center"/>
          </w:tcPr>
          <w:p w14:paraId="1DA8BE3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腐竹</w:t>
            </w:r>
          </w:p>
        </w:tc>
        <w:tc>
          <w:tcPr>
            <w:tcW w:w="880" w:type="dxa"/>
            <w:vAlign w:val="center"/>
          </w:tcPr>
          <w:p w14:paraId="0CD4BC0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625E3F7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023B33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优质散装腐竹，无杂质，无任何异味，具有合格证</w:t>
            </w:r>
          </w:p>
        </w:tc>
      </w:tr>
      <w:tr w14:paraId="6DE6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2E73CB9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8</w:t>
            </w:r>
          </w:p>
        </w:tc>
        <w:tc>
          <w:tcPr>
            <w:tcW w:w="1547" w:type="dxa"/>
            <w:vAlign w:val="center"/>
          </w:tcPr>
          <w:p w14:paraId="33F8972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花生米</w:t>
            </w:r>
          </w:p>
        </w:tc>
        <w:tc>
          <w:tcPr>
            <w:tcW w:w="880" w:type="dxa"/>
            <w:vAlign w:val="center"/>
          </w:tcPr>
          <w:p w14:paraId="3ECA137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4BE75F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362A811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优质散装花生米，无杂质，无任何异味，具有合格证</w:t>
            </w:r>
          </w:p>
        </w:tc>
      </w:tr>
      <w:tr w14:paraId="6E06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3740DF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9</w:t>
            </w:r>
          </w:p>
        </w:tc>
        <w:tc>
          <w:tcPr>
            <w:tcW w:w="1547" w:type="dxa"/>
            <w:vAlign w:val="center"/>
          </w:tcPr>
          <w:p w14:paraId="7AF20DC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海带丝</w:t>
            </w:r>
          </w:p>
        </w:tc>
        <w:tc>
          <w:tcPr>
            <w:tcW w:w="880" w:type="dxa"/>
            <w:vAlign w:val="center"/>
          </w:tcPr>
          <w:p w14:paraId="539A330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箱</w:t>
            </w:r>
          </w:p>
        </w:tc>
        <w:tc>
          <w:tcPr>
            <w:tcW w:w="1149" w:type="dxa"/>
            <w:vMerge w:val="continue"/>
          </w:tcPr>
          <w:p w14:paraId="26DB1D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7970504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2KG/箱，有品牌、产地和质保期等标识</w:t>
            </w:r>
          </w:p>
        </w:tc>
      </w:tr>
      <w:tr w14:paraId="7ECD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709B68D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10</w:t>
            </w:r>
          </w:p>
        </w:tc>
        <w:tc>
          <w:tcPr>
            <w:tcW w:w="1547" w:type="dxa"/>
            <w:vAlign w:val="center"/>
          </w:tcPr>
          <w:p w14:paraId="197C13B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紫菜</w:t>
            </w:r>
          </w:p>
        </w:tc>
        <w:tc>
          <w:tcPr>
            <w:tcW w:w="880" w:type="dxa"/>
            <w:vAlign w:val="center"/>
          </w:tcPr>
          <w:p w14:paraId="2F92B3C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包</w:t>
            </w:r>
          </w:p>
        </w:tc>
        <w:tc>
          <w:tcPr>
            <w:tcW w:w="1149" w:type="dxa"/>
            <w:vMerge w:val="continue"/>
          </w:tcPr>
          <w:p w14:paraId="797D4E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4CFDBA5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50g/包，有品牌、产地和质保期等标识</w:t>
            </w:r>
          </w:p>
        </w:tc>
      </w:tr>
      <w:tr w14:paraId="5D6A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74FBEE5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11</w:t>
            </w:r>
          </w:p>
        </w:tc>
        <w:tc>
          <w:tcPr>
            <w:tcW w:w="1547" w:type="dxa"/>
            <w:vAlign w:val="center"/>
          </w:tcPr>
          <w:p w14:paraId="0AFDA41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葡萄干</w:t>
            </w:r>
          </w:p>
        </w:tc>
        <w:tc>
          <w:tcPr>
            <w:tcW w:w="880" w:type="dxa"/>
            <w:vAlign w:val="center"/>
          </w:tcPr>
          <w:p w14:paraId="028AE8F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2B9ABB8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5935CD5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优质散装葡萄干，干净无杂物，无病虫洞，无腐烂</w:t>
            </w:r>
          </w:p>
        </w:tc>
      </w:tr>
      <w:tr w14:paraId="629C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7051D1E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12</w:t>
            </w:r>
          </w:p>
        </w:tc>
        <w:tc>
          <w:tcPr>
            <w:tcW w:w="1547" w:type="dxa"/>
            <w:vAlign w:val="center"/>
          </w:tcPr>
          <w:p w14:paraId="3943818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黑米</w:t>
            </w:r>
          </w:p>
        </w:tc>
        <w:tc>
          <w:tcPr>
            <w:tcW w:w="880" w:type="dxa"/>
            <w:vAlign w:val="center"/>
          </w:tcPr>
          <w:p w14:paraId="6FD05C7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2347BCA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366A9BC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优质散装黑米，有品牌、产地和质保期等标识</w:t>
            </w:r>
          </w:p>
        </w:tc>
      </w:tr>
      <w:tr w14:paraId="5FBD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01D67F7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13</w:t>
            </w:r>
          </w:p>
        </w:tc>
        <w:tc>
          <w:tcPr>
            <w:tcW w:w="1547" w:type="dxa"/>
            <w:vAlign w:val="center"/>
          </w:tcPr>
          <w:p w14:paraId="66E5B94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小米</w:t>
            </w:r>
          </w:p>
        </w:tc>
        <w:tc>
          <w:tcPr>
            <w:tcW w:w="880" w:type="dxa"/>
            <w:vAlign w:val="center"/>
          </w:tcPr>
          <w:p w14:paraId="3309B8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tc>
        <w:tc>
          <w:tcPr>
            <w:tcW w:w="1149" w:type="dxa"/>
            <w:vMerge w:val="restart"/>
            <w:vAlign w:val="center"/>
          </w:tcPr>
          <w:p w14:paraId="737F2C4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0CD58DE2">
            <w:pPr>
              <w:pStyle w:val="2"/>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4C5E0C04">
            <w:pPr>
              <w:pStyle w:val="4"/>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54A60A61">
            <w:pPr>
              <w:pStyle w:val="5"/>
              <w:keepNext w:val="0"/>
              <w:keepLines w:val="0"/>
              <w:suppressLineNumbers w:val="0"/>
              <w:spacing w:beforeAutospacing="0" w:after="0" w:afterAutospacing="0"/>
              <w:ind w:left="0" w:right="0"/>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16FD6F2D">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436D760F">
            <w:pPr>
              <w:pStyle w:val="2"/>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1246BDEE">
            <w:pPr>
              <w:pStyle w:val="4"/>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268E5833">
            <w:pPr>
              <w:pStyle w:val="5"/>
              <w:keepNext w:val="0"/>
              <w:keepLines w:val="0"/>
              <w:suppressLineNumbers w:val="0"/>
              <w:spacing w:beforeAutospacing="0" w:after="0" w:afterAutospacing="0"/>
              <w:ind w:left="0" w:right="0"/>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7496043E">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21CCB82A">
            <w:pPr>
              <w:pStyle w:val="2"/>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7485898F">
            <w:pPr>
              <w:pStyle w:val="4"/>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0909D25C">
            <w:pPr>
              <w:pStyle w:val="5"/>
              <w:keepNext w:val="0"/>
              <w:keepLines w:val="0"/>
              <w:suppressLineNumbers w:val="0"/>
              <w:spacing w:beforeAutospacing="0" w:after="0" w:afterAutospacing="0"/>
              <w:ind w:left="0" w:right="0"/>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2DFA6416">
            <w:pPr>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62BB1E75">
            <w:pPr>
              <w:pStyle w:val="2"/>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0EF039BA">
            <w:pPr>
              <w:pStyle w:val="4"/>
              <w:keepNext w:val="0"/>
              <w:keepLines w:val="0"/>
              <w:suppressLineNumbers w:val="0"/>
              <w:spacing w:before="0" w:beforeAutospacing="0" w:after="0" w:afterAutospacing="0"/>
              <w:ind w:left="0" w:right="0"/>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19AE8491">
            <w:pPr>
              <w:pStyle w:val="5"/>
              <w:keepNext w:val="0"/>
              <w:keepLines w:val="0"/>
              <w:suppressLineNumbers w:val="0"/>
              <w:spacing w:beforeAutospacing="0" w:after="0" w:afterAutospacing="0"/>
              <w:ind w:left="0" w:right="0"/>
              <w:rPr>
                <w:rFonts w:hint="eastAsia"/>
                <w:lang w:val="en-US" w:eastAsia="zh-CN"/>
              </w:rPr>
            </w:pPr>
          </w:p>
          <w:p w14:paraId="1B62231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按甲方的需求量配送，最终以配送量为准</w:t>
            </w:r>
          </w:p>
        </w:tc>
        <w:tc>
          <w:tcPr>
            <w:tcW w:w="10464" w:type="dxa"/>
            <w:vAlign w:val="center"/>
          </w:tcPr>
          <w:p w14:paraId="38BC4D0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优质散装小米，有品牌、产地和质保期等标识</w:t>
            </w:r>
          </w:p>
        </w:tc>
      </w:tr>
      <w:tr w14:paraId="78CD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35DD787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14</w:t>
            </w:r>
          </w:p>
        </w:tc>
        <w:tc>
          <w:tcPr>
            <w:tcW w:w="1547" w:type="dxa"/>
            <w:vAlign w:val="center"/>
          </w:tcPr>
          <w:p w14:paraId="5665C48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八宝粥米</w:t>
            </w:r>
          </w:p>
        </w:tc>
        <w:tc>
          <w:tcPr>
            <w:tcW w:w="880" w:type="dxa"/>
            <w:vAlign w:val="center"/>
          </w:tcPr>
          <w:p w14:paraId="4C41D7B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393A4C2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670ED28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优质散装八宝粥米，有品牌、产地和质保期等标识</w:t>
            </w:r>
          </w:p>
        </w:tc>
      </w:tr>
      <w:tr w14:paraId="0D43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13E5297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15</w:t>
            </w:r>
          </w:p>
        </w:tc>
        <w:tc>
          <w:tcPr>
            <w:tcW w:w="1547" w:type="dxa"/>
            <w:vAlign w:val="center"/>
          </w:tcPr>
          <w:p w14:paraId="0E24EBD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凉粉</w:t>
            </w:r>
          </w:p>
        </w:tc>
        <w:tc>
          <w:tcPr>
            <w:tcW w:w="880" w:type="dxa"/>
            <w:vAlign w:val="center"/>
          </w:tcPr>
          <w:p w14:paraId="05A35BF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62FF288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29362B6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优质散装凉粉，有品牌、产地和质保期等标识</w:t>
            </w:r>
          </w:p>
        </w:tc>
      </w:tr>
      <w:tr w14:paraId="2483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2CE57DE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16</w:t>
            </w:r>
          </w:p>
        </w:tc>
        <w:tc>
          <w:tcPr>
            <w:tcW w:w="1547" w:type="dxa"/>
            <w:vAlign w:val="center"/>
          </w:tcPr>
          <w:p w14:paraId="12510DF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泡椒</w:t>
            </w:r>
          </w:p>
        </w:tc>
        <w:tc>
          <w:tcPr>
            <w:tcW w:w="880" w:type="dxa"/>
            <w:vAlign w:val="center"/>
          </w:tcPr>
          <w:p w14:paraId="2D40E24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箱</w:t>
            </w:r>
          </w:p>
        </w:tc>
        <w:tc>
          <w:tcPr>
            <w:tcW w:w="1149" w:type="dxa"/>
            <w:vMerge w:val="continue"/>
          </w:tcPr>
          <w:p w14:paraId="2504C08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5D2BFE6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2KG/箱，有品牌、产地和质保期等标识</w:t>
            </w:r>
          </w:p>
        </w:tc>
      </w:tr>
      <w:tr w14:paraId="623DC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260BB99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17</w:t>
            </w:r>
          </w:p>
        </w:tc>
        <w:tc>
          <w:tcPr>
            <w:tcW w:w="1547" w:type="dxa"/>
            <w:vAlign w:val="center"/>
          </w:tcPr>
          <w:p w14:paraId="08A7756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鱼酸菜</w:t>
            </w:r>
          </w:p>
        </w:tc>
        <w:tc>
          <w:tcPr>
            <w:tcW w:w="880" w:type="dxa"/>
            <w:vAlign w:val="center"/>
          </w:tcPr>
          <w:p w14:paraId="4EDB552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袋</w:t>
            </w:r>
          </w:p>
        </w:tc>
        <w:tc>
          <w:tcPr>
            <w:tcW w:w="1149" w:type="dxa"/>
            <w:vMerge w:val="continue"/>
          </w:tcPr>
          <w:p w14:paraId="7D63DA6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14EF94C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400g/袋，有品牌、产地和质保期等标识</w:t>
            </w:r>
          </w:p>
        </w:tc>
      </w:tr>
      <w:tr w14:paraId="2DC4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5F7EDF5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18</w:t>
            </w:r>
          </w:p>
        </w:tc>
        <w:tc>
          <w:tcPr>
            <w:tcW w:w="1547" w:type="dxa"/>
            <w:vAlign w:val="center"/>
          </w:tcPr>
          <w:p w14:paraId="2E99E67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脆皮肠</w:t>
            </w:r>
          </w:p>
        </w:tc>
        <w:tc>
          <w:tcPr>
            <w:tcW w:w="880" w:type="dxa"/>
            <w:vAlign w:val="center"/>
          </w:tcPr>
          <w:p w14:paraId="71FF4A7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件</w:t>
            </w:r>
          </w:p>
        </w:tc>
        <w:tc>
          <w:tcPr>
            <w:tcW w:w="1149" w:type="dxa"/>
            <w:vMerge w:val="continue"/>
          </w:tcPr>
          <w:p w14:paraId="09618DB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02DEA07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优质脆皮肠10kg/件，有品牌、产地和质保期等标识</w:t>
            </w:r>
          </w:p>
        </w:tc>
      </w:tr>
      <w:tr w14:paraId="016B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6C45E4D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19</w:t>
            </w:r>
          </w:p>
        </w:tc>
        <w:tc>
          <w:tcPr>
            <w:tcW w:w="1547" w:type="dxa"/>
            <w:vAlign w:val="center"/>
          </w:tcPr>
          <w:p w14:paraId="6FF2904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火腿肠</w:t>
            </w:r>
          </w:p>
        </w:tc>
        <w:tc>
          <w:tcPr>
            <w:tcW w:w="880" w:type="dxa"/>
            <w:vAlign w:val="center"/>
          </w:tcPr>
          <w:p w14:paraId="2FFD18A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件</w:t>
            </w:r>
          </w:p>
        </w:tc>
        <w:tc>
          <w:tcPr>
            <w:tcW w:w="1149" w:type="dxa"/>
            <w:vMerge w:val="continue"/>
          </w:tcPr>
          <w:p w14:paraId="794639A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2F83B6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40个/件优质散装火腿肠，有品牌、产地和质保期等标识</w:t>
            </w:r>
          </w:p>
        </w:tc>
      </w:tr>
      <w:tr w14:paraId="3984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019F722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20</w:t>
            </w:r>
          </w:p>
        </w:tc>
        <w:tc>
          <w:tcPr>
            <w:tcW w:w="1547" w:type="dxa"/>
            <w:vAlign w:val="center"/>
          </w:tcPr>
          <w:p w14:paraId="456D2BD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火锅丸子</w:t>
            </w:r>
          </w:p>
        </w:tc>
        <w:tc>
          <w:tcPr>
            <w:tcW w:w="880" w:type="dxa"/>
            <w:vAlign w:val="center"/>
          </w:tcPr>
          <w:p w14:paraId="798BED6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785D5F5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2BC833C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优质散装火锅丸子，有品牌、产地和质保期等标识</w:t>
            </w:r>
          </w:p>
        </w:tc>
      </w:tr>
      <w:tr w14:paraId="6155E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539E172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21</w:t>
            </w:r>
          </w:p>
        </w:tc>
        <w:tc>
          <w:tcPr>
            <w:tcW w:w="1547" w:type="dxa"/>
            <w:vAlign w:val="center"/>
          </w:tcPr>
          <w:p w14:paraId="147C306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食醋</w:t>
            </w:r>
          </w:p>
        </w:tc>
        <w:tc>
          <w:tcPr>
            <w:tcW w:w="880" w:type="dxa"/>
            <w:vAlign w:val="center"/>
          </w:tcPr>
          <w:p w14:paraId="5F78F4F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桶</w:t>
            </w:r>
          </w:p>
        </w:tc>
        <w:tc>
          <w:tcPr>
            <w:tcW w:w="1149" w:type="dxa"/>
            <w:vMerge w:val="continue"/>
          </w:tcPr>
          <w:p w14:paraId="7DC276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71E420D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5L/桶，有品牌、产地和质保期等标识</w:t>
            </w:r>
          </w:p>
        </w:tc>
      </w:tr>
      <w:tr w14:paraId="576C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0128F4C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22</w:t>
            </w:r>
          </w:p>
        </w:tc>
        <w:tc>
          <w:tcPr>
            <w:tcW w:w="1547" w:type="dxa"/>
            <w:vAlign w:val="center"/>
          </w:tcPr>
          <w:p w14:paraId="735AAB2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白醋</w:t>
            </w:r>
          </w:p>
        </w:tc>
        <w:tc>
          <w:tcPr>
            <w:tcW w:w="880" w:type="dxa"/>
            <w:vAlign w:val="center"/>
          </w:tcPr>
          <w:p w14:paraId="729A2E0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瓶</w:t>
            </w:r>
          </w:p>
        </w:tc>
        <w:tc>
          <w:tcPr>
            <w:tcW w:w="1149" w:type="dxa"/>
            <w:vMerge w:val="continue"/>
          </w:tcPr>
          <w:p w14:paraId="450A175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4CF07AE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500ml/瓶，有品牌、产地和质保期等标识</w:t>
            </w:r>
          </w:p>
        </w:tc>
      </w:tr>
      <w:tr w14:paraId="79C7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59BB2F2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23</w:t>
            </w:r>
          </w:p>
        </w:tc>
        <w:tc>
          <w:tcPr>
            <w:tcW w:w="1547" w:type="dxa"/>
            <w:vAlign w:val="center"/>
          </w:tcPr>
          <w:p w14:paraId="5465E11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蒸鱼豉油</w:t>
            </w:r>
          </w:p>
        </w:tc>
        <w:tc>
          <w:tcPr>
            <w:tcW w:w="880" w:type="dxa"/>
            <w:vAlign w:val="center"/>
          </w:tcPr>
          <w:p w14:paraId="33D2E40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瓶</w:t>
            </w:r>
          </w:p>
        </w:tc>
        <w:tc>
          <w:tcPr>
            <w:tcW w:w="1149" w:type="dxa"/>
            <w:vMerge w:val="continue"/>
          </w:tcPr>
          <w:p w14:paraId="3BECBE5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000A470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410ml/瓶，有品牌、产地和质保期等标识</w:t>
            </w:r>
          </w:p>
        </w:tc>
      </w:tr>
      <w:tr w14:paraId="6046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09B4B00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24</w:t>
            </w:r>
          </w:p>
        </w:tc>
        <w:tc>
          <w:tcPr>
            <w:tcW w:w="1547" w:type="dxa"/>
            <w:vAlign w:val="center"/>
          </w:tcPr>
          <w:p w14:paraId="59E030A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老抽</w:t>
            </w:r>
          </w:p>
        </w:tc>
        <w:tc>
          <w:tcPr>
            <w:tcW w:w="880" w:type="dxa"/>
            <w:vAlign w:val="center"/>
          </w:tcPr>
          <w:p w14:paraId="1D9ADA5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瓶</w:t>
            </w:r>
          </w:p>
        </w:tc>
        <w:tc>
          <w:tcPr>
            <w:tcW w:w="1149" w:type="dxa"/>
            <w:vMerge w:val="continue"/>
          </w:tcPr>
          <w:p w14:paraId="2899583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6AB4758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1.75L/瓶，有品牌、产地和质保期等标识</w:t>
            </w:r>
          </w:p>
        </w:tc>
      </w:tr>
      <w:tr w14:paraId="6483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6D308DF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25</w:t>
            </w:r>
          </w:p>
        </w:tc>
        <w:tc>
          <w:tcPr>
            <w:tcW w:w="1547" w:type="dxa"/>
            <w:vAlign w:val="center"/>
          </w:tcPr>
          <w:p w14:paraId="1CCD6F1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生抽</w:t>
            </w:r>
          </w:p>
        </w:tc>
        <w:tc>
          <w:tcPr>
            <w:tcW w:w="880" w:type="dxa"/>
            <w:vAlign w:val="center"/>
          </w:tcPr>
          <w:p w14:paraId="1E4C71B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瓶</w:t>
            </w:r>
          </w:p>
        </w:tc>
        <w:tc>
          <w:tcPr>
            <w:tcW w:w="1149" w:type="dxa"/>
            <w:vMerge w:val="continue"/>
          </w:tcPr>
          <w:p w14:paraId="5542C53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659FBAE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1.75L/瓶，有品牌、产地和质保期等标识</w:t>
            </w:r>
          </w:p>
        </w:tc>
      </w:tr>
      <w:tr w14:paraId="64ED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338356C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26</w:t>
            </w:r>
          </w:p>
        </w:tc>
        <w:tc>
          <w:tcPr>
            <w:tcW w:w="1547" w:type="dxa"/>
            <w:vAlign w:val="center"/>
          </w:tcPr>
          <w:p w14:paraId="192D1F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料酒</w:t>
            </w:r>
          </w:p>
        </w:tc>
        <w:tc>
          <w:tcPr>
            <w:tcW w:w="880" w:type="dxa"/>
            <w:vAlign w:val="center"/>
          </w:tcPr>
          <w:p w14:paraId="2C928DB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瓶</w:t>
            </w:r>
          </w:p>
        </w:tc>
        <w:tc>
          <w:tcPr>
            <w:tcW w:w="1149" w:type="dxa"/>
            <w:vMerge w:val="continue"/>
          </w:tcPr>
          <w:p w14:paraId="426E61C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4FA611E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500ml/瓶，有品牌、产地和质保期等标识</w:t>
            </w:r>
          </w:p>
        </w:tc>
      </w:tr>
      <w:tr w14:paraId="4BA2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6F0B0F5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27</w:t>
            </w:r>
          </w:p>
        </w:tc>
        <w:tc>
          <w:tcPr>
            <w:tcW w:w="1547" w:type="dxa"/>
            <w:vAlign w:val="center"/>
          </w:tcPr>
          <w:p w14:paraId="1E52FF3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麻辣油</w:t>
            </w:r>
          </w:p>
        </w:tc>
        <w:tc>
          <w:tcPr>
            <w:tcW w:w="880" w:type="dxa"/>
            <w:vAlign w:val="center"/>
          </w:tcPr>
          <w:p w14:paraId="1F2D983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瓶</w:t>
            </w:r>
          </w:p>
        </w:tc>
        <w:tc>
          <w:tcPr>
            <w:tcW w:w="1149" w:type="dxa"/>
            <w:vMerge w:val="continue"/>
          </w:tcPr>
          <w:p w14:paraId="6E72A78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25A5095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220ml/瓶，有品牌、产地和质保期等标识</w:t>
            </w:r>
          </w:p>
        </w:tc>
      </w:tr>
      <w:tr w14:paraId="5395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4B4B689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28</w:t>
            </w:r>
          </w:p>
        </w:tc>
        <w:tc>
          <w:tcPr>
            <w:tcW w:w="1547" w:type="dxa"/>
            <w:vAlign w:val="center"/>
          </w:tcPr>
          <w:p w14:paraId="435D21E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辣椒油</w:t>
            </w:r>
          </w:p>
        </w:tc>
        <w:tc>
          <w:tcPr>
            <w:tcW w:w="880" w:type="dxa"/>
            <w:vAlign w:val="center"/>
          </w:tcPr>
          <w:p w14:paraId="3EC54FF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瓶</w:t>
            </w:r>
          </w:p>
        </w:tc>
        <w:tc>
          <w:tcPr>
            <w:tcW w:w="1149" w:type="dxa"/>
            <w:vMerge w:val="continue"/>
          </w:tcPr>
          <w:p w14:paraId="7A2BEDF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26119D1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200ml/瓶，有品牌、产地和质保期等标识</w:t>
            </w:r>
          </w:p>
        </w:tc>
      </w:tr>
      <w:tr w14:paraId="24D0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343F26D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29</w:t>
            </w:r>
          </w:p>
        </w:tc>
        <w:tc>
          <w:tcPr>
            <w:tcW w:w="1547" w:type="dxa"/>
            <w:vAlign w:val="center"/>
          </w:tcPr>
          <w:p w14:paraId="77AF97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花椒油</w:t>
            </w:r>
          </w:p>
        </w:tc>
        <w:tc>
          <w:tcPr>
            <w:tcW w:w="880" w:type="dxa"/>
            <w:vAlign w:val="center"/>
          </w:tcPr>
          <w:p w14:paraId="6DFD110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瓶</w:t>
            </w:r>
          </w:p>
        </w:tc>
        <w:tc>
          <w:tcPr>
            <w:tcW w:w="1149" w:type="dxa"/>
            <w:vMerge w:val="continue"/>
          </w:tcPr>
          <w:p w14:paraId="5FE673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4A2584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220ml/瓶，有品牌、产地和质保期等标识</w:t>
            </w:r>
          </w:p>
        </w:tc>
      </w:tr>
      <w:tr w14:paraId="5DD1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53874A2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30</w:t>
            </w:r>
          </w:p>
        </w:tc>
        <w:tc>
          <w:tcPr>
            <w:tcW w:w="1547" w:type="dxa"/>
            <w:vAlign w:val="center"/>
          </w:tcPr>
          <w:p w14:paraId="49B9C7E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香油</w:t>
            </w:r>
          </w:p>
        </w:tc>
        <w:tc>
          <w:tcPr>
            <w:tcW w:w="880" w:type="dxa"/>
            <w:vAlign w:val="center"/>
          </w:tcPr>
          <w:p w14:paraId="7C3C773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瓶</w:t>
            </w:r>
          </w:p>
        </w:tc>
        <w:tc>
          <w:tcPr>
            <w:tcW w:w="1149" w:type="dxa"/>
            <w:vMerge w:val="continue"/>
          </w:tcPr>
          <w:p w14:paraId="65D3AC7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31897BA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220ml/瓶，有品牌、产地和质保期等标识</w:t>
            </w:r>
          </w:p>
        </w:tc>
      </w:tr>
      <w:tr w14:paraId="7D85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11571FC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31</w:t>
            </w:r>
          </w:p>
        </w:tc>
        <w:tc>
          <w:tcPr>
            <w:tcW w:w="1547" w:type="dxa"/>
            <w:vAlign w:val="center"/>
          </w:tcPr>
          <w:p w14:paraId="1810966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辣椒酱</w:t>
            </w:r>
          </w:p>
        </w:tc>
        <w:tc>
          <w:tcPr>
            <w:tcW w:w="880" w:type="dxa"/>
            <w:vAlign w:val="center"/>
          </w:tcPr>
          <w:p w14:paraId="6122A6C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瓶</w:t>
            </w:r>
          </w:p>
        </w:tc>
        <w:tc>
          <w:tcPr>
            <w:tcW w:w="1149" w:type="dxa"/>
            <w:vMerge w:val="continue"/>
          </w:tcPr>
          <w:p w14:paraId="3C4213B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1BD6BCE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900g/瓶，有品牌、产地和质保期等标识</w:t>
            </w:r>
          </w:p>
        </w:tc>
      </w:tr>
      <w:tr w14:paraId="60B2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389C80C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32</w:t>
            </w:r>
          </w:p>
        </w:tc>
        <w:tc>
          <w:tcPr>
            <w:tcW w:w="1547" w:type="dxa"/>
            <w:vAlign w:val="center"/>
          </w:tcPr>
          <w:p w14:paraId="311E97C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豆瓣酱</w:t>
            </w:r>
          </w:p>
        </w:tc>
        <w:tc>
          <w:tcPr>
            <w:tcW w:w="880" w:type="dxa"/>
            <w:vAlign w:val="center"/>
          </w:tcPr>
          <w:p w14:paraId="55A5DA8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桶</w:t>
            </w:r>
          </w:p>
        </w:tc>
        <w:tc>
          <w:tcPr>
            <w:tcW w:w="1149" w:type="dxa"/>
            <w:vMerge w:val="continue"/>
          </w:tcPr>
          <w:p w14:paraId="31CDDA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4046E46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4.5kg/桶，有品牌、产地和质保期等标识</w:t>
            </w:r>
          </w:p>
        </w:tc>
      </w:tr>
      <w:tr w14:paraId="2DC1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3E3ADFE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33</w:t>
            </w:r>
          </w:p>
        </w:tc>
        <w:tc>
          <w:tcPr>
            <w:tcW w:w="1547" w:type="dxa"/>
            <w:vAlign w:val="center"/>
          </w:tcPr>
          <w:p w14:paraId="2D82072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腐乳</w:t>
            </w:r>
          </w:p>
        </w:tc>
        <w:tc>
          <w:tcPr>
            <w:tcW w:w="880" w:type="dxa"/>
            <w:vAlign w:val="center"/>
          </w:tcPr>
          <w:p w14:paraId="3C0EC33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罐</w:t>
            </w:r>
          </w:p>
        </w:tc>
        <w:tc>
          <w:tcPr>
            <w:tcW w:w="1149" w:type="dxa"/>
            <w:vMerge w:val="restart"/>
            <w:vAlign w:val="center"/>
          </w:tcPr>
          <w:p w14:paraId="6DDC089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5B41FF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101CA4F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752BA4F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59CF1F6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69E3607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56C304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707823E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66274A9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240A442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660D72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6456775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5FC9CE8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7C1861B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18AD77E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15C7A1E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6F42437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52CADC5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5C4CF08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521A71A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5F0D7FE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按甲方的需求量配送，最终以配送量为准</w:t>
            </w:r>
          </w:p>
        </w:tc>
        <w:tc>
          <w:tcPr>
            <w:tcW w:w="10464" w:type="dxa"/>
            <w:vAlign w:val="center"/>
          </w:tcPr>
          <w:p w14:paraId="6F5D040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260g/罐，有品牌、产地和质保期等标识</w:t>
            </w:r>
          </w:p>
        </w:tc>
      </w:tr>
      <w:tr w14:paraId="0931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10C0D49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34</w:t>
            </w:r>
          </w:p>
        </w:tc>
        <w:tc>
          <w:tcPr>
            <w:tcW w:w="1547" w:type="dxa"/>
            <w:vAlign w:val="center"/>
          </w:tcPr>
          <w:p w14:paraId="56A8B4E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番茄酱</w:t>
            </w:r>
          </w:p>
        </w:tc>
        <w:tc>
          <w:tcPr>
            <w:tcW w:w="880" w:type="dxa"/>
            <w:vAlign w:val="center"/>
          </w:tcPr>
          <w:p w14:paraId="5D55D40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罐</w:t>
            </w:r>
          </w:p>
        </w:tc>
        <w:tc>
          <w:tcPr>
            <w:tcW w:w="1149" w:type="dxa"/>
            <w:vMerge w:val="continue"/>
          </w:tcPr>
          <w:p w14:paraId="0AA147C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302CE05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850g/罐，有品牌、产地和质保期等标识</w:t>
            </w:r>
          </w:p>
        </w:tc>
      </w:tr>
      <w:tr w14:paraId="090FF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12B0ED8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35</w:t>
            </w:r>
          </w:p>
        </w:tc>
        <w:tc>
          <w:tcPr>
            <w:tcW w:w="1547" w:type="dxa"/>
            <w:vAlign w:val="center"/>
          </w:tcPr>
          <w:p w14:paraId="1957127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芝麻酱</w:t>
            </w:r>
          </w:p>
        </w:tc>
        <w:tc>
          <w:tcPr>
            <w:tcW w:w="880" w:type="dxa"/>
            <w:vAlign w:val="center"/>
          </w:tcPr>
          <w:p w14:paraId="365FA0A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桶</w:t>
            </w:r>
          </w:p>
        </w:tc>
        <w:tc>
          <w:tcPr>
            <w:tcW w:w="1149" w:type="dxa"/>
            <w:vMerge w:val="continue"/>
          </w:tcPr>
          <w:p w14:paraId="0A10502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510AFF8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850g/桶，有品牌、产地和质保期等标识</w:t>
            </w:r>
          </w:p>
        </w:tc>
      </w:tr>
      <w:tr w14:paraId="1735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516D4CA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36</w:t>
            </w:r>
          </w:p>
        </w:tc>
        <w:tc>
          <w:tcPr>
            <w:tcW w:w="1547" w:type="dxa"/>
            <w:vAlign w:val="center"/>
          </w:tcPr>
          <w:p w14:paraId="20CA99E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花椒</w:t>
            </w:r>
          </w:p>
        </w:tc>
        <w:tc>
          <w:tcPr>
            <w:tcW w:w="880" w:type="dxa"/>
            <w:vAlign w:val="center"/>
          </w:tcPr>
          <w:p w14:paraId="4E2D4F0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3CD25E2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78E3E1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优质散装花椒，有品牌、产地和质保期等标识</w:t>
            </w:r>
          </w:p>
        </w:tc>
      </w:tr>
      <w:tr w14:paraId="1480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43DB41F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37</w:t>
            </w:r>
          </w:p>
        </w:tc>
        <w:tc>
          <w:tcPr>
            <w:tcW w:w="1547" w:type="dxa"/>
            <w:vAlign w:val="center"/>
          </w:tcPr>
          <w:p w14:paraId="6691EBE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八角</w:t>
            </w:r>
          </w:p>
        </w:tc>
        <w:tc>
          <w:tcPr>
            <w:tcW w:w="880" w:type="dxa"/>
            <w:vAlign w:val="center"/>
          </w:tcPr>
          <w:p w14:paraId="0984DBE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44D3225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113814D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优质散装八角，有品牌、产地和质保期等标识</w:t>
            </w:r>
          </w:p>
        </w:tc>
      </w:tr>
      <w:tr w14:paraId="3613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430571B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38</w:t>
            </w:r>
          </w:p>
        </w:tc>
        <w:tc>
          <w:tcPr>
            <w:tcW w:w="1547" w:type="dxa"/>
            <w:vAlign w:val="center"/>
          </w:tcPr>
          <w:p w14:paraId="251EB31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草果</w:t>
            </w:r>
          </w:p>
        </w:tc>
        <w:tc>
          <w:tcPr>
            <w:tcW w:w="880" w:type="dxa"/>
            <w:vAlign w:val="center"/>
          </w:tcPr>
          <w:p w14:paraId="47F0EAC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4036DE6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3BC7778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优质散装草果，有品牌、产地和质保期等标识</w:t>
            </w:r>
          </w:p>
        </w:tc>
      </w:tr>
      <w:tr w14:paraId="408FD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1A99DEB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39</w:t>
            </w:r>
          </w:p>
        </w:tc>
        <w:tc>
          <w:tcPr>
            <w:tcW w:w="1547" w:type="dxa"/>
            <w:vAlign w:val="center"/>
          </w:tcPr>
          <w:p w14:paraId="48F3289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香叶</w:t>
            </w:r>
          </w:p>
        </w:tc>
        <w:tc>
          <w:tcPr>
            <w:tcW w:w="880" w:type="dxa"/>
            <w:vAlign w:val="center"/>
          </w:tcPr>
          <w:p w14:paraId="6F5BAA8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6C5A9FC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7E22E3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优质散装香叶，有品牌、产地和质保期等标识</w:t>
            </w:r>
          </w:p>
        </w:tc>
      </w:tr>
      <w:tr w14:paraId="1914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031A2BA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40</w:t>
            </w:r>
          </w:p>
        </w:tc>
        <w:tc>
          <w:tcPr>
            <w:tcW w:w="1547" w:type="dxa"/>
            <w:vAlign w:val="center"/>
          </w:tcPr>
          <w:p w14:paraId="5250990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桂皮</w:t>
            </w:r>
          </w:p>
        </w:tc>
        <w:tc>
          <w:tcPr>
            <w:tcW w:w="880" w:type="dxa"/>
            <w:vAlign w:val="center"/>
          </w:tcPr>
          <w:p w14:paraId="32A198D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2D3D676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4FA866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优质散装桂皮，有品牌、产地和质保期等标识</w:t>
            </w:r>
          </w:p>
        </w:tc>
      </w:tr>
      <w:tr w14:paraId="6903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67EE1DB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41</w:t>
            </w:r>
          </w:p>
        </w:tc>
        <w:tc>
          <w:tcPr>
            <w:tcW w:w="1547" w:type="dxa"/>
            <w:vAlign w:val="center"/>
          </w:tcPr>
          <w:p w14:paraId="6061F2E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姜粉</w:t>
            </w:r>
          </w:p>
        </w:tc>
        <w:tc>
          <w:tcPr>
            <w:tcW w:w="880" w:type="dxa"/>
            <w:vAlign w:val="center"/>
          </w:tcPr>
          <w:p w14:paraId="3C4CB2F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03B5409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35DD760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优质散装姜粉，有品牌、产地和质保期等标识</w:t>
            </w:r>
          </w:p>
        </w:tc>
      </w:tr>
      <w:tr w14:paraId="2011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57987C4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42</w:t>
            </w:r>
          </w:p>
        </w:tc>
        <w:tc>
          <w:tcPr>
            <w:tcW w:w="1547" w:type="dxa"/>
            <w:vAlign w:val="center"/>
          </w:tcPr>
          <w:p w14:paraId="6A235C3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苏打粉</w:t>
            </w:r>
          </w:p>
        </w:tc>
        <w:tc>
          <w:tcPr>
            <w:tcW w:w="880" w:type="dxa"/>
            <w:vAlign w:val="center"/>
          </w:tcPr>
          <w:p w14:paraId="5837F1F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袋</w:t>
            </w:r>
          </w:p>
        </w:tc>
        <w:tc>
          <w:tcPr>
            <w:tcW w:w="1149" w:type="dxa"/>
            <w:vMerge w:val="continue"/>
          </w:tcPr>
          <w:p w14:paraId="2F6A050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7272F53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80g/袋，有品牌、产地和质保期等标识</w:t>
            </w:r>
          </w:p>
        </w:tc>
      </w:tr>
      <w:tr w14:paraId="4A15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1D00124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43</w:t>
            </w:r>
          </w:p>
        </w:tc>
        <w:tc>
          <w:tcPr>
            <w:tcW w:w="1547" w:type="dxa"/>
            <w:vAlign w:val="center"/>
          </w:tcPr>
          <w:p w14:paraId="4C959C0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发酵粉</w:t>
            </w:r>
          </w:p>
        </w:tc>
        <w:tc>
          <w:tcPr>
            <w:tcW w:w="880" w:type="dxa"/>
            <w:vAlign w:val="center"/>
          </w:tcPr>
          <w:p w14:paraId="2180D0E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袋</w:t>
            </w:r>
          </w:p>
        </w:tc>
        <w:tc>
          <w:tcPr>
            <w:tcW w:w="1149" w:type="dxa"/>
            <w:vMerge w:val="continue"/>
          </w:tcPr>
          <w:p w14:paraId="6451B6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10F7B8F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11g/袋，有品牌、产地和质保期等标识</w:t>
            </w:r>
          </w:p>
        </w:tc>
      </w:tr>
      <w:tr w14:paraId="5506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198CB78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44</w:t>
            </w:r>
          </w:p>
        </w:tc>
        <w:tc>
          <w:tcPr>
            <w:tcW w:w="1547" w:type="dxa"/>
            <w:vAlign w:val="center"/>
          </w:tcPr>
          <w:p w14:paraId="61DA478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花椒粉</w:t>
            </w:r>
          </w:p>
        </w:tc>
        <w:tc>
          <w:tcPr>
            <w:tcW w:w="880" w:type="dxa"/>
            <w:vAlign w:val="center"/>
          </w:tcPr>
          <w:p w14:paraId="0394740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7D2BE74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4D57E04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优质散装花椒粉，有品牌、产地和质保期等标识</w:t>
            </w:r>
          </w:p>
        </w:tc>
      </w:tr>
      <w:tr w14:paraId="0CB3F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4A1963D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45</w:t>
            </w:r>
          </w:p>
        </w:tc>
        <w:tc>
          <w:tcPr>
            <w:tcW w:w="1547" w:type="dxa"/>
            <w:vAlign w:val="center"/>
          </w:tcPr>
          <w:p w14:paraId="50D8ABB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孜然粉</w:t>
            </w:r>
          </w:p>
        </w:tc>
        <w:tc>
          <w:tcPr>
            <w:tcW w:w="880" w:type="dxa"/>
            <w:vAlign w:val="center"/>
          </w:tcPr>
          <w:p w14:paraId="43198F8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218C366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56B669F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优质散装孜然粉，有品牌、产地和质保期等标识</w:t>
            </w:r>
          </w:p>
        </w:tc>
      </w:tr>
      <w:tr w14:paraId="537C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5F4FBA8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46</w:t>
            </w:r>
          </w:p>
        </w:tc>
        <w:tc>
          <w:tcPr>
            <w:tcW w:w="1547" w:type="dxa"/>
            <w:vAlign w:val="center"/>
          </w:tcPr>
          <w:p w14:paraId="1CF0303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白胡椒粉</w:t>
            </w:r>
          </w:p>
        </w:tc>
        <w:tc>
          <w:tcPr>
            <w:tcW w:w="880" w:type="dxa"/>
            <w:vAlign w:val="center"/>
          </w:tcPr>
          <w:p w14:paraId="52EE710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3A93233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0D19410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优质散装白胡椒粉，有品牌、产地和质保期等标识</w:t>
            </w:r>
          </w:p>
        </w:tc>
      </w:tr>
      <w:tr w14:paraId="1A14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17E773F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47</w:t>
            </w:r>
          </w:p>
        </w:tc>
        <w:tc>
          <w:tcPr>
            <w:tcW w:w="1547" w:type="dxa"/>
            <w:vAlign w:val="center"/>
          </w:tcPr>
          <w:p w14:paraId="23D70B4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黑胡椒粉</w:t>
            </w:r>
          </w:p>
        </w:tc>
        <w:tc>
          <w:tcPr>
            <w:tcW w:w="880" w:type="dxa"/>
            <w:vAlign w:val="center"/>
          </w:tcPr>
          <w:p w14:paraId="4A182B2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1C759B8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752EEF7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优质散装黑胡椒粉，有品牌、产地和质保期等标识</w:t>
            </w:r>
          </w:p>
        </w:tc>
      </w:tr>
      <w:tr w14:paraId="2405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35D0E6E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48</w:t>
            </w:r>
          </w:p>
        </w:tc>
        <w:tc>
          <w:tcPr>
            <w:tcW w:w="1547" w:type="dxa"/>
            <w:vAlign w:val="center"/>
          </w:tcPr>
          <w:p w14:paraId="443B882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right="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大盘鸡干辣子</w:t>
            </w:r>
          </w:p>
        </w:tc>
        <w:tc>
          <w:tcPr>
            <w:tcW w:w="880" w:type="dxa"/>
            <w:vAlign w:val="center"/>
          </w:tcPr>
          <w:p w14:paraId="7439772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0D63306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5AE09E3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优质散装大盘鸡干辣子，有品牌、产地和质保期等标识</w:t>
            </w:r>
          </w:p>
        </w:tc>
      </w:tr>
      <w:tr w14:paraId="4871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0B2069E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49</w:t>
            </w:r>
          </w:p>
        </w:tc>
        <w:tc>
          <w:tcPr>
            <w:tcW w:w="1547" w:type="dxa"/>
            <w:vAlign w:val="center"/>
          </w:tcPr>
          <w:p w14:paraId="33EBBA1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干朝天椒</w:t>
            </w:r>
          </w:p>
        </w:tc>
        <w:tc>
          <w:tcPr>
            <w:tcW w:w="880" w:type="dxa"/>
            <w:vAlign w:val="center"/>
          </w:tcPr>
          <w:p w14:paraId="70F4286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3E0B544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44FFDF0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优质散装干朝天椒，有品牌、产地和质保期等标识</w:t>
            </w:r>
          </w:p>
        </w:tc>
      </w:tr>
      <w:tr w14:paraId="2519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314413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50</w:t>
            </w:r>
          </w:p>
        </w:tc>
        <w:tc>
          <w:tcPr>
            <w:tcW w:w="1547" w:type="dxa"/>
            <w:vAlign w:val="center"/>
          </w:tcPr>
          <w:p w14:paraId="3B334FF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辣皮子</w:t>
            </w:r>
          </w:p>
        </w:tc>
        <w:tc>
          <w:tcPr>
            <w:tcW w:w="880" w:type="dxa"/>
            <w:vAlign w:val="center"/>
          </w:tcPr>
          <w:p w14:paraId="3CD524A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3129DA2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711A7E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优质散装辣皮子，有品牌、产地和质保期等标识</w:t>
            </w:r>
          </w:p>
        </w:tc>
      </w:tr>
      <w:tr w14:paraId="7432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6E2E4A9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51</w:t>
            </w:r>
          </w:p>
        </w:tc>
        <w:tc>
          <w:tcPr>
            <w:tcW w:w="1547" w:type="dxa"/>
            <w:vAlign w:val="center"/>
          </w:tcPr>
          <w:p w14:paraId="01E9D04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辣子面</w:t>
            </w:r>
          </w:p>
        </w:tc>
        <w:tc>
          <w:tcPr>
            <w:tcW w:w="880" w:type="dxa"/>
            <w:vAlign w:val="center"/>
          </w:tcPr>
          <w:p w14:paraId="08C9217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6CEA799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4A5FF45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优质散装辣子面，有品牌、产地和质保期等标识</w:t>
            </w:r>
          </w:p>
        </w:tc>
      </w:tr>
      <w:tr w14:paraId="5233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5A45198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52</w:t>
            </w:r>
          </w:p>
        </w:tc>
        <w:tc>
          <w:tcPr>
            <w:tcW w:w="1547" w:type="dxa"/>
            <w:vAlign w:val="center"/>
          </w:tcPr>
          <w:p w14:paraId="7A64CE7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老干妈</w:t>
            </w:r>
          </w:p>
        </w:tc>
        <w:tc>
          <w:tcPr>
            <w:tcW w:w="880" w:type="dxa"/>
            <w:vAlign w:val="center"/>
          </w:tcPr>
          <w:p w14:paraId="73C29D1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箱</w:t>
            </w:r>
          </w:p>
        </w:tc>
        <w:tc>
          <w:tcPr>
            <w:tcW w:w="1149" w:type="dxa"/>
            <w:vMerge w:val="continue"/>
          </w:tcPr>
          <w:p w14:paraId="72F6C9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49D157A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辣子酱280g*24瓶/箱，有品牌、产地和质保期等标识</w:t>
            </w:r>
          </w:p>
        </w:tc>
      </w:tr>
      <w:tr w14:paraId="2CB3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1F1178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53</w:t>
            </w:r>
          </w:p>
        </w:tc>
        <w:tc>
          <w:tcPr>
            <w:tcW w:w="1547" w:type="dxa"/>
            <w:vAlign w:val="center"/>
          </w:tcPr>
          <w:p w14:paraId="2097491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白砂糖</w:t>
            </w:r>
          </w:p>
        </w:tc>
        <w:tc>
          <w:tcPr>
            <w:tcW w:w="880" w:type="dxa"/>
            <w:vAlign w:val="center"/>
          </w:tcPr>
          <w:p w14:paraId="0EA7334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tc>
        <w:tc>
          <w:tcPr>
            <w:tcW w:w="1149" w:type="dxa"/>
            <w:vMerge w:val="restart"/>
            <w:vAlign w:val="center"/>
          </w:tcPr>
          <w:p w14:paraId="43ABA1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4C8A3F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302FB4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69DC4FF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22EE5D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679F0D8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4C349C1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4264AC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5629131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249D01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5199CD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477FDE8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4D17FD0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303D3F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21338C6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710D263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6B6C64A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6B6BBDB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500B73D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1F9211A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p w14:paraId="4F7A574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r>
              <w:rPr>
                <w:rFonts w:hint="eastAsia" w:ascii="仿宋_GB2312" w:hAnsi="仿宋_GB2312" w:eastAsia="仿宋_GB2312" w:cs="仿宋_GB2312"/>
                <w:b w:val="0"/>
                <w:bCs w:val="0"/>
                <w:i w:val="0"/>
                <w:iCs w:val="0"/>
                <w:caps w:val="0"/>
                <w:color w:val="000000"/>
                <w:spacing w:val="0"/>
                <w:kern w:val="0"/>
                <w:sz w:val="23"/>
                <w:szCs w:val="23"/>
                <w:lang w:val="en-US" w:eastAsia="zh-CN" w:bidi="ar"/>
              </w:rPr>
              <w:t>按甲方的需求量配送，最终以配送量为准</w:t>
            </w:r>
          </w:p>
        </w:tc>
        <w:tc>
          <w:tcPr>
            <w:tcW w:w="10464" w:type="dxa"/>
            <w:vAlign w:val="center"/>
          </w:tcPr>
          <w:p w14:paraId="67A0CE2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优质散装白砂糖，有品牌、产地和质保期等标识</w:t>
            </w:r>
          </w:p>
        </w:tc>
      </w:tr>
      <w:tr w14:paraId="03DB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0F561ED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54</w:t>
            </w:r>
          </w:p>
        </w:tc>
        <w:tc>
          <w:tcPr>
            <w:tcW w:w="1547" w:type="dxa"/>
            <w:vAlign w:val="center"/>
          </w:tcPr>
          <w:p w14:paraId="5B55D12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包谷面</w:t>
            </w:r>
          </w:p>
        </w:tc>
        <w:tc>
          <w:tcPr>
            <w:tcW w:w="880" w:type="dxa"/>
            <w:vAlign w:val="center"/>
          </w:tcPr>
          <w:p w14:paraId="0382772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袋</w:t>
            </w:r>
          </w:p>
        </w:tc>
        <w:tc>
          <w:tcPr>
            <w:tcW w:w="1149" w:type="dxa"/>
            <w:vMerge w:val="continue"/>
          </w:tcPr>
          <w:p w14:paraId="19C1B6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0D63E3A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优质散装包谷面，25Kg/袋，有品牌、产地和质保期等标识</w:t>
            </w:r>
          </w:p>
        </w:tc>
      </w:tr>
      <w:tr w14:paraId="0658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1BB7021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55</w:t>
            </w:r>
          </w:p>
        </w:tc>
        <w:tc>
          <w:tcPr>
            <w:tcW w:w="1547" w:type="dxa"/>
            <w:vAlign w:val="center"/>
          </w:tcPr>
          <w:p w14:paraId="16387F2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鹰嘴豆</w:t>
            </w:r>
          </w:p>
        </w:tc>
        <w:tc>
          <w:tcPr>
            <w:tcW w:w="880" w:type="dxa"/>
            <w:vAlign w:val="center"/>
          </w:tcPr>
          <w:p w14:paraId="36C2B23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770F45A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0A112E5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优质散装，颗粒饱满，大小均匀，无干瘪，无斑点，无损伤</w:t>
            </w:r>
          </w:p>
        </w:tc>
      </w:tr>
      <w:tr w14:paraId="622A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345E725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56</w:t>
            </w:r>
          </w:p>
        </w:tc>
        <w:tc>
          <w:tcPr>
            <w:tcW w:w="1547" w:type="dxa"/>
            <w:vAlign w:val="center"/>
          </w:tcPr>
          <w:p w14:paraId="337EC2E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黄豆</w:t>
            </w:r>
          </w:p>
        </w:tc>
        <w:tc>
          <w:tcPr>
            <w:tcW w:w="880" w:type="dxa"/>
            <w:vAlign w:val="center"/>
          </w:tcPr>
          <w:p w14:paraId="4495FCD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2874449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09A2C85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优质散装，颗粒饱满，大小均匀，无干瘪，无斑点，无损伤</w:t>
            </w:r>
          </w:p>
        </w:tc>
      </w:tr>
      <w:tr w14:paraId="5914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2B45B0A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57</w:t>
            </w:r>
          </w:p>
        </w:tc>
        <w:tc>
          <w:tcPr>
            <w:tcW w:w="1547" w:type="dxa"/>
            <w:vAlign w:val="center"/>
          </w:tcPr>
          <w:p w14:paraId="7DD49B0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芝麻</w:t>
            </w:r>
          </w:p>
        </w:tc>
        <w:tc>
          <w:tcPr>
            <w:tcW w:w="880" w:type="dxa"/>
            <w:vAlign w:val="center"/>
          </w:tcPr>
          <w:p w14:paraId="6194F5B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5FAA6F5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7F05E52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优质散装芝麻，大小均匀，表面无斑点</w:t>
            </w:r>
          </w:p>
        </w:tc>
      </w:tr>
      <w:tr w14:paraId="0497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37E447C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58</w:t>
            </w:r>
          </w:p>
        </w:tc>
        <w:tc>
          <w:tcPr>
            <w:tcW w:w="1547" w:type="dxa"/>
            <w:vAlign w:val="center"/>
          </w:tcPr>
          <w:p w14:paraId="587ACF5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碘盐</w:t>
            </w:r>
          </w:p>
        </w:tc>
        <w:tc>
          <w:tcPr>
            <w:tcW w:w="880" w:type="dxa"/>
            <w:vAlign w:val="center"/>
          </w:tcPr>
          <w:p w14:paraId="51F1220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袋</w:t>
            </w:r>
          </w:p>
        </w:tc>
        <w:tc>
          <w:tcPr>
            <w:tcW w:w="1149" w:type="dxa"/>
            <w:vMerge w:val="continue"/>
          </w:tcPr>
          <w:p w14:paraId="605A60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326E28E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500g/包，50包/袋，有品牌、产地和质保期等标识</w:t>
            </w:r>
          </w:p>
        </w:tc>
      </w:tr>
      <w:tr w14:paraId="0309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35C86D4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59</w:t>
            </w:r>
          </w:p>
        </w:tc>
        <w:tc>
          <w:tcPr>
            <w:tcW w:w="1547" w:type="dxa"/>
            <w:vAlign w:val="center"/>
          </w:tcPr>
          <w:p w14:paraId="47C1EE4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鸡精</w:t>
            </w:r>
          </w:p>
        </w:tc>
        <w:tc>
          <w:tcPr>
            <w:tcW w:w="880" w:type="dxa"/>
            <w:vAlign w:val="center"/>
          </w:tcPr>
          <w:p w14:paraId="26E1400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袋</w:t>
            </w:r>
          </w:p>
        </w:tc>
        <w:tc>
          <w:tcPr>
            <w:tcW w:w="1149" w:type="dxa"/>
            <w:vMerge w:val="continue"/>
          </w:tcPr>
          <w:p w14:paraId="50A8970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53B5F9E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908g/袋，有品牌、产地和质保期等标识</w:t>
            </w:r>
          </w:p>
        </w:tc>
      </w:tr>
      <w:tr w14:paraId="21503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27754C9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60</w:t>
            </w:r>
          </w:p>
        </w:tc>
        <w:tc>
          <w:tcPr>
            <w:tcW w:w="1547" w:type="dxa"/>
            <w:vAlign w:val="center"/>
          </w:tcPr>
          <w:p w14:paraId="568028A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味精</w:t>
            </w:r>
          </w:p>
        </w:tc>
        <w:tc>
          <w:tcPr>
            <w:tcW w:w="880" w:type="dxa"/>
            <w:vAlign w:val="center"/>
          </w:tcPr>
          <w:p w14:paraId="3D226C1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袋</w:t>
            </w:r>
          </w:p>
        </w:tc>
        <w:tc>
          <w:tcPr>
            <w:tcW w:w="1149" w:type="dxa"/>
            <w:vMerge w:val="continue"/>
          </w:tcPr>
          <w:p w14:paraId="4A40E1B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7080222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908g/袋，有品牌、产地和质保期等标识</w:t>
            </w:r>
          </w:p>
        </w:tc>
      </w:tr>
      <w:tr w14:paraId="57D3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44D39AC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61</w:t>
            </w:r>
          </w:p>
        </w:tc>
        <w:tc>
          <w:tcPr>
            <w:tcW w:w="1547" w:type="dxa"/>
            <w:vAlign w:val="center"/>
          </w:tcPr>
          <w:p w14:paraId="5635F5A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大红袍</w:t>
            </w:r>
          </w:p>
        </w:tc>
        <w:tc>
          <w:tcPr>
            <w:tcW w:w="880" w:type="dxa"/>
            <w:vAlign w:val="center"/>
          </w:tcPr>
          <w:p w14:paraId="1D62CF7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包</w:t>
            </w:r>
          </w:p>
        </w:tc>
        <w:tc>
          <w:tcPr>
            <w:tcW w:w="1149" w:type="dxa"/>
            <w:vMerge w:val="continue"/>
          </w:tcPr>
          <w:p w14:paraId="57797C3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456904D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优质大红袍150g/包，有品牌、产地和质保期等标识</w:t>
            </w:r>
          </w:p>
        </w:tc>
      </w:tr>
      <w:tr w14:paraId="587D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5F62866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62</w:t>
            </w:r>
          </w:p>
        </w:tc>
        <w:tc>
          <w:tcPr>
            <w:tcW w:w="1547" w:type="dxa"/>
            <w:vAlign w:val="center"/>
          </w:tcPr>
          <w:p w14:paraId="3D94920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right="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大盘鸡调料</w:t>
            </w:r>
          </w:p>
        </w:tc>
        <w:tc>
          <w:tcPr>
            <w:tcW w:w="880" w:type="dxa"/>
            <w:vAlign w:val="center"/>
          </w:tcPr>
          <w:p w14:paraId="1CA2C1D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袋</w:t>
            </w:r>
          </w:p>
        </w:tc>
        <w:tc>
          <w:tcPr>
            <w:tcW w:w="1149" w:type="dxa"/>
            <w:vMerge w:val="continue"/>
          </w:tcPr>
          <w:p w14:paraId="4E73293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4668B20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100g/袋，有品牌、产地和质保期等标识</w:t>
            </w:r>
          </w:p>
        </w:tc>
      </w:tr>
      <w:tr w14:paraId="7EE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3AA95DA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63</w:t>
            </w:r>
          </w:p>
        </w:tc>
        <w:tc>
          <w:tcPr>
            <w:tcW w:w="1547" w:type="dxa"/>
            <w:vAlign w:val="center"/>
          </w:tcPr>
          <w:p w14:paraId="7E9E209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right="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胖子麻辣鱼</w:t>
            </w:r>
          </w:p>
        </w:tc>
        <w:tc>
          <w:tcPr>
            <w:tcW w:w="880" w:type="dxa"/>
            <w:vAlign w:val="center"/>
          </w:tcPr>
          <w:p w14:paraId="27900E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袋</w:t>
            </w:r>
          </w:p>
        </w:tc>
        <w:tc>
          <w:tcPr>
            <w:tcW w:w="1149" w:type="dxa"/>
            <w:vMerge w:val="continue"/>
          </w:tcPr>
          <w:p w14:paraId="73BCF78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5F7604A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150g/袋，有品牌、产地和质保期等标识</w:t>
            </w:r>
          </w:p>
        </w:tc>
      </w:tr>
      <w:tr w14:paraId="244C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0B00987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64</w:t>
            </w:r>
          </w:p>
        </w:tc>
        <w:tc>
          <w:tcPr>
            <w:tcW w:w="1547" w:type="dxa"/>
            <w:vAlign w:val="center"/>
          </w:tcPr>
          <w:p w14:paraId="45FED23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烧鸡公</w:t>
            </w:r>
          </w:p>
        </w:tc>
        <w:tc>
          <w:tcPr>
            <w:tcW w:w="880" w:type="dxa"/>
            <w:vAlign w:val="center"/>
          </w:tcPr>
          <w:p w14:paraId="71C2F00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袋</w:t>
            </w:r>
          </w:p>
        </w:tc>
        <w:tc>
          <w:tcPr>
            <w:tcW w:w="1149" w:type="dxa"/>
            <w:vMerge w:val="continue"/>
          </w:tcPr>
          <w:p w14:paraId="13C6C80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26ECCD3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150g/袋，有品牌、产地和质保期等标识</w:t>
            </w:r>
          </w:p>
        </w:tc>
      </w:tr>
      <w:tr w14:paraId="3998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3C31C6D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65</w:t>
            </w:r>
          </w:p>
        </w:tc>
        <w:tc>
          <w:tcPr>
            <w:tcW w:w="1547" w:type="dxa"/>
            <w:vAlign w:val="center"/>
          </w:tcPr>
          <w:p w14:paraId="613D6BB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十三香</w:t>
            </w:r>
          </w:p>
        </w:tc>
        <w:tc>
          <w:tcPr>
            <w:tcW w:w="880" w:type="dxa"/>
            <w:vAlign w:val="center"/>
          </w:tcPr>
          <w:p w14:paraId="371A552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盒</w:t>
            </w:r>
          </w:p>
        </w:tc>
        <w:tc>
          <w:tcPr>
            <w:tcW w:w="1149" w:type="dxa"/>
            <w:vMerge w:val="continue"/>
          </w:tcPr>
          <w:p w14:paraId="47F5934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2734DAB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45g/盒，有品牌、产地和质保期等标识</w:t>
            </w:r>
          </w:p>
        </w:tc>
      </w:tr>
      <w:tr w14:paraId="76A0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53" w:type="dxa"/>
            <w:vAlign w:val="center"/>
          </w:tcPr>
          <w:p w14:paraId="1E5E15E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66</w:t>
            </w:r>
          </w:p>
        </w:tc>
        <w:tc>
          <w:tcPr>
            <w:tcW w:w="1547" w:type="dxa"/>
            <w:vAlign w:val="center"/>
          </w:tcPr>
          <w:p w14:paraId="09F0CA9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耗油</w:t>
            </w:r>
          </w:p>
        </w:tc>
        <w:tc>
          <w:tcPr>
            <w:tcW w:w="880" w:type="dxa"/>
            <w:vAlign w:val="center"/>
          </w:tcPr>
          <w:p w14:paraId="7887991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瓶</w:t>
            </w:r>
          </w:p>
        </w:tc>
        <w:tc>
          <w:tcPr>
            <w:tcW w:w="1149" w:type="dxa"/>
            <w:vMerge w:val="continue"/>
          </w:tcPr>
          <w:p w14:paraId="7BEED9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404EEF5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680g/瓶，有品牌、产地和质保期等标识</w:t>
            </w:r>
          </w:p>
        </w:tc>
      </w:tr>
      <w:tr w14:paraId="2CED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53" w:type="dxa"/>
            <w:vAlign w:val="center"/>
          </w:tcPr>
          <w:p w14:paraId="4118063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67</w:t>
            </w:r>
          </w:p>
        </w:tc>
        <w:tc>
          <w:tcPr>
            <w:tcW w:w="1547" w:type="dxa"/>
            <w:vAlign w:val="center"/>
          </w:tcPr>
          <w:p w14:paraId="23287B3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绿豆</w:t>
            </w:r>
          </w:p>
        </w:tc>
        <w:tc>
          <w:tcPr>
            <w:tcW w:w="880" w:type="dxa"/>
            <w:vAlign w:val="center"/>
          </w:tcPr>
          <w:p w14:paraId="737E868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公斤</w:t>
            </w:r>
          </w:p>
        </w:tc>
        <w:tc>
          <w:tcPr>
            <w:tcW w:w="1149" w:type="dxa"/>
            <w:vMerge w:val="continue"/>
          </w:tcPr>
          <w:p w14:paraId="43DB455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42F49BC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优质散装，颗粒饱满，大小均匀，无干瘪，无斑点，无损伤</w:t>
            </w:r>
          </w:p>
        </w:tc>
      </w:tr>
      <w:tr w14:paraId="1224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53" w:type="dxa"/>
            <w:vAlign w:val="center"/>
          </w:tcPr>
          <w:p w14:paraId="1A030F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68</w:t>
            </w:r>
          </w:p>
        </w:tc>
        <w:tc>
          <w:tcPr>
            <w:tcW w:w="1547" w:type="dxa"/>
            <w:vAlign w:val="center"/>
          </w:tcPr>
          <w:p w14:paraId="7B1874B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钢丝球</w:t>
            </w:r>
          </w:p>
        </w:tc>
        <w:tc>
          <w:tcPr>
            <w:tcW w:w="880" w:type="dxa"/>
            <w:vAlign w:val="center"/>
          </w:tcPr>
          <w:p w14:paraId="3F4C4B2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包</w:t>
            </w:r>
          </w:p>
        </w:tc>
        <w:tc>
          <w:tcPr>
            <w:tcW w:w="1149" w:type="dxa"/>
            <w:vMerge w:val="continue"/>
          </w:tcPr>
          <w:p w14:paraId="275205D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04B44F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家用厨房易清洁球20个/包，有品牌、产地和质保期等标识</w:t>
            </w:r>
          </w:p>
        </w:tc>
      </w:tr>
      <w:tr w14:paraId="199B7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53" w:type="dxa"/>
            <w:vAlign w:val="center"/>
          </w:tcPr>
          <w:p w14:paraId="29E8BCA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69</w:t>
            </w:r>
          </w:p>
        </w:tc>
        <w:tc>
          <w:tcPr>
            <w:tcW w:w="1547" w:type="dxa"/>
            <w:vAlign w:val="center"/>
          </w:tcPr>
          <w:p w14:paraId="09598B9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洗洁精</w:t>
            </w:r>
          </w:p>
        </w:tc>
        <w:tc>
          <w:tcPr>
            <w:tcW w:w="880" w:type="dxa"/>
            <w:vAlign w:val="center"/>
          </w:tcPr>
          <w:p w14:paraId="7CDBBD6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桶</w:t>
            </w:r>
          </w:p>
        </w:tc>
        <w:tc>
          <w:tcPr>
            <w:tcW w:w="1149" w:type="dxa"/>
            <w:vMerge w:val="continue"/>
          </w:tcPr>
          <w:p w14:paraId="3B40429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1D80CEC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5.1kg/桶，有品牌、产地和质保期等标识</w:t>
            </w:r>
          </w:p>
        </w:tc>
      </w:tr>
      <w:tr w14:paraId="78AC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1F1C161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70</w:t>
            </w:r>
          </w:p>
        </w:tc>
        <w:tc>
          <w:tcPr>
            <w:tcW w:w="1547" w:type="dxa"/>
            <w:vAlign w:val="center"/>
          </w:tcPr>
          <w:p w14:paraId="7F7C334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洗衣粉</w:t>
            </w:r>
          </w:p>
        </w:tc>
        <w:tc>
          <w:tcPr>
            <w:tcW w:w="880" w:type="dxa"/>
            <w:vAlign w:val="center"/>
          </w:tcPr>
          <w:p w14:paraId="4CCFE7B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袋</w:t>
            </w:r>
          </w:p>
        </w:tc>
        <w:tc>
          <w:tcPr>
            <w:tcW w:w="1149" w:type="dxa"/>
            <w:vMerge w:val="continue"/>
          </w:tcPr>
          <w:p w14:paraId="0DFF4A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3274E4F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2.4kg/袋，有品牌、产地和质保期等标识</w:t>
            </w:r>
          </w:p>
        </w:tc>
      </w:tr>
      <w:tr w14:paraId="13317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7A38469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71</w:t>
            </w:r>
          </w:p>
        </w:tc>
        <w:tc>
          <w:tcPr>
            <w:tcW w:w="1547" w:type="dxa"/>
            <w:vAlign w:val="center"/>
          </w:tcPr>
          <w:p w14:paraId="252E3F9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卫生筷</w:t>
            </w:r>
          </w:p>
        </w:tc>
        <w:tc>
          <w:tcPr>
            <w:tcW w:w="880" w:type="dxa"/>
            <w:vAlign w:val="center"/>
          </w:tcPr>
          <w:p w14:paraId="00F9612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包</w:t>
            </w:r>
          </w:p>
        </w:tc>
        <w:tc>
          <w:tcPr>
            <w:tcW w:w="1149" w:type="dxa"/>
            <w:vMerge w:val="continue"/>
          </w:tcPr>
          <w:p w14:paraId="6A9E891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6D5EAE8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135双/包，有品牌、产地和质保期等标识</w:t>
            </w:r>
          </w:p>
        </w:tc>
      </w:tr>
      <w:tr w14:paraId="2E4A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5F93BDA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72</w:t>
            </w:r>
          </w:p>
        </w:tc>
        <w:tc>
          <w:tcPr>
            <w:tcW w:w="1547" w:type="dxa"/>
            <w:vAlign w:val="center"/>
          </w:tcPr>
          <w:p w14:paraId="71169D8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打包袋</w:t>
            </w:r>
          </w:p>
        </w:tc>
        <w:tc>
          <w:tcPr>
            <w:tcW w:w="880" w:type="dxa"/>
            <w:vAlign w:val="center"/>
          </w:tcPr>
          <w:p w14:paraId="40A9DE2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袋</w:t>
            </w:r>
          </w:p>
        </w:tc>
        <w:tc>
          <w:tcPr>
            <w:tcW w:w="1149" w:type="dxa"/>
            <w:vMerge w:val="continue"/>
          </w:tcPr>
          <w:p w14:paraId="64B0B8D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569105A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食品袋100个/袋，有品牌、产地和质保期等标识</w:t>
            </w:r>
          </w:p>
        </w:tc>
      </w:tr>
      <w:tr w14:paraId="507C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1BBEA05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73</w:t>
            </w:r>
          </w:p>
        </w:tc>
        <w:tc>
          <w:tcPr>
            <w:tcW w:w="1547" w:type="dxa"/>
            <w:vAlign w:val="center"/>
          </w:tcPr>
          <w:p w14:paraId="0874D31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餐巾纸</w:t>
            </w:r>
          </w:p>
        </w:tc>
        <w:tc>
          <w:tcPr>
            <w:tcW w:w="880" w:type="dxa"/>
            <w:vAlign w:val="center"/>
          </w:tcPr>
          <w:p w14:paraId="664BF8F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提</w:t>
            </w:r>
          </w:p>
        </w:tc>
        <w:tc>
          <w:tcPr>
            <w:tcW w:w="1149" w:type="dxa"/>
            <w:vMerge w:val="continue"/>
          </w:tcPr>
          <w:p w14:paraId="05EA8B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71D4473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250抽/包，1提6包，有品牌、产地和质保期等标识</w:t>
            </w:r>
          </w:p>
        </w:tc>
      </w:tr>
      <w:tr w14:paraId="1E66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62158DE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74</w:t>
            </w:r>
          </w:p>
        </w:tc>
        <w:tc>
          <w:tcPr>
            <w:tcW w:w="1547" w:type="dxa"/>
            <w:vAlign w:val="center"/>
          </w:tcPr>
          <w:p w14:paraId="36729E0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饭盒</w:t>
            </w:r>
          </w:p>
        </w:tc>
        <w:tc>
          <w:tcPr>
            <w:tcW w:w="880" w:type="dxa"/>
            <w:vAlign w:val="center"/>
          </w:tcPr>
          <w:p w14:paraId="4522917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箱</w:t>
            </w:r>
          </w:p>
        </w:tc>
        <w:tc>
          <w:tcPr>
            <w:tcW w:w="1149" w:type="dxa"/>
            <w:vMerge w:val="continue"/>
          </w:tcPr>
          <w:p w14:paraId="469CFF9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7BF52CF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1箱600套，有品牌、产地和质保期等标识</w:t>
            </w:r>
          </w:p>
        </w:tc>
      </w:tr>
      <w:tr w14:paraId="75EE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3" w:type="dxa"/>
            <w:vAlign w:val="center"/>
          </w:tcPr>
          <w:p w14:paraId="457C4CA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eastAsia" w:ascii="仿宋_GB2312" w:eastAsia="仿宋_GB2312" w:cs="仿宋_GB2312" w:hAnsiTheme="minorHAnsi"/>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75</w:t>
            </w:r>
          </w:p>
        </w:tc>
        <w:tc>
          <w:tcPr>
            <w:tcW w:w="1547" w:type="dxa"/>
            <w:vAlign w:val="center"/>
          </w:tcPr>
          <w:p w14:paraId="437CD42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酸奶</w:t>
            </w:r>
          </w:p>
        </w:tc>
        <w:tc>
          <w:tcPr>
            <w:tcW w:w="880" w:type="dxa"/>
            <w:vAlign w:val="center"/>
          </w:tcPr>
          <w:p w14:paraId="672B4B7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板</w:t>
            </w:r>
          </w:p>
        </w:tc>
        <w:tc>
          <w:tcPr>
            <w:tcW w:w="1149" w:type="dxa"/>
            <w:vMerge w:val="continue"/>
          </w:tcPr>
          <w:p w14:paraId="74A637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3"/>
                <w:szCs w:val="23"/>
                <w:lang w:val="en-US" w:eastAsia="zh-CN" w:bidi="ar"/>
              </w:rPr>
            </w:pPr>
          </w:p>
        </w:tc>
        <w:tc>
          <w:tcPr>
            <w:tcW w:w="10464" w:type="dxa"/>
            <w:vAlign w:val="center"/>
          </w:tcPr>
          <w:p w14:paraId="1640129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both"/>
              <w:textAlignment w:val="auto"/>
              <w:rPr>
                <w:rFonts w:hint="default" w:ascii="仿宋_GB2312" w:hAnsi="Calibri" w:eastAsia="仿宋_GB2312" w:cs="仿宋_GB2312"/>
                <w:b w:val="0"/>
                <w:bCs w:val="0"/>
                <w:i w:val="0"/>
                <w:iCs w:val="0"/>
                <w:caps w:val="0"/>
                <w:color w:val="000000"/>
                <w:spacing w:val="0"/>
                <w:kern w:val="0"/>
                <w:sz w:val="23"/>
                <w:szCs w:val="23"/>
                <w:lang w:val="en-US" w:eastAsia="zh-CN" w:bidi="ar-SA"/>
              </w:rPr>
            </w:pPr>
            <w:r>
              <w:rPr>
                <w:rFonts w:hint="default" w:ascii="仿宋_GB2312" w:hAnsi="Calibri" w:eastAsia="仿宋_GB2312" w:cs="仿宋_GB2312"/>
                <w:b w:val="0"/>
                <w:bCs w:val="0"/>
                <w:i w:val="0"/>
                <w:iCs w:val="0"/>
                <w:caps w:val="0"/>
                <w:color w:val="000000"/>
                <w:spacing w:val="0"/>
                <w:kern w:val="0"/>
                <w:sz w:val="23"/>
                <w:szCs w:val="23"/>
                <w:lang w:val="en-US" w:eastAsia="zh-CN" w:bidi="ar"/>
              </w:rPr>
              <w:t>12瓶/板，有品牌、产地和质保期等标识</w:t>
            </w:r>
          </w:p>
        </w:tc>
      </w:tr>
    </w:tbl>
    <w:p w14:paraId="67D4AB86"/>
    <w:p w14:paraId="01EA92D1">
      <w:pPr>
        <w:keepNext w:val="0"/>
        <w:keepLines w:val="0"/>
        <w:pageBreakBefore w:val="0"/>
        <w:widowControl w:val="0"/>
        <w:kinsoku/>
        <w:wordWrap/>
        <w:overflowPunct/>
        <w:topLinePunct w:val="0"/>
        <w:autoSpaceDE/>
        <w:autoSpaceDN/>
        <w:bidi w:val="0"/>
        <w:adjustRightInd/>
        <w:snapToGrid/>
        <w:spacing w:line="360" w:lineRule="auto"/>
        <w:ind w:firstLine="261" w:firstLineChars="100"/>
        <w:jc w:val="left"/>
        <w:textAlignment w:val="auto"/>
        <w:rPr>
          <w:rFonts w:hint="eastAsia" w:ascii="仿宋_GB2312" w:hAnsi="仿宋_GB2312" w:eastAsia="仿宋_GB2312" w:cs="仿宋_GB2312"/>
          <w:b/>
          <w:bCs/>
          <w:i w:val="0"/>
          <w:iCs w:val="0"/>
          <w:caps w:val="0"/>
          <w:color w:val="000000"/>
          <w:spacing w:val="0"/>
          <w:kern w:val="0"/>
          <w:sz w:val="26"/>
          <w:szCs w:val="26"/>
          <w:lang w:val="en-US" w:eastAsia="zh-CN" w:bidi="ar"/>
        </w:rPr>
        <w:sectPr>
          <w:pgSz w:w="16838" w:h="11905" w:orient="landscape"/>
          <w:pgMar w:top="1083" w:right="1440" w:bottom="1083" w:left="1440" w:header="851" w:footer="850" w:gutter="0"/>
          <w:pgNumType w:fmt="decimal"/>
          <w:cols w:space="0" w:num="1"/>
          <w:rtlGutter w:val="0"/>
          <w:docGrid w:linePitch="462" w:charSpace="0"/>
        </w:sectPr>
      </w:pPr>
    </w:p>
    <w:p w14:paraId="5BD6A0A8">
      <w:pPr>
        <w:keepNext w:val="0"/>
        <w:keepLines w:val="0"/>
        <w:pageBreakBefore w:val="0"/>
        <w:widowControl w:val="0"/>
        <w:kinsoku/>
        <w:wordWrap/>
        <w:overflowPunct/>
        <w:topLinePunct w:val="0"/>
        <w:autoSpaceDE/>
        <w:autoSpaceDN/>
        <w:bidi w:val="0"/>
        <w:adjustRightInd/>
        <w:snapToGrid/>
        <w:spacing w:line="360" w:lineRule="auto"/>
        <w:ind w:firstLine="261" w:firstLineChars="100"/>
        <w:jc w:val="left"/>
        <w:textAlignment w:val="auto"/>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二、采购说明：</w:t>
      </w:r>
    </w:p>
    <w:p w14:paraId="16E9FFD9">
      <w:pPr>
        <w:keepNext w:val="0"/>
        <w:keepLines w:val="0"/>
        <w:pageBreakBefore w:val="0"/>
        <w:widowControl w:val="0"/>
        <w:kinsoku/>
        <w:wordWrap/>
        <w:overflowPunct/>
        <w:topLinePunct w:val="0"/>
        <w:autoSpaceDE/>
        <w:autoSpaceDN/>
        <w:bidi w:val="0"/>
        <w:adjustRightInd/>
        <w:snapToGrid/>
        <w:spacing w:line="360" w:lineRule="auto"/>
        <w:ind w:firstLine="261" w:firstLineChars="100"/>
        <w:jc w:val="left"/>
        <w:textAlignment w:val="auto"/>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(一)</w:t>
      </w:r>
      <w:bookmarkStart w:id="238" w:name="_Toc22634"/>
      <w:r>
        <w:rPr>
          <w:rFonts w:hint="eastAsia" w:ascii="仿宋_GB2312" w:hAnsi="仿宋_GB2312" w:eastAsia="仿宋_GB2312" w:cs="仿宋_GB2312"/>
          <w:b/>
          <w:bCs/>
          <w:i w:val="0"/>
          <w:iCs w:val="0"/>
          <w:caps w:val="0"/>
          <w:color w:val="000000"/>
          <w:spacing w:val="0"/>
          <w:kern w:val="0"/>
          <w:sz w:val="26"/>
          <w:szCs w:val="26"/>
          <w:lang w:val="en-US" w:eastAsia="zh-CN" w:bidi="ar"/>
        </w:rPr>
        <w:t>项目预算情况：</w:t>
      </w:r>
    </w:p>
    <w:p w14:paraId="0329BC66">
      <w:pPr>
        <w:keepNext w:val="0"/>
        <w:keepLines w:val="0"/>
        <w:pageBreakBefore w:val="0"/>
        <w:widowControl w:val="0"/>
        <w:kinsoku/>
        <w:wordWrap/>
        <w:overflowPunct/>
        <w:topLinePunct w:val="0"/>
        <w:autoSpaceDE/>
        <w:autoSpaceDN/>
        <w:bidi w:val="0"/>
        <w:adjustRightInd/>
        <w:snapToGrid/>
        <w:spacing w:line="360" w:lineRule="auto"/>
        <w:ind w:firstLine="520" w:firstLineChars="200"/>
        <w:jc w:val="left"/>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总预算合计700万元。</w:t>
      </w:r>
      <w:bookmarkEnd w:id="238"/>
    </w:p>
    <w:p w14:paraId="0C7FD426">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261" w:firstLineChars="100"/>
        <w:jc w:val="left"/>
        <w:textAlignment w:val="auto"/>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价格的确定：</w:t>
      </w:r>
    </w:p>
    <w:p w14:paraId="29D6D7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20" w:firstLineChars="200"/>
        <w:jc w:val="left"/>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鲜肉类、蔬菜类</w:t>
      </w:r>
      <w:r>
        <w:rPr>
          <w:rFonts w:hint="eastAsia" w:ascii="仿宋_GB2312" w:hAnsi="仿宋_GB2312" w:eastAsia="仿宋_GB2312" w:cs="仿宋_GB2312"/>
          <w:b w:val="0"/>
          <w:bCs w:val="0"/>
          <w:i w:val="0"/>
          <w:iCs w:val="0"/>
          <w:caps w:val="0"/>
          <w:color w:val="auto"/>
          <w:spacing w:val="0"/>
          <w:kern w:val="0"/>
          <w:sz w:val="26"/>
          <w:szCs w:val="26"/>
          <w:lang w:val="en-US" w:eastAsia="zh-CN" w:bidi="ar"/>
        </w:rPr>
        <w:t>、粮油类及调料副食品等价格的确定实行每个月询价一次，</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每个月25日由</w:t>
      </w:r>
      <w:r>
        <w:rPr>
          <w:rFonts w:hint="eastAsia" w:ascii="仿宋_GB2312" w:hAnsi="仿宋_GB2312" w:eastAsia="仿宋_GB2312" w:cs="仿宋_GB2312"/>
          <w:b w:val="0"/>
          <w:bCs w:val="0"/>
          <w:i w:val="0"/>
          <w:iCs w:val="0"/>
          <w:caps w:val="0"/>
          <w:color w:val="000000"/>
          <w:spacing w:val="0"/>
          <w:kern w:val="0"/>
          <w:sz w:val="26"/>
          <w:szCs w:val="26"/>
          <w:highlight w:val="green"/>
          <w:lang w:val="en-US" w:eastAsia="zh-CN" w:bidi="ar"/>
        </w:rPr>
        <w:t>甲方</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牵头，组织供货商工作人员在县农贸市场进行综合询价，根据询价情况及招投标确定的下浮比例，确定供货价格，下浮比例报价均为单公斤报价。</w:t>
      </w:r>
    </w:p>
    <w:p w14:paraId="4975AB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61" w:firstLineChars="100"/>
        <w:jc w:val="left"/>
        <w:textAlignment w:val="auto"/>
        <w:rPr>
          <w:rFonts w:hint="eastAsia" w:ascii="仿宋_GB2312" w:hAnsi="仿宋_GB2312" w:eastAsia="仿宋_GB2312" w:cs="仿宋_GB2312"/>
          <w:b/>
          <w:bCs/>
          <w:i w:val="0"/>
          <w:iCs w:val="0"/>
          <w:caps w:val="0"/>
          <w:color w:val="auto"/>
          <w:spacing w:val="0"/>
          <w:kern w:val="0"/>
          <w:sz w:val="26"/>
          <w:szCs w:val="26"/>
          <w:highlight w:val="none"/>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w:t>
      </w:r>
      <w:r>
        <w:rPr>
          <w:rFonts w:hint="eastAsia" w:ascii="仿宋_GB2312" w:hAnsi="仿宋_GB2312" w:eastAsia="仿宋_GB2312" w:cs="仿宋_GB2312"/>
          <w:b/>
          <w:bCs/>
          <w:i w:val="0"/>
          <w:iCs w:val="0"/>
          <w:caps w:val="0"/>
          <w:color w:val="auto"/>
          <w:spacing w:val="0"/>
          <w:kern w:val="0"/>
          <w:sz w:val="26"/>
          <w:szCs w:val="26"/>
          <w:highlight w:val="none"/>
          <w:lang w:val="en-US" w:eastAsia="zh-CN" w:bidi="ar"/>
        </w:rPr>
        <w:t>三）配送时间</w:t>
      </w:r>
    </w:p>
    <w:p w14:paraId="6C4D5CEA">
      <w:pPr>
        <w:keepNext w:val="0"/>
        <w:keepLines w:val="0"/>
        <w:pageBreakBefore w:val="0"/>
        <w:widowControl w:val="0"/>
        <w:kinsoku/>
        <w:wordWrap/>
        <w:overflowPunct/>
        <w:topLinePunct w:val="0"/>
        <w:autoSpaceDE/>
        <w:autoSpaceDN/>
        <w:bidi w:val="0"/>
        <w:adjustRightInd/>
        <w:snapToGrid/>
        <w:spacing w:line="360" w:lineRule="auto"/>
        <w:ind w:firstLine="520" w:firstLineChars="200"/>
        <w:jc w:val="left"/>
        <w:textAlignment w:val="auto"/>
        <w:rPr>
          <w:rFonts w:hint="eastAsia" w:ascii="仿宋_GB2312" w:hAnsi="仿宋_GB2312" w:eastAsia="仿宋_GB2312" w:cs="仿宋_GB2312"/>
          <w:b w:val="0"/>
          <w:bCs w:val="0"/>
          <w:i w:val="0"/>
          <w:iCs w:val="0"/>
          <w:caps w:val="0"/>
          <w:color w:val="auto"/>
          <w:spacing w:val="0"/>
          <w:kern w:val="0"/>
          <w:sz w:val="26"/>
          <w:szCs w:val="26"/>
          <w:highlight w:val="none"/>
          <w:lang w:val="en-US" w:eastAsia="zh-CN" w:bidi="ar"/>
        </w:rPr>
      </w:pPr>
      <w:r>
        <w:rPr>
          <w:rFonts w:hint="eastAsia" w:ascii="仿宋_GB2312" w:hAnsi="仿宋_GB2312" w:eastAsia="仿宋_GB2312" w:cs="仿宋_GB2312"/>
          <w:b w:val="0"/>
          <w:bCs w:val="0"/>
          <w:i w:val="0"/>
          <w:iCs w:val="0"/>
          <w:caps w:val="0"/>
          <w:color w:val="auto"/>
          <w:spacing w:val="0"/>
          <w:kern w:val="0"/>
          <w:sz w:val="26"/>
          <w:szCs w:val="26"/>
          <w:highlight w:val="none"/>
          <w:lang w:val="en-US" w:eastAsia="zh-CN" w:bidi="ar"/>
        </w:rPr>
        <w:t>以</w:t>
      </w:r>
      <w:r>
        <w:rPr>
          <w:rFonts w:hint="eastAsia" w:ascii="仿宋_GB2312" w:hAnsi="仿宋_GB2312" w:eastAsia="仿宋_GB2312" w:cs="仿宋_GB2312"/>
          <w:b w:val="0"/>
          <w:bCs w:val="0"/>
          <w:i w:val="0"/>
          <w:iCs w:val="0"/>
          <w:caps w:val="0"/>
          <w:color w:val="auto"/>
          <w:spacing w:val="0"/>
          <w:kern w:val="0"/>
          <w:sz w:val="26"/>
          <w:szCs w:val="26"/>
          <w:highlight w:val="green"/>
          <w:lang w:val="en-US" w:eastAsia="zh-CN" w:bidi="ar"/>
        </w:rPr>
        <w:t>甲方</w:t>
      </w:r>
      <w:r>
        <w:rPr>
          <w:rFonts w:hint="eastAsia" w:ascii="仿宋_GB2312" w:hAnsi="仿宋_GB2312" w:eastAsia="仿宋_GB2312" w:cs="仿宋_GB2312"/>
          <w:b w:val="0"/>
          <w:bCs w:val="0"/>
          <w:i w:val="0"/>
          <w:iCs w:val="0"/>
          <w:caps w:val="0"/>
          <w:color w:val="auto"/>
          <w:spacing w:val="0"/>
          <w:kern w:val="0"/>
          <w:sz w:val="26"/>
          <w:szCs w:val="26"/>
          <w:highlight w:val="none"/>
          <w:lang w:val="en-US" w:eastAsia="zh-CN" w:bidi="ar"/>
        </w:rPr>
        <w:t>为单位，须提前1-2日给供应商报需求计划。每次供货时间为提出需求后24小时内供货，按照要求送达指定位置，供应商每周至少配送2-3次；部分紧急需求需在提出需求后半小时内送达，须保证所配送的鲜肉类为当天屠宰的新鲜鸡鱼牛羊肉,调味副食品必须保证所配送的调味副食品在保质期内，无过期。</w:t>
      </w:r>
    </w:p>
    <w:p w14:paraId="5EED752C">
      <w:pPr>
        <w:keepNext w:val="0"/>
        <w:keepLines w:val="0"/>
        <w:pageBreakBefore w:val="0"/>
        <w:widowControl w:val="0"/>
        <w:kinsoku/>
        <w:wordWrap/>
        <w:overflowPunct/>
        <w:topLinePunct w:val="0"/>
        <w:autoSpaceDE/>
        <w:autoSpaceDN/>
        <w:bidi w:val="0"/>
        <w:adjustRightInd/>
        <w:snapToGrid/>
        <w:spacing w:line="360" w:lineRule="auto"/>
        <w:ind w:firstLine="261" w:firstLineChars="100"/>
        <w:jc w:val="left"/>
        <w:textAlignment w:val="auto"/>
        <w:rPr>
          <w:rFonts w:hint="eastAsia" w:ascii="仿宋_GB2312" w:hAnsi="仿宋_GB2312" w:eastAsia="仿宋_GB2312" w:cs="仿宋_GB2312"/>
          <w:b/>
          <w:bCs/>
          <w:i w:val="0"/>
          <w:iCs w:val="0"/>
          <w:caps w:val="0"/>
          <w:color w:val="auto"/>
          <w:spacing w:val="0"/>
          <w:kern w:val="0"/>
          <w:sz w:val="26"/>
          <w:szCs w:val="26"/>
          <w:highlight w:val="none"/>
          <w:lang w:val="en-US" w:eastAsia="zh-CN" w:bidi="ar"/>
        </w:rPr>
      </w:pPr>
      <w:r>
        <w:rPr>
          <w:rFonts w:hint="eastAsia" w:ascii="仿宋_GB2312" w:hAnsi="仿宋_GB2312" w:eastAsia="仿宋_GB2312" w:cs="仿宋_GB2312"/>
          <w:b/>
          <w:bCs/>
          <w:i w:val="0"/>
          <w:iCs w:val="0"/>
          <w:caps w:val="0"/>
          <w:color w:val="auto"/>
          <w:spacing w:val="0"/>
          <w:kern w:val="0"/>
          <w:sz w:val="26"/>
          <w:szCs w:val="26"/>
          <w:highlight w:val="none"/>
          <w:lang w:val="en-US" w:eastAsia="zh-CN" w:bidi="ar"/>
        </w:rPr>
        <w:t>（四）配送地点</w:t>
      </w:r>
    </w:p>
    <w:p w14:paraId="3959ADFE">
      <w:pPr>
        <w:keepNext w:val="0"/>
        <w:keepLines w:val="0"/>
        <w:pageBreakBefore w:val="0"/>
        <w:widowControl w:val="0"/>
        <w:kinsoku/>
        <w:wordWrap/>
        <w:overflowPunct/>
        <w:topLinePunct w:val="0"/>
        <w:autoSpaceDE/>
        <w:autoSpaceDN/>
        <w:bidi w:val="0"/>
        <w:adjustRightInd/>
        <w:snapToGrid/>
        <w:spacing w:line="360" w:lineRule="auto"/>
        <w:ind w:firstLine="260" w:firstLineChars="100"/>
        <w:jc w:val="left"/>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auto"/>
          <w:spacing w:val="0"/>
          <w:kern w:val="0"/>
          <w:sz w:val="26"/>
          <w:szCs w:val="26"/>
          <w:highlight w:val="none"/>
          <w:lang w:val="en-US" w:eastAsia="zh-CN" w:bidi="ar"/>
        </w:rPr>
        <w:t>各中标供应商须将食材配送至甲方指定位置</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w:t>
      </w:r>
    </w:p>
    <w:p w14:paraId="14C59F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61" w:firstLineChars="100"/>
        <w:jc w:val="left"/>
        <w:textAlignment w:val="auto"/>
        <w:rPr>
          <w:rFonts w:hint="default"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（五）配送</w:t>
      </w:r>
      <w:r>
        <w:rPr>
          <w:rFonts w:hint="default" w:ascii="仿宋_GB2312" w:hAnsi="仿宋_GB2312" w:eastAsia="仿宋_GB2312" w:cs="仿宋_GB2312"/>
          <w:b/>
          <w:bCs/>
          <w:i w:val="0"/>
          <w:iCs w:val="0"/>
          <w:caps w:val="0"/>
          <w:color w:val="000000"/>
          <w:spacing w:val="0"/>
          <w:kern w:val="0"/>
          <w:sz w:val="26"/>
          <w:szCs w:val="26"/>
          <w:lang w:val="en-US" w:eastAsia="zh-CN" w:bidi="ar"/>
        </w:rPr>
        <w:t>方式</w:t>
      </w:r>
    </w:p>
    <w:p w14:paraId="0F0E3E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60" w:firstLineChars="100"/>
        <w:jc w:val="left"/>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default" w:ascii="仿宋_GB2312" w:hAnsi="仿宋_GB2312" w:eastAsia="仿宋_GB2312" w:cs="仿宋_GB2312"/>
          <w:b w:val="0"/>
          <w:bCs w:val="0"/>
          <w:i w:val="0"/>
          <w:iCs w:val="0"/>
          <w:caps w:val="0"/>
          <w:color w:val="000000"/>
          <w:spacing w:val="0"/>
          <w:kern w:val="0"/>
          <w:sz w:val="26"/>
          <w:szCs w:val="26"/>
          <w:lang w:val="en-US" w:eastAsia="zh-CN" w:bidi="ar"/>
        </w:rPr>
        <w:t>按采购方需求</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提供</w:t>
      </w:r>
      <w:r>
        <w:rPr>
          <w:rFonts w:hint="default" w:ascii="仿宋_GB2312" w:hAnsi="仿宋_GB2312" w:eastAsia="仿宋_GB2312" w:cs="仿宋_GB2312"/>
          <w:b w:val="0"/>
          <w:bCs w:val="0"/>
          <w:i w:val="0"/>
          <w:iCs w:val="0"/>
          <w:caps w:val="0"/>
          <w:color w:val="000000"/>
          <w:spacing w:val="0"/>
          <w:kern w:val="0"/>
          <w:sz w:val="26"/>
          <w:szCs w:val="26"/>
          <w:lang w:val="en-US" w:eastAsia="zh-CN" w:bidi="ar"/>
        </w:rPr>
        <w:t>具体的供货数量、供货时间以采购方发出的电话、口头、书面供货通知书等为准</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w:t>
      </w:r>
      <w:bookmarkStart w:id="239" w:name="_Toc26613"/>
    </w:p>
    <w:bookmarkEnd w:id="239"/>
    <w:p w14:paraId="0A5608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jc w:val="left"/>
        <w:textAlignment w:val="auto"/>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（六）报价包含费用</w:t>
      </w:r>
    </w:p>
    <w:p w14:paraId="69F90E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firstLine="260" w:firstLineChars="100"/>
        <w:jc w:val="left"/>
        <w:textAlignment w:val="auto"/>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default" w:ascii="仿宋_GB2312" w:hAnsi="仿宋_GB2312" w:eastAsia="仿宋_GB2312" w:cs="仿宋_GB2312"/>
          <w:b w:val="0"/>
          <w:bCs w:val="0"/>
          <w:i w:val="0"/>
          <w:iCs w:val="0"/>
          <w:caps w:val="0"/>
          <w:color w:val="000000"/>
          <w:spacing w:val="0"/>
          <w:kern w:val="0"/>
          <w:sz w:val="26"/>
          <w:szCs w:val="26"/>
          <w:lang w:val="en-US" w:eastAsia="zh-CN" w:bidi="ar"/>
        </w:rPr>
        <w:t>本项目投标</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报价是该项目的一切费用，</w:t>
      </w:r>
      <w:r>
        <w:rPr>
          <w:rFonts w:hint="default" w:ascii="仿宋_GB2312" w:hAnsi="仿宋_GB2312" w:eastAsia="仿宋_GB2312" w:cs="仿宋_GB2312"/>
          <w:b w:val="0"/>
          <w:bCs w:val="0"/>
          <w:i w:val="0"/>
          <w:iCs w:val="0"/>
          <w:caps w:val="0"/>
          <w:color w:val="000000"/>
          <w:spacing w:val="0"/>
          <w:kern w:val="0"/>
          <w:sz w:val="26"/>
          <w:szCs w:val="26"/>
          <w:lang w:val="en-US" w:eastAsia="zh-CN" w:bidi="ar"/>
        </w:rPr>
        <w:t>包含投标费、设备费、运输费、装卸费、保险费、技术培训费、</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仓储保管费、</w:t>
      </w:r>
      <w:r>
        <w:rPr>
          <w:rFonts w:hint="default" w:ascii="仿宋_GB2312" w:hAnsi="仿宋_GB2312" w:eastAsia="仿宋_GB2312" w:cs="仿宋_GB2312"/>
          <w:b w:val="0"/>
          <w:bCs w:val="0"/>
          <w:i w:val="0"/>
          <w:iCs w:val="0"/>
          <w:caps w:val="0"/>
          <w:color w:val="000000"/>
          <w:spacing w:val="0"/>
          <w:kern w:val="0"/>
          <w:sz w:val="26"/>
          <w:szCs w:val="26"/>
          <w:lang w:val="en-US" w:eastAsia="zh-CN" w:bidi="ar"/>
        </w:rPr>
        <w:t>检测费、国家规定的各项税费</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等。</w:t>
      </w:r>
    </w:p>
    <w:p w14:paraId="0DA29C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61" w:firstLineChars="100"/>
        <w:jc w:val="left"/>
        <w:textAlignment w:val="auto"/>
        <w:rPr>
          <w:rFonts w:hint="default"/>
          <w:sz w:val="26"/>
          <w:szCs w:val="26"/>
          <w:lang w:val="en-US" w:eastAsia="zh-CN"/>
        </w:rPr>
      </w:pPr>
      <w:r>
        <w:rPr>
          <w:rFonts w:hint="eastAsia" w:ascii="仿宋_GB2312" w:hAnsi="仿宋_GB2312" w:eastAsia="仿宋_GB2312" w:cs="仿宋_GB2312"/>
          <w:b/>
          <w:bCs/>
          <w:i w:val="0"/>
          <w:iCs w:val="0"/>
          <w:caps w:val="0"/>
          <w:color w:val="000000"/>
          <w:spacing w:val="0"/>
          <w:kern w:val="0"/>
          <w:sz w:val="26"/>
          <w:szCs w:val="26"/>
          <w:lang w:val="en-US" w:eastAsia="zh-CN" w:bidi="ar"/>
        </w:rPr>
        <w:t>（七）</w:t>
      </w:r>
      <w:r>
        <w:rPr>
          <w:rFonts w:hint="default" w:ascii="仿宋_GB2312" w:hAnsi="仿宋_GB2312" w:eastAsia="仿宋_GB2312" w:cs="仿宋_GB2312"/>
          <w:b/>
          <w:bCs/>
          <w:i w:val="0"/>
          <w:iCs w:val="0"/>
          <w:caps w:val="0"/>
          <w:color w:val="000000"/>
          <w:spacing w:val="0"/>
          <w:kern w:val="0"/>
          <w:sz w:val="26"/>
          <w:szCs w:val="26"/>
          <w:lang w:val="en-US" w:eastAsia="zh-CN" w:bidi="ar"/>
        </w:rPr>
        <w:t>食品包装与标</w:t>
      </w:r>
      <w:r>
        <w:rPr>
          <w:rFonts w:hint="eastAsia" w:ascii="仿宋_GB2312" w:hAnsi="仿宋_GB2312" w:eastAsia="仿宋_GB2312" w:cs="仿宋_GB2312"/>
          <w:b/>
          <w:bCs/>
          <w:i w:val="0"/>
          <w:iCs w:val="0"/>
          <w:caps w:val="0"/>
          <w:color w:val="000000"/>
          <w:spacing w:val="0"/>
          <w:kern w:val="0"/>
          <w:sz w:val="26"/>
          <w:szCs w:val="26"/>
          <w:lang w:val="en-US" w:eastAsia="zh-CN" w:bidi="ar"/>
        </w:rPr>
        <w:t>识</w:t>
      </w:r>
      <w:r>
        <w:rPr>
          <w:rFonts w:hint="default" w:ascii="仿宋_GB2312" w:hAnsi="仿宋_GB2312" w:eastAsia="仿宋_GB2312" w:cs="仿宋_GB2312"/>
          <w:b/>
          <w:bCs/>
          <w:i w:val="0"/>
          <w:iCs w:val="0"/>
          <w:caps w:val="0"/>
          <w:color w:val="000000"/>
          <w:spacing w:val="0"/>
          <w:kern w:val="0"/>
          <w:sz w:val="26"/>
          <w:szCs w:val="26"/>
          <w:lang w:val="en-US" w:eastAsia="zh-CN" w:bidi="ar"/>
        </w:rPr>
        <w:t>要求</w:t>
      </w:r>
    </w:p>
    <w:p w14:paraId="111B06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20" w:firstLineChars="200"/>
        <w:jc w:val="left"/>
        <w:textAlignment w:val="auto"/>
        <w:rPr>
          <w:rFonts w:hint="default"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1、食品</w:t>
      </w:r>
      <w:r>
        <w:rPr>
          <w:rFonts w:hint="default" w:ascii="仿宋_GB2312" w:hAnsi="仿宋_GB2312" w:eastAsia="仿宋_GB2312" w:cs="仿宋_GB2312"/>
          <w:b w:val="0"/>
          <w:bCs w:val="0"/>
          <w:i w:val="0"/>
          <w:iCs w:val="0"/>
          <w:caps w:val="0"/>
          <w:color w:val="000000"/>
          <w:spacing w:val="0"/>
          <w:kern w:val="0"/>
          <w:sz w:val="26"/>
          <w:szCs w:val="26"/>
          <w:lang w:val="en-US" w:eastAsia="zh-CN" w:bidi="ar"/>
        </w:rPr>
        <w:t>包装</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w:t>
      </w:r>
      <w:r>
        <w:rPr>
          <w:rFonts w:hint="default" w:ascii="仿宋_GB2312" w:hAnsi="仿宋_GB2312" w:eastAsia="仿宋_GB2312" w:cs="仿宋_GB2312"/>
          <w:b w:val="0"/>
          <w:bCs w:val="0"/>
          <w:i w:val="0"/>
          <w:iCs w:val="0"/>
          <w:caps w:val="0"/>
          <w:color w:val="000000"/>
          <w:spacing w:val="0"/>
          <w:kern w:val="0"/>
          <w:sz w:val="26"/>
          <w:szCs w:val="26"/>
          <w:lang w:val="en-US" w:eastAsia="zh-CN" w:bidi="ar"/>
        </w:rPr>
        <w:t>容器（框、箱、袋）要求清洁、干燥、牢固、透气、无污染</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w:t>
      </w:r>
      <w:r>
        <w:rPr>
          <w:rFonts w:hint="default" w:ascii="仿宋_GB2312" w:hAnsi="仿宋_GB2312" w:eastAsia="仿宋_GB2312" w:cs="仿宋_GB2312"/>
          <w:b w:val="0"/>
          <w:bCs w:val="0"/>
          <w:i w:val="0"/>
          <w:iCs w:val="0"/>
          <w:caps w:val="0"/>
          <w:color w:val="000000"/>
          <w:spacing w:val="0"/>
          <w:kern w:val="0"/>
          <w:sz w:val="26"/>
          <w:szCs w:val="26"/>
          <w:lang w:val="en-US" w:eastAsia="zh-CN" w:bidi="ar"/>
        </w:rPr>
        <w:t xml:space="preserve">无异味、无霉变现象。 </w:t>
      </w:r>
    </w:p>
    <w:p w14:paraId="20092D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20" w:firstLineChars="200"/>
        <w:jc w:val="left"/>
        <w:textAlignment w:val="auto"/>
        <w:rPr>
          <w:rFonts w:hint="default"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2、食品标识</w:t>
      </w:r>
      <w:r>
        <w:rPr>
          <w:rFonts w:hint="default" w:ascii="仿宋_GB2312" w:hAnsi="仿宋_GB2312" w:eastAsia="仿宋_GB2312" w:cs="仿宋_GB2312"/>
          <w:b w:val="0"/>
          <w:bCs w:val="0"/>
          <w:i w:val="0"/>
          <w:iCs w:val="0"/>
          <w:caps w:val="0"/>
          <w:color w:val="000000"/>
          <w:spacing w:val="0"/>
          <w:kern w:val="0"/>
          <w:sz w:val="26"/>
          <w:szCs w:val="26"/>
          <w:lang w:val="en-US" w:eastAsia="zh-CN" w:bidi="ar"/>
        </w:rPr>
        <w:t>：采购的食品不得存放在有害、有毒的容器内。食品包装上必须使用原产地标识，应注明制造商名称和厂址、食品名称和重（容）量、生产日期和保质期限以及规格和“QS”认证或政府主管部门认定的认证</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标识</w:t>
      </w:r>
      <w:r>
        <w:rPr>
          <w:rFonts w:hint="default" w:ascii="仿宋_GB2312" w:hAnsi="仿宋_GB2312" w:eastAsia="仿宋_GB2312" w:cs="仿宋_GB2312"/>
          <w:b w:val="0"/>
          <w:bCs w:val="0"/>
          <w:i w:val="0"/>
          <w:iCs w:val="0"/>
          <w:caps w:val="0"/>
          <w:color w:val="000000"/>
          <w:spacing w:val="0"/>
          <w:kern w:val="0"/>
          <w:sz w:val="26"/>
          <w:szCs w:val="26"/>
          <w:lang w:val="en-US" w:eastAsia="zh-CN" w:bidi="ar"/>
        </w:rPr>
        <w:t>等。</w:t>
      </w:r>
    </w:p>
    <w:p w14:paraId="019905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22" w:firstLineChars="200"/>
        <w:jc w:val="left"/>
        <w:textAlignment w:val="auto"/>
        <w:rPr>
          <w:rFonts w:hint="default"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（八）</w:t>
      </w:r>
      <w:r>
        <w:rPr>
          <w:rFonts w:hint="default" w:ascii="仿宋_GB2312" w:hAnsi="仿宋_GB2312" w:eastAsia="仿宋_GB2312" w:cs="仿宋_GB2312"/>
          <w:b/>
          <w:bCs/>
          <w:i w:val="0"/>
          <w:iCs w:val="0"/>
          <w:caps w:val="0"/>
          <w:color w:val="000000"/>
          <w:spacing w:val="0"/>
          <w:kern w:val="0"/>
          <w:sz w:val="26"/>
          <w:szCs w:val="26"/>
          <w:lang w:val="en-US" w:eastAsia="zh-CN" w:bidi="ar"/>
        </w:rPr>
        <w:t>食材质量要求</w:t>
      </w:r>
    </w:p>
    <w:p w14:paraId="6EF11840">
      <w:pPr>
        <w:pStyle w:val="2"/>
        <w:ind w:left="0" w:leftChars="0" w:firstLine="520" w:firstLineChars="200"/>
        <w:rPr>
          <w:rFonts w:hint="default" w:ascii="仿宋_GB2312" w:hAnsi="仿宋_GB2312" w:eastAsia="仿宋_GB2312" w:cs="仿宋_GB2312"/>
          <w:b w:val="0"/>
          <w:bCs w:val="0"/>
          <w:i w:val="0"/>
          <w:iCs w:val="0"/>
          <w:caps w:val="0"/>
          <w:color w:val="000000"/>
          <w:spacing w:val="0"/>
          <w:kern w:val="0"/>
          <w:sz w:val="26"/>
          <w:szCs w:val="26"/>
          <w:lang w:val="en-US" w:eastAsia="zh-CN" w:bidi="ar"/>
        </w:rPr>
      </w:pPr>
      <w:r>
        <w:rPr>
          <w:rFonts w:hint="default" w:ascii="仿宋_GB2312" w:hAnsi="仿宋_GB2312" w:eastAsia="仿宋_GB2312" w:cs="仿宋_GB2312"/>
          <w:b w:val="0"/>
          <w:bCs w:val="0"/>
          <w:i w:val="0"/>
          <w:iCs w:val="0"/>
          <w:caps w:val="0"/>
          <w:color w:val="000000"/>
          <w:spacing w:val="0"/>
          <w:kern w:val="0"/>
          <w:sz w:val="26"/>
          <w:szCs w:val="26"/>
          <w:lang w:val="en-US" w:eastAsia="zh-CN" w:bidi="ar"/>
        </w:rPr>
        <w:t>1、米、面</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、油、</w:t>
      </w:r>
      <w:r>
        <w:rPr>
          <w:rFonts w:hint="default" w:ascii="仿宋_GB2312" w:hAnsi="仿宋_GB2312" w:eastAsia="仿宋_GB2312" w:cs="仿宋_GB2312"/>
          <w:b w:val="0"/>
          <w:bCs w:val="0"/>
          <w:i w:val="0"/>
          <w:iCs w:val="0"/>
          <w:caps w:val="0"/>
          <w:color w:val="000000"/>
          <w:spacing w:val="0"/>
          <w:kern w:val="0"/>
          <w:sz w:val="26"/>
          <w:szCs w:val="26"/>
          <w:lang w:val="en-US" w:eastAsia="zh-CN" w:bidi="ar"/>
        </w:rPr>
        <w:t>肉类等食材符合国家强制性标准；米选优质产品（含香米系列）；油在保质期</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12</w:t>
      </w:r>
      <w:r>
        <w:rPr>
          <w:rFonts w:hint="default" w:ascii="仿宋_GB2312" w:hAnsi="仿宋_GB2312" w:eastAsia="仿宋_GB2312" w:cs="仿宋_GB2312"/>
          <w:b w:val="0"/>
          <w:bCs w:val="0"/>
          <w:i w:val="0"/>
          <w:iCs w:val="0"/>
          <w:caps w:val="0"/>
          <w:color w:val="000000"/>
          <w:spacing w:val="0"/>
          <w:kern w:val="0"/>
          <w:sz w:val="26"/>
          <w:szCs w:val="26"/>
          <w:lang w:val="en-US" w:eastAsia="zh-CN" w:bidi="ar"/>
        </w:rPr>
        <w:t>个月以内（含香油系列）</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w:t>
      </w:r>
      <w:r>
        <w:rPr>
          <w:rFonts w:hint="default" w:ascii="仿宋_GB2312" w:hAnsi="仿宋_GB2312" w:eastAsia="仿宋_GB2312" w:cs="仿宋_GB2312"/>
          <w:b w:val="0"/>
          <w:bCs w:val="0"/>
          <w:i w:val="0"/>
          <w:iCs w:val="0"/>
          <w:caps w:val="0"/>
          <w:color w:val="000000"/>
          <w:spacing w:val="0"/>
          <w:kern w:val="0"/>
          <w:sz w:val="26"/>
          <w:szCs w:val="26"/>
          <w:lang w:val="en-US" w:eastAsia="zh-CN" w:bidi="ar"/>
        </w:rPr>
        <w:t>杂粮系列保质期在</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6</w:t>
      </w:r>
      <w:r>
        <w:rPr>
          <w:rFonts w:hint="default" w:ascii="仿宋_GB2312" w:hAnsi="仿宋_GB2312" w:eastAsia="仿宋_GB2312" w:cs="仿宋_GB2312"/>
          <w:b w:val="0"/>
          <w:bCs w:val="0"/>
          <w:i w:val="0"/>
          <w:iCs w:val="0"/>
          <w:caps w:val="0"/>
          <w:color w:val="000000"/>
          <w:spacing w:val="0"/>
          <w:kern w:val="0"/>
          <w:sz w:val="26"/>
          <w:szCs w:val="26"/>
          <w:lang w:val="en-US" w:eastAsia="zh-CN" w:bidi="ar"/>
        </w:rPr>
        <w:t>个月以上，达到《国家食品国标总目录》相关</w:t>
      </w:r>
      <w:r>
        <w:rPr>
          <w:rFonts w:hint="default" w:ascii="仿宋_GB2312" w:hAnsi="仿宋_GB2312" w:eastAsia="仿宋_GB2312" w:cs="仿宋_GB2312"/>
          <w:b w:val="0"/>
          <w:bCs w:val="0"/>
          <w:i w:val="0"/>
          <w:iCs w:val="0"/>
          <w:caps w:val="0"/>
          <w:color w:val="auto"/>
          <w:spacing w:val="0"/>
          <w:kern w:val="0"/>
          <w:sz w:val="26"/>
          <w:szCs w:val="26"/>
          <w:highlight w:val="none"/>
          <w:lang w:val="en-US" w:eastAsia="zh-CN" w:bidi="ar"/>
        </w:rPr>
        <w:t>内容规定，未达到需方要求，可在</w:t>
      </w:r>
      <w:r>
        <w:rPr>
          <w:rFonts w:hint="eastAsia" w:ascii="仿宋_GB2312" w:hAnsi="仿宋_GB2312" w:eastAsia="仿宋_GB2312" w:cs="仿宋_GB2312"/>
          <w:b w:val="0"/>
          <w:bCs w:val="0"/>
          <w:i w:val="0"/>
          <w:iCs w:val="0"/>
          <w:caps w:val="0"/>
          <w:color w:val="auto"/>
          <w:spacing w:val="0"/>
          <w:kern w:val="0"/>
          <w:sz w:val="26"/>
          <w:szCs w:val="26"/>
          <w:highlight w:val="none"/>
          <w:lang w:val="en-US" w:eastAsia="zh-CN" w:bidi="ar"/>
        </w:rPr>
        <w:t>24</w:t>
      </w:r>
      <w:r>
        <w:rPr>
          <w:rFonts w:hint="default" w:ascii="仿宋_GB2312" w:hAnsi="仿宋_GB2312" w:eastAsia="仿宋_GB2312" w:cs="仿宋_GB2312"/>
          <w:b w:val="0"/>
          <w:bCs w:val="0"/>
          <w:i w:val="0"/>
          <w:iCs w:val="0"/>
          <w:caps w:val="0"/>
          <w:color w:val="auto"/>
          <w:spacing w:val="0"/>
          <w:kern w:val="0"/>
          <w:sz w:val="26"/>
          <w:szCs w:val="26"/>
          <w:highlight w:val="none"/>
          <w:lang w:val="en-US" w:eastAsia="zh-CN" w:bidi="ar"/>
        </w:rPr>
        <w:t>小时内无条件退货</w:t>
      </w:r>
      <w:r>
        <w:rPr>
          <w:rFonts w:hint="eastAsia" w:ascii="仿宋_GB2312" w:hAnsi="仿宋_GB2312" w:eastAsia="仿宋_GB2312" w:cs="仿宋_GB2312"/>
          <w:b w:val="0"/>
          <w:bCs w:val="0"/>
          <w:i w:val="0"/>
          <w:iCs w:val="0"/>
          <w:caps w:val="0"/>
          <w:color w:val="auto"/>
          <w:spacing w:val="0"/>
          <w:kern w:val="0"/>
          <w:sz w:val="26"/>
          <w:szCs w:val="26"/>
          <w:highlight w:val="none"/>
          <w:lang w:val="en-US" w:eastAsia="zh-CN" w:bidi="ar"/>
        </w:rPr>
        <w:t>；牛、羊、猪、鸡、鱼肉等当天宰杀新鲜、剔骨肉、不含油，不得冷冻的肉类，牛、羊、猪、鸡需具备《动物卫生防疫合格证》等相关资质齐全；冻货符合GB-31646-2018食品安全国家标准，具有检疫合格证或原产地证明，外包</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装不得有污染及损坏，出厂日期保证新鲜。</w:t>
      </w:r>
    </w:p>
    <w:p w14:paraId="134C63CC">
      <w:pPr>
        <w:pStyle w:val="2"/>
        <w:ind w:left="0" w:leftChars="0" w:firstLine="520" w:firstLineChars="200"/>
        <w:rPr>
          <w:rFonts w:hint="default" w:ascii="仿宋_GB2312" w:hAnsi="仿宋_GB2312" w:eastAsia="仿宋_GB2312" w:cs="仿宋_GB2312"/>
          <w:b w:val="0"/>
          <w:bCs w:val="0"/>
          <w:i w:val="0"/>
          <w:iCs w:val="0"/>
          <w:caps w:val="0"/>
          <w:color w:val="000000"/>
          <w:spacing w:val="0"/>
          <w:kern w:val="0"/>
          <w:sz w:val="26"/>
          <w:szCs w:val="26"/>
          <w:lang w:val="en-US" w:eastAsia="zh-CN" w:bidi="ar"/>
        </w:rPr>
      </w:pPr>
      <w:r>
        <w:rPr>
          <w:rFonts w:hint="default" w:ascii="仿宋_GB2312" w:hAnsi="仿宋_GB2312" w:eastAsia="仿宋_GB2312" w:cs="仿宋_GB2312"/>
          <w:b w:val="0"/>
          <w:bCs w:val="0"/>
          <w:i w:val="0"/>
          <w:iCs w:val="0"/>
          <w:caps w:val="0"/>
          <w:color w:val="000000"/>
          <w:spacing w:val="0"/>
          <w:kern w:val="0"/>
          <w:sz w:val="26"/>
          <w:szCs w:val="26"/>
          <w:lang w:val="en-US" w:eastAsia="zh-CN" w:bidi="ar"/>
        </w:rPr>
        <w:t>2、蔬菜、水果</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类</w:t>
      </w:r>
      <w:r>
        <w:rPr>
          <w:rFonts w:hint="default" w:ascii="仿宋_GB2312" w:hAnsi="仿宋_GB2312" w:eastAsia="仿宋_GB2312" w:cs="仿宋_GB2312"/>
          <w:b w:val="0"/>
          <w:bCs w:val="0"/>
          <w:i w:val="0"/>
          <w:iCs w:val="0"/>
          <w:caps w:val="0"/>
          <w:color w:val="000000"/>
          <w:spacing w:val="0"/>
          <w:kern w:val="0"/>
          <w:sz w:val="26"/>
          <w:szCs w:val="26"/>
          <w:lang w:val="en-US" w:eastAsia="zh-CN" w:bidi="ar"/>
        </w:rPr>
        <w:t>要求保证新鲜程度，能长期保存的</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w:t>
      </w:r>
      <w:r>
        <w:rPr>
          <w:rFonts w:hint="default" w:ascii="仿宋_GB2312" w:hAnsi="仿宋_GB2312" w:eastAsia="仿宋_GB2312" w:cs="仿宋_GB2312"/>
          <w:b w:val="0"/>
          <w:bCs w:val="0"/>
          <w:i w:val="0"/>
          <w:iCs w:val="0"/>
          <w:caps w:val="0"/>
          <w:color w:val="000000"/>
          <w:spacing w:val="0"/>
          <w:kern w:val="0"/>
          <w:sz w:val="26"/>
          <w:szCs w:val="26"/>
          <w:lang w:val="en-US" w:eastAsia="zh-CN" w:bidi="ar"/>
        </w:rPr>
        <w:t>蔬菜和水果要求成熟适度，新鲜脆嫩，外形色泽良好，无异味，无影响食用的病虫害、机械损伤，无残留农药。</w:t>
      </w:r>
    </w:p>
    <w:p w14:paraId="0BEB9518">
      <w:pPr>
        <w:pStyle w:val="2"/>
        <w:ind w:left="0" w:leftChars="0" w:firstLine="520" w:firstLineChars="200"/>
        <w:rPr>
          <w:rFonts w:hint="default" w:ascii="仿宋_GB2312" w:hAnsi="仿宋_GB2312" w:eastAsia="仿宋_GB2312" w:cs="仿宋_GB2312"/>
          <w:b w:val="0"/>
          <w:bCs w:val="0"/>
          <w:i w:val="0"/>
          <w:iCs w:val="0"/>
          <w:caps w:val="0"/>
          <w:color w:val="000000"/>
          <w:spacing w:val="0"/>
          <w:kern w:val="0"/>
          <w:sz w:val="26"/>
          <w:szCs w:val="26"/>
          <w:lang w:val="en-US" w:eastAsia="zh-CN" w:bidi="ar"/>
        </w:rPr>
      </w:pPr>
      <w:r>
        <w:rPr>
          <w:rFonts w:hint="default" w:ascii="仿宋_GB2312" w:hAnsi="仿宋_GB2312" w:eastAsia="仿宋_GB2312" w:cs="仿宋_GB2312"/>
          <w:b w:val="0"/>
          <w:bCs w:val="0"/>
          <w:i w:val="0"/>
          <w:iCs w:val="0"/>
          <w:caps w:val="0"/>
          <w:color w:val="000000"/>
          <w:spacing w:val="0"/>
          <w:kern w:val="0"/>
          <w:sz w:val="26"/>
          <w:szCs w:val="26"/>
          <w:lang w:val="en-US" w:eastAsia="zh-CN" w:bidi="ar"/>
        </w:rPr>
        <w:t>3、调味品、乳品类原材料卫生，须有包装，且包装密封性好，属于国家标注品牌产品，市场占有率排名靠前，在产品有效期内，符合国家相关标准；液态调味包装规范无滴漏现象，在保质期内</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w:t>
      </w:r>
      <w:r>
        <w:rPr>
          <w:rFonts w:hint="default" w:ascii="仿宋_GB2312" w:hAnsi="仿宋_GB2312" w:eastAsia="仿宋_GB2312" w:cs="仿宋_GB2312"/>
          <w:b w:val="0"/>
          <w:bCs w:val="0"/>
          <w:i w:val="0"/>
          <w:iCs w:val="0"/>
          <w:caps w:val="0"/>
          <w:color w:val="000000"/>
          <w:spacing w:val="0"/>
          <w:kern w:val="0"/>
          <w:sz w:val="26"/>
          <w:szCs w:val="26"/>
          <w:lang w:val="en-US" w:eastAsia="zh-CN" w:bidi="ar"/>
        </w:rPr>
        <w:t>不得有过期产品。</w:t>
      </w:r>
    </w:p>
    <w:p w14:paraId="1103E386">
      <w:pPr>
        <w:pStyle w:val="2"/>
        <w:ind w:left="0" w:leftChars="0" w:firstLine="520" w:firstLineChars="200"/>
        <w:rPr>
          <w:rFonts w:hint="default" w:ascii="仿宋_GB2312" w:hAnsi="仿宋_GB2312" w:eastAsia="仿宋_GB2312" w:cs="仿宋_GB2312"/>
          <w:b w:val="0"/>
          <w:bCs w:val="0"/>
          <w:i w:val="0"/>
          <w:iCs w:val="0"/>
          <w:caps w:val="0"/>
          <w:color w:val="000000"/>
          <w:spacing w:val="0"/>
          <w:kern w:val="0"/>
          <w:sz w:val="26"/>
          <w:szCs w:val="26"/>
          <w:lang w:val="en-US" w:eastAsia="zh-CN" w:bidi="ar"/>
        </w:rPr>
      </w:pPr>
      <w:r>
        <w:rPr>
          <w:rFonts w:hint="default" w:ascii="仿宋_GB2312" w:hAnsi="仿宋_GB2312" w:eastAsia="仿宋_GB2312" w:cs="仿宋_GB2312"/>
          <w:b w:val="0"/>
          <w:bCs w:val="0"/>
          <w:i w:val="0"/>
          <w:iCs w:val="0"/>
          <w:caps w:val="0"/>
          <w:color w:val="000000"/>
          <w:spacing w:val="0"/>
          <w:kern w:val="0"/>
          <w:sz w:val="26"/>
          <w:szCs w:val="26"/>
          <w:lang w:val="en-US" w:eastAsia="zh-CN" w:bidi="ar"/>
        </w:rPr>
        <w:t>供货商保证不得提供以下食品</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w:t>
      </w:r>
      <w:r>
        <w:rPr>
          <w:rFonts w:hint="default" w:ascii="仿宋_GB2312" w:hAnsi="仿宋_GB2312" w:eastAsia="仿宋_GB2312" w:cs="仿宋_GB2312"/>
          <w:b w:val="0"/>
          <w:bCs w:val="0"/>
          <w:i w:val="0"/>
          <w:iCs w:val="0"/>
          <w:caps w:val="0"/>
          <w:color w:val="000000"/>
          <w:spacing w:val="0"/>
          <w:kern w:val="0"/>
          <w:sz w:val="26"/>
          <w:szCs w:val="26"/>
          <w:lang w:val="en-US" w:eastAsia="zh-CN" w:bidi="ar"/>
        </w:rPr>
        <w:t>（1）无名称</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w:t>
      </w:r>
      <w:r>
        <w:rPr>
          <w:rFonts w:hint="default" w:ascii="仿宋_GB2312" w:hAnsi="仿宋_GB2312" w:eastAsia="仿宋_GB2312" w:cs="仿宋_GB2312"/>
          <w:b w:val="0"/>
          <w:bCs w:val="0"/>
          <w:i w:val="0"/>
          <w:iCs w:val="0"/>
          <w:caps w:val="0"/>
          <w:color w:val="000000"/>
          <w:spacing w:val="0"/>
          <w:kern w:val="0"/>
          <w:sz w:val="26"/>
          <w:szCs w:val="26"/>
          <w:lang w:val="en-US" w:eastAsia="zh-CN" w:bidi="ar"/>
        </w:rPr>
        <w:t>无产地</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w:t>
      </w:r>
      <w:r>
        <w:rPr>
          <w:rFonts w:hint="default" w:ascii="仿宋_GB2312" w:hAnsi="仿宋_GB2312" w:eastAsia="仿宋_GB2312" w:cs="仿宋_GB2312"/>
          <w:b w:val="0"/>
          <w:bCs w:val="0"/>
          <w:i w:val="0"/>
          <w:iCs w:val="0"/>
          <w:caps w:val="0"/>
          <w:color w:val="000000"/>
          <w:spacing w:val="0"/>
          <w:kern w:val="0"/>
          <w:sz w:val="26"/>
          <w:szCs w:val="26"/>
          <w:lang w:val="en-US" w:eastAsia="zh-CN" w:bidi="ar"/>
        </w:rPr>
        <w:t>无厂名</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w:t>
      </w:r>
      <w:r>
        <w:rPr>
          <w:rFonts w:hint="default" w:ascii="仿宋_GB2312" w:hAnsi="仿宋_GB2312" w:eastAsia="仿宋_GB2312" w:cs="仿宋_GB2312"/>
          <w:b w:val="0"/>
          <w:bCs w:val="0"/>
          <w:i w:val="0"/>
          <w:iCs w:val="0"/>
          <w:caps w:val="0"/>
          <w:color w:val="000000"/>
          <w:spacing w:val="0"/>
          <w:kern w:val="0"/>
          <w:sz w:val="26"/>
          <w:szCs w:val="26"/>
          <w:lang w:val="en-US" w:eastAsia="zh-CN" w:bidi="ar"/>
        </w:rPr>
        <w:t>无生产日期</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w:t>
      </w:r>
      <w:r>
        <w:rPr>
          <w:rFonts w:hint="default" w:ascii="仿宋_GB2312" w:hAnsi="仿宋_GB2312" w:eastAsia="仿宋_GB2312" w:cs="仿宋_GB2312"/>
          <w:b w:val="0"/>
          <w:bCs w:val="0"/>
          <w:i w:val="0"/>
          <w:iCs w:val="0"/>
          <w:caps w:val="0"/>
          <w:color w:val="000000"/>
          <w:spacing w:val="0"/>
          <w:kern w:val="0"/>
          <w:sz w:val="26"/>
          <w:szCs w:val="26"/>
          <w:lang w:val="en-US" w:eastAsia="zh-CN" w:bidi="ar"/>
        </w:rPr>
        <w:t>无保质期</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w:t>
      </w:r>
      <w:r>
        <w:rPr>
          <w:rFonts w:hint="default" w:ascii="仿宋_GB2312" w:hAnsi="仿宋_GB2312" w:eastAsia="仿宋_GB2312" w:cs="仿宋_GB2312"/>
          <w:b w:val="0"/>
          <w:bCs w:val="0"/>
          <w:i w:val="0"/>
          <w:iCs w:val="0"/>
          <w:caps w:val="0"/>
          <w:color w:val="000000"/>
          <w:spacing w:val="0"/>
          <w:kern w:val="0"/>
          <w:sz w:val="26"/>
          <w:szCs w:val="26"/>
          <w:lang w:val="en-US" w:eastAsia="zh-CN" w:bidi="ar"/>
        </w:rPr>
        <w:t>（2）超过保质期或者不符合食品标签规定的定型包装食品</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w:t>
      </w:r>
      <w:r>
        <w:rPr>
          <w:rFonts w:hint="default" w:ascii="仿宋_GB2312" w:hAnsi="仿宋_GB2312" w:eastAsia="仿宋_GB2312" w:cs="仿宋_GB2312"/>
          <w:b w:val="0"/>
          <w:bCs w:val="0"/>
          <w:i w:val="0"/>
          <w:iCs w:val="0"/>
          <w:caps w:val="0"/>
          <w:color w:val="000000"/>
          <w:spacing w:val="0"/>
          <w:kern w:val="0"/>
          <w:sz w:val="26"/>
          <w:szCs w:val="26"/>
          <w:lang w:val="en-US" w:eastAsia="zh-CN" w:bidi="ar"/>
        </w:rPr>
        <w:t>（3）腐败变质、油脂酸败、霉变、生虫、混有异物或者其他感染性状异常，含有毒</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w:t>
      </w:r>
      <w:r>
        <w:rPr>
          <w:rFonts w:hint="default" w:ascii="仿宋_GB2312" w:hAnsi="仿宋_GB2312" w:eastAsia="仿宋_GB2312" w:cs="仿宋_GB2312"/>
          <w:b w:val="0"/>
          <w:bCs w:val="0"/>
          <w:i w:val="0"/>
          <w:iCs w:val="0"/>
          <w:caps w:val="0"/>
          <w:color w:val="000000"/>
          <w:spacing w:val="0"/>
          <w:kern w:val="0"/>
          <w:sz w:val="26"/>
          <w:szCs w:val="26"/>
          <w:lang w:val="en-US" w:eastAsia="zh-CN" w:bidi="ar"/>
        </w:rPr>
        <w:t>有害物质污染</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w:t>
      </w:r>
      <w:r>
        <w:rPr>
          <w:rFonts w:hint="default" w:ascii="仿宋_GB2312" w:hAnsi="仿宋_GB2312" w:eastAsia="仿宋_GB2312" w:cs="仿宋_GB2312"/>
          <w:b w:val="0"/>
          <w:bCs w:val="0"/>
          <w:i w:val="0"/>
          <w:iCs w:val="0"/>
          <w:caps w:val="0"/>
          <w:color w:val="000000"/>
          <w:spacing w:val="0"/>
          <w:kern w:val="0"/>
          <w:sz w:val="26"/>
          <w:szCs w:val="26"/>
          <w:lang w:val="en-US" w:eastAsia="zh-CN" w:bidi="ar"/>
        </w:rPr>
        <w:t>可能对人体健康有害食品</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w:t>
      </w:r>
      <w:r>
        <w:rPr>
          <w:rFonts w:hint="default" w:ascii="仿宋_GB2312" w:hAnsi="仿宋_GB2312" w:eastAsia="仿宋_GB2312" w:cs="仿宋_GB2312"/>
          <w:b w:val="0"/>
          <w:bCs w:val="0"/>
          <w:i w:val="0"/>
          <w:iCs w:val="0"/>
          <w:caps w:val="0"/>
          <w:color w:val="000000"/>
          <w:spacing w:val="0"/>
          <w:kern w:val="0"/>
          <w:sz w:val="26"/>
          <w:szCs w:val="26"/>
          <w:lang w:val="en-US" w:eastAsia="zh-CN" w:bidi="ar"/>
        </w:rPr>
        <w:t>不合格调味品</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w:t>
      </w:r>
      <w:r>
        <w:rPr>
          <w:rFonts w:hint="default" w:ascii="仿宋_GB2312" w:hAnsi="仿宋_GB2312" w:eastAsia="仿宋_GB2312" w:cs="仿宋_GB2312"/>
          <w:b w:val="0"/>
          <w:bCs w:val="0"/>
          <w:i w:val="0"/>
          <w:iCs w:val="0"/>
          <w:caps w:val="0"/>
          <w:color w:val="000000"/>
          <w:spacing w:val="0"/>
          <w:kern w:val="0"/>
          <w:sz w:val="26"/>
          <w:szCs w:val="26"/>
          <w:lang w:val="en-US" w:eastAsia="zh-CN" w:bidi="ar"/>
        </w:rPr>
        <w:t>工业食盐</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w:t>
      </w:r>
      <w:r>
        <w:rPr>
          <w:rFonts w:hint="default" w:ascii="仿宋_GB2312" w:hAnsi="仿宋_GB2312" w:eastAsia="仿宋_GB2312" w:cs="仿宋_GB2312"/>
          <w:b w:val="0"/>
          <w:bCs w:val="0"/>
          <w:i w:val="0"/>
          <w:iCs w:val="0"/>
          <w:caps w:val="0"/>
          <w:color w:val="000000"/>
          <w:spacing w:val="0"/>
          <w:kern w:val="0"/>
          <w:sz w:val="26"/>
          <w:szCs w:val="26"/>
          <w:lang w:val="en-US" w:eastAsia="zh-CN" w:bidi="ar"/>
        </w:rPr>
        <w:t>非碘盐或非食品原料和滥用食品添加剂</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等。</w:t>
      </w:r>
    </w:p>
    <w:p w14:paraId="4B4C03CF">
      <w:pPr>
        <w:pStyle w:val="4"/>
        <w:numPr>
          <w:ilvl w:val="0"/>
          <w:numId w:val="11"/>
        </w:numPr>
        <w:spacing w:line="360" w:lineRule="auto"/>
        <w:rPr>
          <w:rFonts w:hint="eastAsia" w:ascii="仿宋_GB2312" w:hAnsi="仿宋_GB2312" w:eastAsia="仿宋_GB2312" w:cs="仿宋_GB2312"/>
          <w:b/>
          <w:bCs/>
          <w:i w:val="0"/>
          <w:iCs w:val="0"/>
          <w:caps w:val="0"/>
          <w:color w:val="000000"/>
          <w:spacing w:val="0"/>
          <w:kern w:val="0"/>
          <w:sz w:val="26"/>
          <w:szCs w:val="26"/>
          <w:highlight w:val="none"/>
          <w:lang w:val="en-US" w:eastAsia="zh-CN" w:bidi="ar"/>
        </w:rPr>
      </w:pPr>
      <w:r>
        <w:rPr>
          <w:rFonts w:hint="eastAsia" w:ascii="仿宋_GB2312" w:hAnsi="仿宋_GB2312" w:eastAsia="仿宋_GB2312" w:cs="仿宋_GB2312"/>
          <w:b/>
          <w:bCs/>
          <w:i w:val="0"/>
          <w:iCs w:val="0"/>
          <w:caps w:val="0"/>
          <w:color w:val="000000"/>
          <w:spacing w:val="0"/>
          <w:kern w:val="0"/>
          <w:sz w:val="26"/>
          <w:szCs w:val="26"/>
          <w:highlight w:val="none"/>
          <w:lang w:val="en-US" w:eastAsia="zh-CN" w:bidi="ar"/>
        </w:rPr>
        <w:t>服务要求</w:t>
      </w:r>
    </w:p>
    <w:p w14:paraId="72747C8E">
      <w:pPr>
        <w:pStyle w:val="4"/>
        <w:numPr>
          <w:ilvl w:val="0"/>
          <w:numId w:val="0"/>
        </w:numPr>
        <w:spacing w:line="360" w:lineRule="auto"/>
        <w:ind w:firstLine="560" w:firstLineChars="200"/>
        <w:rPr>
          <w:rFonts w:hint="eastAsia" w:ascii="仿宋_GB2312" w:hAnsi="仿宋_GB2312" w:eastAsia="仿宋_GB2312" w:cs="仿宋_GB2312"/>
          <w:i w:val="0"/>
          <w:iCs w:val="0"/>
          <w:caps w:val="0"/>
          <w:color w:val="000000"/>
          <w:spacing w:val="0"/>
          <w:kern w:val="0"/>
          <w:sz w:val="28"/>
          <w:szCs w:val="28"/>
          <w:highlight w:val="none"/>
          <w:lang w:val="en-US" w:eastAsia="zh-CN" w:bidi="ar"/>
        </w:rPr>
      </w:pPr>
      <w:r>
        <w:rPr>
          <w:rFonts w:hint="eastAsia" w:ascii="仿宋_GB2312" w:hAnsi="仿宋_GB2312" w:eastAsia="仿宋_GB2312" w:cs="仿宋_GB2312"/>
          <w:i w:val="0"/>
          <w:iCs w:val="0"/>
          <w:caps w:val="0"/>
          <w:color w:val="000000"/>
          <w:spacing w:val="0"/>
          <w:kern w:val="0"/>
          <w:sz w:val="28"/>
          <w:szCs w:val="28"/>
          <w:highlight w:val="none"/>
          <w:lang w:val="en-US" w:eastAsia="zh-CN" w:bidi="ar"/>
        </w:rPr>
        <w:t>针对本项目配备配送人员（所有参与人员均需要有健康体检证明），配备充足的配送车辆，配送车辆须定期检修、消毒、必须符合食品安全要求，确保按时送到指定地点。</w:t>
      </w:r>
    </w:p>
    <w:p w14:paraId="46E5EA06">
      <w:pPr>
        <w:pStyle w:val="4"/>
        <w:numPr>
          <w:ilvl w:val="0"/>
          <w:numId w:val="0"/>
        </w:numPr>
        <w:spacing w:line="360" w:lineRule="auto"/>
        <w:ind w:firstLine="560" w:firstLineChars="200"/>
        <w:rPr>
          <w:rFonts w:hint="default" w:ascii="仿宋_GB2312" w:hAnsi="仿宋_GB2312" w:eastAsia="仿宋_GB2312" w:cs="仿宋_GB2312"/>
          <w:i w:val="0"/>
          <w:iCs w:val="0"/>
          <w:caps w:val="0"/>
          <w:color w:val="000000"/>
          <w:spacing w:val="0"/>
          <w:kern w:val="0"/>
          <w:sz w:val="28"/>
          <w:szCs w:val="28"/>
          <w:highlight w:val="none"/>
          <w:lang w:val="en-US" w:eastAsia="zh-CN" w:bidi="ar"/>
        </w:rPr>
      </w:pPr>
      <w:r>
        <w:rPr>
          <w:rFonts w:hint="eastAsia" w:ascii="仿宋_GB2312" w:hAnsi="仿宋_GB2312" w:eastAsia="仿宋_GB2312" w:cs="仿宋_GB2312"/>
          <w:i w:val="0"/>
          <w:iCs w:val="0"/>
          <w:caps w:val="0"/>
          <w:color w:val="000000"/>
          <w:spacing w:val="0"/>
          <w:kern w:val="0"/>
          <w:sz w:val="28"/>
          <w:szCs w:val="28"/>
          <w:highlight w:val="none"/>
          <w:lang w:val="en-US" w:eastAsia="zh-CN" w:bidi="ar"/>
        </w:rPr>
        <w:t>配备24小时专人负责与采购人对接，有操作性强的应急配送预案，确保及时处理突发情况。在接到紧急订单后，确保在30分钟内完成配送，如遇特殊紧急突发情况，需在30分钟内完成退换补货，确保按时完成配送要求。</w:t>
      </w:r>
    </w:p>
    <w:p w14:paraId="678EBD81">
      <w:pPr>
        <w:pStyle w:val="4"/>
        <w:spacing w:line="360" w:lineRule="auto"/>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（十）验收要求</w:t>
      </w:r>
    </w:p>
    <w:p w14:paraId="1B6258E6">
      <w:pPr>
        <w:pStyle w:val="4"/>
        <w:spacing w:line="360" w:lineRule="auto"/>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货物质量保证按国家最新的食品验收标淮严格执行，货物必须符合国家食品安全标准的技术等级要求，在检测、验收的过程中，严格按有关规定验收。</w:t>
      </w:r>
    </w:p>
    <w:p w14:paraId="740E3C36">
      <w:pPr>
        <w:pStyle w:val="4"/>
        <w:spacing w:line="360" w:lineRule="auto"/>
        <w:rPr>
          <w:rFonts w:hint="eastAsia"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（十一）结算方式</w:t>
      </w:r>
    </w:p>
    <w:p w14:paraId="2D2A4EB1">
      <w:pPr>
        <w:pStyle w:val="5"/>
        <w:numPr>
          <w:ilvl w:val="0"/>
          <w:numId w:val="0"/>
        </w:numPr>
        <w:spacing w:line="360" w:lineRule="auto"/>
        <w:ind w:leftChars="100" w:firstLine="260" w:firstLineChars="1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结算方式为隔月结算，根据实际供货情况以及凭相关的支付材料隔月结算支根据实际供货情况以及凭相关的支付材料隔月结算支付货款付，制定肉食、蔬菜及调味品配送清单(两联单，</w:t>
      </w:r>
      <w:r>
        <w:rPr>
          <w:rFonts w:hint="eastAsia" w:ascii="仿宋_GB2312" w:hAnsi="仿宋_GB2312" w:eastAsia="仿宋_GB2312" w:cs="仿宋_GB2312"/>
          <w:b w:val="0"/>
          <w:bCs w:val="0"/>
          <w:i w:val="0"/>
          <w:iCs w:val="0"/>
          <w:caps w:val="0"/>
          <w:color w:val="000000"/>
          <w:spacing w:val="0"/>
          <w:kern w:val="0"/>
          <w:sz w:val="26"/>
          <w:szCs w:val="26"/>
          <w:highlight w:val="green"/>
          <w:lang w:val="en-US" w:eastAsia="zh-CN" w:bidi="ar"/>
        </w:rPr>
        <w:t>采购人、</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供应商各一份)，由</w:t>
      </w:r>
      <w:r>
        <w:rPr>
          <w:rFonts w:hint="eastAsia" w:ascii="仿宋_GB2312" w:hAnsi="仿宋_GB2312" w:eastAsia="仿宋_GB2312" w:cs="仿宋_GB2312"/>
          <w:b w:val="0"/>
          <w:bCs w:val="0"/>
          <w:i w:val="0"/>
          <w:iCs w:val="0"/>
          <w:caps w:val="0"/>
          <w:color w:val="000000"/>
          <w:spacing w:val="0"/>
          <w:kern w:val="0"/>
          <w:sz w:val="26"/>
          <w:szCs w:val="26"/>
          <w:highlight w:val="green"/>
          <w:lang w:val="en-US" w:eastAsia="zh-CN" w:bidi="ar"/>
        </w:rPr>
        <w:t>采购人</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食堂分管领导、食堂管理人员、供应商签字。</w:t>
      </w:r>
    </w:p>
    <w:p w14:paraId="05C47393">
      <w:pPr>
        <w:pStyle w:val="5"/>
        <w:numPr>
          <w:ilvl w:val="0"/>
          <w:numId w:val="0"/>
        </w:numPr>
        <w:spacing w:line="360" w:lineRule="auto"/>
        <w:ind w:leftChars="100" w:firstLine="261" w:firstLineChars="100"/>
        <w:rPr>
          <w:rFonts w:hint="default" w:ascii="仿宋_GB2312" w:hAnsi="仿宋_GB2312" w:eastAsia="仿宋_GB2312" w:cs="仿宋_GB2312"/>
          <w:b/>
          <w:bCs/>
          <w:i w:val="0"/>
          <w:iCs w:val="0"/>
          <w:caps w:val="0"/>
          <w:color w:val="000000"/>
          <w:spacing w:val="0"/>
          <w:kern w:val="0"/>
          <w:sz w:val="26"/>
          <w:szCs w:val="26"/>
          <w:lang w:val="en-US" w:eastAsia="zh-CN" w:bidi="ar"/>
        </w:rPr>
      </w:pPr>
      <w:r>
        <w:rPr>
          <w:rFonts w:hint="eastAsia" w:ascii="仿宋_GB2312" w:hAnsi="仿宋_GB2312" w:eastAsia="仿宋_GB2312" w:cs="仿宋_GB2312"/>
          <w:b/>
          <w:bCs/>
          <w:i w:val="0"/>
          <w:iCs w:val="0"/>
          <w:caps w:val="0"/>
          <w:color w:val="000000"/>
          <w:spacing w:val="0"/>
          <w:kern w:val="0"/>
          <w:sz w:val="26"/>
          <w:szCs w:val="26"/>
          <w:lang w:val="en-US" w:eastAsia="zh-CN" w:bidi="ar"/>
        </w:rPr>
        <w:t>（十二）其他要求</w:t>
      </w:r>
    </w:p>
    <w:p w14:paraId="0062B19D">
      <w:pPr>
        <w:pStyle w:val="4"/>
        <w:numPr>
          <w:ilvl w:val="0"/>
          <w:numId w:val="0"/>
        </w:numPr>
        <w:spacing w:line="360" w:lineRule="auto"/>
        <w:ind w:firstLine="780" w:firstLineChars="3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1、一季度内连续三次接到</w:t>
      </w:r>
      <w:r>
        <w:rPr>
          <w:rFonts w:hint="eastAsia" w:ascii="仿宋_GB2312" w:hAnsi="仿宋_GB2312" w:eastAsia="仿宋_GB2312" w:cs="仿宋_GB2312"/>
          <w:b w:val="0"/>
          <w:bCs w:val="0"/>
          <w:i w:val="0"/>
          <w:iCs w:val="0"/>
          <w:caps w:val="0"/>
          <w:color w:val="000000"/>
          <w:spacing w:val="0"/>
          <w:kern w:val="0"/>
          <w:sz w:val="26"/>
          <w:szCs w:val="26"/>
          <w:highlight w:val="green"/>
          <w:lang w:val="en-US" w:eastAsia="zh-CN" w:bidi="ar"/>
        </w:rPr>
        <w:t>采购人</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因伙食材料质量差、数量不足、不能及时供货及特殊时期不按合同履行私自变动价格的供应商，由</w:t>
      </w:r>
      <w:r>
        <w:rPr>
          <w:rFonts w:hint="eastAsia" w:ascii="仿宋_GB2312" w:hAnsi="仿宋_GB2312" w:eastAsia="仿宋_GB2312" w:cs="仿宋_GB2312"/>
          <w:b w:val="0"/>
          <w:bCs w:val="0"/>
          <w:i w:val="0"/>
          <w:iCs w:val="0"/>
          <w:caps w:val="0"/>
          <w:color w:val="000000"/>
          <w:spacing w:val="0"/>
          <w:kern w:val="0"/>
          <w:sz w:val="26"/>
          <w:szCs w:val="26"/>
          <w:highlight w:val="green"/>
          <w:lang w:val="en-US" w:eastAsia="zh-CN" w:bidi="ar"/>
        </w:rPr>
        <w:t>采购人</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组织相关监管进行调查，如情况属实，直接取消该供应商的供货资格；</w:t>
      </w:r>
    </w:p>
    <w:p w14:paraId="07C73783">
      <w:pPr>
        <w:pStyle w:val="4"/>
        <w:numPr>
          <w:ilvl w:val="0"/>
          <w:numId w:val="0"/>
        </w:numPr>
        <w:spacing w:line="360" w:lineRule="auto"/>
        <w:ind w:firstLine="780" w:firstLineChars="300"/>
        <w:rPr>
          <w:rFonts w:hint="default"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2、</w:t>
      </w:r>
      <w:r>
        <w:rPr>
          <w:rFonts w:hint="default" w:ascii="仿宋_GB2312" w:hAnsi="仿宋_GB2312" w:eastAsia="仿宋_GB2312" w:cs="仿宋_GB2312"/>
          <w:b w:val="0"/>
          <w:bCs w:val="0"/>
          <w:i w:val="0"/>
          <w:iCs w:val="0"/>
          <w:caps w:val="0"/>
          <w:color w:val="000000"/>
          <w:spacing w:val="0"/>
          <w:kern w:val="0"/>
          <w:sz w:val="26"/>
          <w:szCs w:val="26"/>
          <w:lang w:val="en-US" w:eastAsia="zh-CN" w:bidi="ar"/>
        </w:rPr>
        <w:t>食材质量违约处罚：如乙方提供的食材质量有问题</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、缺斤少两（正常损耗除外）等情况</w:t>
      </w:r>
      <w:r>
        <w:rPr>
          <w:rFonts w:hint="default" w:ascii="仿宋_GB2312" w:hAnsi="仿宋_GB2312" w:eastAsia="仿宋_GB2312" w:cs="仿宋_GB2312"/>
          <w:b w:val="0"/>
          <w:bCs w:val="0"/>
          <w:i w:val="0"/>
          <w:iCs w:val="0"/>
          <w:caps w:val="0"/>
          <w:color w:val="000000"/>
          <w:spacing w:val="0"/>
          <w:kern w:val="0"/>
          <w:sz w:val="26"/>
          <w:szCs w:val="26"/>
          <w:lang w:val="en-US" w:eastAsia="zh-CN" w:bidi="ar"/>
        </w:rPr>
        <w:t>，第一次警告，第二次处以当日配送食品</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2</w:t>
      </w:r>
      <w:r>
        <w:rPr>
          <w:rFonts w:hint="default" w:ascii="仿宋_GB2312" w:hAnsi="仿宋_GB2312" w:eastAsia="仿宋_GB2312" w:cs="仿宋_GB2312"/>
          <w:b w:val="0"/>
          <w:bCs w:val="0"/>
          <w:i w:val="0"/>
          <w:iCs w:val="0"/>
          <w:caps w:val="0"/>
          <w:color w:val="000000"/>
          <w:spacing w:val="0"/>
          <w:kern w:val="0"/>
          <w:sz w:val="26"/>
          <w:szCs w:val="26"/>
          <w:lang w:val="en-US" w:eastAsia="zh-CN" w:bidi="ar"/>
        </w:rPr>
        <w:t>倍的罚款，第三次发现相同问题，终止供货合同。</w:t>
      </w:r>
    </w:p>
    <w:p w14:paraId="20C6B193">
      <w:pPr>
        <w:pStyle w:val="4"/>
        <w:numPr>
          <w:ilvl w:val="0"/>
          <w:numId w:val="0"/>
        </w:numPr>
        <w:spacing w:line="360" w:lineRule="auto"/>
        <w:ind w:firstLine="780" w:firstLineChars="300"/>
        <w:rPr>
          <w:rFonts w:hint="default"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3、</w:t>
      </w:r>
      <w:r>
        <w:rPr>
          <w:rFonts w:hint="default" w:ascii="仿宋_GB2312" w:hAnsi="仿宋_GB2312" w:eastAsia="仿宋_GB2312" w:cs="仿宋_GB2312"/>
          <w:b w:val="0"/>
          <w:bCs w:val="0"/>
          <w:i w:val="0"/>
          <w:iCs w:val="0"/>
          <w:caps w:val="0"/>
          <w:color w:val="000000"/>
          <w:spacing w:val="0"/>
          <w:kern w:val="0"/>
          <w:sz w:val="26"/>
          <w:szCs w:val="26"/>
          <w:lang w:val="en-US" w:eastAsia="zh-CN" w:bidi="ar"/>
        </w:rPr>
        <w:t>如果因食用乙方提供的食材，造成食用者农药中毒等事故，由乙方负责后续所有治疗费、误工费、赔偿金等费用。</w:t>
      </w:r>
    </w:p>
    <w:p w14:paraId="7CBEF9EC">
      <w:pPr>
        <w:pStyle w:val="4"/>
        <w:numPr>
          <w:ilvl w:val="0"/>
          <w:numId w:val="0"/>
        </w:numPr>
        <w:spacing w:line="360" w:lineRule="auto"/>
        <w:ind w:firstLine="780" w:firstLineChars="3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4、</w:t>
      </w:r>
      <w:r>
        <w:rPr>
          <w:rFonts w:hint="default" w:ascii="仿宋_GB2312" w:hAnsi="仿宋_GB2312" w:eastAsia="仿宋_GB2312" w:cs="仿宋_GB2312"/>
          <w:b w:val="0"/>
          <w:bCs w:val="0"/>
          <w:i w:val="0"/>
          <w:iCs w:val="0"/>
          <w:caps w:val="0"/>
          <w:color w:val="000000"/>
          <w:spacing w:val="0"/>
          <w:kern w:val="0"/>
          <w:sz w:val="26"/>
          <w:szCs w:val="26"/>
          <w:lang w:val="en-US" w:eastAsia="zh-CN" w:bidi="ar"/>
        </w:rPr>
        <w:t>中标企业要保证食品配送的连续性</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w:t>
      </w:r>
      <w:r>
        <w:rPr>
          <w:rFonts w:hint="default" w:ascii="仿宋_GB2312" w:hAnsi="仿宋_GB2312" w:eastAsia="仿宋_GB2312" w:cs="仿宋_GB2312"/>
          <w:b w:val="0"/>
          <w:bCs w:val="0"/>
          <w:i w:val="0"/>
          <w:iCs w:val="0"/>
          <w:caps w:val="0"/>
          <w:color w:val="000000"/>
          <w:spacing w:val="0"/>
          <w:kern w:val="0"/>
          <w:sz w:val="26"/>
          <w:szCs w:val="26"/>
          <w:lang w:val="en-US" w:eastAsia="zh-CN" w:bidi="ar"/>
        </w:rPr>
        <w:t>不得中断《除特殊情况外）中标企业若违约，将采取相关处罚措施</w:t>
      </w:r>
      <w:r>
        <w:rPr>
          <w:rFonts w:hint="eastAsia" w:ascii="仿宋_GB2312" w:hAnsi="仿宋_GB2312" w:eastAsia="仿宋_GB2312" w:cs="仿宋_GB2312"/>
          <w:b w:val="0"/>
          <w:bCs w:val="0"/>
          <w:i w:val="0"/>
          <w:iCs w:val="0"/>
          <w:caps w:val="0"/>
          <w:color w:val="000000"/>
          <w:spacing w:val="0"/>
          <w:kern w:val="0"/>
          <w:sz w:val="26"/>
          <w:szCs w:val="26"/>
          <w:lang w:val="en-US" w:eastAsia="zh-CN" w:bidi="ar"/>
        </w:rPr>
        <w:t>。</w:t>
      </w:r>
    </w:p>
    <w:p w14:paraId="200B8E4F">
      <w:pPr>
        <w:pStyle w:val="4"/>
        <w:numPr>
          <w:ilvl w:val="0"/>
          <w:numId w:val="0"/>
        </w:numPr>
        <w:spacing w:line="360" w:lineRule="auto"/>
        <w:ind w:firstLine="780" w:firstLineChars="300"/>
        <w:rPr>
          <w:rFonts w:hint="eastAsia" w:ascii="仿宋_GB2312" w:hAnsi="仿宋_GB2312" w:eastAsia="仿宋_GB2312" w:cs="仿宋_GB2312"/>
          <w:b w:val="0"/>
          <w:bCs w:val="0"/>
          <w:i w:val="0"/>
          <w:iCs w:val="0"/>
          <w:caps w:val="0"/>
          <w:color w:val="000000"/>
          <w:spacing w:val="0"/>
          <w:kern w:val="0"/>
          <w:sz w:val="26"/>
          <w:szCs w:val="26"/>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5、乙方应遵守国家和地方有关的环境和食品卫生标淮，供应的食品、副食必须确保进货渠道正规，乙方必须按有关部门的要求及时向甲方提供各类进货原始票据，乙方应按甲方要求的规格与标准供应，无过期、临期商品、假冒伪劣食品，无以次充好现象；若出现质量问题，无条件包退、包换，一切责任由乙方承担。</w:t>
      </w:r>
    </w:p>
    <w:p w14:paraId="681B79EC">
      <w:pPr>
        <w:pStyle w:val="5"/>
        <w:spacing w:line="360" w:lineRule="auto"/>
        <w:ind w:left="0" w:leftChars="0" w:firstLine="0" w:firstLineChars="0"/>
        <w:rPr>
          <w:rFonts w:hint="eastAsia" w:ascii="仿宋_GB2312" w:hAnsi="仿宋_GB2312" w:eastAsia="仿宋_GB2312" w:cs="仿宋_GB2312"/>
          <w:b w:val="0"/>
          <w:bCs w:val="0"/>
          <w:i w:val="0"/>
          <w:iCs w:val="0"/>
          <w:caps w:val="0"/>
          <w:color w:val="000000"/>
          <w:spacing w:val="0"/>
          <w:kern w:val="0"/>
          <w:sz w:val="26"/>
          <w:szCs w:val="26"/>
          <w:highlight w:val="yellow"/>
          <w:lang w:val="en-US" w:eastAsia="zh-CN" w:bidi="ar"/>
        </w:rPr>
      </w:pPr>
      <w:r>
        <w:rPr>
          <w:rFonts w:hint="eastAsia" w:ascii="仿宋_GB2312" w:hAnsi="仿宋_GB2312" w:eastAsia="仿宋_GB2312" w:cs="仿宋_GB2312"/>
          <w:b w:val="0"/>
          <w:bCs w:val="0"/>
          <w:i w:val="0"/>
          <w:iCs w:val="0"/>
          <w:caps w:val="0"/>
          <w:color w:val="000000"/>
          <w:spacing w:val="0"/>
          <w:kern w:val="0"/>
          <w:sz w:val="26"/>
          <w:szCs w:val="26"/>
          <w:lang w:val="en-US" w:eastAsia="zh-CN" w:bidi="ar"/>
        </w:rPr>
        <w:t xml:space="preserve">   </w:t>
      </w:r>
      <w:r>
        <w:rPr>
          <w:rFonts w:hint="eastAsia" w:ascii="仿宋_GB2312" w:hAnsi="仿宋_GB2312" w:eastAsia="仿宋_GB2312" w:cs="仿宋_GB2312"/>
          <w:b w:val="0"/>
          <w:bCs w:val="0"/>
          <w:i w:val="0"/>
          <w:iCs w:val="0"/>
          <w:caps w:val="0"/>
          <w:color w:val="auto"/>
          <w:spacing w:val="0"/>
          <w:kern w:val="0"/>
          <w:sz w:val="26"/>
          <w:szCs w:val="26"/>
          <w:highlight w:val="none"/>
          <w:lang w:val="en-US" w:eastAsia="zh-CN" w:bidi="ar"/>
        </w:rPr>
        <w:t xml:space="preserve">  </w:t>
      </w:r>
      <w:bookmarkEnd w:id="237"/>
      <w:r>
        <w:rPr>
          <w:rFonts w:hint="eastAsia" w:ascii="仿宋_GB2312" w:hAnsi="仿宋_GB2312" w:eastAsia="仿宋_GB2312" w:cs="仿宋_GB2312"/>
          <w:b w:val="0"/>
          <w:bCs w:val="0"/>
          <w:i w:val="0"/>
          <w:iCs w:val="0"/>
          <w:caps w:val="0"/>
          <w:color w:val="auto"/>
          <w:spacing w:val="0"/>
          <w:kern w:val="0"/>
          <w:sz w:val="26"/>
          <w:szCs w:val="26"/>
          <w:highlight w:val="none"/>
          <w:lang w:val="en-US" w:eastAsia="zh-CN" w:bidi="ar"/>
        </w:rPr>
        <w:t xml:space="preserve"> 6、履约期限：供应商报下浮率为一年供货下浮，要求所报下浮率三年内有效。中标人须与招标人签订一年的年度合同。同时中标人须与采购人签订三年协议。根据中标人的供货情况，采购人将根据自身的相关制度对供应商供货开展年度评价，根据年度评价的结果，采购人将在一年的年度合同到期前通知中标人是否由其继续提供下一年度的供货，如由中标人继续供货，将按照三年协议的约定的下浮率以及需要的货物内容继续签订下一年度合同。</w:t>
      </w:r>
    </w:p>
    <w:p w14:paraId="127478BF">
      <w:pPr>
        <w:pStyle w:val="2"/>
        <w:rPr>
          <w:rFonts w:hint="eastAsia" w:ascii="仿宋_GB2312" w:hAnsi="仿宋_GB2312" w:eastAsia="仿宋_GB2312" w:cs="仿宋_GB2312"/>
          <w:b w:val="0"/>
          <w:bCs w:val="0"/>
          <w:i w:val="0"/>
          <w:iCs w:val="0"/>
          <w:caps w:val="0"/>
          <w:color w:val="000000"/>
          <w:spacing w:val="0"/>
          <w:kern w:val="0"/>
          <w:sz w:val="26"/>
          <w:szCs w:val="26"/>
          <w:lang w:val="en-US" w:eastAsia="zh-CN" w:bidi="ar"/>
        </w:rPr>
      </w:pPr>
    </w:p>
    <w:p w14:paraId="5CD86B85">
      <w:pPr>
        <w:pStyle w:val="4"/>
        <w:rPr>
          <w:rFonts w:hint="eastAsia" w:ascii="仿宋_GB2312" w:hAnsi="仿宋_GB2312" w:eastAsia="仿宋_GB2312" w:cs="仿宋_GB2312"/>
          <w:b w:val="0"/>
          <w:bCs w:val="0"/>
          <w:i w:val="0"/>
          <w:iCs w:val="0"/>
          <w:caps w:val="0"/>
          <w:color w:val="000000"/>
          <w:spacing w:val="0"/>
          <w:kern w:val="0"/>
          <w:sz w:val="26"/>
          <w:szCs w:val="26"/>
          <w:lang w:val="en-US" w:eastAsia="zh-CN" w:bidi="ar"/>
        </w:rPr>
      </w:pPr>
    </w:p>
    <w:p w14:paraId="381AB8FF">
      <w:pPr>
        <w:pStyle w:val="34"/>
        <w:pageBreakBefore w:val="0"/>
        <w:kinsoku/>
        <w:wordWrap/>
        <w:overflowPunct/>
        <w:topLinePunct w:val="0"/>
        <w:autoSpaceDE/>
        <w:autoSpaceDN/>
        <w:bidi w:val="0"/>
        <w:adjustRightInd/>
        <w:spacing w:line="396" w:lineRule="auto"/>
        <w:jc w:val="center"/>
        <w:textAlignment w:val="auto"/>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第五章  政府采购合同格式</w:t>
      </w:r>
    </w:p>
    <w:p w14:paraId="77F6F8FC">
      <w:pPr>
        <w:numPr>
          <w:ilvl w:val="0"/>
          <w:numId w:val="0"/>
        </w:numPr>
        <w:spacing w:line="240" w:lineRule="auto"/>
        <w:ind w:leftChars="0"/>
        <w:jc w:val="center"/>
        <w:outlineLvl w:val="0"/>
        <w:rPr>
          <w:rFonts w:hint="eastAsia" w:ascii="仿宋" w:hAnsi="仿宋" w:eastAsia="仿宋" w:cs="仿宋"/>
          <w:sz w:val="24"/>
          <w:szCs w:val="24"/>
        </w:rPr>
      </w:pPr>
    </w:p>
    <w:p w14:paraId="50FBB494">
      <w:pPr>
        <w:numPr>
          <w:ilvl w:val="0"/>
          <w:numId w:val="0"/>
        </w:numPr>
        <w:spacing w:line="240" w:lineRule="auto"/>
        <w:ind w:leftChars="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rPr>
        <w:t>请参照货物类政府采购合同参考范本订立采购合同。</w:t>
      </w:r>
      <w:r>
        <w:rPr>
          <w:rFonts w:hint="eastAsia" w:ascii="仿宋" w:hAnsi="仿宋" w:eastAsia="仿宋" w:cs="仿宋"/>
          <w:sz w:val="24"/>
          <w:szCs w:val="24"/>
          <w:lang w:val="en-US" w:eastAsia="zh-CN"/>
        </w:rPr>
        <w:t xml:space="preserve">                      </w:t>
      </w:r>
    </w:p>
    <w:p w14:paraId="2AF3E714">
      <w:pPr>
        <w:numPr>
          <w:ilvl w:val="0"/>
          <w:numId w:val="0"/>
        </w:numPr>
        <w:spacing w:line="240" w:lineRule="auto"/>
        <w:ind w:leftChars="0"/>
        <w:jc w:val="center"/>
        <w:outlineLvl w:val="0"/>
        <w:rPr>
          <w:rFonts w:hint="eastAsia" w:ascii="仿宋" w:hAnsi="仿宋" w:eastAsia="仿宋" w:cs="仿宋"/>
          <w:sz w:val="24"/>
          <w:szCs w:val="24"/>
        </w:rPr>
      </w:pPr>
    </w:p>
    <w:p w14:paraId="56013AE4">
      <w:pPr>
        <w:numPr>
          <w:ilvl w:val="0"/>
          <w:numId w:val="0"/>
        </w:numPr>
        <w:spacing w:line="240" w:lineRule="auto"/>
        <w:ind w:leftChars="0"/>
        <w:jc w:val="center"/>
        <w:outlineLvl w:val="0"/>
        <w:rPr>
          <w:rFonts w:hint="eastAsia" w:ascii="仿宋" w:hAnsi="仿宋" w:eastAsia="仿宋" w:cs="仿宋"/>
          <w:sz w:val="28"/>
          <w:szCs w:val="28"/>
        </w:rPr>
      </w:pPr>
    </w:p>
    <w:p w14:paraId="5A5A8C19">
      <w:pPr>
        <w:numPr>
          <w:ilvl w:val="0"/>
          <w:numId w:val="0"/>
        </w:numPr>
        <w:spacing w:line="240" w:lineRule="auto"/>
        <w:ind w:leftChars="0"/>
        <w:jc w:val="center"/>
        <w:outlineLvl w:val="0"/>
        <w:rPr>
          <w:rFonts w:hint="eastAsia" w:ascii="仿宋" w:hAnsi="仿宋" w:eastAsia="仿宋" w:cs="仿宋"/>
          <w:sz w:val="28"/>
          <w:szCs w:val="28"/>
        </w:rPr>
      </w:pPr>
    </w:p>
    <w:p w14:paraId="29E6630A">
      <w:pPr>
        <w:numPr>
          <w:ilvl w:val="0"/>
          <w:numId w:val="0"/>
        </w:numPr>
        <w:spacing w:line="240" w:lineRule="auto"/>
        <w:ind w:leftChars="0"/>
        <w:jc w:val="center"/>
        <w:outlineLvl w:val="0"/>
        <w:rPr>
          <w:rFonts w:hint="eastAsia" w:ascii="仿宋" w:hAnsi="仿宋" w:eastAsia="仿宋" w:cs="仿宋"/>
          <w:sz w:val="28"/>
          <w:szCs w:val="28"/>
        </w:rPr>
      </w:pPr>
      <w:r>
        <w:rPr>
          <w:rFonts w:hint="eastAsia" w:ascii="仿宋" w:hAnsi="仿宋" w:eastAsia="仿宋" w:cs="仿宋"/>
          <w:sz w:val="28"/>
          <w:szCs w:val="28"/>
        </w:rPr>
        <w:t>合同编号：</w:t>
      </w:r>
    </w:p>
    <w:p w14:paraId="4AA7B44E">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240" w:name="_Toc29279"/>
      <w:bookmarkStart w:id="241" w:name="_Toc18009"/>
    </w:p>
    <w:p w14:paraId="3783DF92">
      <w:pPr>
        <w:pStyle w:val="19"/>
        <w:rPr>
          <w:rFonts w:hint="eastAsia"/>
        </w:rPr>
      </w:pPr>
    </w:p>
    <w:p w14:paraId="6553FFD4">
      <w:pPr>
        <w:pStyle w:val="15"/>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sz w:val="24"/>
          <w:szCs w:val="24"/>
        </w:rPr>
      </w:pPr>
      <w:r>
        <w:rPr>
          <w:rFonts w:hint="eastAsia" w:ascii="仿宋" w:hAnsi="仿宋" w:eastAsia="仿宋" w:cs="仿宋"/>
          <w:b/>
          <w:bCs/>
          <w:sz w:val="28"/>
          <w:szCs w:val="28"/>
        </w:rPr>
        <w:t>政府采购合同参考范本</w:t>
      </w:r>
      <w:bookmarkEnd w:id="240"/>
      <w:bookmarkEnd w:id="241"/>
    </w:p>
    <w:p w14:paraId="2E756A7F">
      <w:pPr>
        <w:pStyle w:val="15"/>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
          <w:bCs/>
          <w:sz w:val="24"/>
          <w:szCs w:val="24"/>
        </w:rPr>
      </w:pPr>
      <w:bookmarkStart w:id="242" w:name="_Toc19688"/>
      <w:bookmarkStart w:id="243" w:name="_Toc21663"/>
    </w:p>
    <w:p w14:paraId="63DD2830">
      <w:pPr>
        <w:pStyle w:val="19"/>
        <w:rPr>
          <w:rFonts w:hint="eastAsia"/>
        </w:rPr>
      </w:pPr>
    </w:p>
    <w:p w14:paraId="67C84938">
      <w:pPr>
        <w:pStyle w:val="15"/>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第一部分 合同书</w:t>
      </w:r>
      <w:bookmarkEnd w:id="242"/>
      <w:bookmarkEnd w:id="243"/>
    </w:p>
    <w:p w14:paraId="48151DC7">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p>
    <w:p w14:paraId="21951995">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项目名称：                                   </w:t>
      </w:r>
    </w:p>
    <w:p w14:paraId="76630570">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p>
    <w:p w14:paraId="066B83A7">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p>
    <w:p w14:paraId="3E74989D">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p>
    <w:p w14:paraId="486319FE">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乙方：                                       </w:t>
      </w:r>
    </w:p>
    <w:p w14:paraId="58A71592">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p>
    <w:p w14:paraId="48AFF57C">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签订地：                                     </w:t>
      </w:r>
    </w:p>
    <w:p w14:paraId="18D4027F">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p>
    <w:p w14:paraId="28527E0C">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签订日期：               年       月       日</w:t>
      </w:r>
    </w:p>
    <w:p w14:paraId="1E2C693D">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sectPr>
          <w:pgSz w:w="11905" w:h="16838"/>
          <w:pgMar w:top="1440" w:right="1083" w:bottom="1440" w:left="1083" w:header="851" w:footer="850" w:gutter="0"/>
          <w:pgNumType w:fmt="decimal"/>
          <w:cols w:space="0" w:num="1"/>
          <w:rtlGutter w:val="0"/>
          <w:docGrid w:linePitch="462" w:charSpace="0"/>
        </w:sectPr>
      </w:pPr>
    </w:p>
    <w:p w14:paraId="5C7F6441">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244" w:name="_Toc24059"/>
      <w:bookmarkStart w:id="245" w:name="_Toc26721"/>
      <w:bookmarkStart w:id="246" w:name="_Toc3029"/>
      <w:bookmarkStart w:id="247" w:name="_Toc2659"/>
      <w:bookmarkStart w:id="248" w:name="_Toc2232"/>
      <w:bookmarkStart w:id="249" w:name="_Toc1846"/>
      <w:r>
        <w:rPr>
          <w:rFonts w:hint="eastAsia" w:ascii="仿宋" w:hAnsi="仿宋" w:eastAsia="仿宋" w:cs="仿宋"/>
          <w:sz w:val="24"/>
          <w:szCs w:val="24"/>
          <w:lang w:val="zh-CN"/>
        </w:rPr>
        <w:t xml:space="preserve"> </w:t>
      </w:r>
      <w:r>
        <w:rPr>
          <w:rFonts w:hint="eastAsia" w:ascii="仿宋" w:hAnsi="仿宋" w:eastAsia="仿宋" w:cs="仿宋"/>
          <w:sz w:val="24"/>
          <w:szCs w:val="24"/>
          <w:u w:val="none"/>
          <w:lang w:val="zh-CN"/>
        </w:rPr>
        <w:t xml:space="preserve">   </w:t>
      </w:r>
      <w:r>
        <w:rPr>
          <w:rFonts w:hint="eastAsia" w:ascii="仿宋" w:hAnsi="仿宋" w:eastAsia="仿宋" w:cs="仿宋"/>
          <w:sz w:val="24"/>
          <w:szCs w:val="24"/>
          <w:u w:val="single"/>
          <w:lang w:val="zh-CN"/>
        </w:rPr>
        <w:t xml:space="preserve">    </w:t>
      </w:r>
      <w:r>
        <w:rPr>
          <w:rFonts w:hint="eastAsia" w:ascii="仿宋" w:hAnsi="仿宋" w:eastAsia="仿宋" w:cs="仿宋"/>
          <w:sz w:val="24"/>
          <w:szCs w:val="24"/>
          <w:u w:val="none"/>
          <w:lang w:val="zh-CN"/>
        </w:rPr>
        <w:t>年</w:t>
      </w:r>
      <w:r>
        <w:rPr>
          <w:rFonts w:hint="eastAsia" w:ascii="仿宋" w:hAnsi="仿宋" w:eastAsia="仿宋" w:cs="仿宋"/>
          <w:sz w:val="24"/>
          <w:szCs w:val="24"/>
          <w:u w:val="single"/>
          <w:lang w:val="zh-CN"/>
        </w:rPr>
        <w:t xml:space="preserve">    </w:t>
      </w:r>
      <w:r>
        <w:rPr>
          <w:rFonts w:hint="eastAsia" w:ascii="仿宋" w:hAnsi="仿宋" w:eastAsia="仿宋" w:cs="仿宋"/>
          <w:sz w:val="24"/>
          <w:szCs w:val="24"/>
          <w:u w:val="none"/>
          <w:lang w:val="zh-CN"/>
        </w:rPr>
        <w:t>月</w:t>
      </w:r>
      <w:r>
        <w:rPr>
          <w:rFonts w:hint="eastAsia" w:ascii="仿宋" w:hAnsi="仿宋" w:eastAsia="仿宋" w:cs="仿宋"/>
          <w:sz w:val="24"/>
          <w:szCs w:val="24"/>
          <w:u w:val="single"/>
          <w:lang w:val="zh-CN"/>
        </w:rPr>
        <w:t xml:space="preserve">    </w:t>
      </w:r>
      <w:r>
        <w:rPr>
          <w:rFonts w:hint="eastAsia" w:ascii="仿宋" w:hAnsi="仿宋" w:eastAsia="仿宋" w:cs="仿宋"/>
          <w:sz w:val="24"/>
          <w:szCs w:val="24"/>
          <w:u w:val="none"/>
          <w:lang w:val="zh-CN"/>
        </w:rPr>
        <w:t>日，</w:t>
      </w:r>
      <w:r>
        <w:rPr>
          <w:rFonts w:hint="eastAsia" w:ascii="仿宋" w:hAnsi="仿宋" w:eastAsia="仿宋" w:cs="仿宋"/>
          <w:sz w:val="24"/>
          <w:szCs w:val="24"/>
          <w:u w:val="single"/>
        </w:rPr>
        <w:t xml:space="preserve">   （采购人名称）   </w:t>
      </w:r>
      <w:r>
        <w:rPr>
          <w:rFonts w:hint="eastAsia" w:ascii="仿宋" w:hAnsi="仿宋" w:eastAsia="仿宋" w:cs="仿宋"/>
          <w:sz w:val="24"/>
          <w:szCs w:val="24"/>
          <w:u w:val="none"/>
        </w:rPr>
        <w:t>以</w:t>
      </w:r>
      <w:r>
        <w:rPr>
          <w:rFonts w:hint="eastAsia" w:ascii="仿宋" w:hAnsi="仿宋" w:eastAsia="仿宋" w:cs="仿宋"/>
          <w:sz w:val="24"/>
          <w:szCs w:val="24"/>
          <w:u w:val="single"/>
        </w:rPr>
        <w:t xml:space="preserve">   （政府采购方式）  </w:t>
      </w:r>
      <w:r>
        <w:rPr>
          <w:rFonts w:hint="eastAsia" w:ascii="仿宋" w:hAnsi="仿宋" w:eastAsia="仿宋" w:cs="仿宋"/>
          <w:sz w:val="24"/>
          <w:szCs w:val="24"/>
          <w:u w:val="none"/>
        </w:rPr>
        <w:t>对</w:t>
      </w:r>
      <w:r>
        <w:rPr>
          <w:rFonts w:hint="eastAsia" w:ascii="仿宋" w:hAnsi="仿宋" w:eastAsia="仿宋" w:cs="仿宋"/>
          <w:sz w:val="24"/>
          <w:szCs w:val="24"/>
          <w:u w:val="single"/>
        </w:rPr>
        <w:t xml:space="preserve">   （同前页项目名称）   </w:t>
      </w:r>
      <w:r>
        <w:rPr>
          <w:rFonts w:hint="eastAsia" w:ascii="仿宋" w:hAnsi="仿宋" w:eastAsia="仿宋" w:cs="仿宋"/>
          <w:sz w:val="24"/>
          <w:szCs w:val="24"/>
          <w:u w:val="none"/>
        </w:rPr>
        <w:t>项目进行了采购。经</w:t>
      </w:r>
      <w:r>
        <w:rPr>
          <w:rFonts w:hint="eastAsia" w:ascii="仿宋" w:hAnsi="仿宋" w:eastAsia="仿宋" w:cs="仿宋"/>
          <w:sz w:val="24"/>
          <w:szCs w:val="24"/>
          <w:u w:val="single"/>
        </w:rPr>
        <w:t xml:space="preserve">   （相关评定主体名称）   </w:t>
      </w:r>
      <w:r>
        <w:rPr>
          <w:rFonts w:hint="eastAsia" w:ascii="仿宋" w:hAnsi="仿宋" w:eastAsia="仿宋" w:cs="仿宋"/>
          <w:sz w:val="24"/>
          <w:szCs w:val="24"/>
          <w:u w:val="none"/>
        </w:rPr>
        <w:t>评定</w:t>
      </w:r>
      <w:r>
        <w:rPr>
          <w:rFonts w:hint="eastAsia" w:ascii="仿宋" w:hAnsi="仿宋" w:eastAsia="仿宋" w:cs="仿宋"/>
          <w:sz w:val="24"/>
          <w:szCs w:val="24"/>
        </w:rPr>
        <w:t>，   （中标</w:t>
      </w:r>
      <w:r>
        <w:rPr>
          <w:rFonts w:hint="eastAsia" w:ascii="仿宋" w:hAnsi="仿宋" w:eastAsia="仿宋" w:cs="仿宋"/>
          <w:sz w:val="24"/>
          <w:szCs w:val="24"/>
          <w:lang w:eastAsia="zh-CN"/>
        </w:rPr>
        <w:t>投标人</w:t>
      </w:r>
      <w:r>
        <w:rPr>
          <w:rFonts w:hint="eastAsia" w:ascii="仿宋" w:hAnsi="仿宋" w:eastAsia="仿宋" w:cs="仿宋"/>
          <w:sz w:val="24"/>
          <w:szCs w:val="24"/>
        </w:rPr>
        <w:t>名称）为该项目中标</w:t>
      </w:r>
      <w:r>
        <w:rPr>
          <w:rFonts w:hint="eastAsia" w:ascii="仿宋" w:hAnsi="仿宋" w:eastAsia="仿宋" w:cs="仿宋"/>
          <w:sz w:val="24"/>
          <w:szCs w:val="24"/>
          <w:lang w:eastAsia="zh-CN"/>
        </w:rPr>
        <w:t>投标人</w:t>
      </w:r>
      <w:r>
        <w:rPr>
          <w:rFonts w:hint="eastAsia" w:ascii="仿宋" w:hAnsi="仿宋" w:eastAsia="仿宋" w:cs="仿宋"/>
          <w:sz w:val="24"/>
          <w:szCs w:val="24"/>
        </w:rPr>
        <w:t>。现于中标通知书发出之日起三十日内，按照采购文件确定的事项签订本合同。</w:t>
      </w:r>
    </w:p>
    <w:p w14:paraId="643F8253">
      <w:pPr>
        <w:pStyle w:val="15"/>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CN"/>
        </w:rPr>
        <w:t>根据《中华人民共和国合同法》、《中华人民共和国政府采购法》等相关法律法规之规定，按照平等、自愿、公平和诚实信用的原则，经</w:t>
      </w:r>
      <w:r>
        <w:rPr>
          <w:rFonts w:hint="eastAsia" w:ascii="仿宋" w:hAnsi="仿宋" w:eastAsia="仿宋" w:cs="仿宋"/>
          <w:sz w:val="24"/>
          <w:szCs w:val="24"/>
          <w:u w:val="single"/>
        </w:rPr>
        <w:t xml:space="preserve">   （采购人名称）   </w:t>
      </w:r>
      <w:r>
        <w:rPr>
          <w:rFonts w:hint="eastAsia" w:ascii="仿宋" w:hAnsi="仿宋" w:eastAsia="仿宋" w:cs="仿宋"/>
          <w:sz w:val="24"/>
          <w:szCs w:val="24"/>
          <w:lang w:val="zh-CN"/>
        </w:rPr>
        <w:t>(以下简称：甲方)和</w:t>
      </w:r>
      <w:r>
        <w:rPr>
          <w:rFonts w:hint="eastAsia" w:ascii="仿宋" w:hAnsi="仿宋" w:eastAsia="仿宋" w:cs="仿宋"/>
          <w:sz w:val="24"/>
          <w:szCs w:val="24"/>
          <w:u w:val="single"/>
        </w:rPr>
        <w:t xml:space="preserve">   （中标</w:t>
      </w:r>
      <w:r>
        <w:rPr>
          <w:rFonts w:hint="eastAsia" w:ascii="仿宋" w:hAnsi="仿宋" w:eastAsia="仿宋" w:cs="仿宋"/>
          <w:sz w:val="24"/>
          <w:szCs w:val="24"/>
          <w:u w:val="single"/>
          <w:lang w:eastAsia="zh-CN"/>
        </w:rPr>
        <w:t>投标人</w:t>
      </w:r>
      <w:r>
        <w:rPr>
          <w:rFonts w:hint="eastAsia" w:ascii="仿宋" w:hAnsi="仿宋" w:eastAsia="仿宋" w:cs="仿宋"/>
          <w:sz w:val="24"/>
          <w:szCs w:val="24"/>
          <w:u w:val="single"/>
        </w:rPr>
        <w:t xml:space="preserve">名称）   </w:t>
      </w:r>
      <w:r>
        <w:rPr>
          <w:rFonts w:hint="eastAsia" w:ascii="仿宋" w:hAnsi="仿宋" w:eastAsia="仿宋" w:cs="仿宋"/>
          <w:sz w:val="24"/>
          <w:szCs w:val="24"/>
          <w:lang w:val="zh-CN"/>
        </w:rPr>
        <w:t>(以下简称：乙方)协商一致，约定以下合同</w:t>
      </w:r>
      <w:r>
        <w:rPr>
          <w:rFonts w:hint="eastAsia" w:ascii="仿宋" w:hAnsi="仿宋" w:eastAsia="仿宋" w:cs="仿宋"/>
          <w:sz w:val="24"/>
          <w:szCs w:val="24"/>
        </w:rPr>
        <w:t>条款，以兹共同遵守、全面履行。</w:t>
      </w:r>
    </w:p>
    <w:bookmarkEnd w:id="244"/>
    <w:bookmarkEnd w:id="245"/>
    <w:bookmarkEnd w:id="246"/>
    <w:bookmarkEnd w:id="247"/>
    <w:bookmarkEnd w:id="248"/>
    <w:bookmarkEnd w:id="249"/>
    <w:p w14:paraId="18D27167">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250" w:name="_Toc24186"/>
      <w:bookmarkStart w:id="251" w:name="_Toc6038"/>
      <w:bookmarkStart w:id="252" w:name="_Toc30575"/>
      <w:bookmarkStart w:id="253" w:name="_Toc25202"/>
      <w:bookmarkStart w:id="254" w:name="_Toc18247"/>
      <w:bookmarkStart w:id="255" w:name="_Toc29481"/>
      <w:bookmarkStart w:id="256" w:name="_Toc21386"/>
      <w:bookmarkStart w:id="257" w:name="_Toc4498"/>
      <w:bookmarkStart w:id="258" w:name="_Toc10894"/>
      <w:bookmarkStart w:id="259" w:name="_Toc4751"/>
      <w:bookmarkStart w:id="260" w:name="_Toc12974"/>
      <w:bookmarkStart w:id="261" w:name="_Toc25352"/>
      <w:bookmarkStart w:id="262" w:name="_Toc14142"/>
      <w:r>
        <w:rPr>
          <w:rFonts w:hint="eastAsia" w:ascii="仿宋" w:hAnsi="仿宋" w:eastAsia="仿宋" w:cs="仿宋"/>
          <w:sz w:val="24"/>
          <w:szCs w:val="24"/>
        </w:rPr>
        <w:t>1.1 合同组成部分</w:t>
      </w:r>
      <w:bookmarkEnd w:id="250"/>
      <w:bookmarkEnd w:id="251"/>
      <w:bookmarkEnd w:id="252"/>
      <w:bookmarkEnd w:id="253"/>
      <w:bookmarkEnd w:id="254"/>
      <w:bookmarkEnd w:id="255"/>
      <w:bookmarkEnd w:id="256"/>
      <w:bookmarkEnd w:id="257"/>
      <w:bookmarkEnd w:id="258"/>
      <w:bookmarkEnd w:id="259"/>
      <w:bookmarkEnd w:id="260"/>
      <w:bookmarkEnd w:id="261"/>
      <w:bookmarkEnd w:id="262"/>
    </w:p>
    <w:p w14:paraId="1CE91A07">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362FBD9">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1.1.1 本合同及其补充合同、变更协议；</w:t>
      </w:r>
    </w:p>
    <w:p w14:paraId="27A78A07">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1.1.2 中标通知书；</w:t>
      </w:r>
    </w:p>
    <w:p w14:paraId="5A260978">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1.1.3 投标文件（含澄清或者说明文件）；</w:t>
      </w:r>
    </w:p>
    <w:p w14:paraId="34BCB907">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1.1.4 招标文件（含澄清或者修改文件）；</w:t>
      </w:r>
    </w:p>
    <w:p w14:paraId="62D6B4B0">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1.1.5 其他相关采购文件。</w:t>
      </w:r>
    </w:p>
    <w:p w14:paraId="626D8A40">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263" w:name="_Toc29371"/>
      <w:bookmarkStart w:id="264" w:name="_Toc25735"/>
      <w:bookmarkStart w:id="265" w:name="_Toc21295"/>
      <w:bookmarkStart w:id="266" w:name="_Toc15345"/>
      <w:bookmarkStart w:id="267" w:name="_Toc5906"/>
      <w:bookmarkStart w:id="268" w:name="_Toc14769"/>
      <w:bookmarkStart w:id="269" w:name="_Toc1446"/>
      <w:bookmarkStart w:id="270" w:name="_Toc9006"/>
      <w:bookmarkStart w:id="271" w:name="_Toc14235"/>
      <w:bookmarkStart w:id="272" w:name="_Toc27126"/>
      <w:bookmarkStart w:id="273" w:name="_Toc8631"/>
      <w:bookmarkStart w:id="274" w:name="_Toc411"/>
      <w:bookmarkStart w:id="275" w:name="_Toc21217"/>
      <w:bookmarkStart w:id="276" w:name="_Toc3883"/>
      <w:bookmarkStart w:id="277" w:name="_Toc24300"/>
      <w:bookmarkStart w:id="278" w:name="_Toc27318"/>
      <w:bookmarkStart w:id="279" w:name="_Toc25402"/>
      <w:bookmarkStart w:id="280" w:name="_Toc13138"/>
      <w:bookmarkStart w:id="281" w:name="_Toc7977"/>
      <w:bookmarkStart w:id="282" w:name="_Toc19432"/>
      <w:r>
        <w:rPr>
          <w:rFonts w:hint="eastAsia" w:ascii="仿宋" w:hAnsi="仿宋" w:eastAsia="仿宋" w:cs="仿宋"/>
          <w:sz w:val="24"/>
          <w:szCs w:val="24"/>
        </w:rPr>
        <w:t>1.2 货物</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53A04408">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1.2.1 货物名称：</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2424625C">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1.2.2 货物数量：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35AEB82F">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1.2.3 货物质量：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4F106BB">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283" w:name="_Toc23292"/>
      <w:bookmarkStart w:id="284" w:name="_Toc9364"/>
      <w:bookmarkStart w:id="285" w:name="_Toc10942"/>
      <w:bookmarkStart w:id="286" w:name="_Toc13322"/>
      <w:bookmarkStart w:id="287" w:name="_Toc8386"/>
      <w:bookmarkStart w:id="288" w:name="_Toc21631"/>
      <w:bookmarkStart w:id="289" w:name="_Toc6395"/>
      <w:bookmarkStart w:id="290" w:name="_Toc30755"/>
      <w:bookmarkStart w:id="291" w:name="_Toc21551"/>
      <w:bookmarkStart w:id="292" w:name="_Toc1267"/>
      <w:bookmarkStart w:id="293" w:name="_Toc21040"/>
      <w:bookmarkStart w:id="294" w:name="_Toc11045"/>
      <w:bookmarkStart w:id="295" w:name="_Toc13898"/>
      <w:bookmarkStart w:id="296" w:name="_Toc25368"/>
      <w:bookmarkStart w:id="297" w:name="_Toc12266"/>
      <w:bookmarkStart w:id="298" w:name="_Toc30667"/>
      <w:bookmarkStart w:id="299" w:name="_Toc633"/>
      <w:bookmarkStart w:id="300" w:name="_Toc11537"/>
      <w:bookmarkStart w:id="301" w:name="_Toc19682"/>
      <w:r>
        <w:rPr>
          <w:rFonts w:hint="eastAsia" w:ascii="仿宋" w:hAnsi="仿宋" w:eastAsia="仿宋" w:cs="仿宋"/>
          <w:sz w:val="24"/>
          <w:szCs w:val="24"/>
        </w:rPr>
        <w:t>1.3 价款</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041B22FD">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本合同总价为：￥</w:t>
      </w:r>
      <w:r>
        <w:rPr>
          <w:rFonts w:hint="eastAsia" w:ascii="仿宋" w:hAnsi="仿宋" w:eastAsia="仿宋" w:cs="仿宋"/>
          <w:sz w:val="24"/>
          <w:szCs w:val="24"/>
          <w:u w:val="single"/>
        </w:rPr>
        <w:t xml:space="preserve">           </w:t>
      </w:r>
      <w:r>
        <w:rPr>
          <w:rFonts w:hint="eastAsia" w:ascii="仿宋" w:hAnsi="仿宋" w:eastAsia="仿宋" w:cs="仿宋"/>
          <w:sz w:val="24"/>
          <w:szCs w:val="24"/>
        </w:rPr>
        <w:t>元（大写：</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w:t>
      </w:r>
    </w:p>
    <w:p w14:paraId="4AD58363">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分项价格：</w:t>
      </w:r>
    </w:p>
    <w:tbl>
      <w:tblPr>
        <w:tblStyle w:val="25"/>
        <w:tblW w:w="7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3738"/>
        <w:gridCol w:w="2803"/>
      </w:tblGrid>
      <w:tr w14:paraId="4E8C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37BFF8E3">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3738" w:type="dxa"/>
            <w:noWrap w:val="0"/>
            <w:vAlign w:val="center"/>
          </w:tcPr>
          <w:p w14:paraId="1BDBABFF">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分项名称</w:t>
            </w:r>
          </w:p>
        </w:tc>
        <w:tc>
          <w:tcPr>
            <w:tcW w:w="2803" w:type="dxa"/>
            <w:noWrap w:val="0"/>
            <w:vAlign w:val="center"/>
          </w:tcPr>
          <w:p w14:paraId="71D16267">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分项价格</w:t>
            </w:r>
          </w:p>
        </w:tc>
      </w:tr>
      <w:tr w14:paraId="0B48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319" w:type="dxa"/>
            <w:noWrap w:val="0"/>
            <w:vAlign w:val="center"/>
          </w:tcPr>
          <w:p w14:paraId="1CFDCA7A">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仿宋" w:hAnsi="仿宋" w:eastAsia="仿宋" w:cs="仿宋"/>
                <w:sz w:val="24"/>
                <w:szCs w:val="24"/>
              </w:rPr>
            </w:pPr>
          </w:p>
        </w:tc>
        <w:tc>
          <w:tcPr>
            <w:tcW w:w="3738" w:type="dxa"/>
            <w:noWrap w:val="0"/>
            <w:vAlign w:val="center"/>
          </w:tcPr>
          <w:p w14:paraId="445DCAE9">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仿宋" w:hAnsi="仿宋" w:eastAsia="仿宋" w:cs="仿宋"/>
                <w:sz w:val="24"/>
                <w:szCs w:val="24"/>
              </w:rPr>
            </w:pPr>
          </w:p>
        </w:tc>
        <w:tc>
          <w:tcPr>
            <w:tcW w:w="2803" w:type="dxa"/>
            <w:noWrap w:val="0"/>
            <w:vAlign w:val="center"/>
          </w:tcPr>
          <w:p w14:paraId="6A7D9DA4">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仿宋" w:hAnsi="仿宋" w:eastAsia="仿宋" w:cs="仿宋"/>
                <w:sz w:val="24"/>
                <w:szCs w:val="24"/>
              </w:rPr>
            </w:pPr>
          </w:p>
        </w:tc>
      </w:tr>
      <w:tr w14:paraId="52C2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57" w:type="dxa"/>
            <w:gridSpan w:val="2"/>
            <w:noWrap w:val="0"/>
            <w:vAlign w:val="center"/>
          </w:tcPr>
          <w:p w14:paraId="5D16CCEB">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总价</w:t>
            </w:r>
          </w:p>
        </w:tc>
        <w:tc>
          <w:tcPr>
            <w:tcW w:w="2803" w:type="dxa"/>
            <w:noWrap w:val="0"/>
            <w:vAlign w:val="center"/>
          </w:tcPr>
          <w:p w14:paraId="76175608">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仿宋" w:hAnsi="仿宋" w:eastAsia="仿宋" w:cs="仿宋"/>
                <w:sz w:val="24"/>
                <w:szCs w:val="24"/>
              </w:rPr>
            </w:pPr>
          </w:p>
        </w:tc>
      </w:tr>
    </w:tbl>
    <w:p w14:paraId="074D82B9">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302" w:name="_Toc21349"/>
      <w:bookmarkStart w:id="303" w:name="_Toc28790"/>
      <w:bookmarkStart w:id="304" w:name="_Toc24781"/>
      <w:bookmarkStart w:id="305" w:name="_Toc28773"/>
      <w:bookmarkStart w:id="306" w:name="_Toc30643"/>
      <w:bookmarkStart w:id="307" w:name="_Toc26470"/>
      <w:bookmarkStart w:id="308" w:name="_Toc10086"/>
      <w:bookmarkStart w:id="309" w:name="_Toc5736"/>
      <w:bookmarkStart w:id="310" w:name="_Toc27811"/>
      <w:bookmarkStart w:id="311" w:name="_Toc27817"/>
      <w:bookmarkStart w:id="312" w:name="_Toc27654"/>
      <w:bookmarkStart w:id="313" w:name="_Toc31610"/>
      <w:bookmarkStart w:id="314" w:name="_Toc16850"/>
      <w:bookmarkStart w:id="315" w:name="_Toc6407"/>
      <w:bookmarkStart w:id="316" w:name="_Toc1814"/>
      <w:bookmarkStart w:id="317" w:name="_Toc4585"/>
      <w:bookmarkStart w:id="318" w:name="_Toc7458"/>
      <w:bookmarkStart w:id="319" w:name="_Toc22618"/>
      <w:bookmarkStart w:id="320" w:name="_Toc10340"/>
      <w:r>
        <w:rPr>
          <w:rFonts w:hint="eastAsia" w:ascii="仿宋" w:hAnsi="仿宋" w:eastAsia="仿宋" w:cs="仿宋"/>
          <w:sz w:val="24"/>
          <w:szCs w:val="24"/>
        </w:rPr>
        <w:t>1.4 付款方式和发票开具方式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506587AB">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1.4.1 付款方式：</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087ADDB8">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1.4.2 发票开具方式：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20F83F2B">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321" w:name="_Toc30563"/>
      <w:bookmarkStart w:id="322" w:name="_Toc2846"/>
      <w:bookmarkStart w:id="323" w:name="_Toc11920"/>
      <w:bookmarkStart w:id="324" w:name="_Toc12017"/>
      <w:bookmarkStart w:id="325" w:name="_Toc17448"/>
      <w:bookmarkStart w:id="326" w:name="_Toc9478"/>
      <w:bookmarkStart w:id="327" w:name="_Toc18454"/>
      <w:bookmarkStart w:id="328" w:name="_Toc16823"/>
      <w:bookmarkStart w:id="329" w:name="_Toc30447"/>
      <w:bookmarkStart w:id="330" w:name="_Toc32071"/>
      <w:bookmarkStart w:id="331" w:name="_Toc22861"/>
      <w:bookmarkStart w:id="332" w:name="_Toc14447"/>
      <w:bookmarkStart w:id="333" w:name="_Toc19304"/>
      <w:bookmarkStart w:id="334" w:name="_Toc2083"/>
      <w:bookmarkStart w:id="335" w:name="_Toc4501"/>
      <w:bookmarkStart w:id="336" w:name="_Toc25278"/>
      <w:bookmarkStart w:id="337" w:name="_Toc17179"/>
      <w:bookmarkStart w:id="338" w:name="_Toc23862"/>
      <w:bookmarkStart w:id="339" w:name="_Toc2852"/>
      <w:bookmarkStart w:id="340" w:name="_Toc10276"/>
      <w:r>
        <w:rPr>
          <w:rFonts w:hint="eastAsia" w:ascii="仿宋" w:hAnsi="仿宋" w:eastAsia="仿宋" w:cs="仿宋"/>
          <w:sz w:val="24"/>
          <w:szCs w:val="24"/>
        </w:rPr>
        <w:t>1.5 货物交付期限、地点和方式</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5C208FF0">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1.5.1 交付期限：</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771BDB45">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1.5.2 交付地点：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0F320638">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1.5.3 交付方式：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565BEC73">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341" w:name="_Toc21423"/>
      <w:bookmarkStart w:id="342" w:name="_Toc12753"/>
      <w:bookmarkStart w:id="343" w:name="_Toc26850"/>
      <w:bookmarkStart w:id="344" w:name="_Toc26792"/>
      <w:bookmarkStart w:id="345" w:name="_Toc8754"/>
      <w:bookmarkStart w:id="346" w:name="_Toc12629"/>
      <w:bookmarkStart w:id="347" w:name="_Toc2529"/>
      <w:bookmarkStart w:id="348" w:name="_Toc12988"/>
      <w:bookmarkStart w:id="349" w:name="_Toc13569"/>
      <w:bookmarkStart w:id="350" w:name="_Toc19554"/>
      <w:bookmarkStart w:id="351" w:name="_Toc4190"/>
      <w:bookmarkStart w:id="352" w:name="_Toc6841"/>
      <w:bookmarkStart w:id="353" w:name="_Toc27250"/>
      <w:bookmarkStart w:id="354" w:name="_Toc7847"/>
      <w:bookmarkStart w:id="355" w:name="_Toc11237"/>
      <w:bookmarkStart w:id="356" w:name="_Toc13854"/>
      <w:bookmarkStart w:id="357" w:name="_Toc15865"/>
      <w:bookmarkStart w:id="358" w:name="_Toc1835"/>
      <w:bookmarkStart w:id="359" w:name="_Toc26484"/>
      <w:bookmarkStart w:id="360" w:name="_Toc21406"/>
      <w:r>
        <w:rPr>
          <w:rFonts w:hint="eastAsia" w:ascii="仿宋" w:hAnsi="仿宋" w:eastAsia="仿宋" w:cs="仿宋"/>
          <w:sz w:val="24"/>
          <w:szCs w:val="24"/>
        </w:rPr>
        <w:t>1.6 违约责任</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3D474F86">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szCs w:val="24"/>
          <w:u w:val="single"/>
        </w:rPr>
        <w:t xml:space="preserve">    </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rPr>
        <w:t xml:space="preserve">     </w:t>
      </w:r>
      <w:r>
        <w:rPr>
          <w:rFonts w:hint="eastAsia" w:ascii="仿宋" w:hAnsi="仿宋" w:eastAsia="仿宋" w:cs="仿宋"/>
          <w:sz w:val="24"/>
          <w:szCs w:val="24"/>
        </w:rPr>
        <w:t>%；迟延交付货物的违约金计算数额达到前述最高限额之日起，甲方有权在要求乙方支付违约金的同时，书面通知乙方解除本合同；</w:t>
      </w:r>
    </w:p>
    <w:p w14:paraId="09621B59">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szCs w:val="24"/>
          <w:u w:val="single"/>
        </w:rPr>
        <w:t xml:space="preserve">    </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rPr>
        <w:t xml:space="preserve">     </w:t>
      </w:r>
      <w:r>
        <w:rPr>
          <w:rFonts w:hint="eastAsia" w:ascii="仿宋" w:hAnsi="仿宋" w:eastAsia="仿宋" w:cs="仿宋"/>
          <w:sz w:val="24"/>
          <w:szCs w:val="24"/>
        </w:rPr>
        <w:t>%；迟延付款的违约金计算数额达到前述最高限额之日起，乙方有权在要求甲方支付违约金的同时，书面通知甲方解除本合同；</w:t>
      </w:r>
    </w:p>
    <w:p w14:paraId="1636BCBD">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DBFFFB8">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765A236">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2D80D6B">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14:paraId="75C37D3B">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361" w:name="_Toc20610"/>
      <w:bookmarkStart w:id="362" w:name="_Toc19011"/>
      <w:bookmarkStart w:id="363" w:name="_Toc28375"/>
      <w:bookmarkStart w:id="364" w:name="_Toc5482"/>
      <w:bookmarkStart w:id="365" w:name="_Toc15583"/>
      <w:bookmarkStart w:id="366" w:name="_Toc16021"/>
      <w:bookmarkStart w:id="367" w:name="_Toc27762"/>
      <w:bookmarkStart w:id="368" w:name="_Toc27927"/>
      <w:bookmarkStart w:id="369" w:name="_Toc495"/>
      <w:bookmarkStart w:id="370" w:name="_Toc17792"/>
      <w:bookmarkStart w:id="371" w:name="_Toc9202"/>
      <w:bookmarkStart w:id="372" w:name="_Toc10362"/>
      <w:bookmarkStart w:id="373" w:name="_Toc25915"/>
      <w:bookmarkStart w:id="374" w:name="_Toc29338"/>
      <w:bookmarkStart w:id="375" w:name="_Toc16341"/>
      <w:bookmarkStart w:id="376" w:name="_Toc8914"/>
      <w:bookmarkStart w:id="377" w:name="_Toc6344"/>
      <w:bookmarkStart w:id="378" w:name="_Toc2474"/>
      <w:bookmarkStart w:id="379" w:name="_Toc3403"/>
      <w:bookmarkStart w:id="380" w:name="_Toc7216"/>
      <w:r>
        <w:rPr>
          <w:rFonts w:hint="eastAsia" w:ascii="仿宋" w:hAnsi="仿宋" w:eastAsia="仿宋" w:cs="仿宋"/>
          <w:sz w:val="24"/>
          <w:szCs w:val="24"/>
        </w:rPr>
        <w:t>1.7 合同争议的解决</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1545863F">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本合同履行过程中发生的任何争议，双方当事人均可通过和解或者调解解决；不愿和解、调解或者和解、调解不成的，可以选择下列第    种方式解决：</w:t>
      </w:r>
    </w:p>
    <w:p w14:paraId="486E85C9">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1.7.1 将争议提交</w:t>
      </w:r>
      <w:r>
        <w:rPr>
          <w:rFonts w:hint="eastAsia" w:ascii="仿宋" w:hAnsi="仿宋" w:eastAsia="仿宋" w:cs="仿宋"/>
          <w:sz w:val="24"/>
          <w:szCs w:val="24"/>
          <w:u w:val="single"/>
        </w:rPr>
        <w:t xml:space="preserve">              </w:t>
      </w:r>
      <w:r>
        <w:rPr>
          <w:rFonts w:hint="eastAsia" w:ascii="仿宋" w:hAnsi="仿宋" w:eastAsia="仿宋" w:cs="仿宋"/>
          <w:sz w:val="24"/>
          <w:szCs w:val="24"/>
        </w:rPr>
        <w:t>仲裁委员会依申请仲裁时其现行有效的仲裁规则裁决；</w:t>
      </w:r>
    </w:p>
    <w:p w14:paraId="1F54A481">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1.7.2 向</w:t>
      </w:r>
      <w:r>
        <w:rPr>
          <w:rFonts w:hint="eastAsia" w:ascii="仿宋" w:hAnsi="仿宋" w:eastAsia="仿宋" w:cs="仿宋"/>
          <w:sz w:val="24"/>
          <w:szCs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szCs w:val="24"/>
        </w:rPr>
        <w:t>人民法院起诉。</w:t>
      </w:r>
    </w:p>
    <w:p w14:paraId="279D78F4">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381" w:name="_Toc17113"/>
      <w:bookmarkStart w:id="382" w:name="_Toc518"/>
      <w:bookmarkStart w:id="383" w:name="_Toc30260"/>
      <w:bookmarkStart w:id="384" w:name="_Toc11173"/>
      <w:bookmarkStart w:id="385" w:name="_Toc4516"/>
      <w:bookmarkStart w:id="386" w:name="_Toc2901"/>
      <w:bookmarkStart w:id="387" w:name="_Toc12903"/>
      <w:bookmarkStart w:id="388" w:name="_Toc1647"/>
      <w:bookmarkStart w:id="389" w:name="_Toc31952"/>
      <w:bookmarkStart w:id="390" w:name="_Toc6411"/>
      <w:bookmarkStart w:id="391" w:name="_Toc16410"/>
      <w:bookmarkStart w:id="392" w:name="_Toc10255"/>
      <w:bookmarkStart w:id="393" w:name="_Toc9329"/>
      <w:bookmarkStart w:id="394" w:name="_Toc7245"/>
      <w:bookmarkStart w:id="395" w:name="_Toc28642"/>
      <w:bookmarkStart w:id="396" w:name="_Toc15322"/>
      <w:bookmarkStart w:id="397" w:name="_Toc10429"/>
      <w:bookmarkStart w:id="398" w:name="_Toc2894"/>
      <w:r>
        <w:rPr>
          <w:rFonts w:hint="eastAsia" w:ascii="仿宋" w:hAnsi="仿宋" w:eastAsia="仿宋" w:cs="仿宋"/>
          <w:sz w:val="24"/>
          <w:szCs w:val="24"/>
        </w:rPr>
        <w:t>1.8 合同生效</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0A232A2B">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本合同自双方当事人盖章或者签字时生效。</w:t>
      </w:r>
    </w:p>
    <w:p w14:paraId="7D4A080F">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lang w:val="zh-CN"/>
        </w:rPr>
      </w:pPr>
    </w:p>
    <w:p w14:paraId="2826F14A">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甲方：                                   乙方：</w:t>
      </w:r>
    </w:p>
    <w:p w14:paraId="7C48BBD6">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统一社会信用代码：                        统一社会信用代码或身份证号码：</w:t>
      </w:r>
    </w:p>
    <w:p w14:paraId="122466D1">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住所：                                   住所：</w:t>
      </w:r>
    </w:p>
    <w:p w14:paraId="0D2FB072">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 xml:space="preserve">法定代表人或授权代表（签字）：              法定代表人或授权代表（签字）:                        </w:t>
      </w:r>
    </w:p>
    <w:p w14:paraId="29774B46">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邮政编码：                               邮政编码：</w:t>
      </w:r>
    </w:p>
    <w:p w14:paraId="277FD4DD">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 xml:space="preserve">电话:                                    电话:                           </w:t>
      </w:r>
    </w:p>
    <w:p w14:paraId="542695C6">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lang w:val="zh-CN"/>
        </w:rPr>
        <w:t>电子邮箱：                               电子邮箱：</w:t>
      </w:r>
    </w:p>
    <w:p w14:paraId="490A178C">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开户银行：                               开户银行： </w:t>
      </w:r>
    </w:p>
    <w:p w14:paraId="39884A7A">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开户名称：                               开户名称： </w:t>
      </w:r>
    </w:p>
    <w:p w14:paraId="1B888F1C">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开户账号：</w:t>
      </w:r>
      <w:r>
        <w:rPr>
          <w:rFonts w:hint="eastAsia" w:ascii="仿宋" w:hAnsi="仿宋" w:eastAsia="仿宋" w:cs="仿宋"/>
          <w:sz w:val="24"/>
          <w:szCs w:val="24"/>
          <w:lang w:val="zh-CN"/>
        </w:rPr>
        <w:t xml:space="preserve">                               </w:t>
      </w:r>
      <w:r>
        <w:rPr>
          <w:rFonts w:hint="eastAsia" w:ascii="仿宋" w:hAnsi="仿宋" w:eastAsia="仿宋" w:cs="仿宋"/>
          <w:sz w:val="24"/>
          <w:szCs w:val="24"/>
        </w:rPr>
        <w:t>开户账号：</w:t>
      </w:r>
      <w:bookmarkStart w:id="399" w:name="_Toc331685783"/>
    </w:p>
    <w:p w14:paraId="1B024FCC">
      <w:pPr>
        <w:pStyle w:val="19"/>
        <w:widowControl w:val="0"/>
        <w:numPr>
          <w:ilvl w:val="0"/>
          <w:numId w:val="0"/>
        </w:numPr>
        <w:jc w:val="both"/>
        <w:rPr>
          <w:rFonts w:hint="eastAsia" w:ascii="仿宋" w:hAnsi="仿宋" w:eastAsia="仿宋" w:cs="仿宋"/>
          <w:sz w:val="24"/>
          <w:szCs w:val="24"/>
        </w:rPr>
      </w:pPr>
    </w:p>
    <w:p w14:paraId="04162B9D">
      <w:pPr>
        <w:pStyle w:val="19"/>
        <w:widowControl w:val="0"/>
        <w:numPr>
          <w:ilvl w:val="0"/>
          <w:numId w:val="0"/>
        </w:numPr>
        <w:jc w:val="both"/>
        <w:rPr>
          <w:rFonts w:hint="eastAsia" w:ascii="仿宋" w:hAnsi="仿宋" w:eastAsia="仿宋" w:cs="仿宋"/>
          <w:sz w:val="24"/>
          <w:szCs w:val="24"/>
        </w:rPr>
      </w:pPr>
    </w:p>
    <w:p w14:paraId="3C13CBAF">
      <w:pPr>
        <w:pStyle w:val="19"/>
        <w:widowControl w:val="0"/>
        <w:numPr>
          <w:ilvl w:val="0"/>
          <w:numId w:val="0"/>
        </w:numPr>
        <w:jc w:val="both"/>
        <w:rPr>
          <w:rFonts w:hint="eastAsia" w:ascii="仿宋" w:hAnsi="仿宋" w:eastAsia="仿宋" w:cs="仿宋"/>
          <w:sz w:val="24"/>
          <w:szCs w:val="24"/>
        </w:rPr>
      </w:pPr>
    </w:p>
    <w:p w14:paraId="3EA63DBB">
      <w:pPr>
        <w:pStyle w:val="19"/>
        <w:widowControl w:val="0"/>
        <w:numPr>
          <w:ilvl w:val="0"/>
          <w:numId w:val="0"/>
        </w:numPr>
        <w:jc w:val="both"/>
        <w:rPr>
          <w:rFonts w:hint="eastAsia" w:ascii="仿宋" w:hAnsi="仿宋" w:eastAsia="仿宋" w:cs="仿宋"/>
          <w:sz w:val="24"/>
          <w:szCs w:val="24"/>
        </w:rPr>
      </w:pPr>
    </w:p>
    <w:p w14:paraId="63A4B49E">
      <w:pPr>
        <w:pStyle w:val="19"/>
        <w:widowControl w:val="0"/>
        <w:numPr>
          <w:ilvl w:val="0"/>
          <w:numId w:val="0"/>
        </w:numPr>
        <w:jc w:val="both"/>
        <w:rPr>
          <w:rFonts w:hint="eastAsia" w:ascii="仿宋" w:hAnsi="仿宋" w:eastAsia="仿宋" w:cs="仿宋"/>
          <w:sz w:val="24"/>
          <w:szCs w:val="24"/>
        </w:rPr>
      </w:pPr>
    </w:p>
    <w:p w14:paraId="3B1EF2B3">
      <w:pPr>
        <w:pStyle w:val="19"/>
        <w:widowControl w:val="0"/>
        <w:numPr>
          <w:ilvl w:val="0"/>
          <w:numId w:val="0"/>
        </w:numPr>
        <w:jc w:val="both"/>
        <w:rPr>
          <w:rFonts w:hint="eastAsia" w:ascii="仿宋" w:hAnsi="仿宋" w:eastAsia="仿宋" w:cs="仿宋"/>
          <w:sz w:val="24"/>
          <w:szCs w:val="24"/>
        </w:rPr>
      </w:pPr>
    </w:p>
    <w:p w14:paraId="11516E45">
      <w:pPr>
        <w:pStyle w:val="15"/>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第二部分 合同一般条款</w:t>
      </w:r>
      <w:bookmarkEnd w:id="399"/>
    </w:p>
    <w:p w14:paraId="3BF46795">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400" w:name="_Toc487900349"/>
      <w:bookmarkStart w:id="401" w:name="_Toc28763"/>
      <w:bookmarkStart w:id="402" w:name="_Toc2034"/>
      <w:bookmarkStart w:id="403" w:name="_Ref467379205"/>
      <w:bookmarkStart w:id="404" w:name="_Ref467378463"/>
      <w:bookmarkStart w:id="405" w:name="_Toc510"/>
      <w:bookmarkStart w:id="406" w:name="_Toc279701240"/>
      <w:bookmarkStart w:id="407" w:name="_Ref467379109"/>
      <w:bookmarkStart w:id="408" w:name="_Ref467378404"/>
      <w:bookmarkStart w:id="409" w:name="_Toc17886"/>
      <w:bookmarkStart w:id="410" w:name="_Toc26415"/>
      <w:bookmarkStart w:id="411" w:name="_Toc32624"/>
      <w:bookmarkStart w:id="412" w:name="_Ref467378499"/>
      <w:bookmarkStart w:id="413" w:name="_Toc5579"/>
      <w:bookmarkStart w:id="414" w:name="_Toc17718"/>
      <w:bookmarkStart w:id="415" w:name="_Toc25554"/>
      <w:bookmarkStart w:id="416" w:name="_Toc20709"/>
      <w:bookmarkStart w:id="417" w:name="_Toc29315"/>
      <w:bookmarkStart w:id="418" w:name="_Toc31417"/>
      <w:bookmarkStart w:id="419" w:name="_Toc14433"/>
      <w:bookmarkStart w:id="420" w:name="_Ref467379195"/>
      <w:bookmarkStart w:id="421" w:name="_Toc16917"/>
      <w:bookmarkStart w:id="422" w:name="_Ref467379094"/>
      <w:bookmarkStart w:id="423" w:name="_Toc29788"/>
      <w:bookmarkStart w:id="424" w:name="_Toc29659"/>
      <w:bookmarkStart w:id="425" w:name="_Toc26936"/>
      <w:bookmarkStart w:id="426" w:name="_Toc14827"/>
      <w:bookmarkStart w:id="427" w:name="_Toc259093669"/>
      <w:bookmarkStart w:id="428" w:name="_Ref467379214"/>
      <w:bookmarkStart w:id="429" w:name="_Toc19614"/>
      <w:bookmarkStart w:id="430" w:name="_Ref467379101"/>
      <w:bookmarkStart w:id="431" w:name="_Ref467379225"/>
      <w:r>
        <w:rPr>
          <w:rFonts w:hint="eastAsia" w:ascii="仿宋" w:hAnsi="仿宋" w:eastAsia="仿宋" w:cs="仿宋"/>
          <w:sz w:val="24"/>
          <w:szCs w:val="24"/>
        </w:rPr>
        <w:t>2.1 定义</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7233EDD3">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本合同中的下列词语应按以下内容进行解释：</w:t>
      </w:r>
    </w:p>
    <w:p w14:paraId="6CF1FC8B">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2.1.1 “合同”系指采购人和中标</w:t>
      </w:r>
      <w:r>
        <w:rPr>
          <w:rFonts w:hint="eastAsia" w:ascii="仿宋" w:hAnsi="仿宋" w:eastAsia="仿宋" w:cs="仿宋"/>
          <w:sz w:val="24"/>
          <w:szCs w:val="24"/>
          <w:lang w:eastAsia="zh-CN"/>
        </w:rPr>
        <w:t>投标人</w:t>
      </w:r>
      <w:r>
        <w:rPr>
          <w:rFonts w:hint="eastAsia" w:ascii="仿宋" w:hAnsi="仿宋" w:eastAsia="仿宋" w:cs="仿宋"/>
          <w:sz w:val="24"/>
          <w:szCs w:val="24"/>
        </w:rPr>
        <w:t>签订的载明双方当事人所达成的协议，并包括所有的附件、附录和构成合同的其他文件。</w:t>
      </w:r>
    </w:p>
    <w:p w14:paraId="015679B7">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2.1.2 “合同价”系指根据合同约定，中标</w:t>
      </w:r>
      <w:r>
        <w:rPr>
          <w:rFonts w:hint="eastAsia" w:ascii="仿宋" w:hAnsi="仿宋" w:eastAsia="仿宋" w:cs="仿宋"/>
          <w:sz w:val="24"/>
          <w:szCs w:val="24"/>
          <w:lang w:eastAsia="zh-CN"/>
        </w:rPr>
        <w:t>投标人</w:t>
      </w:r>
      <w:r>
        <w:rPr>
          <w:rFonts w:hint="eastAsia" w:ascii="仿宋" w:hAnsi="仿宋" w:eastAsia="仿宋" w:cs="仿宋"/>
          <w:sz w:val="24"/>
          <w:szCs w:val="24"/>
        </w:rPr>
        <w:t>在完全履行合同义务后，采购人应支付给中标</w:t>
      </w:r>
      <w:r>
        <w:rPr>
          <w:rFonts w:hint="eastAsia" w:ascii="仿宋" w:hAnsi="仿宋" w:eastAsia="仿宋" w:cs="仿宋"/>
          <w:sz w:val="24"/>
          <w:szCs w:val="24"/>
          <w:lang w:eastAsia="zh-CN"/>
        </w:rPr>
        <w:t>投标人</w:t>
      </w:r>
      <w:r>
        <w:rPr>
          <w:rFonts w:hint="eastAsia" w:ascii="仿宋" w:hAnsi="仿宋" w:eastAsia="仿宋" w:cs="仿宋"/>
          <w:sz w:val="24"/>
          <w:szCs w:val="24"/>
        </w:rPr>
        <w:t>的价格。</w:t>
      </w:r>
    </w:p>
    <w:p w14:paraId="2A093F25">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2.1.3 “货物”系指中标</w:t>
      </w:r>
      <w:r>
        <w:rPr>
          <w:rFonts w:hint="eastAsia" w:ascii="仿宋" w:hAnsi="仿宋" w:eastAsia="仿宋" w:cs="仿宋"/>
          <w:sz w:val="24"/>
          <w:szCs w:val="24"/>
          <w:lang w:eastAsia="zh-CN"/>
        </w:rPr>
        <w:t>投标人</w:t>
      </w:r>
      <w:r>
        <w:rPr>
          <w:rFonts w:hint="eastAsia" w:ascii="仿宋" w:hAnsi="仿宋" w:eastAsia="仿宋" w:cs="仿宋"/>
          <w:sz w:val="24"/>
          <w:szCs w:val="24"/>
        </w:rPr>
        <w:t>根据合同约定应向采购人交付的一切各种形态和种类的物品，包括原材料、燃料、设备、机械、仪表、备件、计算机软件、产品等，并包括工具、手册等其他相关资料。</w:t>
      </w:r>
    </w:p>
    <w:p w14:paraId="04F9B4DF">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432" w:name="_Ref467378840"/>
      <w:r>
        <w:rPr>
          <w:rFonts w:hint="eastAsia" w:ascii="仿宋" w:hAnsi="仿宋" w:eastAsia="仿宋" w:cs="仿宋"/>
          <w:sz w:val="24"/>
          <w:szCs w:val="24"/>
        </w:rPr>
        <w:t>2.1.4 “甲方”系指与中标</w:t>
      </w:r>
      <w:r>
        <w:rPr>
          <w:rFonts w:hint="eastAsia" w:ascii="仿宋" w:hAnsi="仿宋" w:eastAsia="仿宋" w:cs="仿宋"/>
          <w:sz w:val="24"/>
          <w:szCs w:val="24"/>
          <w:lang w:eastAsia="zh-CN"/>
        </w:rPr>
        <w:t>投标人</w:t>
      </w:r>
      <w:r>
        <w:rPr>
          <w:rFonts w:hint="eastAsia" w:ascii="仿宋" w:hAnsi="仿宋" w:eastAsia="仿宋" w:cs="仿宋"/>
          <w:sz w:val="24"/>
          <w:szCs w:val="24"/>
        </w:rPr>
        <w:t>签署合同的采购人</w:t>
      </w:r>
      <w:bookmarkEnd w:id="432"/>
      <w:r>
        <w:rPr>
          <w:rFonts w:hint="eastAsia" w:ascii="仿宋" w:hAnsi="仿宋" w:eastAsia="仿宋" w:cs="仿宋"/>
          <w:sz w:val="24"/>
          <w:szCs w:val="24"/>
        </w:rPr>
        <w:t>；采购人委托采购代理机构代表其与乙方签订合同的，采购人的授权委托书作为合同附件。</w:t>
      </w:r>
    </w:p>
    <w:p w14:paraId="0B973229">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433" w:name="_Ref467379400"/>
      <w:r>
        <w:rPr>
          <w:rFonts w:hint="eastAsia" w:ascii="仿宋" w:hAnsi="仿宋" w:eastAsia="仿宋" w:cs="仿宋"/>
          <w:sz w:val="24"/>
          <w:szCs w:val="24"/>
        </w:rPr>
        <w:t>2.1.5 “乙方”系指根据合同约定交付货物的中标</w:t>
      </w:r>
      <w:bookmarkEnd w:id="433"/>
      <w:r>
        <w:rPr>
          <w:rFonts w:hint="eastAsia" w:ascii="仿宋" w:hAnsi="仿宋" w:eastAsia="仿宋" w:cs="仿宋"/>
          <w:sz w:val="24"/>
          <w:szCs w:val="24"/>
          <w:lang w:eastAsia="zh-CN"/>
        </w:rPr>
        <w:t>投标人</w:t>
      </w:r>
      <w:r>
        <w:rPr>
          <w:rFonts w:hint="eastAsia" w:ascii="仿宋" w:hAnsi="仿宋" w:eastAsia="仿宋" w:cs="仿宋"/>
          <w:sz w:val="24"/>
          <w:szCs w:val="24"/>
        </w:rPr>
        <w:t>；两个以上的自然人、法人或者其他组织组成一个联合体，以一个</w:t>
      </w:r>
      <w:r>
        <w:rPr>
          <w:rFonts w:hint="eastAsia" w:ascii="仿宋" w:hAnsi="仿宋" w:eastAsia="仿宋" w:cs="仿宋"/>
          <w:sz w:val="24"/>
          <w:szCs w:val="24"/>
          <w:lang w:eastAsia="zh-CN"/>
        </w:rPr>
        <w:t>投标人</w:t>
      </w:r>
      <w:r>
        <w:rPr>
          <w:rFonts w:hint="eastAsia" w:ascii="仿宋" w:hAnsi="仿宋" w:eastAsia="仿宋" w:cs="仿宋"/>
          <w:sz w:val="24"/>
          <w:szCs w:val="24"/>
        </w:rPr>
        <w:t>的身份共同参加政府采购的，联合体各方均应为乙方或者与乙方相同地位的合同当事人，并就合同约定的事项对甲方承担连带责任。</w:t>
      </w:r>
    </w:p>
    <w:p w14:paraId="02ED14E5">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434" w:name="_Ref467379436"/>
      <w:r>
        <w:rPr>
          <w:rFonts w:hint="eastAsia" w:ascii="仿宋" w:hAnsi="仿宋" w:eastAsia="仿宋" w:cs="仿宋"/>
          <w:sz w:val="24"/>
          <w:szCs w:val="24"/>
        </w:rPr>
        <w:t>2.1.6 “现场”系指合同约定货物将要运至或者安装的地点。</w:t>
      </w:r>
      <w:bookmarkEnd w:id="434"/>
    </w:p>
    <w:p w14:paraId="281C9782">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435" w:name="_Toc27635"/>
      <w:bookmarkStart w:id="436" w:name="_Toc259093670"/>
      <w:bookmarkStart w:id="437" w:name="_Toc24639"/>
      <w:bookmarkStart w:id="438" w:name="_Toc11142"/>
      <w:bookmarkStart w:id="439" w:name="_Toc1352"/>
      <w:bookmarkStart w:id="440" w:name="_Toc32504"/>
      <w:bookmarkStart w:id="441" w:name="_Toc24792"/>
      <w:bookmarkStart w:id="442" w:name="_Toc5592"/>
      <w:bookmarkStart w:id="443" w:name="_Toc7416"/>
      <w:bookmarkStart w:id="444" w:name="_Toc17151"/>
      <w:bookmarkStart w:id="445" w:name="_Toc487900350"/>
      <w:bookmarkStart w:id="446" w:name="_Toc24523"/>
      <w:bookmarkStart w:id="447" w:name="_Toc1221"/>
      <w:bookmarkStart w:id="448" w:name="_Toc11263"/>
      <w:bookmarkStart w:id="449" w:name="_Toc279701241"/>
      <w:bookmarkStart w:id="450" w:name="_Toc23689"/>
      <w:bookmarkStart w:id="451" w:name="_Toc2537"/>
      <w:bookmarkStart w:id="452" w:name="_Toc10701"/>
      <w:bookmarkStart w:id="453" w:name="_Toc1447"/>
      <w:bookmarkStart w:id="454" w:name="_Toc22104"/>
      <w:bookmarkStart w:id="455" w:name="_Toc1183"/>
      <w:bookmarkStart w:id="456" w:name="_Toc22122"/>
      <w:bookmarkStart w:id="457" w:name="_Toc13336"/>
      <w:r>
        <w:rPr>
          <w:rFonts w:hint="eastAsia" w:ascii="仿宋" w:hAnsi="仿宋" w:eastAsia="仿宋" w:cs="仿宋"/>
          <w:sz w:val="24"/>
          <w:szCs w:val="24"/>
        </w:rPr>
        <w:t>2.2 技术规范</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2E83D06D">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F9623C0">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458" w:name="_Toc6121"/>
      <w:bookmarkStart w:id="459" w:name="_Toc27853"/>
      <w:bookmarkStart w:id="460" w:name="_Toc4029"/>
      <w:bookmarkStart w:id="461" w:name="_Toc9829"/>
      <w:bookmarkStart w:id="462" w:name="_Toc259093671"/>
      <w:bookmarkStart w:id="463" w:name="_Toc4916"/>
      <w:bookmarkStart w:id="464" w:name="_Toc975"/>
      <w:bookmarkStart w:id="465" w:name="_Toc487900351"/>
      <w:bookmarkStart w:id="466" w:name="_Toc32048"/>
      <w:bookmarkStart w:id="467" w:name="_Toc31634"/>
      <w:bookmarkStart w:id="468" w:name="_Toc7722"/>
      <w:bookmarkStart w:id="469" w:name="_Toc19191"/>
      <w:bookmarkStart w:id="470" w:name="_Toc20130"/>
      <w:bookmarkStart w:id="471" w:name="_Toc12032"/>
      <w:bookmarkStart w:id="472" w:name="_Toc3854"/>
      <w:bookmarkStart w:id="473" w:name="_Toc30552"/>
      <w:bookmarkStart w:id="474" w:name="_Toc21622"/>
      <w:bookmarkStart w:id="475" w:name="_Toc26742"/>
      <w:bookmarkStart w:id="476" w:name="_Toc24537"/>
      <w:bookmarkStart w:id="477" w:name="_Toc279701242"/>
      <w:bookmarkStart w:id="478" w:name="_Toc14632"/>
      <w:bookmarkStart w:id="479" w:name="_Toc23649"/>
      <w:r>
        <w:rPr>
          <w:rFonts w:hint="eastAsia" w:ascii="仿宋" w:hAnsi="仿宋" w:eastAsia="仿宋" w:cs="仿宋"/>
          <w:sz w:val="24"/>
          <w:szCs w:val="24"/>
        </w:rPr>
        <w:t>2.3 知识产权</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4F0301EA">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60F6AD5D">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2.3.2具有知识产权的计算机软件等货物的知识产权归属，详见合同专用条款。</w:t>
      </w:r>
    </w:p>
    <w:p w14:paraId="4B136915">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480" w:name="_Toc365"/>
      <w:bookmarkStart w:id="481" w:name="_Toc479"/>
      <w:bookmarkStart w:id="482" w:name="_Toc6781"/>
      <w:bookmarkStart w:id="483" w:name="_Toc11932"/>
      <w:bookmarkStart w:id="484" w:name="_Toc5395"/>
      <w:bookmarkStart w:id="485" w:name="_Toc4194"/>
      <w:bookmarkStart w:id="486" w:name="_Toc6844"/>
      <w:bookmarkStart w:id="487" w:name="_Toc19638"/>
      <w:bookmarkStart w:id="488" w:name="_Toc23105"/>
      <w:bookmarkStart w:id="489" w:name="_Toc17080"/>
      <w:bookmarkStart w:id="490" w:name="_Toc9470"/>
      <w:bookmarkStart w:id="491" w:name="_Toc10546"/>
      <w:bookmarkStart w:id="492" w:name="_Toc25767"/>
      <w:bookmarkStart w:id="493" w:name="_Toc3486"/>
      <w:bookmarkStart w:id="494" w:name="_Toc26731"/>
      <w:bookmarkStart w:id="495" w:name="_Toc29149"/>
      <w:bookmarkStart w:id="496" w:name="_Toc20620"/>
      <w:bookmarkStart w:id="497" w:name="_Toc12219"/>
      <w:bookmarkStart w:id="498" w:name="_Toc28714"/>
      <w:bookmarkStart w:id="499" w:name="_Toc9332"/>
      <w:r>
        <w:rPr>
          <w:rFonts w:hint="eastAsia" w:ascii="仿宋" w:hAnsi="仿宋" w:eastAsia="仿宋" w:cs="仿宋"/>
          <w:sz w:val="24"/>
          <w:szCs w:val="24"/>
        </w:rPr>
        <w:t>2.4 包装和装运</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01E6FD25">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434847C">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2.4.2 装运货物的要求和通知，详见合同专用条款。</w:t>
      </w:r>
    </w:p>
    <w:p w14:paraId="42F258E8">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500" w:name="_Ref467379527"/>
      <w:bookmarkStart w:id="501" w:name="_Ref467378591"/>
      <w:bookmarkStart w:id="502" w:name="_Toc487900354"/>
      <w:bookmarkStart w:id="503" w:name="_Ref467379536"/>
      <w:bookmarkStart w:id="504" w:name="_Toc259093674"/>
      <w:bookmarkStart w:id="505" w:name="_Ref467379542"/>
      <w:bookmarkStart w:id="506" w:name="_Ref467378541"/>
      <w:bookmarkStart w:id="507" w:name="_Toc279701245"/>
      <w:bookmarkStart w:id="508" w:name="_Toc16539"/>
      <w:bookmarkStart w:id="509" w:name="_Toc24299"/>
      <w:bookmarkStart w:id="510" w:name="_Toc21198"/>
      <w:bookmarkStart w:id="511" w:name="_Toc30516"/>
      <w:bookmarkStart w:id="512" w:name="_Toc26182"/>
      <w:bookmarkStart w:id="513" w:name="_Toc9624"/>
      <w:bookmarkStart w:id="514" w:name="_Toc12428"/>
      <w:bookmarkStart w:id="515" w:name="_Toc15512"/>
      <w:bookmarkStart w:id="516" w:name="_Toc5927"/>
      <w:bookmarkStart w:id="517" w:name="_Toc18515"/>
      <w:bookmarkStart w:id="518" w:name="_Toc18307"/>
      <w:bookmarkStart w:id="519" w:name="_Toc30272"/>
      <w:bookmarkStart w:id="520" w:name="_Toc4831"/>
      <w:bookmarkStart w:id="521" w:name="_Toc1641"/>
      <w:bookmarkStart w:id="522" w:name="_Toc2815"/>
      <w:bookmarkStart w:id="523" w:name="_Toc19074"/>
      <w:bookmarkStart w:id="524" w:name="_Toc19870"/>
      <w:bookmarkStart w:id="525" w:name="_Toc7299"/>
      <w:bookmarkStart w:id="526" w:name="_Toc28937"/>
      <w:bookmarkStart w:id="527" w:name="_Toc24935"/>
      <w:r>
        <w:rPr>
          <w:rFonts w:hint="eastAsia" w:ascii="仿宋" w:hAnsi="仿宋" w:eastAsia="仿宋" w:cs="仿宋"/>
          <w:sz w:val="24"/>
          <w:szCs w:val="24"/>
        </w:rPr>
        <w:t>2.</w:t>
      </w:r>
      <w:bookmarkEnd w:id="500"/>
      <w:bookmarkEnd w:id="501"/>
      <w:bookmarkEnd w:id="502"/>
      <w:bookmarkEnd w:id="503"/>
      <w:bookmarkEnd w:id="504"/>
      <w:bookmarkEnd w:id="505"/>
      <w:bookmarkEnd w:id="506"/>
      <w:bookmarkEnd w:id="507"/>
      <w:r>
        <w:rPr>
          <w:rFonts w:hint="eastAsia" w:ascii="仿宋" w:hAnsi="仿宋" w:eastAsia="仿宋" w:cs="仿宋"/>
          <w:sz w:val="24"/>
          <w:szCs w:val="24"/>
        </w:rPr>
        <w:t>5 履约检查和问题反馈</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12C2A634">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528" w:name="_Ref467379657"/>
      <w:r>
        <w:rPr>
          <w:rFonts w:hint="eastAsia" w:ascii="仿宋" w:hAnsi="仿宋" w:eastAsia="仿宋" w:cs="仿宋"/>
          <w:sz w:val="24"/>
          <w:szCs w:val="24"/>
        </w:rPr>
        <w:t>2.5.1</w:t>
      </w:r>
      <w:bookmarkEnd w:id="528"/>
      <w:bookmarkStart w:id="529" w:name="_Toc186431854"/>
      <w:bookmarkStart w:id="530" w:name="_Ref467379807"/>
      <w:bookmarkStart w:id="531" w:name="_Toc487900357"/>
      <w:bookmarkStart w:id="532" w:name="_Ref467379793"/>
      <w:bookmarkStart w:id="533" w:name="_Toc279701247"/>
      <w:bookmarkStart w:id="534" w:name="_Toc259093676"/>
      <w:r>
        <w:rPr>
          <w:rFonts w:hint="eastAsia" w:ascii="仿宋" w:hAnsi="仿宋" w:eastAsia="仿宋" w:cs="仿宋"/>
          <w:sz w:val="24"/>
          <w:szCs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17250C51">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2.5.2 合同履行期间，甲方有权将履行过程中出现的问题反馈给乙方，双方当事人应以书面形式约定需要完善和改进的内容</w:t>
      </w:r>
      <w:bookmarkEnd w:id="529"/>
      <w:bookmarkStart w:id="535" w:name="_Toc186431855"/>
      <w:r>
        <w:rPr>
          <w:rFonts w:hint="eastAsia" w:ascii="仿宋" w:hAnsi="仿宋" w:eastAsia="仿宋" w:cs="仿宋"/>
          <w:sz w:val="24"/>
          <w:szCs w:val="24"/>
        </w:rPr>
        <w:t>。</w:t>
      </w:r>
    </w:p>
    <w:bookmarkEnd w:id="535"/>
    <w:p w14:paraId="37C54670">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536" w:name="_Toc234"/>
      <w:bookmarkStart w:id="537" w:name="_Toc9092"/>
      <w:bookmarkStart w:id="538" w:name="_Toc26232"/>
      <w:bookmarkStart w:id="539" w:name="_Toc2067"/>
      <w:bookmarkStart w:id="540" w:name="_Toc23872"/>
      <w:bookmarkStart w:id="541" w:name="_Toc28451"/>
      <w:bookmarkStart w:id="542" w:name="_Toc30354"/>
      <w:bookmarkStart w:id="543" w:name="_Toc5304"/>
      <w:bookmarkStart w:id="544" w:name="_Toc11522"/>
      <w:bookmarkStart w:id="545" w:name="_Toc582"/>
      <w:bookmarkStart w:id="546" w:name="_Toc19219"/>
      <w:bookmarkStart w:id="547" w:name="_Toc31520"/>
      <w:bookmarkStart w:id="548" w:name="_Toc5007"/>
      <w:bookmarkStart w:id="549" w:name="_Toc15793"/>
      <w:bookmarkStart w:id="550" w:name="_Toc23261"/>
      <w:bookmarkStart w:id="551" w:name="_Toc17283"/>
      <w:bookmarkStart w:id="552" w:name="_Toc12360"/>
      <w:bookmarkStart w:id="553" w:name="_Toc26298"/>
      <w:bookmarkStart w:id="554" w:name="_Toc7836"/>
      <w:bookmarkStart w:id="555" w:name="_Toc4522"/>
      <w:r>
        <w:rPr>
          <w:rFonts w:hint="eastAsia" w:ascii="仿宋" w:hAnsi="仿宋" w:eastAsia="仿宋" w:cs="仿宋"/>
          <w:sz w:val="24"/>
          <w:szCs w:val="24"/>
        </w:rPr>
        <w:t>2.6 结算方式和付款条件</w:t>
      </w:r>
      <w:bookmarkEnd w:id="530"/>
      <w:bookmarkEnd w:id="531"/>
      <w:bookmarkEnd w:id="532"/>
      <w:bookmarkEnd w:id="533"/>
      <w:bookmarkEnd w:id="534"/>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251F9488">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详见合同专用条款。</w:t>
      </w:r>
    </w:p>
    <w:p w14:paraId="4CA49975">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556" w:name="_Ref467379923"/>
      <w:bookmarkStart w:id="557" w:name="_Toc259093677"/>
      <w:bookmarkStart w:id="558" w:name="_Toc279701248"/>
      <w:bookmarkStart w:id="559" w:name="_Ref467379852"/>
      <w:bookmarkStart w:id="560" w:name="_Ref467379863"/>
      <w:bookmarkStart w:id="561" w:name="_Toc487900358"/>
      <w:bookmarkStart w:id="562" w:name="_Toc9845"/>
      <w:bookmarkStart w:id="563" w:name="_Toc17051"/>
      <w:bookmarkStart w:id="564" w:name="_Toc774"/>
      <w:bookmarkStart w:id="565" w:name="_Toc10114"/>
      <w:bookmarkStart w:id="566" w:name="_Toc28781"/>
      <w:bookmarkStart w:id="567" w:name="_Toc3497"/>
      <w:bookmarkStart w:id="568" w:name="_Toc13023"/>
      <w:bookmarkStart w:id="569" w:name="_Toc18668"/>
      <w:bookmarkStart w:id="570" w:name="_Toc16110"/>
      <w:bookmarkStart w:id="571" w:name="_Toc31305"/>
      <w:bookmarkStart w:id="572" w:name="_Toc29030"/>
      <w:bookmarkStart w:id="573" w:name="_Toc29616"/>
      <w:bookmarkStart w:id="574" w:name="_Toc10173"/>
      <w:bookmarkStart w:id="575" w:name="_Toc11236"/>
      <w:bookmarkStart w:id="576" w:name="_Toc31971"/>
      <w:bookmarkStart w:id="577" w:name="_Toc17607"/>
      <w:bookmarkStart w:id="578" w:name="_Toc3225"/>
      <w:bookmarkStart w:id="579" w:name="_Toc1200"/>
      <w:bookmarkStart w:id="580" w:name="_Toc14491"/>
      <w:bookmarkStart w:id="581" w:name="_Toc12878"/>
      <w:r>
        <w:rPr>
          <w:rFonts w:hint="eastAsia" w:ascii="仿宋" w:hAnsi="仿宋" w:eastAsia="仿宋" w:cs="仿宋"/>
          <w:sz w:val="24"/>
          <w:szCs w:val="24"/>
        </w:rPr>
        <w:t>2.7 技术资料</w:t>
      </w:r>
      <w:bookmarkEnd w:id="556"/>
      <w:bookmarkEnd w:id="557"/>
      <w:bookmarkEnd w:id="558"/>
      <w:bookmarkEnd w:id="559"/>
      <w:bookmarkEnd w:id="560"/>
      <w:bookmarkEnd w:id="561"/>
      <w:r>
        <w:rPr>
          <w:rFonts w:hint="eastAsia" w:ascii="仿宋" w:hAnsi="仿宋" w:eastAsia="仿宋" w:cs="仿宋"/>
          <w:sz w:val="24"/>
          <w:szCs w:val="24"/>
        </w:rPr>
        <w:t>和保密义务</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60C0F239">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2.7.1 乙方有权依据合同约定和项目需要，向甲方了解有关情况，调阅有关资料等，甲方应予积极配合；</w:t>
      </w:r>
    </w:p>
    <w:p w14:paraId="61A4A09A">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2.7.2 乙方有义务妥善保管和保护由甲方提供的前款信息和资料等；</w:t>
      </w:r>
    </w:p>
    <w:p w14:paraId="36FF4CA1">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6F04D35">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582" w:name="_Toc4252"/>
      <w:bookmarkStart w:id="583" w:name="_Toc16190"/>
      <w:bookmarkStart w:id="584" w:name="_Toc11328"/>
      <w:bookmarkStart w:id="585" w:name="_Toc30503"/>
      <w:bookmarkStart w:id="586" w:name="_Toc5200"/>
      <w:bookmarkStart w:id="587" w:name="_Toc19177"/>
      <w:bookmarkStart w:id="588" w:name="_Toc18551"/>
      <w:bookmarkStart w:id="589" w:name="_Toc8288"/>
      <w:bookmarkStart w:id="590" w:name="_Toc10326"/>
      <w:bookmarkStart w:id="591" w:name="_Toc21267"/>
      <w:bookmarkStart w:id="592" w:name="_Toc10475"/>
      <w:bookmarkStart w:id="593" w:name="_Toc30386"/>
      <w:bookmarkStart w:id="594" w:name="_Toc3156"/>
      <w:bookmarkStart w:id="595" w:name="_Toc30477"/>
      <w:bookmarkStart w:id="596" w:name="_Toc23081"/>
      <w:bookmarkStart w:id="597" w:name="_Toc27453"/>
      <w:bookmarkStart w:id="598" w:name="_Toc11530"/>
      <w:bookmarkStart w:id="599" w:name="_Toc7860"/>
      <w:r>
        <w:rPr>
          <w:rFonts w:hint="eastAsia" w:ascii="仿宋" w:hAnsi="仿宋" w:eastAsia="仿宋" w:cs="仿宋"/>
          <w:sz w:val="24"/>
          <w:szCs w:val="24"/>
        </w:rPr>
        <w:t>2.8 质量保证</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14:paraId="05A05EF6">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2.8.1 乙方应建立和完善履行合同的内部质量保证体系，并提供相关内部规章制度给甲方，以便甲方进行监督检查；</w:t>
      </w:r>
    </w:p>
    <w:p w14:paraId="15EDEE97">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2.8.2 乙方应保证履行合同的人员数量和素质、软件和硬件设备的配置、场地、环境和设施等满足全面履行合同的要求，并应接受甲方的监督检查。</w:t>
      </w:r>
    </w:p>
    <w:p w14:paraId="20299C4F">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600" w:name="_Toc17203"/>
      <w:bookmarkStart w:id="601" w:name="_Toc25529"/>
      <w:bookmarkStart w:id="602" w:name="_Toc23172"/>
      <w:bookmarkStart w:id="603" w:name="_Toc17030"/>
      <w:bookmarkStart w:id="604" w:name="_Toc13812"/>
      <w:bookmarkStart w:id="605" w:name="_Toc812"/>
      <w:bookmarkStart w:id="606" w:name="_Toc12010"/>
      <w:bookmarkStart w:id="607" w:name="_Toc26555"/>
      <w:bookmarkStart w:id="608" w:name="_Toc27708"/>
      <w:bookmarkStart w:id="609" w:name="_Toc27234"/>
      <w:bookmarkStart w:id="610" w:name="_Toc18977"/>
      <w:bookmarkStart w:id="611" w:name="_Toc17244"/>
      <w:bookmarkStart w:id="612" w:name="_Toc17497"/>
      <w:bookmarkStart w:id="613" w:name="_Toc26151"/>
      <w:bookmarkStart w:id="614" w:name="_Toc14663"/>
      <w:bookmarkStart w:id="615" w:name="_Toc27238"/>
      <w:bookmarkStart w:id="616" w:name="_Toc22016"/>
      <w:bookmarkStart w:id="617" w:name="_Toc14596"/>
      <w:bookmarkStart w:id="618" w:name="_Toc487900362"/>
      <w:bookmarkStart w:id="619" w:name="_Toc279701252"/>
      <w:bookmarkStart w:id="620" w:name="_Toc259093681"/>
      <w:r>
        <w:rPr>
          <w:rFonts w:hint="eastAsia" w:ascii="仿宋" w:hAnsi="仿宋" w:eastAsia="仿宋" w:cs="仿宋"/>
          <w:sz w:val="24"/>
          <w:szCs w:val="24"/>
        </w:rPr>
        <w:t>2.9 货物的风险负担</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4C8AC2B8">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货物或者在途货物或者交付给第一承运人后的货物毁损、灭失风险负担详见合同专用条款。</w:t>
      </w:r>
    </w:p>
    <w:p w14:paraId="33B206DA">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621" w:name="_Toc12270"/>
      <w:bookmarkStart w:id="622" w:name="_Toc7986"/>
      <w:bookmarkStart w:id="623" w:name="_Toc2"/>
      <w:bookmarkStart w:id="624" w:name="_Toc19684"/>
      <w:bookmarkStart w:id="625" w:name="_Toc25663"/>
      <w:bookmarkStart w:id="626" w:name="_Toc29837"/>
      <w:bookmarkStart w:id="627" w:name="_Toc14055"/>
      <w:bookmarkStart w:id="628" w:name="_Toc29224"/>
      <w:bookmarkStart w:id="629" w:name="_Toc1299"/>
      <w:bookmarkStart w:id="630" w:name="_Toc25231"/>
      <w:bookmarkStart w:id="631" w:name="_Toc15465"/>
      <w:bookmarkStart w:id="632" w:name="_Toc14698"/>
      <w:bookmarkStart w:id="633" w:name="_Toc11963"/>
      <w:bookmarkStart w:id="634" w:name="_Toc6602"/>
      <w:bookmarkStart w:id="635" w:name="_Toc15972"/>
      <w:bookmarkStart w:id="636" w:name="_Toc22674"/>
      <w:bookmarkStart w:id="637" w:name="_Toc5196"/>
      <w:bookmarkStart w:id="638" w:name="_Toc6601"/>
      <w:r>
        <w:rPr>
          <w:rFonts w:hint="eastAsia" w:ascii="仿宋" w:hAnsi="仿宋" w:eastAsia="仿宋" w:cs="仿宋"/>
          <w:sz w:val="24"/>
          <w:szCs w:val="24"/>
        </w:rPr>
        <w:t>2.10 延迟交货</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36619DE8">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009E98D">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639" w:name="_Toc7444"/>
      <w:bookmarkStart w:id="640" w:name="_Toc14851"/>
      <w:bookmarkStart w:id="641" w:name="_Toc10956"/>
      <w:bookmarkStart w:id="642" w:name="_Toc18704"/>
      <w:bookmarkStart w:id="643" w:name="_Toc4586"/>
      <w:bookmarkStart w:id="644" w:name="_Toc3064"/>
      <w:bookmarkStart w:id="645" w:name="_Toc8441"/>
      <w:bookmarkStart w:id="646" w:name="_Toc17237"/>
      <w:bookmarkStart w:id="647" w:name="_Toc26108"/>
      <w:bookmarkStart w:id="648" w:name="_Toc25717"/>
      <w:bookmarkStart w:id="649" w:name="_Toc507"/>
      <w:bookmarkStart w:id="650" w:name="_Toc27737"/>
      <w:bookmarkStart w:id="651" w:name="_Toc24598"/>
      <w:bookmarkStart w:id="652" w:name="_Toc16810"/>
      <w:bookmarkStart w:id="653" w:name="_Toc7502"/>
      <w:bookmarkStart w:id="654" w:name="_Toc16528"/>
      <w:bookmarkStart w:id="655" w:name="_Toc16430"/>
      <w:bookmarkStart w:id="656" w:name="_Ref467378121"/>
      <w:bookmarkStart w:id="657" w:name="_Toc487900364"/>
      <w:bookmarkStart w:id="658" w:name="_Toc259093683"/>
      <w:bookmarkStart w:id="659" w:name="_Toc279701254"/>
      <w:r>
        <w:rPr>
          <w:rFonts w:hint="eastAsia" w:ascii="仿宋" w:hAnsi="仿宋" w:eastAsia="仿宋" w:cs="仿宋"/>
          <w:sz w:val="24"/>
          <w:szCs w:val="24"/>
        </w:rPr>
        <w:t>2.11 合同变更</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51A6050E">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2.11.1双方当事人协商一致，可以签订书面补充合同的形式变更合同，但不得违背采购文件确定的事项，且如果系追加与合同标的相同的货物的，那么所有补充合同的采购金额不得超过原合同价的10%；</w:t>
      </w:r>
    </w:p>
    <w:p w14:paraId="292BB6DF">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2.11.2 合同继续履行将损害国家利益和社会公共利益的，双方当事人应当以书面形式变更合同。有过错的一方应当承担赔偿责任，双方当事人都有过错的，各自承担相应的责任。</w:t>
      </w:r>
      <w:bookmarkStart w:id="660" w:name="_Toc259093688"/>
      <w:bookmarkStart w:id="661" w:name="_Toc487900369"/>
      <w:bookmarkStart w:id="662" w:name="_Toc279701259"/>
    </w:p>
    <w:p w14:paraId="3D806625">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663" w:name="_Toc12630"/>
      <w:bookmarkStart w:id="664" w:name="_Toc22955"/>
      <w:bookmarkStart w:id="665" w:name="_Toc21817"/>
      <w:bookmarkStart w:id="666" w:name="_Toc10537"/>
      <w:bookmarkStart w:id="667" w:name="_Toc23079"/>
      <w:bookmarkStart w:id="668" w:name="_Toc11626"/>
      <w:bookmarkStart w:id="669" w:name="_Toc26224"/>
      <w:bookmarkStart w:id="670" w:name="_Toc10366"/>
      <w:bookmarkStart w:id="671" w:name="_Toc3062"/>
      <w:bookmarkStart w:id="672" w:name="_Toc24511"/>
      <w:bookmarkStart w:id="673" w:name="_Toc15237"/>
      <w:bookmarkStart w:id="674" w:name="_Toc3928"/>
      <w:bookmarkStart w:id="675" w:name="_Toc3825"/>
      <w:bookmarkStart w:id="676" w:name="_Toc25508"/>
      <w:bookmarkStart w:id="677" w:name="_Toc14895"/>
      <w:bookmarkStart w:id="678" w:name="_Toc19380"/>
      <w:bookmarkStart w:id="679" w:name="_Toc28630"/>
      <w:bookmarkStart w:id="680" w:name="_Toc3931"/>
      <w:bookmarkStart w:id="681" w:name="_Toc27772"/>
      <w:bookmarkStart w:id="682" w:name="_Toc19839"/>
      <w:r>
        <w:rPr>
          <w:rFonts w:hint="eastAsia" w:ascii="仿宋" w:hAnsi="仿宋" w:eastAsia="仿宋" w:cs="仿宋"/>
          <w:sz w:val="24"/>
          <w:szCs w:val="24"/>
        </w:rPr>
        <w:t>2.12 合同转让</w:t>
      </w:r>
      <w:bookmarkEnd w:id="660"/>
      <w:bookmarkEnd w:id="661"/>
      <w:bookmarkEnd w:id="662"/>
      <w:r>
        <w:rPr>
          <w:rFonts w:hint="eastAsia" w:ascii="仿宋" w:hAnsi="仿宋" w:eastAsia="仿宋" w:cs="仿宋"/>
          <w:sz w:val="24"/>
          <w:szCs w:val="24"/>
        </w:rPr>
        <w:t>和分包</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2A74E251">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仿宋" w:hAnsi="仿宋" w:eastAsia="仿宋" w:cs="仿宋"/>
          <w:sz w:val="24"/>
          <w:szCs w:val="24"/>
          <w:lang w:eastAsia="zh-CN"/>
        </w:rPr>
        <w:t>投标人</w:t>
      </w:r>
      <w:r>
        <w:rPr>
          <w:rFonts w:hint="eastAsia" w:ascii="仿宋" w:hAnsi="仿宋" w:eastAsia="仿宋" w:cs="仿宋"/>
          <w:sz w:val="24"/>
          <w:szCs w:val="24"/>
        </w:rPr>
        <w:t>就分包项目向甲方承担连带责任。</w:t>
      </w:r>
    </w:p>
    <w:p w14:paraId="3DEF2679">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683" w:name="_Toc14752"/>
      <w:bookmarkStart w:id="684" w:name="_Toc16893"/>
      <w:bookmarkStart w:id="685" w:name="_Toc15741"/>
      <w:bookmarkStart w:id="686" w:name="_Toc15496"/>
      <w:bookmarkStart w:id="687" w:name="_Toc13557"/>
      <w:bookmarkStart w:id="688" w:name="_Toc1850"/>
      <w:bookmarkStart w:id="689" w:name="_Toc13566"/>
      <w:bookmarkStart w:id="690" w:name="_Toc14809"/>
      <w:bookmarkStart w:id="691" w:name="_Toc12809"/>
      <w:bookmarkStart w:id="692" w:name="_Toc12165"/>
      <w:bookmarkStart w:id="693" w:name="_Toc4540"/>
      <w:bookmarkStart w:id="694" w:name="_Toc8114"/>
      <w:bookmarkStart w:id="695" w:name="_Toc14066"/>
      <w:bookmarkStart w:id="696" w:name="_Toc3533"/>
      <w:bookmarkStart w:id="697" w:name="_Toc16508"/>
      <w:bookmarkStart w:id="698" w:name="_Toc24741"/>
      <w:bookmarkStart w:id="699" w:name="_Toc5484"/>
      <w:bookmarkStart w:id="700" w:name="_Toc17498"/>
      <w:bookmarkStart w:id="701" w:name="_Toc2586"/>
      <w:bookmarkStart w:id="702" w:name="_Toc11252"/>
      <w:r>
        <w:rPr>
          <w:rFonts w:hint="eastAsia" w:ascii="仿宋" w:hAnsi="仿宋" w:eastAsia="仿宋" w:cs="仿宋"/>
          <w:sz w:val="24"/>
          <w:szCs w:val="24"/>
        </w:rPr>
        <w:t>2.13 不可抗力</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7ABA49B9">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2.13.1如果任何一方遭遇法律规定的不可抗力，致使合同履行受阻时，履行合同的期限应予延长，延长的期限应相当于不可抗力所影响的时间；</w:t>
      </w:r>
    </w:p>
    <w:p w14:paraId="12532740">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2.13.2 因不可抗力致使不能实现合同目的的，当事人可以解除合同；</w:t>
      </w:r>
    </w:p>
    <w:p w14:paraId="182F7AE3">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2.13.3 因不可抗力致使合同有变更必要的，双方当事人应在合同专用条款约定时间内以书面形式变更合同；</w:t>
      </w:r>
    </w:p>
    <w:p w14:paraId="5988F206">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2.13.4受不可抗力影响的一方在不可抗力发生后，应在合同专用条款约定时间内以书面形式通知对方当事人，并在合同专用条款约定时间内，将有关部门出具的证明文件送达对方当事人。</w:t>
      </w:r>
    </w:p>
    <w:p w14:paraId="1E5F9611">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703" w:name="_Toc259093684"/>
      <w:bookmarkStart w:id="704" w:name="_Toc6288"/>
      <w:bookmarkStart w:id="705" w:name="_Toc26085"/>
      <w:bookmarkStart w:id="706" w:name="_Toc10528"/>
      <w:bookmarkStart w:id="707" w:name="_Toc279701255"/>
      <w:bookmarkStart w:id="708" w:name="_Toc20686"/>
      <w:bookmarkStart w:id="709" w:name="_Toc19312"/>
      <w:bookmarkStart w:id="710" w:name="_Toc6969"/>
      <w:bookmarkStart w:id="711" w:name="_Toc3463"/>
      <w:bookmarkStart w:id="712" w:name="_Toc31597"/>
      <w:bookmarkStart w:id="713" w:name="_Toc13910"/>
      <w:bookmarkStart w:id="714" w:name="_Toc30676"/>
      <w:bookmarkStart w:id="715" w:name="_Toc11876"/>
      <w:bookmarkStart w:id="716" w:name="_Toc6676"/>
      <w:bookmarkStart w:id="717" w:name="_Toc487900365"/>
      <w:bookmarkStart w:id="718" w:name="_Toc689"/>
      <w:bookmarkStart w:id="719" w:name="_Toc7145"/>
      <w:bookmarkStart w:id="720" w:name="_Toc5980"/>
      <w:bookmarkStart w:id="721" w:name="_Toc1584"/>
      <w:bookmarkStart w:id="722" w:name="_Toc4006"/>
      <w:r>
        <w:rPr>
          <w:rFonts w:hint="eastAsia" w:ascii="仿宋" w:hAnsi="仿宋" w:eastAsia="仿宋" w:cs="仿宋"/>
          <w:sz w:val="24"/>
          <w:szCs w:val="24"/>
        </w:rPr>
        <w:t>2.14 税费</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5B75128A">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与合同有关的一切税费，均按照中华人民共和国法律的相关规定。</w:t>
      </w:r>
    </w:p>
    <w:p w14:paraId="00598A66">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723" w:name="_Toc29869"/>
      <w:bookmarkStart w:id="724" w:name="_Toc4812"/>
      <w:bookmarkStart w:id="725" w:name="_Toc259093687"/>
      <w:bookmarkStart w:id="726" w:name="_Toc14181"/>
      <w:bookmarkStart w:id="727" w:name="_Toc25260"/>
      <w:bookmarkStart w:id="728" w:name="_Toc7102"/>
      <w:bookmarkStart w:id="729" w:name="_Toc23266"/>
      <w:bookmarkStart w:id="730" w:name="_Toc11308"/>
      <w:bookmarkStart w:id="731" w:name="_Toc13626"/>
      <w:bookmarkStart w:id="732" w:name="_Toc32313"/>
      <w:bookmarkStart w:id="733" w:name="_Toc12141"/>
      <w:bookmarkStart w:id="734" w:name="_Toc29948"/>
      <w:bookmarkStart w:id="735" w:name="_Toc8298"/>
      <w:bookmarkStart w:id="736" w:name="_Toc487900368"/>
      <w:bookmarkStart w:id="737" w:name="_Toc8934"/>
      <w:bookmarkStart w:id="738" w:name="_Toc7117"/>
      <w:bookmarkStart w:id="739" w:name="_Toc16959"/>
      <w:bookmarkStart w:id="740" w:name="_Toc20424"/>
      <w:bookmarkStart w:id="741" w:name="_Toc14403"/>
      <w:bookmarkStart w:id="742" w:name="_Toc22239"/>
      <w:bookmarkStart w:id="743" w:name="_Toc515"/>
      <w:bookmarkStart w:id="744" w:name="_Toc20594"/>
      <w:bookmarkStart w:id="745" w:name="_Toc279701258"/>
      <w:r>
        <w:rPr>
          <w:rFonts w:hint="eastAsia" w:ascii="仿宋" w:hAnsi="仿宋" w:eastAsia="仿宋" w:cs="仿宋"/>
          <w:sz w:val="24"/>
          <w:szCs w:val="24"/>
        </w:rPr>
        <w:t>2.15 乙方破产</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14:paraId="1C745176">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A291ABA">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746" w:name="_Toc15445"/>
      <w:bookmarkStart w:id="747" w:name="_Toc8550"/>
      <w:bookmarkStart w:id="748" w:name="_Toc12606"/>
      <w:bookmarkStart w:id="749" w:name="_Toc31307"/>
      <w:bookmarkStart w:id="750" w:name="_Toc26255"/>
      <w:bookmarkStart w:id="751" w:name="_Toc8260"/>
      <w:bookmarkStart w:id="752" w:name="_Toc6134"/>
      <w:bookmarkStart w:id="753" w:name="_Toc4227"/>
      <w:bookmarkStart w:id="754" w:name="_Toc29764"/>
      <w:bookmarkStart w:id="755" w:name="_Toc818"/>
      <w:bookmarkStart w:id="756" w:name="_Toc31639"/>
      <w:bookmarkStart w:id="757" w:name="_Toc24066"/>
      <w:bookmarkStart w:id="758" w:name="_Toc29333"/>
      <w:bookmarkStart w:id="759" w:name="_Toc15605"/>
      <w:bookmarkStart w:id="760" w:name="_Toc9808"/>
      <w:bookmarkStart w:id="761" w:name="_Toc24867"/>
      <w:bookmarkStart w:id="762" w:name="_Toc15387"/>
      <w:bookmarkStart w:id="763" w:name="_Toc9318"/>
      <w:bookmarkStart w:id="764" w:name="_Toc27106"/>
      <w:bookmarkStart w:id="765" w:name="_Toc24976"/>
      <w:r>
        <w:rPr>
          <w:rFonts w:hint="eastAsia" w:ascii="仿宋" w:hAnsi="仿宋" w:eastAsia="仿宋" w:cs="仿宋"/>
          <w:sz w:val="24"/>
          <w:szCs w:val="24"/>
        </w:rPr>
        <w:t>2.16 合同中止、终止</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14:paraId="0A1277B9">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2.16.1 双方当事人不得擅自中止或者终止合同；</w:t>
      </w:r>
    </w:p>
    <w:p w14:paraId="72E0AA80">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2.16.2合同继续履行将损害国家利益和社会公共利益的，双方当事人应当中止或者终止合同。有过错的一方应当承担赔偿责任，双方当事人都有过错的，各自承担相应的责任。</w:t>
      </w:r>
    </w:p>
    <w:p w14:paraId="6E362B59">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766" w:name="_Toc19271"/>
      <w:bookmarkStart w:id="767" w:name="_Toc11658"/>
      <w:bookmarkStart w:id="768" w:name="_Toc25710"/>
      <w:bookmarkStart w:id="769" w:name="_Toc6596"/>
      <w:bookmarkStart w:id="770" w:name="_Toc25358"/>
      <w:bookmarkStart w:id="771" w:name="_Toc20145"/>
      <w:bookmarkStart w:id="772" w:name="_Toc26299"/>
      <w:bookmarkStart w:id="773" w:name="_Toc24731"/>
      <w:bookmarkStart w:id="774" w:name="_Toc30476"/>
      <w:bookmarkStart w:id="775" w:name="_Toc4111"/>
      <w:bookmarkStart w:id="776" w:name="_Toc30133"/>
      <w:bookmarkStart w:id="777" w:name="_Toc19755"/>
      <w:bookmarkStart w:id="778" w:name="_Toc1125"/>
      <w:bookmarkStart w:id="779" w:name="_Toc20534"/>
      <w:bookmarkStart w:id="780" w:name="_Toc14563"/>
      <w:bookmarkStart w:id="781" w:name="_Toc23927"/>
      <w:bookmarkStart w:id="782" w:name="_Toc30958"/>
      <w:bookmarkStart w:id="783" w:name="_Toc13150"/>
      <w:bookmarkStart w:id="784" w:name="_Toc25844"/>
      <w:bookmarkStart w:id="785" w:name="_Toc14890"/>
      <w:r>
        <w:rPr>
          <w:rFonts w:hint="eastAsia" w:ascii="仿宋" w:hAnsi="仿宋" w:eastAsia="仿宋" w:cs="仿宋"/>
          <w:sz w:val="24"/>
          <w:szCs w:val="24"/>
        </w:rPr>
        <w:t>2.17 检验和验收</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14:paraId="5CA603A3">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2.17.1货物交付前，乙方应对货物的质量、数量等方面进行详细、全面的检验，并向甲方出具证明货物符合合同约定的文件；货物交付时，乙方在合同专用条款约定时间内组织验收，并可依法邀请相关方参加，验收应出具验收书。</w:t>
      </w:r>
    </w:p>
    <w:p w14:paraId="0A7D44E9">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F2A36AD">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2.17.3 检验和验收标准、程序等具体内容以及前述验收书的效力详见合同专用条款。</w:t>
      </w:r>
    </w:p>
    <w:bookmarkEnd w:id="656"/>
    <w:bookmarkEnd w:id="657"/>
    <w:bookmarkEnd w:id="658"/>
    <w:bookmarkEnd w:id="659"/>
    <w:p w14:paraId="0ED6C4B8">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786" w:name="_Toc487900371"/>
      <w:bookmarkStart w:id="787" w:name="_Toc279701261"/>
      <w:bookmarkStart w:id="788" w:name="_Toc259093690"/>
      <w:bookmarkStart w:id="789" w:name="_Toc27621"/>
      <w:bookmarkStart w:id="790" w:name="_Toc22021"/>
      <w:bookmarkStart w:id="791" w:name="_Toc31218"/>
      <w:bookmarkStart w:id="792" w:name="_Toc12493"/>
      <w:bookmarkStart w:id="793" w:name="_Toc9266"/>
      <w:bookmarkStart w:id="794" w:name="_Toc197"/>
      <w:bookmarkStart w:id="795" w:name="_Toc17211"/>
      <w:bookmarkStart w:id="796" w:name="_Toc17270"/>
      <w:bookmarkStart w:id="797" w:name="_Toc14242"/>
      <w:bookmarkStart w:id="798" w:name="_Toc18538"/>
      <w:bookmarkStart w:id="799" w:name="_Toc26823"/>
      <w:bookmarkStart w:id="800" w:name="_Toc8096"/>
      <w:bookmarkStart w:id="801" w:name="_Toc19604"/>
      <w:bookmarkStart w:id="802" w:name="_Toc25182"/>
      <w:bookmarkStart w:id="803" w:name="_Toc15037"/>
      <w:bookmarkStart w:id="804" w:name="_Toc26892"/>
      <w:bookmarkStart w:id="805" w:name="_Toc4983"/>
      <w:bookmarkStart w:id="806" w:name="_Toc11284"/>
      <w:bookmarkStart w:id="807" w:name="_Toc13220"/>
      <w:bookmarkStart w:id="808" w:name="_Toc725"/>
      <w:r>
        <w:rPr>
          <w:rFonts w:hint="eastAsia" w:ascii="仿宋" w:hAnsi="仿宋" w:eastAsia="仿宋" w:cs="仿宋"/>
          <w:sz w:val="24"/>
          <w:szCs w:val="24"/>
        </w:rPr>
        <w:t>2.18 通知</w:t>
      </w:r>
      <w:bookmarkEnd w:id="786"/>
      <w:bookmarkEnd w:id="787"/>
      <w:bookmarkEnd w:id="788"/>
      <w:r>
        <w:rPr>
          <w:rFonts w:hint="eastAsia" w:ascii="仿宋" w:hAnsi="仿宋" w:eastAsia="仿宋" w:cs="仿宋"/>
          <w:sz w:val="24"/>
          <w:szCs w:val="24"/>
        </w:rPr>
        <w:t>和送达</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14:paraId="3B155063">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809" w:name="_Toc6698"/>
      <w:bookmarkStart w:id="810" w:name="_Toc3135"/>
      <w:bookmarkStart w:id="811" w:name="_Toc279701262"/>
      <w:bookmarkStart w:id="812" w:name="_Toc259093691"/>
      <w:bookmarkStart w:id="813" w:name="_Toc487900372"/>
      <w:r>
        <w:rPr>
          <w:rFonts w:hint="eastAsia" w:ascii="仿宋" w:hAnsi="仿宋" w:eastAsia="仿宋" w:cs="仿宋"/>
          <w:sz w:val="24"/>
          <w:szCs w:val="24"/>
        </w:rPr>
        <w:t>2.18.1 任何一方因履行合同而以合同第一部分尾部所列明的</w:t>
      </w:r>
      <w:r>
        <w:rPr>
          <w:rFonts w:hint="eastAsia" w:ascii="仿宋" w:hAnsi="仿宋" w:eastAsia="仿宋" w:cs="仿宋"/>
          <w:sz w:val="24"/>
          <w:szCs w:val="24"/>
          <w:u w:val="single"/>
        </w:rPr>
        <w:t xml:space="preserve">          </w:t>
      </w:r>
      <w:r>
        <w:rPr>
          <w:rFonts w:hint="eastAsia" w:ascii="仿宋" w:hAnsi="仿宋" w:eastAsia="仿宋" w:cs="仿宋"/>
          <w:sz w:val="24"/>
          <w:szCs w:val="24"/>
        </w:rPr>
        <w:t>发出的所有通知、文件、材料，均视为已向对方当事人送达；任何一方变更上述送达方式或者地址的，应于   个工作日内书面通知对方当事人，在对方当事人收到有关变更通知之前，变更前的约定送达方式或者地址仍视为有效。</w:t>
      </w:r>
      <w:bookmarkEnd w:id="809"/>
      <w:bookmarkEnd w:id="810"/>
    </w:p>
    <w:p w14:paraId="6BE6FD72">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814" w:name="_Toc23128"/>
      <w:bookmarkStart w:id="815" w:name="_Toc23294"/>
      <w:r>
        <w:rPr>
          <w:rFonts w:hint="eastAsia" w:ascii="仿宋" w:hAnsi="仿宋" w:eastAsia="仿宋" w:cs="仿宋"/>
          <w:sz w:val="24"/>
          <w:szCs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814"/>
      <w:bookmarkEnd w:id="815"/>
    </w:p>
    <w:p w14:paraId="5051C358">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816" w:name="_Toc14810"/>
      <w:bookmarkStart w:id="817" w:name="_Toc31861"/>
      <w:bookmarkStart w:id="818" w:name="_Toc30599"/>
      <w:bookmarkStart w:id="819" w:name="_Toc20309"/>
      <w:bookmarkStart w:id="820" w:name="_Toc32268"/>
      <w:bookmarkStart w:id="821" w:name="_Toc2623"/>
      <w:bookmarkStart w:id="822" w:name="_Toc29312"/>
      <w:bookmarkStart w:id="823" w:name="_Toc19885"/>
      <w:bookmarkStart w:id="824" w:name="_Toc20914"/>
      <w:bookmarkStart w:id="825" w:name="_Toc9371"/>
      <w:bookmarkStart w:id="826" w:name="_Toc4747"/>
      <w:bookmarkStart w:id="827" w:name="_Toc13014"/>
      <w:bookmarkStart w:id="828" w:name="_Toc18540"/>
      <w:bookmarkStart w:id="829" w:name="_Toc12721"/>
      <w:bookmarkStart w:id="830" w:name="_Toc27038"/>
      <w:bookmarkStart w:id="831" w:name="_Toc11892"/>
      <w:bookmarkStart w:id="832" w:name="_Toc4241"/>
      <w:bookmarkStart w:id="833" w:name="_Toc21923"/>
      <w:bookmarkStart w:id="834" w:name="_Toc4355"/>
      <w:r>
        <w:rPr>
          <w:rFonts w:hint="eastAsia" w:ascii="仿宋" w:hAnsi="仿宋" w:eastAsia="仿宋" w:cs="仿宋"/>
          <w:sz w:val="24"/>
          <w:szCs w:val="24"/>
        </w:rPr>
        <w:t>2.19 计量单位</w:t>
      </w:r>
      <w:bookmarkEnd w:id="811"/>
      <w:bookmarkEnd w:id="812"/>
      <w:bookmarkEnd w:id="813"/>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14:paraId="4E27D94A">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除技术规范中另有规定外,合同的计量单位均使用国家法定计量单位。</w:t>
      </w:r>
    </w:p>
    <w:p w14:paraId="3CF44224">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835" w:name="_Toc18567"/>
      <w:bookmarkStart w:id="836" w:name="_Toc13131"/>
      <w:bookmarkStart w:id="837" w:name="_Toc17517"/>
      <w:bookmarkStart w:id="838" w:name="_Toc27589"/>
      <w:bookmarkStart w:id="839" w:name="_Toc15868"/>
      <w:bookmarkStart w:id="840" w:name="_Toc21774"/>
      <w:bookmarkStart w:id="841" w:name="_Toc9626"/>
      <w:bookmarkStart w:id="842" w:name="_Toc279701263"/>
      <w:bookmarkStart w:id="843" w:name="_Toc18322"/>
      <w:bookmarkStart w:id="844" w:name="_Toc8800"/>
      <w:bookmarkStart w:id="845" w:name="_Toc12773"/>
      <w:bookmarkStart w:id="846" w:name="_Toc487900373"/>
      <w:bookmarkStart w:id="847" w:name="_Toc259093692"/>
      <w:bookmarkStart w:id="848" w:name="_Toc5796"/>
      <w:bookmarkStart w:id="849" w:name="_Toc10330"/>
      <w:bookmarkStart w:id="850" w:name="_Toc28784"/>
      <w:bookmarkStart w:id="851" w:name="_Toc18634"/>
      <w:bookmarkStart w:id="852" w:name="_Toc16880"/>
      <w:bookmarkStart w:id="853" w:name="_Toc19154"/>
      <w:bookmarkStart w:id="854" w:name="_Toc32583"/>
      <w:bookmarkStart w:id="855" w:name="_Toc20624"/>
      <w:bookmarkStart w:id="856" w:name="_Toc21095"/>
      <w:bookmarkStart w:id="857" w:name="_Toc15428"/>
      <w:r>
        <w:rPr>
          <w:rFonts w:hint="eastAsia" w:ascii="仿宋" w:hAnsi="仿宋" w:eastAsia="仿宋" w:cs="仿宋"/>
          <w:sz w:val="24"/>
          <w:szCs w:val="24"/>
        </w:rPr>
        <w:t>2.20 合同使用的文字和适用的法律</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14:paraId="3753660B">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2.20.1 合同使用汉语书就、变更和解释；</w:t>
      </w:r>
    </w:p>
    <w:p w14:paraId="26C24339">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2.20.2 合同适用中华人民共和国法律。</w:t>
      </w:r>
    </w:p>
    <w:p w14:paraId="620F8CE1">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858" w:name="_Toc5000"/>
      <w:bookmarkStart w:id="859" w:name="_Toc32497"/>
      <w:bookmarkStart w:id="860" w:name="_Toc26372"/>
      <w:bookmarkStart w:id="861" w:name="_Toc8602"/>
      <w:bookmarkStart w:id="862" w:name="_Toc279701264"/>
      <w:bookmarkStart w:id="863" w:name="_Toc538"/>
      <w:bookmarkStart w:id="864" w:name="_Toc25551"/>
      <w:bookmarkStart w:id="865" w:name="_Toc638"/>
      <w:bookmarkStart w:id="866" w:name="_Toc16673"/>
      <w:bookmarkStart w:id="867" w:name="_Toc1670"/>
      <w:bookmarkStart w:id="868" w:name="_Toc31790"/>
      <w:bookmarkStart w:id="869" w:name="_Toc29942"/>
      <w:bookmarkStart w:id="870" w:name="_Toc14964"/>
      <w:bookmarkStart w:id="871" w:name="_Toc18845"/>
      <w:bookmarkStart w:id="872" w:name="_Toc259093693"/>
      <w:bookmarkStart w:id="873" w:name="_Toc11628"/>
      <w:bookmarkStart w:id="874" w:name="_Toc15434"/>
      <w:bookmarkStart w:id="875" w:name="_Toc3148"/>
      <w:bookmarkStart w:id="876" w:name="_Toc14308"/>
      <w:bookmarkStart w:id="877" w:name="_Toc8022"/>
      <w:bookmarkStart w:id="878" w:name="_Toc12004"/>
      <w:bookmarkStart w:id="879" w:name="_Toc23680"/>
      <w:bookmarkStart w:id="880" w:name="_Toc487900374"/>
      <w:r>
        <w:rPr>
          <w:rFonts w:hint="eastAsia" w:ascii="仿宋" w:hAnsi="仿宋" w:eastAsia="仿宋" w:cs="仿宋"/>
          <w:sz w:val="24"/>
          <w:szCs w:val="24"/>
        </w:rPr>
        <w:t>2.21 履约保证金</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14:paraId="17E7E196">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2.21.1 采购文件要求乙方提交履约保证金的，乙方应按合同专用条款约定的方式，以支票、汇票、本票或者金融机构、担保机构出具的保函等非现金形式，提交不超过合同价10%的履约保证金；</w:t>
      </w:r>
    </w:p>
    <w:p w14:paraId="58267455">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2.21.2  履约保证金在合同专用条款约定期间内或者货物质量保证期内不予退还或者应完全有效，前述约定期间届满或者货物质量保证期届满之日起  个工作日内，甲方应将履约保证金退还乙方；</w:t>
      </w:r>
    </w:p>
    <w:p w14:paraId="1B20CB7C">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880"/>
    <w:p w14:paraId="432DF0B4">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bookmarkStart w:id="881" w:name="_Toc19890"/>
      <w:bookmarkStart w:id="882" w:name="_Toc6885"/>
      <w:bookmarkStart w:id="883" w:name="_Toc22184"/>
      <w:bookmarkStart w:id="884" w:name="_Toc22821"/>
      <w:bookmarkStart w:id="885" w:name="_Toc27563"/>
      <w:bookmarkStart w:id="886" w:name="_Toc15273"/>
      <w:bookmarkStart w:id="887" w:name="_Toc10801"/>
      <w:bookmarkStart w:id="888" w:name="_Toc5227"/>
      <w:bookmarkStart w:id="889" w:name="_Toc30847"/>
      <w:bookmarkStart w:id="890" w:name="_Toc24006"/>
      <w:bookmarkStart w:id="891" w:name="_Toc22496"/>
      <w:bookmarkStart w:id="892" w:name="_Toc11103"/>
      <w:bookmarkStart w:id="893" w:name="_Toc14001"/>
      <w:bookmarkStart w:id="894" w:name="_Toc25691"/>
      <w:bookmarkStart w:id="895" w:name="_Toc2720"/>
      <w:bookmarkStart w:id="896" w:name="_Toc8495"/>
      <w:bookmarkStart w:id="897" w:name="_Toc8867"/>
      <w:bookmarkStart w:id="898" w:name="_Toc32408"/>
      <w:bookmarkStart w:id="899" w:name="_Toc13439"/>
      <w:bookmarkStart w:id="900" w:name="_Toc30496"/>
      <w:r>
        <w:rPr>
          <w:rFonts w:hint="eastAsia" w:ascii="仿宋" w:hAnsi="仿宋" w:eastAsia="仿宋" w:cs="仿宋"/>
          <w:sz w:val="24"/>
          <w:szCs w:val="24"/>
        </w:rPr>
        <w:t>2.22 合同份数</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14:paraId="601BAEAF">
      <w:pPr>
        <w:pStyle w:val="15"/>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合同份数按合同专用条款规定，每份均具有同等法律效力。</w:t>
      </w:r>
      <w:bookmarkStart w:id="901" w:name="_Toc331685784"/>
    </w:p>
    <w:p w14:paraId="57F85B23">
      <w:pPr>
        <w:pStyle w:val="15"/>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sz w:val="24"/>
          <w:szCs w:val="24"/>
        </w:rPr>
      </w:pPr>
    </w:p>
    <w:p w14:paraId="17A52961">
      <w:pPr>
        <w:pStyle w:val="15"/>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第三部分  合同专用条款</w:t>
      </w:r>
      <w:bookmarkEnd w:id="901"/>
    </w:p>
    <w:p w14:paraId="28DAE153">
      <w:pPr>
        <w:pStyle w:val="15"/>
        <w:keepNext w:val="0"/>
        <w:keepLines w:val="0"/>
        <w:pageBreakBefore w:val="0"/>
        <w:widowControl w:val="0"/>
        <w:kinsoku/>
        <w:wordWrap/>
        <w:overflowPunct/>
        <w:topLinePunct w:val="0"/>
        <w:autoSpaceDE/>
        <w:autoSpaceDN/>
        <w:bidi w:val="0"/>
        <w:adjustRightInd/>
        <w:snapToGrid w:val="0"/>
        <w:spacing w:line="50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45724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0"/>
            <w:vAlign w:val="center"/>
          </w:tcPr>
          <w:p w14:paraId="182142B5">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条款号</w:t>
            </w:r>
          </w:p>
        </w:tc>
        <w:tc>
          <w:tcPr>
            <w:tcW w:w="7633" w:type="dxa"/>
            <w:noWrap w:val="0"/>
            <w:vAlign w:val="center"/>
          </w:tcPr>
          <w:p w14:paraId="2F76E88D">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约定内容</w:t>
            </w:r>
          </w:p>
        </w:tc>
      </w:tr>
      <w:tr w14:paraId="7484A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noWrap w:val="0"/>
            <w:vAlign w:val="center"/>
          </w:tcPr>
          <w:p w14:paraId="4365ADC9">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仿宋" w:hAnsi="仿宋" w:eastAsia="仿宋" w:cs="仿宋"/>
                <w:sz w:val="24"/>
                <w:szCs w:val="24"/>
              </w:rPr>
            </w:pPr>
          </w:p>
        </w:tc>
        <w:tc>
          <w:tcPr>
            <w:tcW w:w="7633" w:type="dxa"/>
            <w:noWrap w:val="0"/>
            <w:vAlign w:val="center"/>
          </w:tcPr>
          <w:p w14:paraId="12078275">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仿宋" w:hAnsi="仿宋" w:eastAsia="仿宋" w:cs="仿宋"/>
                <w:sz w:val="24"/>
                <w:szCs w:val="24"/>
              </w:rPr>
            </w:pPr>
          </w:p>
        </w:tc>
      </w:tr>
      <w:tr w14:paraId="781B2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50A16FE5">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仿宋" w:hAnsi="仿宋" w:eastAsia="仿宋" w:cs="仿宋"/>
                <w:sz w:val="24"/>
                <w:szCs w:val="24"/>
              </w:rPr>
            </w:pPr>
          </w:p>
        </w:tc>
        <w:tc>
          <w:tcPr>
            <w:tcW w:w="7633" w:type="dxa"/>
            <w:noWrap w:val="0"/>
            <w:vAlign w:val="center"/>
          </w:tcPr>
          <w:p w14:paraId="05482529">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仿宋" w:hAnsi="仿宋" w:eastAsia="仿宋" w:cs="仿宋"/>
                <w:sz w:val="24"/>
                <w:szCs w:val="24"/>
              </w:rPr>
            </w:pPr>
          </w:p>
        </w:tc>
      </w:tr>
      <w:tr w14:paraId="68600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5FC8140A">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仿宋" w:hAnsi="仿宋" w:eastAsia="仿宋" w:cs="仿宋"/>
                <w:sz w:val="24"/>
                <w:szCs w:val="24"/>
              </w:rPr>
            </w:pPr>
          </w:p>
        </w:tc>
        <w:tc>
          <w:tcPr>
            <w:tcW w:w="7633" w:type="dxa"/>
            <w:noWrap w:val="0"/>
            <w:vAlign w:val="center"/>
          </w:tcPr>
          <w:p w14:paraId="5C93F17D">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仿宋" w:hAnsi="仿宋" w:eastAsia="仿宋" w:cs="仿宋"/>
                <w:sz w:val="24"/>
                <w:szCs w:val="24"/>
              </w:rPr>
            </w:pPr>
          </w:p>
        </w:tc>
      </w:tr>
      <w:tr w14:paraId="1B222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23916C20">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仿宋" w:hAnsi="仿宋" w:eastAsia="仿宋" w:cs="仿宋"/>
                <w:sz w:val="24"/>
                <w:szCs w:val="24"/>
              </w:rPr>
            </w:pPr>
          </w:p>
        </w:tc>
        <w:tc>
          <w:tcPr>
            <w:tcW w:w="7633" w:type="dxa"/>
            <w:noWrap w:val="0"/>
            <w:vAlign w:val="center"/>
          </w:tcPr>
          <w:p w14:paraId="5842AF9A">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仿宋" w:hAnsi="仿宋" w:eastAsia="仿宋" w:cs="仿宋"/>
                <w:sz w:val="24"/>
                <w:szCs w:val="24"/>
              </w:rPr>
            </w:pPr>
          </w:p>
        </w:tc>
      </w:tr>
      <w:tr w14:paraId="7C0F7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42AF222A">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仿宋" w:hAnsi="仿宋" w:eastAsia="仿宋" w:cs="仿宋"/>
                <w:sz w:val="24"/>
                <w:szCs w:val="24"/>
              </w:rPr>
            </w:pPr>
          </w:p>
        </w:tc>
        <w:tc>
          <w:tcPr>
            <w:tcW w:w="7633" w:type="dxa"/>
            <w:noWrap w:val="0"/>
            <w:vAlign w:val="center"/>
          </w:tcPr>
          <w:p w14:paraId="34F7A06D">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仿宋" w:hAnsi="仿宋" w:eastAsia="仿宋" w:cs="仿宋"/>
                <w:sz w:val="24"/>
                <w:szCs w:val="24"/>
              </w:rPr>
            </w:pPr>
          </w:p>
        </w:tc>
      </w:tr>
      <w:tr w14:paraId="11DF7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6576AAC7">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仿宋" w:hAnsi="仿宋" w:eastAsia="仿宋" w:cs="仿宋"/>
                <w:sz w:val="24"/>
                <w:szCs w:val="24"/>
              </w:rPr>
            </w:pPr>
          </w:p>
        </w:tc>
        <w:tc>
          <w:tcPr>
            <w:tcW w:w="7633" w:type="dxa"/>
            <w:noWrap w:val="0"/>
            <w:vAlign w:val="center"/>
          </w:tcPr>
          <w:p w14:paraId="04E6DAD7">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仿宋" w:hAnsi="仿宋" w:eastAsia="仿宋" w:cs="仿宋"/>
                <w:sz w:val="24"/>
                <w:szCs w:val="24"/>
              </w:rPr>
            </w:pPr>
          </w:p>
        </w:tc>
      </w:tr>
      <w:tr w14:paraId="49953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1DBFFECD">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仿宋" w:hAnsi="仿宋" w:eastAsia="仿宋" w:cs="仿宋"/>
                <w:sz w:val="24"/>
                <w:szCs w:val="24"/>
              </w:rPr>
            </w:pPr>
          </w:p>
        </w:tc>
        <w:tc>
          <w:tcPr>
            <w:tcW w:w="7633" w:type="dxa"/>
            <w:noWrap w:val="0"/>
            <w:vAlign w:val="center"/>
          </w:tcPr>
          <w:p w14:paraId="60904F0D">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仿宋" w:hAnsi="仿宋" w:eastAsia="仿宋" w:cs="仿宋"/>
                <w:sz w:val="24"/>
                <w:szCs w:val="24"/>
              </w:rPr>
            </w:pPr>
          </w:p>
        </w:tc>
      </w:tr>
    </w:tbl>
    <w:p w14:paraId="2EE3FB02">
      <w:pPr>
        <w:pStyle w:val="34"/>
        <w:pageBreakBefore w:val="0"/>
        <w:numPr>
          <w:ilvl w:val="0"/>
          <w:numId w:val="0"/>
        </w:numPr>
        <w:kinsoku/>
        <w:wordWrap/>
        <w:overflowPunct/>
        <w:topLinePunct w:val="0"/>
        <w:autoSpaceDE/>
        <w:autoSpaceDN/>
        <w:bidi w:val="0"/>
        <w:adjustRightInd/>
        <w:spacing w:line="396" w:lineRule="auto"/>
        <w:jc w:val="center"/>
        <w:textAlignment w:val="auto"/>
        <w:rPr>
          <w:rFonts w:hint="eastAsia" w:ascii="仿宋" w:hAnsi="仿宋" w:eastAsia="仿宋" w:cs="仿宋"/>
          <w:b/>
          <w:sz w:val="36"/>
          <w:szCs w:val="36"/>
          <w:lang w:val="en-US" w:eastAsia="zh-CN"/>
        </w:rPr>
      </w:pPr>
    </w:p>
    <w:p w14:paraId="1FDADB8D">
      <w:pPr>
        <w:pStyle w:val="34"/>
        <w:pageBreakBefore w:val="0"/>
        <w:numPr>
          <w:ilvl w:val="0"/>
          <w:numId w:val="0"/>
        </w:numPr>
        <w:kinsoku/>
        <w:wordWrap/>
        <w:overflowPunct/>
        <w:topLinePunct w:val="0"/>
        <w:autoSpaceDE/>
        <w:autoSpaceDN/>
        <w:bidi w:val="0"/>
        <w:adjustRightInd/>
        <w:spacing w:line="240" w:lineRule="auto"/>
        <w:jc w:val="center"/>
        <w:textAlignment w:val="auto"/>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第六章  投标文件格式</w:t>
      </w:r>
    </w:p>
    <w:p w14:paraId="6ACAA695">
      <w:pPr>
        <w:pStyle w:val="7"/>
        <w:numPr>
          <w:ilvl w:val="0"/>
          <w:numId w:val="12"/>
        </w:numPr>
        <w:spacing w:before="0" w:line="240" w:lineRule="auto"/>
        <w:ind w:left="1080" w:leftChars="257" w:hanging="540"/>
        <w:rPr>
          <w:rFonts w:hint="eastAsia"/>
        </w:rPr>
      </w:pPr>
      <w:bookmarkStart w:id="902" w:name="_Toc18974"/>
      <w:bookmarkStart w:id="903" w:name="_Toc28505"/>
      <w:bookmarkStart w:id="904" w:name="_Toc4017"/>
      <w:bookmarkStart w:id="905" w:name="_Toc18694"/>
      <w:bookmarkStart w:id="906" w:name="_Toc515647803"/>
      <w:bookmarkStart w:id="907" w:name="_Toc3663"/>
      <w:bookmarkStart w:id="908" w:name="_Toc17768"/>
      <w:bookmarkStart w:id="909" w:name="_Toc31627"/>
      <w:r>
        <w:rPr>
          <w:rFonts w:hint="eastAsia" w:ascii="仿宋" w:hAnsi="仿宋" w:eastAsia="仿宋" w:cs="仿宋"/>
          <w:color w:val="auto"/>
          <w:sz w:val="28"/>
          <w:szCs w:val="28"/>
          <w:highlight w:val="none"/>
        </w:rPr>
        <w:t>开标一览表及资格证明文件</w:t>
      </w:r>
      <w:bookmarkEnd w:id="902"/>
      <w:bookmarkEnd w:id="903"/>
      <w:bookmarkEnd w:id="904"/>
      <w:bookmarkEnd w:id="905"/>
      <w:bookmarkEnd w:id="906"/>
      <w:bookmarkEnd w:id="907"/>
      <w:bookmarkEnd w:id="908"/>
      <w:bookmarkEnd w:id="909"/>
    </w:p>
    <w:p w14:paraId="26FAB46D">
      <w:pPr>
        <w:pStyle w:val="15"/>
        <w:pageBreakBefore w:val="0"/>
        <w:kinsoku/>
        <w:wordWrap/>
        <w:overflowPunct/>
        <w:topLinePunct w:val="0"/>
        <w:autoSpaceDE/>
        <w:autoSpaceDN/>
        <w:bidi w:val="0"/>
        <w:adjustRightInd/>
        <w:snapToGrid w:val="0"/>
        <w:spacing w:line="360" w:lineRule="auto"/>
        <w:ind w:left="239" w:leftChars="114" w:firstLine="120" w:firstLineChars="50"/>
        <w:textAlignment w:val="auto"/>
        <w:outlineLvl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（1）投标人须具备有效经年检合格的“三证合一”营业执照；</w:t>
      </w:r>
    </w:p>
    <w:p w14:paraId="691F132C">
      <w:pPr>
        <w:pStyle w:val="15"/>
        <w:pageBreakBefore w:val="0"/>
        <w:kinsoku/>
        <w:wordWrap/>
        <w:overflowPunct/>
        <w:topLinePunct w:val="0"/>
        <w:autoSpaceDE/>
        <w:autoSpaceDN/>
        <w:bidi w:val="0"/>
        <w:adjustRightInd/>
        <w:snapToGrid w:val="0"/>
        <w:spacing w:line="360" w:lineRule="auto"/>
        <w:ind w:left="239" w:leftChars="114" w:firstLine="120" w:firstLineChars="50"/>
        <w:textAlignment w:val="auto"/>
        <w:outlineLvl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（2）法定代表人、委托人的身份证明及授权委托书；</w:t>
      </w:r>
    </w:p>
    <w:p w14:paraId="10265336">
      <w:pPr>
        <w:pStyle w:val="15"/>
        <w:pageBreakBefore w:val="0"/>
        <w:kinsoku/>
        <w:wordWrap/>
        <w:overflowPunct/>
        <w:topLinePunct w:val="0"/>
        <w:autoSpaceDE/>
        <w:autoSpaceDN/>
        <w:bidi w:val="0"/>
        <w:adjustRightInd/>
        <w:snapToGrid w:val="0"/>
        <w:spacing w:line="360" w:lineRule="auto"/>
        <w:ind w:left="239" w:leftChars="114" w:firstLine="120" w:firstLineChars="50"/>
        <w:textAlignment w:val="auto"/>
        <w:outlineLvl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（3）投标人需提供本单位依法缴纳投标截止时间前半年内任意连续近三个月社保缴纳证明单位缴费个人明细表（社保证明可含：社保缴费凭证、社保缴费证明、社保缴费汇总单、依法缴纳社保的完税证明）；</w:t>
      </w:r>
    </w:p>
    <w:p w14:paraId="26DFB589">
      <w:pPr>
        <w:pStyle w:val="15"/>
        <w:pageBreakBefore w:val="0"/>
        <w:kinsoku/>
        <w:wordWrap/>
        <w:overflowPunct/>
        <w:topLinePunct w:val="0"/>
        <w:autoSpaceDE/>
        <w:autoSpaceDN/>
        <w:bidi w:val="0"/>
        <w:adjustRightInd/>
        <w:snapToGrid w:val="0"/>
        <w:spacing w:line="360" w:lineRule="auto"/>
        <w:ind w:left="239" w:leftChars="114" w:firstLine="120" w:firstLineChars="50"/>
        <w:textAlignment w:val="auto"/>
        <w:outlineLvl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（4）投标人需提供2023年度第三方审计机构出具的财务审计报告(会计周期不满一年的提供近三个月银行出具的资信证明）和健全的财务会计制度；</w:t>
      </w:r>
    </w:p>
    <w:p w14:paraId="58891660">
      <w:pPr>
        <w:pStyle w:val="15"/>
        <w:pageBreakBefore w:val="0"/>
        <w:kinsoku/>
        <w:wordWrap/>
        <w:overflowPunct/>
        <w:topLinePunct w:val="0"/>
        <w:autoSpaceDE/>
        <w:autoSpaceDN/>
        <w:bidi w:val="0"/>
        <w:adjustRightInd/>
        <w:snapToGrid w:val="0"/>
        <w:spacing w:line="360" w:lineRule="auto"/>
        <w:ind w:left="239" w:leftChars="114" w:firstLine="120" w:firstLineChars="50"/>
        <w:textAlignment w:val="auto"/>
        <w:outlineLvl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（5）投标人需提供税务部门出具投标截止时间前半年内任意连续近三个月缴纳税收的完税证明（需含增值税、印花税等税种；如当月无需缴税需提供税务机关出具的无欠税证明）；</w:t>
      </w:r>
    </w:p>
    <w:p w14:paraId="48EB6437">
      <w:pPr>
        <w:pStyle w:val="15"/>
        <w:pageBreakBefore w:val="0"/>
        <w:kinsoku/>
        <w:wordWrap/>
        <w:overflowPunct/>
        <w:topLinePunct w:val="0"/>
        <w:autoSpaceDE/>
        <w:autoSpaceDN/>
        <w:bidi w:val="0"/>
        <w:adjustRightInd/>
        <w:snapToGrid w:val="0"/>
        <w:spacing w:line="360" w:lineRule="auto"/>
        <w:ind w:left="239" w:leftChars="114" w:firstLine="120" w:firstLineChars="50"/>
        <w:textAlignment w:val="auto"/>
        <w:outlineLvl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凡拟参加本次招标项目的投标人，近三年内如在“信用中国（www.creditchina.gov.cn）”被列入失信被执行人、企业经营异常名录、重大税收违法案件当事人名单、政府采购严重违法失信名单（尚在处罚期内的）“中国政府采购网（www.ccgp.gov.cn）”被列入政府采购严重违法失信行为记录名单的（尚在处罚期内的）“国家企业信用信息公示系统（http://www.gsxt.gov.cn）”列入经营异常名录信息、严重违法失信名单（黑名单）信息（尚在处罚期内的）；将拒绝其参与本次政府采购活动；提供上述网页查询截图并加盖公章，</w:t>
      </w:r>
      <w:r>
        <w:rPr>
          <w:rFonts w:hint="eastAsia" w:ascii="仿宋" w:hAnsi="仿宋" w:eastAsia="仿宋" w:cs="仿宋"/>
          <w:kern w:val="2"/>
          <w:sz w:val="24"/>
          <w:szCs w:val="24"/>
          <w:highlight w:val="green"/>
          <w:lang w:val="en-US" w:eastAsia="zh-CN" w:bidi="ar-SA"/>
        </w:rPr>
        <w:t>查询日期必须为此项目公告发布至开标截止时间前一日内有效；</w:t>
      </w:r>
    </w:p>
    <w:p w14:paraId="6E2B45DE">
      <w:pPr>
        <w:pStyle w:val="15"/>
        <w:pageBreakBefore w:val="0"/>
        <w:kinsoku/>
        <w:wordWrap/>
        <w:overflowPunct/>
        <w:topLinePunct w:val="0"/>
        <w:autoSpaceDE/>
        <w:autoSpaceDN/>
        <w:bidi w:val="0"/>
        <w:adjustRightInd/>
        <w:snapToGrid w:val="0"/>
        <w:spacing w:line="360" w:lineRule="auto"/>
        <w:ind w:left="239" w:leftChars="114" w:firstLine="120" w:firstLineChars="50"/>
        <w:textAlignment w:val="auto"/>
        <w:outlineLvl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（7）投标人提供针对本次项目《反商业贿赂承诺书》；</w:t>
      </w:r>
    </w:p>
    <w:p w14:paraId="7CCC6566">
      <w:pPr>
        <w:pStyle w:val="15"/>
        <w:pageBreakBefore w:val="0"/>
        <w:kinsoku/>
        <w:wordWrap/>
        <w:overflowPunct/>
        <w:topLinePunct w:val="0"/>
        <w:autoSpaceDE/>
        <w:autoSpaceDN/>
        <w:bidi w:val="0"/>
        <w:adjustRightInd/>
        <w:snapToGrid w:val="0"/>
        <w:spacing w:line="360" w:lineRule="auto"/>
        <w:ind w:left="239" w:leftChars="114" w:firstLine="120" w:firstLineChars="50"/>
        <w:textAlignment w:val="auto"/>
        <w:outlineLvl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（8）参加政府采购活动前3年内在经营活动中没有重大违法记录的书面声明；</w:t>
      </w:r>
    </w:p>
    <w:p w14:paraId="78B7DB6D">
      <w:pPr>
        <w:pStyle w:val="15"/>
        <w:pageBreakBefore w:val="0"/>
        <w:kinsoku/>
        <w:wordWrap/>
        <w:overflowPunct/>
        <w:topLinePunct w:val="0"/>
        <w:autoSpaceDE/>
        <w:autoSpaceDN/>
        <w:bidi w:val="0"/>
        <w:adjustRightInd/>
        <w:snapToGrid w:val="0"/>
        <w:spacing w:line="360" w:lineRule="auto"/>
        <w:ind w:left="239" w:leftChars="114" w:firstLine="120" w:firstLineChars="50"/>
        <w:textAlignment w:val="auto"/>
        <w:outlineLvl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（9）投标人提供有效期内《食品经营许可证》或《食品流通许可证》或《食品生产许可证》；</w:t>
      </w:r>
    </w:p>
    <w:p w14:paraId="0865B2BA">
      <w:pPr>
        <w:pStyle w:val="15"/>
        <w:pageBreakBefore w:val="0"/>
        <w:kinsoku/>
        <w:wordWrap/>
        <w:overflowPunct/>
        <w:topLinePunct w:val="0"/>
        <w:autoSpaceDE/>
        <w:autoSpaceDN/>
        <w:bidi w:val="0"/>
        <w:adjustRightInd/>
        <w:snapToGrid w:val="0"/>
        <w:spacing w:line="360" w:lineRule="auto"/>
        <w:ind w:left="239" w:leftChars="114" w:firstLine="120" w:firstLineChars="50"/>
        <w:textAlignment w:val="auto"/>
        <w:outlineLvl w:val="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（10）投标保证金有效凭证；</w:t>
      </w:r>
    </w:p>
    <w:p w14:paraId="148AD44C">
      <w:pPr>
        <w:pStyle w:val="15"/>
        <w:pageBreakBefore w:val="0"/>
        <w:kinsoku/>
        <w:wordWrap/>
        <w:overflowPunct/>
        <w:topLinePunct w:val="0"/>
        <w:autoSpaceDE/>
        <w:autoSpaceDN/>
        <w:bidi w:val="0"/>
        <w:adjustRightInd/>
        <w:snapToGrid w:val="0"/>
        <w:spacing w:line="360" w:lineRule="auto"/>
        <w:ind w:left="239" w:leftChars="114" w:firstLine="120" w:firstLineChars="50"/>
        <w:textAlignment w:val="auto"/>
        <w:outlineLvl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（11）落实政府采购政策需满足的资格要求：本项目专门面向中小微企业采购，不再执行价格评审优惠政策。请根据要求单独上传《中小企业声明函》，格式以采购文件中要求为准。</w:t>
      </w:r>
    </w:p>
    <w:p w14:paraId="68692B60">
      <w:pPr>
        <w:pStyle w:val="15"/>
        <w:pageBreakBefore w:val="0"/>
        <w:kinsoku/>
        <w:wordWrap/>
        <w:overflowPunct/>
        <w:topLinePunct w:val="0"/>
        <w:autoSpaceDE/>
        <w:autoSpaceDN/>
        <w:bidi w:val="0"/>
        <w:adjustRightInd/>
        <w:snapToGrid w:val="0"/>
        <w:spacing w:line="396" w:lineRule="auto"/>
        <w:ind w:left="239" w:leftChars="114" w:firstLine="120" w:firstLineChars="50"/>
        <w:textAlignment w:val="auto"/>
        <w:outlineLvl w:val="2"/>
        <w:rPr>
          <w:rFonts w:hint="eastAsia" w:ascii="仿宋" w:hAnsi="仿宋" w:eastAsia="仿宋" w:cs="仿宋"/>
          <w:kern w:val="2"/>
          <w:sz w:val="24"/>
          <w:szCs w:val="24"/>
          <w:lang w:val="en-US" w:eastAsia="zh-CN" w:bidi="ar-SA"/>
        </w:rPr>
      </w:pPr>
    </w:p>
    <w:p w14:paraId="1F4E07C6">
      <w:pPr>
        <w:pStyle w:val="15"/>
        <w:pageBreakBefore w:val="0"/>
        <w:kinsoku/>
        <w:wordWrap/>
        <w:overflowPunct/>
        <w:topLinePunct w:val="0"/>
        <w:autoSpaceDE/>
        <w:autoSpaceDN/>
        <w:bidi w:val="0"/>
        <w:adjustRightInd/>
        <w:snapToGrid w:val="0"/>
        <w:spacing w:line="396" w:lineRule="auto"/>
        <w:ind w:left="239" w:leftChars="114" w:firstLine="120" w:firstLineChars="50"/>
        <w:textAlignment w:val="auto"/>
        <w:outlineLvl w:val="2"/>
        <w:rPr>
          <w:rFonts w:hint="eastAsia" w:ascii="仿宋" w:hAnsi="仿宋" w:eastAsia="仿宋" w:cs="仿宋"/>
          <w:kern w:val="2"/>
          <w:sz w:val="24"/>
          <w:szCs w:val="24"/>
          <w:lang w:val="en-US" w:eastAsia="zh-CN" w:bidi="ar-SA"/>
        </w:rPr>
      </w:pPr>
    </w:p>
    <w:p w14:paraId="2D27E0C9">
      <w:pPr>
        <w:pStyle w:val="15"/>
        <w:pageBreakBefore w:val="0"/>
        <w:kinsoku/>
        <w:wordWrap/>
        <w:overflowPunct/>
        <w:topLinePunct w:val="0"/>
        <w:autoSpaceDE/>
        <w:autoSpaceDN/>
        <w:bidi w:val="0"/>
        <w:adjustRightInd/>
        <w:snapToGrid w:val="0"/>
        <w:spacing w:line="396" w:lineRule="auto"/>
        <w:ind w:left="239" w:leftChars="114" w:firstLine="120" w:firstLineChars="50"/>
        <w:textAlignment w:val="auto"/>
        <w:outlineLvl w:val="2"/>
        <w:rPr>
          <w:rFonts w:hint="eastAsia" w:ascii="仿宋" w:hAnsi="仿宋" w:eastAsia="仿宋" w:cs="仿宋"/>
          <w:kern w:val="2"/>
          <w:sz w:val="24"/>
          <w:szCs w:val="24"/>
          <w:lang w:val="en-US" w:eastAsia="zh-CN" w:bidi="ar-SA"/>
        </w:rPr>
      </w:pPr>
    </w:p>
    <w:p w14:paraId="1EA4A221">
      <w:pPr>
        <w:pStyle w:val="15"/>
        <w:pageBreakBefore w:val="0"/>
        <w:kinsoku/>
        <w:wordWrap/>
        <w:overflowPunct/>
        <w:topLinePunct w:val="0"/>
        <w:autoSpaceDE/>
        <w:autoSpaceDN/>
        <w:bidi w:val="0"/>
        <w:adjustRightInd/>
        <w:snapToGrid w:val="0"/>
        <w:spacing w:line="396" w:lineRule="auto"/>
        <w:ind w:left="239" w:leftChars="114" w:firstLine="120" w:firstLineChars="50"/>
        <w:textAlignment w:val="auto"/>
        <w:outlineLvl w:val="2"/>
        <w:rPr>
          <w:rFonts w:hint="eastAsia" w:ascii="仿宋" w:hAnsi="仿宋" w:eastAsia="仿宋" w:cs="仿宋"/>
          <w:kern w:val="2"/>
          <w:sz w:val="24"/>
          <w:szCs w:val="24"/>
          <w:lang w:val="en-US" w:eastAsia="zh-CN" w:bidi="ar-SA"/>
        </w:rPr>
      </w:pPr>
    </w:p>
    <w:p w14:paraId="30EA5808">
      <w:pPr>
        <w:pStyle w:val="15"/>
        <w:pageBreakBefore w:val="0"/>
        <w:kinsoku/>
        <w:wordWrap/>
        <w:overflowPunct/>
        <w:topLinePunct w:val="0"/>
        <w:autoSpaceDE/>
        <w:autoSpaceDN/>
        <w:bidi w:val="0"/>
        <w:adjustRightInd/>
        <w:snapToGrid w:val="0"/>
        <w:spacing w:line="396" w:lineRule="auto"/>
        <w:ind w:left="239" w:leftChars="114" w:firstLine="120" w:firstLineChars="50"/>
        <w:textAlignment w:val="auto"/>
        <w:outlineLvl w:val="2"/>
        <w:rPr>
          <w:rFonts w:hint="eastAsia" w:ascii="仿宋" w:hAnsi="仿宋" w:eastAsia="仿宋" w:cs="仿宋"/>
          <w:kern w:val="2"/>
          <w:sz w:val="24"/>
          <w:szCs w:val="24"/>
          <w:lang w:val="en-US" w:eastAsia="zh-CN" w:bidi="ar-SA"/>
        </w:rPr>
      </w:pPr>
    </w:p>
    <w:p w14:paraId="2AAD98E4">
      <w:pPr>
        <w:pStyle w:val="15"/>
        <w:pageBreakBefore w:val="0"/>
        <w:kinsoku/>
        <w:wordWrap/>
        <w:overflowPunct/>
        <w:topLinePunct w:val="0"/>
        <w:autoSpaceDE/>
        <w:autoSpaceDN/>
        <w:bidi w:val="0"/>
        <w:adjustRightInd/>
        <w:snapToGrid w:val="0"/>
        <w:spacing w:line="396" w:lineRule="auto"/>
        <w:ind w:left="239" w:leftChars="114" w:firstLine="120" w:firstLineChars="50"/>
        <w:textAlignment w:val="auto"/>
        <w:outlineLvl w:val="2"/>
        <w:rPr>
          <w:rFonts w:hint="eastAsia" w:ascii="仿宋" w:hAnsi="仿宋" w:eastAsia="仿宋" w:cs="仿宋"/>
          <w:kern w:val="2"/>
          <w:sz w:val="24"/>
          <w:szCs w:val="24"/>
          <w:lang w:val="en-US" w:eastAsia="zh-CN" w:bidi="ar-SA"/>
        </w:rPr>
      </w:pPr>
    </w:p>
    <w:p w14:paraId="05544487">
      <w:pPr>
        <w:tabs>
          <w:tab w:val="left" w:pos="5580"/>
        </w:tabs>
        <w:spacing w:line="240" w:lineRule="atLeast"/>
        <w:jc w:val="center"/>
        <w:rPr>
          <w:rFonts w:hint="eastAsia" w:ascii="仿宋" w:hAnsi="仿宋" w:eastAsia="仿宋" w:cs="仿宋"/>
          <w:b/>
          <w:bCs/>
          <w:color w:val="auto"/>
          <w:sz w:val="28"/>
          <w:szCs w:val="28"/>
          <w:highlight w:val="none"/>
        </w:rPr>
      </w:pPr>
      <w:bookmarkStart w:id="910" w:name="_Toc12424"/>
      <w:bookmarkStart w:id="911" w:name="_Toc18145"/>
      <w:bookmarkStart w:id="912" w:name="_Toc16786"/>
      <w:bookmarkStart w:id="913" w:name="_Toc515647804"/>
      <w:bookmarkStart w:id="914" w:name="_Toc30524"/>
      <w:bookmarkStart w:id="915" w:name="_Toc16568"/>
    </w:p>
    <w:p w14:paraId="243BB923">
      <w:pPr>
        <w:tabs>
          <w:tab w:val="left" w:pos="5580"/>
        </w:tabs>
        <w:spacing w:line="240" w:lineRule="atLeast"/>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8"/>
          <w:szCs w:val="28"/>
          <w:highlight w:val="none"/>
        </w:rPr>
        <w:t>1、开标一览表</w:t>
      </w:r>
      <w:bookmarkEnd w:id="910"/>
      <w:bookmarkEnd w:id="911"/>
      <w:bookmarkEnd w:id="912"/>
      <w:bookmarkEnd w:id="913"/>
      <w:bookmarkEnd w:id="914"/>
      <w:bookmarkEnd w:id="915"/>
      <w:r>
        <w:rPr>
          <w:rFonts w:hint="eastAsia" w:ascii="仿宋" w:hAnsi="仿宋" w:eastAsia="仿宋" w:cs="仿宋"/>
          <w:b/>
          <w:bCs/>
          <w:color w:val="auto"/>
          <w:sz w:val="28"/>
          <w:szCs w:val="28"/>
          <w:highlight w:val="none"/>
          <w:lang w:eastAsia="zh-CN"/>
        </w:rPr>
        <w:t>（投标文件格式</w:t>
      </w:r>
      <w:r>
        <w:rPr>
          <w:rFonts w:hint="eastAsia" w:ascii="仿宋" w:hAnsi="仿宋" w:eastAsia="仿宋" w:cs="仿宋"/>
          <w:b/>
          <w:bCs/>
          <w:color w:val="auto"/>
          <w:sz w:val="28"/>
          <w:szCs w:val="28"/>
          <w:highlight w:val="none"/>
          <w:lang w:val="en-US" w:eastAsia="zh-CN"/>
        </w:rPr>
        <w:t>一）</w:t>
      </w:r>
    </w:p>
    <w:p w14:paraId="4A0A7429">
      <w:pPr>
        <w:pStyle w:val="15"/>
        <w:tabs>
          <w:tab w:val="left" w:pos="5580"/>
        </w:tabs>
        <w:spacing w:line="240" w:lineRule="atLeast"/>
        <w:ind w:left="269" w:leftChars="128"/>
        <w:rPr>
          <w:rFonts w:hint="eastAsia" w:ascii="仿宋" w:hAnsi="仿宋" w:eastAsia="仿宋" w:cs="仿宋"/>
          <w:color w:val="auto"/>
          <w:sz w:val="24"/>
          <w:szCs w:val="24"/>
          <w:highlight w:val="none"/>
        </w:rPr>
      </w:pPr>
    </w:p>
    <w:p w14:paraId="39C42874">
      <w:pPr>
        <w:pStyle w:val="4"/>
        <w:tabs>
          <w:tab w:val="left" w:pos="5580"/>
        </w:tabs>
        <w:spacing w:line="240" w:lineRule="atLeast"/>
        <w:ind w:left="0" w:leftChars="0" w:firstLine="0" w:firstLineChars="0"/>
        <w:jc w:val="center"/>
        <w:rPr>
          <w:rFonts w:hint="eastAsia" w:ascii="仿宋" w:hAnsi="仿宋" w:eastAsia="仿宋" w:cs="仿宋"/>
          <w:b/>
          <w:color w:val="auto"/>
          <w:highlight w:val="none"/>
        </w:rPr>
      </w:pPr>
      <w:bookmarkStart w:id="916" w:name="_Hlt520356241"/>
      <w:bookmarkEnd w:id="916"/>
      <w:bookmarkStart w:id="917" w:name="_Toc494296984"/>
      <w:bookmarkStart w:id="918" w:name="_Toc480942349"/>
      <w:bookmarkStart w:id="919" w:name="_Ref467988698"/>
      <w:bookmarkStart w:id="920" w:name="_Toc520356217"/>
      <w:bookmarkStart w:id="921" w:name="_Toc216582813"/>
      <w:r>
        <w:rPr>
          <w:rFonts w:hint="eastAsia" w:ascii="仿宋" w:hAnsi="仿宋" w:eastAsia="仿宋" w:cs="仿宋"/>
          <w:b/>
          <w:color w:val="auto"/>
          <w:highlight w:val="none"/>
        </w:rPr>
        <w:t>开标一览表</w:t>
      </w:r>
      <w:bookmarkEnd w:id="917"/>
    </w:p>
    <w:p w14:paraId="1651E59E">
      <w:pPr>
        <w:pStyle w:val="4"/>
        <w:tabs>
          <w:tab w:val="left" w:pos="5580"/>
        </w:tabs>
        <w:spacing w:line="240" w:lineRule="atLeast"/>
        <w:ind w:left="0" w:leftChars="0" w:firstLine="0" w:firstLineChars="0"/>
        <w:rPr>
          <w:rFonts w:hint="eastAsia" w:ascii="仿宋" w:hAnsi="仿宋" w:eastAsia="仿宋" w:cs="仿宋"/>
          <w:color w:val="auto"/>
          <w:highlight w:val="none"/>
        </w:rPr>
      </w:pPr>
    </w:p>
    <w:p w14:paraId="76149FA0">
      <w:pPr>
        <w:tabs>
          <w:tab w:val="left" w:pos="1800"/>
          <w:tab w:val="left" w:pos="5580"/>
        </w:tabs>
        <w:spacing w:line="240" w:lineRule="atLeast"/>
        <w:ind w:right="-867" w:rightChars="-413"/>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lang w:val="en-US" w:eastAsia="zh-CN"/>
        </w:rPr>
        <w:t>项目名称：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lang w:val="en-US" w:eastAsia="zh-CN"/>
        </w:rPr>
        <w:t>项目编号：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单位：</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p>
    <w:tbl>
      <w:tblPr>
        <w:tblStyle w:val="25"/>
        <w:tblpPr w:leftFromText="180" w:rightFromText="180" w:vertAnchor="text" w:horzAnchor="page" w:tblpX="1089" w:tblpY="420"/>
        <w:tblOverlap w:val="never"/>
        <w:tblW w:w="10550" w:type="dxa"/>
        <w:tblInd w:w="0" w:type="dxa"/>
        <w:tblLayout w:type="fixed"/>
        <w:tblCellMar>
          <w:top w:w="0" w:type="dxa"/>
          <w:left w:w="0" w:type="dxa"/>
          <w:bottom w:w="0" w:type="dxa"/>
          <w:right w:w="0" w:type="dxa"/>
        </w:tblCellMar>
      </w:tblPr>
      <w:tblGrid>
        <w:gridCol w:w="1760"/>
        <w:gridCol w:w="1790"/>
        <w:gridCol w:w="2000"/>
        <w:gridCol w:w="1550"/>
        <w:gridCol w:w="1650"/>
        <w:gridCol w:w="1800"/>
      </w:tblGrid>
      <w:tr w14:paraId="20423AFD">
        <w:tblPrEx>
          <w:tblCellMar>
            <w:top w:w="0" w:type="dxa"/>
            <w:left w:w="0" w:type="dxa"/>
            <w:bottom w:w="0" w:type="dxa"/>
            <w:right w:w="0" w:type="dxa"/>
          </w:tblCellMar>
        </w:tblPrEx>
        <w:trPr>
          <w:trHeight w:val="631" w:hRule="atLeast"/>
        </w:trPr>
        <w:tc>
          <w:tcPr>
            <w:tcW w:w="1760" w:type="dxa"/>
            <w:tcBorders>
              <w:top w:val="single" w:color="auto" w:sz="4" w:space="0"/>
              <w:left w:val="single" w:color="auto" w:sz="4" w:space="0"/>
              <w:bottom w:val="single" w:color="auto" w:sz="4" w:space="0"/>
              <w:right w:val="single" w:color="auto" w:sz="4" w:space="0"/>
            </w:tcBorders>
            <w:noWrap w:val="0"/>
            <w:vAlign w:val="center"/>
          </w:tcPr>
          <w:p w14:paraId="124CDF72">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项目</w:t>
            </w:r>
            <w:r>
              <w:rPr>
                <w:rFonts w:hint="eastAsia" w:ascii="仿宋" w:hAnsi="仿宋" w:eastAsia="仿宋" w:cs="仿宋"/>
                <w:color w:val="auto"/>
                <w:sz w:val="24"/>
                <w:szCs w:val="24"/>
                <w:lang w:eastAsia="zh-CN"/>
              </w:rPr>
              <w:t>名称</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48C6699A">
            <w:pPr>
              <w:keepNext w:val="0"/>
              <w:keepLines w:val="0"/>
              <w:suppressLineNumbers w:val="0"/>
              <w:tabs>
                <w:tab w:val="left" w:pos="5580"/>
              </w:tabs>
              <w:spacing w:before="0" w:beforeAutospacing="0" w:after="0" w:afterAutospacing="0" w:line="240" w:lineRule="atLeast"/>
              <w:ind w:left="0" w:leftChars="0" w:right="0" w:rightChars="0"/>
              <w:jc w:val="center"/>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下浮率（%）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4C60F93B">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投标保证金</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729EDAE8">
            <w:pPr>
              <w:keepNext w:val="0"/>
              <w:keepLines w:val="0"/>
              <w:suppressLineNumbers w:val="0"/>
              <w:tabs>
                <w:tab w:val="left" w:pos="5580"/>
              </w:tabs>
              <w:spacing w:before="0" w:beforeAutospacing="0" w:after="0" w:afterAutospacing="0" w:line="240" w:lineRule="atLeast"/>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交货期</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6E2508D">
            <w:pPr>
              <w:keepNext w:val="0"/>
              <w:keepLines w:val="0"/>
              <w:suppressLineNumbers w:val="0"/>
              <w:tabs>
                <w:tab w:val="left" w:pos="5580"/>
              </w:tabs>
              <w:spacing w:before="0" w:beforeAutospacing="0" w:after="0" w:afterAutospacing="0" w:line="240" w:lineRule="atLeast"/>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交货地点</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0FB4B7A">
            <w:pPr>
              <w:keepNext w:val="0"/>
              <w:keepLines w:val="0"/>
              <w:suppressLineNumbers w:val="0"/>
              <w:tabs>
                <w:tab w:val="left" w:pos="5580"/>
              </w:tabs>
              <w:spacing w:before="0" w:beforeAutospacing="0" w:after="0" w:afterAutospacing="0" w:line="240" w:lineRule="atLeast"/>
              <w:ind w:left="0" w:leftChars="0" w:right="0" w:right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备注</w:t>
            </w:r>
          </w:p>
        </w:tc>
      </w:tr>
      <w:tr w14:paraId="7F94D333">
        <w:tblPrEx>
          <w:tblCellMar>
            <w:top w:w="0" w:type="dxa"/>
            <w:left w:w="0" w:type="dxa"/>
            <w:bottom w:w="0" w:type="dxa"/>
            <w:right w:w="0" w:type="dxa"/>
          </w:tblCellMar>
        </w:tblPrEx>
        <w:trPr>
          <w:cantSplit/>
          <w:trHeight w:val="1183" w:hRule="atLeast"/>
        </w:trPr>
        <w:tc>
          <w:tcPr>
            <w:tcW w:w="1760" w:type="dxa"/>
            <w:tcBorders>
              <w:top w:val="single" w:color="auto" w:sz="4" w:space="0"/>
              <w:left w:val="single" w:color="auto" w:sz="4" w:space="0"/>
              <w:bottom w:val="single" w:color="auto" w:sz="4" w:space="0"/>
              <w:right w:val="single" w:color="auto" w:sz="4" w:space="0"/>
            </w:tcBorders>
            <w:noWrap w:val="0"/>
            <w:vAlign w:val="center"/>
          </w:tcPr>
          <w:p w14:paraId="7EF216DC">
            <w:pPr>
              <w:keepNext w:val="0"/>
              <w:keepLines w:val="0"/>
              <w:suppressLineNumbers w:val="0"/>
              <w:tabs>
                <w:tab w:val="left" w:pos="5580"/>
              </w:tabs>
              <w:spacing w:before="0" w:beforeAutospacing="0" w:after="0" w:afterAutospacing="0" w:line="240" w:lineRule="atLeast"/>
              <w:ind w:left="0" w:right="0"/>
              <w:jc w:val="left"/>
              <w:rPr>
                <w:rFonts w:hint="eastAsia" w:ascii="仿宋" w:hAnsi="仿宋" w:eastAsia="仿宋" w:cs="仿宋"/>
                <w:color w:val="auto"/>
                <w:sz w:val="24"/>
                <w:szCs w:val="24"/>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14:paraId="6149A9A1">
            <w:pPr>
              <w:keepNext w:val="0"/>
              <w:keepLines w:val="0"/>
              <w:suppressLineNumbers w:val="0"/>
              <w:tabs>
                <w:tab w:val="left" w:pos="5580"/>
              </w:tabs>
              <w:spacing w:before="0" w:beforeAutospacing="0" w:after="0" w:afterAutospacing="0" w:line="240" w:lineRule="atLeast"/>
              <w:ind w:left="0" w:leftChars="0" w:right="0" w:rightChars="0"/>
              <w:jc w:val="both"/>
              <w:rPr>
                <w:rFonts w:hint="eastAsia" w:ascii="仿宋" w:hAnsi="仿宋" w:eastAsia="仿宋" w:cs="仿宋"/>
                <w:color w:val="auto"/>
                <w:sz w:val="24"/>
                <w:szCs w:val="24"/>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67A449C4">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56907FB8">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F4E0F08">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222E31D">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4"/>
                <w:szCs w:val="24"/>
              </w:rPr>
            </w:pPr>
          </w:p>
        </w:tc>
      </w:tr>
    </w:tbl>
    <w:p w14:paraId="737F1DEC">
      <w:pPr>
        <w:pStyle w:val="15"/>
        <w:tabs>
          <w:tab w:val="left" w:pos="5580"/>
        </w:tabs>
        <w:spacing w:line="240" w:lineRule="atLeast"/>
        <w:rPr>
          <w:rFonts w:hint="eastAsia" w:ascii="仿宋" w:hAnsi="仿宋" w:eastAsia="仿宋" w:cs="仿宋"/>
          <w:color w:val="auto"/>
          <w:sz w:val="24"/>
          <w:highlight w:val="none"/>
        </w:rPr>
      </w:pPr>
    </w:p>
    <w:p w14:paraId="6BDA3E70">
      <w:pPr>
        <w:pStyle w:val="4"/>
        <w:tabs>
          <w:tab w:val="left" w:pos="5580"/>
        </w:tabs>
        <w:spacing w:line="240" w:lineRule="atLeast"/>
        <w:ind w:left="1080" w:leftChars="257" w:hanging="540"/>
        <w:jc w:val="both"/>
        <w:rPr>
          <w:rFonts w:hint="eastAsia" w:ascii="仿宋" w:hAnsi="仿宋" w:eastAsia="仿宋" w:cs="仿宋"/>
          <w:b/>
          <w:color w:val="auto"/>
          <w:highlight w:val="none"/>
          <w:lang w:val="en-US" w:eastAsia="zh-CN"/>
        </w:rPr>
      </w:pPr>
    </w:p>
    <w:p w14:paraId="524CD896">
      <w:pPr>
        <w:pStyle w:val="4"/>
        <w:tabs>
          <w:tab w:val="left" w:pos="5580"/>
        </w:tabs>
        <w:spacing w:line="240" w:lineRule="atLeast"/>
        <w:ind w:left="1080" w:leftChars="257" w:hanging="54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投标人名称（单位盖章）：_______________________________</w:t>
      </w:r>
    </w:p>
    <w:p w14:paraId="5227F577">
      <w:pPr>
        <w:pStyle w:val="4"/>
        <w:tabs>
          <w:tab w:val="left" w:pos="5580"/>
        </w:tabs>
        <w:spacing w:line="240" w:lineRule="atLeast"/>
        <w:ind w:left="1080" w:leftChars="257" w:hanging="540"/>
        <w:jc w:val="both"/>
        <w:rPr>
          <w:rFonts w:hint="eastAsia" w:ascii="仿宋" w:hAnsi="仿宋" w:eastAsia="仿宋" w:cs="仿宋"/>
          <w:color w:val="auto"/>
          <w:kern w:val="2"/>
          <w:sz w:val="24"/>
          <w:szCs w:val="24"/>
          <w:highlight w:val="none"/>
          <w:lang w:val="en-US" w:eastAsia="zh-CN" w:bidi="ar-SA"/>
        </w:rPr>
      </w:pPr>
    </w:p>
    <w:p w14:paraId="11D3CBC4">
      <w:pPr>
        <w:pStyle w:val="4"/>
        <w:tabs>
          <w:tab w:val="left" w:pos="5580"/>
        </w:tabs>
        <w:spacing w:line="240" w:lineRule="atLeast"/>
        <w:ind w:left="1080" w:leftChars="257" w:hanging="54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法定代表人或委托代理(签字)：___________________________</w:t>
      </w:r>
    </w:p>
    <w:p w14:paraId="0D9E7B73">
      <w:pPr>
        <w:pStyle w:val="4"/>
        <w:tabs>
          <w:tab w:val="left" w:pos="5580"/>
        </w:tabs>
        <w:spacing w:line="240" w:lineRule="atLeast"/>
        <w:ind w:left="1080" w:leftChars="257" w:hanging="540"/>
        <w:jc w:val="both"/>
        <w:rPr>
          <w:rFonts w:hint="eastAsia" w:ascii="仿宋" w:hAnsi="仿宋" w:eastAsia="仿宋" w:cs="仿宋"/>
          <w:color w:val="auto"/>
          <w:kern w:val="2"/>
          <w:sz w:val="24"/>
          <w:szCs w:val="24"/>
          <w:highlight w:val="none"/>
          <w:lang w:val="en-US" w:eastAsia="zh-CN" w:bidi="ar-SA"/>
        </w:rPr>
      </w:pPr>
    </w:p>
    <w:p w14:paraId="4283612C">
      <w:pPr>
        <w:pStyle w:val="4"/>
        <w:tabs>
          <w:tab w:val="left" w:pos="5580"/>
        </w:tabs>
        <w:spacing w:line="240" w:lineRule="atLeast"/>
        <w:ind w:left="1080" w:leftChars="257" w:hanging="54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 1、此表中，投标下浮率应和投标分项下浮表的下浮率一致。</w:t>
      </w:r>
    </w:p>
    <w:p w14:paraId="42BD75C3">
      <w:pPr>
        <w:pStyle w:val="4"/>
        <w:tabs>
          <w:tab w:val="left" w:pos="5580"/>
        </w:tabs>
        <w:spacing w:line="240" w:lineRule="atLeast"/>
        <w:ind w:left="0" w:leftChars="0" w:firstLine="0" w:firstLineChars="0"/>
        <w:jc w:val="both"/>
        <w:rPr>
          <w:rFonts w:hint="eastAsia" w:ascii="仿宋" w:hAnsi="仿宋" w:eastAsia="仿宋" w:cs="仿宋"/>
          <w:color w:val="auto"/>
          <w:kern w:val="2"/>
          <w:sz w:val="24"/>
          <w:szCs w:val="24"/>
          <w:highlight w:val="none"/>
          <w:lang w:val="en-US" w:eastAsia="zh-CN" w:bidi="ar-SA"/>
        </w:rPr>
      </w:pPr>
    </w:p>
    <w:p w14:paraId="27492BF7">
      <w:pPr>
        <w:pStyle w:val="4"/>
        <w:numPr>
          <w:ilvl w:val="0"/>
          <w:numId w:val="0"/>
        </w:numPr>
        <w:tabs>
          <w:tab w:val="left" w:pos="5580"/>
        </w:tabs>
        <w:spacing w:line="240" w:lineRule="atLeast"/>
        <w:ind w:leftChars="100" w:firstLine="720" w:firstLineChars="3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2、投标商报价时包含税费等一切与本次项目相关的费用。</w:t>
      </w:r>
    </w:p>
    <w:p w14:paraId="1319926F">
      <w:pPr>
        <w:pStyle w:val="5"/>
        <w:numPr>
          <w:ilvl w:val="0"/>
          <w:numId w:val="0"/>
        </w:numPr>
        <w:ind w:leftChars="100"/>
        <w:rPr>
          <w:rFonts w:hint="eastAsia"/>
        </w:rPr>
      </w:pPr>
    </w:p>
    <w:p w14:paraId="07F3F4B6">
      <w:pPr>
        <w:rPr>
          <w:rFonts w:hint="eastAsia"/>
        </w:rPr>
      </w:pPr>
    </w:p>
    <w:p w14:paraId="74C916C5">
      <w:pPr>
        <w:rPr>
          <w:rFonts w:hint="eastAsia"/>
        </w:rPr>
      </w:pPr>
    </w:p>
    <w:p w14:paraId="37AE59C2">
      <w:pPr>
        <w:rPr>
          <w:rFonts w:hint="eastAsia"/>
        </w:rPr>
      </w:pPr>
    </w:p>
    <w:p w14:paraId="4886041B">
      <w:pPr>
        <w:rPr>
          <w:rFonts w:hint="eastAsia"/>
        </w:rPr>
      </w:pPr>
    </w:p>
    <w:p w14:paraId="0BA524C3">
      <w:pPr>
        <w:rPr>
          <w:rFonts w:hint="eastAsia"/>
        </w:rPr>
      </w:pPr>
    </w:p>
    <w:p w14:paraId="0C1954F2">
      <w:pPr>
        <w:rPr>
          <w:rFonts w:hint="eastAsia"/>
        </w:rPr>
      </w:pPr>
    </w:p>
    <w:p w14:paraId="02223B62">
      <w:pPr>
        <w:rPr>
          <w:rFonts w:hint="eastAsia"/>
        </w:rPr>
      </w:pPr>
    </w:p>
    <w:p w14:paraId="6858BE79">
      <w:pPr>
        <w:rPr>
          <w:rFonts w:hint="eastAsia"/>
        </w:rPr>
      </w:pPr>
    </w:p>
    <w:p w14:paraId="6475533C">
      <w:pPr>
        <w:numPr>
          <w:ilvl w:val="0"/>
          <w:numId w:val="0"/>
        </w:numPr>
        <w:spacing w:before="78" w:line="360" w:lineRule="auto"/>
        <w:ind w:right="102" w:rightChars="0"/>
        <w:rPr>
          <w:rFonts w:hint="eastAsia" w:ascii="仿宋" w:hAnsi="仿宋" w:eastAsia="仿宋" w:cs="仿宋"/>
          <w:b/>
          <w:bCs/>
          <w:color w:val="auto"/>
          <w:sz w:val="24"/>
          <w:szCs w:val="24"/>
          <w:highlight w:val="none"/>
        </w:rPr>
      </w:pPr>
      <w:bookmarkStart w:id="922" w:name="_Toc11047"/>
      <w:bookmarkStart w:id="923" w:name="_Toc28445"/>
      <w:bookmarkStart w:id="924" w:name="_Toc515647809"/>
      <w:r>
        <w:rPr>
          <w:rFonts w:hint="eastAsia" w:ascii="仿宋" w:hAnsi="仿宋" w:eastAsia="仿宋" w:cs="仿宋"/>
          <w:b/>
          <w:bCs/>
          <w:color w:val="auto"/>
          <w:sz w:val="24"/>
          <w:highlight w:val="none"/>
          <w:lang w:val="en-US" w:eastAsia="zh-CN"/>
        </w:rPr>
        <w:t>2、投标人须具备有效经年检合格的“三证合一”营业执照；</w:t>
      </w:r>
    </w:p>
    <w:p w14:paraId="6C590CE7">
      <w:pPr>
        <w:numPr>
          <w:ilvl w:val="0"/>
          <w:numId w:val="0"/>
        </w:numPr>
        <w:spacing w:before="78" w:line="360" w:lineRule="auto"/>
        <w:ind w:right="102" w:rightChars="0" w:firstLine="230" w:firstLineChars="100"/>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说明：复</w:t>
      </w:r>
      <w:r>
        <w:rPr>
          <w:rFonts w:hint="eastAsia" w:ascii="仿宋" w:hAnsi="仿宋" w:eastAsia="仿宋" w:cs="仿宋"/>
          <w:color w:val="auto"/>
          <w:spacing w:val="-2"/>
          <w:sz w:val="24"/>
          <w:szCs w:val="24"/>
          <w:highlight w:val="none"/>
        </w:rPr>
        <w:t>印件上应加盖本单位章。</w:t>
      </w:r>
    </w:p>
    <w:p w14:paraId="429EBCAD">
      <w:pPr>
        <w:pStyle w:val="15"/>
        <w:tabs>
          <w:tab w:val="left" w:pos="5580"/>
        </w:tabs>
        <w:spacing w:line="240" w:lineRule="atLeast"/>
        <w:jc w:val="both"/>
        <w:rPr>
          <w:rFonts w:hint="eastAsia" w:ascii="仿宋" w:hAnsi="仿宋" w:eastAsia="仿宋" w:cs="仿宋"/>
          <w:b/>
          <w:color w:val="auto"/>
          <w:sz w:val="24"/>
          <w:szCs w:val="24"/>
          <w:highlight w:val="none"/>
        </w:rPr>
      </w:pPr>
    </w:p>
    <w:p w14:paraId="310A955F">
      <w:pPr>
        <w:pStyle w:val="5"/>
        <w:ind w:left="0" w:leftChars="0" w:firstLine="0" w:firstLineChars="0"/>
        <w:rPr>
          <w:rFonts w:hint="eastAsia"/>
        </w:rPr>
      </w:pPr>
    </w:p>
    <w:p w14:paraId="19EC8CC8">
      <w:pPr>
        <w:rPr>
          <w:rFonts w:hint="eastAsia"/>
        </w:rPr>
      </w:pPr>
    </w:p>
    <w:p w14:paraId="76DFE83B">
      <w:pPr>
        <w:rPr>
          <w:rFonts w:hint="eastAsia"/>
        </w:rPr>
      </w:pPr>
    </w:p>
    <w:p w14:paraId="38F13BD7">
      <w:pPr>
        <w:rPr>
          <w:rFonts w:hint="eastAsia"/>
        </w:rPr>
      </w:pPr>
    </w:p>
    <w:p w14:paraId="62E7107E">
      <w:pPr>
        <w:rPr>
          <w:rFonts w:hint="eastAsia"/>
        </w:rPr>
      </w:pPr>
    </w:p>
    <w:p w14:paraId="7F6744EA">
      <w:pPr>
        <w:rPr>
          <w:rFonts w:hint="eastAsia"/>
        </w:rPr>
      </w:pPr>
    </w:p>
    <w:p w14:paraId="0FC5BDA3">
      <w:pPr>
        <w:rPr>
          <w:rFonts w:hint="eastAsia"/>
        </w:rPr>
      </w:pPr>
    </w:p>
    <w:p w14:paraId="698C0B03">
      <w:pPr>
        <w:rPr>
          <w:rFonts w:hint="eastAsia"/>
        </w:rPr>
      </w:pPr>
    </w:p>
    <w:p w14:paraId="0228393E">
      <w:pPr>
        <w:rPr>
          <w:rFonts w:hint="eastAsia"/>
        </w:rPr>
      </w:pPr>
    </w:p>
    <w:p w14:paraId="0D6CEFB0">
      <w:pPr>
        <w:rPr>
          <w:rFonts w:hint="eastAsia"/>
        </w:rPr>
      </w:pPr>
    </w:p>
    <w:p w14:paraId="1ADA2D0A">
      <w:pPr>
        <w:rPr>
          <w:rFonts w:hint="eastAsia"/>
        </w:rPr>
      </w:pPr>
    </w:p>
    <w:p w14:paraId="1AA6A859">
      <w:pPr>
        <w:pStyle w:val="2"/>
        <w:rPr>
          <w:rFonts w:hint="eastAsia"/>
        </w:rPr>
      </w:pPr>
    </w:p>
    <w:p w14:paraId="1C261942">
      <w:pPr>
        <w:rPr>
          <w:rFonts w:hint="eastAsia"/>
        </w:rPr>
      </w:pPr>
    </w:p>
    <w:p w14:paraId="3742BE66">
      <w:pPr>
        <w:rPr>
          <w:rFonts w:hint="eastAsia"/>
        </w:rPr>
      </w:pPr>
    </w:p>
    <w:p w14:paraId="4625956A">
      <w:pPr>
        <w:tabs>
          <w:tab w:val="left" w:pos="5580"/>
        </w:tabs>
        <w:spacing w:line="360" w:lineRule="auto"/>
        <w:rPr>
          <w:rFonts w:hint="eastAsia"/>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kern w:val="2"/>
          <w:sz w:val="24"/>
          <w:szCs w:val="24"/>
          <w:lang w:val="en-US" w:eastAsia="zh-CN" w:bidi="ar-SA"/>
        </w:rPr>
        <w:t>法定代表人参加投标应附《法定代表人身份证明书》及身份证复印件，委托代理人参加投标应附《法定代表人授权委托书》及身份证复印件</w:t>
      </w:r>
      <w:r>
        <w:rPr>
          <w:rFonts w:hint="eastAsia" w:ascii="仿宋" w:hAnsi="仿宋" w:eastAsia="仿宋" w:cs="仿宋"/>
          <w:b/>
          <w:bCs/>
          <w:color w:val="auto"/>
          <w:sz w:val="24"/>
          <w:highlight w:val="none"/>
          <w:lang w:val="en-US" w:eastAsia="zh-CN"/>
        </w:rPr>
        <w:t>；</w:t>
      </w:r>
    </w:p>
    <w:p w14:paraId="4E58D5A2">
      <w:pPr>
        <w:adjustRightInd w:val="0"/>
        <w:snapToGrid w:val="0"/>
        <w:spacing w:before="312" w:beforeLines="100" w:after="312" w:afterLines="100" w:line="360" w:lineRule="auto"/>
        <w:jc w:val="center"/>
        <w:rPr>
          <w:rFonts w:hint="eastAsia" w:ascii="仿宋" w:hAnsi="仿宋" w:eastAsia="仿宋" w:cs="仿宋"/>
          <w:color w:val="auto"/>
          <w:sz w:val="24"/>
          <w:szCs w:val="24"/>
          <w:highlight w:val="none"/>
        </w:rPr>
      </w:pPr>
      <w:bookmarkStart w:id="925" w:name="_Toc515647808"/>
      <w:bookmarkStart w:id="926" w:name="_Toc7039"/>
      <w:bookmarkStart w:id="927" w:name="_Toc32520"/>
      <w:r>
        <w:rPr>
          <w:rFonts w:hint="eastAsia" w:ascii="仿宋" w:hAnsi="仿宋" w:eastAsia="仿宋" w:cs="仿宋"/>
          <w:b/>
          <w:color w:val="auto"/>
          <w:sz w:val="24"/>
          <w:szCs w:val="24"/>
          <w:highlight w:val="none"/>
        </w:rPr>
        <w:t>（一）法定代表人身份证明书</w:t>
      </w:r>
    </w:p>
    <w:p w14:paraId="3A703E0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同志，现任我单位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（职务）为法定代表人，特此证明。</w:t>
      </w:r>
    </w:p>
    <w:p w14:paraId="09BBCA5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                      签发日期：</w:t>
      </w:r>
    </w:p>
    <w:p w14:paraId="3049F2C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                性别：            年龄：           </w:t>
      </w:r>
    </w:p>
    <w:p w14:paraId="33632E6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                联系电话：</w:t>
      </w:r>
    </w:p>
    <w:p w14:paraId="792042E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营业执照号码：              经济性质：</w:t>
      </w:r>
    </w:p>
    <w:p w14:paraId="134FE17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7A879FF4">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1、法定代表人为企业事业单位、国家机关、社会团体的主要行政负责人。</w:t>
      </w:r>
    </w:p>
    <w:p w14:paraId="47E80FE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2、内容必须填写真实、清楚、涂改无效，不得转让。</w:t>
      </w:r>
    </w:p>
    <w:p w14:paraId="29BDC6DD">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3、将此证明书原件提交采购代理机构作为谈判响应文件附件。</w:t>
      </w:r>
    </w:p>
    <w:p w14:paraId="2F14C8C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72B956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附：法定代表人身份证复印件</w:t>
      </w:r>
    </w:p>
    <w:p w14:paraId="65327B5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EF5C2D1">
                            <w:pPr>
                              <w:jc w:val="center"/>
                              <w:rPr>
                                <w:rFonts w:hAnsi="宋体"/>
                                <w:szCs w:val="21"/>
                              </w:rPr>
                            </w:pPr>
                          </w:p>
                          <w:p w14:paraId="165586B9">
                            <w:pPr>
                              <w:jc w:val="center"/>
                              <w:rPr>
                                <w:rFonts w:hAnsi="宋体"/>
                                <w:szCs w:val="21"/>
                              </w:rPr>
                            </w:pPr>
                          </w:p>
                          <w:p w14:paraId="7E23F58F">
                            <w:pPr>
                              <w:jc w:val="center"/>
                              <w:rPr>
                                <w:rFonts w:hAnsi="宋体"/>
                                <w:szCs w:val="21"/>
                              </w:rPr>
                            </w:pPr>
                          </w:p>
                          <w:p w14:paraId="4310EF06">
                            <w:pPr>
                              <w:jc w:val="center"/>
                              <w:rPr>
                                <w:rFonts w:hint="eastAsia"/>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2.15pt;margin-top:0.85pt;height:124.75pt;width:183.75pt;z-index:251663360;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IE+ZEMvAgAAYAQAAA4AAABkcnMvZTJvRG9jLnhtbK1UzY7T&#10;MBC+I/EOlu80/dmulqjpCm0pFwSVFh7AdSaJJf/Jdpv2BieEOPAAvAA3TlzhaZaft2DshNJdOPRA&#10;DsmMPfPNfJ/HmV3ulCRbcF4YXdDRYEgJaG5KoeuCvnyxfHBBiQ9Ml0waDQXdg6eX8/v3Zq3NYWwa&#10;I0twBEG0z1tb0CYEm2eZ5w0o5gfGgsbNyjjFArquzkrHWkRXMhsPh+dZa1xpneHgPa4uuk3aI7pT&#10;AE1VCQ4LwzcKdOhQHUgWkJJvhPV0nrqtKuDheVV5CEQWFJmG9MYiaK/jO5vPWF47ZhvB+xbYKS3c&#10;4aSY0Fj0ALVggZGNE39BKcGd8aYKA25U1hFJiiCL0fCONtcNs5C4oNTeHkT3/w+WP9uuHBElTsIZ&#10;JZopPPFvn19///ju5sOXnNy8//Tz1dsfX9/gAsEIlKu1Psesa7tyvefRjNx3lVPxi6zILkm8P0gM&#10;u0A4Lo4nk8n5eEoJx73R9OJsgg7iZH/SrfPhCRhFolHQSpr2qmEuPJIBnGYBVt3wJL3Z9qkPXf7v&#10;vNiCN1KUSyFlcly9vpKObBkOwTI9fclbYVKTtqAPp6k7hpNd4URho8qiOl7Xqd6tDH8MPEzPv4Bj&#10;Ywvmm66BhBDDWK4EMkpWA6x8rEsS9hYPQOPFo7EZBSUlEvCeRitFBibkKZEoqNSxCKRb0KsUD687&#10;rmiF3XqHoNFcm3KPg7CxTtQNqj5KROIODl46nv6SxMk+9tE+/jH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5WTr11gAAAAgBAAAPAAAAAAAAAAEAIAAAACIAAABkcnMvZG93bnJldi54bWxQSwEC&#10;FAAUAAAACACHTuJAgT5kQy8CAABgBAAADgAAAAAAAAABACAAAAAlAQAAZHJzL2Uyb0RvYy54bWxQ&#10;SwUGAAAAAAYABgBZAQAAxgUAAAAA&#10;">
                <v:fill on="t" focussize="0,0"/>
                <v:stroke color="#000000" joinstyle="miter"/>
                <v:imagedata o:title=""/>
                <o:lock v:ext="edit" aspectratio="f"/>
                <v:textbox>
                  <w:txbxContent>
                    <w:p w14:paraId="3EF5C2D1">
                      <w:pPr>
                        <w:jc w:val="center"/>
                        <w:rPr>
                          <w:rFonts w:hAnsi="宋体"/>
                          <w:szCs w:val="21"/>
                        </w:rPr>
                      </w:pPr>
                    </w:p>
                    <w:p w14:paraId="165586B9">
                      <w:pPr>
                        <w:jc w:val="center"/>
                        <w:rPr>
                          <w:rFonts w:hAnsi="宋体"/>
                          <w:szCs w:val="21"/>
                        </w:rPr>
                      </w:pPr>
                    </w:p>
                    <w:p w14:paraId="7E23F58F">
                      <w:pPr>
                        <w:jc w:val="center"/>
                        <w:rPr>
                          <w:rFonts w:hAnsi="宋体"/>
                          <w:szCs w:val="21"/>
                        </w:rPr>
                      </w:pPr>
                    </w:p>
                    <w:p w14:paraId="4310EF06">
                      <w:pPr>
                        <w:jc w:val="center"/>
                        <w:rPr>
                          <w:rFonts w:hint="eastAsia"/>
                          <w:szCs w:val="21"/>
                        </w:rPr>
                      </w:pPr>
                      <w:r>
                        <w:rPr>
                          <w:rFonts w:hint="eastAsia" w:hAnsi="宋体"/>
                          <w:szCs w:val="21"/>
                        </w:rPr>
                        <w:t>法定代表人身份证复印件正面</w:t>
                      </w:r>
                    </w:p>
                  </w:txbxContent>
                </v:textbox>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4AC318A9">
                            <w:pPr>
                              <w:jc w:val="center"/>
                              <w:rPr>
                                <w:rFonts w:hAnsi="宋体"/>
                                <w:szCs w:val="21"/>
                              </w:rPr>
                            </w:pPr>
                            <w:r>
                              <w:rPr>
                                <w:rFonts w:hint="eastAsia" w:hAnsi="宋体"/>
                                <w:szCs w:val="21"/>
                              </w:rPr>
                              <w:t xml:space="preserve">  </w:t>
                            </w:r>
                          </w:p>
                          <w:p w14:paraId="28B85CEA">
                            <w:pPr>
                              <w:jc w:val="center"/>
                              <w:rPr>
                                <w:rFonts w:hAnsi="宋体"/>
                                <w:szCs w:val="21"/>
                              </w:rPr>
                            </w:pPr>
                          </w:p>
                          <w:p w14:paraId="7AD99189">
                            <w:pPr>
                              <w:jc w:val="center"/>
                              <w:rPr>
                                <w:rFonts w:hAnsi="宋体"/>
                                <w:szCs w:val="21"/>
                              </w:rPr>
                            </w:pPr>
                          </w:p>
                          <w:p w14:paraId="08C0B8E2">
                            <w:pPr>
                              <w:jc w:val="center"/>
                              <w:rPr>
                                <w:szCs w:val="21"/>
                              </w:rPr>
                            </w:pPr>
                            <w:r>
                              <w:rPr>
                                <w:rFonts w:hint="eastAsia" w:hAnsi="宋体"/>
                                <w:szCs w:val="21"/>
                              </w:rPr>
                              <w:t>法定代表人身份证复印件反面</w:t>
                            </w:r>
                          </w:p>
                          <w:p w14:paraId="778BD4E8"/>
                          <w:p w14:paraId="0AAF11B1">
                            <w:pPr>
                              <w:pStyle w:val="4"/>
                            </w:pPr>
                          </w:p>
                          <w:p w14:paraId="54B993AC">
                            <w:pPr>
                              <w:pStyle w:val="4"/>
                            </w:pPr>
                          </w:p>
                          <w:p w14:paraId="71E4B45F">
                            <w:pPr>
                              <w:pStyle w:val="4"/>
                            </w:pPr>
                          </w:p>
                          <w:p w14:paraId="761021F3">
                            <w:pPr>
                              <w:pStyle w:val="4"/>
                            </w:pPr>
                          </w:p>
                        </w:txbxContent>
                      </wps:txbx>
                      <wps:bodyPr upright="1"/>
                    </wps:wsp>
                  </a:graphicData>
                </a:graphic>
              </wp:anchor>
            </w:drawing>
          </mc:Choice>
          <mc:Fallback>
            <w:pict>
              <v:roundrect id="_x0000_s1026" o:spid="_x0000_s1026" o:spt="2" style="position:absolute;left:0pt;margin-left:229.8pt;margin-top:2.25pt;height:122.6pt;width:205.5pt;z-index:251664384;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CL2ZNHLQIAAGgEAAAOAAAAZHJzL2Uyb0RvYy54bWyt&#10;VEuOEzEQ3SNxB8t70p1I+dBKZxaEsEEwYuAAjj/dRv7JdtKdC3AA1khIbBCHmOOM4BhTdnoyH1hk&#10;QbfkLttVz69elXt50WuF9twHaU2Nx6MSI26oZdI0Nf70cfNigVGIxDCirOE1PvCAL1bPny07V/GJ&#10;ba1i3CMAMaHqXI3bGF1VFIG2XJMwso4b2BTWaxJh6puCedIBulbFpCxnRWc9c95SHgKsro+beED0&#10;5wBaISTla0t3mpt4RPVckQgphVa6gFeZrRCcxvdCBB6RqjFkGvMIh4C9TWOxWpKq8cS1kg4UyDkU&#10;nuSkiTRw6AlqTSJBOy//gtKSehusiCNqdXFMJCsCWYzLJ9pctcTxnAtIHdxJ9PD/YOm7/aVHkkEn&#10;TDEyREPFb759+fPz6+/vv26ufyBYBo06FypwvXKXfpgFMFPCvfA6fSEV1GddDyddeR8RhcXJrHy5&#10;mILkFPbG0+m8nGTli/tw50N8w61GyaixtzvDPkD1sqhk/zbErC4bKBL2GSOhFdRqTxQaz2azeeIJ&#10;iIMzWHeYKTJYJdlGKpUnvtm+Uh5BaI03+RmCH7kpg7rEdzEHaSiBXhfQY2BqB3oF02Ryj0LCQ+RF&#10;md5/ISdmaxLaI4OMkNxI1XLCXhuG4sFBIQxcQJw4aM4wUhzua7KyZyRSneMJOiiToHm+DSBkkinV&#10;81jBZMV+28NqMreWHaAhds7LpoVCjDP9tAMNmPUdLkvq8IfzDHr/g1jd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8vY1/aAAAACQEAAA8AAAAAAAAAAQAgAAAAIgAAAGRycy9kb3ducmV2LnhtbFBL&#10;AQIUABQAAAAIAIdO4kCL2ZNHLQIAAGgEAAAOAAAAAAAAAAEAIAAAACkBAABkcnMvZTJvRG9jLnht&#10;bFBLBQYAAAAABgAGAFkBAADIBQAAAAA=&#10;">
                <v:fill on="t" focussize="0,0"/>
                <v:stroke weight="1.25pt" color="#808080" joinstyle="round"/>
                <v:imagedata o:title=""/>
                <o:lock v:ext="edit" aspectratio="f"/>
                <v:textbox>
                  <w:txbxContent>
                    <w:p w14:paraId="4AC318A9">
                      <w:pPr>
                        <w:jc w:val="center"/>
                        <w:rPr>
                          <w:rFonts w:hAnsi="宋体"/>
                          <w:szCs w:val="21"/>
                        </w:rPr>
                      </w:pPr>
                      <w:r>
                        <w:rPr>
                          <w:rFonts w:hint="eastAsia" w:hAnsi="宋体"/>
                          <w:szCs w:val="21"/>
                        </w:rPr>
                        <w:t xml:space="preserve">  </w:t>
                      </w:r>
                    </w:p>
                    <w:p w14:paraId="28B85CEA">
                      <w:pPr>
                        <w:jc w:val="center"/>
                        <w:rPr>
                          <w:rFonts w:hAnsi="宋体"/>
                          <w:szCs w:val="21"/>
                        </w:rPr>
                      </w:pPr>
                    </w:p>
                    <w:p w14:paraId="7AD99189">
                      <w:pPr>
                        <w:jc w:val="center"/>
                        <w:rPr>
                          <w:rFonts w:hAnsi="宋体"/>
                          <w:szCs w:val="21"/>
                        </w:rPr>
                      </w:pPr>
                    </w:p>
                    <w:p w14:paraId="08C0B8E2">
                      <w:pPr>
                        <w:jc w:val="center"/>
                        <w:rPr>
                          <w:szCs w:val="21"/>
                        </w:rPr>
                      </w:pPr>
                      <w:r>
                        <w:rPr>
                          <w:rFonts w:hint="eastAsia" w:hAnsi="宋体"/>
                          <w:szCs w:val="21"/>
                        </w:rPr>
                        <w:t>法定代表人身份证复印件反面</w:t>
                      </w:r>
                    </w:p>
                    <w:p w14:paraId="778BD4E8"/>
                    <w:p w14:paraId="0AAF11B1">
                      <w:pPr>
                        <w:pStyle w:val="4"/>
                      </w:pPr>
                    </w:p>
                    <w:p w14:paraId="54B993AC">
                      <w:pPr>
                        <w:pStyle w:val="4"/>
                      </w:pPr>
                    </w:p>
                    <w:p w14:paraId="71E4B45F">
                      <w:pPr>
                        <w:pStyle w:val="4"/>
                      </w:pPr>
                    </w:p>
                    <w:p w14:paraId="761021F3">
                      <w:pPr>
                        <w:pStyle w:val="4"/>
                      </w:pPr>
                    </w:p>
                  </w:txbxContent>
                </v:textbox>
              </v:roundrect>
            </w:pict>
          </mc:Fallback>
        </mc:AlternateContent>
      </w:r>
    </w:p>
    <w:p w14:paraId="63753543">
      <w:pPr>
        <w:spacing w:line="360" w:lineRule="auto"/>
        <w:rPr>
          <w:rFonts w:hint="eastAsia" w:ascii="仿宋" w:hAnsi="仿宋" w:eastAsia="仿宋" w:cs="仿宋"/>
          <w:color w:val="auto"/>
          <w:sz w:val="24"/>
          <w:szCs w:val="24"/>
          <w:highlight w:val="none"/>
        </w:rPr>
      </w:pPr>
    </w:p>
    <w:p w14:paraId="08D12EA5">
      <w:pPr>
        <w:spacing w:line="360" w:lineRule="auto"/>
        <w:rPr>
          <w:rFonts w:hint="eastAsia" w:ascii="仿宋" w:hAnsi="仿宋" w:eastAsia="仿宋" w:cs="仿宋"/>
          <w:color w:val="auto"/>
          <w:sz w:val="24"/>
          <w:szCs w:val="24"/>
          <w:highlight w:val="none"/>
        </w:rPr>
      </w:pPr>
    </w:p>
    <w:p w14:paraId="377921B8">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仿宋" w:hAnsi="仿宋" w:eastAsia="仿宋" w:cs="仿宋"/>
          <w:color w:val="auto"/>
          <w:sz w:val="24"/>
          <w:szCs w:val="24"/>
          <w:highlight w:val="none"/>
        </w:rPr>
      </w:pPr>
    </w:p>
    <w:p w14:paraId="5D056460">
      <w:pPr>
        <w:autoSpaceDE w:val="0"/>
        <w:autoSpaceDN w:val="0"/>
        <w:adjustRightInd w:val="0"/>
        <w:spacing w:line="360" w:lineRule="auto"/>
        <w:ind w:right="246"/>
        <w:rPr>
          <w:rFonts w:hint="eastAsia" w:ascii="仿宋" w:hAnsi="仿宋" w:eastAsia="仿宋" w:cs="仿宋"/>
          <w:color w:val="auto"/>
          <w:kern w:val="0"/>
          <w:sz w:val="24"/>
          <w:szCs w:val="24"/>
          <w:highlight w:val="none"/>
        </w:rPr>
      </w:pPr>
    </w:p>
    <w:p w14:paraId="3BF4EAE1">
      <w:pPr>
        <w:pStyle w:val="20"/>
        <w:rPr>
          <w:rFonts w:hint="eastAsia" w:ascii="仿宋" w:hAnsi="仿宋" w:eastAsia="仿宋" w:cs="仿宋"/>
          <w:color w:val="auto"/>
          <w:sz w:val="24"/>
          <w:szCs w:val="24"/>
          <w:highlight w:val="none"/>
        </w:rPr>
      </w:pPr>
    </w:p>
    <w:p w14:paraId="1C0697B1">
      <w:pPr>
        <w:autoSpaceDE w:val="0"/>
        <w:autoSpaceDN w:val="0"/>
        <w:adjustRightInd w:val="0"/>
        <w:spacing w:line="360" w:lineRule="auto"/>
        <w:ind w:right="246" w:firstLine="784" w:firstLineChars="327"/>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投标人（盖章）： </w:t>
      </w:r>
      <w:r>
        <w:rPr>
          <w:rFonts w:hint="eastAsia" w:ascii="仿宋" w:hAnsi="仿宋" w:eastAsia="仿宋" w:cs="仿宋"/>
          <w:color w:val="auto"/>
          <w:kern w:val="0"/>
          <w:sz w:val="24"/>
          <w:szCs w:val="24"/>
          <w:highlight w:val="none"/>
          <w:u w:val="single"/>
        </w:rPr>
        <w:t xml:space="preserve">                   </w:t>
      </w:r>
    </w:p>
    <w:p w14:paraId="6457487B">
      <w:pPr>
        <w:adjustRightInd w:val="0"/>
        <w:snapToGrid w:val="0"/>
        <w:spacing w:line="360" w:lineRule="auto"/>
        <w:ind w:firstLine="784" w:firstLineChars="32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法定代表人（签章）：</w:t>
      </w:r>
      <w:r>
        <w:rPr>
          <w:rFonts w:hint="eastAsia" w:ascii="仿宋" w:hAnsi="仿宋" w:eastAsia="仿宋" w:cs="仿宋"/>
          <w:color w:val="auto"/>
          <w:sz w:val="24"/>
          <w:szCs w:val="24"/>
          <w:highlight w:val="none"/>
          <w:u w:val="single"/>
        </w:rPr>
        <w:t xml:space="preserve">             </w:t>
      </w:r>
    </w:p>
    <w:p w14:paraId="0AD4A8E5">
      <w:pPr>
        <w:adjustRightInd w:val="0"/>
        <w:snapToGrid w:val="0"/>
        <w:spacing w:line="360" w:lineRule="auto"/>
        <w:ind w:firstLine="784" w:firstLineChars="32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14:paraId="05632178">
      <w:pPr>
        <w:pStyle w:val="15"/>
        <w:tabs>
          <w:tab w:val="left" w:pos="5580"/>
        </w:tabs>
        <w:spacing w:line="240" w:lineRule="atLeast"/>
        <w:ind w:left="1080" w:leftChars="257" w:hanging="540"/>
        <w:rPr>
          <w:rFonts w:hint="eastAsia" w:ascii="仿宋" w:hAnsi="仿宋" w:eastAsia="仿宋" w:cs="仿宋"/>
          <w:b/>
          <w:color w:val="auto"/>
          <w:sz w:val="24"/>
          <w:szCs w:val="24"/>
          <w:highlight w:val="none"/>
        </w:rPr>
      </w:pPr>
    </w:p>
    <w:p w14:paraId="0B3A44B7">
      <w:pPr>
        <w:pStyle w:val="15"/>
        <w:tabs>
          <w:tab w:val="left" w:pos="5580"/>
        </w:tabs>
        <w:spacing w:line="240" w:lineRule="atLeast"/>
        <w:ind w:left="1155" w:leftChars="371" w:hanging="376" w:hangingChars="1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 投标人为自然人的，应提供身份证明的复印件。</w:t>
      </w:r>
    </w:p>
    <w:p w14:paraId="175FD308">
      <w:pPr>
        <w:pStyle w:val="15"/>
        <w:tabs>
          <w:tab w:val="left" w:pos="5580"/>
        </w:tabs>
        <w:spacing w:line="240" w:lineRule="atLeas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2.联合体投标应提供联合体各方满足以上要求的证明文件。</w:t>
      </w:r>
    </w:p>
    <w:p w14:paraId="470B8A2E">
      <w:pPr>
        <w:pStyle w:val="15"/>
        <w:tabs>
          <w:tab w:val="left" w:pos="5580"/>
        </w:tabs>
        <w:spacing w:line="240" w:lineRule="atLeast"/>
        <w:ind w:left="1080" w:leftChars="257" w:hanging="54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5B80C94">
      <w:pPr>
        <w:pStyle w:val="7"/>
        <w:spacing w:before="0" w:line="240" w:lineRule="atLeast"/>
        <w:ind w:left="1080" w:leftChars="257" w:hanging="540"/>
        <w:rPr>
          <w:rFonts w:hint="eastAsia" w:ascii="仿宋" w:hAnsi="仿宋" w:eastAsia="仿宋" w:cs="仿宋"/>
          <w:b w:val="0"/>
          <w:color w:val="auto"/>
          <w:sz w:val="24"/>
          <w:szCs w:val="24"/>
          <w:highlight w:val="none"/>
          <w:u w:val="single"/>
        </w:rPr>
      </w:pPr>
      <w:bookmarkStart w:id="928" w:name="_Toc12175"/>
      <w:bookmarkStart w:id="929" w:name="_Toc23503"/>
      <w:bookmarkStart w:id="930" w:name="_Toc19602"/>
      <w:bookmarkStart w:id="931" w:name="_Toc1083"/>
      <w:bookmarkStart w:id="932" w:name="_Toc7431"/>
      <w:bookmarkStart w:id="933" w:name="_Toc515647807"/>
      <w:bookmarkStart w:id="934" w:name="_Toc22472"/>
      <w:r>
        <w:rPr>
          <w:rFonts w:hint="eastAsia" w:ascii="仿宋" w:hAnsi="仿宋" w:eastAsia="仿宋" w:cs="仿宋"/>
          <w:color w:val="auto"/>
          <w:sz w:val="24"/>
          <w:szCs w:val="24"/>
          <w:highlight w:val="none"/>
        </w:rPr>
        <w:t xml:space="preserve"> </w:t>
      </w:r>
      <w:bookmarkStart w:id="935" w:name="_Toc7552"/>
      <w:bookmarkStart w:id="936" w:name="_Toc3704"/>
      <w:bookmarkStart w:id="937" w:name="_Toc20712"/>
      <w:r>
        <w:rPr>
          <w:rFonts w:hint="eastAsia" w:ascii="仿宋" w:hAnsi="仿宋" w:eastAsia="仿宋" w:cs="仿宋"/>
          <w:color w:val="auto"/>
          <w:sz w:val="24"/>
          <w:szCs w:val="24"/>
          <w:highlight w:val="none"/>
        </w:rPr>
        <w:t>（二）法定代表人授权委托书(投标文件格式二，自然人投标的无需提供)</w:t>
      </w:r>
      <w:bookmarkEnd w:id="928"/>
      <w:bookmarkEnd w:id="929"/>
      <w:bookmarkEnd w:id="930"/>
      <w:bookmarkEnd w:id="931"/>
      <w:bookmarkEnd w:id="932"/>
      <w:bookmarkEnd w:id="933"/>
      <w:bookmarkEnd w:id="934"/>
      <w:bookmarkEnd w:id="935"/>
      <w:bookmarkEnd w:id="936"/>
      <w:bookmarkEnd w:id="937"/>
    </w:p>
    <w:p w14:paraId="35913275">
      <w:pPr>
        <w:pStyle w:val="15"/>
        <w:spacing w:line="240" w:lineRule="atLeast"/>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cr/>
      </w:r>
    </w:p>
    <w:p w14:paraId="64149C95">
      <w:pPr>
        <w:pStyle w:val="15"/>
        <w:tabs>
          <w:tab w:val="left" w:pos="558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本授权书声明：注册于</w:t>
      </w:r>
      <w:r>
        <w:rPr>
          <w:rFonts w:hint="eastAsia" w:ascii="仿宋" w:hAnsi="仿宋" w:eastAsia="仿宋" w:cs="仿宋"/>
          <w:color w:val="auto"/>
          <w:sz w:val="24"/>
          <w:szCs w:val="24"/>
          <w:highlight w:val="none"/>
          <w:u w:val="single"/>
        </w:rPr>
        <w:t>（国家或地区的名称）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投标人</w:t>
      </w:r>
      <w:r>
        <w:rPr>
          <w:rFonts w:hint="eastAsia" w:ascii="仿宋" w:hAnsi="仿宋" w:eastAsia="仿宋" w:cs="仿宋"/>
          <w:color w:val="auto"/>
          <w:sz w:val="24"/>
          <w:szCs w:val="24"/>
          <w:highlight w:val="none"/>
        </w:rPr>
        <w:t>）的在下面签字的（</w:t>
      </w:r>
      <w:r>
        <w:rPr>
          <w:rFonts w:hint="eastAsia" w:ascii="仿宋" w:hAnsi="仿宋" w:eastAsia="仿宋" w:cs="仿宋"/>
          <w:color w:val="auto"/>
          <w:sz w:val="24"/>
          <w:szCs w:val="24"/>
          <w:highlight w:val="none"/>
          <w:u w:val="single"/>
        </w:rPr>
        <w:t>法人代表姓名、职务</w:t>
      </w:r>
      <w:r>
        <w:rPr>
          <w:rFonts w:hint="eastAsia" w:ascii="仿宋" w:hAnsi="仿宋" w:eastAsia="仿宋" w:cs="仿宋"/>
          <w:color w:val="auto"/>
          <w:sz w:val="24"/>
          <w:szCs w:val="24"/>
          <w:highlight w:val="none"/>
        </w:rPr>
        <w:t>）代表我单位授权（</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）的在下面签字的（</w:t>
      </w:r>
      <w:r>
        <w:rPr>
          <w:rFonts w:hint="eastAsia" w:ascii="仿宋" w:hAnsi="仿宋" w:eastAsia="仿宋" w:cs="仿宋"/>
          <w:color w:val="auto"/>
          <w:sz w:val="24"/>
          <w:szCs w:val="24"/>
          <w:highlight w:val="none"/>
          <w:u w:val="single"/>
        </w:rPr>
        <w:t>被授权人的姓名、职务</w:t>
      </w:r>
      <w:r>
        <w:rPr>
          <w:rFonts w:hint="eastAsia" w:ascii="仿宋" w:hAnsi="仿宋" w:eastAsia="仿宋" w:cs="仿宋"/>
          <w:color w:val="auto"/>
          <w:sz w:val="24"/>
          <w:szCs w:val="24"/>
          <w:highlight w:val="none"/>
        </w:rPr>
        <w:t>）为我单位的合法代理人，就（</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合同名称</w:t>
      </w:r>
      <w:r>
        <w:rPr>
          <w:rFonts w:hint="eastAsia" w:ascii="仿宋" w:hAnsi="仿宋" w:eastAsia="仿宋" w:cs="仿宋"/>
          <w:color w:val="auto"/>
          <w:sz w:val="24"/>
          <w:szCs w:val="24"/>
          <w:highlight w:val="none"/>
        </w:rPr>
        <w:t>）投标，以我单位名义处理一切与之有关的事务。</w:t>
      </w:r>
      <w:r>
        <w:rPr>
          <w:rFonts w:hint="eastAsia" w:ascii="仿宋" w:hAnsi="仿宋" w:eastAsia="仿宋" w:cs="仿宋"/>
          <w:color w:val="auto"/>
          <w:sz w:val="24"/>
          <w:szCs w:val="24"/>
          <w:highlight w:val="none"/>
        </w:rPr>
        <w:cr/>
      </w:r>
      <w:r>
        <w:rPr>
          <w:rFonts w:hint="eastAsia" w:ascii="仿宋" w:hAnsi="仿宋" w:eastAsia="仿宋" w:cs="仿宋"/>
          <w:color w:val="auto"/>
          <w:sz w:val="24"/>
          <w:szCs w:val="24"/>
          <w:highlight w:val="none"/>
        </w:rPr>
        <w:t>　　本授权书于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日签字生效,特此声明。</w:t>
      </w:r>
      <w:r>
        <w:rPr>
          <w:rFonts w:hint="eastAsia" w:ascii="仿宋" w:hAnsi="仿宋" w:eastAsia="仿宋" w:cs="仿宋"/>
          <w:color w:val="auto"/>
          <w:sz w:val="24"/>
          <w:szCs w:val="24"/>
          <w:highlight w:val="none"/>
        </w:rPr>
        <w:cr/>
      </w:r>
    </w:p>
    <w:p w14:paraId="4202E9FF">
      <w:pPr>
        <w:pStyle w:val="15"/>
        <w:tabs>
          <w:tab w:val="left" w:pos="5580"/>
        </w:tabs>
        <w:spacing w:line="240" w:lineRule="atLeast"/>
        <w:ind w:left="-540" w:leftChars="-257" w:firstLine="900" w:firstLine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11" name="圆角矩形 11"/>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000000"/>
                          </a:solidFill>
                          <a:prstDash val="solid"/>
                          <a:headEnd type="none" w="med" len="med"/>
                          <a:tailEnd type="none" w="med" len="med"/>
                        </a:ln>
                      </wps:spPr>
                      <wps:txbx>
                        <w:txbxContent>
                          <w:p w14:paraId="6A25B48A">
                            <w:pPr>
                              <w:rPr>
                                <w:rFonts w:hint="eastAsia" w:hAnsi="宋体"/>
                              </w:rPr>
                            </w:pPr>
                          </w:p>
                          <w:p w14:paraId="7A886B3B">
                            <w:pPr>
                              <w:rPr>
                                <w:rFonts w:hint="eastAsia" w:hAnsi="宋体"/>
                              </w:rPr>
                            </w:pPr>
                          </w:p>
                          <w:p w14:paraId="5AD993CF">
                            <w:pPr>
                              <w:rPr>
                                <w:rFonts w:hint="eastAsia" w:hAnsi="宋体"/>
                              </w:rPr>
                            </w:pPr>
                          </w:p>
                          <w:p w14:paraId="2FF849C8">
                            <w:pPr>
                              <w:tabs>
                                <w:tab w:val="left" w:pos="5580"/>
                              </w:tabs>
                              <w:spacing w:line="240" w:lineRule="atLeast"/>
                              <w:ind w:firstLine="240" w:firstLineChars="100"/>
                              <w:rPr>
                                <w:rFonts w:hint="eastAsia" w:ascii="仿宋_GB2312" w:eastAsia="仿宋_GB2312"/>
                                <w:sz w:val="24"/>
                              </w:rPr>
                            </w:pPr>
                            <w:r>
                              <w:rPr>
                                <w:rFonts w:hint="eastAsia" w:ascii="仿宋_GB2312" w:eastAsia="仿宋_GB2312"/>
                                <w:sz w:val="24"/>
                              </w:rPr>
                              <w:t>授权委托人身份证复印件反面</w:t>
                            </w:r>
                          </w:p>
                          <w:p w14:paraId="62C3FB29"/>
                        </w:txbxContent>
                      </wps:txbx>
                      <wps:bodyPr upright="1"/>
                    </wps:wsp>
                  </a:graphicData>
                </a:graphic>
              </wp:anchor>
            </w:drawing>
          </mc:Choice>
          <mc:Fallback>
            <w:pict>
              <v:roundrect id="_x0000_s1026" o:spid="_x0000_s1026" o:spt="2" style="position:absolute;left:0pt;margin-left:239.3pt;margin-top:13.2pt;height:88.6pt;width:195.15pt;z-index:251660288;mso-width-relative:page;mso-height-relative:page;" fillcolor="#FFFFFF" filled="t" stroked="t" coordsize="21600,21600" arcsize="0.166666666666667" o:gfxdata="UEsDBAoAAAAAAIdO4kAAAAAAAAAAAAAAAAAEAAAAZHJzL1BLAwQUAAAACACHTuJAk2a4l9kAAAAK&#10;AQAADwAAAGRycy9kb3ducmV2LnhtbE2PTUvEMBCG74L/IYzgzU12LTHbbbqgIHiQBVcRvGWb6Qc2&#10;k9Kk7eqvN570ODMP7zxvsT+7ns04hs6ThvVKAEOqvO2o0fD2+nijgIVoyJreE2r4wgD78vKiMLn1&#10;C73gfIwNSyEUcqOhjXHIOQ9Vi86ElR+Q0q32ozMxjWPD7WiWFO56vhFCcmc6Sh9aM+BDi9XncXIa&#10;ntUSv2v+LrOJnmrzMR/qwz1qfX21FjtgEc/xD4Zf/aQOZXI6+YlsYL2G7E7JhGrYyAxYApRUW2Cn&#10;tBC3EnhZ8P8Vyh9QSwMEFAAAAAgAh07iQKWo58wkAgAAWgQAAA4AAABkcnMvZTJvRG9jLnhtbK1U&#10;S44TMRDdI3EHy3vSH00+aqUzC0LYIBgxcADHdncb+SfbSXcuwAFYIyGxQRyC44zgGJSdnsyHWWSB&#10;F+6yXfX86lW5l5eDkmjPnRdG17iY5BhxTQ0Tuq3xxw+bFwuMfCCaEWk0r/GBe3y5ev5s2duKl6Yz&#10;knGHAET7qrc17kKwVZZ52nFF/MRYruGwMU6RAEvXZsyRHtCVzMo8n2W9ccw6Q7n3sLs+HuIR0Z0D&#10;aJpGUL42dKe4DkdUxyUJkJLvhPV4ldg2DafhXdN4HpCsMWQa0gyXgL2Nc7Zakqp1xHaCjhTIORQe&#10;5aSI0HDpCWpNAkE7J/6BUoI6400TJtSo7JhIUgSyKPJH2lx3xPKUC0jt7Ul0//9g6dv9lUOCQScU&#10;GGmioOI3Xz//+fHl97efN7++I9gGjXrrK3C9tlduXHkwY8JD41T8QipoSLoeTrryISAKm+XFfHGR&#10;TzGicFYU5bQsk/LZXbh1PrzmRqFo1NiZnWbvoXpJVLJ/40NSl40UCfuEUaMk1GpPJCpms9k88gTE&#10;0RmsW8wY6Y0UbCOkTAvXbl9KhyC0xps0xuAHblKjHvhOF/NInUCvN9BjYCoLenndJnIPQvx95DyN&#10;p5AjszXx3ZFBQohupOo4Ya80Q+FgoRAaHiCOHBRnGEkO7zVayTMQIc/xBB2kBmFiBY81i1YYtsNY&#10;yK1hB2iBnXWi7UD6VO/kDi2XFB2fR+zp++sEevdLWP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2a4l9kAAAAKAQAADwAAAAAAAAABACAAAAAiAAAAZHJzL2Rvd25yZXYueG1sUEsBAhQAFAAAAAgA&#10;h07iQKWo58wkAgAAWgQAAA4AAAAAAAAAAQAgAAAAKAEAAGRycy9lMm9Eb2MueG1sUEsFBgAAAAAG&#10;AAYAWQEAAL4FAAAAAA==&#10;">
                <v:fill on="t" focussize="0,0"/>
                <v:stroke weight="1.25pt" color="#000000" joinstyle="round"/>
                <v:imagedata o:title=""/>
                <o:lock v:ext="edit" aspectratio="f"/>
                <v:textbox>
                  <w:txbxContent>
                    <w:p w14:paraId="6A25B48A">
                      <w:pPr>
                        <w:rPr>
                          <w:rFonts w:hint="eastAsia" w:hAnsi="宋体"/>
                        </w:rPr>
                      </w:pPr>
                    </w:p>
                    <w:p w14:paraId="7A886B3B">
                      <w:pPr>
                        <w:rPr>
                          <w:rFonts w:hint="eastAsia" w:hAnsi="宋体"/>
                        </w:rPr>
                      </w:pPr>
                    </w:p>
                    <w:p w14:paraId="5AD993CF">
                      <w:pPr>
                        <w:rPr>
                          <w:rFonts w:hint="eastAsia" w:hAnsi="宋体"/>
                        </w:rPr>
                      </w:pPr>
                    </w:p>
                    <w:p w14:paraId="2FF849C8">
                      <w:pPr>
                        <w:tabs>
                          <w:tab w:val="left" w:pos="5580"/>
                        </w:tabs>
                        <w:spacing w:line="240" w:lineRule="atLeast"/>
                        <w:ind w:firstLine="240" w:firstLineChars="100"/>
                        <w:rPr>
                          <w:rFonts w:hint="eastAsia" w:ascii="仿宋_GB2312" w:eastAsia="仿宋_GB2312"/>
                          <w:sz w:val="24"/>
                        </w:rPr>
                      </w:pPr>
                      <w:r>
                        <w:rPr>
                          <w:rFonts w:hint="eastAsia" w:ascii="仿宋_GB2312" w:eastAsia="仿宋_GB2312"/>
                          <w:sz w:val="24"/>
                        </w:rPr>
                        <w:t>授权委托人身份证复印件反面</w:t>
                      </w:r>
                    </w:p>
                    <w:p w14:paraId="62C3FB29"/>
                  </w:txbxContent>
                </v:textbox>
              </v:roundrect>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10" name="流程图: 可选过程 10"/>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016154B">
                            <w:pPr>
                              <w:jc w:val="center"/>
                              <w:rPr>
                                <w:rFonts w:hint="eastAsia" w:hAnsi="宋体"/>
                              </w:rPr>
                            </w:pPr>
                          </w:p>
                          <w:p w14:paraId="429E8E4E">
                            <w:pPr>
                              <w:jc w:val="center"/>
                              <w:rPr>
                                <w:rFonts w:hint="eastAsia" w:hAnsi="宋体"/>
                              </w:rPr>
                            </w:pPr>
                          </w:p>
                          <w:p w14:paraId="684A4A4D">
                            <w:pPr>
                              <w:tabs>
                                <w:tab w:val="left" w:pos="5580"/>
                              </w:tabs>
                              <w:spacing w:line="240" w:lineRule="atLeast"/>
                              <w:ind w:left="540"/>
                              <w:rPr>
                                <w:rFonts w:hint="eastAsia" w:ascii="仿宋_GB2312" w:hAnsi="宋体" w:eastAsia="仿宋_GB2312"/>
                                <w:sz w:val="24"/>
                              </w:rPr>
                            </w:pPr>
                          </w:p>
                          <w:p w14:paraId="411040FA">
                            <w:pPr>
                              <w:tabs>
                                <w:tab w:val="left" w:pos="5580"/>
                              </w:tabs>
                              <w:spacing w:line="240" w:lineRule="atLeast"/>
                              <w:ind w:firstLine="240" w:firstLineChars="100"/>
                              <w:rPr>
                                <w:rFonts w:hint="eastAsia" w:ascii="仿宋_GB2312" w:hAnsi="宋体" w:eastAsia="仿宋_GB2312"/>
                                <w:sz w:val="24"/>
                              </w:rPr>
                            </w:pPr>
                            <w:r>
                              <w:rPr>
                                <w:rFonts w:hint="eastAsia" w:ascii="仿宋_GB2312" w:hAnsi="宋体" w:eastAsia="仿宋_GB2312"/>
                                <w:sz w:val="24"/>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A3ffUYtAgAAUgQAAA4AAABkcnMvZTJvRG9jLnhtbK1UzY7T&#10;MBC+I/EOlu80SaELRE1XaEu5IKi08ABTx0ks+U+227Q3OCHEgQfgBbhx4gpPs/y8BWOntNvlsgdy&#10;SMaemc/zfTPO9HyrJNlw54XRFS1GOSVcM1ML3Vb09avFvUeU+AC6Bmk0r+iOe3o+u3tn2tuSj01n&#10;ZM0dQRDty95WtAvBllnmWccV+JGxXKOzMU5BwKVrs9pBj+hKZuM8P8t642rrDOPe4+58cNI9orsN&#10;oGkawfjcsLXiOgyojksISMl3wno6S9U2DWfhZdN4HoisKDIN6Y2HoL2K72w2hbJ1YDvB9iXAbUq4&#10;wUmB0HjoAWoOAcjaiX+glGDOeNOEETMqG4gkRZBFkd/Q5rIDyxMXlNrbg+j+/8GyF5ulI6LGSUBJ&#10;NCjs+I+vb39+/nD16VtJrj5++f3m/a/v73CDYATK1VtfYtalXbr9yqMZuW8bp+IXWZFtknh3kJhv&#10;A2G4OZ7kD8+KCSUMfUXx4H6eJ9TsmG6dD8+4USQaFW2k6S86cOGJDNxpCHw5DE/SGzbPfcA6MP9v&#10;XizBGynqhZAyLVy7upCObACHYJGeSARTTsKkJn1FH0/GsTrAyW5wotBUFtXxuk3nnWT468BI5Mjl&#10;JCwWNgffDQUk1zB3SiAjrATKjkP9VNck7Cw2QOPFo7EYxWtKJMd7Gq0UGUDI20QiO6mRZGzX0KBo&#10;he1qizDRXJl6h61fWyfaDnUukibRg6OW1NlfizjL19cJ9PgrmP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mBIyMNYAAAAIAQAADwAAAAAAAAABACAAAAAiAAAAZHJzL2Rvd25yZXYueG1sUEsBAhQA&#10;FAAAAAgAh07iQA3ffUYtAgAAUgQAAA4AAAAAAAAAAQAgAAAAJQEAAGRycy9lMm9Eb2MueG1sUEsF&#10;BgAAAAAGAAYAWQEAAMQFAAAAAA==&#10;">
                <v:fill on="t" focussize="0,0"/>
                <v:stroke color="#000000" joinstyle="miter"/>
                <v:imagedata o:title=""/>
                <o:lock v:ext="edit" aspectratio="f"/>
                <v:textbox>
                  <w:txbxContent>
                    <w:p w14:paraId="6016154B">
                      <w:pPr>
                        <w:jc w:val="center"/>
                        <w:rPr>
                          <w:rFonts w:hint="eastAsia" w:hAnsi="宋体"/>
                        </w:rPr>
                      </w:pPr>
                    </w:p>
                    <w:p w14:paraId="429E8E4E">
                      <w:pPr>
                        <w:jc w:val="center"/>
                        <w:rPr>
                          <w:rFonts w:hint="eastAsia" w:hAnsi="宋体"/>
                        </w:rPr>
                      </w:pPr>
                    </w:p>
                    <w:p w14:paraId="684A4A4D">
                      <w:pPr>
                        <w:tabs>
                          <w:tab w:val="left" w:pos="5580"/>
                        </w:tabs>
                        <w:spacing w:line="240" w:lineRule="atLeast"/>
                        <w:ind w:left="540"/>
                        <w:rPr>
                          <w:rFonts w:hint="eastAsia" w:ascii="仿宋_GB2312" w:hAnsi="宋体" w:eastAsia="仿宋_GB2312"/>
                          <w:sz w:val="24"/>
                        </w:rPr>
                      </w:pPr>
                    </w:p>
                    <w:p w14:paraId="411040FA">
                      <w:pPr>
                        <w:tabs>
                          <w:tab w:val="left" w:pos="5580"/>
                        </w:tabs>
                        <w:spacing w:line="240" w:lineRule="atLeast"/>
                        <w:ind w:firstLine="240" w:firstLineChars="100"/>
                        <w:rPr>
                          <w:rFonts w:hint="eastAsia" w:ascii="仿宋_GB2312" w:hAnsi="宋体" w:eastAsia="仿宋_GB2312"/>
                          <w:sz w:val="24"/>
                        </w:rPr>
                      </w:pPr>
                      <w:r>
                        <w:rPr>
                          <w:rFonts w:hint="eastAsia" w:ascii="仿宋_GB2312" w:hAnsi="宋体" w:eastAsia="仿宋_GB2312"/>
                          <w:sz w:val="24"/>
                        </w:rPr>
                        <w:t>授权委托人身份证复印件正面</w:t>
                      </w:r>
                    </w:p>
                  </w:txbxContent>
                </v:textbox>
              </v:shape>
            </w:pict>
          </mc:Fallback>
        </mc:AlternateContent>
      </w:r>
    </w:p>
    <w:p w14:paraId="6581CC3D">
      <w:pPr>
        <w:spacing w:line="360" w:lineRule="auto"/>
        <w:ind w:firstLine="240" w:firstLineChars="100"/>
        <w:rPr>
          <w:rFonts w:hint="eastAsia" w:ascii="仿宋" w:hAnsi="仿宋" w:eastAsia="仿宋" w:cs="仿宋"/>
          <w:color w:val="auto"/>
          <w:sz w:val="24"/>
          <w:szCs w:val="24"/>
          <w:highlight w:val="none"/>
        </w:rPr>
      </w:pPr>
    </w:p>
    <w:p w14:paraId="71567DA7">
      <w:pPr>
        <w:spacing w:line="360" w:lineRule="auto"/>
        <w:ind w:firstLine="240" w:firstLineChars="100"/>
        <w:rPr>
          <w:rFonts w:hint="eastAsia" w:ascii="仿宋" w:hAnsi="仿宋" w:eastAsia="仿宋" w:cs="仿宋"/>
          <w:color w:val="auto"/>
          <w:sz w:val="24"/>
          <w:szCs w:val="24"/>
          <w:highlight w:val="none"/>
        </w:rPr>
      </w:pPr>
    </w:p>
    <w:p w14:paraId="0CCCC343">
      <w:pPr>
        <w:spacing w:line="360" w:lineRule="auto"/>
        <w:ind w:firstLine="240" w:firstLineChars="100"/>
        <w:rPr>
          <w:rFonts w:hint="eastAsia" w:ascii="仿宋" w:hAnsi="仿宋" w:eastAsia="仿宋" w:cs="仿宋"/>
          <w:color w:val="auto"/>
          <w:sz w:val="24"/>
          <w:szCs w:val="24"/>
          <w:highlight w:val="none"/>
        </w:rPr>
      </w:pPr>
    </w:p>
    <w:p w14:paraId="54BCEF34">
      <w:pPr>
        <w:spacing w:line="360" w:lineRule="auto"/>
        <w:ind w:firstLine="240" w:firstLineChars="100"/>
        <w:rPr>
          <w:rFonts w:hint="eastAsia" w:ascii="仿宋" w:hAnsi="仿宋" w:eastAsia="仿宋" w:cs="仿宋"/>
          <w:color w:val="auto"/>
          <w:sz w:val="24"/>
          <w:szCs w:val="24"/>
          <w:highlight w:val="none"/>
        </w:rPr>
      </w:pPr>
    </w:p>
    <w:p w14:paraId="26365D80">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17" name="圆角矩形 17"/>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000000"/>
                          </a:solidFill>
                          <a:prstDash val="solid"/>
                          <a:headEnd type="none" w="med" len="med"/>
                          <a:tailEnd type="none" w="med" len="med"/>
                        </a:ln>
                      </wps:spPr>
                      <wps:txbx>
                        <w:txbxContent>
                          <w:p w14:paraId="572E6029">
                            <w:pPr>
                              <w:jc w:val="center"/>
                              <w:rPr>
                                <w:rFonts w:hint="eastAsia" w:hAnsi="宋体"/>
                              </w:rPr>
                            </w:pPr>
                            <w:r>
                              <w:rPr>
                                <w:rFonts w:hint="eastAsia" w:hAnsi="宋体"/>
                              </w:rPr>
                              <w:t xml:space="preserve">  </w:t>
                            </w:r>
                          </w:p>
                          <w:p w14:paraId="0DED750F">
                            <w:pPr>
                              <w:jc w:val="center"/>
                              <w:rPr>
                                <w:rFonts w:hint="eastAsia" w:hAnsi="宋体"/>
                              </w:rPr>
                            </w:pPr>
                          </w:p>
                          <w:p w14:paraId="363CE398">
                            <w:pPr>
                              <w:jc w:val="center"/>
                              <w:rPr>
                                <w:rFonts w:hint="eastAsia" w:hAnsi="宋体"/>
                              </w:rPr>
                            </w:pPr>
                          </w:p>
                          <w:p w14:paraId="6312C6EE">
                            <w:pPr>
                              <w:tabs>
                                <w:tab w:val="left" w:pos="5580"/>
                              </w:tabs>
                              <w:spacing w:line="240" w:lineRule="atLeast"/>
                              <w:ind w:firstLine="240" w:firstLineChars="100"/>
                              <w:rPr>
                                <w:rFonts w:hint="eastAsia" w:ascii="仿宋_GB2312" w:hAnsi="宋体" w:eastAsia="仿宋_GB2312"/>
                                <w:sz w:val="24"/>
                              </w:rPr>
                            </w:pPr>
                            <w:r>
                              <w:rPr>
                                <w:rFonts w:hint="eastAsia" w:ascii="仿宋_GB2312" w:hAnsi="宋体" w:eastAsia="仿宋_GB2312"/>
                                <w:sz w:val="24"/>
                              </w:rPr>
                              <w:t>法人身份证复印件反面</w:t>
                            </w:r>
                          </w:p>
                          <w:p w14:paraId="1315B7B4"/>
                        </w:txbxContent>
                      </wps:txbx>
                      <wps:bodyPr upright="1"/>
                    </wps:wsp>
                  </a:graphicData>
                </a:graphic>
              </wp:anchor>
            </w:drawing>
          </mc:Choice>
          <mc:Fallback>
            <w:pict>
              <v:roundrect id="_x0000_s1026" o:spid="_x0000_s1026" o:spt="2" style="position:absolute;left:0pt;margin-left:237.65pt;margin-top:4.25pt;height:81.05pt;width:199.65pt;z-index:251662336;mso-width-relative:page;mso-height-relative:page;" fillcolor="#FFFFFF" filled="t" stroked="t" coordsize="21600,21600" arcsize="0.166666666666667" o:gfxdata="UEsDBAoAAAAAAIdO4kAAAAAAAAAAAAAAAAAEAAAAZHJzL1BLAwQUAAAACACHTuJAqVj+qtkAAAAJ&#10;AQAADwAAAGRycy9kb3ducmV2LnhtbE2PTUvDQBCG74L/YRnBm91U0ySk2RQUBA9SsIrgbZqdfNDs&#10;bMhukuqvdz3Z4/A+vO8zxe5sejHT6DrLCtarCARxZXXHjYKP9+e7DITzyBp7y6TgmxzsyuurAnNt&#10;F36j+eAbEUrY5aig9X7IpXRVSwbdyg7EIavtaNCHc2ykHnEJ5aaX91GUSIMdh4UWB3pqqTodJqPg&#10;NVv8Ty0/k3jilxq/5n29fySlbm/W0RaEp7P/h+FPP6hDGZyOdmLtRK8gTjcPAVWQbUCEPEvjBMQx&#10;gGmUgCwLeflB+QtQSwMEFAAAAAgAh07iQA6a/y8kAgAAWgQAAA4AAABkcnMvZTJvRG9jLnhtbK1U&#10;S44TMRDdI3EHy3vSnUTJDK10ZkEIGwQjBg7g+NNt5J9sJ925AAdgjYTEBs0hOM6IOcaUnSbzgUUW&#10;eOEu21XPr16Ve3HRa4V23AdpTY3HoxIjbqhl0jQ1/vRx/eIcoxCJYURZw2u85wFfLJ8/W3Su4hPb&#10;WsW4RwBiQtW5GrcxuqooAm25JmFkHTdwKKzXJMLSNwXzpAN0rYpJWc6LznrmvKU8BNhdHQ7xgOhP&#10;AbRCSMpXlm41N/GA6rkiEVIKrXQBLzNbITiN74UIPCJVY8g05hkuAXuT5mK5IFXjiWslHSiQUyg8&#10;yUkTaeDSI9SKRIK2Xv4FpSX1NlgRR9Tq4pBIVgSyGJdPtLlqieM5F5A6uKPo4f/B0ne7S48kg044&#10;w8gQDRW/+fbl9ufX39+vb379QLANGnUuVOB65S79sApgpoR74XX6Qiqoz7ruj7ryPiIKm5PZdAYD&#10;Iwpn43LycjqdJdTiPtz5EN9wq1Eyauzt1rAPUL0sKtm9DTGrywaKhH3GSGgFtdoRhcbz+TzzBMTB&#10;Gaw/mCkyWCXZWiqVF77ZvFIeQWiN13kMdB65KYM64Ds7P0vUCfS6gB4DUzvQK5gmk3sUEh4il3n8&#10;CzkxW5HQHhhkhORGqpYT9towFPcOCmHgAeLEQXOGkeLwXpOVPSOR6hRP0EEZkDpV8FCzZMV+0w+F&#10;3Fi2hxbYOi+bFqQfZ8LJCVou12h4HqmnH64z6P0vYXk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Vj+qtkAAAAJAQAADwAAAAAAAAABACAAAAAiAAAAZHJzL2Rvd25yZXYueG1sUEsBAhQAFAAAAAgA&#10;h07iQA6a/y8kAgAAWgQAAA4AAAAAAAAAAQAgAAAAKAEAAGRycy9lMm9Eb2MueG1sUEsFBgAAAAAG&#10;AAYAWQEAAL4FAAAAAA==&#10;">
                <v:fill on="t" focussize="0,0"/>
                <v:stroke weight="1.25pt" color="#000000" joinstyle="round"/>
                <v:imagedata o:title=""/>
                <o:lock v:ext="edit" aspectratio="f"/>
                <v:textbox>
                  <w:txbxContent>
                    <w:p w14:paraId="572E6029">
                      <w:pPr>
                        <w:jc w:val="center"/>
                        <w:rPr>
                          <w:rFonts w:hint="eastAsia" w:hAnsi="宋体"/>
                        </w:rPr>
                      </w:pPr>
                      <w:r>
                        <w:rPr>
                          <w:rFonts w:hint="eastAsia" w:hAnsi="宋体"/>
                        </w:rPr>
                        <w:t xml:space="preserve">  </w:t>
                      </w:r>
                    </w:p>
                    <w:p w14:paraId="0DED750F">
                      <w:pPr>
                        <w:jc w:val="center"/>
                        <w:rPr>
                          <w:rFonts w:hint="eastAsia" w:hAnsi="宋体"/>
                        </w:rPr>
                      </w:pPr>
                    </w:p>
                    <w:p w14:paraId="363CE398">
                      <w:pPr>
                        <w:jc w:val="center"/>
                        <w:rPr>
                          <w:rFonts w:hint="eastAsia" w:hAnsi="宋体"/>
                        </w:rPr>
                      </w:pPr>
                    </w:p>
                    <w:p w14:paraId="6312C6EE">
                      <w:pPr>
                        <w:tabs>
                          <w:tab w:val="left" w:pos="5580"/>
                        </w:tabs>
                        <w:spacing w:line="240" w:lineRule="atLeast"/>
                        <w:ind w:firstLine="240" w:firstLineChars="100"/>
                        <w:rPr>
                          <w:rFonts w:hint="eastAsia" w:ascii="仿宋_GB2312" w:hAnsi="宋体" w:eastAsia="仿宋_GB2312"/>
                          <w:sz w:val="24"/>
                        </w:rPr>
                      </w:pPr>
                      <w:r>
                        <w:rPr>
                          <w:rFonts w:hint="eastAsia" w:ascii="仿宋_GB2312" w:hAnsi="宋体" w:eastAsia="仿宋_GB2312"/>
                          <w:sz w:val="24"/>
                        </w:rPr>
                        <w:t>法人身份证复印件反面</w:t>
                      </w:r>
                    </w:p>
                    <w:p w14:paraId="1315B7B4"/>
                  </w:txbxContent>
                </v:textbox>
              </v:roundrect>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12" name="圆角矩形 12"/>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000000"/>
                          </a:solidFill>
                          <a:prstDash val="solid"/>
                          <a:headEnd type="none" w="med" len="med"/>
                          <a:tailEnd type="none" w="med" len="med"/>
                        </a:ln>
                      </wps:spPr>
                      <wps:txbx>
                        <w:txbxContent>
                          <w:p w14:paraId="4FC28A58">
                            <w:pPr>
                              <w:jc w:val="center"/>
                              <w:rPr>
                                <w:rFonts w:hint="eastAsia" w:hAnsi="宋体"/>
                              </w:rPr>
                            </w:pPr>
                          </w:p>
                          <w:p w14:paraId="3E1CECE3">
                            <w:pPr>
                              <w:jc w:val="center"/>
                              <w:rPr>
                                <w:rFonts w:hint="eastAsia" w:hAnsi="宋体"/>
                              </w:rPr>
                            </w:pPr>
                          </w:p>
                          <w:p w14:paraId="28668E7E">
                            <w:pPr>
                              <w:jc w:val="center"/>
                              <w:rPr>
                                <w:rFonts w:hint="eastAsia" w:hAnsi="宋体"/>
                              </w:rPr>
                            </w:pPr>
                          </w:p>
                          <w:p w14:paraId="08D29487">
                            <w:pPr>
                              <w:tabs>
                                <w:tab w:val="left" w:pos="5580"/>
                              </w:tabs>
                              <w:spacing w:line="240" w:lineRule="atLeast"/>
                              <w:ind w:left="540"/>
                              <w:rPr>
                                <w:rFonts w:hint="eastAsia" w:ascii="仿宋_GB2312" w:hAnsi="宋体" w:eastAsia="仿宋_GB2312"/>
                                <w:sz w:val="24"/>
                              </w:rPr>
                            </w:pPr>
                            <w:r>
                              <w:rPr>
                                <w:rFonts w:hint="eastAsia" w:ascii="仿宋_GB2312" w:hAnsi="宋体" w:eastAsia="仿宋_GB2312"/>
                                <w:sz w:val="24"/>
                              </w:rPr>
                              <w:t>法人身份证复印件正面</w:t>
                            </w:r>
                          </w:p>
                          <w:p w14:paraId="746EB1F9"/>
                        </w:txbxContent>
                      </wps:txbx>
                      <wps:bodyPr upright="1"/>
                    </wps:wsp>
                  </a:graphicData>
                </a:graphic>
              </wp:anchor>
            </w:drawing>
          </mc:Choice>
          <mc:Fallback>
            <w:pict>
              <v:roundrect id="_x0000_s1026" o:spid="_x0000_s1026" o:spt="2" style="position:absolute;left:0pt;margin-left:-0.85pt;margin-top:2.35pt;height:80.7pt;width:201.2pt;z-index:251661312;mso-width-relative:page;mso-height-relative:page;" fillcolor="#FFFFFF" filled="t" stroked="t" coordsize="21600,21600" arcsize="0.166666666666667" o:gfxdata="UEsDBAoAAAAAAIdO4kAAAAAAAAAAAAAAAAAEAAAAZHJzL1BLAwQUAAAACACHTuJA8n3chtYAAAAI&#10;AQAADwAAAGRycy9kb3ducmV2LnhtbE2PT0vEQAzF74LfYYjgbXemUupSO11QEDzIgqsI3rJt+gc7&#10;mdKZtquf3njSUxLe4+X3iv3ZDWqhKfSeLSRbA4q48nXPrYW318fNDlSIyDUOnsnCFwXYl5cXBea1&#10;X/mFlmNslYRwyNFCF+OYax2qjhyGrR+JRWv85DDKObW6nnCVcDfoG2My7bBn+dDhSA8dVZ/H2Vl4&#10;3q3xu9HvWTrzU4Mfy6E53JO111eJuQMV6Rz/zPCLL+hQCtPJz1wHNVjYJLfitJDKEDk1RpaT+LIs&#10;AV0W+n+B8gdQSwMEFAAAAAgAh07iQKlLWA4lAgAAWgQAAA4AAABkcnMvZTJvRG9jLnhtbK1US44T&#10;MRDdI3EHy3vSndYkM7TSmQUhbBCMGDiA40+3kX+ynXTnAhyANRISGzSH4DgjOAZlp8l8YJEFXrjL&#10;dtXzq1flXlwOWqEd90Fa0+DppMSIG2qZNG2DP7xfP7vAKERiGFHW8AbvecCXy6dPFr2reWU7qxj3&#10;CEBMqHvX4C5GVxdFoB3XJEys4wYOhfWaRFj6tmCe9ICuVVGV5bzorWfOW8pDgN3V4RCPiP4UQCuE&#10;pHxl6VZzEw+onisSIaXQSRfwMrMVgtP4VojAI1INhkxjnuESsDdpLpYLUreeuE7SkQI5hcKjnDSR&#10;Bi49Qq1IJGjr5V9QWlJvgxVxQq0uDolkRSCLaflIm+uOOJ5zAamDO4oe/h8sfbO78kgy6IQKI0M0&#10;VPz2y6df3z///Hpz++Mbgm3QqHehBtdrd+XHVQAzJTwIr9MXUkFD1nV/1JUPEVHYrGazWXUGklM4&#10;m5bV2cXzrHxxF+58iK+41SgZDfZ2a9g7qF4Wlexeh5jVZSNFwj5iJLSCWu2IQtP5fH6eeALi6AzW&#10;H8wUGaySbC2Vygvfbl4ojyC0wes8xuAHbsqgHvjOLs5nQJ1ArwvoMTC1A72CaTO5ByHhPnKZx7+Q&#10;E7MVCd2BQUZIbqTuOGEvDUNx76AQBh4gThw0ZxgpDu81WdkzEqlO8QQdlAFhUgUPNUtWHDbDWMiN&#10;ZXtoga3zsu1A+mkmnJyg5bKi4/NIPX1/nUHvfgn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J9&#10;3IbWAAAACAEAAA8AAAAAAAAAAQAgAAAAIgAAAGRycy9kb3ducmV2LnhtbFBLAQIUABQAAAAIAIdO&#10;4kCpS1gOJQIAAFoEAAAOAAAAAAAAAAEAIAAAACUBAABkcnMvZTJvRG9jLnhtbFBLBQYAAAAABgAG&#10;AFkBAAC8BQAAAAA=&#10;">
                <v:fill on="t" focussize="0,0"/>
                <v:stroke weight="1.25pt" color="#000000" joinstyle="round"/>
                <v:imagedata o:title=""/>
                <o:lock v:ext="edit" aspectratio="f"/>
                <v:textbox>
                  <w:txbxContent>
                    <w:p w14:paraId="4FC28A58">
                      <w:pPr>
                        <w:jc w:val="center"/>
                        <w:rPr>
                          <w:rFonts w:hint="eastAsia" w:hAnsi="宋体"/>
                        </w:rPr>
                      </w:pPr>
                    </w:p>
                    <w:p w14:paraId="3E1CECE3">
                      <w:pPr>
                        <w:jc w:val="center"/>
                        <w:rPr>
                          <w:rFonts w:hint="eastAsia" w:hAnsi="宋体"/>
                        </w:rPr>
                      </w:pPr>
                    </w:p>
                    <w:p w14:paraId="28668E7E">
                      <w:pPr>
                        <w:jc w:val="center"/>
                        <w:rPr>
                          <w:rFonts w:hint="eastAsia" w:hAnsi="宋体"/>
                        </w:rPr>
                      </w:pPr>
                    </w:p>
                    <w:p w14:paraId="08D29487">
                      <w:pPr>
                        <w:tabs>
                          <w:tab w:val="left" w:pos="5580"/>
                        </w:tabs>
                        <w:spacing w:line="240" w:lineRule="atLeast"/>
                        <w:ind w:left="540"/>
                        <w:rPr>
                          <w:rFonts w:hint="eastAsia" w:ascii="仿宋_GB2312" w:hAnsi="宋体" w:eastAsia="仿宋_GB2312"/>
                          <w:sz w:val="24"/>
                        </w:rPr>
                      </w:pPr>
                      <w:r>
                        <w:rPr>
                          <w:rFonts w:hint="eastAsia" w:ascii="仿宋_GB2312" w:hAnsi="宋体" w:eastAsia="仿宋_GB2312"/>
                          <w:sz w:val="24"/>
                        </w:rPr>
                        <w:t>法人身份证复印件正面</w:t>
                      </w:r>
                    </w:p>
                    <w:p w14:paraId="746EB1F9"/>
                  </w:txbxContent>
                </v:textbox>
              </v:roundrect>
            </w:pict>
          </mc:Fallback>
        </mc:AlternateContent>
      </w:r>
    </w:p>
    <w:p w14:paraId="61D043FE">
      <w:pPr>
        <w:spacing w:line="360" w:lineRule="auto"/>
        <w:ind w:firstLine="240" w:firstLineChars="100"/>
        <w:rPr>
          <w:rFonts w:hint="eastAsia" w:ascii="仿宋" w:hAnsi="仿宋" w:eastAsia="仿宋" w:cs="仿宋"/>
          <w:color w:val="auto"/>
          <w:sz w:val="24"/>
          <w:szCs w:val="24"/>
          <w:highlight w:val="none"/>
        </w:rPr>
      </w:pPr>
    </w:p>
    <w:p w14:paraId="3C5009E2">
      <w:pPr>
        <w:spacing w:line="360" w:lineRule="auto"/>
        <w:ind w:firstLine="240" w:firstLineChars="100"/>
        <w:rPr>
          <w:rFonts w:hint="eastAsia" w:ascii="仿宋" w:hAnsi="仿宋" w:eastAsia="仿宋" w:cs="仿宋"/>
          <w:color w:val="auto"/>
          <w:sz w:val="24"/>
          <w:szCs w:val="24"/>
          <w:highlight w:val="none"/>
        </w:rPr>
      </w:pPr>
    </w:p>
    <w:p w14:paraId="674ABF6C">
      <w:pPr>
        <w:spacing w:line="360" w:lineRule="auto"/>
        <w:ind w:firstLine="240" w:firstLineChars="100"/>
        <w:rPr>
          <w:rFonts w:hint="eastAsia" w:ascii="仿宋" w:hAnsi="仿宋" w:eastAsia="仿宋" w:cs="仿宋"/>
          <w:color w:val="auto"/>
          <w:sz w:val="24"/>
          <w:szCs w:val="24"/>
          <w:highlight w:val="none"/>
        </w:rPr>
      </w:pPr>
    </w:p>
    <w:p w14:paraId="58C143D7">
      <w:pPr>
        <w:spacing w:line="360" w:lineRule="auto"/>
        <w:ind w:firstLine="240" w:firstLineChars="100"/>
        <w:rPr>
          <w:rFonts w:hint="eastAsia" w:ascii="仿宋" w:hAnsi="仿宋" w:eastAsia="仿宋" w:cs="仿宋"/>
          <w:color w:val="auto"/>
          <w:sz w:val="24"/>
          <w:szCs w:val="24"/>
          <w:highlight w:val="none"/>
        </w:rPr>
      </w:pPr>
    </w:p>
    <w:p w14:paraId="64CB7C81">
      <w:pPr>
        <w:pStyle w:val="15"/>
        <w:tabs>
          <w:tab w:val="left" w:pos="5580"/>
        </w:tabs>
        <w:spacing w:line="240" w:lineRule="atLeast"/>
        <w:ind w:left="-540" w:leftChars="-257" w:firstLine="900" w:firstLineChars="375"/>
        <w:rPr>
          <w:rFonts w:hint="eastAsia" w:ascii="仿宋" w:hAnsi="仿宋" w:eastAsia="仿宋" w:cs="仿宋"/>
          <w:color w:val="auto"/>
          <w:sz w:val="24"/>
          <w:szCs w:val="24"/>
          <w:highlight w:val="none"/>
        </w:rPr>
      </w:pPr>
    </w:p>
    <w:p w14:paraId="1EB4ED9A">
      <w:pPr>
        <w:pStyle w:val="15"/>
        <w:tabs>
          <w:tab w:val="left" w:pos="5580"/>
        </w:tabs>
        <w:spacing w:line="240" w:lineRule="atLeast"/>
        <w:ind w:left="-540" w:leftChars="-257" w:firstLine="900" w:firstLineChars="375"/>
        <w:rPr>
          <w:rFonts w:hint="eastAsia" w:ascii="仿宋" w:hAnsi="仿宋" w:eastAsia="仿宋" w:cs="仿宋"/>
          <w:color w:val="auto"/>
          <w:sz w:val="24"/>
          <w:szCs w:val="24"/>
          <w:highlight w:val="none"/>
        </w:rPr>
      </w:pPr>
    </w:p>
    <w:p w14:paraId="38796EA3">
      <w:pPr>
        <w:pStyle w:val="15"/>
        <w:tabs>
          <w:tab w:val="left" w:pos="5580"/>
        </w:tabs>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投标人（盖单位章）;</w:t>
      </w:r>
      <w:r>
        <w:rPr>
          <w:rFonts w:hint="eastAsia" w:ascii="仿宋" w:hAnsi="仿宋" w:eastAsia="仿宋" w:cs="仿宋"/>
          <w:color w:val="auto"/>
          <w:sz w:val="24"/>
          <w:szCs w:val="24"/>
          <w:highlight w:val="none"/>
          <w:u w:val="single"/>
        </w:rPr>
        <w:t xml:space="preserve">                           </w:t>
      </w:r>
    </w:p>
    <w:p w14:paraId="6EA6AF76">
      <w:pPr>
        <w:pStyle w:val="15"/>
        <w:tabs>
          <w:tab w:val="left" w:pos="55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法定代表人（签字或签章）：</w:t>
      </w:r>
      <w:r>
        <w:rPr>
          <w:rFonts w:hint="eastAsia" w:ascii="仿宋" w:hAnsi="仿宋" w:eastAsia="仿宋" w:cs="仿宋"/>
          <w:color w:val="auto"/>
          <w:sz w:val="24"/>
          <w:szCs w:val="24"/>
          <w:highlight w:val="none"/>
          <w:u w:val="single"/>
        </w:rPr>
        <w:t xml:space="preserve">                     </w:t>
      </w:r>
    </w:p>
    <w:p w14:paraId="60C2651F">
      <w:pPr>
        <w:pStyle w:val="15"/>
        <w:tabs>
          <w:tab w:val="left" w:pos="5580"/>
        </w:tabs>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none"/>
        </w:rPr>
        <w:t xml:space="preserve">__________________________________ </w:t>
      </w:r>
    </w:p>
    <w:p w14:paraId="2267E2DB">
      <w:pPr>
        <w:pStyle w:val="15"/>
        <w:tabs>
          <w:tab w:val="left" w:pos="5580"/>
        </w:tabs>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委托代理人：</w:t>
      </w:r>
      <w:r>
        <w:rPr>
          <w:rFonts w:hint="eastAsia" w:ascii="仿宋" w:hAnsi="仿宋" w:eastAsia="仿宋" w:cs="仿宋"/>
          <w:color w:val="auto"/>
          <w:sz w:val="24"/>
          <w:szCs w:val="24"/>
          <w:highlight w:val="none"/>
          <w:u w:val="single"/>
        </w:rPr>
        <w:t xml:space="preserve">                                   </w:t>
      </w:r>
    </w:p>
    <w:p w14:paraId="4BB5DA9C">
      <w:pPr>
        <w:pStyle w:val="15"/>
        <w:tabs>
          <w:tab w:val="left" w:pos="5580"/>
        </w:tabs>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p>
    <w:p w14:paraId="48149B8E">
      <w:pPr>
        <w:pStyle w:val="15"/>
        <w:tabs>
          <w:tab w:val="left" w:pos="55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详细通讯地址：</w:t>
      </w:r>
      <w:r>
        <w:rPr>
          <w:rFonts w:hint="eastAsia" w:ascii="仿宋" w:hAnsi="仿宋" w:eastAsia="仿宋" w:cs="仿宋"/>
          <w:color w:val="auto"/>
          <w:sz w:val="24"/>
          <w:szCs w:val="24"/>
          <w:highlight w:val="none"/>
          <w:u w:val="single"/>
        </w:rPr>
        <w:t xml:space="preserve">                                 </w:t>
      </w:r>
    </w:p>
    <w:p w14:paraId="0794F20A">
      <w:pPr>
        <w:pStyle w:val="15"/>
        <w:tabs>
          <w:tab w:val="left" w:pos="55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 政 编 码 ：</w:t>
      </w:r>
      <w:r>
        <w:rPr>
          <w:rFonts w:hint="eastAsia" w:ascii="仿宋" w:hAnsi="仿宋" w:eastAsia="仿宋" w:cs="仿宋"/>
          <w:color w:val="auto"/>
          <w:sz w:val="24"/>
          <w:szCs w:val="24"/>
          <w:highlight w:val="none"/>
          <w:u w:val="single"/>
        </w:rPr>
        <w:t xml:space="preserve">                                 </w:t>
      </w:r>
    </w:p>
    <w:p w14:paraId="182008B3">
      <w:pPr>
        <w:pStyle w:val="15"/>
        <w:tabs>
          <w:tab w:val="left" w:pos="55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r>
        <w:rPr>
          <w:rFonts w:hint="eastAsia" w:ascii="仿宋" w:hAnsi="仿宋" w:eastAsia="仿宋" w:cs="仿宋"/>
          <w:color w:val="auto"/>
          <w:sz w:val="24"/>
          <w:szCs w:val="24"/>
          <w:highlight w:val="none"/>
          <w:u w:val="single"/>
        </w:rPr>
        <w:t xml:space="preserve">                                 </w:t>
      </w:r>
    </w:p>
    <w:p w14:paraId="1994966B">
      <w:pPr>
        <w:pStyle w:val="15"/>
        <w:tabs>
          <w:tab w:val="left" w:pos="558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u w:val="single"/>
        </w:rPr>
        <w:t xml:space="preserve">                                 </w:t>
      </w:r>
    </w:p>
    <w:p w14:paraId="30F6ADB6">
      <w:pPr>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年   月   日 </w:t>
      </w:r>
    </w:p>
    <w:p w14:paraId="4036B35F">
      <w:pPr>
        <w:pStyle w:val="7"/>
        <w:spacing w:before="0" w:line="240" w:lineRule="atLeas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bookmarkEnd w:id="925"/>
    <w:bookmarkEnd w:id="926"/>
    <w:bookmarkEnd w:id="927"/>
    <w:p w14:paraId="12C04124">
      <w:pPr>
        <w:pStyle w:val="20"/>
        <w:ind w:firstLine="241" w:firstLineChars="1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4、投标人需提供本单位依法缴纳投标截止时间前半年内任意连续近三个月社保缴纳证明单位缴费个人明细表（社保证明可含：社保缴费凭证、社保缴费证明、社保缴费汇总单、依法缴纳社保的完税证明）；</w:t>
      </w:r>
    </w:p>
    <w:p w14:paraId="14CE0DEA">
      <w:pPr>
        <w:pStyle w:val="24"/>
        <w:ind w:firstLine="230" w:firstLineChars="100"/>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说明：</w:t>
      </w:r>
      <w:r>
        <w:rPr>
          <w:rFonts w:hint="eastAsia" w:ascii="仿宋" w:hAnsi="仿宋" w:eastAsia="仿宋" w:cs="仿宋"/>
          <w:color w:val="auto"/>
          <w:spacing w:val="-1"/>
          <w:sz w:val="24"/>
          <w:szCs w:val="24"/>
          <w:highlight w:val="none"/>
        </w:rPr>
        <w:t>复印件上应加盖本单位章。</w:t>
      </w:r>
    </w:p>
    <w:p w14:paraId="291E0121">
      <w:pPr>
        <w:pStyle w:val="24"/>
        <w:ind w:firstLine="0" w:firstLineChars="0"/>
        <w:rPr>
          <w:rFonts w:hint="eastAsia" w:ascii="仿宋" w:hAnsi="仿宋" w:eastAsia="仿宋" w:cs="仿宋"/>
          <w:color w:val="auto"/>
          <w:sz w:val="24"/>
          <w:szCs w:val="24"/>
          <w:highlight w:val="none"/>
        </w:rPr>
      </w:pPr>
    </w:p>
    <w:p w14:paraId="559FF445">
      <w:pPr>
        <w:pStyle w:val="21"/>
        <w:rPr>
          <w:rFonts w:hint="eastAsia" w:ascii="仿宋" w:hAnsi="仿宋" w:eastAsia="仿宋" w:cs="仿宋"/>
          <w:b/>
          <w:bCs/>
          <w:color w:val="auto"/>
          <w:sz w:val="24"/>
          <w:szCs w:val="24"/>
          <w:highlight w:val="none"/>
        </w:rPr>
      </w:pPr>
    </w:p>
    <w:p w14:paraId="3DA3084C">
      <w:pPr>
        <w:rPr>
          <w:rFonts w:hint="eastAsia" w:ascii="仿宋" w:hAnsi="仿宋" w:eastAsia="仿宋" w:cs="仿宋"/>
          <w:b/>
          <w:bCs/>
          <w:color w:val="auto"/>
          <w:sz w:val="24"/>
          <w:szCs w:val="24"/>
          <w:highlight w:val="none"/>
        </w:rPr>
      </w:pPr>
    </w:p>
    <w:p w14:paraId="4589525C">
      <w:pPr>
        <w:rPr>
          <w:rFonts w:hint="eastAsia" w:ascii="仿宋" w:hAnsi="仿宋" w:eastAsia="仿宋" w:cs="仿宋"/>
          <w:b/>
          <w:bCs/>
          <w:color w:val="auto"/>
          <w:sz w:val="24"/>
          <w:szCs w:val="24"/>
          <w:highlight w:val="none"/>
        </w:rPr>
      </w:pPr>
    </w:p>
    <w:p w14:paraId="6CC3FD1B">
      <w:pPr>
        <w:spacing w:line="360" w:lineRule="auto"/>
        <w:ind w:firstLine="241" w:firstLineChars="100"/>
        <w:rPr>
          <w:rFonts w:hint="eastAsia" w:eastAsia="仿宋"/>
          <w:b/>
          <w:bCs/>
          <w:lang w:val="en-US" w:eastAsia="zh-CN"/>
        </w:rPr>
      </w:pPr>
      <w:r>
        <w:rPr>
          <w:rFonts w:hint="eastAsia" w:ascii="仿宋" w:hAnsi="仿宋" w:eastAsia="仿宋" w:cs="仿宋"/>
          <w:b/>
          <w:bCs/>
          <w:color w:val="auto"/>
          <w:sz w:val="24"/>
          <w:szCs w:val="24"/>
          <w:highlight w:val="none"/>
          <w:lang w:val="en-US" w:eastAsia="zh-CN"/>
        </w:rPr>
        <w:t>5、投标人需提供2023年度第三方审计机构出具的财务审计报告(会计周期不满一年的提供近三个月银行出具的资信证明）和健全的财务会计制度；</w:t>
      </w:r>
    </w:p>
    <w:p w14:paraId="4B500C46">
      <w:pPr>
        <w:pStyle w:val="24"/>
        <w:ind w:firstLine="0" w:firstLine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pacing w:val="-5"/>
          <w:sz w:val="24"/>
          <w:szCs w:val="24"/>
          <w:highlight w:val="none"/>
        </w:rPr>
        <w:t>说明：</w:t>
      </w:r>
      <w:r>
        <w:rPr>
          <w:rFonts w:hint="eastAsia" w:ascii="仿宋" w:hAnsi="仿宋" w:eastAsia="仿宋" w:cs="仿宋"/>
          <w:color w:val="auto"/>
          <w:spacing w:val="-1"/>
          <w:sz w:val="24"/>
          <w:szCs w:val="24"/>
          <w:highlight w:val="none"/>
        </w:rPr>
        <w:t>复印件上应加盖本单位章</w:t>
      </w:r>
    </w:p>
    <w:p w14:paraId="66ADF8D5">
      <w:pPr>
        <w:pStyle w:val="15"/>
        <w:pageBreakBefore w:val="0"/>
        <w:kinsoku/>
        <w:wordWrap/>
        <w:overflowPunct/>
        <w:topLinePunct w:val="0"/>
        <w:autoSpaceDE/>
        <w:autoSpaceDN/>
        <w:bidi w:val="0"/>
        <w:adjustRightInd/>
        <w:snapToGrid w:val="0"/>
        <w:spacing w:line="396" w:lineRule="auto"/>
        <w:textAlignment w:val="auto"/>
        <w:outlineLvl w:val="2"/>
        <w:rPr>
          <w:rFonts w:hint="eastAsia" w:ascii="仿宋" w:hAnsi="仿宋" w:eastAsia="仿宋" w:cs="仿宋"/>
          <w:kern w:val="2"/>
          <w:sz w:val="24"/>
          <w:szCs w:val="24"/>
          <w:lang w:val="en-US" w:eastAsia="zh-CN" w:bidi="ar-SA"/>
        </w:rPr>
      </w:pPr>
    </w:p>
    <w:p w14:paraId="2CDFE0F9">
      <w:pPr>
        <w:pStyle w:val="15"/>
        <w:pageBreakBefore w:val="0"/>
        <w:kinsoku/>
        <w:wordWrap/>
        <w:overflowPunct/>
        <w:topLinePunct w:val="0"/>
        <w:autoSpaceDE/>
        <w:autoSpaceDN/>
        <w:bidi w:val="0"/>
        <w:adjustRightInd/>
        <w:snapToGrid w:val="0"/>
        <w:spacing w:line="396" w:lineRule="auto"/>
        <w:textAlignment w:val="auto"/>
        <w:outlineLvl w:val="2"/>
        <w:rPr>
          <w:rFonts w:hint="eastAsia" w:ascii="仿宋" w:hAnsi="仿宋" w:eastAsia="仿宋" w:cs="仿宋"/>
          <w:kern w:val="2"/>
          <w:sz w:val="24"/>
          <w:szCs w:val="24"/>
          <w:lang w:val="en-US" w:eastAsia="zh-CN" w:bidi="ar-SA"/>
        </w:rPr>
      </w:pPr>
    </w:p>
    <w:p w14:paraId="30C99D1F">
      <w:pPr>
        <w:pStyle w:val="15"/>
        <w:pageBreakBefore w:val="0"/>
        <w:kinsoku/>
        <w:wordWrap/>
        <w:overflowPunct/>
        <w:topLinePunct w:val="0"/>
        <w:autoSpaceDE/>
        <w:autoSpaceDN/>
        <w:bidi w:val="0"/>
        <w:adjustRightInd/>
        <w:snapToGrid w:val="0"/>
        <w:spacing w:line="396" w:lineRule="auto"/>
        <w:textAlignment w:val="auto"/>
        <w:outlineLvl w:val="2"/>
        <w:rPr>
          <w:rFonts w:hint="eastAsia" w:ascii="仿宋" w:hAnsi="仿宋" w:eastAsia="仿宋" w:cs="仿宋"/>
          <w:kern w:val="2"/>
          <w:sz w:val="24"/>
          <w:szCs w:val="24"/>
          <w:lang w:val="en-US" w:eastAsia="zh-CN" w:bidi="ar-SA"/>
        </w:rPr>
      </w:pPr>
    </w:p>
    <w:p w14:paraId="0A04EBDF">
      <w:pPr>
        <w:pStyle w:val="15"/>
        <w:pageBreakBefore w:val="0"/>
        <w:kinsoku/>
        <w:wordWrap/>
        <w:overflowPunct/>
        <w:topLinePunct w:val="0"/>
        <w:autoSpaceDE/>
        <w:autoSpaceDN/>
        <w:bidi w:val="0"/>
        <w:adjustRightInd/>
        <w:snapToGrid w:val="0"/>
        <w:spacing w:line="396" w:lineRule="auto"/>
        <w:textAlignment w:val="auto"/>
        <w:outlineLvl w:val="2"/>
        <w:rPr>
          <w:rFonts w:hint="eastAsia" w:ascii="仿宋" w:hAnsi="仿宋" w:eastAsia="仿宋" w:cs="仿宋"/>
          <w:kern w:val="2"/>
          <w:sz w:val="24"/>
          <w:szCs w:val="24"/>
          <w:lang w:val="en-US" w:eastAsia="zh-CN" w:bidi="ar-SA"/>
        </w:rPr>
      </w:pPr>
    </w:p>
    <w:p w14:paraId="04D0FC65">
      <w:pPr>
        <w:pStyle w:val="15"/>
        <w:pageBreakBefore w:val="0"/>
        <w:kinsoku/>
        <w:wordWrap/>
        <w:overflowPunct/>
        <w:topLinePunct w:val="0"/>
        <w:autoSpaceDE/>
        <w:autoSpaceDN/>
        <w:bidi w:val="0"/>
        <w:adjustRightInd/>
        <w:snapToGrid w:val="0"/>
        <w:spacing w:line="396" w:lineRule="auto"/>
        <w:textAlignment w:val="auto"/>
        <w:outlineLvl w:val="2"/>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w:t>
      </w:r>
      <w:r>
        <w:rPr>
          <w:rFonts w:hint="eastAsia" w:ascii="仿宋" w:hAnsi="仿宋" w:eastAsia="仿宋" w:cs="仿宋"/>
          <w:b/>
          <w:bCs/>
          <w:color w:val="auto"/>
          <w:kern w:val="2"/>
          <w:sz w:val="24"/>
          <w:szCs w:val="24"/>
          <w:highlight w:val="none"/>
          <w:lang w:val="en-US" w:eastAsia="zh-CN" w:bidi="ar-SA"/>
        </w:rPr>
        <w:t>6、投标人需提供税务部门出具投标截止时间前半年内任意连续近三个月缴纳税收的完税证明（需含增值税、印花税等税种；如当月无需缴税需提供无欠税证明）；</w:t>
      </w:r>
    </w:p>
    <w:p w14:paraId="44D28A6B">
      <w:pPr>
        <w:numPr>
          <w:ilvl w:val="0"/>
          <w:numId w:val="0"/>
        </w:numPr>
        <w:spacing w:before="78" w:line="360" w:lineRule="auto"/>
        <w:ind w:right="102" w:rightChars="0" w:firstLine="230" w:firstLineChars="100"/>
        <w:rPr>
          <w:rFonts w:hint="eastAsia" w:ascii="仿宋" w:hAnsi="仿宋" w:eastAsia="仿宋" w:cs="仿宋"/>
          <w:color w:val="auto"/>
          <w:spacing w:val="-1"/>
          <w:sz w:val="24"/>
          <w:szCs w:val="24"/>
          <w:highlight w:val="none"/>
        </w:rPr>
      </w:pPr>
      <w:r>
        <w:rPr>
          <w:rFonts w:hint="eastAsia" w:ascii="仿宋" w:hAnsi="仿宋" w:eastAsia="仿宋" w:cs="仿宋"/>
          <w:color w:val="auto"/>
          <w:spacing w:val="-5"/>
          <w:sz w:val="24"/>
          <w:szCs w:val="24"/>
          <w:highlight w:val="none"/>
        </w:rPr>
        <w:t>说明：</w:t>
      </w:r>
      <w:r>
        <w:rPr>
          <w:rFonts w:hint="eastAsia" w:ascii="仿宋" w:hAnsi="仿宋" w:eastAsia="仿宋" w:cs="仿宋"/>
          <w:color w:val="auto"/>
          <w:spacing w:val="-1"/>
          <w:sz w:val="24"/>
          <w:szCs w:val="24"/>
          <w:highlight w:val="none"/>
        </w:rPr>
        <w:t>复印件上应加盖本单位章。</w:t>
      </w:r>
    </w:p>
    <w:p w14:paraId="72794C0F">
      <w:pPr>
        <w:pStyle w:val="2"/>
        <w:rPr>
          <w:rFonts w:hint="eastAsia" w:ascii="仿宋" w:hAnsi="仿宋" w:eastAsia="仿宋" w:cs="仿宋"/>
          <w:b/>
          <w:bCs/>
          <w:color w:val="auto"/>
          <w:spacing w:val="-1"/>
          <w:sz w:val="24"/>
          <w:szCs w:val="24"/>
          <w:highlight w:val="none"/>
        </w:rPr>
      </w:pPr>
    </w:p>
    <w:p w14:paraId="6D519E20">
      <w:pPr>
        <w:pStyle w:val="4"/>
        <w:rPr>
          <w:rFonts w:hint="eastAsia" w:ascii="仿宋" w:hAnsi="仿宋" w:eastAsia="仿宋" w:cs="仿宋"/>
          <w:b/>
          <w:bCs/>
          <w:color w:val="auto"/>
          <w:spacing w:val="-1"/>
          <w:sz w:val="24"/>
          <w:szCs w:val="24"/>
          <w:highlight w:val="none"/>
        </w:rPr>
      </w:pPr>
    </w:p>
    <w:p w14:paraId="7982B63B">
      <w:pPr>
        <w:pStyle w:val="5"/>
        <w:rPr>
          <w:rFonts w:hint="eastAsia"/>
        </w:rPr>
      </w:pPr>
    </w:p>
    <w:p w14:paraId="73B76DCB">
      <w:pPr>
        <w:pStyle w:val="4"/>
        <w:spacing w:line="360" w:lineRule="auto"/>
        <w:ind w:left="0" w:leftChars="0" w:firstLine="0" w:firstLineChars="0"/>
        <w:rPr>
          <w:rFonts w:hint="default" w:eastAsia="仿宋"/>
          <w:b/>
          <w:bCs/>
          <w:lang w:val="en-US" w:eastAsia="zh-CN"/>
        </w:rPr>
      </w:pPr>
      <w:r>
        <w:rPr>
          <w:rFonts w:hint="eastAsia" w:ascii="仿宋" w:hAnsi="仿宋" w:eastAsia="仿宋" w:cs="仿宋"/>
          <w:b/>
          <w:bCs/>
          <w:color w:val="auto"/>
          <w:spacing w:val="-1"/>
          <w:sz w:val="24"/>
          <w:szCs w:val="24"/>
          <w:highlight w:val="none"/>
          <w:lang w:val="en-US" w:eastAsia="zh-CN"/>
        </w:rPr>
        <w:t xml:space="preserve">   7、参加本次招标项目的投标人，近三年内如在“信用中国”被列入失信被执行人、企业经营异常名录、重大税收违法案件当事人名单、政府采购严重违法失信名单（尚在处罚期内的）“中国政府采购网”被列入政府采购严重违法失信行为记录名单的（尚在处罚期内的）“国家企业信用信息公示系统”列入经营异常名录信息、严重违法失信名单（黑名单）信息（尚在处罚期内的）；将拒绝其参与本次政府采购活动；</w:t>
      </w:r>
    </w:p>
    <w:p w14:paraId="68D6C958">
      <w:pPr>
        <w:numPr>
          <w:ilvl w:val="0"/>
          <w:numId w:val="0"/>
        </w:numPr>
        <w:spacing w:before="78" w:line="360" w:lineRule="auto"/>
        <w:ind w:right="102" w:rightChars="0" w:firstLine="230" w:firstLineChars="100"/>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说明：</w:t>
      </w:r>
      <w:r>
        <w:rPr>
          <w:rFonts w:hint="eastAsia" w:ascii="仿宋" w:hAnsi="仿宋" w:eastAsia="仿宋" w:cs="仿宋"/>
          <w:color w:val="auto"/>
          <w:spacing w:val="-1"/>
          <w:sz w:val="24"/>
          <w:szCs w:val="24"/>
          <w:highlight w:val="none"/>
        </w:rPr>
        <w:t>复印件上应加盖本单位章。</w:t>
      </w:r>
    </w:p>
    <w:p w14:paraId="50809104">
      <w:pPr>
        <w:pStyle w:val="15"/>
        <w:pageBreakBefore w:val="0"/>
        <w:kinsoku/>
        <w:wordWrap/>
        <w:overflowPunct/>
        <w:topLinePunct w:val="0"/>
        <w:autoSpaceDE/>
        <w:autoSpaceDN/>
        <w:bidi w:val="0"/>
        <w:adjustRightInd/>
        <w:snapToGrid w:val="0"/>
        <w:spacing w:line="396" w:lineRule="auto"/>
        <w:ind w:left="239" w:leftChars="114" w:firstLine="120" w:firstLineChars="50"/>
        <w:textAlignment w:val="auto"/>
        <w:outlineLvl w:val="2"/>
        <w:rPr>
          <w:rFonts w:hint="eastAsia" w:ascii="仿宋" w:hAnsi="仿宋" w:eastAsia="仿宋" w:cs="仿宋"/>
          <w:kern w:val="2"/>
          <w:sz w:val="24"/>
          <w:szCs w:val="24"/>
          <w:lang w:val="en-US" w:eastAsia="zh-CN" w:bidi="ar-SA"/>
        </w:rPr>
      </w:pPr>
    </w:p>
    <w:p w14:paraId="57FB9417">
      <w:pPr>
        <w:pStyle w:val="15"/>
        <w:pageBreakBefore w:val="0"/>
        <w:kinsoku/>
        <w:wordWrap/>
        <w:overflowPunct/>
        <w:topLinePunct w:val="0"/>
        <w:autoSpaceDE/>
        <w:autoSpaceDN/>
        <w:bidi w:val="0"/>
        <w:adjustRightInd/>
        <w:snapToGrid w:val="0"/>
        <w:spacing w:line="396" w:lineRule="auto"/>
        <w:ind w:left="239" w:leftChars="114" w:firstLine="120" w:firstLineChars="50"/>
        <w:textAlignment w:val="auto"/>
        <w:outlineLvl w:val="2"/>
        <w:rPr>
          <w:rFonts w:hint="eastAsia" w:ascii="仿宋" w:hAnsi="仿宋" w:eastAsia="仿宋" w:cs="仿宋"/>
          <w:kern w:val="2"/>
          <w:sz w:val="24"/>
          <w:szCs w:val="24"/>
          <w:lang w:val="en-US" w:eastAsia="zh-CN" w:bidi="ar-SA"/>
        </w:rPr>
      </w:pPr>
    </w:p>
    <w:p w14:paraId="20924D4E">
      <w:pPr>
        <w:pStyle w:val="15"/>
        <w:pageBreakBefore w:val="0"/>
        <w:kinsoku/>
        <w:wordWrap/>
        <w:overflowPunct/>
        <w:topLinePunct w:val="0"/>
        <w:autoSpaceDE/>
        <w:autoSpaceDN/>
        <w:bidi w:val="0"/>
        <w:adjustRightInd/>
        <w:snapToGrid w:val="0"/>
        <w:spacing w:line="396" w:lineRule="auto"/>
        <w:textAlignment w:val="auto"/>
        <w:outlineLvl w:val="2"/>
        <w:rPr>
          <w:rFonts w:hint="eastAsia" w:ascii="仿宋" w:hAnsi="仿宋" w:eastAsia="仿宋" w:cs="仿宋"/>
          <w:kern w:val="2"/>
          <w:sz w:val="24"/>
          <w:szCs w:val="24"/>
          <w:lang w:val="en-US" w:eastAsia="zh-CN" w:bidi="ar-SA"/>
        </w:rPr>
      </w:pPr>
    </w:p>
    <w:p w14:paraId="24EB71CF">
      <w:pPr>
        <w:pStyle w:val="15"/>
        <w:pageBreakBefore w:val="0"/>
        <w:numPr>
          <w:ilvl w:val="0"/>
          <w:numId w:val="13"/>
        </w:numPr>
        <w:kinsoku/>
        <w:wordWrap/>
        <w:overflowPunct/>
        <w:topLinePunct w:val="0"/>
        <w:autoSpaceDE/>
        <w:autoSpaceDN/>
        <w:bidi w:val="0"/>
        <w:adjustRightInd/>
        <w:snapToGrid w:val="0"/>
        <w:spacing w:line="396" w:lineRule="auto"/>
        <w:ind w:left="479" w:leftChars="0" w:firstLine="0" w:firstLineChars="0"/>
        <w:textAlignment w:val="auto"/>
        <w:outlineLvl w:val="2"/>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投标人提供针对本次项目《反商业贿赂承诺书》；</w:t>
      </w:r>
    </w:p>
    <w:p w14:paraId="1CA3C350">
      <w:pPr>
        <w:pStyle w:val="15"/>
        <w:pageBreakBefore w:val="0"/>
        <w:numPr>
          <w:ilvl w:val="0"/>
          <w:numId w:val="0"/>
        </w:numPr>
        <w:kinsoku/>
        <w:wordWrap/>
        <w:overflowPunct/>
        <w:topLinePunct w:val="0"/>
        <w:autoSpaceDE/>
        <w:autoSpaceDN/>
        <w:bidi w:val="0"/>
        <w:adjustRightInd/>
        <w:snapToGrid w:val="0"/>
        <w:spacing w:line="396" w:lineRule="auto"/>
        <w:ind w:left="479" w:leftChars="0"/>
        <w:textAlignment w:val="auto"/>
        <w:outlineLvl w:val="2"/>
        <w:rPr>
          <w:rFonts w:hint="eastAsia" w:ascii="仿宋" w:hAnsi="仿宋" w:eastAsia="仿宋" w:cs="仿宋"/>
          <w:b/>
          <w:bCs/>
          <w:kern w:val="2"/>
          <w:sz w:val="24"/>
          <w:szCs w:val="24"/>
          <w:lang w:val="en-US" w:eastAsia="zh-CN" w:bidi="ar-SA"/>
        </w:rPr>
      </w:pPr>
    </w:p>
    <w:p w14:paraId="38ACDBFD">
      <w:pPr>
        <w:pStyle w:val="15"/>
        <w:pageBreakBefore w:val="0"/>
        <w:numPr>
          <w:ilvl w:val="0"/>
          <w:numId w:val="0"/>
        </w:numPr>
        <w:kinsoku/>
        <w:wordWrap/>
        <w:overflowPunct/>
        <w:topLinePunct w:val="0"/>
        <w:autoSpaceDE/>
        <w:autoSpaceDN/>
        <w:bidi w:val="0"/>
        <w:adjustRightInd/>
        <w:snapToGrid w:val="0"/>
        <w:spacing w:line="480" w:lineRule="auto"/>
        <w:ind w:left="479" w:leftChars="0"/>
        <w:jc w:val="center"/>
        <w:textAlignment w:val="auto"/>
        <w:outlineLvl w:val="2"/>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投标单位（供应商）反商业贿赂承诺书</w:t>
      </w:r>
    </w:p>
    <w:p w14:paraId="64FD51AB">
      <w:pPr>
        <w:pStyle w:val="15"/>
        <w:pageBreakBefore w:val="0"/>
        <w:numPr>
          <w:ilvl w:val="0"/>
          <w:numId w:val="0"/>
        </w:numPr>
        <w:kinsoku/>
        <w:wordWrap/>
        <w:overflowPunct/>
        <w:topLinePunct w:val="0"/>
        <w:autoSpaceDE/>
        <w:autoSpaceDN/>
        <w:bidi w:val="0"/>
        <w:adjustRightInd/>
        <w:snapToGrid w:val="0"/>
        <w:spacing w:line="480" w:lineRule="auto"/>
        <w:ind w:left="479" w:leftChars="0" w:firstLine="240" w:firstLineChars="100"/>
        <w:textAlignment w:val="auto"/>
        <w:outlineLvl w:val="2"/>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我公司承诺在</w:t>
      </w:r>
      <w:r>
        <w:rPr>
          <w:rFonts w:hint="eastAsia" w:ascii="仿宋" w:hAnsi="仿宋" w:eastAsia="仿宋" w:cs="仿宋"/>
          <w:b w:val="0"/>
          <w:bCs w:val="0"/>
          <w:kern w:val="2"/>
          <w:sz w:val="24"/>
          <w:szCs w:val="24"/>
          <w:u w:val="single"/>
          <w:lang w:val="en-US" w:eastAsia="zh-CN" w:bidi="ar-SA"/>
        </w:rPr>
        <w:t xml:space="preserve">                      </w:t>
      </w:r>
      <w:r>
        <w:rPr>
          <w:rFonts w:hint="eastAsia" w:ascii="仿宋" w:hAnsi="仿宋" w:eastAsia="仿宋" w:cs="仿宋"/>
          <w:b w:val="0"/>
          <w:bCs w:val="0"/>
          <w:kern w:val="2"/>
          <w:sz w:val="24"/>
          <w:szCs w:val="24"/>
          <w:u w:val="none"/>
          <w:lang w:val="en-US" w:eastAsia="zh-CN" w:bidi="ar-SA"/>
        </w:rPr>
        <w:t>项</w:t>
      </w:r>
      <w:r>
        <w:rPr>
          <w:rFonts w:hint="eastAsia" w:ascii="仿宋" w:hAnsi="仿宋" w:eastAsia="仿宋" w:cs="仿宋"/>
          <w:b w:val="0"/>
          <w:bCs w:val="0"/>
          <w:kern w:val="2"/>
          <w:sz w:val="24"/>
          <w:szCs w:val="24"/>
          <w:lang w:val="en-US" w:eastAsia="zh-CN" w:bidi="ar-SA"/>
        </w:rPr>
        <w:t>目招标活动中，不给予国家工作人员以及中介</w:t>
      </w:r>
    </w:p>
    <w:p w14:paraId="72E2EF1C">
      <w:pPr>
        <w:pStyle w:val="15"/>
        <w:pageBreakBefore w:val="0"/>
        <w:numPr>
          <w:ilvl w:val="0"/>
          <w:numId w:val="0"/>
        </w:numPr>
        <w:kinsoku/>
        <w:wordWrap/>
        <w:overflowPunct/>
        <w:topLinePunct w:val="0"/>
        <w:autoSpaceDE/>
        <w:autoSpaceDN/>
        <w:bidi w:val="0"/>
        <w:adjustRightInd/>
        <w:snapToGrid w:val="0"/>
        <w:spacing w:line="480" w:lineRule="auto"/>
        <w:textAlignment w:val="auto"/>
        <w:outlineLvl w:val="2"/>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45B5E052">
      <w:pPr>
        <w:pStyle w:val="15"/>
        <w:pageBreakBefore w:val="0"/>
        <w:numPr>
          <w:ilvl w:val="0"/>
          <w:numId w:val="0"/>
        </w:numPr>
        <w:kinsoku/>
        <w:wordWrap/>
        <w:overflowPunct/>
        <w:topLinePunct w:val="0"/>
        <w:autoSpaceDE/>
        <w:autoSpaceDN/>
        <w:bidi w:val="0"/>
        <w:adjustRightInd/>
        <w:snapToGrid w:val="0"/>
        <w:spacing w:line="480" w:lineRule="auto"/>
        <w:ind w:left="479" w:leftChars="0"/>
        <w:textAlignment w:val="auto"/>
        <w:outlineLvl w:val="2"/>
        <w:rPr>
          <w:rFonts w:hint="eastAsia" w:ascii="仿宋" w:hAnsi="仿宋" w:eastAsia="仿宋" w:cs="仿宋"/>
          <w:b w:val="0"/>
          <w:bCs w:val="0"/>
          <w:kern w:val="2"/>
          <w:sz w:val="24"/>
          <w:szCs w:val="24"/>
          <w:lang w:val="en-US" w:eastAsia="zh-CN" w:bidi="ar-SA"/>
        </w:rPr>
      </w:pPr>
    </w:p>
    <w:p w14:paraId="31FFB34C">
      <w:pPr>
        <w:pStyle w:val="15"/>
        <w:pageBreakBefore w:val="0"/>
        <w:numPr>
          <w:ilvl w:val="0"/>
          <w:numId w:val="0"/>
        </w:numPr>
        <w:kinsoku/>
        <w:wordWrap/>
        <w:overflowPunct/>
        <w:topLinePunct w:val="0"/>
        <w:autoSpaceDE/>
        <w:autoSpaceDN/>
        <w:bidi w:val="0"/>
        <w:adjustRightInd/>
        <w:snapToGrid w:val="0"/>
        <w:spacing w:line="480" w:lineRule="auto"/>
        <w:ind w:left="479" w:leftChars="0"/>
        <w:textAlignment w:val="auto"/>
        <w:outlineLvl w:val="2"/>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公 司 名 称：（盖章）</w:t>
      </w:r>
    </w:p>
    <w:p w14:paraId="60EF4184">
      <w:pPr>
        <w:pStyle w:val="15"/>
        <w:pageBreakBefore w:val="0"/>
        <w:numPr>
          <w:ilvl w:val="0"/>
          <w:numId w:val="0"/>
        </w:numPr>
        <w:kinsoku/>
        <w:wordWrap/>
        <w:overflowPunct/>
        <w:topLinePunct w:val="0"/>
        <w:autoSpaceDE/>
        <w:autoSpaceDN/>
        <w:bidi w:val="0"/>
        <w:adjustRightInd/>
        <w:snapToGrid w:val="0"/>
        <w:spacing w:line="396" w:lineRule="auto"/>
        <w:ind w:left="479" w:leftChars="0"/>
        <w:textAlignment w:val="auto"/>
        <w:outlineLvl w:val="2"/>
        <w:rPr>
          <w:rFonts w:hint="eastAsia" w:ascii="仿宋" w:hAnsi="仿宋" w:eastAsia="仿宋" w:cs="仿宋"/>
          <w:b w:val="0"/>
          <w:bCs w:val="0"/>
          <w:kern w:val="2"/>
          <w:sz w:val="24"/>
          <w:szCs w:val="24"/>
          <w:lang w:val="en-US" w:eastAsia="zh-CN" w:bidi="ar-SA"/>
        </w:rPr>
      </w:pPr>
    </w:p>
    <w:p w14:paraId="66D7B0A1">
      <w:pPr>
        <w:pStyle w:val="15"/>
        <w:pageBreakBefore w:val="0"/>
        <w:numPr>
          <w:ilvl w:val="0"/>
          <w:numId w:val="0"/>
        </w:numPr>
        <w:kinsoku/>
        <w:wordWrap/>
        <w:overflowPunct/>
        <w:topLinePunct w:val="0"/>
        <w:autoSpaceDE/>
        <w:autoSpaceDN/>
        <w:bidi w:val="0"/>
        <w:adjustRightInd/>
        <w:snapToGrid w:val="0"/>
        <w:spacing w:line="396" w:lineRule="auto"/>
        <w:ind w:left="479" w:leftChars="0"/>
        <w:textAlignment w:val="auto"/>
        <w:outlineLvl w:val="2"/>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公司法人代表或授权代表：（签字或盖章）</w:t>
      </w:r>
    </w:p>
    <w:p w14:paraId="08E153C7">
      <w:pPr>
        <w:pStyle w:val="15"/>
        <w:pageBreakBefore w:val="0"/>
        <w:numPr>
          <w:ilvl w:val="0"/>
          <w:numId w:val="0"/>
        </w:numPr>
        <w:kinsoku/>
        <w:wordWrap/>
        <w:overflowPunct/>
        <w:topLinePunct w:val="0"/>
        <w:autoSpaceDE/>
        <w:autoSpaceDN/>
        <w:bidi w:val="0"/>
        <w:adjustRightInd/>
        <w:snapToGrid w:val="0"/>
        <w:spacing w:line="396" w:lineRule="auto"/>
        <w:ind w:left="479" w:leftChars="0"/>
        <w:textAlignment w:val="auto"/>
        <w:outlineLvl w:val="2"/>
        <w:rPr>
          <w:rFonts w:hint="eastAsia" w:ascii="仿宋" w:hAnsi="仿宋" w:eastAsia="仿宋" w:cs="仿宋"/>
          <w:b/>
          <w:bCs/>
          <w:kern w:val="2"/>
          <w:sz w:val="24"/>
          <w:szCs w:val="24"/>
          <w:lang w:val="en-US" w:eastAsia="zh-CN" w:bidi="ar-SA"/>
        </w:rPr>
      </w:pPr>
    </w:p>
    <w:p w14:paraId="54C07DD6">
      <w:pPr>
        <w:pStyle w:val="15"/>
        <w:pageBreakBefore w:val="0"/>
        <w:numPr>
          <w:ilvl w:val="0"/>
          <w:numId w:val="0"/>
        </w:numPr>
        <w:kinsoku/>
        <w:wordWrap/>
        <w:overflowPunct/>
        <w:topLinePunct w:val="0"/>
        <w:autoSpaceDE/>
        <w:autoSpaceDN/>
        <w:bidi w:val="0"/>
        <w:adjustRightInd/>
        <w:snapToGrid w:val="0"/>
        <w:spacing w:line="396" w:lineRule="auto"/>
        <w:ind w:left="479" w:leftChars="0"/>
        <w:textAlignment w:val="auto"/>
        <w:outlineLvl w:val="2"/>
        <w:rPr>
          <w:rFonts w:hint="eastAsia" w:ascii="仿宋" w:hAnsi="仿宋" w:eastAsia="仿宋" w:cs="仿宋"/>
          <w:b/>
          <w:bCs/>
          <w:kern w:val="2"/>
          <w:sz w:val="24"/>
          <w:szCs w:val="24"/>
          <w:lang w:val="en-US" w:eastAsia="zh-CN" w:bidi="ar-SA"/>
        </w:rPr>
      </w:pPr>
    </w:p>
    <w:p w14:paraId="50B66067">
      <w:pPr>
        <w:pStyle w:val="15"/>
        <w:pageBreakBefore w:val="0"/>
        <w:numPr>
          <w:ilvl w:val="0"/>
          <w:numId w:val="0"/>
        </w:numPr>
        <w:kinsoku/>
        <w:wordWrap/>
        <w:overflowPunct/>
        <w:topLinePunct w:val="0"/>
        <w:autoSpaceDE/>
        <w:autoSpaceDN/>
        <w:bidi w:val="0"/>
        <w:adjustRightInd/>
        <w:snapToGrid w:val="0"/>
        <w:spacing w:line="396" w:lineRule="auto"/>
        <w:ind w:left="479" w:leftChars="0"/>
        <w:textAlignment w:val="auto"/>
        <w:outlineLvl w:val="2"/>
        <w:rPr>
          <w:rFonts w:hint="eastAsia" w:ascii="仿宋" w:hAnsi="仿宋" w:eastAsia="仿宋" w:cs="仿宋"/>
          <w:b/>
          <w:bCs/>
          <w:kern w:val="2"/>
          <w:sz w:val="24"/>
          <w:szCs w:val="24"/>
          <w:lang w:val="en-US" w:eastAsia="zh-CN" w:bidi="ar-SA"/>
        </w:rPr>
      </w:pPr>
    </w:p>
    <w:p w14:paraId="6ED0AD75">
      <w:pPr>
        <w:pStyle w:val="15"/>
        <w:pageBreakBefore w:val="0"/>
        <w:numPr>
          <w:ilvl w:val="0"/>
          <w:numId w:val="0"/>
        </w:numPr>
        <w:kinsoku/>
        <w:wordWrap/>
        <w:overflowPunct/>
        <w:topLinePunct w:val="0"/>
        <w:autoSpaceDE/>
        <w:autoSpaceDN/>
        <w:bidi w:val="0"/>
        <w:adjustRightInd/>
        <w:snapToGrid w:val="0"/>
        <w:spacing w:line="396" w:lineRule="auto"/>
        <w:ind w:firstLine="482" w:firstLineChars="200"/>
        <w:textAlignment w:val="auto"/>
        <w:outlineLvl w:val="2"/>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9、参加政府采购活动前3年内在经营活动中没有重大违法记录的书面声明；</w:t>
      </w:r>
    </w:p>
    <w:p w14:paraId="30AAFA1E">
      <w:pPr>
        <w:spacing w:before="78" w:line="185" w:lineRule="auto"/>
        <w:ind w:firstLine="678" w:firstLineChars="300"/>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说明：1.</w:t>
      </w:r>
      <w:r>
        <w:rPr>
          <w:rFonts w:hint="eastAsia" w:ascii="仿宋" w:hAnsi="仿宋" w:eastAsia="仿宋" w:cs="仿宋"/>
          <w:color w:val="auto"/>
          <w:spacing w:val="-9"/>
          <w:sz w:val="24"/>
          <w:szCs w:val="24"/>
          <w:highlight w:val="none"/>
        </w:rPr>
        <w:t>供应商应按照相关法规规定如实作出说明</w:t>
      </w:r>
      <w:r>
        <w:rPr>
          <w:rFonts w:hint="eastAsia" w:ascii="仿宋" w:hAnsi="仿宋" w:eastAsia="仿宋" w:cs="仿宋"/>
          <w:color w:val="auto"/>
          <w:spacing w:val="-7"/>
          <w:sz w:val="24"/>
          <w:szCs w:val="24"/>
          <w:highlight w:val="none"/>
        </w:rPr>
        <w:t>。</w:t>
      </w:r>
    </w:p>
    <w:p w14:paraId="1B89DB70">
      <w:pPr>
        <w:spacing w:before="78" w:line="185" w:lineRule="auto"/>
        <w:ind w:firstLine="1349" w:firstLineChars="567"/>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2.按照</w:t>
      </w:r>
      <w:r>
        <w:rPr>
          <w:rFonts w:hint="eastAsia" w:ascii="仿宋" w:hAnsi="仿宋" w:eastAsia="仿宋" w:cs="仿宋"/>
          <w:color w:val="auto"/>
          <w:spacing w:val="-1"/>
          <w:sz w:val="24"/>
          <w:szCs w:val="24"/>
          <w:highlight w:val="none"/>
          <w:lang w:eastAsia="zh-CN"/>
        </w:rPr>
        <w:t>招标文件</w:t>
      </w:r>
      <w:r>
        <w:rPr>
          <w:rFonts w:hint="eastAsia" w:ascii="仿宋" w:hAnsi="仿宋" w:eastAsia="仿宋" w:cs="仿宋"/>
          <w:color w:val="auto"/>
          <w:spacing w:val="-1"/>
          <w:sz w:val="24"/>
          <w:szCs w:val="24"/>
          <w:highlight w:val="none"/>
        </w:rPr>
        <w:t>的规定加盖公章。</w:t>
      </w:r>
    </w:p>
    <w:p w14:paraId="052BFFA2">
      <w:pPr>
        <w:pStyle w:val="15"/>
        <w:pageBreakBefore w:val="0"/>
        <w:kinsoku/>
        <w:wordWrap/>
        <w:overflowPunct/>
        <w:topLinePunct w:val="0"/>
        <w:autoSpaceDE/>
        <w:autoSpaceDN/>
        <w:bidi w:val="0"/>
        <w:adjustRightInd/>
        <w:snapToGrid w:val="0"/>
        <w:spacing w:line="396" w:lineRule="auto"/>
        <w:textAlignment w:val="auto"/>
        <w:outlineLvl w:val="2"/>
        <w:rPr>
          <w:rFonts w:hint="eastAsia" w:ascii="仿宋" w:hAnsi="仿宋" w:eastAsia="仿宋" w:cs="仿宋"/>
          <w:kern w:val="2"/>
          <w:sz w:val="24"/>
          <w:szCs w:val="24"/>
          <w:lang w:val="en-US" w:eastAsia="zh-CN" w:bidi="ar-SA"/>
        </w:rPr>
      </w:pPr>
    </w:p>
    <w:p w14:paraId="091630FD">
      <w:pPr>
        <w:pStyle w:val="15"/>
        <w:pageBreakBefore w:val="0"/>
        <w:kinsoku/>
        <w:wordWrap/>
        <w:overflowPunct/>
        <w:topLinePunct w:val="0"/>
        <w:autoSpaceDE/>
        <w:autoSpaceDN/>
        <w:bidi w:val="0"/>
        <w:adjustRightInd/>
        <w:snapToGrid w:val="0"/>
        <w:spacing w:line="396" w:lineRule="auto"/>
        <w:textAlignment w:val="auto"/>
        <w:outlineLvl w:val="2"/>
        <w:rPr>
          <w:rFonts w:hint="eastAsia" w:ascii="仿宋" w:hAnsi="仿宋" w:eastAsia="仿宋" w:cs="仿宋"/>
          <w:kern w:val="2"/>
          <w:sz w:val="24"/>
          <w:szCs w:val="24"/>
          <w:lang w:val="en-US" w:eastAsia="zh-CN" w:bidi="ar-SA"/>
        </w:rPr>
      </w:pPr>
    </w:p>
    <w:p w14:paraId="6B831904">
      <w:pPr>
        <w:pStyle w:val="15"/>
        <w:pageBreakBefore w:val="0"/>
        <w:numPr>
          <w:ilvl w:val="0"/>
          <w:numId w:val="0"/>
        </w:numPr>
        <w:kinsoku/>
        <w:wordWrap/>
        <w:overflowPunct/>
        <w:topLinePunct w:val="0"/>
        <w:autoSpaceDE/>
        <w:autoSpaceDN/>
        <w:bidi w:val="0"/>
        <w:adjustRightInd/>
        <w:snapToGrid w:val="0"/>
        <w:spacing w:line="396" w:lineRule="auto"/>
        <w:ind w:left="479" w:leftChars="0"/>
        <w:textAlignment w:val="auto"/>
        <w:outlineLvl w:val="2"/>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10、投标人提供有效期内《食品经营许可证》或《食品流通许可证》或《食品生产许可证》；</w:t>
      </w:r>
    </w:p>
    <w:p w14:paraId="48DDA77A">
      <w:pPr>
        <w:pStyle w:val="15"/>
        <w:pageBreakBefore w:val="0"/>
        <w:numPr>
          <w:ilvl w:val="0"/>
          <w:numId w:val="0"/>
        </w:numPr>
        <w:kinsoku/>
        <w:wordWrap/>
        <w:overflowPunct/>
        <w:topLinePunct w:val="0"/>
        <w:autoSpaceDE/>
        <w:autoSpaceDN/>
        <w:bidi w:val="0"/>
        <w:adjustRightInd/>
        <w:snapToGrid w:val="0"/>
        <w:spacing w:line="396" w:lineRule="auto"/>
        <w:textAlignment w:val="auto"/>
        <w:outlineLvl w:val="2"/>
        <w:rPr>
          <w:rFonts w:hint="eastAsia" w:ascii="仿宋" w:hAnsi="仿宋" w:eastAsia="仿宋" w:cs="仿宋"/>
          <w:kern w:val="2"/>
          <w:sz w:val="24"/>
          <w:szCs w:val="24"/>
          <w:lang w:val="en-US" w:eastAsia="zh-CN" w:bidi="ar-SA"/>
        </w:rPr>
      </w:pPr>
    </w:p>
    <w:p w14:paraId="4DB9CDA4">
      <w:pPr>
        <w:pStyle w:val="15"/>
        <w:pageBreakBefore w:val="0"/>
        <w:numPr>
          <w:ilvl w:val="0"/>
          <w:numId w:val="0"/>
        </w:numPr>
        <w:kinsoku/>
        <w:wordWrap/>
        <w:overflowPunct/>
        <w:topLinePunct w:val="0"/>
        <w:autoSpaceDE/>
        <w:autoSpaceDN/>
        <w:bidi w:val="0"/>
        <w:adjustRightInd/>
        <w:snapToGrid w:val="0"/>
        <w:spacing w:line="396" w:lineRule="auto"/>
        <w:textAlignment w:val="auto"/>
        <w:outlineLvl w:val="2"/>
        <w:rPr>
          <w:rFonts w:hint="eastAsia" w:ascii="仿宋" w:hAnsi="仿宋" w:eastAsia="仿宋" w:cs="仿宋"/>
          <w:kern w:val="2"/>
          <w:sz w:val="24"/>
          <w:szCs w:val="24"/>
          <w:lang w:val="en-US" w:eastAsia="zh-CN" w:bidi="ar-SA"/>
        </w:rPr>
      </w:pPr>
    </w:p>
    <w:p w14:paraId="3C38B32A">
      <w:pPr>
        <w:pStyle w:val="15"/>
        <w:pageBreakBefore w:val="0"/>
        <w:numPr>
          <w:ilvl w:val="0"/>
          <w:numId w:val="0"/>
        </w:numPr>
        <w:kinsoku/>
        <w:wordWrap/>
        <w:overflowPunct/>
        <w:topLinePunct w:val="0"/>
        <w:autoSpaceDE/>
        <w:autoSpaceDN/>
        <w:bidi w:val="0"/>
        <w:adjustRightInd/>
        <w:snapToGrid w:val="0"/>
        <w:spacing w:line="396" w:lineRule="auto"/>
        <w:ind w:left="599" w:leftChars="0"/>
        <w:textAlignment w:val="auto"/>
        <w:outlineLvl w:val="2"/>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11、投标保证金有效凭证；</w:t>
      </w:r>
    </w:p>
    <w:p w14:paraId="4B99B445">
      <w:pPr>
        <w:numPr>
          <w:ilvl w:val="0"/>
          <w:numId w:val="0"/>
        </w:numPr>
        <w:spacing w:before="78" w:line="360" w:lineRule="auto"/>
        <w:ind w:right="102" w:rightChars="0" w:firstLine="708" w:firstLineChars="30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说明：投标保证金缴纳的有效证明是指：投标保证金（汇款</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转账凭证</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lang w:val="en-US" w:eastAsia="zh-CN"/>
        </w:rPr>
        <w:t>保函凭证等</w:t>
      </w:r>
      <w:r>
        <w:rPr>
          <w:rFonts w:hint="eastAsia" w:ascii="仿宋" w:hAnsi="仿宋" w:eastAsia="仿宋" w:cs="仿宋"/>
          <w:color w:val="auto"/>
          <w:spacing w:val="-2"/>
          <w:sz w:val="24"/>
          <w:szCs w:val="24"/>
          <w:highlight w:val="none"/>
        </w:rPr>
        <w:t>）</w:t>
      </w:r>
      <w:r>
        <w:rPr>
          <w:rFonts w:hint="eastAsia" w:ascii="仿宋" w:hAnsi="仿宋" w:eastAsia="仿宋" w:cs="仿宋"/>
          <w:color w:val="auto"/>
          <w:spacing w:val="-2"/>
          <w:sz w:val="24"/>
          <w:szCs w:val="24"/>
          <w:highlight w:val="none"/>
          <w:lang w:val="en-US" w:eastAsia="zh-CN"/>
        </w:rPr>
        <w:t>或</w:t>
      </w:r>
      <w:r>
        <w:rPr>
          <w:rFonts w:hint="eastAsia" w:ascii="仿宋" w:hAnsi="仿宋" w:eastAsia="仿宋" w:cs="仿宋"/>
          <w:color w:val="auto"/>
          <w:spacing w:val="-2"/>
          <w:sz w:val="24"/>
          <w:szCs w:val="24"/>
          <w:highlight w:val="none"/>
        </w:rPr>
        <w:t>保证金收据复印件并加盖公章。</w:t>
      </w:r>
    </w:p>
    <w:p w14:paraId="221F889A">
      <w:pPr>
        <w:pStyle w:val="15"/>
        <w:pageBreakBefore w:val="0"/>
        <w:numPr>
          <w:ilvl w:val="0"/>
          <w:numId w:val="0"/>
        </w:numPr>
        <w:kinsoku/>
        <w:wordWrap/>
        <w:overflowPunct/>
        <w:topLinePunct w:val="0"/>
        <w:autoSpaceDE/>
        <w:autoSpaceDN/>
        <w:bidi w:val="0"/>
        <w:adjustRightInd/>
        <w:snapToGrid w:val="0"/>
        <w:spacing w:line="396" w:lineRule="auto"/>
        <w:textAlignment w:val="auto"/>
        <w:outlineLvl w:val="2"/>
        <w:rPr>
          <w:rFonts w:hint="eastAsia" w:ascii="仿宋" w:hAnsi="仿宋" w:eastAsia="仿宋" w:cs="仿宋"/>
          <w:b w:val="0"/>
          <w:bCs w:val="0"/>
          <w:color w:val="auto"/>
          <w:sz w:val="24"/>
          <w:highlight w:val="none"/>
        </w:rPr>
      </w:pPr>
    </w:p>
    <w:p w14:paraId="07F1A9EC">
      <w:pPr>
        <w:numPr>
          <w:ilvl w:val="0"/>
          <w:numId w:val="0"/>
        </w:numPr>
        <w:spacing w:before="78" w:line="360" w:lineRule="auto"/>
        <w:ind w:right="102" w:rightChars="0" w:firstLine="723" w:firstLineChars="300"/>
        <w:rPr>
          <w:rFonts w:hint="eastAsia" w:ascii="仿宋" w:hAnsi="仿宋" w:eastAsia="仿宋" w:cs="仿宋"/>
          <w:color w:val="auto"/>
          <w:spacing w:val="-2"/>
          <w:sz w:val="24"/>
          <w:szCs w:val="24"/>
          <w:highlight w:val="none"/>
          <w:lang w:val="en-US" w:eastAsia="zh-CN"/>
        </w:rPr>
      </w:pPr>
      <w:r>
        <w:rPr>
          <w:rFonts w:hint="eastAsia" w:ascii="仿宋" w:hAnsi="仿宋" w:eastAsia="仿宋" w:cs="仿宋"/>
          <w:b/>
          <w:bCs/>
          <w:color w:val="auto"/>
          <w:sz w:val="24"/>
          <w:highlight w:val="none"/>
          <w:lang w:val="en-US" w:eastAsia="zh-CN"/>
        </w:rPr>
        <w:t>12、</w:t>
      </w:r>
      <w:r>
        <w:rPr>
          <w:rFonts w:hint="eastAsia" w:ascii="仿宋" w:hAnsi="仿宋" w:eastAsia="仿宋" w:cs="仿宋"/>
          <w:b/>
          <w:bCs/>
          <w:color w:val="auto"/>
          <w:spacing w:val="-2"/>
          <w:sz w:val="24"/>
          <w:szCs w:val="24"/>
          <w:highlight w:val="none"/>
          <w:lang w:val="en-US" w:eastAsia="zh-CN"/>
        </w:rPr>
        <w:t>落实政府采购政策需满足的资格要求：</w:t>
      </w:r>
      <w:r>
        <w:rPr>
          <w:rFonts w:hint="eastAsia" w:ascii="仿宋" w:hAnsi="仿宋" w:eastAsia="仿宋" w:cs="仿宋"/>
          <w:color w:val="auto"/>
          <w:spacing w:val="-2"/>
          <w:sz w:val="24"/>
          <w:szCs w:val="24"/>
          <w:highlight w:val="none"/>
          <w:lang w:val="en-US" w:eastAsia="zh-CN"/>
        </w:rPr>
        <w:t>本项目专门面向中小微企业采购，不再执行价格评审优惠政策。请根据要求单独上传《中小企业声明函》，格式以采购文件中要求为准。</w:t>
      </w:r>
    </w:p>
    <w:p w14:paraId="58D0CB00">
      <w:pPr>
        <w:pStyle w:val="15"/>
        <w:pageBreakBefore w:val="0"/>
        <w:numPr>
          <w:ilvl w:val="0"/>
          <w:numId w:val="0"/>
        </w:numPr>
        <w:kinsoku/>
        <w:wordWrap/>
        <w:overflowPunct/>
        <w:topLinePunct w:val="0"/>
        <w:autoSpaceDE/>
        <w:autoSpaceDN/>
        <w:bidi w:val="0"/>
        <w:adjustRightInd/>
        <w:snapToGrid w:val="0"/>
        <w:spacing w:line="396" w:lineRule="auto"/>
        <w:ind w:left="599" w:leftChars="0"/>
        <w:textAlignment w:val="auto"/>
        <w:outlineLvl w:val="2"/>
        <w:rPr>
          <w:rFonts w:hint="eastAsia" w:ascii="仿宋_GB2312" w:hAnsi="仿宋_GB2312" w:eastAsia="仿宋_GB2312" w:cs="仿宋_GB2312"/>
          <w:kern w:val="2"/>
          <w:sz w:val="28"/>
          <w:szCs w:val="28"/>
          <w:lang w:val="en-US" w:eastAsia="zh-CN" w:bidi="ar-SA"/>
        </w:rPr>
      </w:pPr>
      <w:bookmarkStart w:id="1061" w:name="_GoBack"/>
      <w:bookmarkEnd w:id="1061"/>
    </w:p>
    <w:p w14:paraId="0A8A0FAB">
      <w:pPr>
        <w:pStyle w:val="15"/>
        <w:pageBreakBefore w:val="0"/>
        <w:numPr>
          <w:ilvl w:val="0"/>
          <w:numId w:val="0"/>
        </w:numPr>
        <w:kinsoku/>
        <w:wordWrap/>
        <w:overflowPunct/>
        <w:topLinePunct w:val="0"/>
        <w:autoSpaceDE/>
        <w:autoSpaceDN/>
        <w:bidi w:val="0"/>
        <w:adjustRightInd/>
        <w:snapToGrid w:val="0"/>
        <w:spacing w:line="396" w:lineRule="auto"/>
        <w:ind w:left="599" w:leftChars="0"/>
        <w:textAlignment w:val="auto"/>
        <w:outlineLvl w:val="2"/>
        <w:rPr>
          <w:rFonts w:hint="eastAsia" w:ascii="仿宋_GB2312" w:hAnsi="仿宋_GB2312" w:eastAsia="仿宋_GB2312" w:cs="仿宋_GB2312"/>
          <w:kern w:val="2"/>
          <w:sz w:val="28"/>
          <w:szCs w:val="28"/>
          <w:lang w:val="en-US" w:eastAsia="zh-CN" w:bidi="ar-SA"/>
        </w:rPr>
      </w:pPr>
    </w:p>
    <w:p w14:paraId="48A53D79">
      <w:pPr>
        <w:pStyle w:val="15"/>
        <w:pageBreakBefore w:val="0"/>
        <w:numPr>
          <w:ilvl w:val="0"/>
          <w:numId w:val="0"/>
        </w:numPr>
        <w:kinsoku/>
        <w:wordWrap/>
        <w:overflowPunct/>
        <w:topLinePunct w:val="0"/>
        <w:autoSpaceDE/>
        <w:autoSpaceDN/>
        <w:bidi w:val="0"/>
        <w:adjustRightInd/>
        <w:snapToGrid w:val="0"/>
        <w:spacing w:line="396" w:lineRule="auto"/>
        <w:ind w:left="599" w:leftChars="0"/>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lang w:val="en-US" w:eastAsia="zh-CN"/>
        </w:rPr>
        <w:t>13、</w:t>
      </w:r>
      <w:r>
        <w:rPr>
          <w:rFonts w:hint="eastAsia" w:ascii="仿宋" w:hAnsi="仿宋" w:eastAsia="仿宋" w:cs="仿宋"/>
          <w:b/>
          <w:bCs/>
          <w:color w:val="auto"/>
          <w:sz w:val="24"/>
          <w:highlight w:val="none"/>
        </w:rPr>
        <w:t>投标人须知资料表要求的其他资格证明文件。</w:t>
      </w:r>
    </w:p>
    <w:p w14:paraId="0FDAB3A3">
      <w:pPr>
        <w:pStyle w:val="15"/>
        <w:pageBreakBefore w:val="0"/>
        <w:kinsoku/>
        <w:wordWrap/>
        <w:overflowPunct/>
        <w:topLinePunct w:val="0"/>
        <w:autoSpaceDE/>
        <w:autoSpaceDN/>
        <w:bidi w:val="0"/>
        <w:adjustRightInd/>
        <w:snapToGrid w:val="0"/>
        <w:spacing w:line="396" w:lineRule="auto"/>
        <w:textAlignment w:val="auto"/>
        <w:outlineLvl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说明：1.应提供投标人须知资料表要求的其他资格证明文件。</w:t>
      </w:r>
    </w:p>
    <w:p w14:paraId="11439611">
      <w:pPr>
        <w:pStyle w:val="15"/>
        <w:pageBreakBefore w:val="0"/>
        <w:kinsoku/>
        <w:wordWrap/>
        <w:overflowPunct/>
        <w:topLinePunct w:val="0"/>
        <w:autoSpaceDE/>
        <w:autoSpaceDN/>
        <w:bidi w:val="0"/>
        <w:adjustRightInd/>
        <w:snapToGrid w:val="0"/>
        <w:spacing w:line="396" w:lineRule="auto"/>
        <w:textAlignment w:val="auto"/>
        <w:outlineLvl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2.复印件上应加盖本单位章（自然人投标的无需盖章，需要签字）。</w:t>
      </w:r>
    </w:p>
    <w:p w14:paraId="0D4C17CB">
      <w:pPr>
        <w:pStyle w:val="15"/>
        <w:pageBreakBefore w:val="0"/>
        <w:kinsoku/>
        <w:wordWrap/>
        <w:overflowPunct/>
        <w:topLinePunct w:val="0"/>
        <w:autoSpaceDE/>
        <w:autoSpaceDN/>
        <w:bidi w:val="0"/>
        <w:adjustRightInd/>
        <w:snapToGrid w:val="0"/>
        <w:spacing w:line="396" w:lineRule="auto"/>
        <w:ind w:left="1680" w:hanging="1680" w:hangingChars="700"/>
        <w:textAlignment w:val="auto"/>
        <w:outlineLvl w:val="2"/>
        <w:rPr>
          <w:rFonts w:hint="eastAsia" w:ascii="仿宋" w:hAnsi="仿宋" w:eastAsia="仿宋" w:cs="仿宋"/>
        </w:rPr>
      </w:pPr>
      <w:r>
        <w:rPr>
          <w:rFonts w:hint="eastAsia" w:ascii="仿宋" w:hAnsi="仿宋" w:eastAsia="仿宋" w:cs="仿宋"/>
          <w:kern w:val="2"/>
          <w:sz w:val="24"/>
          <w:szCs w:val="24"/>
          <w:lang w:val="en-US" w:eastAsia="zh-CN" w:bidi="ar-SA"/>
        </w:rPr>
        <w:t xml:space="preserve">             3.如果是联合体投标，联合体各方需提供的满足招标文件要求的其他资格证明文件。</w:t>
      </w:r>
    </w:p>
    <w:p w14:paraId="32A70CA1">
      <w:pPr>
        <w:pStyle w:val="2"/>
        <w:rPr>
          <w:rFonts w:hint="eastAsia" w:ascii="仿宋" w:hAnsi="仿宋" w:eastAsia="仿宋" w:cs="仿宋"/>
          <w:color w:val="auto"/>
          <w:sz w:val="24"/>
          <w:szCs w:val="24"/>
          <w:highlight w:val="none"/>
          <w:lang w:val="en-US" w:eastAsia="zh-CN"/>
        </w:rPr>
      </w:pPr>
    </w:p>
    <w:p w14:paraId="33500CC3">
      <w:pPr>
        <w:pStyle w:val="4"/>
        <w:rPr>
          <w:rFonts w:hint="eastAsia" w:ascii="仿宋" w:hAnsi="仿宋" w:eastAsia="仿宋" w:cs="仿宋"/>
          <w:color w:val="auto"/>
          <w:sz w:val="24"/>
          <w:szCs w:val="24"/>
          <w:highlight w:val="none"/>
          <w:lang w:val="en-US" w:eastAsia="zh-CN"/>
        </w:rPr>
      </w:pPr>
    </w:p>
    <w:p w14:paraId="2D447736">
      <w:pPr>
        <w:pStyle w:val="5"/>
        <w:rPr>
          <w:rFonts w:hint="eastAsia" w:ascii="仿宋" w:hAnsi="仿宋" w:eastAsia="仿宋" w:cs="仿宋"/>
          <w:color w:val="auto"/>
          <w:sz w:val="24"/>
          <w:szCs w:val="24"/>
          <w:highlight w:val="none"/>
          <w:lang w:val="en-US" w:eastAsia="zh-CN"/>
        </w:rPr>
      </w:pPr>
    </w:p>
    <w:p w14:paraId="000DAAEF">
      <w:pPr>
        <w:rPr>
          <w:rFonts w:hint="eastAsia" w:ascii="仿宋" w:hAnsi="仿宋" w:eastAsia="仿宋" w:cs="仿宋"/>
          <w:color w:val="auto"/>
          <w:sz w:val="24"/>
          <w:szCs w:val="24"/>
          <w:highlight w:val="none"/>
          <w:lang w:val="en-US" w:eastAsia="zh-CN"/>
        </w:rPr>
      </w:pPr>
    </w:p>
    <w:p w14:paraId="0B67B4DD">
      <w:pPr>
        <w:pStyle w:val="2"/>
        <w:rPr>
          <w:rFonts w:hint="eastAsia" w:ascii="仿宋" w:hAnsi="仿宋" w:eastAsia="仿宋" w:cs="仿宋"/>
          <w:color w:val="auto"/>
          <w:sz w:val="24"/>
          <w:szCs w:val="24"/>
          <w:highlight w:val="none"/>
          <w:lang w:val="en-US" w:eastAsia="zh-CN"/>
        </w:rPr>
      </w:pPr>
    </w:p>
    <w:p w14:paraId="77928192">
      <w:pPr>
        <w:pStyle w:val="4"/>
        <w:rPr>
          <w:rFonts w:hint="eastAsia" w:ascii="仿宋" w:hAnsi="仿宋" w:eastAsia="仿宋" w:cs="仿宋"/>
          <w:color w:val="auto"/>
          <w:sz w:val="24"/>
          <w:szCs w:val="24"/>
          <w:highlight w:val="none"/>
          <w:lang w:val="en-US" w:eastAsia="zh-CN"/>
        </w:rPr>
      </w:pPr>
    </w:p>
    <w:p w14:paraId="1E77A73D">
      <w:pPr>
        <w:pStyle w:val="5"/>
        <w:rPr>
          <w:rFonts w:hint="eastAsia" w:ascii="仿宋" w:hAnsi="仿宋" w:eastAsia="仿宋" w:cs="仿宋"/>
          <w:color w:val="auto"/>
          <w:sz w:val="24"/>
          <w:szCs w:val="24"/>
          <w:highlight w:val="none"/>
          <w:lang w:val="en-US" w:eastAsia="zh-CN"/>
        </w:rPr>
      </w:pPr>
    </w:p>
    <w:p w14:paraId="1A55F26F">
      <w:pPr>
        <w:rPr>
          <w:rFonts w:hint="eastAsia" w:ascii="仿宋" w:hAnsi="仿宋" w:eastAsia="仿宋" w:cs="仿宋"/>
          <w:color w:val="auto"/>
          <w:sz w:val="24"/>
          <w:szCs w:val="24"/>
          <w:highlight w:val="none"/>
          <w:lang w:val="en-US" w:eastAsia="zh-CN"/>
        </w:rPr>
      </w:pPr>
    </w:p>
    <w:p w14:paraId="0C3D6FA7">
      <w:pPr>
        <w:pStyle w:val="2"/>
        <w:rPr>
          <w:rFonts w:hint="eastAsia" w:ascii="仿宋" w:hAnsi="仿宋" w:eastAsia="仿宋" w:cs="仿宋"/>
          <w:color w:val="auto"/>
          <w:sz w:val="24"/>
          <w:szCs w:val="24"/>
          <w:highlight w:val="none"/>
          <w:lang w:val="en-US" w:eastAsia="zh-CN"/>
        </w:rPr>
      </w:pPr>
    </w:p>
    <w:p w14:paraId="06EECB2E">
      <w:pPr>
        <w:pStyle w:val="4"/>
        <w:rPr>
          <w:rFonts w:hint="eastAsia" w:ascii="仿宋" w:hAnsi="仿宋" w:eastAsia="仿宋" w:cs="仿宋"/>
          <w:color w:val="auto"/>
          <w:sz w:val="24"/>
          <w:szCs w:val="24"/>
          <w:highlight w:val="none"/>
          <w:lang w:val="en-US" w:eastAsia="zh-CN"/>
        </w:rPr>
      </w:pPr>
    </w:p>
    <w:p w14:paraId="294E021C">
      <w:pPr>
        <w:pStyle w:val="5"/>
        <w:rPr>
          <w:rFonts w:hint="eastAsia" w:ascii="仿宋" w:hAnsi="仿宋" w:eastAsia="仿宋" w:cs="仿宋"/>
          <w:color w:val="auto"/>
          <w:sz w:val="24"/>
          <w:szCs w:val="24"/>
          <w:highlight w:val="none"/>
          <w:lang w:val="en-US" w:eastAsia="zh-CN"/>
        </w:rPr>
      </w:pPr>
    </w:p>
    <w:p w14:paraId="18576871">
      <w:pPr>
        <w:rPr>
          <w:rFonts w:hint="eastAsia" w:ascii="仿宋" w:hAnsi="仿宋" w:eastAsia="仿宋" w:cs="仿宋"/>
          <w:color w:val="auto"/>
          <w:sz w:val="24"/>
          <w:szCs w:val="24"/>
          <w:highlight w:val="none"/>
          <w:lang w:val="en-US" w:eastAsia="zh-CN"/>
        </w:rPr>
      </w:pPr>
    </w:p>
    <w:p w14:paraId="287271B3">
      <w:pPr>
        <w:pStyle w:val="2"/>
        <w:ind w:left="0" w:leftChars="0" w:firstLine="0" w:firstLineChars="0"/>
        <w:rPr>
          <w:rFonts w:hint="eastAsia"/>
          <w:lang w:val="en-US" w:eastAsia="zh-CN"/>
        </w:rPr>
      </w:pPr>
    </w:p>
    <w:p w14:paraId="66599726">
      <w:pPr>
        <w:pStyle w:val="4"/>
        <w:rPr>
          <w:rFonts w:hint="eastAsia"/>
          <w:lang w:val="en-US" w:eastAsia="zh-CN"/>
        </w:rPr>
      </w:pPr>
    </w:p>
    <w:p w14:paraId="05834CFC">
      <w:pPr>
        <w:pStyle w:val="5"/>
        <w:rPr>
          <w:rFonts w:hint="eastAsia"/>
          <w:lang w:val="en-US" w:eastAsia="zh-CN"/>
        </w:rPr>
      </w:pPr>
    </w:p>
    <w:p w14:paraId="78ED3809">
      <w:pPr>
        <w:rPr>
          <w:rFonts w:hint="eastAsia"/>
          <w:lang w:val="en-US" w:eastAsia="zh-CN"/>
        </w:rPr>
      </w:pPr>
    </w:p>
    <w:p w14:paraId="1070DADA">
      <w:pPr>
        <w:pStyle w:val="2"/>
        <w:rPr>
          <w:rFonts w:hint="eastAsia"/>
          <w:lang w:val="en-US" w:eastAsia="zh-CN"/>
        </w:rPr>
      </w:pPr>
    </w:p>
    <w:p w14:paraId="7846C1AC">
      <w:pPr>
        <w:pStyle w:val="4"/>
        <w:rPr>
          <w:rFonts w:hint="eastAsia"/>
          <w:lang w:val="en-US" w:eastAsia="zh-CN"/>
        </w:rPr>
      </w:pPr>
    </w:p>
    <w:p w14:paraId="6C161D48">
      <w:pPr>
        <w:pStyle w:val="5"/>
        <w:rPr>
          <w:rFonts w:hint="eastAsia"/>
          <w:lang w:val="en-US" w:eastAsia="zh-CN"/>
        </w:rPr>
      </w:pPr>
    </w:p>
    <w:p w14:paraId="26C9A741">
      <w:pPr>
        <w:rPr>
          <w:rFonts w:hint="eastAsia"/>
          <w:lang w:val="en-US" w:eastAsia="zh-CN"/>
        </w:rPr>
      </w:pPr>
    </w:p>
    <w:p w14:paraId="71E14AE6">
      <w:pPr>
        <w:pStyle w:val="2"/>
        <w:rPr>
          <w:rFonts w:hint="eastAsia"/>
          <w:lang w:val="en-US" w:eastAsia="zh-CN"/>
        </w:rPr>
      </w:pPr>
    </w:p>
    <w:p w14:paraId="3C541A60">
      <w:pPr>
        <w:pStyle w:val="4"/>
        <w:rPr>
          <w:rFonts w:hint="eastAsia"/>
          <w:lang w:val="en-US" w:eastAsia="zh-CN"/>
        </w:rPr>
      </w:pPr>
    </w:p>
    <w:p w14:paraId="069647E5">
      <w:pPr>
        <w:pStyle w:val="5"/>
        <w:rPr>
          <w:rFonts w:hint="eastAsia"/>
          <w:lang w:val="en-US" w:eastAsia="zh-CN"/>
        </w:rPr>
      </w:pPr>
    </w:p>
    <w:p w14:paraId="043A96F3">
      <w:pPr>
        <w:rPr>
          <w:rFonts w:hint="eastAsia"/>
          <w:lang w:val="en-US" w:eastAsia="zh-CN"/>
        </w:rPr>
      </w:pPr>
    </w:p>
    <w:p w14:paraId="5781D2CF">
      <w:pPr>
        <w:pStyle w:val="2"/>
        <w:rPr>
          <w:rFonts w:hint="eastAsia"/>
          <w:lang w:val="en-US" w:eastAsia="zh-CN"/>
        </w:rPr>
      </w:pPr>
    </w:p>
    <w:p w14:paraId="1B0C8E8A">
      <w:pPr>
        <w:pStyle w:val="4"/>
        <w:rPr>
          <w:rFonts w:hint="eastAsia"/>
          <w:lang w:val="en-US" w:eastAsia="zh-CN"/>
        </w:rPr>
      </w:pPr>
    </w:p>
    <w:p w14:paraId="68BB05BE">
      <w:pPr>
        <w:pStyle w:val="5"/>
        <w:rPr>
          <w:rFonts w:hint="eastAsia"/>
          <w:lang w:val="en-US" w:eastAsia="zh-CN"/>
        </w:rPr>
      </w:pPr>
    </w:p>
    <w:p w14:paraId="1E1D6440">
      <w:pPr>
        <w:rPr>
          <w:rFonts w:hint="eastAsia"/>
          <w:lang w:val="en-US" w:eastAsia="zh-CN"/>
        </w:rPr>
      </w:pPr>
    </w:p>
    <w:p w14:paraId="4014AB70">
      <w:pPr>
        <w:pStyle w:val="2"/>
        <w:rPr>
          <w:rFonts w:hint="eastAsia"/>
          <w:lang w:val="en-US" w:eastAsia="zh-CN"/>
        </w:rPr>
      </w:pPr>
    </w:p>
    <w:bookmarkEnd w:id="922"/>
    <w:bookmarkEnd w:id="923"/>
    <w:bookmarkEnd w:id="924"/>
    <w:p w14:paraId="2F844367">
      <w:pPr>
        <w:jc w:val="both"/>
        <w:rPr>
          <w:rFonts w:hint="eastAsia" w:ascii="仿宋" w:hAnsi="仿宋" w:eastAsia="仿宋" w:cs="仿宋"/>
          <w:b/>
          <w:bCs/>
          <w:color w:val="auto"/>
          <w:sz w:val="24"/>
          <w:highlight w:val="none"/>
        </w:rPr>
      </w:pPr>
    </w:p>
    <w:p w14:paraId="3B85BC7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政府采购投标担保函 （项目用）（投标文件格式三）</w:t>
      </w:r>
    </w:p>
    <w:p w14:paraId="7E1A6A54">
      <w:pPr>
        <w:ind w:firstLine="6720" w:firstLineChars="3200"/>
        <w:rPr>
          <w:rFonts w:hint="eastAsia" w:ascii="仿宋" w:hAnsi="仿宋" w:eastAsia="仿宋" w:cs="仿宋"/>
          <w:color w:val="auto"/>
          <w:highlight w:val="none"/>
        </w:rPr>
      </w:pPr>
      <w:r>
        <w:rPr>
          <w:rFonts w:hint="eastAsia" w:ascii="仿宋" w:hAnsi="仿宋" w:eastAsia="仿宋" w:cs="仿宋"/>
          <w:color w:val="auto"/>
          <w:highlight w:val="none"/>
        </w:rPr>
        <w:t>编号：</w:t>
      </w:r>
    </w:p>
    <w:p w14:paraId="7A753EF2">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（采购人或采购代理机构）：</w:t>
      </w:r>
    </w:p>
    <w:p w14:paraId="67EA1CE4">
      <w:pPr>
        <w:rPr>
          <w:rFonts w:hint="eastAsia" w:ascii="仿宋" w:hAnsi="仿宋" w:eastAsia="仿宋" w:cs="仿宋"/>
          <w:color w:val="auto"/>
          <w:highlight w:val="none"/>
        </w:rPr>
      </w:pPr>
    </w:p>
    <w:p w14:paraId="5B06E0E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鉴于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（以下简称“投标人”）拟参加编号为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52BB52E6">
      <w:pPr>
        <w:rPr>
          <w:rFonts w:hint="eastAsia" w:ascii="仿宋" w:hAnsi="仿宋" w:eastAsia="仿宋" w:cs="仿宋"/>
          <w:color w:val="auto"/>
          <w:highlight w:val="none"/>
        </w:rPr>
      </w:pPr>
      <w:r>
        <w:rPr>
          <w:rFonts w:hint="eastAsia" w:ascii="仿宋" w:hAnsi="仿宋" w:eastAsia="仿宋" w:cs="仿宋"/>
          <w:color w:val="auto"/>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77471E8C">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一、保证责任的情形及保证金额</w:t>
      </w:r>
    </w:p>
    <w:p w14:paraId="44EE2F81">
      <w:pPr>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（一）在投标人出现下列情形之一时，我方承担保证责任：</w:t>
      </w:r>
    </w:p>
    <w:p w14:paraId="04172C1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1．中标后投标人无正当理由不与采购人或者采购代理机构签订《政府采购合同》；</w:t>
      </w:r>
    </w:p>
    <w:p w14:paraId="7F817D9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2．招标文件规定的投标人应当缴纳保证金的其他情形。</w:t>
      </w:r>
    </w:p>
    <w:p w14:paraId="6A7410C3">
      <w:pPr>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（二）我方承担保证责任的最高金额为人民币</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），即本项目的投标保证金金额。</w:t>
      </w:r>
    </w:p>
    <w:p w14:paraId="5234C49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二、保证的方式及保证期间</w:t>
      </w:r>
    </w:p>
    <w:p w14:paraId="0D4E684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我方保证的方式为：连带责任保证。</w:t>
      </w:r>
    </w:p>
    <w:p w14:paraId="73D9DA8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我方的保证期间为：自本保函生效之日起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个月止。</w:t>
      </w:r>
    </w:p>
    <w:p w14:paraId="06FF38E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三、承担保证责任的程序</w:t>
      </w:r>
    </w:p>
    <w:p w14:paraId="3BB3254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6671EA1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2．我方在收到索赔通知及相关证明材料后，在</w:t>
      </w:r>
      <w:r>
        <w:rPr>
          <w:rFonts w:hint="eastAsia" w:ascii="仿宋" w:hAnsi="仿宋" w:eastAsia="仿宋" w:cs="仿宋"/>
          <w:color w:val="auto"/>
          <w:highlight w:val="none"/>
          <w:u w:val="single"/>
        </w:rPr>
        <w:t>　　　</w:t>
      </w:r>
      <w:r>
        <w:rPr>
          <w:rFonts w:hint="eastAsia" w:ascii="仿宋" w:hAnsi="仿宋" w:eastAsia="仿宋" w:cs="仿宋"/>
          <w:color w:val="auto"/>
          <w:highlight w:val="none"/>
        </w:rPr>
        <w:t>个工作日内进行审查，符合应承担保证责任情形的，我方应按照你方的要求代投标人向你方支付投标保证金。</w:t>
      </w:r>
    </w:p>
    <w:p w14:paraId="01B76C2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四、保证责任的终止</w:t>
      </w:r>
    </w:p>
    <w:p w14:paraId="2F48BEC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1．保证期间届满你方未向我方书面主张保证责任的，自保证期间届满次日起，我方保证责任自动终止。</w:t>
      </w:r>
    </w:p>
    <w:p w14:paraId="4475816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2．我方按照本保函向你贵方履行了保证责任后，自我方向你贵方支付款项（支付款项从我方账户划出）之日起，保证责任终止。</w:t>
      </w:r>
    </w:p>
    <w:p w14:paraId="080FB8D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3．按照法律法规的规定或出现我方保证责任终止的其它情形的，我方在本保函项下的保证责任亦终止。</w:t>
      </w:r>
    </w:p>
    <w:p w14:paraId="5BF0B3F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五、免责条款</w:t>
      </w:r>
    </w:p>
    <w:p w14:paraId="06BEC88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1．依照法律规定或你方与投标人的另行约定，全部或者部分免除投标人投标保证金义务时，我方亦免除相应的保证责任。</w:t>
      </w:r>
    </w:p>
    <w:p w14:paraId="6618910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2．因你方原因致使投标人发生本保函第一条第（一）款约定情形的，我方不承担保证责任。</w:t>
      </w:r>
    </w:p>
    <w:p w14:paraId="02E86A90">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3．因不可抗力造成投标人发生本保函第一条约定情形的，我方不承担保证责任。</w:t>
      </w:r>
    </w:p>
    <w:p w14:paraId="402AF87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4．你方或其他有权机关对招标文件进行任何澄清或修改，加重我方保证责任的，我方对加重部分不承担保证责任，但该澄清或修改经我方事先书面同意的除外。</w:t>
      </w:r>
    </w:p>
    <w:p w14:paraId="6C75B2D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六、争议的解决</w:t>
      </w:r>
    </w:p>
    <w:p w14:paraId="7B38C05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因本保函发生的纠纷，由你我双方协商解决，协商不成的，通过诉讼程序解决，诉讼管辖地法院为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法院。</w:t>
      </w:r>
    </w:p>
    <w:p w14:paraId="4DE7F6F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七、保函的生效</w:t>
      </w:r>
    </w:p>
    <w:p w14:paraId="183C5A82">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本保函自我方加盖公章之日起生效。      </w:t>
      </w:r>
    </w:p>
    <w:p w14:paraId="31A5F263">
      <w:pPr>
        <w:ind w:firstLine="4620" w:firstLineChars="2200"/>
        <w:rPr>
          <w:rFonts w:hint="eastAsia" w:ascii="仿宋" w:hAnsi="仿宋" w:eastAsia="仿宋" w:cs="仿宋"/>
          <w:color w:val="auto"/>
          <w:highlight w:val="none"/>
          <w:lang w:val="en-US" w:eastAsia="zh-CN"/>
        </w:rPr>
        <w:sectPr>
          <w:headerReference r:id="rId5" w:type="default"/>
          <w:footerReference r:id="rId6" w:type="default"/>
          <w:pgSz w:w="11905" w:h="16838"/>
          <w:pgMar w:top="1440" w:right="1083" w:bottom="1440" w:left="1083" w:header="851" w:footer="850" w:gutter="0"/>
          <w:pgNumType w:fmt="decimal"/>
          <w:cols w:space="0" w:num="1"/>
          <w:rtlGutter w:val="0"/>
          <w:docGrid w:linePitch="312" w:charSpace="0"/>
        </w:sectPr>
      </w:pPr>
      <w:r>
        <w:rPr>
          <w:rFonts w:hint="eastAsia" w:ascii="仿宋" w:hAnsi="仿宋" w:eastAsia="仿宋" w:cs="仿宋"/>
          <w:color w:val="auto"/>
          <w:highlight w:val="none"/>
        </w:rPr>
        <w:t xml:space="preserve">保证人：（公章）    年     月    </w:t>
      </w:r>
      <w:r>
        <w:rPr>
          <w:rFonts w:hint="eastAsia" w:ascii="仿宋" w:hAnsi="仿宋" w:eastAsia="仿宋" w:cs="仿宋"/>
          <w:color w:val="auto"/>
          <w:highlight w:val="none"/>
          <w:lang w:val="en-US" w:eastAsia="zh-CN"/>
        </w:rPr>
        <w:t>日</w:t>
      </w:r>
    </w:p>
    <w:p w14:paraId="070B2B71">
      <w:pPr>
        <w:numPr>
          <w:ilvl w:val="0"/>
          <w:numId w:val="12"/>
        </w:numPr>
        <w:ind w:left="1080" w:leftChars="257" w:hanging="540" w:firstLineChars="0"/>
        <w:jc w:val="center"/>
        <w:rPr>
          <w:rFonts w:hint="eastAsia" w:ascii="仿宋" w:hAnsi="仿宋" w:eastAsia="仿宋" w:cs="仿宋"/>
          <w:b/>
          <w:bCs/>
          <w:color w:val="auto"/>
          <w:sz w:val="28"/>
          <w:szCs w:val="28"/>
          <w:highlight w:val="none"/>
        </w:rPr>
      </w:pPr>
      <w:bookmarkStart w:id="938" w:name="_Toc12006"/>
      <w:bookmarkStart w:id="939" w:name="_Toc6760"/>
      <w:bookmarkStart w:id="940" w:name="_Toc11180"/>
      <w:bookmarkStart w:id="941" w:name="_Toc515647816"/>
      <w:bookmarkStart w:id="942" w:name="_Toc22967"/>
      <w:bookmarkStart w:id="943" w:name="_Toc27069"/>
      <w:bookmarkStart w:id="944" w:name="_Toc17147"/>
      <w:bookmarkStart w:id="945" w:name="_Toc24042"/>
      <w:r>
        <w:rPr>
          <w:rFonts w:hint="eastAsia" w:ascii="仿宋" w:hAnsi="仿宋" w:eastAsia="仿宋" w:cs="仿宋"/>
          <w:b/>
          <w:bCs/>
          <w:color w:val="auto"/>
          <w:sz w:val="28"/>
          <w:szCs w:val="28"/>
          <w:highlight w:val="none"/>
        </w:rPr>
        <w:t xml:space="preserve"> 商务及技术文件</w:t>
      </w:r>
      <w:bookmarkEnd w:id="938"/>
      <w:bookmarkEnd w:id="939"/>
      <w:bookmarkEnd w:id="940"/>
      <w:bookmarkEnd w:id="941"/>
      <w:bookmarkEnd w:id="942"/>
      <w:bookmarkEnd w:id="943"/>
      <w:bookmarkEnd w:id="944"/>
      <w:bookmarkEnd w:id="945"/>
    </w:p>
    <w:p w14:paraId="617FC0CF">
      <w:pPr>
        <w:pStyle w:val="2"/>
        <w:numPr>
          <w:ilvl w:val="0"/>
          <w:numId w:val="0"/>
        </w:numPr>
        <w:ind w:leftChars="257"/>
        <w:rPr>
          <w:rFonts w:hint="eastAsia"/>
        </w:rPr>
      </w:pPr>
    </w:p>
    <w:p w14:paraId="070DFB66">
      <w:pPr>
        <w:pStyle w:val="15"/>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1、投标书（投标文件格式五）</w:t>
      </w:r>
    </w:p>
    <w:p w14:paraId="58F2B0C4">
      <w:pPr>
        <w:tabs>
          <w:tab w:val="left" w:pos="5580"/>
        </w:tabs>
        <w:spacing w:line="360" w:lineRule="auto"/>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2、投标保证金缴纳有效证明（见投标文件格式六）</w:t>
      </w:r>
    </w:p>
    <w:p w14:paraId="3F9C9843">
      <w:pPr>
        <w:pStyle w:val="15"/>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3、投标分项报价表（投标文件格式七）</w:t>
      </w:r>
    </w:p>
    <w:p w14:paraId="3791986A">
      <w:pPr>
        <w:pStyle w:val="15"/>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4、服务说明一览表（投标文件格式八）</w:t>
      </w:r>
    </w:p>
    <w:p w14:paraId="1CC033AE">
      <w:pPr>
        <w:pStyle w:val="15"/>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5、技术规格偏离表（投标文件格式九）</w:t>
      </w:r>
    </w:p>
    <w:p w14:paraId="6A929333">
      <w:pPr>
        <w:pStyle w:val="15"/>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6、商务条款偏离表（投标文件格式十）</w:t>
      </w:r>
    </w:p>
    <w:p w14:paraId="76B6F3B6">
      <w:pPr>
        <w:pStyle w:val="15"/>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7、符合《政府采购促进中小企业发展暂行办法》《关于政府采购支持监狱企业发展有关</w:t>
      </w:r>
    </w:p>
    <w:p w14:paraId="47EC9B27">
      <w:pPr>
        <w:pStyle w:val="15"/>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问题的通知》和《三部门联合发布关于促进残疾人就业政府采购政策的通知》价格扣减</w:t>
      </w:r>
    </w:p>
    <w:p w14:paraId="27A36B9F">
      <w:pPr>
        <w:pStyle w:val="15"/>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条件的投标人须提交）</w:t>
      </w:r>
    </w:p>
    <w:p w14:paraId="1D88E3E0">
      <w:pPr>
        <w:pStyle w:val="15"/>
        <w:spacing w:line="360" w:lineRule="auto"/>
        <w:ind w:left="311" w:leftChars="148" w:firstLine="228"/>
        <w:rPr>
          <w:rFonts w:hint="eastAsia" w:ascii="仿宋" w:hAnsi="仿宋" w:eastAsia="仿宋" w:cs="仿宋"/>
          <w:color w:val="auto"/>
          <w:sz w:val="24"/>
          <w:highlight w:val="none"/>
        </w:rPr>
      </w:pPr>
      <w:r>
        <w:rPr>
          <w:rFonts w:hint="eastAsia" w:ascii="仿宋" w:hAnsi="仿宋" w:eastAsia="仿宋" w:cs="仿宋"/>
          <w:color w:val="auto"/>
          <w:sz w:val="24"/>
          <w:highlight w:val="none"/>
        </w:rPr>
        <w:t>7-1《投标人企业（单位）类型声明函》（投标文件格式十一）</w:t>
      </w:r>
    </w:p>
    <w:p w14:paraId="47D686D6">
      <w:pPr>
        <w:pStyle w:val="15"/>
        <w:spacing w:line="360" w:lineRule="auto"/>
        <w:ind w:left="311" w:leftChars="148" w:firstLine="228"/>
        <w:rPr>
          <w:rFonts w:hint="eastAsia" w:ascii="仿宋" w:hAnsi="仿宋" w:eastAsia="仿宋" w:cs="仿宋"/>
          <w:color w:val="auto"/>
          <w:sz w:val="24"/>
          <w:highlight w:val="none"/>
        </w:rPr>
      </w:pPr>
      <w:r>
        <w:rPr>
          <w:rFonts w:hint="eastAsia" w:ascii="仿宋" w:hAnsi="仿宋" w:eastAsia="仿宋" w:cs="仿宋"/>
          <w:color w:val="auto"/>
          <w:sz w:val="24"/>
          <w:highlight w:val="none"/>
        </w:rPr>
        <w:t>7-2《中小企业声明函（服务）》（投标文件格式十二）</w:t>
      </w:r>
    </w:p>
    <w:p w14:paraId="2DA1F3B6">
      <w:pPr>
        <w:pStyle w:val="15"/>
        <w:spacing w:line="360" w:lineRule="auto"/>
        <w:ind w:left="311" w:leftChars="148" w:firstLine="228"/>
        <w:rPr>
          <w:rFonts w:hint="eastAsia" w:ascii="仿宋" w:hAnsi="仿宋" w:eastAsia="仿宋" w:cs="仿宋"/>
          <w:color w:val="auto"/>
          <w:sz w:val="24"/>
          <w:highlight w:val="none"/>
        </w:rPr>
      </w:pPr>
      <w:r>
        <w:rPr>
          <w:rFonts w:hint="eastAsia" w:ascii="仿宋" w:hAnsi="仿宋" w:eastAsia="仿宋" w:cs="仿宋"/>
          <w:color w:val="auto"/>
          <w:sz w:val="24"/>
          <w:highlight w:val="none"/>
        </w:rPr>
        <w:t>7-3《残疾人福利性单位声明函》（投标文件格式十三）</w:t>
      </w:r>
    </w:p>
    <w:p w14:paraId="53F5DA7E">
      <w:pPr>
        <w:pStyle w:val="15"/>
        <w:spacing w:line="360" w:lineRule="auto"/>
        <w:ind w:left="311" w:leftChars="148" w:firstLine="228"/>
        <w:rPr>
          <w:rFonts w:hint="eastAsia" w:ascii="仿宋" w:hAnsi="仿宋" w:eastAsia="仿宋" w:cs="仿宋"/>
          <w:color w:val="auto"/>
          <w:sz w:val="24"/>
          <w:highlight w:val="none"/>
        </w:rPr>
      </w:pPr>
      <w:r>
        <w:rPr>
          <w:rFonts w:hint="eastAsia" w:ascii="仿宋" w:hAnsi="仿宋" w:eastAsia="仿宋" w:cs="仿宋"/>
          <w:color w:val="auto"/>
          <w:sz w:val="24"/>
          <w:highlight w:val="none"/>
        </w:rPr>
        <w:t>8、投标人关联单位的说明（格式自拟）</w:t>
      </w:r>
    </w:p>
    <w:p w14:paraId="4EECE92F">
      <w:pPr>
        <w:pStyle w:val="15"/>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9、投标文件还应包括投标人须知里的所有技术文件</w:t>
      </w:r>
    </w:p>
    <w:p w14:paraId="57DAD908">
      <w:pPr>
        <w:pStyle w:val="15"/>
        <w:tabs>
          <w:tab w:val="left" w:pos="5580"/>
        </w:tabs>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0A853903">
      <w:pPr>
        <w:pStyle w:val="7"/>
        <w:spacing w:before="0" w:line="240" w:lineRule="atLeast"/>
        <w:ind w:left="1080" w:leftChars="257" w:hanging="540"/>
        <w:rPr>
          <w:rFonts w:hint="eastAsia" w:ascii="仿宋" w:hAnsi="仿宋" w:eastAsia="仿宋" w:cs="仿宋"/>
          <w:color w:val="auto"/>
          <w:sz w:val="24"/>
          <w:highlight w:val="none"/>
        </w:rPr>
      </w:pPr>
      <w:bookmarkStart w:id="946" w:name="_Toc295"/>
      <w:bookmarkStart w:id="947" w:name="_Toc9721"/>
      <w:bookmarkStart w:id="948" w:name="_Toc233"/>
      <w:bookmarkStart w:id="949" w:name="_Toc16899"/>
      <w:bookmarkStart w:id="950" w:name="_Toc19142"/>
      <w:bookmarkStart w:id="951" w:name="_Toc7957"/>
      <w:bookmarkStart w:id="952" w:name="_Toc2041"/>
      <w:bookmarkStart w:id="953" w:name="_Toc14669"/>
      <w:bookmarkStart w:id="954" w:name="_Toc14915"/>
      <w:bookmarkStart w:id="955" w:name="_Toc515647817"/>
      <w:r>
        <w:rPr>
          <w:rFonts w:hint="eastAsia" w:ascii="仿宋" w:hAnsi="仿宋" w:eastAsia="仿宋" w:cs="仿宋"/>
          <w:color w:val="auto"/>
          <w:sz w:val="24"/>
          <w:highlight w:val="none"/>
        </w:rPr>
        <w:t xml:space="preserve">1   </w:t>
      </w:r>
      <w:bookmarkStart w:id="956" w:name="_Hlt520355504"/>
      <w:bookmarkEnd w:id="956"/>
      <w:r>
        <w:rPr>
          <w:rFonts w:hint="eastAsia" w:ascii="仿宋" w:hAnsi="仿宋" w:eastAsia="仿宋" w:cs="仿宋"/>
          <w:color w:val="auto"/>
          <w:sz w:val="24"/>
          <w:highlight w:val="none"/>
        </w:rPr>
        <w:t>投标</w:t>
      </w:r>
      <w:bookmarkEnd w:id="918"/>
      <w:bookmarkEnd w:id="919"/>
      <w:r>
        <w:rPr>
          <w:rFonts w:hint="eastAsia" w:ascii="仿宋" w:hAnsi="仿宋" w:eastAsia="仿宋" w:cs="仿宋"/>
          <w:color w:val="auto"/>
          <w:sz w:val="24"/>
          <w:highlight w:val="none"/>
        </w:rPr>
        <w:t>书</w:t>
      </w:r>
      <w:bookmarkEnd w:id="920"/>
      <w:r>
        <w:rPr>
          <w:rFonts w:hint="eastAsia" w:ascii="仿宋" w:hAnsi="仿宋" w:eastAsia="仿宋" w:cs="仿宋"/>
          <w:color w:val="auto"/>
          <w:sz w:val="24"/>
          <w:highlight w:val="none"/>
        </w:rPr>
        <w:t>（投标文件格式五）</w:t>
      </w:r>
      <w:bookmarkEnd w:id="921"/>
      <w:bookmarkEnd w:id="946"/>
      <w:bookmarkEnd w:id="947"/>
      <w:bookmarkEnd w:id="948"/>
      <w:bookmarkEnd w:id="949"/>
      <w:bookmarkEnd w:id="950"/>
      <w:bookmarkEnd w:id="951"/>
      <w:bookmarkEnd w:id="952"/>
      <w:bookmarkEnd w:id="953"/>
      <w:bookmarkEnd w:id="954"/>
      <w:bookmarkEnd w:id="955"/>
    </w:p>
    <w:p w14:paraId="1CDB35E4">
      <w:pPr>
        <w:tabs>
          <w:tab w:val="left" w:pos="5580"/>
        </w:tabs>
        <w:spacing w:line="240" w:lineRule="atLeast"/>
        <w:ind w:left="1080" w:leftChars="257" w:hanging="540"/>
        <w:rPr>
          <w:rFonts w:hint="eastAsia" w:ascii="仿宋" w:hAnsi="仿宋" w:eastAsia="仿宋" w:cs="仿宋"/>
          <w:color w:val="auto"/>
          <w:sz w:val="24"/>
          <w:highlight w:val="none"/>
        </w:rPr>
      </w:pPr>
    </w:p>
    <w:p w14:paraId="3CA528BC">
      <w:pPr>
        <w:tabs>
          <w:tab w:val="left" w:pos="5580"/>
        </w:tabs>
        <w:spacing w:line="240" w:lineRule="atLeast"/>
        <w:ind w:left="1080"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采购人</w:t>
      </w:r>
    </w:p>
    <w:p w14:paraId="4502D60F">
      <w:pPr>
        <w:pStyle w:val="15"/>
        <w:tabs>
          <w:tab w:val="left" w:pos="5580"/>
        </w:tabs>
        <w:spacing w:line="240" w:lineRule="atLeast"/>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项目的投标邀请(</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rPr>
        <w:t>),签字代表(</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经正式授权并代表投标人（</w:t>
      </w:r>
      <w:r>
        <w:rPr>
          <w:rFonts w:hint="eastAsia" w:ascii="仿宋" w:hAnsi="仿宋" w:eastAsia="仿宋" w:cs="仿宋"/>
          <w:color w:val="auto"/>
          <w:sz w:val="24"/>
          <w:highlight w:val="none"/>
          <w:u w:val="single"/>
        </w:rPr>
        <w:t>名称、地址</w:t>
      </w:r>
      <w:r>
        <w:rPr>
          <w:rFonts w:hint="eastAsia" w:ascii="仿宋" w:hAnsi="仿宋" w:eastAsia="仿宋" w:cs="仿宋"/>
          <w:color w:val="auto"/>
          <w:sz w:val="24"/>
          <w:highlight w:val="none"/>
        </w:rPr>
        <w:t>）提交下述文件正本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份、副本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份及电子文档</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份，并出具的金额为人民币</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元的投标保证金。</w:t>
      </w:r>
    </w:p>
    <w:p w14:paraId="2131E967">
      <w:pPr>
        <w:pStyle w:val="15"/>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据此，签字代表宣布如下：</w:t>
      </w:r>
    </w:p>
    <w:p w14:paraId="14A6879F">
      <w:pPr>
        <w:pStyle w:val="15"/>
        <w:tabs>
          <w:tab w:val="left" w:pos="720"/>
          <w:tab w:val="left" w:pos="900"/>
        </w:tabs>
        <w:spacing w:line="240" w:lineRule="atLeast"/>
        <w:ind w:left="769" w:leftChars="257" w:hanging="22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（1）附投标书报价中规定的投标总价详见开标一览表，</w:t>
      </w:r>
      <w:r>
        <w:rPr>
          <w:rFonts w:hint="eastAsia" w:ascii="仿宋" w:hAnsi="仿宋" w:eastAsia="仿宋" w:cs="仿宋"/>
          <w:color w:val="auto"/>
          <w:sz w:val="24"/>
          <w:highlight w:val="none"/>
          <w:u w:val="single"/>
        </w:rPr>
        <w:t>其中由小型和</w:t>
      </w:r>
      <w:r>
        <w:rPr>
          <w:rFonts w:hint="eastAsia" w:ascii="仿宋" w:hAnsi="仿宋" w:eastAsia="仿宋" w:cs="仿宋"/>
          <w:color w:val="auto"/>
          <w:sz w:val="24"/>
          <w:highlight w:val="none"/>
        </w:rPr>
        <w:t>微型企业制造产品的价格为</w:t>
      </w:r>
      <w:r>
        <w:rPr>
          <w:rFonts w:hint="eastAsia" w:ascii="仿宋" w:hAnsi="仿宋" w:eastAsia="仿宋" w:cs="仿宋"/>
          <w:color w:val="auto"/>
          <w:sz w:val="24"/>
          <w:highlight w:val="none"/>
          <w:u w:val="single"/>
        </w:rPr>
        <w:t>　　  （用文字和数字表示）</w:t>
      </w:r>
      <w:r>
        <w:rPr>
          <w:rFonts w:hint="eastAsia" w:ascii="仿宋" w:hAnsi="仿宋" w:eastAsia="仿宋" w:cs="仿宋"/>
          <w:color w:val="auto"/>
          <w:sz w:val="24"/>
          <w:highlight w:val="none"/>
          <w:u w:val="single"/>
          <w:lang w:eastAsia="zh-CN"/>
        </w:rPr>
        <w:t>。</w:t>
      </w:r>
    </w:p>
    <w:p w14:paraId="5279DC28">
      <w:pPr>
        <w:pStyle w:val="15"/>
        <w:tabs>
          <w:tab w:val="left" w:pos="720"/>
          <w:tab w:val="left" w:pos="900"/>
        </w:tabs>
        <w:spacing w:line="240" w:lineRule="atLeast"/>
        <w:ind w:left="769" w:leftChars="257" w:hanging="22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（2）本投标有效期为投标标截止之日起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个日历日。</w:t>
      </w:r>
    </w:p>
    <w:p w14:paraId="40117D8E">
      <w:pPr>
        <w:pStyle w:val="15"/>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（3）联合体中的大中型企业、法人或者非法人组织，与联合体中的小型、微型企业之间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存在、不存在）投资关系（如果是联合体的话）。</w:t>
      </w:r>
    </w:p>
    <w:p w14:paraId="3C29C8A0">
      <w:pPr>
        <w:pStyle w:val="15"/>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（4）已详细审查全部招标文件，包括所有补充通知（如果有的话），完全理解并同意放弃对这方面有不明、误解和质疑的权力。</w:t>
      </w:r>
    </w:p>
    <w:p w14:paraId="1A3CD94A">
      <w:pPr>
        <w:pStyle w:val="15"/>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（5）在规定的开标时间后，遵守招标文件中有关保证金的规定。</w:t>
      </w:r>
    </w:p>
    <w:p w14:paraId="165ADC10">
      <w:pPr>
        <w:pStyle w:val="15"/>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（6）我方不是为本项目提供整体设计、规范编制或者项目管理、监理、检测等服务的供应商，我方不是采购代理机构的附属机构。</w:t>
      </w:r>
    </w:p>
    <w:p w14:paraId="1B01B795">
      <w:pPr>
        <w:pStyle w:val="15"/>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（7）在领取中标通知书的同时按招标文件规定的形式，向贵方一次性支付中标服务费。</w:t>
      </w:r>
    </w:p>
    <w:p w14:paraId="3A1D0380">
      <w:pPr>
        <w:pStyle w:val="15"/>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（8）按照贵方可能要求，提供与其投标有关的一切数据或资料，完全理解贵方不一定接受最低价的投标或收到的任何投标。</w:t>
      </w:r>
    </w:p>
    <w:p w14:paraId="7023F23A">
      <w:pPr>
        <w:pStyle w:val="15"/>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（9）按照招标文件的规定履行合同责任和义务。</w:t>
      </w:r>
    </w:p>
    <w:p w14:paraId="4DD124E5">
      <w:pPr>
        <w:pStyle w:val="15"/>
        <w:tabs>
          <w:tab w:val="left" w:pos="5580"/>
        </w:tabs>
        <w:spacing w:line="240" w:lineRule="atLeast"/>
        <w:ind w:left="359" w:leftChars="68" w:hanging="216" w:hangingChars="9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与本投标有关的一切正式往来信函请寄：</w:t>
      </w:r>
    </w:p>
    <w:p w14:paraId="796A99A6">
      <w:pPr>
        <w:pStyle w:val="15"/>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传真</w:t>
      </w:r>
      <w:r>
        <w:rPr>
          <w:rFonts w:hint="eastAsia" w:ascii="仿宋" w:hAnsi="仿宋" w:eastAsia="仿宋" w:cs="仿宋"/>
          <w:color w:val="auto"/>
          <w:sz w:val="24"/>
          <w:highlight w:val="none"/>
          <w:u w:val="single"/>
        </w:rPr>
        <w:t xml:space="preserve">                             </w:t>
      </w:r>
    </w:p>
    <w:p w14:paraId="51BFEBB0">
      <w:pPr>
        <w:pStyle w:val="15"/>
        <w:tabs>
          <w:tab w:val="left" w:pos="5580"/>
        </w:tabs>
        <w:spacing w:line="240" w:lineRule="atLeast"/>
        <w:ind w:left="1080" w:leftChars="257" w:hanging="540"/>
        <w:rPr>
          <w:rFonts w:hint="eastAsia" w:ascii="仿宋" w:hAnsi="仿宋" w:eastAsia="仿宋" w:cs="仿宋"/>
          <w:b/>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电子函件</w:t>
      </w:r>
      <w:r>
        <w:rPr>
          <w:rFonts w:hint="eastAsia" w:ascii="仿宋" w:hAnsi="仿宋" w:eastAsia="仿宋" w:cs="仿宋"/>
          <w:color w:val="auto"/>
          <w:sz w:val="24"/>
          <w:highlight w:val="none"/>
          <w:u w:val="single"/>
        </w:rPr>
        <w:t xml:space="preserve">                         </w:t>
      </w:r>
    </w:p>
    <w:p w14:paraId="48F56573">
      <w:pPr>
        <w:pStyle w:val="15"/>
        <w:tabs>
          <w:tab w:val="left" w:pos="5580"/>
        </w:tabs>
        <w:spacing w:line="240" w:lineRule="atLeast"/>
        <w:ind w:left="1080" w:leftChars="257" w:hanging="540"/>
        <w:rPr>
          <w:rFonts w:hint="eastAsia" w:ascii="仿宋" w:hAnsi="仿宋" w:eastAsia="仿宋" w:cs="仿宋"/>
          <w:color w:val="auto"/>
          <w:sz w:val="24"/>
          <w:highlight w:val="none"/>
        </w:rPr>
      </w:pPr>
    </w:p>
    <w:p w14:paraId="0F58D93E">
      <w:pPr>
        <w:pStyle w:val="15"/>
        <w:tabs>
          <w:tab w:val="left" w:pos="5580"/>
        </w:tabs>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p>
    <w:p w14:paraId="55CA955E">
      <w:pPr>
        <w:pStyle w:val="15"/>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投标人名称（全称）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06C464AA">
      <w:pPr>
        <w:pStyle w:val="15"/>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投标人开户银行（全称）</w:t>
      </w:r>
      <w:r>
        <w:rPr>
          <w:rFonts w:hint="eastAsia" w:ascii="仿宋" w:hAnsi="仿宋" w:eastAsia="仿宋" w:cs="仿宋"/>
          <w:color w:val="auto"/>
          <w:sz w:val="24"/>
          <w:highlight w:val="none"/>
          <w:u w:val="single"/>
        </w:rPr>
        <w:t xml:space="preserve">　　　　　　  </w:t>
      </w:r>
    </w:p>
    <w:p w14:paraId="332F49AF">
      <w:pPr>
        <w:pStyle w:val="15"/>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投标人银行帐号</w:t>
      </w:r>
      <w:r>
        <w:rPr>
          <w:rFonts w:hint="eastAsia" w:ascii="仿宋" w:hAnsi="仿宋" w:eastAsia="仿宋" w:cs="仿宋"/>
          <w:color w:val="auto"/>
          <w:sz w:val="24"/>
          <w:highlight w:val="none"/>
          <w:u w:val="single"/>
        </w:rPr>
        <w:t>　　　　　　　　 　 　</w:t>
      </w:r>
    </w:p>
    <w:p w14:paraId="7BBAA7B4">
      <w:pPr>
        <w:pStyle w:val="15"/>
        <w:tabs>
          <w:tab w:val="left" w:pos="5580"/>
        </w:tabs>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投标人单位章</w:t>
      </w:r>
      <w:r>
        <w:rPr>
          <w:rFonts w:hint="eastAsia" w:ascii="仿宋" w:hAnsi="仿宋" w:eastAsia="仿宋" w:cs="仿宋"/>
          <w:color w:val="auto"/>
          <w:sz w:val="24"/>
          <w:highlight w:val="none"/>
          <w:u w:val="single"/>
        </w:rPr>
        <w:t xml:space="preserve">                        </w:t>
      </w:r>
    </w:p>
    <w:p w14:paraId="2E64EC55">
      <w:pPr>
        <w:pStyle w:val="15"/>
        <w:tabs>
          <w:tab w:val="left" w:pos="5580"/>
        </w:tabs>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日期 </w:t>
      </w:r>
      <w:r>
        <w:rPr>
          <w:rFonts w:hint="eastAsia" w:ascii="仿宋" w:hAnsi="仿宋" w:eastAsia="仿宋" w:cs="仿宋"/>
          <w:color w:val="auto"/>
          <w:sz w:val="24"/>
          <w:highlight w:val="none"/>
          <w:u w:val="single"/>
        </w:rPr>
        <w:t xml:space="preserve">                               </w:t>
      </w:r>
    </w:p>
    <w:p w14:paraId="343006A8">
      <w:pPr>
        <w:spacing w:line="480" w:lineRule="auto"/>
        <w:rPr>
          <w:rFonts w:hint="eastAsia" w:ascii="仿宋" w:hAnsi="仿宋" w:eastAsia="仿宋" w:cs="仿宋"/>
          <w:b/>
          <w:bCs/>
          <w:color w:val="auto"/>
          <w:kern w:val="2"/>
          <w:sz w:val="24"/>
          <w:szCs w:val="24"/>
          <w:shd w:val="clear" w:color="auto" w:fill="auto"/>
          <w:lang w:val="en-US" w:eastAsia="zh-CN" w:bidi="ar-SA"/>
        </w:rPr>
      </w:pPr>
      <w:r>
        <w:rPr>
          <w:rFonts w:hint="eastAsia" w:ascii="仿宋" w:hAnsi="仿宋" w:eastAsia="仿宋" w:cs="仿宋"/>
          <w:color w:val="auto"/>
          <w:sz w:val="24"/>
          <w:highlight w:val="none"/>
        </w:rPr>
        <w:br w:type="page"/>
      </w:r>
      <w:bookmarkStart w:id="957" w:name="_Toc27035"/>
      <w:bookmarkStart w:id="958" w:name="_Toc30740"/>
      <w:bookmarkStart w:id="959" w:name="_Toc23473"/>
      <w:bookmarkStart w:id="960" w:name="_Toc13156"/>
      <w:bookmarkStart w:id="961" w:name="_Toc9982"/>
      <w:bookmarkStart w:id="962" w:name="_Toc6632"/>
      <w:bookmarkStart w:id="963" w:name="_Toc1266"/>
      <w:bookmarkStart w:id="964" w:name="_Toc6475"/>
      <w:r>
        <w:rPr>
          <w:rFonts w:hint="eastAsia" w:ascii="仿宋" w:hAnsi="仿宋" w:eastAsia="仿宋" w:cs="仿宋"/>
          <w:color w:val="auto"/>
          <w:sz w:val="24"/>
          <w:highlight w:val="none"/>
        </w:rPr>
        <w:t xml:space="preserve">2   </w:t>
      </w:r>
      <w:bookmarkEnd w:id="957"/>
      <w:bookmarkEnd w:id="958"/>
      <w:bookmarkEnd w:id="959"/>
      <w:bookmarkEnd w:id="960"/>
      <w:bookmarkEnd w:id="961"/>
      <w:bookmarkEnd w:id="962"/>
      <w:bookmarkEnd w:id="963"/>
      <w:bookmarkEnd w:id="964"/>
      <w:r>
        <w:rPr>
          <w:rFonts w:hint="eastAsia" w:ascii="仿宋" w:hAnsi="仿宋" w:eastAsia="仿宋" w:cs="仿宋"/>
          <w:b/>
          <w:bCs/>
          <w:color w:val="auto"/>
          <w:kern w:val="2"/>
          <w:sz w:val="24"/>
          <w:szCs w:val="24"/>
          <w:shd w:val="clear" w:color="auto" w:fill="auto"/>
          <w:lang w:val="en-US" w:eastAsia="zh-CN" w:bidi="ar-SA"/>
        </w:rPr>
        <w:t>投标保证金缴纳有效证明</w:t>
      </w:r>
    </w:p>
    <w:p w14:paraId="2B9ED81C">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仿宋" w:hAnsi="仿宋" w:eastAsia="仿宋" w:cs="仿宋"/>
          <w:color w:val="auto"/>
        </w:rPr>
      </w:pPr>
      <w:r>
        <w:rPr>
          <w:rFonts w:hint="eastAsia" w:ascii="仿宋" w:hAnsi="仿宋" w:eastAsia="仿宋" w:cs="仿宋"/>
          <w:color w:val="auto"/>
          <w:lang w:eastAsia="zh-CN"/>
        </w:rPr>
        <w:t>供应商</w:t>
      </w:r>
      <w:r>
        <w:rPr>
          <w:rFonts w:hint="eastAsia" w:ascii="仿宋" w:hAnsi="仿宋" w:eastAsia="仿宋" w:cs="仿宋"/>
          <w:color w:val="auto"/>
        </w:rPr>
        <w:t>可将本项目投标保证金支付的汇款凭证、支票、汇票或保证金收据（如有）的复印件作为缴纳凭证装订在本部分，复印件上应加盖本单位章；使用银行保函等其他投标担保函的，应将担保函正本，装订在本部分正本中；如采用政府采购信用担保形式的，应使用（投标文件格式三）,将原件装订在本部分正本中。</w:t>
      </w:r>
    </w:p>
    <w:tbl>
      <w:tblPr>
        <w:tblStyle w:val="25"/>
        <w:tblpPr w:leftFromText="180" w:rightFromText="180" w:vertAnchor="text" w:horzAnchor="page" w:tblpXSpec="center" w:tblpY="393"/>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1373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trPr>
        <w:tc>
          <w:tcPr>
            <w:tcW w:w="7879" w:type="dxa"/>
            <w:noWrap w:val="0"/>
            <w:vAlign w:val="top"/>
          </w:tcPr>
          <w:p w14:paraId="306AA62B">
            <w:pPr>
              <w:keepNext w:val="0"/>
              <w:keepLines w:val="0"/>
              <w:suppressLineNumbers w:val="0"/>
              <w:spacing w:before="0" w:beforeAutospacing="0" w:after="0" w:afterAutospacing="0" w:line="360" w:lineRule="exact"/>
              <w:ind w:left="0" w:right="0"/>
              <w:rPr>
                <w:rFonts w:hint="eastAsia" w:ascii="仿宋" w:hAnsi="仿宋" w:eastAsia="仿宋" w:cs="仿宋"/>
                <w:color w:val="auto"/>
              </w:rPr>
            </w:pPr>
          </w:p>
          <w:p w14:paraId="3DC9432F">
            <w:pPr>
              <w:keepNext w:val="0"/>
              <w:keepLines w:val="0"/>
              <w:suppressLineNumbers w:val="0"/>
              <w:spacing w:before="0" w:beforeAutospacing="0" w:after="0" w:afterAutospacing="0" w:line="360" w:lineRule="exact"/>
              <w:ind w:left="0" w:right="0"/>
              <w:rPr>
                <w:rFonts w:hint="eastAsia" w:ascii="仿宋" w:hAnsi="仿宋" w:eastAsia="仿宋" w:cs="仿宋"/>
                <w:color w:val="auto"/>
              </w:rPr>
            </w:pPr>
          </w:p>
          <w:p w14:paraId="3F45E9DC">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rPr>
            </w:pPr>
          </w:p>
          <w:p w14:paraId="52580B57">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auto"/>
              </w:rPr>
            </w:pPr>
            <w:r>
              <w:rPr>
                <w:rFonts w:hint="eastAsia" w:ascii="仿宋" w:hAnsi="仿宋" w:eastAsia="仿宋" w:cs="仿宋"/>
                <w:color w:val="auto"/>
              </w:rPr>
              <w:t>投标保证金</w:t>
            </w:r>
            <w:r>
              <w:rPr>
                <w:rFonts w:hint="eastAsia" w:ascii="仿宋" w:hAnsi="仿宋" w:eastAsia="仿宋" w:cs="仿宋"/>
                <w:color w:val="auto"/>
                <w:lang w:val="en-US" w:eastAsia="zh-CN"/>
              </w:rPr>
              <w:t>凭证</w:t>
            </w:r>
            <w:r>
              <w:rPr>
                <w:rFonts w:hint="eastAsia" w:ascii="仿宋" w:hAnsi="仿宋" w:eastAsia="仿宋" w:cs="仿宋"/>
                <w:color w:val="auto"/>
              </w:rPr>
              <w:t>或银行转账回执单复印件</w:t>
            </w:r>
          </w:p>
        </w:tc>
      </w:tr>
    </w:tbl>
    <w:p w14:paraId="4155A2F3">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color w:val="auto"/>
          <w:sz w:val="21"/>
          <w:szCs w:val="21"/>
          <w:highlight w:val="none"/>
        </w:rPr>
      </w:pPr>
    </w:p>
    <w:p w14:paraId="7834484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b/>
          <w:bCs/>
          <w:color w:val="auto"/>
          <w:sz w:val="21"/>
          <w:szCs w:val="21"/>
          <w:highlight w:val="none"/>
        </w:rPr>
      </w:pPr>
    </w:p>
    <w:p w14:paraId="60D4FB7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ab/>
      </w:r>
    </w:p>
    <w:p w14:paraId="0A8692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1"/>
          <w:szCs w:val="21"/>
          <w:highlight w:val="none"/>
        </w:rPr>
      </w:pPr>
    </w:p>
    <w:p w14:paraId="0E8479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1"/>
          <w:szCs w:val="21"/>
          <w:highlight w:val="none"/>
        </w:rPr>
      </w:pPr>
    </w:p>
    <w:p w14:paraId="48BCBE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1"/>
          <w:szCs w:val="21"/>
          <w:highlight w:val="none"/>
        </w:rPr>
      </w:pPr>
    </w:p>
    <w:p w14:paraId="3EF408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1"/>
          <w:szCs w:val="21"/>
          <w:highlight w:val="none"/>
        </w:rPr>
      </w:pPr>
    </w:p>
    <w:p w14:paraId="4F9104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1"/>
          <w:szCs w:val="21"/>
          <w:highlight w:val="none"/>
        </w:rPr>
      </w:pPr>
    </w:p>
    <w:p w14:paraId="71650F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1"/>
          <w:szCs w:val="21"/>
          <w:highlight w:val="none"/>
        </w:rPr>
      </w:pPr>
    </w:p>
    <w:p w14:paraId="7C49F5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1"/>
          <w:szCs w:val="21"/>
          <w:highlight w:val="none"/>
        </w:rPr>
      </w:pPr>
    </w:p>
    <w:p w14:paraId="42A3801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1"/>
          <w:szCs w:val="21"/>
          <w:highlight w:val="none"/>
        </w:rPr>
      </w:pPr>
    </w:p>
    <w:p w14:paraId="2B75DE9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1"/>
          <w:szCs w:val="21"/>
          <w:highlight w:val="none"/>
        </w:rPr>
      </w:pPr>
    </w:p>
    <w:p w14:paraId="2451FD4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1"/>
          <w:szCs w:val="21"/>
          <w:highlight w:val="none"/>
        </w:rPr>
      </w:pPr>
    </w:p>
    <w:p w14:paraId="30A490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1"/>
          <w:szCs w:val="21"/>
          <w:highlight w:val="none"/>
        </w:rPr>
      </w:pPr>
    </w:p>
    <w:p w14:paraId="3598F5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1"/>
          <w:szCs w:val="21"/>
          <w:highlight w:val="none"/>
        </w:rPr>
      </w:pPr>
    </w:p>
    <w:p w14:paraId="19965A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1"/>
          <w:szCs w:val="21"/>
          <w:highlight w:val="none"/>
        </w:rPr>
      </w:pPr>
    </w:p>
    <w:p w14:paraId="454251A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1"/>
          <w:szCs w:val="21"/>
          <w:highlight w:val="none"/>
        </w:rPr>
      </w:pPr>
    </w:p>
    <w:p w14:paraId="7E720AA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1"/>
          <w:szCs w:val="21"/>
          <w:highlight w:val="none"/>
        </w:rPr>
      </w:pPr>
    </w:p>
    <w:p w14:paraId="673A6B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1"/>
          <w:szCs w:val="21"/>
          <w:highlight w:val="none"/>
        </w:rPr>
      </w:pPr>
    </w:p>
    <w:p w14:paraId="6BBA2E7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1"/>
          <w:szCs w:val="21"/>
          <w:highlight w:val="none"/>
        </w:rPr>
      </w:pPr>
    </w:p>
    <w:p w14:paraId="1AB9D5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1"/>
          <w:szCs w:val="21"/>
          <w:highlight w:val="none"/>
        </w:rPr>
      </w:pPr>
    </w:p>
    <w:p w14:paraId="5D1F29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1"/>
          <w:szCs w:val="21"/>
          <w:highlight w:val="none"/>
        </w:rPr>
      </w:pPr>
    </w:p>
    <w:p w14:paraId="7D9E2B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1"/>
          <w:szCs w:val="21"/>
          <w:highlight w:val="none"/>
        </w:rPr>
      </w:pPr>
    </w:p>
    <w:p w14:paraId="22D016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1"/>
          <w:szCs w:val="21"/>
          <w:highlight w:val="none"/>
        </w:rPr>
      </w:pPr>
    </w:p>
    <w:p w14:paraId="674CD3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1"/>
          <w:szCs w:val="21"/>
          <w:highlight w:val="none"/>
        </w:rPr>
      </w:pPr>
    </w:p>
    <w:p w14:paraId="6DBF0D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1"/>
          <w:szCs w:val="21"/>
          <w:highlight w:val="none"/>
        </w:rPr>
      </w:pPr>
    </w:p>
    <w:p w14:paraId="22A4D2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1"/>
          <w:szCs w:val="21"/>
          <w:highlight w:val="none"/>
        </w:rPr>
      </w:pPr>
    </w:p>
    <w:p w14:paraId="57E17A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1"/>
          <w:szCs w:val="21"/>
          <w:highlight w:val="none"/>
        </w:rPr>
      </w:pPr>
    </w:p>
    <w:p w14:paraId="5EB317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1"/>
          <w:szCs w:val="21"/>
          <w:highlight w:val="none"/>
        </w:rPr>
      </w:pPr>
    </w:p>
    <w:p w14:paraId="627767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1"/>
          <w:szCs w:val="21"/>
          <w:highlight w:val="none"/>
        </w:rPr>
      </w:pPr>
    </w:p>
    <w:p w14:paraId="39FB73D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1"/>
          <w:szCs w:val="21"/>
          <w:highlight w:val="none"/>
        </w:rPr>
      </w:pPr>
    </w:p>
    <w:p w14:paraId="3A7197A9">
      <w:pPr>
        <w:jc w:val="both"/>
        <w:rPr>
          <w:rFonts w:hint="eastAsia" w:ascii="仿宋" w:hAnsi="仿宋" w:eastAsia="仿宋" w:cs="仿宋"/>
          <w:b/>
          <w:bCs/>
          <w:color w:val="auto"/>
          <w:sz w:val="24"/>
          <w:highlight w:val="none"/>
        </w:rPr>
      </w:pPr>
    </w:p>
    <w:p w14:paraId="044443AA">
      <w:pPr>
        <w:jc w:val="both"/>
        <w:rPr>
          <w:rFonts w:hint="eastAsia" w:ascii="仿宋" w:hAnsi="仿宋" w:eastAsia="仿宋" w:cs="仿宋"/>
          <w:b/>
          <w:bCs/>
          <w:color w:val="auto"/>
          <w:sz w:val="24"/>
          <w:highlight w:val="none"/>
        </w:rPr>
      </w:pPr>
    </w:p>
    <w:p w14:paraId="70F5B0B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p>
    <w:p w14:paraId="398FA43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p>
    <w:p w14:paraId="198923B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p>
    <w:p w14:paraId="2649623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p>
    <w:p w14:paraId="13413B9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p>
    <w:p w14:paraId="77A59A7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p>
    <w:p w14:paraId="6902F87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p>
    <w:p w14:paraId="09C9FC8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p>
    <w:p w14:paraId="77E8C823">
      <w:pPr>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4"/>
          <w:highlight w:val="none"/>
        </w:rPr>
        <w:t>政府采购投标担保函 （项目用）（投标文件格式六）</w:t>
      </w:r>
    </w:p>
    <w:p w14:paraId="32737477">
      <w:pPr>
        <w:rPr>
          <w:rFonts w:hint="eastAsia" w:ascii="仿宋" w:hAnsi="仿宋" w:eastAsia="仿宋" w:cs="仿宋"/>
          <w:color w:val="auto"/>
          <w:sz w:val="24"/>
          <w:highlight w:val="none"/>
        </w:rPr>
      </w:pPr>
      <w:r>
        <w:rPr>
          <w:rFonts w:hint="eastAsia" w:ascii="仿宋" w:hAnsi="仿宋" w:eastAsia="仿宋" w:cs="仿宋"/>
          <w:color w:val="auto"/>
          <w:sz w:val="24"/>
          <w:highlight w:val="none"/>
        </w:rPr>
        <w:t>编号：</w:t>
      </w:r>
    </w:p>
    <w:p w14:paraId="73FFDA3C">
      <w:pPr>
        <w:ind w:firstLine="7680" w:firstLineChars="3200"/>
        <w:rPr>
          <w:rFonts w:hint="eastAsia" w:ascii="仿宋" w:hAnsi="仿宋" w:eastAsia="仿宋" w:cs="仿宋"/>
          <w:color w:val="auto"/>
          <w:sz w:val="24"/>
          <w:highlight w:val="none"/>
        </w:rPr>
      </w:pPr>
    </w:p>
    <w:p w14:paraId="6A22ED3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（采购人或采购代理机构）：</w:t>
      </w:r>
    </w:p>
    <w:p w14:paraId="58473642">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鉴于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（以下简称“投标人”）拟参加编号为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2E2410E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57A6D3F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一、保证责任的情形及保证金额</w:t>
      </w:r>
    </w:p>
    <w:p w14:paraId="038D2729">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（一）在投标人出现下列情形之一时，我方承担保证责任：</w:t>
      </w:r>
    </w:p>
    <w:p w14:paraId="5D7A62F5">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1．中标后投标人无正当理由不与采购人或者采购代理机构签订《政府采购合同》；</w:t>
      </w:r>
    </w:p>
    <w:p w14:paraId="6CE0191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2．招标文件规定的投标人应当缴纳保证金的其他情形。</w:t>
      </w:r>
    </w:p>
    <w:p w14:paraId="4D96F421">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（二）我方承担保证责任的最高金额为人民币</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元（大写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），即本项目的投标保证金金额。</w:t>
      </w:r>
    </w:p>
    <w:p w14:paraId="48D37693">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二、保证的方式及保证期间</w:t>
      </w:r>
    </w:p>
    <w:p w14:paraId="15E3A761">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我方保证的方式为：连带责任保证。</w:t>
      </w:r>
    </w:p>
    <w:p w14:paraId="7DA9746A">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我方的保证期间为：自本保函生效之日起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个月止。</w:t>
      </w:r>
    </w:p>
    <w:p w14:paraId="571A0CB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三、承担保证责任的程序</w:t>
      </w:r>
    </w:p>
    <w:p w14:paraId="322C84C3">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049FD76F">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2．我方在收到索赔通知及相关证明材料后，在</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rPr>
        <w:t>个工作日内进行审查，符合应承担保证责任情形的，我方应按照你方的要求代投标人向你方支付投标保证金。</w:t>
      </w:r>
    </w:p>
    <w:p w14:paraId="50D7C7D3">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四、保证责任的终止</w:t>
      </w:r>
    </w:p>
    <w:p w14:paraId="6BB405B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1．保证期间届满你方未向我方书面主张保证责任的，自保证期间届满次日起，我方保证责任自动终止。</w:t>
      </w:r>
    </w:p>
    <w:p w14:paraId="4BAC1589">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2．我方按照本保函向你贵方履行了保证责任后，自我方向你贵方支付款项（支付款项从我方账户划出）之日起，保证责任终止。</w:t>
      </w:r>
    </w:p>
    <w:p w14:paraId="69CEABF9">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3．按照法律法规的规定或出现我方保证责任终止的其它情形的，我方在本保函项下的保证责任亦终止。</w:t>
      </w:r>
    </w:p>
    <w:p w14:paraId="009DAAE0">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五、免责条款</w:t>
      </w:r>
    </w:p>
    <w:p w14:paraId="3F5763EA">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1．依照法律规定或你方与投标人的另行约定，全部或者部分免除投标人投标保证金义务时，我方亦免除相应的保证责任。</w:t>
      </w:r>
    </w:p>
    <w:p w14:paraId="25D66F6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2．因你方原因致使投标人发生本保函第一条第（一）款约定情形的，我方不承担保证责任。</w:t>
      </w:r>
    </w:p>
    <w:p w14:paraId="1325960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3．因不可抗力造成投标人发生本保函第一条约定情形的，我方不承担保证责任。</w:t>
      </w:r>
    </w:p>
    <w:p w14:paraId="2389D0B1">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4．你方或其他有权机关对招标文件进行任何澄清或修改，加重我方保证责任的，我方对加重部分不承担保证责任，但该澄清或修改经我方事先书面同意的除外。</w:t>
      </w:r>
    </w:p>
    <w:p w14:paraId="29B9FB42">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六、争议的解决</w:t>
      </w:r>
    </w:p>
    <w:p w14:paraId="4669296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因本保函发生的纠纷，由你我双方协商解决，协商不成的，通过诉讼程序解决，诉讼管辖地法院为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法院。</w:t>
      </w:r>
    </w:p>
    <w:p w14:paraId="77ABE86A">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七、保函的生效</w:t>
      </w:r>
    </w:p>
    <w:p w14:paraId="1A998DD8">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本保函自我方加盖公章之日起生效。</w:t>
      </w:r>
    </w:p>
    <w:p w14:paraId="0FEF211A">
      <w:pPr>
        <w:keepNext w:val="0"/>
        <w:keepLines w:val="0"/>
        <w:pageBreakBefore w:val="0"/>
        <w:widowControl w:val="0"/>
        <w:kinsoku/>
        <w:wordWrap/>
        <w:overflowPunct/>
        <w:topLinePunct w:val="0"/>
        <w:autoSpaceDE/>
        <w:autoSpaceDN/>
        <w:bidi w:val="0"/>
        <w:adjustRightInd/>
        <w:snapToGrid/>
        <w:spacing w:line="300" w:lineRule="exact"/>
        <w:ind w:firstLine="4830" w:firstLineChars="2300"/>
        <w:textAlignment w:val="auto"/>
        <w:rPr>
          <w:rFonts w:hint="eastAsia" w:ascii="仿宋" w:hAnsi="仿宋" w:eastAsia="仿宋" w:cs="仿宋"/>
          <w:color w:val="auto"/>
          <w:sz w:val="21"/>
          <w:szCs w:val="21"/>
          <w:highlight w:val="none"/>
        </w:rPr>
      </w:pPr>
    </w:p>
    <w:p w14:paraId="6171413F">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保证人：（公章）    年   月   日</w:t>
      </w:r>
    </w:p>
    <w:p w14:paraId="401600DC">
      <w:pPr>
        <w:pStyle w:val="15"/>
        <w:keepNext w:val="0"/>
        <w:keepLines w:val="0"/>
        <w:pageBreakBefore w:val="0"/>
        <w:widowControl w:val="0"/>
        <w:tabs>
          <w:tab w:val="left" w:pos="5580"/>
        </w:tabs>
        <w:kinsoku/>
        <w:wordWrap/>
        <w:overflowPunct/>
        <w:topLinePunct w:val="0"/>
        <w:autoSpaceDE/>
        <w:autoSpaceDN/>
        <w:bidi w:val="0"/>
        <w:adjustRightInd/>
        <w:snapToGrid/>
        <w:spacing w:line="300" w:lineRule="exact"/>
        <w:ind w:left="1080" w:leftChars="257" w:hanging="540"/>
        <w:jc w:val="right"/>
        <w:textAlignment w:val="auto"/>
        <w:rPr>
          <w:rFonts w:hint="eastAsia" w:ascii="仿宋" w:hAnsi="仿宋" w:eastAsia="仿宋" w:cs="仿宋"/>
          <w:color w:val="auto"/>
          <w:sz w:val="21"/>
          <w:szCs w:val="21"/>
          <w:highlight w:val="none"/>
        </w:rPr>
        <w:sectPr>
          <w:footerReference r:id="rId7" w:type="default"/>
          <w:pgSz w:w="11905" w:h="16838"/>
          <w:pgMar w:top="1440" w:right="1083" w:bottom="1440" w:left="1083" w:header="851" w:footer="850" w:gutter="0"/>
          <w:pgNumType w:fmt="decimal"/>
          <w:cols w:space="0" w:num="1"/>
          <w:rtlGutter w:val="0"/>
          <w:docGrid w:linePitch="312" w:charSpace="0"/>
        </w:sectPr>
      </w:pPr>
      <w:bookmarkStart w:id="965" w:name="_Hlt520356243"/>
      <w:bookmarkEnd w:id="965"/>
      <w:bookmarkStart w:id="966" w:name="_Hlt520355938"/>
      <w:bookmarkEnd w:id="966"/>
    </w:p>
    <w:p w14:paraId="02777EEB">
      <w:pPr>
        <w:pStyle w:val="7"/>
        <w:spacing w:before="0" w:line="240" w:lineRule="auto"/>
        <w:ind w:left="1080" w:leftChars="257" w:hanging="540"/>
        <w:rPr>
          <w:rFonts w:hint="eastAsia" w:ascii="仿宋" w:hAnsi="仿宋" w:eastAsia="仿宋" w:cs="仿宋"/>
          <w:color w:val="auto"/>
          <w:sz w:val="28"/>
          <w:szCs w:val="36"/>
          <w:highlight w:val="none"/>
        </w:rPr>
      </w:pPr>
      <w:bookmarkStart w:id="967" w:name="_Toc216582815"/>
      <w:bookmarkStart w:id="968" w:name="_Toc7327"/>
      <w:bookmarkStart w:id="969" w:name="_Toc19579"/>
      <w:bookmarkStart w:id="970" w:name="_Toc26329"/>
      <w:bookmarkStart w:id="971" w:name="_Toc2851"/>
      <w:bookmarkStart w:id="972" w:name="_Toc8484"/>
      <w:bookmarkStart w:id="973" w:name="_Toc20897"/>
      <w:bookmarkStart w:id="974" w:name="_Toc4351"/>
      <w:bookmarkStart w:id="975" w:name="_Toc515647818"/>
      <w:bookmarkStart w:id="976" w:name="_Toc1881"/>
      <w:bookmarkStart w:id="977" w:name="_Toc30784"/>
      <w:bookmarkStart w:id="978" w:name="_Toc216582817"/>
      <w:bookmarkStart w:id="979" w:name="_Toc22563"/>
      <w:bookmarkStart w:id="980" w:name="_Toc28959"/>
      <w:bookmarkStart w:id="981" w:name="_Toc515647820"/>
      <w:r>
        <w:rPr>
          <w:rFonts w:hint="eastAsia" w:ascii="仿宋" w:hAnsi="仿宋" w:eastAsia="仿宋" w:cs="仿宋"/>
          <w:color w:val="auto"/>
          <w:sz w:val="28"/>
          <w:szCs w:val="36"/>
          <w:highlight w:val="none"/>
        </w:rPr>
        <w:t>3   投标分项报价表</w:t>
      </w:r>
      <w:bookmarkEnd w:id="967"/>
      <w:r>
        <w:rPr>
          <w:rFonts w:hint="eastAsia" w:ascii="仿宋" w:hAnsi="仿宋" w:eastAsia="仿宋" w:cs="仿宋"/>
          <w:color w:val="auto"/>
          <w:sz w:val="28"/>
          <w:szCs w:val="36"/>
          <w:highlight w:val="none"/>
        </w:rPr>
        <w:t>（投标文件格式七）</w:t>
      </w:r>
      <w:bookmarkEnd w:id="968"/>
      <w:bookmarkEnd w:id="969"/>
      <w:bookmarkEnd w:id="970"/>
      <w:bookmarkEnd w:id="971"/>
      <w:bookmarkEnd w:id="972"/>
      <w:bookmarkEnd w:id="973"/>
      <w:bookmarkEnd w:id="974"/>
      <w:bookmarkEnd w:id="975"/>
      <w:bookmarkEnd w:id="976"/>
      <w:bookmarkEnd w:id="977"/>
    </w:p>
    <w:p w14:paraId="4D266CD5">
      <w:pPr>
        <w:pStyle w:val="15"/>
        <w:spacing w:line="24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报价单位：</w:t>
      </w:r>
      <w:r>
        <w:rPr>
          <w:rFonts w:hint="eastAsia" w:ascii="仿宋" w:hAnsi="仿宋" w:eastAsia="仿宋" w:cs="仿宋"/>
          <w:color w:val="auto"/>
          <w:sz w:val="24"/>
          <w:highlight w:val="none"/>
          <w:lang w:val="en-US" w:eastAsia="zh-CN"/>
        </w:rPr>
        <w:t xml:space="preserve">  %</w:t>
      </w:r>
    </w:p>
    <w:p w14:paraId="626BC26C">
      <w:pPr>
        <w:pStyle w:val="15"/>
        <w:spacing w:line="240" w:lineRule="atLeast"/>
        <w:ind w:left="1080" w:leftChars="257" w:hanging="540"/>
        <w:rPr>
          <w:rFonts w:hint="default" w:ascii="仿宋" w:hAnsi="仿宋" w:eastAsia="仿宋" w:cs="仿宋"/>
          <w:color w:val="auto"/>
          <w:sz w:val="24"/>
          <w:highlight w:val="none"/>
          <w:lang w:val="en-US" w:eastAsia="zh-CN"/>
        </w:rPr>
      </w:pPr>
    </w:p>
    <w:p w14:paraId="1E12DAD6">
      <w:pPr>
        <w:pStyle w:val="15"/>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D19F370">
      <w:pPr>
        <w:pStyle w:val="15"/>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bl>
      <w:tblPr>
        <w:tblStyle w:val="25"/>
        <w:tblpPr w:leftFromText="180" w:rightFromText="180" w:vertAnchor="page" w:horzAnchor="page" w:tblpX="313" w:tblpY="2467"/>
        <w:tblOverlap w:val="never"/>
        <w:tblW w:w="10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314"/>
        <w:gridCol w:w="2954"/>
        <w:gridCol w:w="1243"/>
        <w:gridCol w:w="1050"/>
        <w:gridCol w:w="1120"/>
        <w:gridCol w:w="880"/>
      </w:tblGrid>
      <w:tr w14:paraId="7417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44" w:type="dxa"/>
            <w:noWrap w:val="0"/>
            <w:vAlign w:val="center"/>
          </w:tcPr>
          <w:p w14:paraId="1371F1DD">
            <w:pPr>
              <w:pStyle w:val="15"/>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2314" w:type="dxa"/>
            <w:noWrap w:val="0"/>
            <w:vAlign w:val="center"/>
          </w:tcPr>
          <w:p w14:paraId="26153E1B">
            <w:pPr>
              <w:pStyle w:val="15"/>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货物名称</w:t>
            </w:r>
          </w:p>
        </w:tc>
        <w:tc>
          <w:tcPr>
            <w:tcW w:w="2954" w:type="dxa"/>
            <w:noWrap w:val="0"/>
            <w:vAlign w:val="center"/>
          </w:tcPr>
          <w:p w14:paraId="19918BE0">
            <w:pPr>
              <w:pStyle w:val="15"/>
              <w:keepNext w:val="0"/>
              <w:keepLines w:val="0"/>
              <w:suppressLineNumbers w:val="0"/>
              <w:spacing w:before="0" w:beforeAutospacing="0" w:after="0" w:afterAutospacing="0" w:line="240" w:lineRule="atLeast"/>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规格及要求</w:t>
            </w:r>
          </w:p>
        </w:tc>
        <w:tc>
          <w:tcPr>
            <w:tcW w:w="1243" w:type="dxa"/>
            <w:noWrap w:val="0"/>
            <w:vAlign w:val="center"/>
          </w:tcPr>
          <w:p w14:paraId="5E98CE33">
            <w:pPr>
              <w:pStyle w:val="15"/>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单位</w:t>
            </w:r>
          </w:p>
        </w:tc>
        <w:tc>
          <w:tcPr>
            <w:tcW w:w="1050" w:type="dxa"/>
            <w:noWrap w:val="0"/>
            <w:vAlign w:val="center"/>
          </w:tcPr>
          <w:p w14:paraId="196093D2">
            <w:pPr>
              <w:pStyle w:val="15"/>
              <w:keepNext w:val="0"/>
              <w:keepLines w:val="0"/>
              <w:suppressLineNumbers w:val="0"/>
              <w:spacing w:before="0" w:beforeAutospacing="0" w:after="0" w:afterAutospacing="0" w:line="240" w:lineRule="atLeast"/>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产地</w:t>
            </w:r>
          </w:p>
        </w:tc>
        <w:tc>
          <w:tcPr>
            <w:tcW w:w="1120" w:type="dxa"/>
            <w:noWrap w:val="0"/>
            <w:vAlign w:val="center"/>
          </w:tcPr>
          <w:p w14:paraId="70A305F0">
            <w:pPr>
              <w:pStyle w:val="15"/>
              <w:keepNext w:val="0"/>
              <w:keepLines w:val="0"/>
              <w:suppressLineNumbers w:val="0"/>
              <w:spacing w:before="0" w:beforeAutospacing="0" w:after="0" w:afterAutospacing="0" w:line="240" w:lineRule="atLeast"/>
              <w:ind w:left="0" w:leftChars="0" w:right="0" w:rightChars="0"/>
              <w:jc w:val="center"/>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sz w:val="24"/>
                <w:highlight w:val="none"/>
                <w:lang w:val="en-US" w:eastAsia="zh-CN"/>
              </w:rPr>
              <w:t>优惠率</w:t>
            </w:r>
          </w:p>
        </w:tc>
        <w:tc>
          <w:tcPr>
            <w:tcW w:w="880" w:type="dxa"/>
            <w:noWrap w:val="0"/>
            <w:vAlign w:val="center"/>
          </w:tcPr>
          <w:p w14:paraId="4A668075">
            <w:pPr>
              <w:pStyle w:val="15"/>
              <w:keepNext w:val="0"/>
              <w:keepLines w:val="0"/>
              <w:suppressLineNumbers w:val="0"/>
              <w:spacing w:before="0" w:beforeAutospacing="0" w:after="0" w:afterAutospacing="0" w:line="240" w:lineRule="atLeast"/>
              <w:ind w:left="0" w:leftChars="0" w:right="0" w:rightChars="0"/>
              <w:jc w:val="center"/>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sz w:val="24"/>
                <w:highlight w:val="none"/>
                <w:lang w:val="en-US" w:eastAsia="zh-CN"/>
              </w:rPr>
              <w:t>备注</w:t>
            </w:r>
          </w:p>
        </w:tc>
      </w:tr>
      <w:tr w14:paraId="33CB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44" w:type="dxa"/>
            <w:noWrap w:val="0"/>
            <w:vAlign w:val="center"/>
          </w:tcPr>
          <w:p w14:paraId="3765DF5A">
            <w:pPr>
              <w:pStyle w:val="15"/>
              <w:keepNext w:val="0"/>
              <w:keepLines w:val="0"/>
              <w:suppressLineNumbers w:val="0"/>
              <w:spacing w:before="0" w:beforeAutospacing="0" w:after="0" w:afterAutospacing="0" w:line="240" w:lineRule="atLeast"/>
              <w:ind w:left="269" w:leftChars="128" w:right="0"/>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2314" w:type="dxa"/>
            <w:noWrap w:val="0"/>
            <w:vAlign w:val="center"/>
          </w:tcPr>
          <w:p w14:paraId="6A4E61C5">
            <w:pPr>
              <w:pStyle w:val="15"/>
              <w:keepNext w:val="0"/>
              <w:keepLines w:val="0"/>
              <w:suppressLineNumbers w:val="0"/>
              <w:spacing w:before="0" w:beforeAutospacing="0" w:after="0" w:afterAutospacing="0" w:line="240" w:lineRule="atLeast"/>
              <w:ind w:left="0" w:right="0"/>
              <w:rPr>
                <w:rFonts w:hint="eastAsia" w:ascii="仿宋" w:hAnsi="仿宋" w:eastAsia="仿宋" w:cs="仿宋"/>
                <w:color w:val="auto"/>
                <w:szCs w:val="21"/>
                <w:highlight w:val="none"/>
                <w:lang w:val="en-US" w:eastAsia="zh-CN"/>
              </w:rPr>
            </w:pPr>
          </w:p>
        </w:tc>
        <w:tc>
          <w:tcPr>
            <w:tcW w:w="2954" w:type="dxa"/>
            <w:noWrap w:val="0"/>
            <w:vAlign w:val="center"/>
          </w:tcPr>
          <w:p w14:paraId="0D8D8FCD">
            <w:pPr>
              <w:pStyle w:val="1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43" w:type="dxa"/>
            <w:noWrap w:val="0"/>
            <w:vAlign w:val="center"/>
          </w:tcPr>
          <w:p w14:paraId="29772814">
            <w:pPr>
              <w:pStyle w:val="1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50" w:type="dxa"/>
            <w:noWrap w:val="0"/>
            <w:vAlign w:val="center"/>
          </w:tcPr>
          <w:p w14:paraId="5A212239">
            <w:pPr>
              <w:pStyle w:val="1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120" w:type="dxa"/>
            <w:noWrap w:val="0"/>
            <w:vAlign w:val="center"/>
          </w:tcPr>
          <w:p w14:paraId="39F984E3">
            <w:pPr>
              <w:pStyle w:val="1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880" w:type="dxa"/>
            <w:noWrap w:val="0"/>
            <w:vAlign w:val="center"/>
          </w:tcPr>
          <w:p w14:paraId="384096D6">
            <w:pPr>
              <w:pStyle w:val="1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2F266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44" w:type="dxa"/>
            <w:noWrap w:val="0"/>
            <w:vAlign w:val="center"/>
          </w:tcPr>
          <w:p w14:paraId="24D5E34F">
            <w:pPr>
              <w:pStyle w:val="15"/>
              <w:keepNext w:val="0"/>
              <w:keepLines w:val="0"/>
              <w:suppressLineNumbers w:val="0"/>
              <w:spacing w:before="0" w:beforeAutospacing="0" w:after="0" w:afterAutospacing="0" w:line="240" w:lineRule="atLeast"/>
              <w:ind w:left="269" w:leftChars="128" w:right="0"/>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2314" w:type="dxa"/>
            <w:noWrap w:val="0"/>
            <w:vAlign w:val="center"/>
          </w:tcPr>
          <w:p w14:paraId="1A8C52C9">
            <w:pPr>
              <w:pStyle w:val="15"/>
              <w:keepNext w:val="0"/>
              <w:keepLines w:val="0"/>
              <w:suppressLineNumbers w:val="0"/>
              <w:spacing w:before="0" w:beforeAutospacing="0" w:after="0" w:afterAutospacing="0" w:line="240" w:lineRule="atLeast"/>
              <w:ind w:left="0" w:right="0"/>
              <w:rPr>
                <w:rFonts w:hint="eastAsia" w:ascii="仿宋" w:hAnsi="仿宋" w:eastAsia="仿宋" w:cs="仿宋"/>
                <w:color w:val="auto"/>
                <w:szCs w:val="21"/>
                <w:highlight w:val="none"/>
                <w:lang w:val="en-US" w:eastAsia="zh-CN"/>
              </w:rPr>
            </w:pPr>
          </w:p>
        </w:tc>
        <w:tc>
          <w:tcPr>
            <w:tcW w:w="2954" w:type="dxa"/>
            <w:noWrap w:val="0"/>
            <w:vAlign w:val="center"/>
          </w:tcPr>
          <w:p w14:paraId="7E610BE6">
            <w:pPr>
              <w:pStyle w:val="1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43" w:type="dxa"/>
            <w:noWrap w:val="0"/>
            <w:vAlign w:val="center"/>
          </w:tcPr>
          <w:p w14:paraId="241C5EF4">
            <w:pPr>
              <w:pStyle w:val="1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50" w:type="dxa"/>
            <w:noWrap w:val="0"/>
            <w:vAlign w:val="center"/>
          </w:tcPr>
          <w:p w14:paraId="3C242F70">
            <w:pPr>
              <w:pStyle w:val="1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120" w:type="dxa"/>
            <w:noWrap w:val="0"/>
            <w:vAlign w:val="center"/>
          </w:tcPr>
          <w:p w14:paraId="698602C8">
            <w:pPr>
              <w:pStyle w:val="1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880" w:type="dxa"/>
            <w:noWrap w:val="0"/>
            <w:vAlign w:val="center"/>
          </w:tcPr>
          <w:p w14:paraId="3434105E">
            <w:pPr>
              <w:pStyle w:val="1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0C2F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44" w:type="dxa"/>
            <w:noWrap w:val="0"/>
            <w:vAlign w:val="center"/>
          </w:tcPr>
          <w:p w14:paraId="7510C2B3">
            <w:pPr>
              <w:pStyle w:val="15"/>
              <w:keepNext w:val="0"/>
              <w:keepLines w:val="0"/>
              <w:suppressLineNumbers w:val="0"/>
              <w:spacing w:before="0" w:beforeAutospacing="0" w:after="0" w:afterAutospacing="0" w:line="240" w:lineRule="atLeast"/>
              <w:ind w:left="269" w:leftChars="128" w:right="0"/>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2314" w:type="dxa"/>
            <w:noWrap w:val="0"/>
            <w:vAlign w:val="center"/>
          </w:tcPr>
          <w:p w14:paraId="4C742517">
            <w:pPr>
              <w:pStyle w:val="15"/>
              <w:keepNext w:val="0"/>
              <w:keepLines w:val="0"/>
              <w:suppressLineNumbers w:val="0"/>
              <w:spacing w:before="0" w:beforeAutospacing="0" w:after="0" w:afterAutospacing="0" w:line="240" w:lineRule="atLeast"/>
              <w:ind w:left="0" w:right="0"/>
              <w:rPr>
                <w:rFonts w:hint="eastAsia" w:ascii="仿宋" w:hAnsi="仿宋" w:eastAsia="仿宋" w:cs="仿宋"/>
                <w:color w:val="auto"/>
                <w:szCs w:val="21"/>
                <w:highlight w:val="none"/>
                <w:lang w:val="en-US" w:eastAsia="zh-CN"/>
              </w:rPr>
            </w:pPr>
          </w:p>
        </w:tc>
        <w:tc>
          <w:tcPr>
            <w:tcW w:w="2954" w:type="dxa"/>
            <w:noWrap w:val="0"/>
            <w:vAlign w:val="center"/>
          </w:tcPr>
          <w:p w14:paraId="5F4D6A2E">
            <w:pPr>
              <w:pStyle w:val="15"/>
              <w:keepNext w:val="0"/>
              <w:keepLines w:val="0"/>
              <w:suppressLineNumbers w:val="0"/>
              <w:spacing w:before="0" w:beforeAutospacing="0" w:after="0" w:afterAutospacing="0" w:line="240" w:lineRule="atLeast"/>
              <w:ind w:left="0" w:right="0"/>
              <w:rPr>
                <w:rFonts w:hint="eastAsia" w:ascii="仿宋" w:hAnsi="仿宋" w:eastAsia="仿宋" w:cs="仿宋"/>
                <w:color w:val="auto"/>
                <w:sz w:val="24"/>
                <w:highlight w:val="none"/>
                <w:lang w:val="en-US" w:eastAsia="zh-CN"/>
              </w:rPr>
            </w:pPr>
          </w:p>
        </w:tc>
        <w:tc>
          <w:tcPr>
            <w:tcW w:w="1243" w:type="dxa"/>
            <w:noWrap w:val="0"/>
            <w:vAlign w:val="center"/>
          </w:tcPr>
          <w:p w14:paraId="30E4013E">
            <w:pPr>
              <w:pStyle w:val="15"/>
              <w:keepNext w:val="0"/>
              <w:keepLines w:val="0"/>
              <w:suppressLineNumbers w:val="0"/>
              <w:spacing w:before="0" w:beforeAutospacing="0" w:after="0" w:afterAutospacing="0" w:line="240" w:lineRule="atLeast"/>
              <w:ind w:left="0" w:right="0"/>
              <w:rPr>
                <w:rFonts w:hint="eastAsia" w:ascii="仿宋" w:hAnsi="仿宋" w:eastAsia="仿宋" w:cs="仿宋"/>
                <w:color w:val="auto"/>
                <w:sz w:val="24"/>
                <w:highlight w:val="none"/>
                <w:lang w:val="en-US" w:eastAsia="zh-CN"/>
              </w:rPr>
            </w:pPr>
          </w:p>
        </w:tc>
        <w:tc>
          <w:tcPr>
            <w:tcW w:w="1050" w:type="dxa"/>
            <w:noWrap w:val="0"/>
            <w:vAlign w:val="center"/>
          </w:tcPr>
          <w:p w14:paraId="5B420823">
            <w:pPr>
              <w:pStyle w:val="15"/>
              <w:keepNext w:val="0"/>
              <w:keepLines w:val="0"/>
              <w:suppressLineNumbers w:val="0"/>
              <w:spacing w:before="0" w:beforeAutospacing="0" w:after="0" w:afterAutospacing="0" w:line="240" w:lineRule="atLeast"/>
              <w:ind w:left="0" w:right="0"/>
              <w:rPr>
                <w:rFonts w:hint="eastAsia" w:ascii="仿宋" w:hAnsi="仿宋" w:eastAsia="仿宋" w:cs="仿宋"/>
                <w:color w:val="auto"/>
                <w:sz w:val="24"/>
                <w:highlight w:val="none"/>
                <w:lang w:val="en-US" w:eastAsia="zh-CN"/>
              </w:rPr>
            </w:pPr>
          </w:p>
        </w:tc>
        <w:tc>
          <w:tcPr>
            <w:tcW w:w="1120" w:type="dxa"/>
            <w:noWrap w:val="0"/>
            <w:vAlign w:val="center"/>
          </w:tcPr>
          <w:p w14:paraId="38EACB47">
            <w:pPr>
              <w:pStyle w:val="15"/>
              <w:keepNext w:val="0"/>
              <w:keepLines w:val="0"/>
              <w:suppressLineNumbers w:val="0"/>
              <w:spacing w:before="0" w:beforeAutospacing="0" w:after="0" w:afterAutospacing="0" w:line="240" w:lineRule="atLeast"/>
              <w:ind w:left="0" w:right="0"/>
              <w:rPr>
                <w:rFonts w:hint="eastAsia" w:ascii="仿宋" w:hAnsi="仿宋" w:eastAsia="仿宋" w:cs="仿宋"/>
                <w:color w:val="auto"/>
                <w:sz w:val="24"/>
                <w:highlight w:val="none"/>
                <w:lang w:val="en-US" w:eastAsia="zh-CN"/>
              </w:rPr>
            </w:pPr>
          </w:p>
        </w:tc>
        <w:tc>
          <w:tcPr>
            <w:tcW w:w="880" w:type="dxa"/>
            <w:noWrap w:val="0"/>
            <w:vAlign w:val="center"/>
          </w:tcPr>
          <w:p w14:paraId="7AB18809">
            <w:pPr>
              <w:pStyle w:val="15"/>
              <w:keepNext w:val="0"/>
              <w:keepLines w:val="0"/>
              <w:suppressLineNumbers w:val="0"/>
              <w:spacing w:before="0" w:beforeAutospacing="0" w:after="0" w:afterAutospacing="0" w:line="240" w:lineRule="atLeast"/>
              <w:ind w:left="0" w:right="0"/>
              <w:rPr>
                <w:rFonts w:hint="eastAsia" w:ascii="仿宋" w:hAnsi="仿宋" w:eastAsia="仿宋" w:cs="仿宋"/>
                <w:color w:val="auto"/>
                <w:sz w:val="24"/>
                <w:highlight w:val="none"/>
                <w:lang w:val="en-US" w:eastAsia="zh-CN"/>
              </w:rPr>
            </w:pPr>
          </w:p>
        </w:tc>
      </w:tr>
      <w:tr w14:paraId="6AA7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44" w:type="dxa"/>
            <w:noWrap w:val="0"/>
            <w:vAlign w:val="center"/>
          </w:tcPr>
          <w:p w14:paraId="27DA9C54">
            <w:pPr>
              <w:pStyle w:val="15"/>
              <w:keepNext w:val="0"/>
              <w:keepLines w:val="0"/>
              <w:suppressLineNumbers w:val="0"/>
              <w:spacing w:before="0" w:beforeAutospacing="0" w:after="0" w:afterAutospacing="0" w:line="240" w:lineRule="atLeast"/>
              <w:ind w:left="269" w:leftChars="128" w:right="0"/>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2314" w:type="dxa"/>
            <w:noWrap w:val="0"/>
            <w:vAlign w:val="center"/>
          </w:tcPr>
          <w:p w14:paraId="3F0E979F">
            <w:pPr>
              <w:pStyle w:val="15"/>
              <w:keepNext w:val="0"/>
              <w:keepLines w:val="0"/>
              <w:suppressLineNumbers w:val="0"/>
              <w:spacing w:before="0" w:beforeAutospacing="0" w:after="0" w:afterAutospacing="0" w:line="240" w:lineRule="atLeast"/>
              <w:ind w:left="0" w:right="0"/>
              <w:rPr>
                <w:rFonts w:hint="eastAsia" w:ascii="仿宋" w:hAnsi="仿宋" w:eastAsia="仿宋" w:cs="仿宋"/>
                <w:color w:val="auto"/>
                <w:szCs w:val="21"/>
                <w:highlight w:val="none"/>
                <w:lang w:val="en-US" w:eastAsia="zh-CN"/>
              </w:rPr>
            </w:pPr>
          </w:p>
        </w:tc>
        <w:tc>
          <w:tcPr>
            <w:tcW w:w="2954" w:type="dxa"/>
            <w:noWrap w:val="0"/>
            <w:vAlign w:val="center"/>
          </w:tcPr>
          <w:p w14:paraId="623392CC">
            <w:pPr>
              <w:pStyle w:val="1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43" w:type="dxa"/>
            <w:noWrap w:val="0"/>
            <w:vAlign w:val="center"/>
          </w:tcPr>
          <w:p w14:paraId="2244233E">
            <w:pPr>
              <w:pStyle w:val="1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50" w:type="dxa"/>
            <w:noWrap w:val="0"/>
            <w:vAlign w:val="center"/>
          </w:tcPr>
          <w:p w14:paraId="124CCA72">
            <w:pPr>
              <w:pStyle w:val="1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120" w:type="dxa"/>
            <w:noWrap w:val="0"/>
            <w:vAlign w:val="center"/>
          </w:tcPr>
          <w:p w14:paraId="3E3647C0">
            <w:pPr>
              <w:pStyle w:val="1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880" w:type="dxa"/>
            <w:noWrap w:val="0"/>
            <w:vAlign w:val="center"/>
          </w:tcPr>
          <w:p w14:paraId="3CACD5D4">
            <w:pPr>
              <w:pStyle w:val="1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7FB9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44" w:type="dxa"/>
            <w:noWrap w:val="0"/>
            <w:vAlign w:val="center"/>
          </w:tcPr>
          <w:p w14:paraId="7BB7852B">
            <w:pPr>
              <w:pStyle w:val="15"/>
              <w:keepNext w:val="0"/>
              <w:keepLines w:val="0"/>
              <w:suppressLineNumbers w:val="0"/>
              <w:spacing w:before="0" w:beforeAutospacing="0" w:after="0" w:afterAutospacing="0" w:line="240" w:lineRule="atLeast"/>
              <w:ind w:left="269" w:leftChars="128" w:right="0"/>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2314" w:type="dxa"/>
            <w:noWrap w:val="0"/>
            <w:vAlign w:val="center"/>
          </w:tcPr>
          <w:p w14:paraId="07BD82C1">
            <w:pPr>
              <w:pStyle w:val="15"/>
              <w:keepNext w:val="0"/>
              <w:keepLines w:val="0"/>
              <w:suppressLineNumbers w:val="0"/>
              <w:spacing w:before="0" w:beforeAutospacing="0" w:after="0" w:afterAutospacing="0" w:line="240" w:lineRule="atLeast"/>
              <w:ind w:left="0" w:right="0"/>
              <w:rPr>
                <w:rFonts w:hint="eastAsia" w:ascii="仿宋" w:hAnsi="仿宋" w:eastAsia="仿宋" w:cs="仿宋"/>
                <w:color w:val="auto"/>
                <w:szCs w:val="21"/>
                <w:highlight w:val="none"/>
                <w:lang w:val="en-US" w:eastAsia="zh-CN"/>
              </w:rPr>
            </w:pPr>
          </w:p>
        </w:tc>
        <w:tc>
          <w:tcPr>
            <w:tcW w:w="2954" w:type="dxa"/>
            <w:noWrap w:val="0"/>
            <w:vAlign w:val="center"/>
          </w:tcPr>
          <w:p w14:paraId="73337F90">
            <w:pPr>
              <w:pStyle w:val="1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43" w:type="dxa"/>
            <w:noWrap w:val="0"/>
            <w:vAlign w:val="center"/>
          </w:tcPr>
          <w:p w14:paraId="3DDC5C6E">
            <w:pPr>
              <w:pStyle w:val="1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50" w:type="dxa"/>
            <w:noWrap w:val="0"/>
            <w:vAlign w:val="center"/>
          </w:tcPr>
          <w:p w14:paraId="0BB58846">
            <w:pPr>
              <w:pStyle w:val="1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120" w:type="dxa"/>
            <w:noWrap w:val="0"/>
            <w:vAlign w:val="center"/>
          </w:tcPr>
          <w:p w14:paraId="738BE7F1">
            <w:pPr>
              <w:pStyle w:val="1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880" w:type="dxa"/>
            <w:noWrap w:val="0"/>
            <w:vAlign w:val="center"/>
          </w:tcPr>
          <w:p w14:paraId="4AFAE65F">
            <w:pPr>
              <w:pStyle w:val="1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0DFF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44" w:type="dxa"/>
            <w:noWrap w:val="0"/>
            <w:vAlign w:val="center"/>
          </w:tcPr>
          <w:p w14:paraId="7CC3FA87">
            <w:pPr>
              <w:pStyle w:val="15"/>
              <w:keepNext w:val="0"/>
              <w:keepLines w:val="0"/>
              <w:suppressLineNumbers w:val="0"/>
              <w:spacing w:before="0" w:beforeAutospacing="0" w:after="0" w:afterAutospacing="0" w:line="240" w:lineRule="atLeast"/>
              <w:ind w:left="269" w:leftChars="128" w:right="0"/>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w:t>
            </w:r>
          </w:p>
        </w:tc>
        <w:tc>
          <w:tcPr>
            <w:tcW w:w="2314" w:type="dxa"/>
            <w:noWrap w:val="0"/>
            <w:vAlign w:val="center"/>
          </w:tcPr>
          <w:p w14:paraId="025A8F23">
            <w:pPr>
              <w:pStyle w:val="15"/>
              <w:keepNext w:val="0"/>
              <w:keepLines w:val="0"/>
              <w:suppressLineNumbers w:val="0"/>
              <w:spacing w:before="0" w:beforeAutospacing="0" w:after="0" w:afterAutospacing="0" w:line="240" w:lineRule="atLeast"/>
              <w:ind w:left="0" w:right="0"/>
              <w:rPr>
                <w:rFonts w:hint="eastAsia" w:ascii="仿宋" w:hAnsi="仿宋" w:eastAsia="仿宋" w:cs="仿宋"/>
                <w:color w:val="auto"/>
                <w:szCs w:val="21"/>
                <w:highlight w:val="none"/>
                <w:lang w:val="en-US" w:eastAsia="zh-CN"/>
              </w:rPr>
            </w:pPr>
          </w:p>
        </w:tc>
        <w:tc>
          <w:tcPr>
            <w:tcW w:w="2954" w:type="dxa"/>
            <w:noWrap w:val="0"/>
            <w:vAlign w:val="center"/>
          </w:tcPr>
          <w:p w14:paraId="71032A4A">
            <w:pPr>
              <w:pStyle w:val="1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43" w:type="dxa"/>
            <w:noWrap w:val="0"/>
            <w:vAlign w:val="center"/>
          </w:tcPr>
          <w:p w14:paraId="31DAE29F">
            <w:pPr>
              <w:pStyle w:val="1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50" w:type="dxa"/>
            <w:noWrap w:val="0"/>
            <w:vAlign w:val="center"/>
          </w:tcPr>
          <w:p w14:paraId="090D16BB">
            <w:pPr>
              <w:pStyle w:val="1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120" w:type="dxa"/>
            <w:noWrap w:val="0"/>
            <w:vAlign w:val="center"/>
          </w:tcPr>
          <w:p w14:paraId="663F4DD0">
            <w:pPr>
              <w:pStyle w:val="1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880" w:type="dxa"/>
            <w:noWrap w:val="0"/>
            <w:vAlign w:val="center"/>
          </w:tcPr>
          <w:p w14:paraId="450F4D3A">
            <w:pPr>
              <w:pStyle w:val="1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bl>
    <w:p w14:paraId="7B23BF7F">
      <w:pPr>
        <w:pStyle w:val="15"/>
        <w:spacing w:line="240" w:lineRule="atLeast"/>
        <w:rPr>
          <w:rFonts w:hint="eastAsia" w:ascii="仿宋" w:hAnsi="仿宋" w:eastAsia="仿宋" w:cs="仿宋"/>
          <w:color w:val="auto"/>
          <w:sz w:val="24"/>
          <w:highlight w:val="none"/>
        </w:rPr>
      </w:pPr>
    </w:p>
    <w:p w14:paraId="49DBCF48">
      <w:pPr>
        <w:pStyle w:val="15"/>
        <w:spacing w:line="240" w:lineRule="atLeast"/>
        <w:ind w:left="1080" w:leftChars="257" w:hanging="540"/>
        <w:rPr>
          <w:rFonts w:hint="eastAsia" w:ascii="仿宋" w:hAnsi="仿宋" w:eastAsia="仿宋" w:cs="仿宋"/>
          <w:color w:val="auto"/>
          <w:sz w:val="24"/>
          <w:highlight w:val="none"/>
        </w:rPr>
      </w:pPr>
    </w:p>
    <w:p w14:paraId="03811F07">
      <w:pPr>
        <w:pStyle w:val="15"/>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485E6448">
      <w:pPr>
        <w:pStyle w:val="15"/>
        <w:tabs>
          <w:tab w:val="left" w:pos="5370"/>
        </w:tabs>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30D95273">
      <w:pPr>
        <w:pStyle w:val="15"/>
        <w:tabs>
          <w:tab w:val="left" w:pos="5370"/>
        </w:tabs>
        <w:spacing w:line="240" w:lineRule="atLeast"/>
        <w:ind w:left="1080" w:leftChars="257" w:hanging="540"/>
        <w:rPr>
          <w:rFonts w:hint="eastAsia" w:ascii="仿宋" w:hAnsi="仿宋" w:eastAsia="仿宋" w:cs="仿宋"/>
          <w:color w:val="auto"/>
          <w:sz w:val="24"/>
          <w:highlight w:val="none"/>
          <w:u w:val="single"/>
        </w:rPr>
      </w:pPr>
    </w:p>
    <w:p w14:paraId="6D9BC2BE">
      <w:pPr>
        <w:pStyle w:val="15"/>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注:1.如果投标人认为需要，每种服务需求填写一份该表。</w:t>
      </w:r>
    </w:p>
    <w:p w14:paraId="2F04ABD4">
      <w:pPr>
        <w:pStyle w:val="15"/>
        <w:spacing w:line="240" w:lineRule="atLeast"/>
        <w:ind w:left="1079" w:leftChars="428" w:hanging="180" w:hanging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2.如果按单价计算的结果与总价不一致,以单价为准修正总价。</w:t>
      </w:r>
    </w:p>
    <w:p w14:paraId="0802197F">
      <w:pPr>
        <w:pStyle w:val="15"/>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3.如果不提供详细分项报价将视为没有实质性响应招标文件。</w:t>
      </w:r>
    </w:p>
    <w:p w14:paraId="5260E21B">
      <w:pPr>
        <w:pStyle w:val="15"/>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4.上述各项的详细分项报价，应另页描述。</w:t>
      </w:r>
    </w:p>
    <w:p w14:paraId="2D719048">
      <w:pPr>
        <w:pStyle w:val="15"/>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5.如果开标一览表（报价表）内容与投标文件中明细表内容不一致的，以开标一览表（报价表）内容为准。</w:t>
      </w:r>
    </w:p>
    <w:p w14:paraId="799CEA8A">
      <w:pPr>
        <w:pStyle w:val="15"/>
        <w:spacing w:line="240" w:lineRule="atLeast"/>
        <w:rPr>
          <w:rFonts w:hint="eastAsia" w:ascii="仿宋" w:hAnsi="仿宋" w:eastAsia="仿宋" w:cs="仿宋"/>
          <w:color w:val="auto"/>
          <w:sz w:val="24"/>
          <w:highlight w:val="none"/>
        </w:rPr>
      </w:pPr>
      <w:bookmarkStart w:id="982" w:name="_Toc216582816"/>
      <w:bookmarkStart w:id="983" w:name="_Toc677"/>
      <w:bookmarkStart w:id="984" w:name="_Toc7802"/>
      <w:bookmarkStart w:id="985" w:name="_Toc515647819"/>
      <w:bookmarkStart w:id="986" w:name="_Toc17010"/>
      <w:bookmarkStart w:id="987" w:name="_Toc14037"/>
      <w:bookmarkStart w:id="988" w:name="_Toc10321"/>
      <w:bookmarkStart w:id="989" w:name="_Toc2036"/>
      <w:bookmarkStart w:id="990" w:name="_Toc14475"/>
      <w:bookmarkStart w:id="991" w:name="_Toc18267"/>
      <w:bookmarkStart w:id="992" w:name="_Toc15225"/>
      <w:r>
        <w:rPr>
          <w:rFonts w:hint="eastAsia" w:ascii="仿宋" w:hAnsi="仿宋" w:eastAsia="仿宋" w:cs="仿宋"/>
          <w:color w:val="auto"/>
          <w:sz w:val="24"/>
          <w:highlight w:val="none"/>
        </w:rPr>
        <w:br w:type="page"/>
      </w:r>
    </w:p>
    <w:p w14:paraId="45B54BDB">
      <w:pPr>
        <w:pStyle w:val="7"/>
        <w:spacing w:before="0" w:line="240" w:lineRule="atLeast"/>
        <w:ind w:left="1080" w:leftChars="257" w:hanging="540"/>
        <w:rPr>
          <w:rFonts w:hint="eastAsia" w:ascii="仿宋" w:hAnsi="仿宋" w:eastAsia="仿宋" w:cs="仿宋"/>
          <w:color w:val="auto"/>
          <w:sz w:val="28"/>
          <w:szCs w:val="36"/>
          <w:highlight w:val="none"/>
        </w:rPr>
      </w:pPr>
      <w:r>
        <w:rPr>
          <w:rFonts w:hint="eastAsia" w:ascii="仿宋" w:hAnsi="仿宋" w:eastAsia="仿宋" w:cs="仿宋"/>
          <w:color w:val="auto"/>
          <w:sz w:val="28"/>
          <w:szCs w:val="36"/>
          <w:highlight w:val="none"/>
        </w:rPr>
        <w:t xml:space="preserve">4   </w:t>
      </w:r>
      <w:r>
        <w:rPr>
          <w:rFonts w:hint="eastAsia" w:ascii="仿宋" w:hAnsi="仿宋" w:eastAsia="仿宋" w:cs="仿宋"/>
          <w:color w:val="auto"/>
          <w:sz w:val="28"/>
          <w:szCs w:val="36"/>
          <w:highlight w:val="none"/>
          <w:lang w:val="en-US" w:eastAsia="zh-CN"/>
        </w:rPr>
        <w:t>货物</w:t>
      </w:r>
      <w:r>
        <w:rPr>
          <w:rFonts w:hint="eastAsia" w:ascii="仿宋" w:hAnsi="仿宋" w:eastAsia="仿宋" w:cs="仿宋"/>
          <w:color w:val="auto"/>
          <w:sz w:val="28"/>
          <w:szCs w:val="36"/>
          <w:highlight w:val="none"/>
        </w:rPr>
        <w:t>说明一览表</w:t>
      </w:r>
      <w:bookmarkEnd w:id="982"/>
      <w:r>
        <w:rPr>
          <w:rFonts w:hint="eastAsia" w:ascii="仿宋" w:hAnsi="仿宋" w:eastAsia="仿宋" w:cs="仿宋"/>
          <w:color w:val="auto"/>
          <w:sz w:val="28"/>
          <w:szCs w:val="36"/>
          <w:highlight w:val="none"/>
        </w:rPr>
        <w:t>（投标文件格式八）</w:t>
      </w:r>
      <w:bookmarkEnd w:id="983"/>
      <w:bookmarkEnd w:id="984"/>
      <w:bookmarkEnd w:id="985"/>
      <w:bookmarkEnd w:id="986"/>
      <w:bookmarkEnd w:id="987"/>
      <w:bookmarkEnd w:id="988"/>
      <w:bookmarkEnd w:id="989"/>
      <w:bookmarkEnd w:id="990"/>
      <w:bookmarkEnd w:id="991"/>
      <w:bookmarkEnd w:id="992"/>
    </w:p>
    <w:p w14:paraId="1EB01091">
      <w:pPr>
        <w:pStyle w:val="15"/>
        <w:spacing w:line="240" w:lineRule="atLeast"/>
        <w:ind w:left="1080" w:leftChars="257" w:hanging="540"/>
        <w:rPr>
          <w:rFonts w:hint="eastAsia" w:ascii="仿宋" w:hAnsi="仿宋" w:eastAsia="仿宋" w:cs="仿宋"/>
          <w:color w:val="auto"/>
          <w:sz w:val="24"/>
          <w:highlight w:val="none"/>
        </w:rPr>
      </w:pPr>
    </w:p>
    <w:p w14:paraId="271646D4">
      <w:pPr>
        <w:pStyle w:val="15"/>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项目编号:                                          </w:t>
      </w:r>
    </w:p>
    <w:p w14:paraId="2FA7999A">
      <w:pPr>
        <w:pStyle w:val="15"/>
        <w:spacing w:line="240" w:lineRule="atLeast"/>
        <w:ind w:left="1080" w:leftChars="257" w:hanging="540"/>
        <w:rPr>
          <w:rFonts w:hint="eastAsia" w:ascii="仿宋" w:hAnsi="仿宋" w:eastAsia="仿宋" w:cs="仿宋"/>
          <w:color w:val="auto"/>
          <w:sz w:val="24"/>
          <w:highlight w:val="none"/>
        </w:rPr>
      </w:pPr>
    </w:p>
    <w:tbl>
      <w:tblPr>
        <w:tblStyle w:val="25"/>
        <w:tblW w:w="9394" w:type="dxa"/>
        <w:tblInd w:w="5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076"/>
        <w:gridCol w:w="3154"/>
        <w:gridCol w:w="1558"/>
        <w:gridCol w:w="1291"/>
        <w:gridCol w:w="1325"/>
      </w:tblGrid>
      <w:tr w14:paraId="2149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90" w:type="dxa"/>
            <w:noWrap w:val="0"/>
            <w:vAlign w:val="center"/>
          </w:tcPr>
          <w:p w14:paraId="3F44613C">
            <w:pPr>
              <w:pStyle w:val="15"/>
              <w:keepNext w:val="0"/>
              <w:keepLines w:val="0"/>
              <w:suppressLineNumbers w:val="0"/>
              <w:spacing w:before="0" w:beforeAutospacing="0" w:after="0" w:afterAutospacing="0" w:line="240" w:lineRule="atLeast"/>
              <w:ind w:left="0" w:right="0" w:firstLine="240" w:firstLineChars="10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1076" w:type="dxa"/>
            <w:noWrap w:val="0"/>
            <w:vAlign w:val="center"/>
          </w:tcPr>
          <w:p w14:paraId="6ECA6025">
            <w:pPr>
              <w:pStyle w:val="15"/>
              <w:keepNext w:val="0"/>
              <w:keepLines w:val="0"/>
              <w:suppressLineNumbers w:val="0"/>
              <w:spacing w:before="0" w:beforeAutospacing="0" w:after="0" w:afterAutospacing="0" w:line="240" w:lineRule="atLeast"/>
              <w:ind w:left="0" w:right="0" w:firstLine="240" w:firstLineChars="10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w:t>
            </w:r>
          </w:p>
        </w:tc>
        <w:tc>
          <w:tcPr>
            <w:tcW w:w="3154" w:type="dxa"/>
            <w:noWrap w:val="0"/>
            <w:vAlign w:val="center"/>
          </w:tcPr>
          <w:p w14:paraId="0B0275CF">
            <w:pPr>
              <w:pStyle w:val="15"/>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规格/参数</w:t>
            </w:r>
          </w:p>
        </w:tc>
        <w:tc>
          <w:tcPr>
            <w:tcW w:w="1558" w:type="dxa"/>
            <w:noWrap w:val="0"/>
            <w:vAlign w:val="center"/>
          </w:tcPr>
          <w:p w14:paraId="255E9BF2">
            <w:pPr>
              <w:pStyle w:val="15"/>
              <w:keepNext w:val="0"/>
              <w:keepLines w:val="0"/>
              <w:suppressLineNumbers w:val="0"/>
              <w:spacing w:before="0" w:beforeAutospacing="0" w:after="0" w:afterAutospacing="0" w:line="240" w:lineRule="atLeast"/>
              <w:ind w:left="0" w:right="0" w:firstLine="240" w:firstLineChars="10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数量</w:t>
            </w:r>
          </w:p>
        </w:tc>
        <w:tc>
          <w:tcPr>
            <w:tcW w:w="1291" w:type="dxa"/>
            <w:noWrap w:val="0"/>
            <w:vAlign w:val="center"/>
          </w:tcPr>
          <w:p w14:paraId="0F233831">
            <w:pPr>
              <w:pStyle w:val="15"/>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交货期</w:t>
            </w:r>
          </w:p>
        </w:tc>
        <w:tc>
          <w:tcPr>
            <w:tcW w:w="1325" w:type="dxa"/>
            <w:noWrap w:val="0"/>
            <w:vAlign w:val="center"/>
          </w:tcPr>
          <w:p w14:paraId="37810703">
            <w:pPr>
              <w:pStyle w:val="15"/>
              <w:keepNext w:val="0"/>
              <w:keepLines w:val="0"/>
              <w:suppressLineNumbers w:val="0"/>
              <w:spacing w:before="0" w:beforeAutospacing="0" w:after="0" w:afterAutospacing="0" w:line="240" w:lineRule="atLeast"/>
              <w:ind w:left="0" w:right="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交货地点</w:t>
            </w:r>
          </w:p>
        </w:tc>
      </w:tr>
      <w:tr w14:paraId="7D1A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90" w:type="dxa"/>
            <w:noWrap w:val="0"/>
            <w:vAlign w:val="top"/>
          </w:tcPr>
          <w:p w14:paraId="02463216">
            <w:pPr>
              <w:pStyle w:val="1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76" w:type="dxa"/>
            <w:noWrap w:val="0"/>
            <w:vAlign w:val="top"/>
          </w:tcPr>
          <w:p w14:paraId="08123E14">
            <w:pPr>
              <w:pStyle w:val="1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3154" w:type="dxa"/>
            <w:noWrap w:val="0"/>
            <w:vAlign w:val="top"/>
          </w:tcPr>
          <w:p w14:paraId="570102D7">
            <w:pPr>
              <w:pStyle w:val="1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8" w:type="dxa"/>
            <w:noWrap w:val="0"/>
            <w:vAlign w:val="top"/>
          </w:tcPr>
          <w:p w14:paraId="7E557C66">
            <w:pPr>
              <w:pStyle w:val="1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1" w:type="dxa"/>
            <w:noWrap w:val="0"/>
            <w:vAlign w:val="top"/>
          </w:tcPr>
          <w:p w14:paraId="08AB16CA">
            <w:pPr>
              <w:pStyle w:val="1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25" w:type="dxa"/>
            <w:noWrap w:val="0"/>
            <w:vAlign w:val="top"/>
          </w:tcPr>
          <w:p w14:paraId="784D3DB4">
            <w:pPr>
              <w:pStyle w:val="1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7786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90" w:type="dxa"/>
            <w:noWrap w:val="0"/>
            <w:vAlign w:val="top"/>
          </w:tcPr>
          <w:p w14:paraId="15E0EA99">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076" w:type="dxa"/>
            <w:noWrap w:val="0"/>
            <w:vAlign w:val="top"/>
          </w:tcPr>
          <w:p w14:paraId="255C3948">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3154" w:type="dxa"/>
            <w:noWrap w:val="0"/>
            <w:vAlign w:val="top"/>
          </w:tcPr>
          <w:p w14:paraId="349197F9">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558" w:type="dxa"/>
            <w:noWrap w:val="0"/>
            <w:vAlign w:val="top"/>
          </w:tcPr>
          <w:p w14:paraId="7F18C500">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91" w:type="dxa"/>
            <w:noWrap w:val="0"/>
            <w:vAlign w:val="top"/>
          </w:tcPr>
          <w:p w14:paraId="76696D11">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325" w:type="dxa"/>
            <w:noWrap w:val="0"/>
            <w:vAlign w:val="top"/>
          </w:tcPr>
          <w:p w14:paraId="6E6CAFE9">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63F2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90" w:type="dxa"/>
            <w:noWrap w:val="0"/>
            <w:vAlign w:val="top"/>
          </w:tcPr>
          <w:p w14:paraId="23EAA820">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076" w:type="dxa"/>
            <w:noWrap w:val="0"/>
            <w:vAlign w:val="top"/>
          </w:tcPr>
          <w:p w14:paraId="7B2578C3">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3154" w:type="dxa"/>
            <w:noWrap w:val="0"/>
            <w:vAlign w:val="top"/>
          </w:tcPr>
          <w:p w14:paraId="6777B455">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558" w:type="dxa"/>
            <w:noWrap w:val="0"/>
            <w:vAlign w:val="top"/>
          </w:tcPr>
          <w:p w14:paraId="67614E62">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91" w:type="dxa"/>
            <w:noWrap w:val="0"/>
            <w:vAlign w:val="top"/>
          </w:tcPr>
          <w:p w14:paraId="2E0DF4A9">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325" w:type="dxa"/>
            <w:noWrap w:val="0"/>
            <w:vAlign w:val="top"/>
          </w:tcPr>
          <w:p w14:paraId="0CF74B36">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5155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90" w:type="dxa"/>
            <w:noWrap w:val="0"/>
            <w:vAlign w:val="top"/>
          </w:tcPr>
          <w:p w14:paraId="257BC2A2">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076" w:type="dxa"/>
            <w:noWrap w:val="0"/>
            <w:vAlign w:val="top"/>
          </w:tcPr>
          <w:p w14:paraId="097D9D8E">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3154" w:type="dxa"/>
            <w:noWrap w:val="0"/>
            <w:vAlign w:val="top"/>
          </w:tcPr>
          <w:p w14:paraId="442377F4">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558" w:type="dxa"/>
            <w:noWrap w:val="0"/>
            <w:vAlign w:val="top"/>
          </w:tcPr>
          <w:p w14:paraId="09080950">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91" w:type="dxa"/>
            <w:noWrap w:val="0"/>
            <w:vAlign w:val="top"/>
          </w:tcPr>
          <w:p w14:paraId="711010D2">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325" w:type="dxa"/>
            <w:noWrap w:val="0"/>
            <w:vAlign w:val="top"/>
          </w:tcPr>
          <w:p w14:paraId="44847263">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1C93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90" w:type="dxa"/>
            <w:noWrap w:val="0"/>
            <w:vAlign w:val="top"/>
          </w:tcPr>
          <w:p w14:paraId="7BA133D8">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076" w:type="dxa"/>
            <w:noWrap w:val="0"/>
            <w:vAlign w:val="top"/>
          </w:tcPr>
          <w:p w14:paraId="2EEB1889">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3154" w:type="dxa"/>
            <w:noWrap w:val="0"/>
            <w:vAlign w:val="top"/>
          </w:tcPr>
          <w:p w14:paraId="7F599292">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558" w:type="dxa"/>
            <w:noWrap w:val="0"/>
            <w:vAlign w:val="top"/>
          </w:tcPr>
          <w:p w14:paraId="2094B783">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91" w:type="dxa"/>
            <w:noWrap w:val="0"/>
            <w:vAlign w:val="top"/>
          </w:tcPr>
          <w:p w14:paraId="1EA24B09">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325" w:type="dxa"/>
            <w:noWrap w:val="0"/>
            <w:vAlign w:val="top"/>
          </w:tcPr>
          <w:p w14:paraId="7E6ED288">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2CA2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90" w:type="dxa"/>
            <w:noWrap w:val="0"/>
            <w:vAlign w:val="top"/>
          </w:tcPr>
          <w:p w14:paraId="19EA931C">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076" w:type="dxa"/>
            <w:noWrap w:val="0"/>
            <w:vAlign w:val="top"/>
          </w:tcPr>
          <w:p w14:paraId="5E8BA557">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3154" w:type="dxa"/>
            <w:noWrap w:val="0"/>
            <w:vAlign w:val="top"/>
          </w:tcPr>
          <w:p w14:paraId="66A6B9EC">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558" w:type="dxa"/>
            <w:noWrap w:val="0"/>
            <w:vAlign w:val="top"/>
          </w:tcPr>
          <w:p w14:paraId="1832B41D">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91" w:type="dxa"/>
            <w:noWrap w:val="0"/>
            <w:vAlign w:val="top"/>
          </w:tcPr>
          <w:p w14:paraId="427868FF">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325" w:type="dxa"/>
            <w:noWrap w:val="0"/>
            <w:vAlign w:val="top"/>
          </w:tcPr>
          <w:p w14:paraId="7BD37167">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6FA98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90" w:type="dxa"/>
            <w:noWrap w:val="0"/>
            <w:vAlign w:val="top"/>
          </w:tcPr>
          <w:p w14:paraId="23555413">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076" w:type="dxa"/>
            <w:noWrap w:val="0"/>
            <w:vAlign w:val="top"/>
          </w:tcPr>
          <w:p w14:paraId="229AE3E4">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3154" w:type="dxa"/>
            <w:noWrap w:val="0"/>
            <w:vAlign w:val="top"/>
          </w:tcPr>
          <w:p w14:paraId="6D227418">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558" w:type="dxa"/>
            <w:noWrap w:val="0"/>
            <w:vAlign w:val="top"/>
          </w:tcPr>
          <w:p w14:paraId="1D6E6F3C">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91" w:type="dxa"/>
            <w:noWrap w:val="0"/>
            <w:vAlign w:val="top"/>
          </w:tcPr>
          <w:p w14:paraId="57BBC438">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325" w:type="dxa"/>
            <w:noWrap w:val="0"/>
            <w:vAlign w:val="top"/>
          </w:tcPr>
          <w:p w14:paraId="0E62A52C">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CBE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90" w:type="dxa"/>
            <w:noWrap w:val="0"/>
            <w:vAlign w:val="top"/>
          </w:tcPr>
          <w:p w14:paraId="5F4649AE">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076" w:type="dxa"/>
            <w:noWrap w:val="0"/>
            <w:vAlign w:val="top"/>
          </w:tcPr>
          <w:p w14:paraId="4DECC77E">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3154" w:type="dxa"/>
            <w:noWrap w:val="0"/>
            <w:vAlign w:val="top"/>
          </w:tcPr>
          <w:p w14:paraId="0D49B6FC">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558" w:type="dxa"/>
            <w:noWrap w:val="0"/>
            <w:vAlign w:val="top"/>
          </w:tcPr>
          <w:p w14:paraId="0875CAC3">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91" w:type="dxa"/>
            <w:noWrap w:val="0"/>
            <w:vAlign w:val="top"/>
          </w:tcPr>
          <w:p w14:paraId="710A34AA">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325" w:type="dxa"/>
            <w:noWrap w:val="0"/>
            <w:vAlign w:val="top"/>
          </w:tcPr>
          <w:p w14:paraId="53389041">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bl>
    <w:p w14:paraId="03B59557">
      <w:pPr>
        <w:pStyle w:val="15"/>
        <w:spacing w:line="240" w:lineRule="atLeast"/>
        <w:ind w:left="1080" w:leftChars="257" w:hanging="540"/>
        <w:rPr>
          <w:rFonts w:hint="eastAsia" w:ascii="仿宋" w:hAnsi="仿宋" w:eastAsia="仿宋" w:cs="仿宋"/>
          <w:color w:val="auto"/>
          <w:sz w:val="24"/>
          <w:highlight w:val="none"/>
        </w:rPr>
      </w:pPr>
    </w:p>
    <w:p w14:paraId="756479B8">
      <w:pPr>
        <w:pStyle w:val="15"/>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58A92147">
      <w:pPr>
        <w:pStyle w:val="15"/>
        <w:tabs>
          <w:tab w:val="left" w:pos="5370"/>
        </w:tabs>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6EDB8B16">
      <w:pPr>
        <w:pStyle w:val="15"/>
        <w:spacing w:line="240" w:lineRule="atLeast"/>
        <w:ind w:left="1080" w:leftChars="257" w:hanging="540"/>
        <w:rPr>
          <w:rFonts w:hint="eastAsia" w:ascii="仿宋" w:hAnsi="仿宋" w:eastAsia="仿宋" w:cs="仿宋"/>
          <w:color w:val="auto"/>
          <w:sz w:val="24"/>
          <w:highlight w:val="none"/>
        </w:rPr>
      </w:pPr>
    </w:p>
    <w:p w14:paraId="38225DFA">
      <w:pPr>
        <w:pStyle w:val="15"/>
        <w:spacing w:line="240" w:lineRule="atLeast"/>
        <w:ind w:left="1080" w:leftChars="257" w:hanging="540"/>
        <w:jc w:val="center"/>
        <w:rPr>
          <w:rFonts w:hint="eastAsia" w:ascii="仿宋" w:hAnsi="仿宋" w:eastAsia="仿宋" w:cs="仿宋"/>
          <w:color w:val="auto"/>
          <w:sz w:val="24"/>
          <w:highlight w:val="none"/>
        </w:rPr>
      </w:pPr>
    </w:p>
    <w:p w14:paraId="21E9BA88">
      <w:pPr>
        <w:pStyle w:val="15"/>
        <w:spacing w:line="240" w:lineRule="atLeast"/>
        <w:ind w:left="1080" w:leftChars="257" w:hanging="540"/>
        <w:jc w:val="center"/>
        <w:rPr>
          <w:rFonts w:hint="eastAsia" w:ascii="仿宋" w:hAnsi="仿宋" w:eastAsia="仿宋" w:cs="仿宋"/>
          <w:color w:val="auto"/>
          <w:sz w:val="24"/>
          <w:highlight w:val="none"/>
        </w:rPr>
        <w:sectPr>
          <w:pgSz w:w="11905" w:h="16838"/>
          <w:pgMar w:top="1440" w:right="1083" w:bottom="1440" w:left="1083" w:header="851" w:footer="850" w:gutter="0"/>
          <w:pgNumType w:fmt="decimal"/>
          <w:cols w:space="0" w:num="1"/>
          <w:rtlGutter w:val="0"/>
          <w:docGrid w:linePitch="312" w:charSpace="0"/>
        </w:sectPr>
      </w:pPr>
    </w:p>
    <w:bookmarkEnd w:id="978"/>
    <w:bookmarkEnd w:id="979"/>
    <w:bookmarkEnd w:id="980"/>
    <w:bookmarkEnd w:id="981"/>
    <w:p w14:paraId="2A5D9392">
      <w:pPr>
        <w:pStyle w:val="15"/>
        <w:tabs>
          <w:tab w:val="left" w:pos="5580"/>
        </w:tabs>
        <w:spacing w:line="240" w:lineRule="atLeast"/>
        <w:ind w:left="1080" w:leftChars="257" w:hanging="540"/>
        <w:rPr>
          <w:rFonts w:hint="eastAsia" w:ascii="仿宋" w:hAnsi="仿宋" w:eastAsia="仿宋" w:cs="仿宋"/>
          <w:color w:val="auto"/>
          <w:sz w:val="24"/>
          <w:highlight w:val="none"/>
        </w:rPr>
      </w:pPr>
    </w:p>
    <w:p w14:paraId="79A2A2C5">
      <w:pPr>
        <w:pStyle w:val="7"/>
        <w:spacing w:before="0" w:line="240" w:lineRule="atLeast"/>
        <w:ind w:left="1080" w:leftChars="257" w:hanging="540"/>
        <w:rPr>
          <w:rFonts w:hint="eastAsia" w:ascii="仿宋" w:hAnsi="仿宋" w:eastAsia="仿宋" w:cs="仿宋"/>
          <w:color w:val="auto"/>
          <w:sz w:val="24"/>
          <w:highlight w:val="none"/>
        </w:rPr>
      </w:pPr>
      <w:bookmarkStart w:id="993" w:name="_Toc21312"/>
      <w:bookmarkStart w:id="994" w:name="_Toc10725"/>
      <w:bookmarkStart w:id="995" w:name="_Toc515647823"/>
      <w:bookmarkStart w:id="996" w:name="_Toc28099"/>
      <w:bookmarkStart w:id="997" w:name="_Toc515647827"/>
      <w:bookmarkStart w:id="998" w:name="_Toc30795"/>
      <w:r>
        <w:rPr>
          <w:rFonts w:hint="eastAsia" w:ascii="仿宋" w:hAnsi="仿宋" w:eastAsia="仿宋" w:cs="仿宋"/>
          <w:color w:val="auto"/>
          <w:highlight w:val="none"/>
        </w:rPr>
        <w:t xml:space="preserve">   </w:t>
      </w:r>
      <w:r>
        <w:rPr>
          <w:rFonts w:hint="eastAsia" w:ascii="仿宋" w:hAnsi="仿宋" w:eastAsia="仿宋" w:cs="仿宋"/>
          <w:color w:val="auto"/>
          <w:sz w:val="28"/>
          <w:szCs w:val="28"/>
          <w:highlight w:val="none"/>
        </w:rPr>
        <w:t xml:space="preserve"> </w:t>
      </w:r>
      <w:bookmarkStart w:id="999" w:name="_Toc14469"/>
      <w:bookmarkStart w:id="1000" w:name="_Toc6144"/>
      <w:bookmarkStart w:id="1001" w:name="_Toc15877"/>
      <w:bookmarkStart w:id="1002" w:name="_Toc45641500"/>
      <w:bookmarkStart w:id="1003" w:name="_Toc21276"/>
      <w:bookmarkStart w:id="1004" w:name="_Toc9938"/>
      <w:bookmarkStart w:id="1005" w:name="_Toc5717"/>
      <w:bookmarkStart w:id="1006" w:name="_Toc10043"/>
      <w:bookmarkStart w:id="1007" w:name="_Toc16307"/>
      <w:bookmarkStart w:id="1008" w:name="_Toc11240"/>
      <w:r>
        <w:rPr>
          <w:rFonts w:hint="eastAsia" w:ascii="仿宋" w:hAnsi="仿宋" w:eastAsia="仿宋" w:cs="仿宋"/>
          <w:color w:val="auto"/>
          <w:sz w:val="28"/>
          <w:szCs w:val="28"/>
          <w:highlight w:val="none"/>
        </w:rPr>
        <w:t>5   技术规格偏离表（投标文件格式九）</w:t>
      </w:r>
      <w:bookmarkEnd w:id="999"/>
      <w:bookmarkEnd w:id="1000"/>
      <w:bookmarkEnd w:id="1001"/>
      <w:bookmarkEnd w:id="1002"/>
      <w:bookmarkEnd w:id="1003"/>
      <w:bookmarkEnd w:id="1004"/>
      <w:bookmarkEnd w:id="1005"/>
      <w:bookmarkEnd w:id="1006"/>
      <w:bookmarkEnd w:id="1007"/>
      <w:bookmarkEnd w:id="1008"/>
    </w:p>
    <w:p w14:paraId="4D3CD27E">
      <w:pPr>
        <w:pStyle w:val="15"/>
        <w:spacing w:line="240" w:lineRule="atLeast"/>
        <w:ind w:left="1080" w:leftChars="257" w:hanging="540"/>
        <w:rPr>
          <w:rFonts w:hint="eastAsia" w:ascii="仿宋" w:hAnsi="仿宋" w:eastAsia="仿宋" w:cs="仿宋"/>
          <w:color w:val="auto"/>
          <w:sz w:val="24"/>
          <w:highlight w:val="none"/>
        </w:rPr>
      </w:pPr>
    </w:p>
    <w:p w14:paraId="6CDA28A1">
      <w:pPr>
        <w:pStyle w:val="15"/>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招标编号:                </w:t>
      </w:r>
    </w:p>
    <w:p w14:paraId="67E663D6">
      <w:pPr>
        <w:pStyle w:val="15"/>
        <w:spacing w:line="240" w:lineRule="atLeast"/>
        <w:ind w:left="1080" w:leftChars="257" w:hanging="540"/>
        <w:rPr>
          <w:rFonts w:hint="eastAsia" w:ascii="仿宋" w:hAnsi="仿宋" w:eastAsia="仿宋" w:cs="仿宋"/>
          <w:color w:val="auto"/>
          <w:sz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3807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5E133F5C">
            <w:pPr>
              <w:pStyle w:val="15"/>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1260" w:type="dxa"/>
            <w:noWrap w:val="0"/>
            <w:vAlign w:val="center"/>
          </w:tcPr>
          <w:p w14:paraId="71FDE84D">
            <w:pPr>
              <w:pStyle w:val="15"/>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w:t>
            </w:r>
          </w:p>
        </w:tc>
        <w:tc>
          <w:tcPr>
            <w:tcW w:w="2340" w:type="dxa"/>
            <w:noWrap w:val="0"/>
            <w:vAlign w:val="center"/>
          </w:tcPr>
          <w:p w14:paraId="39709F72">
            <w:pPr>
              <w:pStyle w:val="15"/>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招标文件条款号</w:t>
            </w:r>
          </w:p>
        </w:tc>
        <w:tc>
          <w:tcPr>
            <w:tcW w:w="1260" w:type="dxa"/>
            <w:noWrap w:val="0"/>
            <w:vAlign w:val="center"/>
          </w:tcPr>
          <w:p w14:paraId="1DD64E7D">
            <w:pPr>
              <w:pStyle w:val="15"/>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招标规格</w:t>
            </w:r>
          </w:p>
        </w:tc>
        <w:tc>
          <w:tcPr>
            <w:tcW w:w="1260" w:type="dxa"/>
            <w:noWrap w:val="0"/>
            <w:vAlign w:val="center"/>
          </w:tcPr>
          <w:p w14:paraId="0F851F91">
            <w:pPr>
              <w:pStyle w:val="15"/>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投标规格</w:t>
            </w:r>
          </w:p>
        </w:tc>
        <w:tc>
          <w:tcPr>
            <w:tcW w:w="900" w:type="dxa"/>
            <w:noWrap w:val="0"/>
            <w:vAlign w:val="center"/>
          </w:tcPr>
          <w:p w14:paraId="4F9C4F2F">
            <w:pPr>
              <w:pStyle w:val="15"/>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偏离</w:t>
            </w:r>
          </w:p>
        </w:tc>
        <w:tc>
          <w:tcPr>
            <w:tcW w:w="900" w:type="dxa"/>
            <w:noWrap w:val="0"/>
            <w:vAlign w:val="center"/>
          </w:tcPr>
          <w:p w14:paraId="1C1D5A67">
            <w:pPr>
              <w:pStyle w:val="15"/>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w:t>
            </w:r>
          </w:p>
        </w:tc>
      </w:tr>
      <w:tr w14:paraId="74B8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F34757D">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6ED8BFC3">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54508A2C">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01CD2B1F">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92F1CCF">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2FE832E0">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1ACC6AE4">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67AA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71CA063">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7A5B2A15">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2C908990">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45B564D8">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2C3834BC">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33F8457E">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31D7741">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0C93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1A02FEF">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7D21C124">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5AC6A27B">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04B2731D">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37FF614F">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42AB7E75">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5B61AFFA">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F18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1E253E8">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74A96DE3">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1907DCF9">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1252B457">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4A96D58">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5D4D056C">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60D94695">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2F6E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8A2C96B">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15D1FF2D">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366DAA45">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123D90E5">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4523A608">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1F85A5F7">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3BC71356">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A09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576D220">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3FEB956B">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7E271A26">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72767B6C">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61F37F95">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31F96F89">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5A629045">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5488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BC1035B">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7EFB16C0">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1B7E184E">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3B0CDB4C">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247C6F83">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DC60A1F">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04B680A1">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0E35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9220EA1">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2FD3196E">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569CCC11">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7AAFD944">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0DF5576D">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054B900">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3EC26859">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98A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75BDA046">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877FEE3">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212A9C03">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64235689">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7B066573">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1D546A33">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6DAC3647">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2DA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09F36DD">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4E5D780B">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1D9A59E7">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419BD8CF">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A311BD9">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40ACAED8">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5BD0FF9C">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6B7D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576AF354">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6D978E61">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4B295424">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1D4119F4">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6CB01B7A">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5B760242">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01E6CCD6">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2332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85D7C7F">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298DE49C">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6257475A">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697D88EF">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3A8DB396">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38633B06">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F3D8B07">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564D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2994E561">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77D8EAE6">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4EC31BF4">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744FB356">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C9DFB3D">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20C5E743">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47ECDA9D">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5631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FAF5B00">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75ED77F">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0CEA436F">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2BD18C5C">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1578AF2">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96E6C76">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1E2D71E1">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35F5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7E3D4188">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694DDDC6">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754163DA">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1E875AE">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4D75124A">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17FBF3FF">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A63896C">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6764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D2D915C">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491DFBF3">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7ABC98DA">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5980F634">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6FC94F0B">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05C9DC33">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04AD1B10">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3DC7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79744482">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0F999833">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noWrap w:val="0"/>
            <w:vAlign w:val="top"/>
          </w:tcPr>
          <w:p w14:paraId="30C24F65">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69795A89">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noWrap w:val="0"/>
            <w:vAlign w:val="top"/>
          </w:tcPr>
          <w:p w14:paraId="16BF1ACD">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5E5E5BEF">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37417814">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bl>
    <w:p w14:paraId="57891693">
      <w:pPr>
        <w:pStyle w:val="15"/>
        <w:spacing w:line="240" w:lineRule="atLeast"/>
        <w:ind w:left="1080" w:leftChars="257" w:hanging="540"/>
        <w:rPr>
          <w:rFonts w:hint="eastAsia" w:ascii="仿宋" w:hAnsi="仿宋" w:eastAsia="仿宋" w:cs="仿宋"/>
          <w:color w:val="auto"/>
          <w:sz w:val="24"/>
          <w:highlight w:val="none"/>
        </w:rPr>
      </w:pPr>
    </w:p>
    <w:p w14:paraId="24BC899D">
      <w:pPr>
        <w:pStyle w:val="15"/>
        <w:spacing w:line="240" w:lineRule="atLeast"/>
        <w:ind w:left="1080" w:leftChars="257" w:hanging="540"/>
        <w:rPr>
          <w:rFonts w:hint="eastAsia" w:ascii="仿宋" w:hAnsi="仿宋" w:eastAsia="仿宋" w:cs="仿宋"/>
          <w:color w:val="auto"/>
          <w:sz w:val="24"/>
          <w:highlight w:val="none"/>
        </w:rPr>
      </w:pPr>
    </w:p>
    <w:p w14:paraId="78565797">
      <w:pPr>
        <w:pStyle w:val="15"/>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11B53A11">
      <w:pPr>
        <w:pStyle w:val="15"/>
        <w:tabs>
          <w:tab w:val="left" w:pos="5370"/>
        </w:tabs>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10CCF0A5">
      <w:pPr>
        <w:pStyle w:val="15"/>
        <w:tabs>
          <w:tab w:val="left" w:pos="5580"/>
        </w:tabs>
        <w:spacing w:line="240" w:lineRule="atLeast"/>
        <w:rPr>
          <w:rFonts w:hint="eastAsia" w:ascii="仿宋" w:hAnsi="仿宋" w:eastAsia="仿宋" w:cs="仿宋"/>
          <w:color w:val="auto"/>
          <w:sz w:val="24"/>
          <w:highlight w:val="none"/>
        </w:rPr>
      </w:pPr>
    </w:p>
    <w:p w14:paraId="3F05B2A1">
      <w:pPr>
        <w:rPr>
          <w:rFonts w:hint="eastAsia" w:ascii="仿宋" w:hAnsi="仿宋" w:eastAsia="仿宋" w:cs="仿宋"/>
          <w:color w:val="auto"/>
          <w:highlight w:val="none"/>
        </w:rPr>
      </w:pPr>
      <w:bookmarkStart w:id="1009" w:name="_Toc31785"/>
    </w:p>
    <w:bookmarkEnd w:id="1009"/>
    <w:p w14:paraId="180E32C3">
      <w:pPr>
        <w:pStyle w:val="15"/>
        <w:spacing w:line="240" w:lineRule="atLeast"/>
        <w:rPr>
          <w:rFonts w:hint="eastAsia" w:ascii="仿宋" w:hAnsi="仿宋" w:eastAsia="仿宋" w:cs="仿宋"/>
          <w:color w:val="auto"/>
          <w:sz w:val="24"/>
          <w:highlight w:val="none"/>
        </w:rPr>
      </w:pPr>
    </w:p>
    <w:p w14:paraId="22EF8104">
      <w:pPr>
        <w:pStyle w:val="7"/>
        <w:spacing w:before="0" w:line="240" w:lineRule="atLeast"/>
        <w:ind w:left="1080" w:leftChars="257" w:hanging="540"/>
        <w:rPr>
          <w:rFonts w:hint="eastAsia" w:ascii="仿宋" w:hAnsi="仿宋" w:eastAsia="仿宋" w:cs="仿宋"/>
          <w:color w:val="auto"/>
          <w:sz w:val="28"/>
          <w:szCs w:val="36"/>
          <w:highlight w:val="none"/>
        </w:rPr>
      </w:pPr>
      <w:bookmarkStart w:id="1010" w:name="_Toc24460"/>
      <w:bookmarkStart w:id="1011" w:name="_Toc5737"/>
      <w:bookmarkStart w:id="1012" w:name="_Toc29586"/>
      <w:bookmarkStart w:id="1013" w:name="_Toc15356"/>
      <w:bookmarkStart w:id="1014" w:name="_Toc20550"/>
      <w:bookmarkStart w:id="1015" w:name="_Toc13513"/>
      <w:bookmarkStart w:id="1016" w:name="_Toc9495"/>
      <w:r>
        <w:rPr>
          <w:rFonts w:hint="eastAsia" w:ascii="仿宋" w:hAnsi="仿宋" w:eastAsia="仿宋" w:cs="仿宋"/>
          <w:color w:val="auto"/>
          <w:sz w:val="28"/>
          <w:szCs w:val="36"/>
          <w:highlight w:val="none"/>
        </w:rPr>
        <w:t>6   商务条款偏离表（投标文件格式十）</w:t>
      </w:r>
      <w:bookmarkEnd w:id="1010"/>
      <w:bookmarkEnd w:id="1011"/>
      <w:bookmarkEnd w:id="1012"/>
      <w:bookmarkEnd w:id="1013"/>
      <w:bookmarkEnd w:id="1014"/>
      <w:bookmarkEnd w:id="1015"/>
      <w:bookmarkEnd w:id="1016"/>
    </w:p>
    <w:p w14:paraId="74FAF5E2">
      <w:pPr>
        <w:pStyle w:val="15"/>
        <w:spacing w:line="240" w:lineRule="atLeast"/>
        <w:ind w:left="1080" w:leftChars="257" w:hanging="540"/>
        <w:rPr>
          <w:rFonts w:hint="eastAsia" w:ascii="仿宋" w:hAnsi="仿宋" w:eastAsia="仿宋" w:cs="仿宋"/>
          <w:color w:val="auto"/>
          <w:sz w:val="24"/>
          <w:highlight w:val="none"/>
        </w:rPr>
      </w:pPr>
    </w:p>
    <w:p w14:paraId="257E5F80">
      <w:pPr>
        <w:pStyle w:val="15"/>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招标编号:             </w:t>
      </w:r>
    </w:p>
    <w:p w14:paraId="1FE5C4AB">
      <w:pPr>
        <w:pStyle w:val="15"/>
        <w:spacing w:line="240" w:lineRule="atLeast"/>
        <w:ind w:left="1080" w:leftChars="257" w:hanging="540"/>
        <w:rPr>
          <w:rFonts w:hint="eastAsia" w:ascii="仿宋" w:hAnsi="仿宋" w:eastAsia="仿宋" w:cs="仿宋"/>
          <w:color w:val="auto"/>
          <w:sz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43BC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6E103B2">
            <w:pPr>
              <w:pStyle w:val="15"/>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2040" w:type="dxa"/>
            <w:noWrap w:val="0"/>
            <w:vAlign w:val="top"/>
          </w:tcPr>
          <w:p w14:paraId="762EF8F5">
            <w:pPr>
              <w:pStyle w:val="15"/>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招标文件条款号</w:t>
            </w:r>
          </w:p>
        </w:tc>
        <w:tc>
          <w:tcPr>
            <w:tcW w:w="2520" w:type="dxa"/>
            <w:noWrap w:val="0"/>
            <w:vAlign w:val="top"/>
          </w:tcPr>
          <w:p w14:paraId="6201334C">
            <w:pPr>
              <w:pStyle w:val="15"/>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招标文件的商务条款</w:t>
            </w:r>
          </w:p>
        </w:tc>
        <w:tc>
          <w:tcPr>
            <w:tcW w:w="2520" w:type="dxa"/>
            <w:noWrap w:val="0"/>
            <w:vAlign w:val="top"/>
          </w:tcPr>
          <w:p w14:paraId="20B6B078">
            <w:pPr>
              <w:pStyle w:val="15"/>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投标文件的商务条款</w:t>
            </w:r>
          </w:p>
        </w:tc>
        <w:tc>
          <w:tcPr>
            <w:tcW w:w="900" w:type="dxa"/>
            <w:noWrap w:val="0"/>
            <w:vAlign w:val="top"/>
          </w:tcPr>
          <w:p w14:paraId="0B09206C">
            <w:pPr>
              <w:pStyle w:val="15"/>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w:t>
            </w:r>
          </w:p>
        </w:tc>
      </w:tr>
      <w:tr w14:paraId="0E65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0589EFF">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2A8FFA81">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2A56C75C">
            <w:pPr>
              <w:pStyle w:val="1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2520" w:type="dxa"/>
            <w:noWrap w:val="0"/>
            <w:vAlign w:val="top"/>
          </w:tcPr>
          <w:p w14:paraId="106DDDD7">
            <w:pPr>
              <w:pStyle w:val="15"/>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900" w:type="dxa"/>
            <w:noWrap w:val="0"/>
            <w:vAlign w:val="top"/>
          </w:tcPr>
          <w:p w14:paraId="69769253">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491B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98AD31C">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53C23631">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4F50FCF9">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373DFC64">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37D84B8A">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66C13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CBEEEF8">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338747F4">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03C1110D">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40D06816">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6938595B">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1C76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59A890A">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67AEC8C4">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2FDC7A22">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3958C89A">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6A48692B">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4E63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D2681EF">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360FC56F">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50D28997">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6C5A47B4">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44D9B1BA">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5A076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8F6BC88">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1713C77B">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77EC11E8">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5990A878">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2CBECC2C">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3BA2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864585B">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0AAFC29C">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130A296F">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2FEC35C4">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48B88595">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5083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D3174CE">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51762963">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7E203D30">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109BCE4F">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20F540C6">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6FB3F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1DEF359">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1084267E">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2EF0F336">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1F2E7477">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44711B06">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4AED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AE18116">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07752817">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07C136C4">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6EE20EF3">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64A30561">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3DE8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A1810E6">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15861057">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78FFEB7C">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062524BD">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69142A77">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39EC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883536E">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319EEC48">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1B6D7A90">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343A77A5">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2B789180">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59FE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CD694DE">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2843F774">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6701025A">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5DFD7906">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FF7A739">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0966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1F74B07">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6BB0012A">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136252DE">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3E0AEF3A">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4EB44377">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3C87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F544DE3">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05EB5798">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2FC3DD56">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33F8B5F7">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06C5FB7A">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60AF6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7B4775D">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62F38EF8">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7B37056A">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2BD9C73B">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4AE05B48">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5F9A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83BDBF3">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noWrap w:val="0"/>
            <w:vAlign w:val="top"/>
          </w:tcPr>
          <w:p w14:paraId="297C53E3">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04ADF049">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noWrap w:val="0"/>
            <w:vAlign w:val="top"/>
          </w:tcPr>
          <w:p w14:paraId="01025D4F">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noWrap w:val="0"/>
            <w:vAlign w:val="top"/>
          </w:tcPr>
          <w:p w14:paraId="74C55321">
            <w:pPr>
              <w:pStyle w:val="15"/>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bl>
    <w:p w14:paraId="3B1E0B18">
      <w:pPr>
        <w:pStyle w:val="15"/>
        <w:spacing w:line="240" w:lineRule="atLeast"/>
        <w:ind w:left="1080" w:leftChars="257" w:hanging="540"/>
        <w:rPr>
          <w:rFonts w:hint="eastAsia" w:ascii="仿宋" w:hAnsi="仿宋" w:eastAsia="仿宋" w:cs="仿宋"/>
          <w:color w:val="auto"/>
          <w:sz w:val="24"/>
          <w:highlight w:val="none"/>
        </w:rPr>
      </w:pPr>
    </w:p>
    <w:p w14:paraId="1A57623B">
      <w:pPr>
        <w:pStyle w:val="15"/>
        <w:spacing w:line="240" w:lineRule="atLeast"/>
        <w:ind w:left="1080" w:leftChars="257" w:hanging="540"/>
        <w:rPr>
          <w:rFonts w:hint="eastAsia" w:ascii="仿宋" w:hAnsi="仿宋" w:eastAsia="仿宋" w:cs="仿宋"/>
          <w:color w:val="auto"/>
          <w:sz w:val="24"/>
          <w:highlight w:val="none"/>
        </w:rPr>
      </w:pPr>
    </w:p>
    <w:p w14:paraId="6995BACE">
      <w:pPr>
        <w:pStyle w:val="15"/>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600B79DA">
      <w:pPr>
        <w:pStyle w:val="15"/>
        <w:tabs>
          <w:tab w:val="left" w:pos="5370"/>
        </w:tabs>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5B971A1A">
      <w:pPr>
        <w:pStyle w:val="7"/>
        <w:spacing w:before="0" w:line="240" w:lineRule="atLeast"/>
        <w:rPr>
          <w:rFonts w:hint="eastAsia" w:ascii="仿宋" w:hAnsi="仿宋" w:eastAsia="仿宋" w:cs="仿宋"/>
          <w:b w:val="0"/>
          <w:color w:val="auto"/>
          <w:sz w:val="24"/>
          <w:highlight w:val="none"/>
        </w:rPr>
      </w:pPr>
      <w:r>
        <w:rPr>
          <w:rFonts w:hint="eastAsia" w:ascii="仿宋" w:hAnsi="仿宋" w:eastAsia="仿宋" w:cs="仿宋"/>
          <w:color w:val="auto"/>
          <w:highlight w:val="none"/>
        </w:rPr>
        <w:br w:type="page"/>
      </w:r>
      <w:bookmarkStart w:id="1017" w:name="_Toc31507"/>
      <w:bookmarkStart w:id="1018" w:name="_Toc7517"/>
      <w:bookmarkStart w:id="1019" w:name="_Toc19440"/>
      <w:bookmarkStart w:id="1020" w:name="_Toc28804"/>
      <w:bookmarkStart w:id="1021" w:name="_Toc22885"/>
      <w:bookmarkStart w:id="1022" w:name="_Toc12805"/>
      <w:bookmarkStart w:id="1023" w:name="_Toc32430"/>
      <w:r>
        <w:rPr>
          <w:rFonts w:hint="eastAsia" w:ascii="仿宋" w:hAnsi="仿宋" w:eastAsia="仿宋" w:cs="仿宋"/>
          <w:color w:val="auto"/>
          <w:sz w:val="28"/>
          <w:szCs w:val="28"/>
          <w:highlight w:val="none"/>
        </w:rPr>
        <w:t>7-1   投标人企业（单位）类型声明函（投标文件格式十一）</w:t>
      </w:r>
      <w:bookmarkEnd w:id="993"/>
      <w:bookmarkEnd w:id="994"/>
      <w:bookmarkEnd w:id="995"/>
      <w:bookmarkEnd w:id="1017"/>
      <w:bookmarkEnd w:id="1018"/>
      <w:bookmarkEnd w:id="1019"/>
      <w:bookmarkEnd w:id="1020"/>
      <w:bookmarkEnd w:id="1021"/>
      <w:bookmarkEnd w:id="1022"/>
      <w:bookmarkEnd w:id="1023"/>
    </w:p>
    <w:p w14:paraId="78A7C861">
      <w:pPr>
        <w:widowControl/>
        <w:spacing w:before="100" w:beforeAutospacing="1" w:after="100" w:afterAutospacing="1" w:line="330" w:lineRule="atLeas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本企业（单位）郑重声明下列事项（按照实际情况勾选或填空）：</w:t>
      </w:r>
    </w:p>
    <w:p w14:paraId="0673E5D9">
      <w:pPr>
        <w:widowControl/>
        <w:spacing w:before="100" w:beforeAutospacing="1" w:after="100" w:afterAutospacing="1" w:line="330" w:lineRule="atLeast"/>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1、□本企业（单位）为直接投标人提供本企业（单位）制造的货物。</w:t>
      </w:r>
    </w:p>
    <w:p w14:paraId="5FE8D5AB">
      <w:pPr>
        <w:widowControl/>
        <w:numPr>
          <w:ilvl w:val="0"/>
          <w:numId w:val="14"/>
        </w:numPr>
        <w:spacing w:before="100" w:beforeAutospacing="1" w:after="100" w:afterAutospacing="1" w:line="330" w:lineRule="atLeast"/>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根据《工业和信息化部、国家统计局、国家发展和改革委员会、财政部关于印发中小企业划型标准规定的通知》（工信部联企业[2011]300号）规定的划分标准，本企业为______（请填写：中型、小型、微型）企业。</w:t>
      </w:r>
    </w:p>
    <w:p w14:paraId="0308DFEB">
      <w:pPr>
        <w:widowControl/>
        <w:spacing w:before="100" w:beforeAutospacing="1" w:after="100" w:afterAutospacing="1" w:line="330" w:lineRule="atLeast"/>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 本企业</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（请填写：是、不是）监狱企业。后附省级以上监狱管理局、戒毒管理局（含新疆生产建设兵团）出具的属于监狱企业的证明文件。</w:t>
      </w:r>
    </w:p>
    <w:p w14:paraId="7DC7259D">
      <w:pPr>
        <w:widowControl/>
        <w:spacing w:before="100" w:beforeAutospacing="1" w:after="100" w:afterAutospacing="1" w:line="330" w:lineRule="atLeast"/>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sz w:val="30"/>
          <w:szCs w:val="30"/>
          <w:highlight w:val="none"/>
        </w:rPr>
        <w:t xml:space="preserve"> </w:t>
      </w:r>
      <w:r>
        <w:rPr>
          <w:rFonts w:hint="eastAsia" w:ascii="仿宋" w:hAnsi="仿宋" w:eastAsia="仿宋" w:cs="仿宋"/>
          <w:color w:val="auto"/>
          <w:kern w:val="0"/>
          <w:sz w:val="24"/>
          <w:highlight w:val="none"/>
        </w:rPr>
        <w:t>根据《关于促进残疾人就业政府采购政策的通知》（财库〔2017〕141号）。本单位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（请填写：是、不是）残疾人福利性单位。</w:t>
      </w:r>
    </w:p>
    <w:p w14:paraId="79D3D4E6">
      <w:pPr>
        <w:widowControl/>
        <w:spacing w:before="100" w:beforeAutospacing="1" w:after="100" w:afterAutospacing="1" w:line="330" w:lineRule="atLeast"/>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企业（单位）为代理商，提供其他______（请填写：中型、小型、微型）企业、监狱企业或残疾人福利性单位制造的货物。本条所称货物不包括使用大型企业注册商标的货物。（后附制造商企业（单位）类型声明函）</w:t>
      </w:r>
    </w:p>
    <w:p w14:paraId="10CE5C00">
      <w:pPr>
        <w:widowControl/>
        <w:spacing w:before="100" w:beforeAutospacing="1" w:after="100" w:afterAutospacing="1" w:line="330" w:lineRule="atLeast"/>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3、□本企业（单位）为联合体一方，提供本企业（单位）制造的货物，由本企业（单位）承担工程、提供服务。本企业（单位）提供协议合同金额占到共同投标协议合同总金额的比例为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EDFFE1D">
      <w:pPr>
        <w:widowControl/>
        <w:spacing w:before="100" w:beforeAutospacing="1" w:after="100" w:afterAutospacing="1" w:line="330" w:lineRule="atLeas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本企业（单位）对上述声明的真实性负责。如有虚假，将依法承担相应责任。</w:t>
      </w:r>
    </w:p>
    <w:p w14:paraId="29B1630E">
      <w:pPr>
        <w:pStyle w:val="15"/>
        <w:spacing w:line="240" w:lineRule="atLeast"/>
        <w:ind w:firstLine="2880" w:firstLineChars="1200"/>
        <w:rPr>
          <w:rFonts w:hint="eastAsia" w:ascii="仿宋" w:hAnsi="仿宋" w:eastAsia="仿宋" w:cs="仿宋"/>
          <w:color w:val="auto"/>
          <w:kern w:val="0"/>
          <w:sz w:val="24"/>
          <w:highlight w:val="none"/>
        </w:rPr>
      </w:pPr>
    </w:p>
    <w:p w14:paraId="55D52DCF">
      <w:pPr>
        <w:pStyle w:val="15"/>
        <w:spacing w:line="240" w:lineRule="atLeast"/>
        <w:ind w:firstLine="2880" w:firstLineChars="1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投标人名称（盖单位章）：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489E873B">
      <w:pPr>
        <w:pStyle w:val="15"/>
        <w:spacing w:line="240" w:lineRule="atLeast"/>
        <w:ind w:left="1258" w:leftChars="599" w:firstLine="1780" w:firstLineChars="74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1341105F">
      <w:pPr>
        <w:widowControl/>
        <w:spacing w:before="100" w:beforeAutospacing="1" w:after="100" w:afterAutospacing="1" w:line="330" w:lineRule="atLeast"/>
        <w:ind w:firstLine="3120" w:firstLineChars="13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p>
    <w:p w14:paraId="48D49612">
      <w:pPr>
        <w:widowControl/>
        <w:spacing w:before="100" w:beforeAutospacing="1" w:after="100" w:afterAutospacing="1" w:line="330" w:lineRule="atLeast"/>
        <w:ind w:firstLine="3120" w:firstLineChars="13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p>
    <w:p w14:paraId="434CB565">
      <w:pPr>
        <w:widowControl/>
        <w:spacing w:before="100" w:beforeAutospacing="1" w:after="100" w:afterAutospacing="1" w:line="330" w:lineRule="atLeast"/>
        <w:ind w:firstLine="420"/>
        <w:jc w:val="left"/>
        <w:rPr>
          <w:rFonts w:hint="eastAsia" w:ascii="仿宋" w:hAnsi="仿宋" w:eastAsia="仿宋" w:cs="仿宋"/>
          <w:color w:val="auto"/>
          <w:kern w:val="0"/>
          <w:sz w:val="24"/>
          <w:highlight w:val="none"/>
        </w:rPr>
      </w:pPr>
    </w:p>
    <w:p w14:paraId="7C95471A">
      <w:pPr>
        <w:spacing w:line="240" w:lineRule="atLeast"/>
        <w:ind w:left="1080" w:leftChars="257" w:hanging="540"/>
        <w:jc w:val="center"/>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　</w:t>
      </w:r>
    </w:p>
    <w:p w14:paraId="31A9750F">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highlight w:val="none"/>
        </w:rPr>
        <w:br w:type="page"/>
      </w:r>
      <w:bookmarkStart w:id="1024" w:name="_Toc28857"/>
      <w:bookmarkStart w:id="1025" w:name="_Toc30490"/>
      <w:bookmarkStart w:id="1026" w:name="_Toc31987"/>
      <w:bookmarkStart w:id="1027" w:name="_Toc11803"/>
      <w:bookmarkStart w:id="1028" w:name="_Toc515647824"/>
      <w:bookmarkStart w:id="1029" w:name="_Toc10977"/>
      <w:bookmarkStart w:id="1030" w:name="_Toc25463"/>
      <w:bookmarkStart w:id="1031" w:name="_Toc11998"/>
      <w:bookmarkStart w:id="1032" w:name="_Toc23677"/>
      <w:r>
        <w:rPr>
          <w:rFonts w:hint="eastAsia" w:ascii="仿宋" w:hAnsi="仿宋" w:eastAsia="仿宋" w:cs="仿宋"/>
          <w:color w:val="auto"/>
          <w:sz w:val="28"/>
          <w:szCs w:val="28"/>
          <w:highlight w:val="none"/>
        </w:rPr>
        <w:t xml:space="preserve">7-2   </w:t>
      </w:r>
      <w:bookmarkEnd w:id="1024"/>
      <w:bookmarkEnd w:id="1025"/>
      <w:bookmarkEnd w:id="1026"/>
      <w:bookmarkEnd w:id="1027"/>
      <w:bookmarkEnd w:id="1028"/>
      <w:bookmarkEnd w:id="1029"/>
      <w:bookmarkEnd w:id="1030"/>
      <w:r>
        <w:rPr>
          <w:rFonts w:hint="eastAsia" w:ascii="仿宋" w:hAnsi="仿宋" w:eastAsia="仿宋" w:cs="仿宋"/>
          <w:color w:val="auto"/>
          <w:sz w:val="28"/>
          <w:szCs w:val="28"/>
          <w:highlight w:val="none"/>
        </w:rPr>
        <w:t xml:space="preserve"> </w:t>
      </w:r>
      <w:bookmarkEnd w:id="1031"/>
      <w:bookmarkEnd w:id="1032"/>
      <w:r>
        <w:rPr>
          <w:rFonts w:hint="eastAsia" w:ascii="仿宋" w:hAnsi="仿宋" w:eastAsia="仿宋" w:cs="仿宋"/>
          <w:b/>
          <w:color w:val="auto"/>
          <w:sz w:val="28"/>
          <w:szCs w:val="28"/>
        </w:rPr>
        <w:t>中小企业声明</w:t>
      </w:r>
      <w:r>
        <w:rPr>
          <w:rFonts w:hint="eastAsia" w:ascii="仿宋" w:hAnsi="仿宋" w:eastAsia="仿宋" w:cs="仿宋"/>
          <w:b/>
          <w:color w:val="auto"/>
          <w:sz w:val="28"/>
          <w:szCs w:val="28"/>
          <w:lang w:val="en-US" w:eastAsia="zh-CN"/>
        </w:rPr>
        <w:t>函</w:t>
      </w:r>
      <w:r>
        <w:rPr>
          <w:rFonts w:hint="eastAsia" w:ascii="仿宋" w:hAnsi="仿宋" w:eastAsia="仿宋" w:cs="仿宋"/>
          <w:b/>
          <w:color w:val="auto"/>
          <w:sz w:val="28"/>
          <w:szCs w:val="28"/>
        </w:rPr>
        <w:t>（</w:t>
      </w:r>
      <w:r>
        <w:rPr>
          <w:rFonts w:hint="eastAsia" w:ascii="仿宋" w:hAnsi="仿宋" w:eastAsia="仿宋" w:cs="仿宋"/>
          <w:b/>
          <w:color w:val="auto"/>
          <w:sz w:val="28"/>
          <w:szCs w:val="28"/>
          <w:lang w:val="en-US" w:eastAsia="zh-CN"/>
        </w:rPr>
        <w:t>货物</w:t>
      </w:r>
      <w:r>
        <w:rPr>
          <w:rFonts w:hint="eastAsia" w:ascii="仿宋" w:hAnsi="仿宋" w:eastAsia="仿宋" w:cs="仿宋"/>
          <w:b/>
          <w:color w:val="auto"/>
          <w:sz w:val="28"/>
          <w:szCs w:val="28"/>
        </w:rPr>
        <w:t>）</w:t>
      </w:r>
    </w:p>
    <w:p w14:paraId="2398E1E7">
      <w:pPr>
        <w:pStyle w:val="24"/>
        <w:keepNext w:val="0"/>
        <w:keepLines w:val="0"/>
        <w:pageBreakBefore w:val="0"/>
        <w:kinsoku/>
        <w:wordWrap/>
        <w:overflowPunct/>
        <w:topLinePunct w:val="0"/>
        <w:autoSpaceDE/>
        <w:autoSpaceDN/>
        <w:bidi w:val="0"/>
        <w:adjustRightInd/>
        <w:snapToGrid/>
        <w:spacing w:line="500" w:lineRule="exact"/>
        <w:ind w:firstLine="24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本公司（联合体）郑重声明，根据《政府采购促进中小企业发展管理办法》（财库﹝2020﹞46号）的规定，本公司（联合体）参加（单位名称）的（项目名称）采购活动，</w:t>
      </w:r>
      <w:r>
        <w:rPr>
          <w:rFonts w:hint="eastAsia" w:ascii="仿宋" w:hAnsi="仿宋" w:eastAsia="仿宋" w:cs="仿宋"/>
          <w:color w:val="auto"/>
          <w:highlight w:val="green"/>
          <w:lang w:val="en-US" w:eastAsia="zh-CN"/>
        </w:rPr>
        <w:t>提供的货物全部由符合政策要求的中小企业制造</w:t>
      </w:r>
      <w:r>
        <w:rPr>
          <w:rFonts w:hint="eastAsia" w:ascii="仿宋" w:hAnsi="仿宋" w:eastAsia="仿宋" w:cs="仿宋"/>
          <w:color w:val="auto"/>
          <w:highlight w:val="none"/>
          <w:lang w:val="en-US" w:eastAsia="zh-CN"/>
        </w:rPr>
        <w:t xml:space="preserve">。相关企业（含联合体中的中小企业、签订分包意向协议的中小企业） 的具体情况如下： </w:t>
      </w:r>
    </w:p>
    <w:p w14:paraId="472FAF10">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 xml:space="preserve">1. </w:t>
      </w:r>
      <w:r>
        <w:rPr>
          <w:rFonts w:hint="eastAsia" w:ascii="仿宋" w:hAnsi="仿宋" w:eastAsia="仿宋" w:cs="仿宋"/>
          <w:bCs/>
          <w:color w:val="auto"/>
          <w:sz w:val="24"/>
          <w:szCs w:val="24"/>
          <w:u w:val="single"/>
          <w:lang w:val="en-US" w:eastAsia="zh-CN"/>
        </w:rPr>
        <w:t xml:space="preserve">（标的名称） </w:t>
      </w:r>
      <w:r>
        <w:rPr>
          <w:rFonts w:hint="eastAsia" w:ascii="仿宋" w:hAnsi="仿宋" w:eastAsia="仿宋" w:cs="仿宋"/>
          <w:bCs/>
          <w:color w:val="auto"/>
          <w:sz w:val="24"/>
          <w:szCs w:val="24"/>
          <w:lang w:val="en-US" w:eastAsia="zh-CN"/>
        </w:rPr>
        <w:t>，属于</w:t>
      </w:r>
      <w:r>
        <w:rPr>
          <w:rFonts w:hint="eastAsia" w:ascii="仿宋" w:hAnsi="仿宋" w:eastAsia="仿宋" w:cs="仿宋"/>
          <w:bCs/>
          <w:color w:val="auto"/>
          <w:sz w:val="24"/>
          <w:szCs w:val="24"/>
          <w:u w:val="single"/>
          <w:lang w:val="en-US" w:eastAsia="zh-CN"/>
        </w:rPr>
        <w:t>（采购文件中明确的所属行业）</w:t>
      </w:r>
      <w:r>
        <w:rPr>
          <w:rFonts w:hint="eastAsia" w:ascii="仿宋" w:hAnsi="仿宋" w:eastAsia="仿宋" w:cs="仿宋"/>
          <w:bCs/>
          <w:color w:val="auto"/>
          <w:sz w:val="24"/>
          <w:szCs w:val="24"/>
          <w:lang w:val="en-US" w:eastAsia="zh-CN"/>
        </w:rPr>
        <w:t>；承建（承接）企业为</w:t>
      </w:r>
      <w:r>
        <w:rPr>
          <w:rFonts w:hint="eastAsia" w:ascii="仿宋" w:hAnsi="仿宋" w:eastAsia="仿宋" w:cs="仿宋"/>
          <w:bCs/>
          <w:color w:val="auto"/>
          <w:sz w:val="24"/>
          <w:szCs w:val="24"/>
          <w:u w:val="single"/>
          <w:lang w:val="en-US" w:eastAsia="zh-CN"/>
        </w:rPr>
        <w:t>（企业名称）</w:t>
      </w:r>
      <w:r>
        <w:rPr>
          <w:rFonts w:hint="eastAsia" w:ascii="仿宋" w:hAnsi="仿宋" w:eastAsia="仿宋" w:cs="仿宋"/>
          <w:bCs/>
          <w:color w:val="auto"/>
          <w:sz w:val="24"/>
          <w:szCs w:val="24"/>
          <w:lang w:val="en-US" w:eastAsia="zh-CN"/>
        </w:rPr>
        <w:t>，从业人员</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lang w:val="en-US" w:eastAsia="zh-CN"/>
        </w:rPr>
        <w:t>人，营业收入为</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lang w:val="en-US" w:eastAsia="zh-CN"/>
        </w:rPr>
        <w:t>万元，资产总额为</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lang w:val="en-US" w:eastAsia="zh-CN"/>
        </w:rPr>
        <w:t>万元，属于</w:t>
      </w:r>
      <w:r>
        <w:rPr>
          <w:rFonts w:hint="eastAsia" w:ascii="仿宋" w:hAnsi="仿宋" w:eastAsia="仿宋" w:cs="仿宋"/>
          <w:bCs/>
          <w:color w:val="auto"/>
          <w:sz w:val="24"/>
          <w:szCs w:val="24"/>
          <w:u w:val="single"/>
          <w:lang w:val="en-US" w:eastAsia="zh-CN"/>
        </w:rPr>
        <w:t>（中型企业、小型企业、微型企业）；</w:t>
      </w:r>
      <w:r>
        <w:rPr>
          <w:rFonts w:hint="eastAsia" w:ascii="仿宋" w:hAnsi="仿宋" w:eastAsia="仿宋" w:cs="仿宋"/>
          <w:bCs/>
          <w:color w:val="auto"/>
          <w:sz w:val="24"/>
          <w:szCs w:val="24"/>
          <w:lang w:val="en-US" w:eastAsia="zh-CN"/>
        </w:rPr>
        <w:t xml:space="preserve"> </w:t>
      </w:r>
    </w:p>
    <w:p w14:paraId="039B6898">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hint="eastAsia" w:ascii="仿宋" w:hAnsi="仿宋" w:eastAsia="仿宋" w:cs="仿宋"/>
          <w:bCs/>
          <w:color w:val="auto"/>
          <w:sz w:val="24"/>
          <w:szCs w:val="24"/>
          <w:u w:val="single"/>
        </w:rPr>
      </w:pP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u w:val="single"/>
          <w:lang w:val="en-US" w:eastAsia="zh-CN"/>
        </w:rPr>
        <w:t xml:space="preserve"> （标的名称） </w:t>
      </w:r>
      <w:r>
        <w:rPr>
          <w:rFonts w:hint="eastAsia" w:ascii="仿宋" w:hAnsi="仿宋" w:eastAsia="仿宋" w:cs="仿宋"/>
          <w:bCs/>
          <w:color w:val="auto"/>
          <w:sz w:val="24"/>
          <w:szCs w:val="24"/>
          <w:lang w:val="en-US" w:eastAsia="zh-CN"/>
        </w:rPr>
        <w:t>，属于</w:t>
      </w:r>
      <w:r>
        <w:rPr>
          <w:rFonts w:hint="eastAsia" w:ascii="仿宋" w:hAnsi="仿宋" w:eastAsia="仿宋" w:cs="仿宋"/>
          <w:bCs/>
          <w:color w:val="auto"/>
          <w:sz w:val="24"/>
          <w:szCs w:val="24"/>
          <w:u w:val="single"/>
          <w:lang w:val="en-US" w:eastAsia="zh-CN"/>
        </w:rPr>
        <w:t>（采购文件中明确的所属行业）</w:t>
      </w:r>
      <w:r>
        <w:rPr>
          <w:rFonts w:hint="eastAsia" w:ascii="仿宋" w:hAnsi="仿宋" w:eastAsia="仿宋" w:cs="仿宋"/>
          <w:bCs/>
          <w:color w:val="auto"/>
          <w:sz w:val="24"/>
          <w:szCs w:val="24"/>
          <w:lang w:val="en-US" w:eastAsia="zh-CN"/>
        </w:rPr>
        <w:t>；承建（承接）企业为</w:t>
      </w:r>
      <w:r>
        <w:rPr>
          <w:rFonts w:hint="eastAsia" w:ascii="仿宋" w:hAnsi="仿宋" w:eastAsia="仿宋" w:cs="仿宋"/>
          <w:bCs/>
          <w:color w:val="auto"/>
          <w:sz w:val="24"/>
          <w:szCs w:val="24"/>
          <w:u w:val="single"/>
          <w:lang w:val="en-US" w:eastAsia="zh-CN"/>
        </w:rPr>
        <w:t>（企业名称）</w:t>
      </w:r>
      <w:r>
        <w:rPr>
          <w:rFonts w:hint="eastAsia" w:ascii="仿宋" w:hAnsi="仿宋" w:eastAsia="仿宋" w:cs="仿宋"/>
          <w:bCs/>
          <w:color w:val="auto"/>
          <w:sz w:val="24"/>
          <w:szCs w:val="24"/>
          <w:lang w:val="en-US" w:eastAsia="zh-CN"/>
        </w:rPr>
        <w:t>，从业人员</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lang w:val="en-US" w:eastAsia="zh-CN"/>
        </w:rPr>
        <w:t>人，营业收入为</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lang w:val="en-US" w:eastAsia="zh-CN"/>
        </w:rPr>
        <w:t>万元，资产总额为_______万元，属于</w:t>
      </w:r>
      <w:r>
        <w:rPr>
          <w:rFonts w:hint="eastAsia" w:ascii="仿宋" w:hAnsi="仿宋" w:eastAsia="仿宋" w:cs="仿宋"/>
          <w:bCs/>
          <w:color w:val="auto"/>
          <w:sz w:val="24"/>
          <w:szCs w:val="24"/>
          <w:u w:val="single"/>
          <w:lang w:val="en-US" w:eastAsia="zh-CN"/>
        </w:rPr>
        <w:t xml:space="preserve">（中型企业、小型企业、微型企业）； </w:t>
      </w:r>
    </w:p>
    <w:p w14:paraId="0E1688A7">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 xml:space="preserve">…… </w:t>
      </w:r>
    </w:p>
    <w:p w14:paraId="6B51D9EF">
      <w:pPr>
        <w:pStyle w:val="24"/>
        <w:keepNext w:val="0"/>
        <w:keepLines w:val="0"/>
        <w:pageBreakBefore w:val="0"/>
        <w:kinsoku/>
        <w:wordWrap/>
        <w:overflowPunct/>
        <w:topLinePunct w:val="0"/>
        <w:autoSpaceDE/>
        <w:autoSpaceDN/>
        <w:bidi w:val="0"/>
        <w:adjustRightInd/>
        <w:snapToGrid/>
        <w:spacing w:line="500" w:lineRule="exact"/>
        <w:ind w:firstLine="24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以上企业，不属于大企业的分支机构，不存在控股股东为大企业的情形，也不存在与大企业的负责人为同一人的情形。 </w:t>
      </w:r>
    </w:p>
    <w:p w14:paraId="3501AEAD">
      <w:pPr>
        <w:pStyle w:val="24"/>
        <w:keepNext w:val="0"/>
        <w:keepLines w:val="0"/>
        <w:pageBreakBefore w:val="0"/>
        <w:kinsoku/>
        <w:wordWrap/>
        <w:overflowPunct/>
        <w:topLinePunct w:val="0"/>
        <w:autoSpaceDE/>
        <w:autoSpaceDN/>
        <w:bidi w:val="0"/>
        <w:adjustRightInd/>
        <w:snapToGrid/>
        <w:spacing w:line="500" w:lineRule="exact"/>
        <w:ind w:firstLine="24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本企业对上述声明内容的真实性负责。如有虚假，将依法承担相应责任。 </w:t>
      </w:r>
    </w:p>
    <w:p w14:paraId="5E5BD2BA">
      <w:pPr>
        <w:pStyle w:val="24"/>
        <w:keepNext w:val="0"/>
        <w:keepLines w:val="0"/>
        <w:pageBreakBefore w:val="0"/>
        <w:kinsoku/>
        <w:wordWrap/>
        <w:overflowPunct/>
        <w:topLinePunct w:val="0"/>
        <w:autoSpaceDE/>
        <w:autoSpaceDN/>
        <w:bidi w:val="0"/>
        <w:adjustRightInd/>
        <w:snapToGrid/>
        <w:spacing w:line="500" w:lineRule="exact"/>
        <w:ind w:firstLine="240"/>
        <w:jc w:val="righ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企业名称（盖章）：________________</w:t>
      </w:r>
    </w:p>
    <w:p w14:paraId="39CF1DEB">
      <w:pPr>
        <w:pStyle w:val="24"/>
        <w:keepNext w:val="0"/>
        <w:keepLines w:val="0"/>
        <w:pageBreakBefore w:val="0"/>
        <w:kinsoku/>
        <w:wordWrap/>
        <w:overflowPunct/>
        <w:topLinePunct w:val="0"/>
        <w:autoSpaceDE/>
        <w:autoSpaceDN/>
        <w:bidi w:val="0"/>
        <w:adjustRightInd/>
        <w:snapToGrid/>
        <w:spacing w:line="500" w:lineRule="exact"/>
        <w:ind w:firstLine="240"/>
        <w:jc w:val="righ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日期：________________ </w:t>
      </w:r>
    </w:p>
    <w:p w14:paraId="5059B357">
      <w:pPr>
        <w:pStyle w:val="24"/>
        <w:keepNext w:val="0"/>
        <w:keepLines w:val="0"/>
        <w:pageBreakBefore w:val="0"/>
        <w:kinsoku/>
        <w:wordWrap/>
        <w:overflowPunct/>
        <w:topLinePunct w:val="0"/>
        <w:autoSpaceDE/>
        <w:autoSpaceDN/>
        <w:bidi w:val="0"/>
        <w:adjustRightInd/>
        <w:snapToGrid/>
        <w:spacing w:line="500" w:lineRule="exact"/>
        <w:ind w:firstLine="240"/>
        <w:jc w:val="both"/>
        <w:textAlignment w:val="auto"/>
        <w:rPr>
          <w:rFonts w:hint="eastAsia" w:ascii="仿宋" w:hAnsi="仿宋" w:eastAsia="仿宋" w:cs="仿宋"/>
          <w:color w:val="auto"/>
          <w:highlight w:val="none"/>
          <w:lang w:val="en-US" w:eastAsia="zh-CN"/>
        </w:rPr>
      </w:pPr>
    </w:p>
    <w:p w14:paraId="57EEB693">
      <w:pPr>
        <w:pStyle w:val="24"/>
        <w:keepNext w:val="0"/>
        <w:keepLines w:val="0"/>
        <w:pageBreakBefore w:val="0"/>
        <w:kinsoku/>
        <w:wordWrap/>
        <w:overflowPunct/>
        <w:topLinePunct w:val="0"/>
        <w:autoSpaceDE/>
        <w:autoSpaceDN/>
        <w:bidi w:val="0"/>
        <w:adjustRightInd/>
        <w:snapToGrid/>
        <w:spacing w:line="500" w:lineRule="exact"/>
        <w:ind w:firstLine="240"/>
        <w:jc w:val="both"/>
        <w:textAlignment w:val="auto"/>
        <w:rPr>
          <w:rFonts w:hint="eastAsia" w:ascii="仿宋" w:hAnsi="仿宋" w:eastAsia="仿宋" w:cs="仿宋"/>
          <w:color w:val="auto"/>
          <w:highlight w:val="none"/>
          <w:lang w:val="en-US" w:eastAsia="zh-CN"/>
        </w:rPr>
      </w:pPr>
    </w:p>
    <w:p w14:paraId="544F34B7">
      <w:pPr>
        <w:pStyle w:val="24"/>
        <w:keepNext w:val="0"/>
        <w:keepLines w:val="0"/>
        <w:pageBreakBefore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color w:val="auto"/>
          <w:highlight w:val="none"/>
          <w:lang w:val="en-US" w:eastAsia="zh-CN"/>
        </w:rPr>
      </w:pPr>
    </w:p>
    <w:p w14:paraId="01FD8223">
      <w:pPr>
        <w:pStyle w:val="24"/>
        <w:keepNext w:val="0"/>
        <w:keepLines w:val="0"/>
        <w:pageBreakBefore w:val="0"/>
        <w:kinsoku/>
        <w:wordWrap/>
        <w:overflowPunct/>
        <w:topLinePunct w:val="0"/>
        <w:autoSpaceDE/>
        <w:autoSpaceDN/>
        <w:bidi w:val="0"/>
        <w:adjustRightInd/>
        <w:snapToGrid/>
        <w:spacing w:line="500" w:lineRule="exact"/>
        <w:ind w:firstLine="24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注：潜在投标企业属于中小微企业的，请在投标文件中提供“中小企业声明函”，如果未提供或提供虚假的“中小企业声明函”，投标企业将承担由此造成的一切不利后果。</w:t>
      </w:r>
    </w:p>
    <w:p w14:paraId="31F5996B">
      <w:pPr>
        <w:pStyle w:val="24"/>
        <w:ind w:firstLine="240"/>
        <w:jc w:val="both"/>
        <w:rPr>
          <w:rFonts w:hint="eastAsia" w:ascii="仿宋" w:hAnsi="仿宋" w:eastAsia="仿宋" w:cs="仿宋"/>
          <w:color w:val="auto"/>
          <w:highlight w:val="none"/>
        </w:rPr>
      </w:pPr>
    </w:p>
    <w:p w14:paraId="031CF1DF">
      <w:pPr>
        <w:rPr>
          <w:rFonts w:hint="eastAsia" w:ascii="仿宋" w:hAnsi="仿宋" w:eastAsia="仿宋" w:cs="仿宋"/>
          <w:color w:val="auto"/>
          <w:highlight w:val="none"/>
        </w:rPr>
      </w:pPr>
    </w:p>
    <w:p w14:paraId="70A9DA6C">
      <w:pPr>
        <w:pStyle w:val="24"/>
        <w:ind w:left="0" w:leftChars="0" w:firstLine="0" w:firstLineChars="0"/>
        <w:rPr>
          <w:rFonts w:hint="eastAsia" w:ascii="仿宋" w:hAnsi="仿宋" w:eastAsia="仿宋" w:cs="仿宋"/>
          <w:color w:val="auto"/>
          <w:highlight w:val="none"/>
        </w:rPr>
      </w:pPr>
    </w:p>
    <w:p w14:paraId="784D581F">
      <w:pPr>
        <w:pStyle w:val="7"/>
        <w:spacing w:before="0" w:line="240" w:lineRule="atLeast"/>
        <w:jc w:val="center"/>
        <w:rPr>
          <w:rFonts w:hint="eastAsia" w:ascii="仿宋" w:hAnsi="仿宋" w:eastAsia="仿宋" w:cs="仿宋"/>
          <w:color w:val="auto"/>
          <w:sz w:val="28"/>
          <w:szCs w:val="28"/>
          <w:highlight w:val="none"/>
        </w:rPr>
      </w:pPr>
      <w:bookmarkStart w:id="1033" w:name="_Toc2136"/>
      <w:bookmarkStart w:id="1034" w:name="_Toc19284"/>
      <w:bookmarkStart w:id="1035" w:name="_Toc18157"/>
      <w:bookmarkStart w:id="1036" w:name="_Toc26576"/>
      <w:bookmarkStart w:id="1037" w:name="_Toc8110"/>
      <w:bookmarkStart w:id="1038" w:name="_Toc515647825"/>
      <w:bookmarkStart w:id="1039" w:name="_Toc26169"/>
      <w:bookmarkStart w:id="1040" w:name="_Toc14018"/>
      <w:bookmarkStart w:id="1041" w:name="_Toc2966"/>
      <w:bookmarkStart w:id="1042" w:name="OLE_LINK14"/>
      <w:bookmarkStart w:id="1043" w:name="OLE_LINK13"/>
      <w:r>
        <w:rPr>
          <w:rFonts w:hint="eastAsia" w:ascii="仿宋" w:hAnsi="仿宋" w:eastAsia="仿宋" w:cs="仿宋"/>
          <w:color w:val="auto"/>
          <w:sz w:val="28"/>
          <w:szCs w:val="28"/>
          <w:highlight w:val="none"/>
        </w:rPr>
        <w:t>7-3   残疾人福利性单位声明函（投标文件格式十三）</w:t>
      </w:r>
      <w:bookmarkEnd w:id="1033"/>
      <w:bookmarkEnd w:id="1034"/>
      <w:bookmarkEnd w:id="1035"/>
      <w:bookmarkEnd w:id="1036"/>
      <w:bookmarkEnd w:id="1037"/>
      <w:bookmarkEnd w:id="1038"/>
      <w:bookmarkEnd w:id="1039"/>
      <w:bookmarkEnd w:id="1040"/>
      <w:bookmarkEnd w:id="1041"/>
    </w:p>
    <w:bookmarkEnd w:id="1042"/>
    <w:bookmarkEnd w:id="1043"/>
    <w:p w14:paraId="0B06AA43">
      <w:pPr>
        <w:spacing w:line="240" w:lineRule="atLeast"/>
        <w:ind w:left="1080" w:leftChars="257" w:hanging="540"/>
        <w:jc w:val="center"/>
        <w:rPr>
          <w:rFonts w:hint="eastAsia" w:ascii="仿宋" w:hAnsi="仿宋" w:eastAsia="仿宋" w:cs="仿宋"/>
          <w:color w:val="auto"/>
          <w:kern w:val="0"/>
          <w:sz w:val="24"/>
          <w:szCs w:val="20"/>
          <w:highlight w:val="none"/>
        </w:rPr>
      </w:pPr>
    </w:p>
    <w:p w14:paraId="7CD16D94">
      <w:pPr>
        <w:spacing w:line="240" w:lineRule="atLeast"/>
        <w:ind w:firstLine="567"/>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052D4A36">
      <w:pPr>
        <w:spacing w:line="240" w:lineRule="atLeast"/>
        <w:ind w:left="1080" w:leftChars="257" w:hanging="54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本单位对上述声明的真实性负责。如有虚假，将依法承担相应责任。</w:t>
      </w:r>
    </w:p>
    <w:p w14:paraId="5D8731D5">
      <w:pPr>
        <w:spacing w:line="240" w:lineRule="atLeast"/>
        <w:ind w:left="1080" w:leftChars="257" w:hanging="540"/>
        <w:jc w:val="center"/>
        <w:rPr>
          <w:rFonts w:hint="eastAsia" w:ascii="仿宋" w:hAnsi="仿宋" w:eastAsia="仿宋" w:cs="仿宋"/>
          <w:color w:val="auto"/>
          <w:kern w:val="0"/>
          <w:sz w:val="24"/>
          <w:szCs w:val="20"/>
          <w:highlight w:val="none"/>
        </w:rPr>
      </w:pPr>
    </w:p>
    <w:p w14:paraId="05D30FA4">
      <w:pPr>
        <w:spacing w:line="240" w:lineRule="atLeast"/>
        <w:ind w:left="1080" w:leftChars="257" w:hanging="540"/>
        <w:jc w:val="center"/>
        <w:rPr>
          <w:rFonts w:hint="eastAsia" w:ascii="仿宋" w:hAnsi="仿宋" w:eastAsia="仿宋" w:cs="仿宋"/>
          <w:color w:val="auto"/>
          <w:kern w:val="0"/>
          <w:sz w:val="24"/>
          <w:szCs w:val="20"/>
          <w:highlight w:val="none"/>
        </w:rPr>
      </w:pPr>
    </w:p>
    <w:p w14:paraId="6995CC09">
      <w:pPr>
        <w:spacing w:line="240" w:lineRule="atLeast"/>
        <w:ind w:left="1080" w:leftChars="257" w:hanging="540"/>
        <w:jc w:val="center"/>
        <w:rPr>
          <w:rFonts w:hint="eastAsia" w:ascii="仿宋" w:hAnsi="仿宋" w:eastAsia="仿宋" w:cs="仿宋"/>
          <w:color w:val="auto"/>
          <w:kern w:val="0"/>
          <w:sz w:val="24"/>
          <w:szCs w:val="20"/>
          <w:highlight w:val="none"/>
          <w:u w:val="single" w:color="FFFFFF"/>
        </w:rPr>
      </w:pPr>
      <w:r>
        <w:rPr>
          <w:rFonts w:hint="eastAsia" w:ascii="仿宋" w:hAnsi="仿宋" w:eastAsia="仿宋" w:cs="仿宋"/>
          <w:color w:val="auto"/>
          <w:kern w:val="0"/>
          <w:sz w:val="24"/>
          <w:szCs w:val="20"/>
          <w:highlight w:val="none"/>
        </w:rPr>
        <w:t xml:space="preserve">              残疾人福利性单位名称（盖单位章）：</w:t>
      </w:r>
      <w:r>
        <w:rPr>
          <w:rFonts w:hint="eastAsia" w:ascii="仿宋" w:hAnsi="仿宋" w:eastAsia="仿宋" w:cs="仿宋"/>
          <w:color w:val="auto"/>
          <w:kern w:val="0"/>
          <w:sz w:val="24"/>
          <w:szCs w:val="20"/>
          <w:highlight w:val="none"/>
          <w:u w:val="single"/>
        </w:rPr>
        <w:t xml:space="preserve">        </w:t>
      </w:r>
      <w:r>
        <w:rPr>
          <w:rFonts w:hint="eastAsia" w:ascii="仿宋" w:hAnsi="仿宋" w:eastAsia="仿宋" w:cs="仿宋"/>
          <w:color w:val="auto"/>
          <w:kern w:val="0"/>
          <w:sz w:val="24"/>
          <w:szCs w:val="20"/>
          <w:highlight w:val="none"/>
          <w:u w:val="single" w:color="FFFFFF"/>
        </w:rPr>
        <w:t xml:space="preserve">   </w:t>
      </w:r>
    </w:p>
    <w:p w14:paraId="18708C9B">
      <w:pPr>
        <w:spacing w:line="240" w:lineRule="atLeast"/>
        <w:ind w:left="1080" w:leftChars="257" w:hanging="540"/>
        <w:jc w:val="center"/>
        <w:rPr>
          <w:rFonts w:hint="eastAsia" w:ascii="仿宋" w:hAnsi="仿宋" w:eastAsia="仿宋" w:cs="仿宋"/>
          <w:b/>
          <w:color w:val="auto"/>
          <w:kern w:val="0"/>
          <w:sz w:val="24"/>
          <w:szCs w:val="20"/>
          <w:highlight w:val="none"/>
          <w:u w:val="single"/>
        </w:rPr>
      </w:pPr>
      <w:r>
        <w:rPr>
          <w:rFonts w:hint="eastAsia" w:ascii="仿宋" w:hAnsi="仿宋" w:eastAsia="仿宋" w:cs="仿宋"/>
          <w:color w:val="auto"/>
          <w:kern w:val="0"/>
          <w:sz w:val="24"/>
          <w:szCs w:val="20"/>
          <w:highlight w:val="none"/>
          <w:u w:val="single" w:color="FFFFFF"/>
        </w:rPr>
        <w:t xml:space="preserve">              </w:t>
      </w:r>
      <w:r>
        <w:rPr>
          <w:rFonts w:hint="eastAsia" w:ascii="仿宋" w:hAnsi="仿宋" w:eastAsia="仿宋" w:cs="仿宋"/>
          <w:color w:val="auto"/>
          <w:kern w:val="0"/>
          <w:sz w:val="24"/>
          <w:szCs w:val="20"/>
          <w:highlight w:val="none"/>
        </w:rPr>
        <w:t>日  期：</w:t>
      </w:r>
      <w:r>
        <w:rPr>
          <w:rFonts w:hint="eastAsia" w:ascii="仿宋" w:hAnsi="仿宋" w:eastAsia="仿宋" w:cs="仿宋"/>
          <w:b/>
          <w:color w:val="auto"/>
          <w:kern w:val="0"/>
          <w:sz w:val="24"/>
          <w:szCs w:val="20"/>
          <w:highlight w:val="none"/>
          <w:u w:val="single"/>
        </w:rPr>
        <w:t xml:space="preserve">             </w:t>
      </w:r>
    </w:p>
    <w:p w14:paraId="3D03E1DD">
      <w:pPr>
        <w:spacing w:line="240" w:lineRule="atLeast"/>
        <w:ind w:left="1080" w:leftChars="257" w:hanging="540"/>
        <w:jc w:val="center"/>
        <w:rPr>
          <w:rFonts w:hint="eastAsia" w:ascii="仿宋" w:hAnsi="仿宋" w:eastAsia="仿宋" w:cs="仿宋"/>
          <w:b/>
          <w:color w:val="auto"/>
          <w:kern w:val="0"/>
          <w:sz w:val="24"/>
          <w:szCs w:val="20"/>
          <w:highlight w:val="none"/>
        </w:rPr>
      </w:pPr>
    </w:p>
    <w:p w14:paraId="0ED82B37">
      <w:pPr>
        <w:spacing w:line="240" w:lineRule="atLeast"/>
        <w:ind w:left="1080" w:leftChars="257" w:hanging="540"/>
        <w:jc w:val="center"/>
        <w:rPr>
          <w:rFonts w:hint="eastAsia" w:ascii="仿宋" w:hAnsi="仿宋" w:eastAsia="仿宋" w:cs="仿宋"/>
          <w:b/>
          <w:color w:val="auto"/>
          <w:kern w:val="0"/>
          <w:sz w:val="24"/>
          <w:szCs w:val="20"/>
          <w:highlight w:val="none"/>
        </w:rPr>
      </w:pPr>
    </w:p>
    <w:p w14:paraId="46EF5BEA">
      <w:pPr>
        <w:pStyle w:val="4"/>
        <w:rPr>
          <w:rFonts w:hint="eastAsia" w:ascii="仿宋" w:hAnsi="仿宋" w:eastAsia="仿宋" w:cs="仿宋"/>
          <w:b/>
          <w:color w:val="auto"/>
          <w:highlight w:val="none"/>
        </w:rPr>
      </w:pPr>
    </w:p>
    <w:p w14:paraId="0D6EEFF3">
      <w:pPr>
        <w:rPr>
          <w:rFonts w:hint="eastAsia" w:ascii="仿宋" w:hAnsi="仿宋" w:eastAsia="仿宋" w:cs="仿宋"/>
          <w:b/>
          <w:color w:val="auto"/>
          <w:kern w:val="0"/>
          <w:sz w:val="24"/>
          <w:szCs w:val="20"/>
          <w:highlight w:val="none"/>
        </w:rPr>
      </w:pPr>
    </w:p>
    <w:p w14:paraId="11683380">
      <w:pPr>
        <w:pStyle w:val="4"/>
        <w:rPr>
          <w:rFonts w:hint="eastAsia" w:ascii="仿宋" w:hAnsi="仿宋" w:eastAsia="仿宋" w:cs="仿宋"/>
          <w:b/>
          <w:color w:val="auto"/>
          <w:highlight w:val="none"/>
        </w:rPr>
      </w:pPr>
    </w:p>
    <w:p w14:paraId="45918702">
      <w:pPr>
        <w:rPr>
          <w:rFonts w:hint="eastAsia" w:ascii="仿宋" w:hAnsi="仿宋" w:eastAsia="仿宋" w:cs="仿宋"/>
          <w:b/>
          <w:color w:val="auto"/>
          <w:kern w:val="0"/>
          <w:sz w:val="24"/>
          <w:szCs w:val="20"/>
          <w:highlight w:val="none"/>
        </w:rPr>
      </w:pPr>
    </w:p>
    <w:p w14:paraId="1C4A5FB6">
      <w:pPr>
        <w:pStyle w:val="4"/>
        <w:rPr>
          <w:rFonts w:hint="eastAsia" w:ascii="仿宋" w:hAnsi="仿宋" w:eastAsia="仿宋" w:cs="仿宋"/>
          <w:b/>
          <w:color w:val="auto"/>
          <w:highlight w:val="none"/>
        </w:rPr>
      </w:pPr>
    </w:p>
    <w:p w14:paraId="0721A2D9">
      <w:pPr>
        <w:rPr>
          <w:rFonts w:hint="eastAsia" w:ascii="仿宋" w:hAnsi="仿宋" w:eastAsia="仿宋" w:cs="仿宋"/>
          <w:b/>
          <w:color w:val="auto"/>
          <w:kern w:val="0"/>
          <w:sz w:val="24"/>
          <w:szCs w:val="20"/>
          <w:highlight w:val="none"/>
        </w:rPr>
      </w:pPr>
    </w:p>
    <w:p w14:paraId="767CABC6">
      <w:pPr>
        <w:pStyle w:val="4"/>
        <w:rPr>
          <w:rFonts w:hint="eastAsia" w:ascii="仿宋" w:hAnsi="仿宋" w:eastAsia="仿宋" w:cs="仿宋"/>
          <w:b/>
          <w:color w:val="auto"/>
          <w:highlight w:val="none"/>
        </w:rPr>
      </w:pPr>
    </w:p>
    <w:p w14:paraId="63BE35EE">
      <w:pPr>
        <w:rPr>
          <w:rFonts w:hint="eastAsia" w:ascii="仿宋" w:hAnsi="仿宋" w:eastAsia="仿宋" w:cs="仿宋"/>
          <w:color w:val="auto"/>
          <w:highlight w:val="none"/>
        </w:rPr>
      </w:pPr>
    </w:p>
    <w:p w14:paraId="64CE54B1">
      <w:pPr>
        <w:pStyle w:val="4"/>
        <w:rPr>
          <w:rFonts w:hint="eastAsia" w:ascii="仿宋" w:hAnsi="仿宋" w:eastAsia="仿宋" w:cs="仿宋"/>
          <w:b/>
          <w:color w:val="auto"/>
          <w:highlight w:val="none"/>
        </w:rPr>
      </w:pPr>
    </w:p>
    <w:p w14:paraId="56688C37">
      <w:pPr>
        <w:rPr>
          <w:rFonts w:hint="eastAsia" w:ascii="仿宋" w:hAnsi="仿宋" w:eastAsia="仿宋" w:cs="仿宋"/>
          <w:b/>
          <w:color w:val="auto"/>
          <w:kern w:val="0"/>
          <w:sz w:val="24"/>
          <w:szCs w:val="20"/>
          <w:highlight w:val="none"/>
        </w:rPr>
      </w:pPr>
    </w:p>
    <w:p w14:paraId="379BE99D">
      <w:pPr>
        <w:pStyle w:val="4"/>
        <w:rPr>
          <w:rFonts w:hint="eastAsia" w:ascii="仿宋" w:hAnsi="仿宋" w:eastAsia="仿宋" w:cs="仿宋"/>
          <w:b/>
          <w:color w:val="auto"/>
          <w:highlight w:val="none"/>
        </w:rPr>
      </w:pPr>
    </w:p>
    <w:p w14:paraId="3287B5A8">
      <w:pPr>
        <w:rPr>
          <w:rFonts w:hint="eastAsia" w:ascii="仿宋" w:hAnsi="仿宋" w:eastAsia="仿宋" w:cs="仿宋"/>
          <w:b/>
          <w:color w:val="auto"/>
          <w:kern w:val="0"/>
          <w:sz w:val="24"/>
          <w:szCs w:val="20"/>
          <w:highlight w:val="none"/>
        </w:rPr>
      </w:pPr>
    </w:p>
    <w:p w14:paraId="319F8670">
      <w:pPr>
        <w:pStyle w:val="4"/>
        <w:rPr>
          <w:rFonts w:hint="eastAsia" w:ascii="仿宋" w:hAnsi="仿宋" w:eastAsia="仿宋" w:cs="仿宋"/>
          <w:b/>
          <w:color w:val="auto"/>
          <w:highlight w:val="none"/>
        </w:rPr>
      </w:pPr>
    </w:p>
    <w:p w14:paraId="07BC8998">
      <w:pPr>
        <w:rPr>
          <w:rFonts w:hint="eastAsia" w:ascii="仿宋" w:hAnsi="仿宋" w:eastAsia="仿宋" w:cs="仿宋"/>
          <w:color w:val="auto"/>
          <w:highlight w:val="none"/>
        </w:rPr>
      </w:pPr>
    </w:p>
    <w:p w14:paraId="4DA12C94">
      <w:pPr>
        <w:spacing w:line="240" w:lineRule="atLeast"/>
        <w:ind w:left="1080" w:leftChars="257" w:hanging="540"/>
        <w:jc w:val="center"/>
        <w:rPr>
          <w:rFonts w:hint="eastAsia" w:ascii="仿宋" w:hAnsi="仿宋" w:eastAsia="仿宋" w:cs="仿宋"/>
          <w:b/>
          <w:color w:val="auto"/>
          <w:kern w:val="0"/>
          <w:sz w:val="24"/>
          <w:szCs w:val="20"/>
          <w:highlight w:val="none"/>
        </w:rPr>
      </w:pPr>
    </w:p>
    <w:p w14:paraId="5F46888F">
      <w:pPr>
        <w:pStyle w:val="4"/>
        <w:rPr>
          <w:rFonts w:hint="eastAsia" w:ascii="仿宋" w:hAnsi="仿宋" w:eastAsia="仿宋" w:cs="仿宋"/>
          <w:b/>
          <w:color w:val="auto"/>
          <w:highlight w:val="none"/>
        </w:rPr>
      </w:pPr>
    </w:p>
    <w:p w14:paraId="4B745BC0">
      <w:pPr>
        <w:rPr>
          <w:rFonts w:hint="eastAsia" w:ascii="仿宋" w:hAnsi="仿宋" w:eastAsia="仿宋" w:cs="仿宋"/>
          <w:b/>
          <w:color w:val="auto"/>
          <w:kern w:val="0"/>
          <w:sz w:val="24"/>
          <w:szCs w:val="20"/>
          <w:highlight w:val="none"/>
        </w:rPr>
      </w:pPr>
    </w:p>
    <w:p w14:paraId="4BF5E56B">
      <w:pPr>
        <w:pStyle w:val="4"/>
        <w:rPr>
          <w:rFonts w:hint="eastAsia" w:ascii="仿宋" w:hAnsi="仿宋" w:eastAsia="仿宋" w:cs="仿宋"/>
          <w:color w:val="auto"/>
          <w:highlight w:val="none"/>
        </w:rPr>
      </w:pPr>
    </w:p>
    <w:p w14:paraId="173E16F3">
      <w:pPr>
        <w:rPr>
          <w:rFonts w:hint="eastAsia" w:ascii="仿宋" w:hAnsi="仿宋" w:eastAsia="仿宋" w:cs="仿宋"/>
          <w:color w:val="auto"/>
          <w:highlight w:val="none"/>
        </w:rPr>
      </w:pPr>
    </w:p>
    <w:p w14:paraId="3067F7E1">
      <w:pPr>
        <w:rPr>
          <w:rFonts w:hint="eastAsia" w:ascii="仿宋" w:hAnsi="仿宋" w:eastAsia="仿宋" w:cs="仿宋"/>
          <w:color w:val="auto"/>
          <w:highlight w:val="none"/>
        </w:rPr>
      </w:pPr>
    </w:p>
    <w:p w14:paraId="49BC4B1E">
      <w:pPr>
        <w:rPr>
          <w:rFonts w:hint="eastAsia" w:ascii="仿宋" w:hAnsi="仿宋" w:eastAsia="仿宋" w:cs="仿宋"/>
          <w:color w:val="auto"/>
          <w:highlight w:val="none"/>
        </w:rPr>
      </w:pPr>
    </w:p>
    <w:p w14:paraId="784A353A">
      <w:pPr>
        <w:rPr>
          <w:rFonts w:hint="eastAsia" w:ascii="仿宋" w:hAnsi="仿宋" w:eastAsia="仿宋" w:cs="仿宋"/>
          <w:color w:val="auto"/>
          <w:highlight w:val="none"/>
        </w:rPr>
      </w:pPr>
    </w:p>
    <w:p w14:paraId="12CABCFD">
      <w:pPr>
        <w:rPr>
          <w:rFonts w:hint="eastAsia" w:ascii="仿宋" w:hAnsi="仿宋" w:eastAsia="仿宋" w:cs="仿宋"/>
          <w:color w:val="auto"/>
          <w:sz w:val="24"/>
          <w:highlight w:val="none"/>
        </w:rPr>
      </w:pPr>
    </w:p>
    <w:p w14:paraId="4FEE1FD7">
      <w:pPr>
        <w:pStyle w:val="4"/>
        <w:rPr>
          <w:rFonts w:hint="eastAsia" w:ascii="仿宋" w:hAnsi="仿宋" w:eastAsia="仿宋" w:cs="仿宋"/>
          <w:color w:val="auto"/>
          <w:highlight w:val="none"/>
        </w:rPr>
      </w:pPr>
    </w:p>
    <w:p w14:paraId="0549B163">
      <w:pPr>
        <w:rPr>
          <w:rFonts w:hint="eastAsia" w:ascii="仿宋" w:hAnsi="仿宋" w:eastAsia="仿宋" w:cs="仿宋"/>
          <w:color w:val="auto"/>
          <w:sz w:val="24"/>
          <w:highlight w:val="none"/>
        </w:rPr>
      </w:pPr>
    </w:p>
    <w:p w14:paraId="21E536C8">
      <w:pPr>
        <w:pStyle w:val="4"/>
        <w:rPr>
          <w:rFonts w:hint="eastAsia" w:ascii="仿宋" w:hAnsi="仿宋" w:eastAsia="仿宋" w:cs="仿宋"/>
          <w:color w:val="auto"/>
          <w:highlight w:val="none"/>
        </w:rPr>
      </w:pPr>
    </w:p>
    <w:p w14:paraId="6F983379">
      <w:pPr>
        <w:rPr>
          <w:rFonts w:hint="eastAsia" w:ascii="仿宋" w:hAnsi="仿宋" w:eastAsia="仿宋" w:cs="仿宋"/>
          <w:color w:val="auto"/>
          <w:sz w:val="24"/>
          <w:highlight w:val="none"/>
        </w:rPr>
      </w:pPr>
    </w:p>
    <w:p w14:paraId="53E7419C">
      <w:pPr>
        <w:pStyle w:val="4"/>
        <w:rPr>
          <w:rFonts w:hint="eastAsia" w:ascii="仿宋" w:hAnsi="仿宋" w:eastAsia="仿宋" w:cs="仿宋"/>
          <w:color w:val="auto"/>
          <w:highlight w:val="none"/>
        </w:rPr>
      </w:pPr>
    </w:p>
    <w:p w14:paraId="18E48756">
      <w:pPr>
        <w:pStyle w:val="5"/>
        <w:rPr>
          <w:rFonts w:hint="eastAsia" w:ascii="仿宋" w:hAnsi="仿宋" w:eastAsia="仿宋" w:cs="仿宋"/>
          <w:color w:val="auto"/>
          <w:highlight w:val="none"/>
        </w:rPr>
      </w:pPr>
    </w:p>
    <w:p w14:paraId="3F917EAD">
      <w:pPr>
        <w:rPr>
          <w:rFonts w:hint="eastAsia"/>
        </w:rPr>
      </w:pPr>
    </w:p>
    <w:p w14:paraId="2AF13B95">
      <w:pPr>
        <w:pStyle w:val="7"/>
        <w:spacing w:before="0" w:line="240" w:lineRule="atLeast"/>
        <w:jc w:val="center"/>
        <w:rPr>
          <w:rFonts w:hint="eastAsia" w:ascii="仿宋" w:hAnsi="仿宋" w:eastAsia="仿宋" w:cs="仿宋"/>
          <w:color w:val="auto"/>
          <w:sz w:val="28"/>
          <w:szCs w:val="28"/>
          <w:highlight w:val="none"/>
        </w:rPr>
      </w:pPr>
      <w:bookmarkStart w:id="1044" w:name="_Toc19677"/>
      <w:bookmarkStart w:id="1045" w:name="_Toc22115"/>
      <w:bookmarkStart w:id="1046" w:name="_Toc15435"/>
      <w:bookmarkStart w:id="1047" w:name="_Toc30013"/>
      <w:bookmarkStart w:id="1048" w:name="_Toc4841"/>
      <w:bookmarkStart w:id="1049" w:name="_Toc6743"/>
      <w:bookmarkStart w:id="1050" w:name="_Toc4413"/>
      <w:r>
        <w:rPr>
          <w:rFonts w:hint="eastAsia" w:ascii="仿宋" w:hAnsi="仿宋" w:eastAsia="仿宋" w:cs="仿宋"/>
          <w:color w:val="auto"/>
          <w:sz w:val="28"/>
          <w:szCs w:val="28"/>
          <w:highlight w:val="none"/>
        </w:rPr>
        <w:t>8   投标人关联单位的说明</w:t>
      </w:r>
      <w:bookmarkEnd w:id="996"/>
      <w:bookmarkEnd w:id="997"/>
      <w:bookmarkEnd w:id="998"/>
      <w:bookmarkEnd w:id="1044"/>
      <w:bookmarkEnd w:id="1045"/>
      <w:bookmarkEnd w:id="1046"/>
      <w:bookmarkEnd w:id="1047"/>
      <w:bookmarkEnd w:id="1048"/>
      <w:bookmarkEnd w:id="1049"/>
      <w:bookmarkEnd w:id="1050"/>
    </w:p>
    <w:p w14:paraId="6523DC8E">
      <w:pPr>
        <w:pStyle w:val="4"/>
        <w:jc w:val="center"/>
        <w:rPr>
          <w:rFonts w:hint="eastAsia" w:ascii="仿宋" w:hAnsi="仿宋" w:eastAsia="仿宋" w:cs="仿宋"/>
          <w:color w:val="auto"/>
          <w:highlight w:val="none"/>
        </w:rPr>
      </w:pPr>
    </w:p>
    <w:p w14:paraId="0984468E">
      <w:pPr>
        <w:pStyle w:val="4"/>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说明：投标人应当如实披露与本单位存在下列关联关系的单位名称：</w:t>
      </w:r>
    </w:p>
    <w:p w14:paraId="0EA00872">
      <w:pPr>
        <w:pStyle w:val="4"/>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（1）与投标人单位负责人为同一人的其他单位；</w:t>
      </w:r>
    </w:p>
    <w:p w14:paraId="73FA1904">
      <w:pPr>
        <w:pStyle w:val="4"/>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    （2）与投标人存在直接控股、管理关系的其他单位。</w:t>
      </w:r>
    </w:p>
    <w:p w14:paraId="39AB2A64">
      <w:pPr>
        <w:pStyle w:val="4"/>
        <w:ind w:firstLine="0"/>
        <w:rPr>
          <w:rFonts w:hint="eastAsia" w:ascii="仿宋" w:hAnsi="仿宋" w:eastAsia="仿宋" w:cs="仿宋"/>
          <w:color w:val="auto"/>
          <w:highlight w:val="none"/>
        </w:rPr>
      </w:pPr>
      <w:bookmarkStart w:id="1051" w:name="_Toc515647828"/>
      <w:bookmarkStart w:id="1052" w:name="_Toc17333"/>
      <w:bookmarkStart w:id="1053" w:name="_Toc7414"/>
    </w:p>
    <w:p w14:paraId="41F89E0F">
      <w:pPr>
        <w:rPr>
          <w:rFonts w:hint="eastAsia" w:ascii="仿宋" w:hAnsi="仿宋" w:eastAsia="仿宋" w:cs="仿宋"/>
          <w:color w:val="auto"/>
          <w:highlight w:val="none"/>
        </w:rPr>
      </w:pPr>
    </w:p>
    <w:p w14:paraId="1B35BF6D">
      <w:pPr>
        <w:pStyle w:val="4"/>
        <w:rPr>
          <w:rFonts w:hint="eastAsia" w:ascii="仿宋" w:hAnsi="仿宋" w:eastAsia="仿宋" w:cs="仿宋"/>
          <w:color w:val="auto"/>
          <w:highlight w:val="none"/>
        </w:rPr>
      </w:pPr>
    </w:p>
    <w:p w14:paraId="70A5399C">
      <w:pPr>
        <w:rPr>
          <w:rFonts w:hint="eastAsia" w:ascii="仿宋" w:hAnsi="仿宋" w:eastAsia="仿宋" w:cs="仿宋"/>
          <w:color w:val="auto"/>
          <w:highlight w:val="none"/>
        </w:rPr>
      </w:pPr>
    </w:p>
    <w:p w14:paraId="16ABC42B">
      <w:pPr>
        <w:pStyle w:val="4"/>
        <w:rPr>
          <w:rFonts w:hint="eastAsia" w:ascii="仿宋" w:hAnsi="仿宋" w:eastAsia="仿宋" w:cs="仿宋"/>
          <w:color w:val="auto"/>
          <w:highlight w:val="none"/>
        </w:rPr>
      </w:pPr>
    </w:p>
    <w:p w14:paraId="3EDB1C3B">
      <w:pPr>
        <w:rPr>
          <w:rFonts w:hint="eastAsia" w:ascii="仿宋" w:hAnsi="仿宋" w:eastAsia="仿宋" w:cs="仿宋"/>
          <w:color w:val="auto"/>
          <w:highlight w:val="none"/>
        </w:rPr>
      </w:pPr>
    </w:p>
    <w:p w14:paraId="3086A8BE">
      <w:pPr>
        <w:pStyle w:val="4"/>
        <w:rPr>
          <w:rFonts w:hint="eastAsia" w:ascii="仿宋" w:hAnsi="仿宋" w:eastAsia="仿宋" w:cs="仿宋"/>
          <w:color w:val="auto"/>
          <w:highlight w:val="none"/>
        </w:rPr>
      </w:pPr>
    </w:p>
    <w:p w14:paraId="43F4144D">
      <w:pPr>
        <w:rPr>
          <w:rFonts w:hint="eastAsia" w:ascii="仿宋" w:hAnsi="仿宋" w:eastAsia="仿宋" w:cs="仿宋"/>
          <w:color w:val="auto"/>
          <w:highlight w:val="none"/>
        </w:rPr>
      </w:pPr>
    </w:p>
    <w:p w14:paraId="6632080D">
      <w:pPr>
        <w:rPr>
          <w:rFonts w:hint="eastAsia" w:ascii="仿宋" w:hAnsi="仿宋" w:eastAsia="仿宋" w:cs="仿宋"/>
          <w:color w:val="auto"/>
          <w:highlight w:val="none"/>
        </w:rPr>
      </w:pPr>
    </w:p>
    <w:p w14:paraId="0DAC9C9D">
      <w:pPr>
        <w:pStyle w:val="4"/>
        <w:rPr>
          <w:rFonts w:hint="eastAsia" w:ascii="仿宋" w:hAnsi="仿宋" w:eastAsia="仿宋" w:cs="仿宋"/>
          <w:color w:val="auto"/>
          <w:highlight w:val="none"/>
        </w:rPr>
      </w:pPr>
    </w:p>
    <w:p w14:paraId="4709A059">
      <w:pPr>
        <w:rPr>
          <w:rFonts w:hint="eastAsia" w:ascii="仿宋" w:hAnsi="仿宋" w:eastAsia="仿宋" w:cs="仿宋"/>
          <w:color w:val="auto"/>
          <w:highlight w:val="none"/>
        </w:rPr>
      </w:pPr>
    </w:p>
    <w:p w14:paraId="2CD310C8">
      <w:pPr>
        <w:pStyle w:val="4"/>
        <w:ind w:firstLine="0"/>
        <w:rPr>
          <w:rFonts w:hint="eastAsia" w:ascii="仿宋" w:hAnsi="仿宋" w:eastAsia="仿宋" w:cs="仿宋"/>
          <w:color w:val="auto"/>
          <w:highlight w:val="none"/>
        </w:rPr>
      </w:pPr>
    </w:p>
    <w:p w14:paraId="7049914E">
      <w:pPr>
        <w:pStyle w:val="7"/>
        <w:spacing w:before="0" w:line="240" w:lineRule="atLeast"/>
        <w:jc w:val="center"/>
        <w:rPr>
          <w:rFonts w:hint="eastAsia" w:ascii="仿宋" w:hAnsi="仿宋" w:eastAsia="仿宋" w:cs="仿宋"/>
          <w:b/>
          <w:bCs/>
          <w:sz w:val="32"/>
          <w:szCs w:val="32"/>
          <w:lang w:val="en-US" w:eastAsia="zh-CN"/>
        </w:rPr>
      </w:pPr>
      <w:bookmarkStart w:id="1054" w:name="_Toc9062"/>
      <w:bookmarkStart w:id="1055" w:name="_Toc17526"/>
      <w:bookmarkStart w:id="1056" w:name="_Toc14234"/>
      <w:bookmarkStart w:id="1057" w:name="_Toc31808"/>
      <w:bookmarkStart w:id="1058" w:name="_Toc17868"/>
      <w:bookmarkStart w:id="1059" w:name="_Toc29083"/>
      <w:bookmarkStart w:id="1060" w:name="_Toc19039"/>
      <w:r>
        <w:rPr>
          <w:rFonts w:hint="eastAsia" w:ascii="仿宋" w:hAnsi="仿宋" w:eastAsia="仿宋" w:cs="仿宋"/>
          <w:color w:val="auto"/>
          <w:sz w:val="28"/>
          <w:szCs w:val="28"/>
          <w:highlight w:val="none"/>
        </w:rPr>
        <w:t>9   投标文件还应包括投标人须知里的所有技术文件</w:t>
      </w:r>
      <w:bookmarkEnd w:id="1051"/>
      <w:bookmarkEnd w:id="1052"/>
      <w:bookmarkEnd w:id="1053"/>
      <w:bookmarkEnd w:id="1054"/>
      <w:bookmarkEnd w:id="1055"/>
      <w:bookmarkEnd w:id="1056"/>
      <w:bookmarkEnd w:id="1057"/>
      <w:bookmarkEnd w:id="1058"/>
      <w:bookmarkEnd w:id="1059"/>
      <w:bookmarkEnd w:id="1060"/>
    </w:p>
    <w:sectPr>
      <w:headerReference r:id="rId8" w:type="default"/>
      <w:footerReference r:id="rId9" w:type="default"/>
      <w:pgSz w:w="11905" w:h="16838"/>
      <w:pgMar w:top="1440" w:right="1083" w:bottom="1440" w:left="1083"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2"/>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CC376">
    <w:pPr>
      <w:pStyle w:val="16"/>
      <w:jc w:val="center"/>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BB508C">
                          <w:pPr>
                            <w:pStyle w:val="16"/>
                          </w:pPr>
                          <w:r>
                            <w:fldChar w:fldCharType="begin"/>
                          </w:r>
                          <w:r>
                            <w:instrText xml:space="preserve"> PAGE  \* MERGEFORMAT </w:instrText>
                          </w:r>
                          <w:r>
                            <w:fldChar w:fldCharType="separate"/>
                          </w:r>
                          <w:r>
                            <w:t>54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7BB508C">
                    <w:pPr>
                      <w:pStyle w:val="1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849EF">
    <w:pPr>
      <w:pStyle w:val="16"/>
      <w:ind w:right="360" w:firstLine="360"/>
      <w:jc w:val="right"/>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9D852A">
                          <w:pPr>
                            <w:pStyle w:val="16"/>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14:paraId="5C9D852A">
                    <w:pPr>
                      <w:pStyle w:val="1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18E3F">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B4F7FA">
                          <w:pPr>
                            <w:pStyle w:val="16"/>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gUys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8E&#10;fShQH6DGvIeAmWn44AdMnv2Azsx7UNHmLzIiGEd5Txd55ZCIyI9Wy9WqwpDA2HxBfPb4PERIH6W3&#10;JBsNjTi/Iis/3kEaU+eUXM35W21MmaFx/zkQM3tY7n3sMVtp2A0ToZ1vT8inx9E31OGmU2I+OVQ2&#10;b8lsxNnYzcYhRL3vyhrlehDeHxI2UXrLFUbYqTDOrLCb9isvxb/3kvX4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BTKyQEAAJsDAAAOAAAAAAAAAAEAIAAAAB4BAABkcnMvZTJvRG9j&#10;LnhtbFBLBQYAAAAABgAGAFkBAABZBQAAAAA=&#10;">
              <v:fill on="f" focussize="0,0"/>
              <v:stroke on="f"/>
              <v:imagedata o:title=""/>
              <o:lock v:ext="edit" aspectratio="f"/>
              <v:textbox inset="0mm,0mm,0mm,0mm" style="mso-fit-shape-to-text:t;">
                <w:txbxContent>
                  <w:p w14:paraId="0EB4F7FA">
                    <w:pPr>
                      <w:pStyle w:val="16"/>
                    </w:pPr>
                    <w:r>
                      <w:fldChar w:fldCharType="begin"/>
                    </w:r>
                    <w:r>
                      <w:instrText xml:space="preserve"> PAGE  \* MERGEFORMAT </w:instrText>
                    </w:r>
                    <w:r>
                      <w:fldChar w:fldCharType="separate"/>
                    </w:r>
                    <w:r>
                      <w:t>28</w:t>
                    </w:r>
                    <w:r>
                      <w:fldChar w:fldCharType="end"/>
                    </w:r>
                  </w:p>
                </w:txbxContent>
              </v:textbox>
            </v:shape>
          </w:pict>
        </mc:Fallback>
      </mc:AlternateContent>
    </w:r>
  </w:p>
  <w:p w14:paraId="3A7C3D21">
    <w:pPr>
      <w:pStyle w:val="16"/>
      <w:ind w:right="360"/>
      <w:jc w:val="right"/>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46FBC">
    <w:pPr>
      <w:pStyle w:val="16"/>
      <w:jc w:val="center"/>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F75D1D">
                          <w:pPr>
                            <w:pStyle w:val="16"/>
                          </w:pPr>
                          <w:r>
                            <w:fldChar w:fldCharType="begin"/>
                          </w:r>
                          <w:r>
                            <w:instrText xml:space="preserve"> PAGE  \* MERGEFORMAT </w:instrText>
                          </w:r>
                          <w:r>
                            <w:fldChar w:fldCharType="separate"/>
                          </w:r>
                          <w:r>
                            <w:t>54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7F75D1D">
                    <w:pPr>
                      <w:pStyle w:val="1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90D8B">
    <w:pPr>
      <w:pStyle w:val="17"/>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CB9B1">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76454">
    <w:pPr>
      <w:pStyle w:val="1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11CCF"/>
    <w:multiLevelType w:val="singleLevel"/>
    <w:tmpl w:val="97311CCF"/>
    <w:lvl w:ilvl="0" w:tentative="0">
      <w:start w:val="2"/>
      <w:numFmt w:val="decimal"/>
      <w:suff w:val="nothing"/>
      <w:lvlText w:val="%1、"/>
      <w:lvlJc w:val="left"/>
    </w:lvl>
  </w:abstractNum>
  <w:abstractNum w:abstractNumId="1">
    <w:nsid w:val="9AA19017"/>
    <w:multiLevelType w:val="singleLevel"/>
    <w:tmpl w:val="9AA19017"/>
    <w:lvl w:ilvl="0" w:tentative="0">
      <w:start w:val="1"/>
      <w:numFmt w:val="chineseCounting"/>
      <w:suff w:val="space"/>
      <w:lvlText w:val="第%1部分"/>
      <w:lvlJc w:val="left"/>
      <w:rPr>
        <w:rFonts w:hint="eastAsia" w:ascii="仿宋" w:hAnsi="仿宋" w:eastAsia="仿宋" w:cs="仿宋"/>
        <w:sz w:val="28"/>
        <w:szCs w:val="28"/>
      </w:rPr>
    </w:lvl>
  </w:abstractNum>
  <w:abstractNum w:abstractNumId="2">
    <w:nsid w:val="BA667768"/>
    <w:multiLevelType w:val="singleLevel"/>
    <w:tmpl w:val="BA667768"/>
    <w:lvl w:ilvl="0" w:tentative="0">
      <w:start w:val="6"/>
      <w:numFmt w:val="chineseCounting"/>
      <w:suff w:val="nothing"/>
      <w:lvlText w:val="%1、"/>
      <w:lvlJc w:val="left"/>
      <w:rPr>
        <w:rFonts w:hint="eastAsia"/>
        <w:b/>
        <w:bCs/>
      </w:rPr>
    </w:lvl>
  </w:abstractNum>
  <w:abstractNum w:abstractNumId="3">
    <w:nsid w:val="C5B0A20D"/>
    <w:multiLevelType w:val="singleLevel"/>
    <w:tmpl w:val="C5B0A20D"/>
    <w:lvl w:ilvl="0" w:tentative="0">
      <w:start w:val="1"/>
      <w:numFmt w:val="decimal"/>
      <w:suff w:val="nothing"/>
      <w:lvlText w:val="（%1）"/>
      <w:lvlJc w:val="left"/>
      <w:pPr>
        <w:ind w:left="-50"/>
      </w:pPr>
    </w:lvl>
  </w:abstractNum>
  <w:abstractNum w:abstractNumId="4">
    <w:nsid w:val="F0315B56"/>
    <w:multiLevelType w:val="singleLevel"/>
    <w:tmpl w:val="F0315B56"/>
    <w:lvl w:ilvl="0" w:tentative="0">
      <w:start w:val="2"/>
      <w:numFmt w:val="chineseCounting"/>
      <w:suff w:val="nothing"/>
      <w:lvlText w:val="（%1）"/>
      <w:lvlJc w:val="left"/>
      <w:rPr>
        <w:rFonts w:hint="eastAsia"/>
      </w:rPr>
    </w:lvl>
  </w:abstractNum>
  <w:abstractNum w:abstractNumId="5">
    <w:nsid w:val="06EC030F"/>
    <w:multiLevelType w:val="singleLevel"/>
    <w:tmpl w:val="06EC030F"/>
    <w:lvl w:ilvl="0" w:tentative="0">
      <w:start w:val="1"/>
      <w:numFmt w:val="decimal"/>
      <w:pStyle w:val="19"/>
      <w:lvlText w:val="%1."/>
      <w:lvlJc w:val="left"/>
      <w:pPr>
        <w:tabs>
          <w:tab w:val="left" w:pos="2040"/>
        </w:tabs>
        <w:ind w:left="2040" w:hanging="360"/>
      </w:pPr>
    </w:lvl>
  </w:abstractNum>
  <w:abstractNum w:abstractNumId="6">
    <w:nsid w:val="0EF77022"/>
    <w:multiLevelType w:val="singleLevel"/>
    <w:tmpl w:val="0EF77022"/>
    <w:lvl w:ilvl="0" w:tentative="0">
      <w:start w:val="4"/>
      <w:numFmt w:val="chineseCounting"/>
      <w:suff w:val="space"/>
      <w:lvlText w:val="第%1章"/>
      <w:lvlJc w:val="left"/>
      <w:rPr>
        <w:rFonts w:hint="eastAsia"/>
      </w:rPr>
    </w:lvl>
  </w:abstractNum>
  <w:abstractNum w:abstractNumId="7">
    <w:nsid w:val="312F75E9"/>
    <w:multiLevelType w:val="singleLevel"/>
    <w:tmpl w:val="312F75E9"/>
    <w:lvl w:ilvl="0" w:tentative="0">
      <w:start w:val="1"/>
      <w:numFmt w:val="decimal"/>
      <w:suff w:val="nothing"/>
      <w:lvlText w:val="%1、"/>
      <w:lvlJc w:val="left"/>
    </w:lvl>
  </w:abstractNum>
  <w:abstractNum w:abstractNumId="8">
    <w:nsid w:val="3531AF71"/>
    <w:multiLevelType w:val="singleLevel"/>
    <w:tmpl w:val="3531AF71"/>
    <w:lvl w:ilvl="0" w:tentative="0">
      <w:start w:val="1"/>
      <w:numFmt w:val="decimal"/>
      <w:suff w:val="nothing"/>
      <w:lvlText w:val="（%1）"/>
      <w:lvlJc w:val="left"/>
    </w:lvl>
  </w:abstractNum>
  <w:abstractNum w:abstractNumId="9">
    <w:nsid w:val="377D9FDF"/>
    <w:multiLevelType w:val="singleLevel"/>
    <w:tmpl w:val="377D9FDF"/>
    <w:lvl w:ilvl="0" w:tentative="0">
      <w:start w:val="1"/>
      <w:numFmt w:val="decimal"/>
      <w:suff w:val="nothing"/>
      <w:lvlText w:val="（%1）"/>
      <w:lvlJc w:val="left"/>
    </w:lvl>
  </w:abstractNum>
  <w:abstractNum w:abstractNumId="10">
    <w:nsid w:val="40D25452"/>
    <w:multiLevelType w:val="singleLevel"/>
    <w:tmpl w:val="40D25452"/>
    <w:lvl w:ilvl="0" w:tentative="0">
      <w:start w:val="8"/>
      <w:numFmt w:val="decimal"/>
      <w:suff w:val="nothing"/>
      <w:lvlText w:val="%1、"/>
      <w:lvlJc w:val="left"/>
      <w:pPr>
        <w:ind w:left="479" w:leftChars="0" w:firstLine="0" w:firstLineChars="0"/>
      </w:pPr>
    </w:lvl>
  </w:abstractNum>
  <w:abstractNum w:abstractNumId="11">
    <w:nsid w:val="4788AFEC"/>
    <w:multiLevelType w:val="singleLevel"/>
    <w:tmpl w:val="4788AFEC"/>
    <w:lvl w:ilvl="0" w:tentative="0">
      <w:start w:val="9"/>
      <w:numFmt w:val="chineseCounting"/>
      <w:suff w:val="nothing"/>
      <w:lvlText w:val="（%1）"/>
      <w:lvlJc w:val="left"/>
      <w:rPr>
        <w:rFonts w:hint="eastAsia"/>
      </w:rPr>
    </w:lvl>
  </w:abstractNum>
  <w:abstractNum w:abstractNumId="12">
    <w:nsid w:val="59EABB6D"/>
    <w:multiLevelType w:val="singleLevel"/>
    <w:tmpl w:val="59EABB6D"/>
    <w:lvl w:ilvl="0" w:tentative="0">
      <w:start w:val="1"/>
      <w:numFmt w:val="decimal"/>
      <w:pStyle w:val="11"/>
      <w:lvlText w:val="%1."/>
      <w:lvlJc w:val="left"/>
      <w:pPr>
        <w:tabs>
          <w:tab w:val="left" w:pos="360"/>
        </w:tabs>
        <w:ind w:left="360" w:hanging="360"/>
      </w:pPr>
    </w:lvl>
  </w:abstractNum>
  <w:abstractNum w:abstractNumId="13">
    <w:nsid w:val="74FD8C84"/>
    <w:multiLevelType w:val="singleLevel"/>
    <w:tmpl w:val="74FD8C84"/>
    <w:lvl w:ilvl="0" w:tentative="0">
      <w:start w:val="1"/>
      <w:numFmt w:val="decimal"/>
      <w:lvlText w:val="%1."/>
      <w:lvlJc w:val="left"/>
      <w:pPr>
        <w:tabs>
          <w:tab w:val="left" w:pos="312"/>
        </w:tabs>
      </w:pPr>
    </w:lvl>
  </w:abstractNum>
  <w:num w:numId="1">
    <w:abstractNumId w:val="12"/>
  </w:num>
  <w:num w:numId="2">
    <w:abstractNumId w:val="5"/>
  </w:num>
  <w:num w:numId="3">
    <w:abstractNumId w:val="2"/>
  </w:num>
  <w:num w:numId="4">
    <w:abstractNumId w:val="7"/>
  </w:num>
  <w:num w:numId="5">
    <w:abstractNumId w:val="0"/>
  </w:num>
  <w:num w:numId="6">
    <w:abstractNumId w:val="8"/>
  </w:num>
  <w:num w:numId="7">
    <w:abstractNumId w:val="13"/>
  </w:num>
  <w:num w:numId="8">
    <w:abstractNumId w:val="3"/>
  </w:num>
  <w:num w:numId="9">
    <w:abstractNumId w:val="6"/>
  </w:num>
  <w:num w:numId="10">
    <w:abstractNumId w:val="4"/>
  </w:num>
  <w:num w:numId="11">
    <w:abstractNumId w:val="11"/>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2NWEyOGU3M2JhMzZlMGY0M2IyYmY3NDRlZWNkM2QifQ=="/>
  </w:docVars>
  <w:rsids>
    <w:rsidRoot w:val="00172A27"/>
    <w:rsid w:val="012C1B37"/>
    <w:rsid w:val="0319633B"/>
    <w:rsid w:val="068538DA"/>
    <w:rsid w:val="0AF564CF"/>
    <w:rsid w:val="0B17375E"/>
    <w:rsid w:val="0B27509D"/>
    <w:rsid w:val="0BBF2770"/>
    <w:rsid w:val="0BBF5B27"/>
    <w:rsid w:val="0DAD3917"/>
    <w:rsid w:val="0DD91A15"/>
    <w:rsid w:val="0E4E1184"/>
    <w:rsid w:val="1D637BFC"/>
    <w:rsid w:val="213C30FB"/>
    <w:rsid w:val="234E51BC"/>
    <w:rsid w:val="23546593"/>
    <w:rsid w:val="293629CF"/>
    <w:rsid w:val="2BA45B46"/>
    <w:rsid w:val="2BB9422A"/>
    <w:rsid w:val="2C181EB9"/>
    <w:rsid w:val="2FF01551"/>
    <w:rsid w:val="30166F7D"/>
    <w:rsid w:val="30C732E8"/>
    <w:rsid w:val="334E66C5"/>
    <w:rsid w:val="33B17655"/>
    <w:rsid w:val="347D26E5"/>
    <w:rsid w:val="36D46585"/>
    <w:rsid w:val="3C3D296A"/>
    <w:rsid w:val="3E543D2C"/>
    <w:rsid w:val="43F54121"/>
    <w:rsid w:val="471F3702"/>
    <w:rsid w:val="4A8F401D"/>
    <w:rsid w:val="4B505E3C"/>
    <w:rsid w:val="4BF8512B"/>
    <w:rsid w:val="4D2B2B34"/>
    <w:rsid w:val="4EBA7D0F"/>
    <w:rsid w:val="4EE45FAA"/>
    <w:rsid w:val="540E5C66"/>
    <w:rsid w:val="5906686D"/>
    <w:rsid w:val="5AC82FEA"/>
    <w:rsid w:val="5B627C21"/>
    <w:rsid w:val="62833E9E"/>
    <w:rsid w:val="63923C8E"/>
    <w:rsid w:val="65E82994"/>
    <w:rsid w:val="66897250"/>
    <w:rsid w:val="6B174A0D"/>
    <w:rsid w:val="6B2E2815"/>
    <w:rsid w:val="6B542349"/>
    <w:rsid w:val="6E782031"/>
    <w:rsid w:val="6EFF6A1E"/>
    <w:rsid w:val="75C35B6D"/>
    <w:rsid w:val="773508D9"/>
    <w:rsid w:val="77836F25"/>
    <w:rsid w:val="79194C62"/>
    <w:rsid w:val="7A204959"/>
    <w:rsid w:val="7C1C1DF3"/>
    <w:rsid w:val="7E2C1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link w:val="55"/>
    <w:qFormat/>
    <w:uiPriority w:val="0"/>
    <w:pPr>
      <w:keepNext/>
      <w:keepLines/>
      <w:pageBreakBefore/>
      <w:ind w:firstLine="0" w:firstLineChars="0"/>
      <w:jc w:val="center"/>
      <w:outlineLvl w:val="0"/>
    </w:pPr>
    <w:rPr>
      <w:b/>
      <w:bCs/>
      <w:kern w:val="44"/>
      <w:sz w:val="32"/>
      <w:szCs w:val="44"/>
    </w:rPr>
  </w:style>
  <w:style w:type="paragraph" w:styleId="7">
    <w:name w:val="heading 2"/>
    <w:basedOn w:val="1"/>
    <w:next w:val="1"/>
    <w:qFormat/>
    <w:uiPriority w:val="0"/>
    <w:pPr>
      <w:keepNext/>
      <w:keepLines/>
      <w:spacing w:before="260" w:after="260" w:line="800" w:lineRule="exact"/>
      <w:jc w:val="center"/>
      <w:outlineLvl w:val="1"/>
    </w:pPr>
    <w:rPr>
      <w:b/>
      <w:bCs/>
      <w:sz w:val="30"/>
      <w:szCs w:val="32"/>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after="290"/>
      <w:ind w:firstLine="0" w:firstLineChars="0"/>
      <w:outlineLvl w:val="3"/>
    </w:pPr>
    <w:rPr>
      <w:rFonts w:ascii="Arial" w:hAnsi="Arial"/>
      <w:b/>
      <w:bCs/>
      <w:szCs w:val="28"/>
    </w:rPr>
  </w:style>
  <w:style w:type="character" w:default="1" w:styleId="27">
    <w:name w:val="Default Paragraph Font"/>
    <w:semiHidden/>
    <w:qFormat/>
    <w:uiPriority w:val="0"/>
  </w:style>
  <w:style w:type="table" w:default="1" w:styleId="2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szCs w:val="24"/>
    </w:rPr>
  </w:style>
  <w:style w:type="paragraph" w:styleId="3">
    <w:name w:val="Body Text Indent"/>
    <w:basedOn w:val="1"/>
    <w:next w:val="1"/>
    <w:qFormat/>
    <w:uiPriority w:val="0"/>
    <w:pPr>
      <w:spacing w:line="360" w:lineRule="auto"/>
      <w:ind w:firstLine="570"/>
    </w:pPr>
    <w:rPr>
      <w:sz w:val="24"/>
    </w:rPr>
  </w:style>
  <w:style w:type="paragraph" w:styleId="4">
    <w:name w:val="Normal Indent"/>
    <w:basedOn w:val="1"/>
    <w:next w:val="5"/>
    <w:qFormat/>
    <w:uiPriority w:val="0"/>
    <w:pPr>
      <w:autoSpaceDE w:val="0"/>
      <w:autoSpaceDN w:val="0"/>
      <w:adjustRightInd w:val="0"/>
      <w:ind w:firstLine="420"/>
      <w:jc w:val="left"/>
    </w:pPr>
    <w:rPr>
      <w:rFonts w:ascii="宋体"/>
      <w:kern w:val="0"/>
      <w:sz w:val="24"/>
      <w:szCs w:val="20"/>
    </w:rPr>
  </w:style>
  <w:style w:type="paragraph" w:styleId="5">
    <w:name w:val="toa heading"/>
    <w:basedOn w:val="1"/>
    <w:next w:val="1"/>
    <w:qFormat/>
    <w:uiPriority w:val="0"/>
    <w:pPr>
      <w:widowControl/>
      <w:spacing w:before="120"/>
      <w:ind w:firstLine="3584"/>
    </w:pPr>
  </w:style>
  <w:style w:type="paragraph" w:styleId="10">
    <w:name w:val="table of authorities"/>
    <w:basedOn w:val="1"/>
    <w:next w:val="1"/>
    <w:unhideWhenUsed/>
    <w:qFormat/>
    <w:uiPriority w:val="99"/>
    <w:pPr>
      <w:ind w:left="420" w:leftChars="200"/>
    </w:pPr>
  </w:style>
  <w:style w:type="paragraph" w:styleId="11">
    <w:name w:val="List Number"/>
    <w:basedOn w:val="1"/>
    <w:qFormat/>
    <w:uiPriority w:val="0"/>
    <w:pPr>
      <w:numPr>
        <w:ilvl w:val="0"/>
        <w:numId w:val="1"/>
      </w:numPr>
    </w:pPr>
  </w:style>
  <w:style w:type="paragraph" w:styleId="12">
    <w:name w:val="Body Text 3"/>
    <w:basedOn w:val="1"/>
    <w:next w:val="1"/>
    <w:qFormat/>
    <w:uiPriority w:val="0"/>
    <w:pPr>
      <w:spacing w:line="440" w:lineRule="exact"/>
    </w:pPr>
    <w:rPr>
      <w:color w:val="000000"/>
      <w:kern w:val="2"/>
      <w:sz w:val="21"/>
      <w:szCs w:val="20"/>
    </w:rPr>
  </w:style>
  <w:style w:type="paragraph" w:styleId="13">
    <w:name w:val="Body Text"/>
    <w:basedOn w:val="1"/>
    <w:next w:val="14"/>
    <w:qFormat/>
    <w:uiPriority w:val="99"/>
    <w:pPr>
      <w:tabs>
        <w:tab w:val="left" w:pos="567"/>
      </w:tabs>
      <w:spacing w:before="120" w:line="22" w:lineRule="atLeast"/>
    </w:pPr>
    <w:rPr>
      <w:rFonts w:ascii="宋体" w:hAnsi="宋体" w:cs="宋体"/>
      <w:sz w:val="24"/>
      <w:szCs w:val="24"/>
    </w:rPr>
  </w:style>
  <w:style w:type="paragraph" w:styleId="14">
    <w:name w:val="Body Text 2"/>
    <w:basedOn w:val="1"/>
    <w:qFormat/>
    <w:uiPriority w:val="0"/>
    <w:pPr>
      <w:spacing w:after="120" w:line="480" w:lineRule="auto"/>
    </w:pPr>
    <w:rPr>
      <w:rFonts w:ascii="Arial" w:hAnsi="Arial"/>
      <w:sz w:val="24"/>
    </w:rPr>
  </w:style>
  <w:style w:type="paragraph" w:styleId="15">
    <w:name w:val="Plain Text"/>
    <w:basedOn w:val="1"/>
    <w:qFormat/>
    <w:uiPriority w:val="0"/>
    <w:rPr>
      <w:rFonts w:ascii="宋体" w:hAnsi="Courier New" w:cs="Courier New"/>
      <w:szCs w:val="21"/>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next w:val="1"/>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0"/>
  </w:style>
  <w:style w:type="paragraph" w:styleId="19">
    <w:name w:val="List Number 5"/>
    <w:basedOn w:val="1"/>
    <w:qFormat/>
    <w:uiPriority w:val="0"/>
    <w:pPr>
      <w:numPr>
        <w:ilvl w:val="0"/>
        <w:numId w:val="2"/>
      </w:numPr>
    </w:pPr>
  </w:style>
  <w:style w:type="paragraph" w:styleId="20">
    <w:name w:val="footnote text"/>
    <w:basedOn w:val="1"/>
    <w:next w:val="13"/>
    <w:qFormat/>
    <w:uiPriority w:val="0"/>
    <w:pPr>
      <w:spacing w:line="360" w:lineRule="auto"/>
    </w:pPr>
    <w:rPr>
      <w:sz w:val="18"/>
      <w:szCs w:val="20"/>
    </w:rPr>
  </w:style>
  <w:style w:type="paragraph" w:styleId="21">
    <w:name w:val="toc 6"/>
    <w:basedOn w:val="1"/>
    <w:next w:val="1"/>
    <w:qFormat/>
    <w:uiPriority w:val="0"/>
    <w:pPr>
      <w:ind w:left="1050"/>
      <w:jc w:val="left"/>
    </w:pPr>
    <w:rPr>
      <w:rFonts w:ascii="Calibri" w:hAnsi="Calibri"/>
      <w:sz w:val="18"/>
      <w:szCs w:val="18"/>
    </w:rPr>
  </w:style>
  <w:style w:type="paragraph" w:styleId="22">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3">
    <w:name w:val="Normal (Web)"/>
    <w:basedOn w:val="1"/>
    <w:next w:val="17"/>
    <w:qFormat/>
    <w:uiPriority w:val="0"/>
    <w:pPr>
      <w:widowControl/>
      <w:spacing w:before="100" w:beforeAutospacing="1" w:after="100" w:afterAutospacing="1"/>
      <w:jc w:val="left"/>
    </w:pPr>
    <w:rPr>
      <w:rFonts w:ascii="宋体" w:hAnsi="宋体" w:cs="宋体"/>
      <w:kern w:val="0"/>
      <w:sz w:val="24"/>
    </w:rPr>
  </w:style>
  <w:style w:type="paragraph" w:styleId="24">
    <w:name w:val="Body Text First Indent"/>
    <w:basedOn w:val="13"/>
    <w:next w:val="1"/>
    <w:qFormat/>
    <w:uiPriority w:val="0"/>
    <w:pPr>
      <w:ind w:firstLine="420" w:firstLineChars="100"/>
    </w:pPr>
  </w:style>
  <w:style w:type="table" w:styleId="26">
    <w:name w:val="Table Grid"/>
    <w:basedOn w:val="2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8">
    <w:name w:val="Strong"/>
    <w:basedOn w:val="27"/>
    <w:qFormat/>
    <w:uiPriority w:val="0"/>
    <w:rPr>
      <w:b/>
    </w:rPr>
  </w:style>
  <w:style w:type="character" w:styleId="29">
    <w:name w:val="Hyperlink"/>
    <w:qFormat/>
    <w:uiPriority w:val="0"/>
    <w:rPr>
      <w:color w:val="0000FF"/>
      <w:u w:val="single"/>
    </w:rPr>
  </w:style>
  <w:style w:type="paragraph" w:customStyle="1" w:styleId="30">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大标题"/>
    <w:basedOn w:val="1"/>
    <w:next w:val="2"/>
    <w:qFormat/>
    <w:uiPriority w:val="0"/>
    <w:pPr>
      <w:jc w:val="center"/>
    </w:pPr>
    <w:rPr>
      <w:rFonts w:ascii="Arial" w:hAnsi="Arial" w:eastAsia="宋体" w:cs="Times New Roman"/>
      <w:b/>
      <w:sz w:val="28"/>
      <w:szCs w:val="24"/>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6">
    <w:name w:val="标书正文"/>
    <w:basedOn w:val="1"/>
    <w:qFormat/>
    <w:uiPriority w:val="0"/>
    <w:pPr>
      <w:ind w:firstLine="0" w:firstLineChars="0"/>
      <w:jc w:val="left"/>
    </w:pPr>
    <w:rPr>
      <w:rFonts w:ascii="仿宋_GB2312"/>
      <w:szCs w:val="20"/>
    </w:rPr>
  </w:style>
  <w:style w:type="paragraph" w:customStyle="1" w:styleId="37">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38">
    <w:name w:val="索引 11"/>
    <w:basedOn w:val="1"/>
    <w:next w:val="1"/>
    <w:qFormat/>
    <w:uiPriority w:val="0"/>
    <w:pPr>
      <w:spacing w:line="360" w:lineRule="auto"/>
    </w:pPr>
    <w:rPr>
      <w:rFonts w:ascii="仿宋_GB2312" w:eastAsia="仿宋_GB2312"/>
      <w:sz w:val="24"/>
      <w:szCs w:val="20"/>
    </w:rPr>
  </w:style>
  <w:style w:type="paragraph" w:customStyle="1" w:styleId="39">
    <w:name w:val="纯文本1"/>
    <w:basedOn w:val="1"/>
    <w:qFormat/>
    <w:uiPriority w:val="0"/>
    <w:rPr>
      <w:rFonts w:ascii="宋体" w:hAnsi="Courier New"/>
      <w:kern w:val="0"/>
      <w:sz w:val="20"/>
      <w:szCs w:val="20"/>
    </w:rPr>
  </w:style>
  <w:style w:type="paragraph" w:styleId="40">
    <w:name w:val="List Paragraph"/>
    <w:basedOn w:val="1"/>
    <w:qFormat/>
    <w:uiPriority w:val="34"/>
    <w:pPr>
      <w:widowControl/>
      <w:ind w:firstLine="420" w:firstLineChars="200"/>
      <w:jc w:val="left"/>
    </w:pPr>
    <w:rPr>
      <w:kern w:val="0"/>
      <w:sz w:val="24"/>
    </w:rPr>
  </w:style>
  <w:style w:type="character" w:customStyle="1" w:styleId="41">
    <w:name w:val="bookmark-item"/>
    <w:qFormat/>
    <w:uiPriority w:val="0"/>
  </w:style>
  <w:style w:type="paragraph" w:customStyle="1" w:styleId="42">
    <w:name w:val="正文_1_0"/>
    <w:basedOn w:val="43"/>
    <w:next w:val="47"/>
    <w:qFormat/>
    <w:uiPriority w:val="0"/>
    <w:rPr>
      <w:rFonts w:ascii="Calibri" w:hAnsi="Calibri" w:cs="Calibri"/>
      <w:szCs w:val="21"/>
      <w:lang w:bidi="ug-CN"/>
    </w:rPr>
  </w:style>
  <w:style w:type="paragraph" w:customStyle="1" w:styleId="43">
    <w:name w:val="正文_1_1"/>
    <w:basedOn w:val="44"/>
    <w:qFormat/>
    <w:uiPriority w:val="0"/>
    <w:pPr>
      <w:widowControl w:val="0"/>
      <w:jc w:val="both"/>
    </w:pPr>
    <w:rPr>
      <w:kern w:val="2"/>
      <w:sz w:val="21"/>
      <w:szCs w:val="22"/>
      <w:lang w:val="en-US" w:eastAsia="zh-CN" w:bidi="ar-SA"/>
    </w:rPr>
  </w:style>
  <w:style w:type="paragraph" w:customStyle="1" w:styleId="44">
    <w:name w:val="正文_5"/>
    <w:next w:val="4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引文目录标题_0"/>
    <w:basedOn w:val="46"/>
    <w:next w:val="44"/>
    <w:qFormat/>
    <w:uiPriority w:val="0"/>
    <w:pPr>
      <w:spacing w:before="120" w:beforeLines="0"/>
    </w:pPr>
    <w:rPr>
      <w:rFonts w:ascii="Arial" w:hAnsi="Arial"/>
      <w:sz w:val="24"/>
    </w:rPr>
  </w:style>
  <w:style w:type="paragraph" w:customStyle="1" w:styleId="46">
    <w:name w:val="正文_2_0"/>
    <w:basedOn w:val="43"/>
    <w:next w:val="45"/>
    <w:qFormat/>
    <w:uiPriority w:val="0"/>
    <w:rPr>
      <w:rFonts w:ascii="Calibri" w:hAnsi="Calibri"/>
      <w:szCs w:val="21"/>
      <w:lang w:bidi="ug-CN"/>
    </w:rPr>
  </w:style>
  <w:style w:type="paragraph" w:customStyle="1" w:styleId="47">
    <w:name w:val="正文首行缩进1"/>
    <w:basedOn w:val="48"/>
    <w:unhideWhenUsed/>
    <w:qFormat/>
    <w:uiPriority w:val="99"/>
    <w:pPr>
      <w:ind w:firstLine="420" w:firstLineChars="100"/>
    </w:pPr>
    <w:rPr>
      <w:szCs w:val="22"/>
    </w:rPr>
  </w:style>
  <w:style w:type="paragraph" w:customStyle="1" w:styleId="48">
    <w:name w:val="正文文本_0_0"/>
    <w:basedOn w:val="49"/>
    <w:qFormat/>
    <w:uiPriority w:val="0"/>
    <w:pPr>
      <w:spacing w:after="120"/>
    </w:pPr>
    <w:rPr>
      <w:rFonts w:ascii="Calibri" w:hAnsi="Calibri"/>
      <w:kern w:val="0"/>
      <w:sz w:val="20"/>
    </w:rPr>
  </w:style>
  <w:style w:type="paragraph" w:customStyle="1" w:styleId="49">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Heading3"/>
    <w:basedOn w:val="1"/>
    <w:next w:val="1"/>
    <w:qFormat/>
    <w:uiPriority w:val="0"/>
    <w:pPr>
      <w:widowControl/>
      <w:spacing w:after="50" w:line="360" w:lineRule="auto"/>
      <w:ind w:left="-4"/>
      <w:jc w:val="left"/>
      <w:textAlignment w:val="baseline"/>
    </w:pPr>
    <w:rPr>
      <w:rFonts w:ascii="宋体" w:hAnsi="宋体" w:cs="Times New Roman"/>
      <w:b/>
      <w:color w:val="000000"/>
      <w:kern w:val="0"/>
      <w:sz w:val="30"/>
      <w:lang w:val="en-GB"/>
    </w:rPr>
  </w:style>
  <w:style w:type="paragraph" w:customStyle="1" w:styleId="51">
    <w:name w:val="Table Paragraph"/>
    <w:basedOn w:val="42"/>
    <w:qFormat/>
    <w:uiPriority w:val="0"/>
    <w:rPr>
      <w:rFonts w:ascii="宋体" w:hAnsi="宋体" w:cs="Times New Roman"/>
      <w:lang w:bidi="ar-SA"/>
    </w:rPr>
  </w:style>
  <w:style w:type="paragraph" w:customStyle="1" w:styleId="52">
    <w:name w:val="其他"/>
    <w:basedOn w:val="1"/>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53">
    <w:name w:val="正文文本 (2)"/>
    <w:basedOn w:val="1"/>
    <w:qFormat/>
    <w:uiPriority w:val="0"/>
    <w:pPr>
      <w:widowControl w:val="0"/>
      <w:shd w:val="clear" w:color="auto" w:fill="FFFFFF"/>
      <w:spacing w:after="760"/>
      <w:ind w:left="5920"/>
    </w:pPr>
    <w:rPr>
      <w:rFonts w:ascii="黑体" w:hAnsi="黑体" w:eastAsia="黑体" w:cs="黑体"/>
      <w:sz w:val="44"/>
      <w:szCs w:val="44"/>
      <w:u w:val="none"/>
      <w:lang w:val="zh-CN" w:eastAsia="zh-CN" w:bidi="zh-CN"/>
    </w:rPr>
  </w:style>
  <w:style w:type="paragraph" w:customStyle="1" w:styleId="54">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55">
    <w:name w:val="标题 1 Char"/>
    <w:link w:val="6"/>
    <w:qFormat/>
    <w:uiPriority w:val="0"/>
    <w:rPr>
      <w:b/>
      <w:bCs/>
      <w:kern w:val="44"/>
      <w:sz w:val="32"/>
      <w:szCs w:val="44"/>
    </w:rPr>
  </w:style>
  <w:style w:type="paragraph" w:customStyle="1" w:styleId="56">
    <w:name w:val="Table Text"/>
    <w:basedOn w:val="1"/>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44645</Words>
  <Characters>47083</Characters>
  <Lines>1</Lines>
  <Paragraphs>1</Paragraphs>
  <TotalTime>6</TotalTime>
  <ScaleCrop>false</ScaleCrop>
  <LinksUpToDate>false</LinksUpToDate>
  <CharactersWithSpaces>51122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2023-09-01T10:14:00Z</dcterms:created>
  <dc:creator>Administrator</dc:creator>
  <cp:lastModifiedBy>米朵</cp:lastModifiedBy>
  <dcterms:modified xsi:type="dcterms:W3CDTF">2025-02-11T10:52:51Z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C83AD54BACE248419C51AF59C4E4B03F_13</vt:lpwstr>
  </property>
  <property fmtid="{D5CDD505-2E9C-101B-9397-08002B2CF9AE}" pid="4" name="KSOTemplateDocerSaveRecord">
    <vt:lpwstr>eyJoZGlkIjoiMmE2YzViMjU4ZGI5YjZmNTI4OTUwNTMyZGQ5MmIzZjMiLCJ1c2VySWQiOiI1Mjg0NDExMDkifQ==</vt:lpwstr>
  </property>
</Properties>
</file>