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936B5">
      <w:pPr>
        <w:jc w:val="right"/>
        <w:outlineLvl w:val="9"/>
        <w:rPr>
          <w:rFonts w:hint="eastAsia" w:ascii="仿宋" w:hAnsi="仿宋" w:eastAsia="仿宋" w:cs="仿宋"/>
          <w:b/>
          <w:bCs/>
          <w:color w:val="auto"/>
          <w:sz w:val="24"/>
          <w:highlight w:val="none"/>
          <w:lang w:val="en-US" w:eastAsia="zh-CN"/>
        </w:rPr>
      </w:pPr>
    </w:p>
    <w:p w14:paraId="474A450B">
      <w:pPr>
        <w:pStyle w:val="21"/>
        <w:outlineLvl w:val="9"/>
        <w:rPr>
          <w:rFonts w:hint="eastAsia" w:ascii="仿宋" w:hAnsi="仿宋" w:eastAsia="仿宋" w:cs="仿宋"/>
          <w:b/>
          <w:color w:val="auto"/>
          <w:sz w:val="44"/>
          <w:szCs w:val="44"/>
          <w:highlight w:val="none"/>
        </w:rPr>
      </w:pPr>
    </w:p>
    <w:p w14:paraId="7D1E259E">
      <w:pPr>
        <w:jc w:val="center"/>
        <w:outlineLvl w:val="9"/>
        <w:rPr>
          <w:rFonts w:hint="eastAsia" w:ascii="仿宋" w:hAnsi="仿宋" w:eastAsia="仿宋" w:cs="仿宋"/>
          <w:b/>
          <w:bCs/>
          <w:color w:val="000000"/>
          <w:sz w:val="96"/>
          <w:szCs w:val="96"/>
          <w:highlight w:val="none"/>
        </w:rPr>
      </w:pPr>
    </w:p>
    <w:p w14:paraId="334225D8">
      <w:pPr>
        <w:jc w:val="center"/>
        <w:outlineLvl w:val="9"/>
        <w:rPr>
          <w:rFonts w:hint="eastAsia" w:ascii="仿宋" w:hAnsi="仿宋" w:eastAsia="仿宋" w:cs="仿宋"/>
          <w:b/>
          <w:bCs/>
          <w:color w:val="000000"/>
          <w:sz w:val="72"/>
          <w:szCs w:val="72"/>
          <w:highlight w:val="none"/>
        </w:rPr>
      </w:pPr>
    </w:p>
    <w:p w14:paraId="68009F68">
      <w:pPr>
        <w:jc w:val="center"/>
        <w:outlineLvl w:val="9"/>
        <w:rPr>
          <w:rFonts w:hint="eastAsia" w:ascii="仿宋" w:hAnsi="仿宋" w:eastAsia="仿宋" w:cs="仿宋"/>
          <w:color w:val="000000"/>
          <w:sz w:val="48"/>
          <w:highlight w:val="none"/>
        </w:rPr>
      </w:pPr>
      <w:r>
        <w:rPr>
          <w:rFonts w:hint="eastAsia" w:ascii="仿宋" w:hAnsi="仿宋" w:eastAsia="仿宋" w:cs="仿宋"/>
          <w:b/>
          <w:bCs/>
          <w:color w:val="000000"/>
          <w:sz w:val="96"/>
          <w:szCs w:val="96"/>
          <w:highlight w:val="none"/>
        </w:rPr>
        <w:t>招 标 文 件</w:t>
      </w:r>
    </w:p>
    <w:p w14:paraId="3B8AD55D">
      <w:pPr>
        <w:outlineLvl w:val="9"/>
        <w:rPr>
          <w:rFonts w:hint="eastAsia" w:ascii="仿宋" w:hAnsi="仿宋" w:eastAsia="仿宋" w:cs="仿宋"/>
          <w:color w:val="000000"/>
          <w:sz w:val="48"/>
          <w:highlight w:val="none"/>
        </w:rPr>
      </w:pPr>
    </w:p>
    <w:p w14:paraId="66A4F06F">
      <w:pPr>
        <w:pStyle w:val="43"/>
        <w:spacing w:before="1716" w:beforeLines="550" w:line="360" w:lineRule="auto"/>
        <w:ind w:firstLine="720"/>
        <w:outlineLvl w:val="9"/>
        <w:rPr>
          <w:rFonts w:hint="eastAsia" w:ascii="仿宋" w:hAnsi="仿宋" w:eastAsia="仿宋" w:cs="仿宋"/>
          <w:color w:val="000000"/>
          <w:sz w:val="28"/>
          <w:szCs w:val="28"/>
          <w:highlight w:val="none"/>
        </w:rPr>
      </w:pPr>
    </w:p>
    <w:p w14:paraId="7FEE250F">
      <w:pPr>
        <w:pStyle w:val="43"/>
        <w:spacing w:line="360" w:lineRule="auto"/>
        <w:ind w:left="1400" w:leftChars="0" w:hanging="1400" w:hangingChars="500"/>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项目名称：</w:t>
      </w:r>
      <w:r>
        <w:rPr>
          <w:rFonts w:hint="eastAsia" w:ascii="仿宋" w:hAnsi="仿宋" w:eastAsia="仿宋" w:cs="仿宋"/>
          <w:color w:val="000000"/>
          <w:sz w:val="28"/>
          <w:szCs w:val="28"/>
          <w:highlight w:val="none"/>
          <w:lang w:eastAsia="zh-CN"/>
        </w:rPr>
        <w:t>昭苏县中医医院高压氧舱采购项目</w:t>
      </w:r>
    </w:p>
    <w:p w14:paraId="27C1C314">
      <w:pPr>
        <w:pStyle w:val="43"/>
        <w:spacing w:line="360" w:lineRule="auto"/>
        <w:ind w:left="0" w:leftChars="0" w:firstLine="0" w:firstLineChars="0"/>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项目编号：</w:t>
      </w:r>
      <w:r>
        <w:rPr>
          <w:rFonts w:hint="eastAsia" w:ascii="仿宋" w:hAnsi="仿宋" w:eastAsia="仿宋" w:cs="仿宋"/>
          <w:color w:val="000000"/>
          <w:sz w:val="28"/>
          <w:szCs w:val="28"/>
          <w:highlight w:val="none"/>
          <w:lang w:eastAsia="zh-CN"/>
        </w:rPr>
        <w:t>XJHRXZSZYY-2025-01</w:t>
      </w:r>
    </w:p>
    <w:p w14:paraId="6DDE8FCC">
      <w:pPr>
        <w:pStyle w:val="43"/>
        <w:spacing w:line="360" w:lineRule="auto"/>
        <w:ind w:left="0" w:leftChars="0" w:firstLine="0" w:firstLineChars="0"/>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采 购 人：</w:t>
      </w:r>
      <w:r>
        <w:rPr>
          <w:rFonts w:hint="eastAsia" w:ascii="仿宋" w:hAnsi="仿宋" w:eastAsia="仿宋" w:cs="仿宋"/>
          <w:color w:val="000000"/>
          <w:sz w:val="28"/>
          <w:szCs w:val="28"/>
          <w:highlight w:val="none"/>
          <w:lang w:val="en-US" w:eastAsia="zh-CN"/>
        </w:rPr>
        <w:t>昭苏县中医医院（盖章）</w:t>
      </w:r>
    </w:p>
    <w:p w14:paraId="55FA5A29">
      <w:pPr>
        <w:pStyle w:val="43"/>
        <w:spacing w:line="360" w:lineRule="auto"/>
        <w:ind w:left="0" w:leftChars="0" w:firstLine="0" w:firstLineChars="0"/>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地    址：昭苏县健康街228号</w:t>
      </w:r>
    </w:p>
    <w:p w14:paraId="4C7D83E7">
      <w:pPr>
        <w:pStyle w:val="43"/>
        <w:spacing w:line="360" w:lineRule="auto"/>
        <w:ind w:left="0" w:leftChars="0" w:firstLine="0" w:firstLineChars="0"/>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联 系 人：</w:t>
      </w:r>
      <w:r>
        <w:rPr>
          <w:rFonts w:hint="eastAsia" w:ascii="仿宋" w:hAnsi="仿宋" w:eastAsia="仿宋" w:cs="仿宋"/>
          <w:color w:val="000000"/>
          <w:sz w:val="28"/>
          <w:szCs w:val="28"/>
          <w:highlight w:val="none"/>
          <w:lang w:eastAsia="zh-CN"/>
        </w:rPr>
        <w:t>马先生</w:t>
      </w:r>
    </w:p>
    <w:p w14:paraId="62367C65">
      <w:pPr>
        <w:pStyle w:val="43"/>
        <w:spacing w:line="360" w:lineRule="auto"/>
        <w:ind w:left="0" w:leftChars="0" w:firstLine="0" w:firstLineChars="0"/>
        <w:outlineLvl w:val="9"/>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联系电话：</w:t>
      </w:r>
      <w:r>
        <w:rPr>
          <w:rFonts w:hint="eastAsia" w:ascii="仿宋" w:hAnsi="仿宋" w:eastAsia="仿宋" w:cs="仿宋"/>
          <w:color w:val="000000"/>
          <w:sz w:val="28"/>
          <w:szCs w:val="28"/>
          <w:highlight w:val="none"/>
          <w:lang w:val="en-US" w:eastAsia="zh-CN"/>
        </w:rPr>
        <w:t>13899773337</w:t>
      </w:r>
    </w:p>
    <w:p w14:paraId="62C528B3">
      <w:pPr>
        <w:pStyle w:val="43"/>
        <w:spacing w:line="360" w:lineRule="auto"/>
        <w:ind w:left="0" w:leftChars="0" w:firstLine="0" w:firstLineChars="0"/>
        <w:outlineLvl w:val="9"/>
        <w:rPr>
          <w:rFonts w:hint="eastAsia" w:ascii="仿宋" w:hAnsi="仿宋" w:eastAsia="仿宋" w:cs="仿宋"/>
          <w:color w:val="000000"/>
          <w:sz w:val="28"/>
          <w:szCs w:val="28"/>
          <w:highlight w:val="none"/>
        </w:rPr>
      </w:pPr>
    </w:p>
    <w:p w14:paraId="694663C3">
      <w:pPr>
        <w:pStyle w:val="43"/>
        <w:spacing w:line="360" w:lineRule="auto"/>
        <w:ind w:left="0" w:leftChars="0" w:firstLine="0" w:firstLineChars="0"/>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采购代理：</w:t>
      </w:r>
      <w:r>
        <w:rPr>
          <w:rFonts w:hint="eastAsia" w:ascii="仿宋" w:hAnsi="仿宋" w:eastAsia="仿宋" w:cs="仿宋"/>
          <w:color w:val="000000"/>
          <w:sz w:val="28"/>
          <w:szCs w:val="28"/>
          <w:highlight w:val="none"/>
          <w:lang w:eastAsia="zh-CN"/>
        </w:rPr>
        <w:t>新疆浩瑞兴建设工程项目管理咨询有限公司（</w:t>
      </w:r>
      <w:r>
        <w:rPr>
          <w:rFonts w:hint="eastAsia" w:ascii="仿宋" w:hAnsi="仿宋" w:eastAsia="仿宋" w:cs="仿宋"/>
          <w:color w:val="000000"/>
          <w:sz w:val="28"/>
          <w:szCs w:val="28"/>
          <w:highlight w:val="none"/>
          <w:lang w:val="en-US" w:eastAsia="zh-CN"/>
        </w:rPr>
        <w:t>盖章</w:t>
      </w:r>
      <w:r>
        <w:rPr>
          <w:rFonts w:hint="eastAsia" w:ascii="仿宋" w:hAnsi="仿宋" w:eastAsia="仿宋" w:cs="仿宋"/>
          <w:color w:val="000000"/>
          <w:sz w:val="28"/>
          <w:szCs w:val="28"/>
          <w:highlight w:val="none"/>
          <w:lang w:eastAsia="zh-CN"/>
        </w:rPr>
        <w:t>）</w:t>
      </w:r>
    </w:p>
    <w:p w14:paraId="2665A5B4">
      <w:pPr>
        <w:pStyle w:val="43"/>
        <w:spacing w:line="360" w:lineRule="auto"/>
        <w:ind w:left="0" w:leftChars="0" w:firstLine="0" w:firstLineChars="0"/>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地    址：</w:t>
      </w:r>
      <w:r>
        <w:rPr>
          <w:rFonts w:hint="eastAsia" w:ascii="仿宋" w:hAnsi="仿宋" w:eastAsia="仿宋" w:cs="仿宋"/>
          <w:color w:val="000000"/>
          <w:sz w:val="28"/>
          <w:szCs w:val="28"/>
          <w:highlight w:val="none"/>
          <w:lang w:eastAsia="zh-CN"/>
        </w:rPr>
        <w:t>新疆乌鲁木齐市水磨沟区安居南路鸿瑞豪庭四号楼907</w:t>
      </w:r>
    </w:p>
    <w:p w14:paraId="0D6B47C0">
      <w:pPr>
        <w:pStyle w:val="43"/>
        <w:spacing w:line="360" w:lineRule="auto"/>
        <w:ind w:left="0" w:leftChars="0" w:firstLine="0" w:firstLineChars="0"/>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联 系 人：</w:t>
      </w:r>
      <w:r>
        <w:rPr>
          <w:rFonts w:hint="eastAsia" w:ascii="仿宋" w:hAnsi="仿宋" w:eastAsia="仿宋" w:cs="仿宋"/>
          <w:color w:val="000000"/>
          <w:sz w:val="28"/>
          <w:szCs w:val="28"/>
          <w:highlight w:val="none"/>
          <w:lang w:val="en-US" w:eastAsia="zh-CN"/>
        </w:rPr>
        <w:t>陈女士</w:t>
      </w:r>
    </w:p>
    <w:p w14:paraId="423A7063">
      <w:pPr>
        <w:pStyle w:val="43"/>
        <w:spacing w:line="360" w:lineRule="auto"/>
        <w:ind w:left="0" w:leftChars="0" w:firstLine="0" w:firstLineChars="0"/>
        <w:outlineLvl w:val="9"/>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000000"/>
          <w:sz w:val="28"/>
          <w:szCs w:val="28"/>
          <w:highlight w:val="none"/>
        </w:rPr>
        <w:t>联系电话：</w:t>
      </w:r>
      <w:r>
        <w:rPr>
          <w:rFonts w:hint="eastAsia" w:ascii="仿宋" w:hAnsi="仿宋" w:eastAsia="仿宋" w:cs="仿宋"/>
          <w:color w:val="000000"/>
          <w:sz w:val="28"/>
          <w:szCs w:val="28"/>
          <w:highlight w:val="none"/>
          <w:lang w:eastAsia="zh-CN"/>
        </w:rPr>
        <w:t>15160968614</w:t>
      </w:r>
    </w:p>
    <w:p w14:paraId="1A9F298A">
      <w:pPr>
        <w:pStyle w:val="49"/>
        <w:spacing w:line="360" w:lineRule="auto"/>
        <w:ind w:firstLine="321" w:firstLineChars="100"/>
        <w:outlineLvl w:val="9"/>
        <w:rPr>
          <w:rFonts w:hint="eastAsia" w:ascii="仿宋" w:hAnsi="仿宋" w:eastAsia="仿宋" w:cs="仿宋"/>
          <w:b/>
          <w:color w:val="auto"/>
          <w:kern w:val="0"/>
          <w:sz w:val="32"/>
          <w:szCs w:val="32"/>
          <w:highlight w:val="none"/>
          <w:lang w:val="en-US" w:eastAsia="zh-CN"/>
        </w:rPr>
      </w:pPr>
    </w:p>
    <w:p w14:paraId="3874CF76">
      <w:pPr>
        <w:pStyle w:val="49"/>
        <w:spacing w:line="360" w:lineRule="auto"/>
        <w:ind w:firstLine="321" w:firstLineChars="100"/>
        <w:outlineLvl w:val="9"/>
        <w:rPr>
          <w:rFonts w:hint="eastAsia" w:ascii="仿宋" w:hAnsi="仿宋" w:eastAsia="仿宋" w:cs="仿宋"/>
          <w:b/>
          <w:color w:val="auto"/>
          <w:kern w:val="0"/>
          <w:sz w:val="32"/>
          <w:szCs w:val="32"/>
          <w:highlight w:val="none"/>
          <w:lang w:val="en-US" w:eastAsia="zh-CN"/>
        </w:rPr>
      </w:pPr>
    </w:p>
    <w:p w14:paraId="2533189A">
      <w:pPr>
        <w:jc w:val="center"/>
        <w:outlineLvl w:val="9"/>
        <w:rPr>
          <w:rFonts w:hint="eastAsia" w:ascii="仿宋" w:hAnsi="仿宋" w:eastAsia="仿宋" w:cs="仿宋"/>
          <w:b/>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247" w:right="1247" w:bottom="1247" w:left="1247" w:header="737" w:footer="851" w:gutter="0"/>
          <w:pgBorders>
            <w:top w:val="none" w:sz="0" w:space="0"/>
            <w:left w:val="none" w:sz="0" w:space="0"/>
            <w:bottom w:val="none" w:sz="0" w:space="0"/>
            <w:right w:val="none" w:sz="0" w:space="0"/>
          </w:pgBorders>
          <w:pgNumType w:fmt="decimal" w:start="1"/>
          <w:cols w:space="720" w:num="1"/>
          <w:rtlGutter w:val="0"/>
          <w:docGrid w:linePitch="462" w:charSpace="0"/>
        </w:sectPr>
      </w:pPr>
    </w:p>
    <w:p w14:paraId="25E34B1D">
      <w:pPr>
        <w:jc w:val="center"/>
        <w:outlineLvl w:val="9"/>
        <w:rPr>
          <w:rFonts w:hint="eastAsia" w:ascii="仿宋" w:hAnsi="仿宋" w:eastAsia="仿宋" w:cs="仿宋"/>
          <w:b/>
          <w:color w:val="auto"/>
          <w:sz w:val="44"/>
          <w:szCs w:val="44"/>
          <w:highlight w:val="none"/>
        </w:rPr>
      </w:pPr>
    </w:p>
    <w:sdt>
      <w:sdtPr>
        <w:rPr>
          <w:rFonts w:ascii="宋体" w:hAnsi="宋体" w:eastAsia="宋体" w:cs="Times New Roman"/>
          <w:kern w:val="2"/>
          <w:sz w:val="21"/>
          <w:szCs w:val="24"/>
          <w:lang w:val="en-US" w:eastAsia="zh-CN" w:bidi="ar-SA"/>
        </w:rPr>
        <w:id w:val="147462418"/>
        <w15:color w:val="DBDBDB"/>
        <w:docPartObj>
          <w:docPartGallery w:val="Table of Contents"/>
          <w:docPartUnique/>
        </w:docPartObj>
      </w:sdtPr>
      <w:sdtEndPr>
        <w:rPr>
          <w:rFonts w:hint="eastAsia" w:ascii="仿宋" w:hAnsi="仿宋" w:eastAsia="仿宋" w:cs="仿宋"/>
          <w:b/>
          <w:color w:val="auto"/>
          <w:kern w:val="2"/>
          <w:sz w:val="21"/>
          <w:szCs w:val="24"/>
          <w:highlight w:val="none"/>
          <w:lang w:val="en-US" w:eastAsia="zh-CN" w:bidi="ar-SA"/>
        </w:rPr>
      </w:sdtEndPr>
      <w:sdtContent>
        <w:p w14:paraId="194C81E5">
          <w:pPr>
            <w:spacing w:before="0" w:beforeLines="0" w:after="0" w:afterLines="0" w:line="240" w:lineRule="auto"/>
            <w:ind w:left="0" w:leftChars="0" w:right="0" w:rightChars="0" w:firstLine="0" w:firstLineChars="0"/>
            <w:jc w:val="center"/>
          </w:pPr>
          <w:r>
            <w:rPr>
              <w:rFonts w:ascii="宋体" w:hAnsi="宋体" w:eastAsia="宋体"/>
              <w:sz w:val="36"/>
              <w:szCs w:val="36"/>
            </w:rPr>
            <w:t>目</w:t>
          </w:r>
          <w:r>
            <w:rPr>
              <w:rFonts w:hint="eastAsia" w:ascii="宋体" w:hAnsi="宋体" w:eastAsia="宋体"/>
              <w:sz w:val="36"/>
              <w:szCs w:val="36"/>
              <w:lang w:val="en-US" w:eastAsia="zh-CN"/>
            </w:rPr>
            <w:t xml:space="preserve">  </w:t>
          </w:r>
          <w:r>
            <w:rPr>
              <w:rFonts w:ascii="宋体" w:hAnsi="宋体" w:eastAsia="宋体"/>
              <w:sz w:val="36"/>
              <w:szCs w:val="36"/>
            </w:rPr>
            <w:t>录</w:t>
          </w:r>
        </w:p>
        <w:p w14:paraId="6DD34CF8">
          <w:pPr>
            <w:pStyle w:val="75"/>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"1-2" \h \u </w:instrText>
          </w:r>
          <w:r>
            <w:rPr>
              <w:rFonts w:hint="eastAsia" w:ascii="仿宋" w:hAnsi="仿宋" w:eastAsia="仿宋" w:cs="仿宋"/>
              <w:color w:val="auto"/>
              <w:highlight w:val="none"/>
            </w:rPr>
            <w:fldChar w:fldCharType="separate"/>
          </w:r>
          <w:r>
            <w:rPr>
              <w:rFonts w:hint="eastAsia" w:ascii="仿宋" w:hAnsi="仿宋" w:eastAsia="仿宋" w:cs="仿宋"/>
              <w:b/>
              <w:color w:val="auto"/>
              <w:sz w:val="24"/>
              <w:szCs w:val="24"/>
              <w:highlight w:val="none"/>
            </w:rPr>
            <w:fldChar w:fldCharType="begin"/>
          </w:r>
          <w:r>
            <w:rPr>
              <w:rFonts w:hint="eastAsia" w:ascii="仿宋" w:hAnsi="仿宋" w:eastAsia="仿宋" w:cs="仿宋"/>
              <w:b/>
              <w:sz w:val="24"/>
              <w:szCs w:val="24"/>
              <w:highlight w:val="none"/>
            </w:rPr>
            <w:instrText xml:space="preserve"> HYPERLINK \l _Toc1739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48"/>
              <w:highlight w:val="none"/>
              <w:lang w:val="en-US" w:eastAsia="zh-CN"/>
            </w:rPr>
            <w:t>公开招标</w:t>
          </w:r>
          <w:r>
            <w:rPr>
              <w:rFonts w:hint="eastAsia" w:ascii="仿宋" w:hAnsi="仿宋" w:eastAsia="仿宋" w:cs="仿宋"/>
              <w:b/>
              <w:sz w:val="24"/>
              <w:szCs w:val="48"/>
              <w:highlight w:val="none"/>
            </w:rPr>
            <w:t>公告</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_Toc1739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- 2 -</w:t>
          </w:r>
          <w:r>
            <w:rPr>
              <w:rFonts w:hint="eastAsia" w:ascii="仿宋" w:hAnsi="仿宋" w:eastAsia="仿宋" w:cs="仿宋"/>
              <w:b/>
              <w:sz w:val="24"/>
              <w:szCs w:val="24"/>
            </w:rPr>
            <w:fldChar w:fldCharType="end"/>
          </w:r>
          <w:r>
            <w:rPr>
              <w:rFonts w:hint="eastAsia" w:ascii="仿宋" w:hAnsi="仿宋" w:eastAsia="仿宋" w:cs="仿宋"/>
              <w:b/>
              <w:color w:val="auto"/>
              <w:sz w:val="24"/>
              <w:szCs w:val="24"/>
              <w:highlight w:val="none"/>
            </w:rPr>
            <w:fldChar w:fldCharType="end"/>
          </w:r>
        </w:p>
        <w:p w14:paraId="08C91DA5">
          <w:pPr>
            <w:pStyle w:val="75"/>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b/>
              <w:sz w:val="24"/>
              <w:szCs w:val="24"/>
            </w:rPr>
          </w:pPr>
          <w:r>
            <w:rPr>
              <w:rFonts w:hint="eastAsia" w:ascii="仿宋" w:hAnsi="仿宋" w:eastAsia="仿宋" w:cs="仿宋"/>
              <w:b/>
              <w:color w:val="auto"/>
              <w:sz w:val="24"/>
              <w:szCs w:val="24"/>
              <w:highlight w:val="none"/>
            </w:rPr>
            <w:fldChar w:fldCharType="begin"/>
          </w:r>
          <w:r>
            <w:rPr>
              <w:rFonts w:hint="eastAsia" w:ascii="仿宋" w:hAnsi="仿宋" w:eastAsia="仿宋" w:cs="仿宋"/>
              <w:b/>
              <w:sz w:val="24"/>
              <w:szCs w:val="24"/>
              <w:highlight w:val="none"/>
            </w:rPr>
            <w:instrText xml:space="preserve"> HYPERLINK \l _Toc29784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rPr>
            <w:t>第一章</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投标人须知前附表</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_Toc29784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- 6 -</w:t>
          </w:r>
          <w:r>
            <w:rPr>
              <w:rFonts w:hint="eastAsia" w:ascii="仿宋" w:hAnsi="仿宋" w:eastAsia="仿宋" w:cs="仿宋"/>
              <w:b/>
              <w:sz w:val="24"/>
              <w:szCs w:val="24"/>
            </w:rPr>
            <w:fldChar w:fldCharType="end"/>
          </w:r>
          <w:r>
            <w:rPr>
              <w:rFonts w:hint="eastAsia" w:ascii="仿宋" w:hAnsi="仿宋" w:eastAsia="仿宋" w:cs="仿宋"/>
              <w:b/>
              <w:color w:val="auto"/>
              <w:sz w:val="24"/>
              <w:szCs w:val="24"/>
              <w:highlight w:val="none"/>
            </w:rPr>
            <w:fldChar w:fldCharType="end"/>
          </w:r>
        </w:p>
        <w:p w14:paraId="2E262639">
          <w:pPr>
            <w:pStyle w:val="75"/>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b/>
              <w:sz w:val="24"/>
              <w:szCs w:val="24"/>
            </w:rPr>
          </w:pPr>
          <w:r>
            <w:rPr>
              <w:rFonts w:hint="eastAsia" w:ascii="仿宋" w:hAnsi="仿宋" w:eastAsia="仿宋" w:cs="仿宋"/>
              <w:b/>
              <w:color w:val="auto"/>
              <w:sz w:val="24"/>
              <w:szCs w:val="24"/>
              <w:highlight w:val="none"/>
            </w:rPr>
            <w:fldChar w:fldCharType="begin"/>
          </w:r>
          <w:r>
            <w:rPr>
              <w:rFonts w:hint="eastAsia" w:ascii="仿宋" w:hAnsi="仿宋" w:eastAsia="仿宋" w:cs="仿宋"/>
              <w:b/>
              <w:sz w:val="24"/>
              <w:szCs w:val="24"/>
              <w:highlight w:val="none"/>
            </w:rPr>
            <w:instrText xml:space="preserve"> HYPERLINK \l _Toc28970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rPr>
            <w:t>第二章</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投标人须知</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_Toc28970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- 10 -</w:t>
          </w:r>
          <w:r>
            <w:rPr>
              <w:rFonts w:hint="eastAsia" w:ascii="仿宋" w:hAnsi="仿宋" w:eastAsia="仿宋" w:cs="仿宋"/>
              <w:b/>
              <w:sz w:val="24"/>
              <w:szCs w:val="24"/>
            </w:rPr>
            <w:fldChar w:fldCharType="end"/>
          </w:r>
          <w:r>
            <w:rPr>
              <w:rFonts w:hint="eastAsia" w:ascii="仿宋" w:hAnsi="仿宋" w:eastAsia="仿宋" w:cs="仿宋"/>
              <w:b/>
              <w:color w:val="auto"/>
              <w:sz w:val="24"/>
              <w:szCs w:val="24"/>
              <w:highlight w:val="none"/>
            </w:rPr>
            <w:fldChar w:fldCharType="end"/>
          </w:r>
        </w:p>
        <w:p w14:paraId="2799C665">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_Toc31122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_Toc31122 \h </w:instrText>
          </w:r>
          <w:r>
            <w:rPr>
              <w:rFonts w:hint="eastAsia" w:ascii="仿宋" w:hAnsi="仿宋" w:eastAsia="仿宋" w:cs="仿宋"/>
              <w:sz w:val="24"/>
              <w:szCs w:val="24"/>
            </w:rPr>
            <w:fldChar w:fldCharType="separate"/>
          </w:r>
          <w:r>
            <w:rPr>
              <w:rFonts w:hint="eastAsia" w:ascii="仿宋" w:hAnsi="仿宋" w:eastAsia="仿宋" w:cs="仿宋"/>
              <w:sz w:val="24"/>
              <w:szCs w:val="24"/>
            </w:rPr>
            <w:t>- 10 -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3AD4EF85">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_Toc27503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rPr>
            <w:t>二、招标文件的组成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_Toc27503 \h </w:instrText>
          </w:r>
          <w:r>
            <w:rPr>
              <w:rFonts w:hint="eastAsia" w:ascii="仿宋" w:hAnsi="仿宋" w:eastAsia="仿宋" w:cs="仿宋"/>
              <w:sz w:val="24"/>
              <w:szCs w:val="24"/>
            </w:rPr>
            <w:fldChar w:fldCharType="separate"/>
          </w:r>
          <w:r>
            <w:rPr>
              <w:rFonts w:hint="eastAsia" w:ascii="仿宋" w:hAnsi="仿宋" w:eastAsia="仿宋" w:cs="仿宋"/>
              <w:sz w:val="24"/>
              <w:szCs w:val="24"/>
            </w:rPr>
            <w:t>- 11 -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0C69A5BF">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_Toc7562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三、</w:t>
          </w:r>
          <w:r>
            <w:rPr>
              <w:rFonts w:hint="eastAsia" w:ascii="仿宋" w:hAnsi="仿宋" w:eastAsia="仿宋" w:cs="仿宋"/>
              <w:sz w:val="24"/>
              <w:szCs w:val="24"/>
            </w:rPr>
            <w:t>投标文件的编制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_Toc7562 \h </w:instrText>
          </w:r>
          <w:r>
            <w:rPr>
              <w:rFonts w:hint="eastAsia" w:ascii="仿宋" w:hAnsi="仿宋" w:eastAsia="仿宋" w:cs="仿宋"/>
              <w:sz w:val="24"/>
              <w:szCs w:val="24"/>
            </w:rPr>
            <w:fldChar w:fldCharType="separate"/>
          </w:r>
          <w:r>
            <w:rPr>
              <w:rFonts w:hint="eastAsia" w:ascii="仿宋" w:hAnsi="仿宋" w:eastAsia="仿宋" w:cs="仿宋"/>
              <w:sz w:val="24"/>
              <w:szCs w:val="24"/>
            </w:rPr>
            <w:t>- 12 -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66446F9F">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_Toc13658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eastAsia="zh-CN"/>
            </w:rPr>
            <w:t>四、</w:t>
          </w:r>
          <w:r>
            <w:rPr>
              <w:rFonts w:hint="eastAsia" w:ascii="仿宋" w:hAnsi="仿宋" w:eastAsia="仿宋" w:cs="仿宋"/>
              <w:sz w:val="24"/>
              <w:szCs w:val="24"/>
            </w:rPr>
            <w:t>投标文件的制作、上传及递交要求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_Toc13658 \h </w:instrText>
          </w:r>
          <w:r>
            <w:rPr>
              <w:rFonts w:hint="eastAsia" w:ascii="仿宋" w:hAnsi="仿宋" w:eastAsia="仿宋" w:cs="仿宋"/>
              <w:sz w:val="24"/>
              <w:szCs w:val="24"/>
            </w:rPr>
            <w:fldChar w:fldCharType="separate"/>
          </w:r>
          <w:r>
            <w:rPr>
              <w:rFonts w:hint="eastAsia" w:ascii="仿宋" w:hAnsi="仿宋" w:eastAsia="仿宋" w:cs="仿宋"/>
              <w:sz w:val="24"/>
              <w:szCs w:val="24"/>
            </w:rPr>
            <w:t>- 15 -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5CE4E33C">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_Toc21493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rPr>
            <w:t>五、开标及评标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_Toc21493 \h </w:instrText>
          </w:r>
          <w:r>
            <w:rPr>
              <w:rFonts w:hint="eastAsia" w:ascii="仿宋" w:hAnsi="仿宋" w:eastAsia="仿宋" w:cs="仿宋"/>
              <w:sz w:val="24"/>
              <w:szCs w:val="24"/>
            </w:rPr>
            <w:fldChar w:fldCharType="separate"/>
          </w:r>
          <w:r>
            <w:rPr>
              <w:rFonts w:hint="eastAsia" w:ascii="仿宋" w:hAnsi="仿宋" w:eastAsia="仿宋" w:cs="仿宋"/>
              <w:sz w:val="24"/>
              <w:szCs w:val="24"/>
            </w:rPr>
            <w:t>- 16 -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35D4A0CE">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_Toc13488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rPr>
            <w:t>六、定标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_Toc13488 \h </w:instrText>
          </w:r>
          <w:r>
            <w:rPr>
              <w:rFonts w:hint="eastAsia" w:ascii="仿宋" w:hAnsi="仿宋" w:eastAsia="仿宋" w:cs="仿宋"/>
              <w:sz w:val="24"/>
              <w:szCs w:val="24"/>
            </w:rPr>
            <w:fldChar w:fldCharType="separate"/>
          </w:r>
          <w:r>
            <w:rPr>
              <w:rFonts w:hint="eastAsia" w:ascii="仿宋" w:hAnsi="仿宋" w:eastAsia="仿宋" w:cs="仿宋"/>
              <w:sz w:val="24"/>
              <w:szCs w:val="24"/>
            </w:rPr>
            <w:t>- 22 -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6859EE96">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_Toc20681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七、</w:t>
          </w:r>
          <w:r>
            <w:rPr>
              <w:rFonts w:hint="eastAsia" w:ascii="仿宋" w:hAnsi="仿宋" w:eastAsia="仿宋" w:cs="仿宋"/>
              <w:sz w:val="24"/>
              <w:szCs w:val="24"/>
            </w:rPr>
            <w:t>授予合同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_Toc20681 \h </w:instrText>
          </w:r>
          <w:r>
            <w:rPr>
              <w:rFonts w:hint="eastAsia" w:ascii="仿宋" w:hAnsi="仿宋" w:eastAsia="仿宋" w:cs="仿宋"/>
              <w:sz w:val="24"/>
              <w:szCs w:val="24"/>
            </w:rPr>
            <w:fldChar w:fldCharType="separate"/>
          </w:r>
          <w:r>
            <w:rPr>
              <w:rFonts w:hint="eastAsia" w:ascii="仿宋" w:hAnsi="仿宋" w:eastAsia="仿宋" w:cs="仿宋"/>
              <w:sz w:val="24"/>
              <w:szCs w:val="24"/>
            </w:rPr>
            <w:t>- 22 -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2F53FB8E">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_Toc9678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八、</w:t>
          </w:r>
          <w:r>
            <w:rPr>
              <w:rFonts w:hint="eastAsia" w:ascii="仿宋" w:hAnsi="仿宋" w:eastAsia="仿宋" w:cs="仿宋"/>
              <w:sz w:val="24"/>
              <w:szCs w:val="24"/>
              <w:lang w:eastAsia="zh-CN"/>
            </w:rPr>
            <w:t>重新招标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_Toc9678 \h </w:instrText>
          </w:r>
          <w:r>
            <w:rPr>
              <w:rFonts w:hint="eastAsia" w:ascii="仿宋" w:hAnsi="仿宋" w:eastAsia="仿宋" w:cs="仿宋"/>
              <w:sz w:val="24"/>
              <w:szCs w:val="24"/>
            </w:rPr>
            <w:fldChar w:fldCharType="separate"/>
          </w:r>
          <w:r>
            <w:rPr>
              <w:rFonts w:hint="eastAsia" w:ascii="仿宋" w:hAnsi="仿宋" w:eastAsia="仿宋" w:cs="仿宋"/>
              <w:sz w:val="24"/>
              <w:szCs w:val="24"/>
            </w:rPr>
            <w:t>- 23 -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146C3004">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_Toc15941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九、质疑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_Toc15941 \h </w:instrText>
          </w:r>
          <w:r>
            <w:rPr>
              <w:rFonts w:hint="eastAsia" w:ascii="仿宋" w:hAnsi="仿宋" w:eastAsia="仿宋" w:cs="仿宋"/>
              <w:sz w:val="24"/>
              <w:szCs w:val="24"/>
            </w:rPr>
            <w:fldChar w:fldCharType="separate"/>
          </w:r>
          <w:r>
            <w:rPr>
              <w:rFonts w:hint="eastAsia" w:ascii="仿宋" w:hAnsi="仿宋" w:eastAsia="仿宋" w:cs="仿宋"/>
              <w:sz w:val="24"/>
              <w:szCs w:val="24"/>
            </w:rPr>
            <w:t>- 23 -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643BD01B">
          <w:pPr>
            <w:pStyle w:val="75"/>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b/>
              <w:sz w:val="24"/>
              <w:szCs w:val="24"/>
            </w:rPr>
          </w:pPr>
          <w:r>
            <w:rPr>
              <w:rFonts w:hint="eastAsia" w:ascii="仿宋" w:hAnsi="仿宋" w:eastAsia="仿宋" w:cs="仿宋"/>
              <w:b/>
              <w:color w:val="auto"/>
              <w:sz w:val="24"/>
              <w:szCs w:val="24"/>
              <w:highlight w:val="none"/>
            </w:rPr>
            <w:fldChar w:fldCharType="begin"/>
          </w:r>
          <w:r>
            <w:rPr>
              <w:rFonts w:hint="eastAsia" w:ascii="仿宋" w:hAnsi="仿宋" w:eastAsia="仿宋" w:cs="仿宋"/>
              <w:b/>
              <w:sz w:val="24"/>
              <w:szCs w:val="24"/>
              <w:highlight w:val="none"/>
            </w:rPr>
            <w:instrText xml:space="preserve"> HYPERLINK \l _Toc13311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rPr>
            <w:t>第三章 评标办法</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_Toc13311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- 25 -</w:t>
          </w:r>
          <w:r>
            <w:rPr>
              <w:rFonts w:hint="eastAsia" w:ascii="仿宋" w:hAnsi="仿宋" w:eastAsia="仿宋" w:cs="仿宋"/>
              <w:b/>
              <w:sz w:val="24"/>
              <w:szCs w:val="24"/>
            </w:rPr>
            <w:fldChar w:fldCharType="end"/>
          </w:r>
          <w:r>
            <w:rPr>
              <w:rFonts w:hint="eastAsia" w:ascii="仿宋" w:hAnsi="仿宋" w:eastAsia="仿宋" w:cs="仿宋"/>
              <w:b/>
              <w:color w:val="auto"/>
              <w:sz w:val="24"/>
              <w:szCs w:val="24"/>
              <w:highlight w:val="none"/>
            </w:rPr>
            <w:fldChar w:fldCharType="end"/>
          </w:r>
        </w:p>
        <w:p w14:paraId="1971A394">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_Toc17507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1、评标方法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_Toc17507 \h </w:instrText>
          </w:r>
          <w:r>
            <w:rPr>
              <w:rFonts w:hint="eastAsia" w:ascii="仿宋" w:hAnsi="仿宋" w:eastAsia="仿宋" w:cs="仿宋"/>
              <w:sz w:val="24"/>
              <w:szCs w:val="24"/>
            </w:rPr>
            <w:fldChar w:fldCharType="separate"/>
          </w:r>
          <w:r>
            <w:rPr>
              <w:rFonts w:hint="eastAsia" w:ascii="仿宋" w:hAnsi="仿宋" w:eastAsia="仿宋" w:cs="仿宋"/>
              <w:sz w:val="24"/>
              <w:szCs w:val="24"/>
            </w:rPr>
            <w:t>- 25 -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12774850">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_Toc29102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2、评标程序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_Toc29102 \h </w:instrText>
          </w:r>
          <w:r>
            <w:rPr>
              <w:rFonts w:hint="eastAsia" w:ascii="仿宋" w:hAnsi="仿宋" w:eastAsia="仿宋" w:cs="仿宋"/>
              <w:sz w:val="24"/>
              <w:szCs w:val="24"/>
            </w:rPr>
            <w:fldChar w:fldCharType="separate"/>
          </w:r>
          <w:r>
            <w:rPr>
              <w:rFonts w:hint="eastAsia" w:ascii="仿宋" w:hAnsi="仿宋" w:eastAsia="仿宋" w:cs="仿宋"/>
              <w:sz w:val="24"/>
              <w:szCs w:val="24"/>
            </w:rPr>
            <w:t>- 25 -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25E2672C">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_Toc29913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3、评标准备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_Toc29913 \h </w:instrText>
          </w:r>
          <w:r>
            <w:rPr>
              <w:rFonts w:hint="eastAsia" w:ascii="仿宋" w:hAnsi="仿宋" w:eastAsia="仿宋" w:cs="仿宋"/>
              <w:sz w:val="24"/>
              <w:szCs w:val="24"/>
            </w:rPr>
            <w:fldChar w:fldCharType="separate"/>
          </w:r>
          <w:r>
            <w:rPr>
              <w:rFonts w:hint="eastAsia" w:ascii="仿宋" w:hAnsi="仿宋" w:eastAsia="仿宋" w:cs="仿宋"/>
              <w:sz w:val="24"/>
              <w:szCs w:val="24"/>
            </w:rPr>
            <w:t>- 25 -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511D604C">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_Toc5860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4、评审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_Toc5860 \h </w:instrText>
          </w:r>
          <w:r>
            <w:rPr>
              <w:rFonts w:hint="eastAsia" w:ascii="仿宋" w:hAnsi="仿宋" w:eastAsia="仿宋" w:cs="仿宋"/>
              <w:sz w:val="24"/>
              <w:szCs w:val="24"/>
            </w:rPr>
            <w:fldChar w:fldCharType="separate"/>
          </w:r>
          <w:r>
            <w:rPr>
              <w:rFonts w:hint="eastAsia" w:ascii="仿宋" w:hAnsi="仿宋" w:eastAsia="仿宋" w:cs="仿宋"/>
              <w:sz w:val="24"/>
              <w:szCs w:val="24"/>
            </w:rPr>
            <w:t>- 25 -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00E7E5A9">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b/>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_Toc2059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投标无效的情形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_Toc2059 \h </w:instrText>
          </w:r>
          <w:r>
            <w:rPr>
              <w:rFonts w:hint="eastAsia" w:ascii="仿宋" w:hAnsi="仿宋" w:eastAsia="仿宋" w:cs="仿宋"/>
              <w:sz w:val="24"/>
              <w:szCs w:val="24"/>
            </w:rPr>
            <w:fldChar w:fldCharType="separate"/>
          </w:r>
          <w:r>
            <w:rPr>
              <w:rFonts w:hint="eastAsia" w:ascii="仿宋" w:hAnsi="仿宋" w:eastAsia="仿宋" w:cs="仿宋"/>
              <w:sz w:val="24"/>
              <w:szCs w:val="24"/>
            </w:rPr>
            <w:t>- 27 -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1C2DE05A">
          <w:pPr>
            <w:pStyle w:val="75"/>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b/>
              <w:sz w:val="24"/>
              <w:szCs w:val="24"/>
            </w:rPr>
          </w:pPr>
          <w:r>
            <w:rPr>
              <w:rFonts w:hint="eastAsia" w:ascii="仿宋" w:hAnsi="仿宋" w:eastAsia="仿宋" w:cs="仿宋"/>
              <w:b/>
              <w:color w:val="auto"/>
              <w:sz w:val="24"/>
              <w:szCs w:val="24"/>
              <w:highlight w:val="none"/>
            </w:rPr>
            <w:fldChar w:fldCharType="begin"/>
          </w:r>
          <w:r>
            <w:rPr>
              <w:rFonts w:hint="eastAsia" w:ascii="仿宋" w:hAnsi="仿宋" w:eastAsia="仿宋" w:cs="仿宋"/>
              <w:b/>
              <w:sz w:val="24"/>
              <w:szCs w:val="24"/>
              <w:highlight w:val="none"/>
            </w:rPr>
            <w:instrText xml:space="preserve"> HYPERLINK \l _Toc22652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rPr>
            <w:t>第四章 合同条款</w:t>
          </w:r>
          <w:r>
            <w:rPr>
              <w:rFonts w:hint="eastAsia" w:ascii="仿宋" w:hAnsi="仿宋" w:eastAsia="仿宋" w:cs="仿宋"/>
              <w:b/>
              <w:sz w:val="24"/>
              <w:szCs w:val="24"/>
              <w:lang w:eastAsia="zh-CN"/>
            </w:rPr>
            <w:t>及格式</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_Toc22652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- 33 -</w:t>
          </w:r>
          <w:r>
            <w:rPr>
              <w:rFonts w:hint="eastAsia" w:ascii="仿宋" w:hAnsi="仿宋" w:eastAsia="仿宋" w:cs="仿宋"/>
              <w:b/>
              <w:sz w:val="24"/>
              <w:szCs w:val="24"/>
            </w:rPr>
            <w:fldChar w:fldCharType="end"/>
          </w:r>
          <w:r>
            <w:rPr>
              <w:rFonts w:hint="eastAsia" w:ascii="仿宋" w:hAnsi="仿宋" w:eastAsia="仿宋" w:cs="仿宋"/>
              <w:b/>
              <w:color w:val="auto"/>
              <w:sz w:val="24"/>
              <w:szCs w:val="24"/>
              <w:highlight w:val="none"/>
            </w:rPr>
            <w:fldChar w:fldCharType="end"/>
          </w:r>
        </w:p>
        <w:p w14:paraId="42501B33">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_Toc27000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56"/>
              <w:highlight w:val="none"/>
            </w:rPr>
            <w:t>政府采购合同参考范本</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_Toc27000 \h </w:instrText>
          </w:r>
          <w:r>
            <w:rPr>
              <w:rFonts w:hint="eastAsia" w:ascii="仿宋" w:hAnsi="仿宋" w:eastAsia="仿宋" w:cs="仿宋"/>
              <w:sz w:val="24"/>
              <w:szCs w:val="24"/>
            </w:rPr>
            <w:fldChar w:fldCharType="separate"/>
          </w:r>
          <w:r>
            <w:rPr>
              <w:rFonts w:hint="eastAsia" w:ascii="仿宋" w:hAnsi="仿宋" w:eastAsia="仿宋" w:cs="仿宋"/>
              <w:sz w:val="24"/>
              <w:szCs w:val="24"/>
            </w:rPr>
            <w:t>- 33 -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7A4C594A">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_Toc10687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36"/>
              <w:highlight w:val="none"/>
            </w:rPr>
            <w:t>第一部分 合同书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_Toc10687 \h </w:instrText>
          </w:r>
          <w:r>
            <w:rPr>
              <w:rFonts w:hint="eastAsia" w:ascii="仿宋" w:hAnsi="仿宋" w:eastAsia="仿宋" w:cs="仿宋"/>
              <w:sz w:val="24"/>
              <w:szCs w:val="24"/>
            </w:rPr>
            <w:fldChar w:fldCharType="separate"/>
          </w:r>
          <w:r>
            <w:rPr>
              <w:rFonts w:hint="eastAsia" w:ascii="仿宋" w:hAnsi="仿宋" w:eastAsia="仿宋" w:cs="仿宋"/>
              <w:sz w:val="24"/>
              <w:szCs w:val="24"/>
            </w:rPr>
            <w:t>- 33 -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26080723">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_Toc31208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36"/>
              <w:highlight w:val="none"/>
            </w:rPr>
            <w:t>第二部分 合同一般条款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_Toc31208 \h </w:instrText>
          </w:r>
          <w:r>
            <w:rPr>
              <w:rFonts w:hint="eastAsia" w:ascii="仿宋" w:hAnsi="仿宋" w:eastAsia="仿宋" w:cs="仿宋"/>
              <w:sz w:val="24"/>
              <w:szCs w:val="24"/>
            </w:rPr>
            <w:fldChar w:fldCharType="separate"/>
          </w:r>
          <w:r>
            <w:rPr>
              <w:rFonts w:hint="eastAsia" w:ascii="仿宋" w:hAnsi="仿宋" w:eastAsia="仿宋" w:cs="仿宋"/>
              <w:sz w:val="24"/>
              <w:szCs w:val="24"/>
            </w:rPr>
            <w:t>- 38 -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5862C76B">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_Toc22111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36"/>
              <w:highlight w:val="none"/>
            </w:rPr>
            <w:t>第三部分 合同专用条款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_Toc22111 \h </w:instrText>
          </w:r>
          <w:r>
            <w:rPr>
              <w:rFonts w:hint="eastAsia" w:ascii="仿宋" w:hAnsi="仿宋" w:eastAsia="仿宋" w:cs="仿宋"/>
              <w:sz w:val="24"/>
              <w:szCs w:val="24"/>
            </w:rPr>
            <w:fldChar w:fldCharType="separate"/>
          </w:r>
          <w:r>
            <w:rPr>
              <w:rFonts w:hint="eastAsia" w:ascii="仿宋" w:hAnsi="仿宋" w:eastAsia="仿宋" w:cs="仿宋"/>
              <w:sz w:val="24"/>
              <w:szCs w:val="24"/>
            </w:rPr>
            <w:t>- 43 -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46872C63">
          <w:pPr>
            <w:pStyle w:val="75"/>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b/>
              <w:color w:val="auto"/>
              <w:sz w:val="24"/>
              <w:szCs w:val="24"/>
              <w:highlight w:val="none"/>
            </w:rPr>
            <w:fldChar w:fldCharType="begin"/>
          </w:r>
          <w:r>
            <w:rPr>
              <w:rFonts w:hint="eastAsia" w:ascii="仿宋" w:hAnsi="仿宋" w:eastAsia="仿宋" w:cs="仿宋"/>
              <w:b/>
              <w:sz w:val="24"/>
              <w:szCs w:val="24"/>
              <w:highlight w:val="none"/>
            </w:rPr>
            <w:instrText xml:space="preserve"> HYPERLINK \l _Toc6739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lang w:val="en-US" w:eastAsia="zh-CN"/>
            </w:rPr>
            <w:t>第五章 采购内容及规格参数</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_Toc6739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- 44 -</w:t>
          </w:r>
          <w:r>
            <w:rPr>
              <w:rFonts w:hint="eastAsia" w:ascii="仿宋" w:hAnsi="仿宋" w:eastAsia="仿宋" w:cs="仿宋"/>
              <w:b/>
              <w:sz w:val="24"/>
              <w:szCs w:val="24"/>
            </w:rPr>
            <w:fldChar w:fldCharType="end"/>
          </w:r>
          <w:r>
            <w:rPr>
              <w:rFonts w:hint="eastAsia" w:ascii="仿宋" w:hAnsi="仿宋" w:eastAsia="仿宋" w:cs="仿宋"/>
              <w:b/>
              <w:color w:val="auto"/>
              <w:sz w:val="24"/>
              <w:szCs w:val="24"/>
              <w:highlight w:val="none"/>
            </w:rPr>
            <w:fldChar w:fldCharType="end"/>
          </w:r>
        </w:p>
        <w:p w14:paraId="0619E407">
          <w:pPr>
            <w:pStyle w:val="75"/>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b/>
              <w:color w:val="auto"/>
              <w:sz w:val="24"/>
              <w:szCs w:val="24"/>
              <w:highlight w:val="none"/>
            </w:rPr>
            <w:fldChar w:fldCharType="begin"/>
          </w:r>
          <w:r>
            <w:rPr>
              <w:rFonts w:hint="eastAsia" w:ascii="仿宋" w:hAnsi="仿宋" w:eastAsia="仿宋" w:cs="仿宋"/>
              <w:b/>
              <w:sz w:val="24"/>
              <w:szCs w:val="24"/>
              <w:highlight w:val="none"/>
            </w:rPr>
            <w:instrText xml:space="preserve"> HYPERLINK \l _Toc20839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lang w:val="en-US" w:eastAsia="zh-CN"/>
            </w:rPr>
            <w:t xml:space="preserve">第六章 </w:t>
          </w:r>
          <w:r>
            <w:rPr>
              <w:rFonts w:hint="eastAsia" w:ascii="仿宋" w:hAnsi="仿宋" w:eastAsia="仿宋" w:cs="仿宋"/>
              <w:b/>
              <w:sz w:val="24"/>
              <w:szCs w:val="24"/>
            </w:rPr>
            <w:t>投标书格式</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_Toc20839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- 51 -</w:t>
          </w:r>
          <w:r>
            <w:rPr>
              <w:rFonts w:hint="eastAsia" w:ascii="仿宋" w:hAnsi="仿宋" w:eastAsia="仿宋" w:cs="仿宋"/>
              <w:b/>
              <w:sz w:val="24"/>
              <w:szCs w:val="24"/>
            </w:rPr>
            <w:fldChar w:fldCharType="end"/>
          </w:r>
          <w:r>
            <w:rPr>
              <w:rFonts w:hint="eastAsia" w:ascii="仿宋" w:hAnsi="仿宋" w:eastAsia="仿宋" w:cs="仿宋"/>
              <w:b/>
              <w:color w:val="auto"/>
              <w:sz w:val="24"/>
              <w:szCs w:val="24"/>
              <w:highlight w:val="none"/>
            </w:rPr>
            <w:fldChar w:fldCharType="end"/>
          </w:r>
        </w:p>
        <w:p w14:paraId="307149E5">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_Toc10464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rPr>
            <w:t>附件一、投标书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_Toc10464 \h </w:instrText>
          </w:r>
          <w:r>
            <w:rPr>
              <w:rFonts w:hint="eastAsia" w:ascii="仿宋" w:hAnsi="仿宋" w:eastAsia="仿宋" w:cs="仿宋"/>
              <w:sz w:val="24"/>
              <w:szCs w:val="24"/>
            </w:rPr>
            <w:fldChar w:fldCharType="separate"/>
          </w:r>
          <w:r>
            <w:rPr>
              <w:rFonts w:hint="eastAsia" w:ascii="仿宋" w:hAnsi="仿宋" w:eastAsia="仿宋" w:cs="仿宋"/>
              <w:sz w:val="24"/>
              <w:szCs w:val="24"/>
            </w:rPr>
            <w:t>- 52 -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1D9B7D4B">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_Toc28467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rPr>
            <w:t>附件二、法定代表人资格证明书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_Toc28467 \h </w:instrText>
          </w:r>
          <w:r>
            <w:rPr>
              <w:rFonts w:hint="eastAsia" w:ascii="仿宋" w:hAnsi="仿宋" w:eastAsia="仿宋" w:cs="仿宋"/>
              <w:sz w:val="24"/>
              <w:szCs w:val="24"/>
            </w:rPr>
            <w:fldChar w:fldCharType="separate"/>
          </w:r>
          <w:r>
            <w:rPr>
              <w:rFonts w:hint="eastAsia" w:ascii="仿宋" w:hAnsi="仿宋" w:eastAsia="仿宋" w:cs="仿宋"/>
              <w:sz w:val="24"/>
              <w:szCs w:val="24"/>
            </w:rPr>
            <w:t>- 54 -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3E9B3ED3">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_Toc18119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rPr>
            <w:t>附件三、法定代表人授权委托书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_Toc18119 \h </w:instrText>
          </w:r>
          <w:r>
            <w:rPr>
              <w:rFonts w:hint="eastAsia" w:ascii="仿宋" w:hAnsi="仿宋" w:eastAsia="仿宋" w:cs="仿宋"/>
              <w:sz w:val="24"/>
              <w:szCs w:val="24"/>
            </w:rPr>
            <w:fldChar w:fldCharType="separate"/>
          </w:r>
          <w:r>
            <w:rPr>
              <w:rFonts w:hint="eastAsia" w:ascii="仿宋" w:hAnsi="仿宋" w:eastAsia="仿宋" w:cs="仿宋"/>
              <w:sz w:val="24"/>
              <w:szCs w:val="24"/>
            </w:rPr>
            <w:t>- 55 -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02F6A206">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_Toc2020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rPr>
            <w:t>附件四、关于招标文件的声明函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_Toc2020 \h </w:instrText>
          </w:r>
          <w:r>
            <w:rPr>
              <w:rFonts w:hint="eastAsia" w:ascii="仿宋" w:hAnsi="仿宋" w:eastAsia="仿宋" w:cs="仿宋"/>
              <w:sz w:val="24"/>
              <w:szCs w:val="24"/>
            </w:rPr>
            <w:fldChar w:fldCharType="separate"/>
          </w:r>
          <w:r>
            <w:rPr>
              <w:rFonts w:hint="eastAsia" w:ascii="仿宋" w:hAnsi="仿宋" w:eastAsia="仿宋" w:cs="仿宋"/>
              <w:sz w:val="24"/>
              <w:szCs w:val="24"/>
            </w:rPr>
            <w:t>- 56 -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40D9930C">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_Toc11755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rPr>
            <w:t>附件五、诚信投标承诺书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_Toc11755 \h </w:instrText>
          </w:r>
          <w:r>
            <w:rPr>
              <w:rFonts w:hint="eastAsia" w:ascii="仿宋" w:hAnsi="仿宋" w:eastAsia="仿宋" w:cs="仿宋"/>
              <w:sz w:val="24"/>
              <w:szCs w:val="24"/>
            </w:rPr>
            <w:fldChar w:fldCharType="separate"/>
          </w:r>
          <w:r>
            <w:rPr>
              <w:rFonts w:hint="eastAsia" w:ascii="仿宋" w:hAnsi="仿宋" w:eastAsia="仿宋" w:cs="仿宋"/>
              <w:sz w:val="24"/>
              <w:szCs w:val="24"/>
            </w:rPr>
            <w:t>- 57 -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4E186C2F">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_Toc5394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rPr>
            <w:t>附件六、供应商反商业贿赂承诺书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_Toc5394 \h </w:instrText>
          </w:r>
          <w:r>
            <w:rPr>
              <w:rFonts w:hint="eastAsia" w:ascii="仿宋" w:hAnsi="仿宋" w:eastAsia="仿宋" w:cs="仿宋"/>
              <w:sz w:val="24"/>
              <w:szCs w:val="24"/>
            </w:rPr>
            <w:fldChar w:fldCharType="separate"/>
          </w:r>
          <w:r>
            <w:rPr>
              <w:rFonts w:hint="eastAsia" w:ascii="仿宋" w:hAnsi="仿宋" w:eastAsia="仿宋" w:cs="仿宋"/>
              <w:sz w:val="24"/>
              <w:szCs w:val="24"/>
            </w:rPr>
            <w:t>- 58 -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78FF15C4">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_Toc9173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rPr>
            <w:t>附件七、中小企业声明函（货物）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_Toc9173 \h </w:instrText>
          </w:r>
          <w:r>
            <w:rPr>
              <w:rFonts w:hint="eastAsia" w:ascii="仿宋" w:hAnsi="仿宋" w:eastAsia="仿宋" w:cs="仿宋"/>
              <w:sz w:val="24"/>
              <w:szCs w:val="24"/>
            </w:rPr>
            <w:fldChar w:fldCharType="separate"/>
          </w:r>
          <w:r>
            <w:rPr>
              <w:rFonts w:hint="eastAsia" w:ascii="仿宋" w:hAnsi="仿宋" w:eastAsia="仿宋" w:cs="仿宋"/>
              <w:sz w:val="24"/>
              <w:szCs w:val="24"/>
            </w:rPr>
            <w:t>- 59 -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65EBA46B">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_Toc32231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rPr>
            <w:t>附件八、开标一览表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_Toc32231 \h </w:instrText>
          </w:r>
          <w:r>
            <w:rPr>
              <w:rFonts w:hint="eastAsia" w:ascii="仿宋" w:hAnsi="仿宋" w:eastAsia="仿宋" w:cs="仿宋"/>
              <w:sz w:val="24"/>
              <w:szCs w:val="24"/>
            </w:rPr>
            <w:fldChar w:fldCharType="separate"/>
          </w:r>
          <w:r>
            <w:rPr>
              <w:rFonts w:hint="eastAsia" w:ascii="仿宋" w:hAnsi="仿宋" w:eastAsia="仿宋" w:cs="仿宋"/>
              <w:sz w:val="24"/>
              <w:szCs w:val="24"/>
            </w:rPr>
            <w:t>- 60 -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15889574">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_Toc5685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rPr>
            <w:t>附件九、投标产品名称、数量、规格分项报价表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_Toc5685 \h </w:instrText>
          </w:r>
          <w:r>
            <w:rPr>
              <w:rFonts w:hint="eastAsia" w:ascii="仿宋" w:hAnsi="仿宋" w:eastAsia="仿宋" w:cs="仿宋"/>
              <w:sz w:val="24"/>
              <w:szCs w:val="24"/>
            </w:rPr>
            <w:fldChar w:fldCharType="separate"/>
          </w:r>
          <w:r>
            <w:rPr>
              <w:rFonts w:hint="eastAsia" w:ascii="仿宋" w:hAnsi="仿宋" w:eastAsia="仿宋" w:cs="仿宋"/>
              <w:sz w:val="24"/>
              <w:szCs w:val="24"/>
            </w:rPr>
            <w:t>- 61 -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5C13091D">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_Toc29232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rPr>
            <w:t>附件十、技术规格偏离表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_Toc29232 \h </w:instrText>
          </w:r>
          <w:r>
            <w:rPr>
              <w:rFonts w:hint="eastAsia" w:ascii="仿宋" w:hAnsi="仿宋" w:eastAsia="仿宋" w:cs="仿宋"/>
              <w:sz w:val="24"/>
              <w:szCs w:val="24"/>
            </w:rPr>
            <w:fldChar w:fldCharType="separate"/>
          </w:r>
          <w:r>
            <w:rPr>
              <w:rFonts w:hint="eastAsia" w:ascii="仿宋" w:hAnsi="仿宋" w:eastAsia="仿宋" w:cs="仿宋"/>
              <w:sz w:val="24"/>
              <w:szCs w:val="24"/>
            </w:rPr>
            <w:t>- 62 -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34B16026">
          <w:pPr>
            <w:pStyle w:val="75"/>
            <w:keepNext w:val="0"/>
            <w:keepLines w:val="0"/>
            <w:pageBreakBefore w:val="0"/>
            <w:widowControl/>
            <w:tabs>
              <w:tab w:val="right" w:leader="dot" w:pos="9413"/>
            </w:tabs>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_Toc7617 </w:instrText>
          </w:r>
          <w:r>
            <w:rPr>
              <w:rFonts w:hint="eastAsia" w:ascii="仿宋" w:hAnsi="仿宋" w:eastAsia="仿宋" w:cs="仿宋"/>
              <w:sz w:val="24"/>
              <w:szCs w:val="24"/>
            </w:rPr>
            <w:fldChar w:fldCharType="separate"/>
          </w:r>
          <w:r>
            <w:rPr>
              <w:rFonts w:hint="eastAsia" w:ascii="仿宋" w:hAnsi="仿宋" w:eastAsia="仿宋" w:cs="仿宋"/>
              <w:sz w:val="24"/>
              <w:szCs w:val="24"/>
            </w:rPr>
            <w:t>附件十一、商务条款偏离表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_Toc7617 \h </w:instrText>
          </w:r>
          <w:r>
            <w:rPr>
              <w:rFonts w:hint="eastAsia" w:ascii="仿宋" w:hAnsi="仿宋" w:eastAsia="仿宋" w:cs="仿宋"/>
              <w:sz w:val="24"/>
              <w:szCs w:val="24"/>
            </w:rPr>
            <w:fldChar w:fldCharType="separate"/>
          </w:r>
          <w:r>
            <w:rPr>
              <w:rFonts w:hint="eastAsia" w:ascii="仿宋" w:hAnsi="仿宋" w:eastAsia="仿宋" w:cs="仿宋"/>
              <w:sz w:val="24"/>
              <w:szCs w:val="24"/>
            </w:rPr>
            <w:t>- 63 -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E4AD46A">
          <w:pPr>
            <w:pStyle w:val="75"/>
            <w:keepNext w:val="0"/>
            <w:keepLines w:val="0"/>
            <w:pageBreakBefore w:val="0"/>
            <w:widowControl/>
            <w:tabs>
              <w:tab w:val="right" w:leader="dot" w:pos="9413"/>
            </w:tabs>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_Toc11485 </w:instrText>
          </w:r>
          <w:r>
            <w:rPr>
              <w:rFonts w:hint="eastAsia" w:ascii="仿宋" w:hAnsi="仿宋" w:eastAsia="仿宋" w:cs="仿宋"/>
              <w:sz w:val="24"/>
              <w:szCs w:val="24"/>
            </w:rPr>
            <w:fldChar w:fldCharType="separate"/>
          </w:r>
          <w:r>
            <w:rPr>
              <w:rFonts w:hint="eastAsia" w:ascii="仿宋" w:hAnsi="仿宋" w:eastAsia="仿宋" w:cs="仿宋"/>
              <w:sz w:val="24"/>
              <w:szCs w:val="24"/>
            </w:rPr>
            <w:t>附件十二、近三年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2021年9月至今</w:t>
          </w:r>
          <w:r>
            <w:rPr>
              <w:rFonts w:hint="eastAsia" w:ascii="仿宋" w:hAnsi="仿宋" w:eastAsia="仿宋" w:cs="仿宋"/>
              <w:sz w:val="24"/>
              <w:szCs w:val="24"/>
              <w:lang w:eastAsia="zh-CN"/>
            </w:rPr>
            <w:t>）</w:t>
          </w:r>
          <w:r>
            <w:rPr>
              <w:rFonts w:hint="eastAsia" w:ascii="仿宋" w:hAnsi="仿宋" w:eastAsia="仿宋" w:cs="仿宋"/>
              <w:sz w:val="24"/>
              <w:szCs w:val="24"/>
            </w:rPr>
            <w:t>销售业绩表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_Toc11485 \h </w:instrText>
          </w:r>
          <w:r>
            <w:rPr>
              <w:rFonts w:hint="eastAsia" w:ascii="仿宋" w:hAnsi="仿宋" w:eastAsia="仿宋" w:cs="仿宋"/>
              <w:sz w:val="24"/>
              <w:szCs w:val="24"/>
            </w:rPr>
            <w:fldChar w:fldCharType="separate"/>
          </w:r>
          <w:r>
            <w:rPr>
              <w:rFonts w:hint="eastAsia" w:ascii="仿宋" w:hAnsi="仿宋" w:eastAsia="仿宋" w:cs="仿宋"/>
              <w:sz w:val="24"/>
              <w:szCs w:val="24"/>
            </w:rPr>
            <w:t>- 64 -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EBD1D96">
          <w:pPr>
            <w:pStyle w:val="79"/>
            <w:keepNext w:val="0"/>
            <w:keepLines w:val="0"/>
            <w:pageBreakBefore w:val="0"/>
            <w:widowControl/>
            <w:tabs>
              <w:tab w:val="right" w:leader="dot" w:pos="9413"/>
            </w:tabs>
            <w:kinsoku/>
            <w:wordWrap/>
            <w:overflowPunct/>
            <w:topLinePunct w:val="0"/>
            <w:autoSpaceDE/>
            <w:autoSpaceDN/>
            <w:bidi w:val="0"/>
            <w:adjustRightInd/>
            <w:snapToGrid/>
            <w:spacing w:line="340" w:lineRule="exact"/>
            <w:textAlignment w:val="auto"/>
            <w:rPr>
              <w:b/>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_Toc20005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40"/>
            </w:rPr>
            <w:t>附表：退保证金的函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_Toc20005 \h </w:instrText>
          </w:r>
          <w:r>
            <w:rPr>
              <w:rFonts w:hint="eastAsia" w:ascii="仿宋" w:hAnsi="仿宋" w:eastAsia="仿宋" w:cs="仿宋"/>
              <w:sz w:val="24"/>
              <w:szCs w:val="24"/>
            </w:rPr>
            <w:fldChar w:fldCharType="separate"/>
          </w:r>
          <w:r>
            <w:rPr>
              <w:rFonts w:hint="eastAsia" w:ascii="仿宋" w:hAnsi="仿宋" w:eastAsia="仿宋" w:cs="仿宋"/>
              <w:sz w:val="24"/>
              <w:szCs w:val="24"/>
            </w:rPr>
            <w:t>- 65 -</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78631D2F">
          <w:pPr>
            <w:spacing w:line="300" w:lineRule="exact"/>
            <w:ind w:firstLine="422" w:firstLineChars="200"/>
            <w:jc w:val="center"/>
            <w:outlineLvl w:val="9"/>
            <w:rPr>
              <w:rFonts w:hint="eastAsia" w:ascii="仿宋" w:hAnsi="仿宋" w:eastAsia="仿宋" w:cs="仿宋"/>
              <w:b/>
              <w:color w:val="auto"/>
              <w:sz w:val="36"/>
              <w:highlight w:val="none"/>
            </w:rPr>
          </w:pPr>
          <w:r>
            <w:rPr>
              <w:rFonts w:hint="eastAsia" w:ascii="仿宋" w:hAnsi="仿宋" w:eastAsia="仿宋" w:cs="仿宋"/>
              <w:b/>
              <w:color w:val="auto"/>
              <w:highlight w:val="none"/>
            </w:rPr>
            <w:fldChar w:fldCharType="end"/>
          </w:r>
        </w:p>
      </w:sdtContent>
    </w:sdt>
    <w:p w14:paraId="07B637FA">
      <w:pPr>
        <w:keepNext w:val="0"/>
        <w:keepLines w:val="0"/>
        <w:widowControl/>
        <w:spacing w:before="0" w:after="0" w:line="400" w:lineRule="exact"/>
        <w:jc w:val="center"/>
        <w:outlineLvl w:val="9"/>
        <w:rPr>
          <w:rFonts w:hint="eastAsia" w:ascii="仿宋" w:hAnsi="仿宋" w:eastAsia="仿宋" w:cs="仿宋"/>
          <w:color w:val="auto"/>
          <w:sz w:val="36"/>
          <w:szCs w:val="36"/>
          <w:highlight w:val="none"/>
          <w:lang w:val="en-US" w:eastAsia="zh-CN"/>
        </w:rPr>
        <w:sectPr>
          <w:footerReference r:id="rId9" w:type="default"/>
          <w:pgSz w:w="11907" w:h="16840"/>
          <w:pgMar w:top="1247" w:right="1247" w:bottom="1247" w:left="1247" w:header="737" w:footer="851" w:gutter="0"/>
          <w:pgBorders>
            <w:top w:val="none" w:sz="0" w:space="0"/>
            <w:left w:val="none" w:sz="0" w:space="0"/>
            <w:bottom w:val="none" w:sz="0" w:space="0"/>
            <w:right w:val="none" w:sz="0" w:space="0"/>
          </w:pgBorders>
          <w:pgNumType w:fmt="numberInDash" w:start="1"/>
          <w:cols w:space="720" w:num="1"/>
          <w:rtlGutter w:val="0"/>
          <w:docGrid w:linePitch="462" w:charSpace="0"/>
        </w:sectPr>
      </w:pPr>
      <w:bookmarkStart w:id="0" w:name="_Toc6911_WPSOffice_Level1"/>
    </w:p>
    <w:p w14:paraId="4F57C5C8">
      <w:pPr>
        <w:keepNext/>
        <w:keepLines w:val="0"/>
        <w:pageBreakBefore w:val="0"/>
        <w:widowControl/>
        <w:kinsoku/>
        <w:wordWrap/>
        <w:overflowPunct/>
        <w:topLinePunct w:val="0"/>
        <w:autoSpaceDE/>
        <w:autoSpaceDN/>
        <w:bidi w:val="0"/>
        <w:adjustRightInd/>
        <w:snapToGrid/>
        <w:spacing w:before="0" w:after="0" w:line="500" w:lineRule="exact"/>
        <w:jc w:val="center"/>
        <w:textAlignment w:val="auto"/>
        <w:outlineLvl w:val="0"/>
        <w:rPr>
          <w:rFonts w:hint="eastAsia" w:ascii="仿宋" w:hAnsi="仿宋" w:eastAsia="仿宋" w:cs="仿宋"/>
          <w:color w:val="auto"/>
          <w:sz w:val="36"/>
          <w:szCs w:val="36"/>
          <w:highlight w:val="none"/>
          <w:lang w:val="en-US" w:eastAsia="zh-CN"/>
        </w:rPr>
      </w:pPr>
      <w:bookmarkStart w:id="1" w:name="_Toc6543"/>
      <w:r>
        <w:rPr>
          <w:rFonts w:hint="eastAsia" w:ascii="仿宋" w:hAnsi="仿宋" w:eastAsia="仿宋" w:cs="仿宋"/>
          <w:color w:val="auto"/>
          <w:sz w:val="36"/>
          <w:szCs w:val="36"/>
          <w:highlight w:val="none"/>
          <w:lang w:val="en-US" w:eastAsia="zh-CN"/>
        </w:rPr>
        <w:t>昭苏县中医医院高压氧舱采购项目</w:t>
      </w:r>
    </w:p>
    <w:p w14:paraId="37164954">
      <w:pPr>
        <w:keepNext/>
        <w:keepLines w:val="0"/>
        <w:pageBreakBefore w:val="0"/>
        <w:widowControl/>
        <w:kinsoku/>
        <w:wordWrap/>
        <w:overflowPunct/>
        <w:topLinePunct w:val="0"/>
        <w:autoSpaceDE/>
        <w:autoSpaceDN/>
        <w:bidi w:val="0"/>
        <w:adjustRightInd/>
        <w:snapToGrid/>
        <w:spacing w:before="0" w:after="0" w:line="500" w:lineRule="exact"/>
        <w:jc w:val="center"/>
        <w:textAlignment w:val="auto"/>
        <w:outlineLvl w:val="0"/>
        <w:rPr>
          <w:rFonts w:hint="eastAsia" w:ascii="仿宋" w:hAnsi="仿宋" w:eastAsia="仿宋" w:cs="仿宋"/>
          <w:color w:val="auto"/>
          <w:sz w:val="36"/>
          <w:szCs w:val="36"/>
          <w:highlight w:val="none"/>
        </w:rPr>
      </w:pPr>
      <w:bookmarkStart w:id="2" w:name="_Toc1739"/>
      <w:r>
        <w:rPr>
          <w:rFonts w:hint="eastAsia" w:ascii="仿宋" w:hAnsi="仿宋" w:eastAsia="仿宋" w:cs="仿宋"/>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-121285</wp:posOffset>
                </wp:positionH>
                <wp:positionV relativeFrom="paragraph">
                  <wp:posOffset>309880</wp:posOffset>
                </wp:positionV>
                <wp:extent cx="6181725" cy="1072515"/>
                <wp:effectExtent l="6350" t="6350" r="14605" b="18415"/>
                <wp:wrapNone/>
                <wp:docPr id="2" name="矩形 1"/>
                <wp:cNvGraphicFramePr/>
                <a:graphic xmlns:a="http://schemas.openxmlformats.org/drawingml/2006/main">
                  <a:graphicData uri="http://schemas.microsoft.com/office/word/2010/wordprocessingShape">
                    <wps:wsp>
                      <wps:cNvSpPr/>
                      <wps:spPr>
                        <a:xfrm>
                          <a:off x="0" y="0"/>
                          <a:ext cx="5867400" cy="107251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1E4AD165"/>
                        </w:txbxContent>
                      </wps:txbx>
                      <wps:bodyPr upright="1"/>
                    </wps:wsp>
                  </a:graphicData>
                </a:graphic>
              </wp:anchor>
            </w:drawing>
          </mc:Choice>
          <mc:Fallback>
            <w:pict>
              <v:rect id="矩形 1" o:spid="_x0000_s1026" o:spt="1" style="position:absolute;left:0pt;margin-left:-9.55pt;margin-top:24.4pt;height:84.45pt;width:486.75pt;z-index:-251656192;mso-width-relative:page;mso-height-relative:page;" fillcolor="#FFFFFF" filled="t" stroked="t" coordsize="21600,21600" o:gfxdata="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4G2Q3AAAAAoBAAAPAAAAAAAAAAEAIAAAACIA&#10;AABkcnMvZG93bnJldi54bWxQSwECFAAUAAAACACHTuJAjSJoxgUCAAA5BAAADgAAAAAAAAABACAA&#10;AAArAQAAZHJzL2Uyb0RvYy54bWxQSwUGAAAAAAYABgBZAQAAogUAAAAA&#10;">
                <v:fill on="t" focussize="0,0"/>
                <v:stroke weight="1pt" color="#000000" joinstyle="miter"/>
                <v:imagedata o:title=""/>
                <o:lock v:ext="edit" aspectratio="f"/>
                <v:textbox>
                  <w:txbxContent>
                    <w:p w14:paraId="1E4AD165"/>
                  </w:txbxContent>
                </v:textbox>
              </v:rect>
            </w:pict>
          </mc:Fallback>
        </mc:AlternateContent>
      </w:r>
      <w:r>
        <w:rPr>
          <w:rFonts w:hint="eastAsia" w:ascii="仿宋" w:hAnsi="仿宋" w:eastAsia="仿宋" w:cs="仿宋"/>
          <w:color w:val="auto"/>
          <w:sz w:val="36"/>
          <w:szCs w:val="36"/>
          <w:highlight w:val="none"/>
          <w:lang w:val="en-US" w:eastAsia="zh-CN"/>
        </w:rPr>
        <w:t>公开招标</w:t>
      </w:r>
      <w:r>
        <w:rPr>
          <w:rFonts w:hint="eastAsia" w:ascii="仿宋" w:hAnsi="仿宋" w:eastAsia="仿宋" w:cs="仿宋"/>
          <w:color w:val="auto"/>
          <w:sz w:val="36"/>
          <w:szCs w:val="36"/>
          <w:highlight w:val="none"/>
        </w:rPr>
        <w:t>公告</w:t>
      </w:r>
      <w:bookmarkEnd w:id="0"/>
      <w:bookmarkEnd w:id="1"/>
      <w:bookmarkEnd w:id="2"/>
    </w:p>
    <w:p w14:paraId="78A6F3A1">
      <w:pPr>
        <w:keepNext/>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color w:val="auto"/>
          <w:highlight w:val="none"/>
          <w:lang w:eastAsia="zh-CN"/>
        </w:rPr>
      </w:pPr>
    </w:p>
    <w:p w14:paraId="67420104">
      <w:pPr>
        <w:pStyle w:val="23"/>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项目概况</w:t>
      </w:r>
    </w:p>
    <w:p w14:paraId="7810C873">
      <w:pPr>
        <w:pStyle w:val="23"/>
        <w:keepNext/>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昭苏县中医医院高压氧舱采购项目</w:t>
      </w:r>
      <w:r>
        <w:rPr>
          <w:rFonts w:hint="eastAsia" w:ascii="仿宋" w:hAnsi="仿宋" w:eastAsia="仿宋" w:cs="仿宋"/>
          <w:color w:val="auto"/>
          <w:sz w:val="24"/>
          <w:szCs w:val="24"/>
          <w:highlight w:val="none"/>
        </w:rPr>
        <w:t>的潜在</w:t>
      </w:r>
      <w:r>
        <w:rPr>
          <w:rFonts w:hint="eastAsia" w:ascii="仿宋" w:hAnsi="仿宋" w:eastAsia="仿宋" w:cs="仿宋"/>
          <w:color w:val="auto"/>
          <w:sz w:val="24"/>
          <w:szCs w:val="24"/>
          <w:highlight w:val="none"/>
          <w:lang w:eastAsia="zh-CN"/>
        </w:rPr>
        <w:t>投标人应在政采云https://www.zcygov.cn/平台获取招标文件</w:t>
      </w:r>
      <w:r>
        <w:rPr>
          <w:rFonts w:hint="eastAsia" w:ascii="仿宋" w:hAnsi="仿宋" w:eastAsia="仿宋" w:cs="仿宋"/>
          <w:color w:val="auto"/>
          <w:sz w:val="24"/>
          <w:szCs w:val="24"/>
          <w:highlight w:val="none"/>
        </w:rPr>
        <w:t>，并于</w:t>
      </w:r>
      <w:r>
        <w:rPr>
          <w:rFonts w:hint="eastAsia" w:ascii="仿宋" w:hAnsi="仿宋" w:eastAsia="仿宋" w:cs="仿宋"/>
          <w:color w:val="auto"/>
          <w:sz w:val="24"/>
          <w:szCs w:val="24"/>
          <w:highlight w:val="none"/>
          <w:lang w:eastAsia="zh-CN"/>
        </w:rPr>
        <w:t>2025年03月04日11:00</w:t>
      </w:r>
      <w:r>
        <w:rPr>
          <w:rFonts w:hint="eastAsia" w:ascii="仿宋" w:hAnsi="仿宋" w:eastAsia="仿宋" w:cs="仿宋"/>
          <w:color w:val="auto"/>
          <w:sz w:val="24"/>
          <w:szCs w:val="24"/>
          <w:highlight w:val="none"/>
        </w:rPr>
        <w:t>（北京时间）前提交</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 </w:t>
      </w:r>
    </w:p>
    <w:p w14:paraId="23A9ED14">
      <w:pPr>
        <w:pStyle w:val="23"/>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firstLine="482" w:firstLineChars="200"/>
        <w:jc w:val="both"/>
        <w:textAlignment w:val="auto"/>
        <w:outlineLvl w:val="9"/>
        <w:rPr>
          <w:rStyle w:val="29"/>
          <w:rFonts w:hint="eastAsia" w:ascii="仿宋" w:hAnsi="仿宋" w:eastAsia="仿宋" w:cs="仿宋"/>
          <w:color w:val="auto"/>
          <w:sz w:val="24"/>
          <w:szCs w:val="24"/>
          <w:highlight w:val="none"/>
          <w:lang w:eastAsia="zh-CN"/>
        </w:rPr>
      </w:pPr>
    </w:p>
    <w:p w14:paraId="4AFF971E">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right="0"/>
        <w:jc w:val="both"/>
        <w:textAlignment w:val="auto"/>
        <w:outlineLvl w:val="1"/>
        <w:rPr>
          <w:rStyle w:val="29"/>
          <w:rFonts w:hint="eastAsia" w:ascii="仿宋" w:hAnsi="仿宋" w:eastAsia="仿宋" w:cs="仿宋"/>
          <w:color w:val="auto"/>
          <w:sz w:val="24"/>
          <w:szCs w:val="24"/>
          <w:highlight w:val="none"/>
        </w:rPr>
      </w:pPr>
      <w:bookmarkStart w:id="3" w:name="_Toc10830"/>
      <w:r>
        <w:rPr>
          <w:rStyle w:val="29"/>
          <w:rFonts w:hint="eastAsia" w:ascii="仿宋" w:hAnsi="仿宋" w:eastAsia="仿宋" w:cs="仿宋"/>
          <w:color w:val="auto"/>
          <w:sz w:val="24"/>
          <w:szCs w:val="24"/>
          <w:highlight w:val="none"/>
          <w:lang w:eastAsia="zh-CN"/>
        </w:rPr>
        <w:t>一、项目基本情况：</w:t>
      </w:r>
      <w:bookmarkEnd w:id="3"/>
    </w:p>
    <w:p w14:paraId="14264A57">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XJHRXZSZYY-2025-01</w:t>
      </w:r>
    </w:p>
    <w:p w14:paraId="7604776F">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left="0" w:righ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昭苏县中医医院高压氧舱采购项目</w:t>
      </w:r>
    </w:p>
    <w:p w14:paraId="2F4E6EA8">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left="0" w:righ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w:t>
      </w:r>
      <w:r>
        <w:rPr>
          <w:rFonts w:hint="eastAsia" w:ascii="仿宋" w:hAnsi="仿宋" w:eastAsia="仿宋" w:cs="仿宋"/>
          <w:color w:val="auto"/>
          <w:sz w:val="24"/>
          <w:szCs w:val="24"/>
          <w:highlight w:val="none"/>
          <w:lang w:eastAsia="zh-CN"/>
        </w:rPr>
        <w:t>公开招标</w:t>
      </w:r>
      <w:r>
        <w:rPr>
          <w:rFonts w:hint="eastAsia" w:ascii="仿宋" w:hAnsi="仿宋" w:eastAsia="仿宋" w:cs="仿宋"/>
          <w:color w:val="auto"/>
          <w:sz w:val="24"/>
          <w:szCs w:val="24"/>
          <w:highlight w:val="none"/>
        </w:rPr>
        <w:t> </w:t>
      </w:r>
    </w:p>
    <w:p w14:paraId="1838ED47">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left="0" w:righ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1580000.00.00</w:t>
      </w:r>
      <w:r>
        <w:rPr>
          <w:rFonts w:hint="eastAsia" w:ascii="仿宋" w:hAnsi="仿宋" w:eastAsia="仿宋" w:cs="仿宋"/>
          <w:color w:val="auto"/>
          <w:sz w:val="24"/>
          <w:szCs w:val="24"/>
          <w:highlight w:val="none"/>
        </w:rPr>
        <w:t> </w:t>
      </w:r>
    </w:p>
    <w:p w14:paraId="1018B337">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left="0" w:righ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1580000.00.00</w:t>
      </w:r>
      <w:r>
        <w:rPr>
          <w:rFonts w:hint="eastAsia" w:ascii="仿宋" w:hAnsi="仿宋" w:eastAsia="仿宋" w:cs="仿宋"/>
          <w:color w:val="auto"/>
          <w:sz w:val="24"/>
          <w:szCs w:val="24"/>
          <w:highlight w:val="none"/>
        </w:rPr>
        <w:t> </w:t>
      </w:r>
    </w:p>
    <w:p w14:paraId="36820883">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left="0" w:righ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采购需求：</w:t>
      </w:r>
    </w:p>
    <w:p w14:paraId="3D504377">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right="0" w:firstLine="480" w:firstLineChars="20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标项名称：昭苏县中医医院高压氧舱采购项目 </w:t>
      </w:r>
    </w:p>
    <w:p w14:paraId="3FD11BC1">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数量：1套 </w:t>
      </w:r>
    </w:p>
    <w:p w14:paraId="1F9B3955">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预算金额（元）：1580000.00.00  </w:t>
      </w:r>
    </w:p>
    <w:p w14:paraId="7A9CCC01">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简要规格描述：医用空气加压氧舱</w:t>
      </w:r>
      <w:r>
        <w:rPr>
          <w:rFonts w:hint="eastAsia" w:ascii="仿宋" w:hAnsi="仿宋" w:eastAsia="仿宋" w:cs="仿宋"/>
          <w:color w:val="auto"/>
          <w:kern w:val="0"/>
          <w:sz w:val="24"/>
          <w:szCs w:val="24"/>
          <w:highlight w:val="none"/>
          <w:lang w:val="en-US" w:eastAsia="zh-CN" w:bidi="ar"/>
        </w:rPr>
        <w:t>。</w:t>
      </w:r>
    </w:p>
    <w:p w14:paraId="4316F4F7">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righ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合同履约期限：合同签订后</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日内完成设备的供应、安装及调试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具体以实际签订合同为准</w:t>
      </w:r>
      <w:r>
        <w:rPr>
          <w:rFonts w:hint="eastAsia" w:ascii="仿宋" w:hAnsi="仿宋" w:eastAsia="仿宋" w:cs="仿宋"/>
          <w:color w:val="auto"/>
          <w:sz w:val="24"/>
          <w:szCs w:val="24"/>
          <w:highlight w:val="none"/>
          <w:lang w:eastAsia="zh-CN"/>
        </w:rPr>
        <w:t>）</w:t>
      </w:r>
    </w:p>
    <w:p w14:paraId="52D2F477">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righ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否</w:t>
      </w:r>
      <w:r>
        <w:rPr>
          <w:rFonts w:hint="eastAsia" w:ascii="仿宋" w:hAnsi="仿宋" w:eastAsia="仿宋" w:cs="仿宋"/>
          <w:color w:val="auto"/>
          <w:sz w:val="24"/>
          <w:szCs w:val="24"/>
          <w:highlight w:val="none"/>
        </w:rPr>
        <w:t>）接受联合体投标。</w:t>
      </w:r>
    </w:p>
    <w:p w14:paraId="6EAFB6D5">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right="0"/>
        <w:jc w:val="both"/>
        <w:textAlignment w:val="auto"/>
        <w:outlineLvl w:val="1"/>
        <w:rPr>
          <w:rFonts w:hint="eastAsia" w:ascii="仿宋" w:hAnsi="仿宋" w:eastAsia="仿宋" w:cs="仿宋"/>
          <w:color w:val="auto"/>
          <w:sz w:val="24"/>
          <w:szCs w:val="24"/>
          <w:highlight w:val="none"/>
        </w:rPr>
      </w:pPr>
      <w:bookmarkStart w:id="4" w:name="_Toc3117"/>
      <w:r>
        <w:rPr>
          <w:rStyle w:val="29"/>
          <w:rFonts w:hint="eastAsia" w:ascii="仿宋" w:hAnsi="仿宋" w:eastAsia="仿宋" w:cs="仿宋"/>
          <w:color w:val="auto"/>
          <w:sz w:val="24"/>
          <w:szCs w:val="24"/>
          <w:highlight w:val="none"/>
        </w:rPr>
        <w:t>二、申请人的资格要求：</w:t>
      </w:r>
      <w:bookmarkEnd w:id="4"/>
    </w:p>
    <w:p w14:paraId="7D43315F">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righ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满足《中华人民共和国政府采购法》第二十二条规定；</w:t>
      </w:r>
    </w:p>
    <w:p w14:paraId="53841C25">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left="0" w:righ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落实政府采购政策需满足的资格要求：</w:t>
      </w:r>
      <w:r>
        <w:rPr>
          <w:rFonts w:hint="eastAsia" w:ascii="仿宋" w:hAnsi="仿宋" w:eastAsia="仿宋" w:cs="仿宋"/>
          <w:color w:val="auto"/>
          <w:sz w:val="24"/>
          <w:szCs w:val="24"/>
          <w:highlight w:val="none"/>
          <w:lang w:val="en-US" w:eastAsia="zh-CN"/>
        </w:rPr>
        <w:t>本项目为专门面向中小企业（含中型、小型、微型企业）采购项目；</w:t>
      </w:r>
      <w:r>
        <w:rPr>
          <w:rFonts w:hint="eastAsia" w:ascii="仿宋" w:hAnsi="仿宋" w:eastAsia="仿宋" w:cs="仿宋"/>
          <w:color w:val="auto"/>
          <w:kern w:val="2"/>
          <w:sz w:val="24"/>
          <w:szCs w:val="24"/>
          <w:highlight w:val="none"/>
          <w:shd w:val="clear" w:color="auto" w:fill="FFFFFF"/>
        </w:rPr>
        <w:t> </w:t>
      </w:r>
    </w:p>
    <w:p w14:paraId="01A0C9EE">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本项目的</w:t>
      </w:r>
      <w:bookmarkStart w:id="357" w:name="_GoBack"/>
      <w:bookmarkEnd w:id="357"/>
      <w:r>
        <w:rPr>
          <w:rFonts w:hint="eastAsia" w:ascii="仿宋" w:hAnsi="仿宋" w:eastAsia="仿宋" w:cs="仿宋"/>
          <w:color w:val="auto"/>
          <w:sz w:val="24"/>
          <w:szCs w:val="24"/>
          <w:highlight w:val="none"/>
        </w:rPr>
        <w:t>特定资格要求：</w:t>
      </w:r>
    </w:p>
    <w:p w14:paraId="26C026A1">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（1）供应商为制造商的须提供《医疗器械生产许可证》、所投产品的《医疗器械产品注册证》；</w:t>
      </w:r>
    </w:p>
    <w:p w14:paraId="03F99B52">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left="0" w:righ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供应商为经销商的须提供包含所投产品相应经营范围的《医疗器械经营许可证》、《医疗器械经营备案凭证》，及所投产品制造商的《医疗器械生产许可证》、《医疗器械产品注册证》</w:t>
      </w:r>
      <w:r>
        <w:rPr>
          <w:rFonts w:hint="eastAsia" w:ascii="仿宋" w:hAnsi="仿宋" w:eastAsia="仿宋" w:cs="仿宋"/>
          <w:color w:val="auto"/>
          <w:sz w:val="24"/>
          <w:szCs w:val="24"/>
          <w:highlight w:val="none"/>
          <w:lang w:eastAsia="zh-CN"/>
        </w:rPr>
        <w:t>。</w:t>
      </w:r>
    </w:p>
    <w:p w14:paraId="774532FF">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left="0" w:righ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参与本项目供应商所投产品的制造商须为中小/小微企业。</w:t>
      </w:r>
    </w:p>
    <w:p w14:paraId="3188B8EC">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right="0"/>
        <w:jc w:val="both"/>
        <w:textAlignment w:val="auto"/>
        <w:outlineLvl w:val="1"/>
        <w:rPr>
          <w:rFonts w:hint="eastAsia" w:ascii="仿宋" w:hAnsi="仿宋" w:eastAsia="仿宋" w:cs="仿宋"/>
          <w:color w:val="auto"/>
          <w:sz w:val="24"/>
          <w:szCs w:val="24"/>
          <w:highlight w:val="none"/>
        </w:rPr>
      </w:pPr>
      <w:bookmarkStart w:id="5" w:name="_Toc19213"/>
      <w:r>
        <w:rPr>
          <w:rStyle w:val="29"/>
          <w:rFonts w:hint="eastAsia" w:ascii="仿宋" w:hAnsi="仿宋" w:eastAsia="仿宋" w:cs="仿宋"/>
          <w:color w:val="auto"/>
          <w:sz w:val="24"/>
          <w:szCs w:val="24"/>
          <w:highlight w:val="none"/>
        </w:rPr>
        <w:t>三、获取</w:t>
      </w:r>
      <w:r>
        <w:rPr>
          <w:rStyle w:val="29"/>
          <w:rFonts w:hint="eastAsia" w:ascii="仿宋" w:hAnsi="仿宋" w:eastAsia="仿宋" w:cs="仿宋"/>
          <w:color w:val="auto"/>
          <w:sz w:val="24"/>
          <w:szCs w:val="24"/>
          <w:highlight w:val="none"/>
          <w:lang w:eastAsia="zh-CN"/>
        </w:rPr>
        <w:t>招标</w:t>
      </w:r>
      <w:r>
        <w:rPr>
          <w:rStyle w:val="29"/>
          <w:rFonts w:hint="eastAsia" w:ascii="仿宋" w:hAnsi="仿宋" w:eastAsia="仿宋" w:cs="仿宋"/>
          <w:color w:val="auto"/>
          <w:sz w:val="24"/>
          <w:szCs w:val="24"/>
          <w:highlight w:val="none"/>
        </w:rPr>
        <w:t>文件</w:t>
      </w:r>
      <w:bookmarkEnd w:id="5"/>
    </w:p>
    <w:p w14:paraId="53E916D0">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left="0" w:righ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val="en-US" w:eastAsia="zh-CN"/>
        </w:rPr>
        <w:t>2025年02月12日至2025年02月19日</w:t>
      </w:r>
      <w:r>
        <w:rPr>
          <w:rFonts w:hint="eastAsia" w:ascii="仿宋" w:hAnsi="仿宋" w:eastAsia="仿宋" w:cs="仿宋"/>
          <w:color w:val="auto"/>
          <w:sz w:val="24"/>
          <w:szCs w:val="24"/>
          <w:highlight w:val="none"/>
        </w:rPr>
        <w:t>，每天上午</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:00至1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:00，下午1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:00至</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59</w:t>
      </w:r>
      <w:r>
        <w:rPr>
          <w:rFonts w:hint="eastAsia" w:ascii="仿宋" w:hAnsi="仿宋" w:eastAsia="仿宋" w:cs="仿宋"/>
          <w:color w:val="auto"/>
          <w:sz w:val="24"/>
          <w:szCs w:val="24"/>
          <w:highlight w:val="none"/>
        </w:rPr>
        <w:t>（北京时间）</w:t>
      </w:r>
    </w:p>
    <w:p w14:paraId="7A0B8966">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left="0" w:righ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地点：供应商登陆政采云平台http://www.zcygov.cn/，在线申请获取竞</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文件（登录政府采购云平台→项目采购→获取</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文件→申请，审核通过后可下载</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文件，如有操作性问题，可与政采云在线客服进行咨询，咨询电话：</w:t>
      </w:r>
      <w:r>
        <w:rPr>
          <w:rFonts w:hint="eastAsia" w:ascii="仿宋" w:hAnsi="仿宋" w:eastAsia="仿宋" w:cs="仿宋"/>
          <w:color w:val="auto"/>
          <w:sz w:val="24"/>
          <w:szCs w:val="24"/>
          <w:highlight w:val="none"/>
          <w:lang w:eastAsia="zh-CN"/>
        </w:rPr>
        <w:t>95763</w:t>
      </w:r>
      <w:r>
        <w:rPr>
          <w:rFonts w:hint="eastAsia" w:ascii="仿宋" w:hAnsi="仿宋" w:eastAsia="仿宋" w:cs="仿宋"/>
          <w:color w:val="auto"/>
          <w:sz w:val="24"/>
          <w:szCs w:val="24"/>
          <w:highlight w:val="none"/>
        </w:rPr>
        <w:t>）。</w:t>
      </w:r>
    </w:p>
    <w:p w14:paraId="241E1A5F">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left="0" w:righ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方式：供应商登录政采云平台https://www.zcygov.cn/在线申请获取采购文件（进入“项目采购”应用，在获取采购文件菜单中选择项目，申请获取采购文件）</w:t>
      </w:r>
      <w:r>
        <w:rPr>
          <w:rFonts w:hint="eastAsia" w:ascii="仿宋" w:hAnsi="仿宋" w:eastAsia="仿宋" w:cs="仿宋"/>
          <w:color w:val="auto"/>
          <w:sz w:val="24"/>
          <w:szCs w:val="24"/>
          <w:highlight w:val="none"/>
          <w:lang w:eastAsia="zh-CN"/>
        </w:rPr>
        <w:t>。</w:t>
      </w:r>
    </w:p>
    <w:p w14:paraId="4248534A">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left="0" w:righ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w:t>
      </w:r>
    </w:p>
    <w:p w14:paraId="17CAAB30">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right="0"/>
        <w:jc w:val="both"/>
        <w:textAlignment w:val="auto"/>
        <w:outlineLvl w:val="1"/>
        <w:rPr>
          <w:rFonts w:hint="eastAsia" w:ascii="仿宋" w:hAnsi="仿宋" w:eastAsia="仿宋" w:cs="仿宋"/>
          <w:color w:val="auto"/>
          <w:sz w:val="24"/>
          <w:szCs w:val="24"/>
          <w:highlight w:val="none"/>
        </w:rPr>
      </w:pPr>
      <w:bookmarkStart w:id="6" w:name="_Toc17384"/>
      <w:r>
        <w:rPr>
          <w:rStyle w:val="29"/>
          <w:rFonts w:hint="eastAsia" w:ascii="仿宋" w:hAnsi="仿宋" w:eastAsia="仿宋" w:cs="仿宋"/>
          <w:color w:val="auto"/>
          <w:sz w:val="24"/>
          <w:szCs w:val="24"/>
          <w:highlight w:val="none"/>
        </w:rPr>
        <w:t>四、提交投标文件截止时间、开标时间和地点</w:t>
      </w:r>
      <w:bookmarkEnd w:id="6"/>
    </w:p>
    <w:p w14:paraId="4A97EDFB">
      <w:pPr>
        <w:pStyle w:val="23"/>
        <w:keepNext w:val="0"/>
        <w:keepLines w:val="0"/>
        <w:pageBreakBefore w:val="0"/>
        <w:widowControl w:val="0"/>
        <w:kinsoku w:val="0"/>
        <w:wordWrap w:val="0"/>
        <w:overflowPunct/>
        <w:topLinePunct w:val="0"/>
        <w:autoSpaceDE/>
        <w:autoSpaceDN/>
        <w:bidi w:val="0"/>
        <w:adjustRightInd/>
        <w:snapToGrid/>
        <w:spacing w:before="0" w:beforeAutospacing="0" w:after="0" w:afterAutospacing="0" w:line="400" w:lineRule="exact"/>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提交投标文件截止时间</w:t>
      </w:r>
      <w:r>
        <w:rPr>
          <w:rFonts w:hint="eastAsia" w:ascii="仿宋" w:hAnsi="仿宋" w:eastAsia="仿宋" w:cs="仿宋"/>
          <w:color w:val="auto"/>
          <w:sz w:val="24"/>
          <w:szCs w:val="24"/>
          <w:highlight w:val="none"/>
          <w:lang w:eastAsia="zh-CN"/>
        </w:rPr>
        <w:t>：2025年03月04日11:00（北京时间）</w:t>
      </w:r>
    </w:p>
    <w:p w14:paraId="24B4CB11">
      <w:pPr>
        <w:pStyle w:val="23"/>
        <w:keepNext w:val="0"/>
        <w:keepLines w:val="0"/>
        <w:pageBreakBefore w:val="0"/>
        <w:widowControl w:val="0"/>
        <w:kinsoku w:val="0"/>
        <w:wordWrap w:val="0"/>
        <w:overflowPunct/>
        <w:topLinePunct w:val="0"/>
        <w:autoSpaceDE/>
        <w:autoSpaceDN/>
        <w:bidi w:val="0"/>
        <w:adjustRightInd/>
        <w:snapToGrid/>
        <w:spacing w:before="0" w:beforeAutospacing="0" w:after="0" w:afterAutospacing="0" w:line="400" w:lineRule="exact"/>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投标地点：新疆政府采购云平台（www.zcygov.cn）</w:t>
      </w:r>
    </w:p>
    <w:p w14:paraId="7844FF1F">
      <w:pPr>
        <w:pStyle w:val="23"/>
        <w:keepNext w:val="0"/>
        <w:keepLines w:val="0"/>
        <w:pageBreakBefore w:val="0"/>
        <w:widowControl w:val="0"/>
        <w:kinsoku w:val="0"/>
        <w:wordWrap w:val="0"/>
        <w:overflowPunct/>
        <w:topLinePunct w:val="0"/>
        <w:autoSpaceDE/>
        <w:autoSpaceDN/>
        <w:bidi w:val="0"/>
        <w:adjustRightInd/>
        <w:snapToGrid/>
        <w:spacing w:before="0" w:beforeAutospacing="0" w:after="0" w:afterAutospacing="0" w:line="400" w:lineRule="exact"/>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开标时间：2025年03月04日11:00（北京时间）</w:t>
      </w:r>
    </w:p>
    <w:p w14:paraId="7275096E">
      <w:pPr>
        <w:pStyle w:val="23"/>
        <w:keepNext w:val="0"/>
        <w:keepLines w:val="0"/>
        <w:pageBreakBefore w:val="0"/>
        <w:widowControl w:val="0"/>
        <w:kinsoku w:val="0"/>
        <w:wordWrap w:val="0"/>
        <w:overflowPunct/>
        <w:topLinePunct w:val="0"/>
        <w:autoSpaceDE/>
        <w:autoSpaceDN/>
        <w:bidi w:val="0"/>
        <w:adjustRightInd/>
        <w:snapToGrid/>
        <w:spacing w:before="0" w:beforeAutospacing="0" w:after="0" w:afterAutospacing="0" w:line="400" w:lineRule="exact"/>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开标地点</w:t>
      </w:r>
      <w:r>
        <w:rPr>
          <w:rFonts w:hint="eastAsia" w:ascii="仿宋" w:hAnsi="仿宋" w:eastAsia="仿宋" w:cs="仿宋"/>
          <w:color w:val="auto"/>
          <w:sz w:val="24"/>
          <w:szCs w:val="24"/>
          <w:highlight w:val="none"/>
          <w:lang w:eastAsia="zh-CN"/>
        </w:rPr>
        <w:t>：新疆政府采购云平台（www.zcygov.cn）</w:t>
      </w:r>
    </w:p>
    <w:p w14:paraId="40E8B1BA">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right="0"/>
        <w:jc w:val="both"/>
        <w:textAlignment w:val="auto"/>
        <w:outlineLvl w:val="1"/>
        <w:rPr>
          <w:rFonts w:hint="eastAsia" w:ascii="仿宋" w:hAnsi="仿宋" w:eastAsia="仿宋" w:cs="仿宋"/>
          <w:color w:val="auto"/>
          <w:sz w:val="24"/>
          <w:szCs w:val="24"/>
          <w:highlight w:val="none"/>
        </w:rPr>
      </w:pPr>
      <w:bookmarkStart w:id="7" w:name="_Toc20498"/>
      <w:r>
        <w:rPr>
          <w:rStyle w:val="29"/>
          <w:rFonts w:hint="eastAsia" w:ascii="仿宋" w:hAnsi="仿宋" w:eastAsia="仿宋" w:cs="仿宋"/>
          <w:color w:val="auto"/>
          <w:sz w:val="24"/>
          <w:szCs w:val="24"/>
          <w:highlight w:val="none"/>
          <w:lang w:eastAsia="zh-CN"/>
        </w:rPr>
        <w:t>五</w:t>
      </w:r>
      <w:r>
        <w:rPr>
          <w:rStyle w:val="29"/>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rPr>
        <w:t> </w:t>
      </w:r>
      <w:bookmarkEnd w:id="7"/>
    </w:p>
    <w:p w14:paraId="6598C403">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righ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个工作日。</w:t>
      </w:r>
    </w:p>
    <w:p w14:paraId="4D679D91">
      <w:pPr>
        <w:pStyle w:val="23"/>
        <w:keepNext w:val="0"/>
        <w:keepLines w:val="0"/>
        <w:pageBreakBefore w:val="0"/>
        <w:widowControl w:val="0"/>
        <w:suppressLineNumbers w:val="0"/>
        <w:kinsoku w:val="0"/>
        <w:wordWrap w:val="0"/>
        <w:overflowPunct/>
        <w:topLinePunct w:val="0"/>
        <w:autoSpaceDE/>
        <w:autoSpaceDN/>
        <w:bidi w:val="0"/>
        <w:adjustRightInd/>
        <w:snapToGrid/>
        <w:spacing w:before="0" w:beforeAutospacing="0" w:after="0" w:afterAutospacing="0" w:line="400" w:lineRule="exact"/>
        <w:ind w:right="0"/>
        <w:jc w:val="both"/>
        <w:textAlignment w:val="auto"/>
        <w:outlineLvl w:val="1"/>
        <w:rPr>
          <w:rStyle w:val="29"/>
          <w:rFonts w:hint="eastAsia" w:ascii="仿宋" w:hAnsi="仿宋" w:eastAsia="仿宋" w:cs="仿宋"/>
          <w:color w:val="auto"/>
          <w:sz w:val="24"/>
          <w:szCs w:val="24"/>
          <w:highlight w:val="none"/>
          <w:lang w:eastAsia="zh-CN"/>
        </w:rPr>
      </w:pPr>
      <w:bookmarkStart w:id="8" w:name="_Toc16849"/>
      <w:r>
        <w:rPr>
          <w:rStyle w:val="29"/>
          <w:rFonts w:hint="eastAsia" w:ascii="仿宋" w:hAnsi="仿宋" w:eastAsia="仿宋" w:cs="仿宋"/>
          <w:color w:val="auto"/>
          <w:sz w:val="24"/>
          <w:szCs w:val="24"/>
          <w:highlight w:val="none"/>
          <w:lang w:eastAsia="zh-CN"/>
        </w:rPr>
        <w:t>六、其他补充事宜</w:t>
      </w:r>
      <w:bookmarkEnd w:id="8"/>
    </w:p>
    <w:p w14:paraId="69DE745C">
      <w:pPr>
        <w:keepNext w:val="0"/>
        <w:keepLines w:val="0"/>
        <w:pageBreakBefore w:val="0"/>
        <w:widowControl w:val="0"/>
        <w:kinsoku w:val="0"/>
        <w:wordWrap w:val="0"/>
        <w:overflowPunct/>
        <w:topLinePunct w:val="0"/>
        <w:autoSpaceDE/>
        <w:autoSpaceDN/>
        <w:bidi w:val="0"/>
        <w:adjustRightInd/>
        <w:snapToGrid/>
        <w:spacing w:line="400" w:lineRule="exact"/>
        <w:ind w:firstLine="480" w:firstLineChars="200"/>
        <w:textAlignment w:val="auto"/>
        <w:outlineLvl w:val="9"/>
        <w:rPr>
          <w:rStyle w:val="29"/>
          <w:rFonts w:hint="eastAsia" w:ascii="仿宋" w:hAnsi="仿宋" w:eastAsia="仿宋" w:cs="仿宋"/>
          <w:b w:val="0"/>
          <w:bCs/>
          <w:color w:val="auto"/>
          <w:sz w:val="24"/>
          <w:szCs w:val="24"/>
          <w:highlight w:val="none"/>
          <w:lang w:eastAsia="zh-CN"/>
        </w:rPr>
      </w:pPr>
      <w:r>
        <w:rPr>
          <w:rStyle w:val="29"/>
          <w:rFonts w:hint="eastAsia" w:ascii="仿宋" w:hAnsi="仿宋" w:eastAsia="仿宋" w:cs="仿宋"/>
          <w:b w:val="0"/>
          <w:bCs/>
          <w:color w:val="auto"/>
          <w:sz w:val="24"/>
          <w:szCs w:val="24"/>
          <w:highlight w:val="none"/>
          <w:lang w:eastAsia="zh-CN"/>
        </w:rPr>
        <w:t>1.本项目采用全流程不见面电子开评标，投标供应商需要使用CA加密设备，供应商可通过新疆数字证书认证中心官网（https://www.xjca.com.cn/）或下载“新疆政务通”APP自行进行申领。</w:t>
      </w:r>
    </w:p>
    <w:p w14:paraId="3C9164E2">
      <w:pPr>
        <w:keepNext w:val="0"/>
        <w:keepLines w:val="0"/>
        <w:pageBreakBefore w:val="0"/>
        <w:widowControl w:val="0"/>
        <w:kinsoku w:val="0"/>
        <w:wordWrap w:val="0"/>
        <w:overflowPunct/>
        <w:topLinePunct w:val="0"/>
        <w:autoSpaceDE/>
        <w:autoSpaceDN/>
        <w:bidi w:val="0"/>
        <w:adjustRightInd/>
        <w:snapToGrid/>
        <w:spacing w:line="400" w:lineRule="exact"/>
        <w:ind w:firstLine="480" w:firstLineChars="200"/>
        <w:textAlignment w:val="auto"/>
        <w:outlineLvl w:val="9"/>
        <w:rPr>
          <w:rStyle w:val="29"/>
          <w:rFonts w:hint="eastAsia" w:ascii="仿宋" w:hAnsi="仿宋" w:eastAsia="仿宋" w:cs="仿宋"/>
          <w:b w:val="0"/>
          <w:bCs/>
          <w:color w:val="auto"/>
          <w:sz w:val="24"/>
          <w:szCs w:val="24"/>
          <w:highlight w:val="none"/>
          <w:lang w:eastAsia="zh-CN"/>
        </w:rPr>
      </w:pPr>
      <w:r>
        <w:rPr>
          <w:rStyle w:val="29"/>
          <w:rFonts w:hint="eastAsia" w:ascii="仿宋" w:hAnsi="仿宋" w:eastAsia="仿宋" w:cs="仿宋"/>
          <w:b w:val="0"/>
          <w:bCs/>
          <w:color w:val="auto"/>
          <w:sz w:val="24"/>
          <w:szCs w:val="24"/>
          <w:highlight w:val="none"/>
          <w:lang w:eastAsia="zh-CN"/>
        </w:rPr>
        <w:t>2.本项目实行网上投标，采用加密电子投标文件(供应商须使用CA加密设备通过政采云电子投标客户端制作投标文件)。若供应商参与投标，自行承担投标一切费用。</w:t>
      </w:r>
    </w:p>
    <w:p w14:paraId="5B1A63DB">
      <w:pPr>
        <w:keepNext w:val="0"/>
        <w:keepLines w:val="0"/>
        <w:pageBreakBefore w:val="0"/>
        <w:widowControl w:val="0"/>
        <w:kinsoku w:val="0"/>
        <w:wordWrap w:val="0"/>
        <w:overflowPunct/>
        <w:topLinePunct w:val="0"/>
        <w:autoSpaceDE/>
        <w:autoSpaceDN/>
        <w:bidi w:val="0"/>
        <w:adjustRightInd/>
        <w:snapToGrid/>
        <w:spacing w:line="400" w:lineRule="exact"/>
        <w:ind w:firstLine="480" w:firstLineChars="200"/>
        <w:textAlignment w:val="auto"/>
        <w:outlineLvl w:val="9"/>
        <w:rPr>
          <w:rStyle w:val="29"/>
          <w:rFonts w:hint="eastAsia" w:ascii="仿宋" w:hAnsi="仿宋" w:eastAsia="仿宋" w:cs="仿宋"/>
          <w:b w:val="0"/>
          <w:bCs/>
          <w:color w:val="auto"/>
          <w:sz w:val="24"/>
          <w:szCs w:val="24"/>
          <w:highlight w:val="none"/>
          <w:lang w:eastAsia="zh-CN"/>
        </w:rPr>
      </w:pPr>
      <w:r>
        <w:rPr>
          <w:rStyle w:val="29"/>
          <w:rFonts w:hint="eastAsia" w:ascii="仿宋" w:hAnsi="仿宋" w:eastAsia="仿宋" w:cs="仿宋"/>
          <w:b w:val="0"/>
          <w:bCs/>
          <w:color w:val="auto"/>
          <w:sz w:val="24"/>
          <w:szCs w:val="24"/>
          <w:highlight w:val="none"/>
          <w:lang w:eastAsia="zh-CN"/>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3CE5143B">
      <w:pPr>
        <w:keepNext w:val="0"/>
        <w:keepLines w:val="0"/>
        <w:pageBreakBefore w:val="0"/>
        <w:widowControl w:val="0"/>
        <w:kinsoku w:val="0"/>
        <w:wordWrap w:val="0"/>
        <w:overflowPunct/>
        <w:topLinePunct w:val="0"/>
        <w:autoSpaceDE/>
        <w:autoSpaceDN/>
        <w:bidi w:val="0"/>
        <w:adjustRightInd/>
        <w:snapToGrid/>
        <w:spacing w:line="400" w:lineRule="exact"/>
        <w:ind w:firstLine="480" w:firstLineChars="200"/>
        <w:textAlignment w:val="auto"/>
        <w:outlineLvl w:val="9"/>
        <w:rPr>
          <w:rStyle w:val="29"/>
          <w:rFonts w:hint="eastAsia" w:ascii="仿宋" w:hAnsi="仿宋" w:eastAsia="仿宋" w:cs="仿宋"/>
          <w:b w:val="0"/>
          <w:bCs/>
          <w:color w:val="auto"/>
          <w:sz w:val="24"/>
          <w:szCs w:val="24"/>
          <w:highlight w:val="none"/>
          <w:lang w:eastAsia="zh-CN"/>
        </w:rPr>
      </w:pPr>
      <w:r>
        <w:rPr>
          <w:rStyle w:val="29"/>
          <w:rFonts w:hint="eastAsia" w:ascii="仿宋" w:hAnsi="仿宋" w:eastAsia="仿宋" w:cs="仿宋"/>
          <w:b w:val="0"/>
          <w:bCs/>
          <w:color w:val="auto"/>
          <w:sz w:val="24"/>
          <w:szCs w:val="24"/>
          <w:highlight w:val="none"/>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64716F38">
      <w:pPr>
        <w:keepNext w:val="0"/>
        <w:keepLines w:val="0"/>
        <w:pageBreakBefore w:val="0"/>
        <w:widowControl w:val="0"/>
        <w:kinsoku w:val="0"/>
        <w:wordWrap w:val="0"/>
        <w:overflowPunct/>
        <w:topLinePunct w:val="0"/>
        <w:autoSpaceDE/>
        <w:autoSpaceDN/>
        <w:bidi w:val="0"/>
        <w:adjustRightInd/>
        <w:snapToGrid/>
        <w:spacing w:line="400" w:lineRule="exact"/>
        <w:ind w:firstLine="480" w:firstLineChars="200"/>
        <w:textAlignment w:val="auto"/>
        <w:outlineLvl w:val="9"/>
        <w:rPr>
          <w:rStyle w:val="29"/>
          <w:rFonts w:hint="eastAsia" w:ascii="仿宋" w:hAnsi="仿宋" w:eastAsia="仿宋" w:cs="仿宋"/>
          <w:b w:val="0"/>
          <w:bCs/>
          <w:color w:val="auto"/>
          <w:sz w:val="24"/>
          <w:szCs w:val="24"/>
          <w:highlight w:val="none"/>
          <w:lang w:eastAsia="zh-CN"/>
        </w:rPr>
      </w:pPr>
      <w:r>
        <w:rPr>
          <w:rStyle w:val="29"/>
          <w:rFonts w:hint="eastAsia" w:ascii="仿宋" w:hAnsi="仿宋" w:eastAsia="仿宋" w:cs="仿宋"/>
          <w:b w:val="0"/>
          <w:bCs/>
          <w:color w:val="auto"/>
          <w:sz w:val="24"/>
          <w:szCs w:val="24"/>
          <w:highlight w:val="none"/>
          <w:lang w:eastAsia="zh-CN"/>
        </w:rPr>
        <w:t>5.供应商在开标时须使用制作加密电子投标文件所使用的CA锁及电脑，电脑须提前配置好浏览器（建议使用谷歌浏览器），以便开标时解密。</w:t>
      </w:r>
    </w:p>
    <w:p w14:paraId="3F007578">
      <w:pPr>
        <w:keepNext w:val="0"/>
        <w:keepLines w:val="0"/>
        <w:pageBreakBefore w:val="0"/>
        <w:widowControl w:val="0"/>
        <w:kinsoku w:val="0"/>
        <w:wordWrap w:val="0"/>
        <w:overflowPunct/>
        <w:topLinePunct w:val="0"/>
        <w:autoSpaceDE/>
        <w:autoSpaceDN/>
        <w:bidi w:val="0"/>
        <w:adjustRightInd/>
        <w:snapToGrid/>
        <w:spacing w:line="400" w:lineRule="exact"/>
        <w:ind w:firstLine="480" w:firstLineChars="200"/>
        <w:textAlignment w:val="auto"/>
        <w:outlineLvl w:val="9"/>
        <w:rPr>
          <w:rStyle w:val="29"/>
          <w:rFonts w:hint="eastAsia" w:ascii="仿宋" w:hAnsi="仿宋" w:eastAsia="仿宋" w:cs="仿宋"/>
          <w:b w:val="0"/>
          <w:bCs/>
          <w:color w:val="auto"/>
          <w:sz w:val="24"/>
          <w:szCs w:val="24"/>
          <w:highlight w:val="none"/>
          <w:lang w:eastAsia="zh-CN"/>
        </w:rPr>
      </w:pPr>
      <w:r>
        <w:rPr>
          <w:rStyle w:val="29"/>
          <w:rFonts w:hint="eastAsia" w:ascii="仿宋" w:hAnsi="仿宋" w:eastAsia="仿宋" w:cs="仿宋"/>
          <w:b w:val="0"/>
          <w:bCs/>
          <w:color w:val="auto"/>
          <w:sz w:val="24"/>
          <w:szCs w:val="24"/>
          <w:highlight w:val="none"/>
          <w:lang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政采云在线客服获取服务支持。</w:t>
      </w:r>
    </w:p>
    <w:p w14:paraId="7EA87F41">
      <w:pPr>
        <w:keepNext w:val="0"/>
        <w:keepLines w:val="0"/>
        <w:pageBreakBefore w:val="0"/>
        <w:widowControl w:val="0"/>
        <w:kinsoku w:val="0"/>
        <w:wordWrap w:val="0"/>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Style w:val="29"/>
          <w:rFonts w:hint="eastAsia" w:ascii="仿宋" w:hAnsi="仿宋" w:eastAsia="仿宋" w:cs="仿宋"/>
          <w:b w:val="0"/>
          <w:bCs/>
          <w:color w:val="auto"/>
          <w:sz w:val="24"/>
          <w:szCs w:val="24"/>
          <w:highlight w:val="none"/>
          <w:lang w:eastAsia="zh-CN"/>
        </w:rPr>
        <w:t>7.为了保证开评标顺利进行、政采云线上开标功能完全实现，供应商开标所使用的电脑设备须具有视频及语音功能。</w:t>
      </w:r>
    </w:p>
    <w:p w14:paraId="3273F56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Style w:val="29"/>
          <w:rFonts w:hint="eastAsia" w:ascii="仿宋" w:hAnsi="仿宋" w:eastAsia="仿宋" w:cs="仿宋"/>
          <w:color w:val="auto"/>
          <w:sz w:val="24"/>
          <w:szCs w:val="24"/>
          <w:highlight w:val="none"/>
          <w:lang w:eastAsia="zh-CN"/>
        </w:rPr>
      </w:pPr>
      <w:r>
        <w:rPr>
          <w:rStyle w:val="29"/>
          <w:rFonts w:hint="eastAsia" w:ascii="仿宋" w:hAnsi="仿宋" w:eastAsia="仿宋" w:cs="仿宋"/>
          <w:color w:val="auto"/>
          <w:sz w:val="24"/>
          <w:szCs w:val="24"/>
          <w:highlight w:val="none"/>
          <w:lang w:eastAsia="zh-CN"/>
        </w:rPr>
        <w:t>特别提示：</w:t>
      </w:r>
    </w:p>
    <w:p w14:paraId="6A182BD4">
      <w:pPr>
        <w:keepNext w:val="0"/>
        <w:keepLines w:val="0"/>
        <w:pageBreakBefore w:val="0"/>
        <w:widowControl w:val="0"/>
        <w:kinsoku w:val="0"/>
        <w:wordWrap w:val="0"/>
        <w:overflowPunct/>
        <w:topLinePunct w:val="0"/>
        <w:autoSpaceDE/>
        <w:autoSpaceDN/>
        <w:bidi w:val="0"/>
        <w:adjustRightInd/>
        <w:snapToGrid/>
        <w:spacing w:line="400" w:lineRule="exact"/>
        <w:ind w:firstLine="480" w:firstLineChars="200"/>
        <w:textAlignment w:val="auto"/>
        <w:outlineLvl w:val="9"/>
        <w:rPr>
          <w:rStyle w:val="29"/>
          <w:rFonts w:hint="eastAsia" w:ascii="仿宋" w:hAnsi="仿宋" w:eastAsia="仿宋" w:cs="仿宋"/>
          <w:b w:val="0"/>
          <w:bCs/>
          <w:color w:val="auto"/>
          <w:sz w:val="24"/>
          <w:szCs w:val="24"/>
          <w:highlight w:val="none"/>
          <w:lang w:eastAsia="zh-CN"/>
        </w:rPr>
      </w:pPr>
      <w:r>
        <w:rPr>
          <w:rStyle w:val="29"/>
          <w:rFonts w:hint="eastAsia" w:ascii="仿宋" w:hAnsi="仿宋" w:eastAsia="仿宋" w:cs="仿宋"/>
          <w:b w:val="0"/>
          <w:bCs/>
          <w:color w:val="auto"/>
          <w:sz w:val="24"/>
          <w:szCs w:val="24"/>
          <w:highlight w:val="none"/>
          <w:lang w:eastAsia="zh-CN"/>
        </w:rPr>
        <w:t>1、采购限额标准以上，200万元以下的货物和服务采购项目、400万元以下的工程采购项目，适宜由中小企业提供的，采购人应当专门面向中小企业采购。</w:t>
      </w:r>
    </w:p>
    <w:p w14:paraId="46D2FE61">
      <w:pPr>
        <w:keepNext w:val="0"/>
        <w:keepLines w:val="0"/>
        <w:pageBreakBefore w:val="0"/>
        <w:widowControl w:val="0"/>
        <w:kinsoku w:val="0"/>
        <w:wordWrap w:val="0"/>
        <w:overflowPunct/>
        <w:topLinePunct w:val="0"/>
        <w:autoSpaceDE/>
        <w:autoSpaceDN/>
        <w:bidi w:val="0"/>
        <w:adjustRightInd/>
        <w:snapToGrid/>
        <w:spacing w:line="400" w:lineRule="exact"/>
        <w:ind w:firstLine="480" w:firstLineChars="200"/>
        <w:textAlignment w:val="auto"/>
        <w:outlineLvl w:val="9"/>
        <w:rPr>
          <w:rStyle w:val="29"/>
          <w:rFonts w:hint="eastAsia" w:ascii="仿宋" w:hAnsi="仿宋" w:eastAsia="仿宋" w:cs="仿宋"/>
          <w:b w:val="0"/>
          <w:bCs/>
          <w:color w:val="auto"/>
          <w:sz w:val="24"/>
          <w:szCs w:val="24"/>
          <w:highlight w:val="none"/>
          <w:lang w:eastAsia="zh-CN"/>
        </w:rPr>
      </w:pPr>
      <w:r>
        <w:rPr>
          <w:rStyle w:val="29"/>
          <w:rFonts w:hint="eastAsia" w:ascii="仿宋" w:hAnsi="仿宋" w:eastAsia="仿宋" w:cs="仿宋"/>
          <w:b w:val="0"/>
          <w:bCs/>
          <w:color w:val="auto"/>
          <w:sz w:val="24"/>
          <w:szCs w:val="24"/>
          <w:highlight w:val="none"/>
          <w:lang w:eastAsia="zh-CN"/>
        </w:rPr>
        <w:t>2、超过200万元的货物和服务采购项目，预留该部分采购项目预算总额的30%以上专门面向中小企业采购，其中预留给小微企业的比例不低于60%。</w:t>
      </w:r>
    </w:p>
    <w:p w14:paraId="0E8A8A27">
      <w:pPr>
        <w:keepNext w:val="0"/>
        <w:keepLines w:val="0"/>
        <w:pageBreakBefore w:val="0"/>
        <w:widowControl w:val="0"/>
        <w:kinsoku w:val="0"/>
        <w:wordWrap w:val="0"/>
        <w:overflowPunct/>
        <w:topLinePunct w:val="0"/>
        <w:autoSpaceDE/>
        <w:autoSpaceDN/>
        <w:bidi w:val="0"/>
        <w:adjustRightInd/>
        <w:snapToGrid/>
        <w:spacing w:line="400" w:lineRule="exact"/>
        <w:ind w:firstLine="480" w:firstLineChars="200"/>
        <w:textAlignment w:val="auto"/>
        <w:outlineLvl w:val="9"/>
        <w:rPr>
          <w:rStyle w:val="29"/>
          <w:rFonts w:hint="eastAsia" w:ascii="仿宋" w:hAnsi="仿宋" w:eastAsia="仿宋" w:cs="仿宋"/>
          <w:b w:val="0"/>
          <w:bCs/>
          <w:color w:val="auto"/>
          <w:sz w:val="24"/>
          <w:szCs w:val="24"/>
          <w:highlight w:val="none"/>
          <w:lang w:eastAsia="zh-CN"/>
        </w:rPr>
      </w:pPr>
      <w:r>
        <w:rPr>
          <w:rStyle w:val="29"/>
          <w:rFonts w:hint="eastAsia" w:ascii="仿宋" w:hAnsi="仿宋" w:eastAsia="仿宋" w:cs="仿宋"/>
          <w:b w:val="0"/>
          <w:bCs/>
          <w:color w:val="auto"/>
          <w:sz w:val="24"/>
          <w:szCs w:val="24"/>
          <w:highlight w:val="none"/>
          <w:lang w:eastAsia="zh-CN"/>
        </w:rPr>
        <w:t>3、超过400万元的工程采购项目中适宜由中小企业提供的，预留该部分采购项目预算总额的40%以上专门面向中小企业采购，其中预留给小微企业的比例不低于60%。</w:t>
      </w:r>
    </w:p>
    <w:p w14:paraId="44C5F6B0">
      <w:pPr>
        <w:keepNext w:val="0"/>
        <w:keepLines w:val="0"/>
        <w:pageBreakBefore w:val="0"/>
        <w:widowControl w:val="0"/>
        <w:kinsoku w:val="0"/>
        <w:wordWrap w:val="0"/>
        <w:overflowPunct/>
        <w:topLinePunct w:val="0"/>
        <w:autoSpaceDE/>
        <w:autoSpaceDN/>
        <w:bidi w:val="0"/>
        <w:adjustRightInd/>
        <w:snapToGrid/>
        <w:spacing w:line="400" w:lineRule="exact"/>
        <w:ind w:firstLine="480" w:firstLineChars="200"/>
        <w:textAlignment w:val="auto"/>
        <w:outlineLvl w:val="9"/>
        <w:rPr>
          <w:rStyle w:val="29"/>
          <w:rFonts w:hint="eastAsia" w:ascii="仿宋" w:hAnsi="仿宋" w:eastAsia="仿宋" w:cs="仿宋"/>
          <w:b w:val="0"/>
          <w:bCs/>
          <w:color w:val="auto"/>
          <w:sz w:val="24"/>
          <w:szCs w:val="24"/>
          <w:highlight w:val="none"/>
          <w:lang w:eastAsia="zh-CN"/>
        </w:rPr>
      </w:pPr>
      <w:r>
        <w:rPr>
          <w:rStyle w:val="29"/>
          <w:rFonts w:hint="eastAsia" w:ascii="仿宋" w:hAnsi="仿宋" w:eastAsia="仿宋" w:cs="仿宋"/>
          <w:b w:val="0"/>
          <w:bCs/>
          <w:color w:val="auto"/>
          <w:sz w:val="24"/>
          <w:szCs w:val="24"/>
          <w:highlight w:val="none"/>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FD856AE">
      <w:pPr>
        <w:keepNext w:val="0"/>
        <w:keepLines w:val="0"/>
        <w:pageBreakBefore w:val="0"/>
        <w:widowControl w:val="0"/>
        <w:numPr>
          <w:ilvl w:val="0"/>
          <w:numId w:val="0"/>
        </w:numPr>
        <w:kinsoku w:val="0"/>
        <w:wordWrap w:val="0"/>
        <w:overflowPunct/>
        <w:topLinePunct w:val="0"/>
        <w:autoSpaceDE/>
        <w:autoSpaceDN/>
        <w:bidi w:val="0"/>
        <w:adjustRightInd/>
        <w:snapToGrid/>
        <w:spacing w:line="400" w:lineRule="exact"/>
        <w:ind w:firstLine="480" w:firstLineChars="200"/>
        <w:textAlignment w:val="auto"/>
        <w:outlineLvl w:val="9"/>
        <w:rPr>
          <w:rStyle w:val="29"/>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kern w:val="2"/>
          <w:sz w:val="24"/>
          <w:szCs w:val="24"/>
          <w:highlight w:val="none"/>
          <w:lang w:val="en-US" w:eastAsia="zh-CN" w:bidi="ar-SA"/>
        </w:rPr>
        <w:t>5、</w:t>
      </w:r>
      <w:r>
        <w:rPr>
          <w:rStyle w:val="29"/>
          <w:rFonts w:hint="eastAsia" w:ascii="仿宋" w:hAnsi="仿宋" w:eastAsia="仿宋" w:cs="仿宋"/>
          <w:b w:val="0"/>
          <w:bCs/>
          <w:color w:val="auto"/>
          <w:sz w:val="24"/>
          <w:szCs w:val="24"/>
          <w:highlight w:val="none"/>
          <w:lang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014C251">
      <w:pPr>
        <w:keepNext w:val="0"/>
        <w:keepLines w:val="0"/>
        <w:pageBreakBefore w:val="0"/>
        <w:widowControl w:val="0"/>
        <w:numPr>
          <w:ilvl w:val="0"/>
          <w:numId w:val="0"/>
        </w:numPr>
        <w:kinsoku w:val="0"/>
        <w:wordWrap w:val="0"/>
        <w:overflowPunct/>
        <w:topLinePunct w:val="0"/>
        <w:autoSpaceDE/>
        <w:autoSpaceDN/>
        <w:bidi w:val="0"/>
        <w:adjustRightInd/>
        <w:snapToGrid/>
        <w:spacing w:line="400" w:lineRule="exact"/>
        <w:ind w:firstLine="482" w:firstLineChars="200"/>
        <w:textAlignment w:val="auto"/>
        <w:outlineLvl w:val="1"/>
        <w:rPr>
          <w:rFonts w:hint="eastAsia" w:ascii="仿宋" w:hAnsi="仿宋" w:eastAsia="仿宋" w:cs="仿宋"/>
          <w:color w:val="auto"/>
          <w:sz w:val="24"/>
          <w:szCs w:val="24"/>
          <w:highlight w:val="none"/>
        </w:rPr>
      </w:pPr>
      <w:bookmarkStart w:id="9" w:name="_Toc31374"/>
      <w:r>
        <w:rPr>
          <w:rStyle w:val="29"/>
          <w:rFonts w:hint="eastAsia" w:ascii="仿宋" w:hAnsi="仿宋" w:eastAsia="仿宋" w:cs="仿宋"/>
          <w:color w:val="auto"/>
          <w:sz w:val="24"/>
          <w:szCs w:val="24"/>
          <w:highlight w:val="none"/>
          <w:lang w:eastAsia="zh-CN"/>
        </w:rPr>
        <w:t>七</w:t>
      </w:r>
      <w:r>
        <w:rPr>
          <w:rStyle w:val="29"/>
          <w:rFonts w:hint="eastAsia" w:ascii="仿宋" w:hAnsi="仿宋" w:eastAsia="仿宋" w:cs="仿宋"/>
          <w:color w:val="auto"/>
          <w:sz w:val="24"/>
          <w:szCs w:val="24"/>
          <w:highlight w:val="none"/>
        </w:rPr>
        <w:t>、对本次</w:t>
      </w:r>
      <w:r>
        <w:rPr>
          <w:rStyle w:val="29"/>
          <w:rFonts w:hint="eastAsia" w:ascii="仿宋" w:hAnsi="仿宋" w:eastAsia="仿宋" w:cs="仿宋"/>
          <w:color w:val="auto"/>
          <w:sz w:val="24"/>
          <w:szCs w:val="24"/>
          <w:highlight w:val="none"/>
          <w:lang w:eastAsia="zh-CN"/>
        </w:rPr>
        <w:t>采购</w:t>
      </w:r>
      <w:r>
        <w:rPr>
          <w:rStyle w:val="29"/>
          <w:rFonts w:hint="eastAsia" w:ascii="仿宋" w:hAnsi="仿宋" w:eastAsia="仿宋" w:cs="仿宋"/>
          <w:color w:val="auto"/>
          <w:sz w:val="24"/>
          <w:szCs w:val="24"/>
          <w:highlight w:val="none"/>
        </w:rPr>
        <w:t>提出询问，请按以下方式联系</w:t>
      </w:r>
      <w:bookmarkEnd w:id="9"/>
    </w:p>
    <w:p w14:paraId="2127A35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1.采购人信息</w:t>
      </w:r>
    </w:p>
    <w:p w14:paraId="72F4704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名称：昭苏县中医医院</w:t>
      </w:r>
    </w:p>
    <w:p w14:paraId="56E7A21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地址：昭苏县健康街228号</w:t>
      </w:r>
    </w:p>
    <w:p w14:paraId="39A17D9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联系方式：13899773337</w:t>
      </w:r>
    </w:p>
    <w:p w14:paraId="2396CF4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2.采购代理机构信息</w:t>
      </w:r>
    </w:p>
    <w:p w14:paraId="5CCFB34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名称：新疆浩瑞兴建设工程项目管理咨询有限公司 </w:t>
      </w:r>
    </w:p>
    <w:p w14:paraId="4260876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地址：新疆乌鲁木齐市水磨沟区安居南路鸿瑞豪庭四号楼907</w:t>
      </w:r>
    </w:p>
    <w:p w14:paraId="7530974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联系方式：15160968614</w:t>
      </w:r>
    </w:p>
    <w:p w14:paraId="786F6B3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3.项目联系方式</w:t>
      </w:r>
    </w:p>
    <w:p w14:paraId="4D1930F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项目联系人：陈女士</w:t>
      </w:r>
    </w:p>
    <w:p w14:paraId="6C6BD1A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话：15160968614</w:t>
      </w:r>
    </w:p>
    <w:p w14:paraId="65E8F6E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仿宋" w:hAnsi="仿宋" w:eastAsia="仿宋" w:cs="仿宋"/>
          <w:color w:val="auto"/>
          <w:sz w:val="24"/>
          <w:szCs w:val="24"/>
          <w:highlight w:val="none"/>
          <w:lang w:val="en-US" w:eastAsia="zh-CN"/>
        </w:rPr>
      </w:pPr>
    </w:p>
    <w:p w14:paraId="5339747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仿宋" w:hAnsi="仿宋" w:eastAsia="仿宋" w:cs="仿宋"/>
          <w:color w:val="auto"/>
          <w:sz w:val="24"/>
          <w:szCs w:val="24"/>
          <w:highlight w:val="none"/>
          <w:lang w:val="en-US" w:eastAsia="zh-CN"/>
        </w:rPr>
      </w:pPr>
    </w:p>
    <w:p w14:paraId="6BF584D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仿宋" w:hAnsi="仿宋" w:eastAsia="仿宋" w:cs="仿宋"/>
          <w:color w:val="auto"/>
          <w:sz w:val="24"/>
          <w:szCs w:val="24"/>
          <w:highlight w:val="none"/>
          <w:lang w:val="en-US" w:eastAsia="zh-CN"/>
        </w:rPr>
      </w:pPr>
    </w:p>
    <w:p w14:paraId="14F91BB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仿宋" w:hAnsi="仿宋" w:eastAsia="仿宋" w:cs="仿宋"/>
          <w:color w:val="auto"/>
          <w:sz w:val="24"/>
          <w:szCs w:val="24"/>
          <w:highlight w:val="none"/>
          <w:lang w:val="en-US" w:eastAsia="zh-CN"/>
        </w:rPr>
      </w:pPr>
    </w:p>
    <w:p w14:paraId="783EBA5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仿宋" w:hAnsi="仿宋" w:eastAsia="仿宋" w:cs="仿宋"/>
          <w:color w:val="auto"/>
          <w:sz w:val="24"/>
          <w:szCs w:val="24"/>
          <w:highlight w:val="none"/>
          <w:lang w:val="en-US" w:eastAsia="zh-CN"/>
        </w:rPr>
      </w:pPr>
    </w:p>
    <w:p w14:paraId="669F7D79">
      <w:pPr>
        <w:pStyle w:val="2"/>
        <w:keepNext/>
        <w:keepLines/>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color w:val="auto"/>
          <w:highlight w:val="none"/>
        </w:rPr>
      </w:pPr>
      <w:bookmarkStart w:id="10" w:name="_Toc29784"/>
      <w:r>
        <w:rPr>
          <w:rFonts w:hint="eastAsia"/>
        </w:rPr>
        <w:t>第一章</w:t>
      </w:r>
      <w:r>
        <w:rPr>
          <w:rFonts w:hint="eastAsia"/>
          <w:lang w:val="en-US" w:eastAsia="zh-CN"/>
        </w:rPr>
        <w:t xml:space="preserve"> </w:t>
      </w:r>
      <w:r>
        <w:rPr>
          <w:rFonts w:hint="eastAsia"/>
        </w:rPr>
        <w:t>投标人须知前附表</w:t>
      </w:r>
      <w:bookmarkEnd w:id="10"/>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700"/>
        <w:gridCol w:w="1748"/>
        <w:gridCol w:w="7181"/>
      </w:tblGrid>
      <w:tr w14:paraId="2455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54" w:hRule="atLeast"/>
          <w:jc w:val="center"/>
        </w:trPr>
        <w:tc>
          <w:tcPr>
            <w:tcW w:w="700" w:type="dxa"/>
            <w:tcBorders>
              <w:tl2br w:val="nil"/>
              <w:tr2bl w:val="nil"/>
            </w:tcBorders>
            <w:vAlign w:val="center"/>
          </w:tcPr>
          <w:p w14:paraId="571E6ECB">
            <w:pPr>
              <w:keepNext w:val="0"/>
              <w:keepLines w:val="0"/>
              <w:pageBreakBefore w:val="0"/>
              <w:widowControl w:val="0"/>
              <w:kinsoku/>
              <w:wordWrap w:val="0"/>
              <w:overflowPunct/>
              <w:topLinePunct w:val="0"/>
              <w:autoSpaceDE w:val="0"/>
              <w:autoSpaceDN w:val="0"/>
              <w:bidi w:val="0"/>
              <w:adjustRightInd/>
              <w:snapToGrid/>
              <w:spacing w:line="340" w:lineRule="exact"/>
              <w:ind w:firstLine="0" w:firstLineChars="0"/>
              <w:jc w:val="center"/>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748" w:type="dxa"/>
            <w:tcBorders>
              <w:tl2br w:val="nil"/>
              <w:tr2bl w:val="nil"/>
            </w:tcBorders>
            <w:vAlign w:val="center"/>
          </w:tcPr>
          <w:p w14:paraId="11A9E320">
            <w:pPr>
              <w:keepNext w:val="0"/>
              <w:keepLines w:val="0"/>
              <w:pageBreakBefore w:val="0"/>
              <w:widowControl w:val="0"/>
              <w:kinsoku/>
              <w:wordWrap w:val="0"/>
              <w:overflowPunct/>
              <w:topLinePunct w:val="0"/>
              <w:autoSpaceDE w:val="0"/>
              <w:autoSpaceDN w:val="0"/>
              <w:bidi w:val="0"/>
              <w:adjustRightInd/>
              <w:snapToGrid/>
              <w:spacing w:line="340" w:lineRule="exact"/>
              <w:ind w:firstLine="0" w:firstLineChars="0"/>
              <w:jc w:val="center"/>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名  称</w:t>
            </w:r>
          </w:p>
        </w:tc>
        <w:tc>
          <w:tcPr>
            <w:tcW w:w="7181" w:type="dxa"/>
            <w:tcBorders>
              <w:tl2br w:val="nil"/>
              <w:tr2bl w:val="nil"/>
            </w:tcBorders>
            <w:vAlign w:val="center"/>
          </w:tcPr>
          <w:p w14:paraId="4125B5E2">
            <w:pPr>
              <w:keepNext w:val="0"/>
              <w:keepLines w:val="0"/>
              <w:pageBreakBefore w:val="0"/>
              <w:widowControl w:val="0"/>
              <w:kinsoku/>
              <w:wordWrap w:val="0"/>
              <w:overflowPunct/>
              <w:topLinePunct w:val="0"/>
              <w:autoSpaceDE w:val="0"/>
              <w:autoSpaceDN w:val="0"/>
              <w:bidi w:val="0"/>
              <w:adjustRightInd/>
              <w:snapToGrid/>
              <w:spacing w:line="340" w:lineRule="exact"/>
              <w:ind w:firstLine="0" w:firstLineChars="0"/>
              <w:jc w:val="center"/>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内     容</w:t>
            </w:r>
          </w:p>
        </w:tc>
      </w:tr>
      <w:tr w14:paraId="2C86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88" w:hRule="atLeast"/>
          <w:jc w:val="center"/>
        </w:trPr>
        <w:tc>
          <w:tcPr>
            <w:tcW w:w="700" w:type="dxa"/>
            <w:tcBorders>
              <w:tl2br w:val="nil"/>
              <w:tr2bl w:val="nil"/>
            </w:tcBorders>
            <w:vAlign w:val="center"/>
          </w:tcPr>
          <w:p w14:paraId="5BABE508">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1</w:t>
            </w:r>
          </w:p>
        </w:tc>
        <w:tc>
          <w:tcPr>
            <w:tcW w:w="1748" w:type="dxa"/>
            <w:tcBorders>
              <w:tl2br w:val="nil"/>
              <w:tr2bl w:val="nil"/>
            </w:tcBorders>
            <w:vAlign w:val="center"/>
          </w:tcPr>
          <w:p w14:paraId="6AA31623">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项目名称</w:t>
            </w:r>
          </w:p>
        </w:tc>
        <w:tc>
          <w:tcPr>
            <w:tcW w:w="7181" w:type="dxa"/>
            <w:tcBorders>
              <w:tl2br w:val="nil"/>
              <w:tr2bl w:val="nil"/>
            </w:tcBorders>
            <w:vAlign w:val="center"/>
          </w:tcPr>
          <w:p w14:paraId="2F313967">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lang w:eastAsia="zh-CN"/>
              </w:rPr>
              <w:t>昭苏县中医医院高压氧舱采购项目</w:t>
            </w:r>
          </w:p>
        </w:tc>
      </w:tr>
      <w:tr w14:paraId="5F99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711" w:hRule="atLeast"/>
          <w:jc w:val="center"/>
        </w:trPr>
        <w:tc>
          <w:tcPr>
            <w:tcW w:w="700" w:type="dxa"/>
            <w:tcBorders>
              <w:tl2br w:val="nil"/>
              <w:tr2bl w:val="nil"/>
            </w:tcBorders>
            <w:vAlign w:val="center"/>
          </w:tcPr>
          <w:p w14:paraId="336F5962">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748" w:type="dxa"/>
            <w:tcBorders>
              <w:tl2br w:val="nil"/>
              <w:tr2bl w:val="nil"/>
            </w:tcBorders>
            <w:vAlign w:val="center"/>
          </w:tcPr>
          <w:p w14:paraId="06DD7E66">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采 购</w:t>
            </w:r>
            <w:r>
              <w:rPr>
                <w:rFonts w:hint="eastAsia" w:ascii="仿宋" w:hAnsi="仿宋" w:eastAsia="仿宋" w:cs="仿宋"/>
                <w:color w:val="auto"/>
                <w:sz w:val="21"/>
                <w:szCs w:val="21"/>
                <w:highlight w:val="none"/>
              </w:rPr>
              <w:t xml:space="preserve"> 人</w:t>
            </w:r>
          </w:p>
        </w:tc>
        <w:tc>
          <w:tcPr>
            <w:tcW w:w="7181" w:type="dxa"/>
            <w:tcBorders>
              <w:tl2br w:val="nil"/>
              <w:tr2bl w:val="nil"/>
            </w:tcBorders>
            <w:vAlign w:val="center"/>
          </w:tcPr>
          <w:p w14:paraId="69780A00">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lang w:eastAsia="zh-CN"/>
              </w:rPr>
              <w:t>昭苏县中医医院</w:t>
            </w:r>
            <w:r>
              <w:rPr>
                <w:rFonts w:hint="eastAsia" w:ascii="仿宋" w:hAnsi="仿宋" w:eastAsia="仿宋" w:cs="仿宋"/>
                <w:color w:val="auto"/>
                <w:sz w:val="21"/>
                <w:szCs w:val="21"/>
                <w:highlight w:val="none"/>
              </w:rPr>
              <w:t xml:space="preserve">          </w:t>
            </w:r>
          </w:p>
          <w:p w14:paraId="345AB3C1">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lang w:eastAsia="zh-CN"/>
              </w:rPr>
              <w:t>马先生</w:t>
            </w:r>
            <w:r>
              <w:rPr>
                <w:rFonts w:hint="eastAsia" w:ascii="仿宋" w:hAnsi="仿宋" w:eastAsia="仿宋" w:cs="仿宋"/>
                <w:color w:val="auto"/>
                <w:sz w:val="21"/>
                <w:szCs w:val="21"/>
                <w:highlight w:val="none"/>
              </w:rPr>
              <w:t>    电  话：</w:t>
            </w:r>
            <w:r>
              <w:rPr>
                <w:rFonts w:hint="eastAsia" w:ascii="仿宋" w:hAnsi="仿宋" w:eastAsia="仿宋" w:cs="仿宋"/>
                <w:color w:val="auto"/>
                <w:sz w:val="21"/>
                <w:szCs w:val="21"/>
                <w:highlight w:val="none"/>
                <w:lang w:eastAsia="zh-CN"/>
              </w:rPr>
              <w:t>13899773337</w:t>
            </w:r>
          </w:p>
        </w:tc>
      </w:tr>
      <w:tr w14:paraId="3FE1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54" w:hRule="atLeast"/>
          <w:jc w:val="center"/>
        </w:trPr>
        <w:tc>
          <w:tcPr>
            <w:tcW w:w="700" w:type="dxa"/>
            <w:tcBorders>
              <w:tl2br w:val="nil"/>
              <w:tr2bl w:val="nil"/>
            </w:tcBorders>
            <w:vAlign w:val="center"/>
          </w:tcPr>
          <w:p w14:paraId="2C118D1A">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748" w:type="dxa"/>
            <w:tcBorders>
              <w:tl2br w:val="nil"/>
              <w:tr2bl w:val="nil"/>
            </w:tcBorders>
            <w:vAlign w:val="center"/>
          </w:tcPr>
          <w:p w14:paraId="7C091F51">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代理机构</w:t>
            </w:r>
          </w:p>
        </w:tc>
        <w:tc>
          <w:tcPr>
            <w:tcW w:w="7181" w:type="dxa"/>
            <w:tcBorders>
              <w:tl2br w:val="nil"/>
              <w:tr2bl w:val="nil"/>
            </w:tcBorders>
            <w:vAlign w:val="center"/>
          </w:tcPr>
          <w:p w14:paraId="4DBC3571">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名  称：</w:t>
            </w:r>
            <w:r>
              <w:rPr>
                <w:rFonts w:hint="eastAsia" w:ascii="仿宋" w:hAnsi="仿宋" w:eastAsia="仿宋" w:cs="仿宋"/>
                <w:color w:val="auto"/>
                <w:sz w:val="21"/>
                <w:szCs w:val="21"/>
                <w:highlight w:val="none"/>
                <w:lang w:val="en-US" w:eastAsia="zh-CN"/>
              </w:rPr>
              <w:t>新疆浩瑞兴建设工程项目管理咨询有限公司</w:t>
            </w:r>
            <w:r>
              <w:rPr>
                <w:rFonts w:hint="eastAsia" w:ascii="仿宋" w:hAnsi="仿宋" w:eastAsia="仿宋" w:cs="仿宋"/>
                <w:color w:val="auto"/>
                <w:sz w:val="21"/>
                <w:szCs w:val="21"/>
                <w:highlight w:val="none"/>
                <w:lang w:val="en-US"/>
              </w:rPr>
              <w:t xml:space="preserve">  </w:t>
            </w:r>
          </w:p>
          <w:p w14:paraId="28BDC5F5">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rPr>
              <w:t>联系人：</w:t>
            </w:r>
            <w:r>
              <w:rPr>
                <w:rFonts w:hint="eastAsia" w:ascii="仿宋" w:hAnsi="仿宋" w:eastAsia="仿宋" w:cs="仿宋"/>
                <w:color w:val="auto"/>
                <w:sz w:val="21"/>
                <w:szCs w:val="21"/>
                <w:highlight w:val="none"/>
                <w:lang w:val="en-US" w:eastAsia="zh-CN"/>
              </w:rPr>
              <w:t>陈女士</w:t>
            </w:r>
            <w:r>
              <w:rPr>
                <w:rFonts w:hint="eastAsia" w:ascii="仿宋" w:hAnsi="仿宋" w:eastAsia="仿宋" w:cs="仿宋"/>
                <w:color w:val="auto"/>
                <w:sz w:val="21"/>
                <w:szCs w:val="21"/>
                <w:highlight w:val="none"/>
                <w:lang w:val="en-US"/>
              </w:rPr>
              <w:t xml:space="preserve">     电  话：</w:t>
            </w:r>
            <w:r>
              <w:rPr>
                <w:rFonts w:hint="eastAsia" w:ascii="仿宋" w:hAnsi="仿宋" w:eastAsia="仿宋" w:cs="仿宋"/>
                <w:color w:val="auto"/>
                <w:sz w:val="21"/>
                <w:szCs w:val="21"/>
                <w:highlight w:val="none"/>
                <w:lang w:val="en-US" w:eastAsia="zh-CN"/>
              </w:rPr>
              <w:t>15160968614</w:t>
            </w:r>
          </w:p>
        </w:tc>
      </w:tr>
      <w:tr w14:paraId="7995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376" w:hRule="atLeast"/>
          <w:jc w:val="center"/>
        </w:trPr>
        <w:tc>
          <w:tcPr>
            <w:tcW w:w="700" w:type="dxa"/>
            <w:tcBorders>
              <w:tl2br w:val="nil"/>
              <w:tr2bl w:val="nil"/>
            </w:tcBorders>
            <w:vAlign w:val="center"/>
          </w:tcPr>
          <w:p w14:paraId="0CA95A3B">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748" w:type="dxa"/>
            <w:tcBorders>
              <w:tl2br w:val="nil"/>
              <w:tr2bl w:val="nil"/>
            </w:tcBorders>
            <w:vAlign w:val="center"/>
          </w:tcPr>
          <w:p w14:paraId="680CC465">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rPr>
              <w:t>内容</w:t>
            </w:r>
          </w:p>
        </w:tc>
        <w:tc>
          <w:tcPr>
            <w:tcW w:w="7181" w:type="dxa"/>
            <w:tcBorders>
              <w:tl2br w:val="nil"/>
              <w:tr2bl w:val="nil"/>
            </w:tcBorders>
            <w:vAlign w:val="center"/>
          </w:tcPr>
          <w:p w14:paraId="1729AC39">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医用空气加压氧舱</w:t>
            </w:r>
          </w:p>
        </w:tc>
      </w:tr>
      <w:tr w14:paraId="0DA3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20" w:hRule="atLeast"/>
          <w:jc w:val="center"/>
        </w:trPr>
        <w:tc>
          <w:tcPr>
            <w:tcW w:w="700" w:type="dxa"/>
            <w:tcBorders>
              <w:tl2br w:val="nil"/>
              <w:tr2bl w:val="nil"/>
            </w:tcBorders>
            <w:vAlign w:val="center"/>
          </w:tcPr>
          <w:p w14:paraId="31BE77E2">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748" w:type="dxa"/>
            <w:tcBorders>
              <w:tl2br w:val="nil"/>
              <w:tr2bl w:val="nil"/>
            </w:tcBorders>
            <w:vAlign w:val="center"/>
          </w:tcPr>
          <w:p w14:paraId="484368A1">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lang w:val="en-US"/>
              </w:rPr>
            </w:pPr>
            <w:r>
              <w:rPr>
                <w:rFonts w:hint="eastAsia" w:ascii="仿宋" w:hAnsi="仿宋" w:eastAsia="仿宋" w:cs="仿宋"/>
                <w:b w:val="0"/>
                <w:bCs w:val="0"/>
                <w:color w:val="auto"/>
                <w:kern w:val="0"/>
                <w:sz w:val="21"/>
                <w:szCs w:val="21"/>
                <w:highlight w:val="none"/>
                <w:lang w:val="en-US" w:eastAsia="zh-CN"/>
              </w:rPr>
              <w:t>完成期限</w:t>
            </w:r>
          </w:p>
        </w:tc>
        <w:tc>
          <w:tcPr>
            <w:tcW w:w="7181" w:type="dxa"/>
            <w:tcBorders>
              <w:tl2br w:val="nil"/>
              <w:tr2bl w:val="nil"/>
            </w:tcBorders>
            <w:vAlign w:val="center"/>
          </w:tcPr>
          <w:p w14:paraId="0FD616C7">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合同签订后45日内完成设备的供应、安装及调试（具体以实际签订合同为准）</w:t>
            </w:r>
          </w:p>
        </w:tc>
      </w:tr>
      <w:tr w14:paraId="5F44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54" w:hRule="atLeast"/>
          <w:jc w:val="center"/>
        </w:trPr>
        <w:tc>
          <w:tcPr>
            <w:tcW w:w="700" w:type="dxa"/>
            <w:tcBorders>
              <w:tl2br w:val="nil"/>
              <w:tr2bl w:val="nil"/>
            </w:tcBorders>
            <w:vAlign w:val="center"/>
          </w:tcPr>
          <w:p w14:paraId="1D440112">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748" w:type="dxa"/>
            <w:tcBorders>
              <w:tl2br w:val="nil"/>
              <w:tr2bl w:val="nil"/>
            </w:tcBorders>
            <w:vAlign w:val="center"/>
          </w:tcPr>
          <w:p w14:paraId="657C5F8F">
            <w:pPr>
              <w:keepNext w:val="0"/>
              <w:keepLines w:val="0"/>
              <w:pageBreakBefore w:val="0"/>
              <w:widowControl w:val="0"/>
              <w:kinsoku/>
              <w:wordWrap w:val="0"/>
              <w:overflowPunct/>
              <w:topLinePunct w:val="0"/>
              <w:bidi w:val="0"/>
              <w:adjustRightInd/>
              <w:snapToGrid/>
              <w:spacing w:line="36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项目地点</w:t>
            </w:r>
          </w:p>
        </w:tc>
        <w:tc>
          <w:tcPr>
            <w:tcW w:w="7181" w:type="dxa"/>
            <w:tcBorders>
              <w:tl2br w:val="nil"/>
              <w:tr2bl w:val="nil"/>
            </w:tcBorders>
            <w:vAlign w:val="center"/>
          </w:tcPr>
          <w:p w14:paraId="12446B44">
            <w:pPr>
              <w:keepNext w:val="0"/>
              <w:keepLines w:val="0"/>
              <w:pageBreakBefore w:val="0"/>
              <w:widowControl w:val="0"/>
              <w:kinsoku/>
              <w:wordWrap w:val="0"/>
              <w:overflowPunct/>
              <w:topLinePunct w:val="0"/>
              <w:bidi w:val="0"/>
              <w:adjustRightInd/>
              <w:snapToGrid/>
              <w:spacing w:line="360" w:lineRule="exact"/>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bCs/>
                <w:color w:val="auto"/>
                <w:sz w:val="21"/>
                <w:szCs w:val="21"/>
                <w:highlight w:val="none"/>
              </w:rPr>
              <w:t>采购人指定地点</w:t>
            </w:r>
          </w:p>
        </w:tc>
      </w:tr>
      <w:tr w14:paraId="606E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54" w:hRule="atLeast"/>
          <w:jc w:val="center"/>
        </w:trPr>
        <w:tc>
          <w:tcPr>
            <w:tcW w:w="700" w:type="dxa"/>
            <w:tcBorders>
              <w:tl2br w:val="nil"/>
              <w:tr2bl w:val="nil"/>
            </w:tcBorders>
            <w:vAlign w:val="center"/>
          </w:tcPr>
          <w:p w14:paraId="0157714A">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p>
        </w:tc>
        <w:tc>
          <w:tcPr>
            <w:tcW w:w="1748" w:type="dxa"/>
            <w:tcBorders>
              <w:tl2br w:val="nil"/>
              <w:tr2bl w:val="nil"/>
            </w:tcBorders>
            <w:vAlign w:val="center"/>
          </w:tcPr>
          <w:p w14:paraId="3F5C9178">
            <w:pPr>
              <w:keepNext w:val="0"/>
              <w:keepLines w:val="0"/>
              <w:pageBreakBefore w:val="0"/>
              <w:widowControl w:val="0"/>
              <w:kinsoku/>
              <w:wordWrap w:val="0"/>
              <w:overflowPunct/>
              <w:topLinePunct w:val="0"/>
              <w:bidi w:val="0"/>
              <w:adjustRightInd/>
              <w:snapToGrid/>
              <w:spacing w:line="36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质量标准</w:t>
            </w:r>
          </w:p>
        </w:tc>
        <w:tc>
          <w:tcPr>
            <w:tcW w:w="7181" w:type="dxa"/>
            <w:tcBorders>
              <w:tl2br w:val="nil"/>
              <w:tr2bl w:val="nil"/>
            </w:tcBorders>
            <w:vAlign w:val="center"/>
          </w:tcPr>
          <w:p w14:paraId="43D00B2E">
            <w:pPr>
              <w:keepNext w:val="0"/>
              <w:keepLines w:val="0"/>
              <w:pageBreakBefore w:val="0"/>
              <w:widowControl w:val="0"/>
              <w:kinsoku/>
              <w:wordWrap w:val="0"/>
              <w:overflowPunct/>
              <w:topLinePunct w:val="0"/>
              <w:bidi w:val="0"/>
              <w:adjustRightInd/>
              <w:snapToGrid/>
              <w:spacing w:line="360" w:lineRule="exact"/>
              <w:textAlignment w:val="auto"/>
              <w:outlineLvl w:val="9"/>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rPr>
              <w:t>合格</w:t>
            </w:r>
          </w:p>
        </w:tc>
      </w:tr>
      <w:tr w14:paraId="425D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54" w:hRule="atLeast"/>
          <w:jc w:val="center"/>
        </w:trPr>
        <w:tc>
          <w:tcPr>
            <w:tcW w:w="700" w:type="dxa"/>
            <w:tcBorders>
              <w:tl2br w:val="nil"/>
              <w:tr2bl w:val="nil"/>
            </w:tcBorders>
            <w:vAlign w:val="center"/>
          </w:tcPr>
          <w:p w14:paraId="101E3DB6">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748" w:type="dxa"/>
            <w:tcBorders>
              <w:tl2br w:val="nil"/>
              <w:tr2bl w:val="nil"/>
            </w:tcBorders>
            <w:vAlign w:val="center"/>
          </w:tcPr>
          <w:p w14:paraId="6DA86D17">
            <w:pPr>
              <w:keepNext w:val="0"/>
              <w:keepLines w:val="0"/>
              <w:pageBreakBefore w:val="0"/>
              <w:widowControl w:val="0"/>
              <w:kinsoku/>
              <w:wordWrap w:val="0"/>
              <w:overflowPunct/>
              <w:topLinePunct w:val="0"/>
              <w:bidi w:val="0"/>
              <w:adjustRightInd/>
              <w:snapToGrid/>
              <w:spacing w:line="36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质 保 期</w:t>
            </w:r>
          </w:p>
        </w:tc>
        <w:tc>
          <w:tcPr>
            <w:tcW w:w="7181" w:type="dxa"/>
            <w:tcBorders>
              <w:tl2br w:val="nil"/>
              <w:tr2bl w:val="nil"/>
            </w:tcBorders>
            <w:vAlign w:val="center"/>
          </w:tcPr>
          <w:p w14:paraId="2D36C212">
            <w:pPr>
              <w:keepNext w:val="0"/>
              <w:keepLines w:val="0"/>
              <w:pageBreakBefore w:val="0"/>
              <w:widowControl w:val="0"/>
              <w:kinsoku/>
              <w:wordWrap w:val="0"/>
              <w:overflowPunct/>
              <w:topLinePunct w:val="0"/>
              <w:bidi w:val="0"/>
              <w:adjustRightInd/>
              <w:snapToGrid/>
              <w:spacing w:line="360" w:lineRule="exact"/>
              <w:textAlignment w:val="auto"/>
              <w:outlineLvl w:val="9"/>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自验收合格之日起一年</w:t>
            </w:r>
          </w:p>
        </w:tc>
      </w:tr>
      <w:tr w14:paraId="1F31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54" w:hRule="atLeast"/>
          <w:jc w:val="center"/>
        </w:trPr>
        <w:tc>
          <w:tcPr>
            <w:tcW w:w="700" w:type="dxa"/>
            <w:tcBorders>
              <w:tl2br w:val="nil"/>
              <w:tr2bl w:val="nil"/>
            </w:tcBorders>
            <w:vAlign w:val="center"/>
          </w:tcPr>
          <w:p w14:paraId="25D2BB2F">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w:t>
            </w:r>
          </w:p>
        </w:tc>
        <w:tc>
          <w:tcPr>
            <w:tcW w:w="1748" w:type="dxa"/>
            <w:tcBorders>
              <w:tl2br w:val="nil"/>
              <w:tr2bl w:val="nil"/>
            </w:tcBorders>
            <w:vAlign w:val="center"/>
          </w:tcPr>
          <w:p w14:paraId="2A0BF23F">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售后服务</w:t>
            </w:r>
          </w:p>
          <w:p w14:paraId="394CF4C8">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lang w:eastAsia="zh-CN"/>
              </w:rPr>
              <w:t>响应时间</w:t>
            </w:r>
          </w:p>
        </w:tc>
        <w:tc>
          <w:tcPr>
            <w:tcW w:w="7181" w:type="dxa"/>
            <w:tcBorders>
              <w:tl2br w:val="nil"/>
              <w:tr2bl w:val="nil"/>
            </w:tcBorders>
            <w:vAlign w:val="center"/>
          </w:tcPr>
          <w:p w14:paraId="301DCF63">
            <w:pPr>
              <w:keepNext w:val="0"/>
              <w:keepLines w:val="0"/>
              <w:pageBreakBefore w:val="0"/>
              <w:widowControl w:val="0"/>
              <w:tabs>
                <w:tab w:val="left" w:pos="852"/>
              </w:tabs>
              <w:kinsoku/>
              <w:wordWrap w:val="0"/>
              <w:overflowPunct/>
              <w:topLinePunct w:val="0"/>
              <w:autoSpaceDE w:val="0"/>
              <w:autoSpaceDN w:val="0"/>
              <w:bidi w:val="0"/>
              <w:adjustRightInd/>
              <w:snapToGrid/>
              <w:spacing w:line="360" w:lineRule="exact"/>
              <w:ind w:left="0" w:leftChars="0" w:firstLine="0" w:firstLineChars="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在采购人发出服务要求通知后2小时内响应并给出解决方案，如需到现场解决的24小时内指派专业服务人员到达用户现场。</w:t>
            </w:r>
          </w:p>
        </w:tc>
      </w:tr>
      <w:tr w14:paraId="7A2A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54" w:hRule="atLeast"/>
          <w:jc w:val="center"/>
        </w:trPr>
        <w:tc>
          <w:tcPr>
            <w:tcW w:w="700" w:type="dxa"/>
            <w:tcBorders>
              <w:tl2br w:val="nil"/>
              <w:tr2bl w:val="nil"/>
            </w:tcBorders>
            <w:vAlign w:val="center"/>
          </w:tcPr>
          <w:p w14:paraId="6192485B">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10</w:t>
            </w:r>
          </w:p>
        </w:tc>
        <w:tc>
          <w:tcPr>
            <w:tcW w:w="1748" w:type="dxa"/>
            <w:tcBorders>
              <w:tl2br w:val="nil"/>
              <w:tr2bl w:val="nil"/>
            </w:tcBorders>
            <w:vAlign w:val="center"/>
          </w:tcPr>
          <w:p w14:paraId="312E29F8">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采购预算</w:t>
            </w:r>
          </w:p>
        </w:tc>
        <w:tc>
          <w:tcPr>
            <w:tcW w:w="7181" w:type="dxa"/>
            <w:tcBorders>
              <w:tl2br w:val="nil"/>
              <w:tr2bl w:val="nil"/>
            </w:tcBorders>
            <w:vAlign w:val="center"/>
          </w:tcPr>
          <w:p w14:paraId="765E20D2">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本</w:t>
            </w:r>
            <w:r>
              <w:rPr>
                <w:rFonts w:hint="eastAsia" w:ascii="仿宋" w:hAnsi="仿宋" w:eastAsia="仿宋" w:cs="仿宋"/>
                <w:color w:val="auto"/>
                <w:sz w:val="21"/>
                <w:szCs w:val="21"/>
                <w:highlight w:val="none"/>
                <w:lang w:val="en-US" w:eastAsia="zh-CN"/>
              </w:rPr>
              <w:t>次</w:t>
            </w:r>
            <w:r>
              <w:rPr>
                <w:rFonts w:hint="eastAsia" w:ascii="仿宋" w:hAnsi="仿宋" w:eastAsia="仿宋" w:cs="仿宋"/>
                <w:color w:val="auto"/>
                <w:sz w:val="21"/>
                <w:szCs w:val="21"/>
                <w:highlight w:val="none"/>
              </w:rPr>
              <w:t>项目</w:t>
            </w:r>
            <w:r>
              <w:rPr>
                <w:rFonts w:hint="eastAsia" w:ascii="仿宋" w:hAnsi="仿宋" w:eastAsia="仿宋" w:cs="仿宋"/>
                <w:b/>
                <w:bCs/>
                <w:color w:val="auto"/>
                <w:sz w:val="21"/>
                <w:szCs w:val="21"/>
                <w:highlight w:val="none"/>
              </w:rPr>
              <w:t>采购预算为</w:t>
            </w:r>
            <w:r>
              <w:rPr>
                <w:rFonts w:hint="eastAsia" w:ascii="仿宋" w:hAnsi="仿宋" w:eastAsia="仿宋" w:cs="仿宋"/>
                <w:b/>
                <w:bCs/>
                <w:color w:val="auto"/>
                <w:sz w:val="21"/>
                <w:szCs w:val="21"/>
                <w:highlight w:val="none"/>
                <w:u w:val="single"/>
                <w:lang w:val="en-US" w:eastAsia="zh-CN"/>
              </w:rPr>
              <w:t>1580000.00.00</w:t>
            </w:r>
            <w:r>
              <w:rPr>
                <w:rFonts w:hint="eastAsia" w:ascii="仿宋" w:hAnsi="仿宋" w:eastAsia="仿宋" w:cs="仿宋"/>
                <w:b/>
                <w:bCs/>
                <w:color w:val="auto"/>
                <w:sz w:val="21"/>
                <w:szCs w:val="21"/>
                <w:highlight w:val="none"/>
                <w:u w:val="single"/>
              </w:rPr>
              <w:t>元</w:t>
            </w:r>
            <w:r>
              <w:rPr>
                <w:rFonts w:hint="eastAsia" w:ascii="仿宋" w:hAnsi="仿宋" w:eastAsia="仿宋" w:cs="仿宋"/>
                <w:b w:val="0"/>
                <w:bCs w:val="0"/>
                <w:color w:val="auto"/>
                <w:sz w:val="21"/>
                <w:szCs w:val="21"/>
                <w:highlight w:val="none"/>
                <w:lang w:val="en-US" w:eastAsia="zh-CN"/>
              </w:rPr>
              <w:t>，资金来源为援疆资金。</w:t>
            </w:r>
          </w:p>
        </w:tc>
      </w:tr>
      <w:tr w14:paraId="3DD0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54" w:hRule="atLeast"/>
          <w:jc w:val="center"/>
        </w:trPr>
        <w:tc>
          <w:tcPr>
            <w:tcW w:w="700" w:type="dxa"/>
            <w:tcBorders>
              <w:tl2br w:val="nil"/>
              <w:tr2bl w:val="nil"/>
            </w:tcBorders>
            <w:vAlign w:val="center"/>
          </w:tcPr>
          <w:p w14:paraId="4BFB8966">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11</w:t>
            </w:r>
          </w:p>
        </w:tc>
        <w:tc>
          <w:tcPr>
            <w:tcW w:w="1748" w:type="dxa"/>
            <w:tcBorders>
              <w:tl2br w:val="nil"/>
              <w:tr2bl w:val="nil"/>
            </w:tcBorders>
            <w:vAlign w:val="center"/>
          </w:tcPr>
          <w:p w14:paraId="308CBB8D">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最高限价</w:t>
            </w:r>
          </w:p>
        </w:tc>
        <w:tc>
          <w:tcPr>
            <w:tcW w:w="7181" w:type="dxa"/>
            <w:tcBorders>
              <w:tl2br w:val="nil"/>
              <w:tr2bl w:val="nil"/>
            </w:tcBorders>
            <w:vAlign w:val="center"/>
          </w:tcPr>
          <w:p w14:paraId="3AB552CB">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rPr>
              <w:t>本项目</w:t>
            </w:r>
            <w:r>
              <w:rPr>
                <w:rFonts w:hint="eastAsia" w:ascii="仿宋" w:hAnsi="仿宋" w:eastAsia="仿宋" w:cs="仿宋"/>
                <w:b/>
                <w:bCs/>
                <w:color w:val="auto"/>
                <w:sz w:val="21"/>
                <w:szCs w:val="21"/>
                <w:highlight w:val="none"/>
                <w:lang w:eastAsia="zh-CN"/>
              </w:rPr>
              <w:t>最高限价</w:t>
            </w:r>
            <w:r>
              <w:rPr>
                <w:rFonts w:hint="eastAsia" w:ascii="仿宋" w:hAnsi="仿宋" w:eastAsia="仿宋" w:cs="仿宋"/>
                <w:b/>
                <w:bCs/>
                <w:color w:val="auto"/>
                <w:sz w:val="21"/>
                <w:szCs w:val="21"/>
                <w:highlight w:val="none"/>
              </w:rPr>
              <w:t>为</w:t>
            </w:r>
            <w:r>
              <w:rPr>
                <w:rFonts w:hint="eastAsia" w:ascii="仿宋" w:hAnsi="仿宋" w:eastAsia="仿宋" w:cs="仿宋"/>
                <w:b/>
                <w:bCs/>
                <w:color w:val="auto"/>
                <w:sz w:val="21"/>
                <w:szCs w:val="21"/>
                <w:highlight w:val="none"/>
                <w:lang w:val="en-US" w:eastAsia="zh-CN"/>
              </w:rPr>
              <w:t>1580000.00.00</w:t>
            </w:r>
            <w:r>
              <w:rPr>
                <w:rFonts w:hint="eastAsia" w:ascii="仿宋" w:hAnsi="仿宋" w:eastAsia="仿宋" w:cs="仿宋"/>
                <w:b/>
                <w:bCs/>
                <w:color w:val="auto"/>
                <w:sz w:val="21"/>
                <w:szCs w:val="21"/>
                <w:highlight w:val="none"/>
              </w:rPr>
              <w:t>元，各投标人的投标总报价不得高于</w:t>
            </w:r>
            <w:r>
              <w:rPr>
                <w:rFonts w:hint="eastAsia" w:ascii="仿宋" w:hAnsi="仿宋" w:eastAsia="仿宋" w:cs="仿宋"/>
                <w:b/>
                <w:bCs/>
                <w:color w:val="auto"/>
                <w:sz w:val="21"/>
                <w:szCs w:val="21"/>
                <w:highlight w:val="none"/>
                <w:lang w:eastAsia="zh-CN"/>
              </w:rPr>
              <w:t>最高限价</w:t>
            </w:r>
            <w:r>
              <w:rPr>
                <w:rFonts w:hint="eastAsia" w:ascii="仿宋" w:hAnsi="仿宋" w:eastAsia="仿宋" w:cs="仿宋"/>
                <w:b/>
                <w:bCs/>
                <w:color w:val="auto"/>
                <w:sz w:val="21"/>
                <w:szCs w:val="21"/>
                <w:highlight w:val="none"/>
              </w:rPr>
              <w:t>，否则将否决其投标。</w:t>
            </w:r>
          </w:p>
        </w:tc>
      </w:tr>
      <w:tr w14:paraId="142A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54" w:hRule="atLeast"/>
          <w:jc w:val="center"/>
        </w:trPr>
        <w:tc>
          <w:tcPr>
            <w:tcW w:w="700" w:type="dxa"/>
            <w:tcBorders>
              <w:tl2br w:val="nil"/>
              <w:tr2bl w:val="nil"/>
            </w:tcBorders>
            <w:vAlign w:val="center"/>
          </w:tcPr>
          <w:p w14:paraId="0656E31F">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12</w:t>
            </w:r>
          </w:p>
        </w:tc>
        <w:tc>
          <w:tcPr>
            <w:tcW w:w="1748" w:type="dxa"/>
            <w:tcBorders>
              <w:tl2br w:val="nil"/>
              <w:tr2bl w:val="nil"/>
            </w:tcBorders>
            <w:vAlign w:val="center"/>
          </w:tcPr>
          <w:p w14:paraId="7720DA9D">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付款方式</w:t>
            </w:r>
          </w:p>
        </w:tc>
        <w:tc>
          <w:tcPr>
            <w:tcW w:w="7181" w:type="dxa"/>
            <w:tcBorders>
              <w:tl2br w:val="nil"/>
              <w:tr2bl w:val="nil"/>
            </w:tcBorders>
            <w:vAlign w:val="center"/>
          </w:tcPr>
          <w:p w14:paraId="051D395B">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合同签订后以援疆资金实际拨付情况支付。</w:t>
            </w:r>
          </w:p>
        </w:tc>
      </w:tr>
      <w:tr w14:paraId="2003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54" w:hRule="atLeast"/>
          <w:jc w:val="center"/>
        </w:trPr>
        <w:tc>
          <w:tcPr>
            <w:tcW w:w="700" w:type="dxa"/>
            <w:tcBorders>
              <w:tl2br w:val="nil"/>
              <w:tr2bl w:val="nil"/>
            </w:tcBorders>
            <w:vAlign w:val="center"/>
          </w:tcPr>
          <w:p w14:paraId="13489402">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13</w:t>
            </w:r>
          </w:p>
        </w:tc>
        <w:tc>
          <w:tcPr>
            <w:tcW w:w="1748" w:type="dxa"/>
            <w:tcBorders>
              <w:tl2br w:val="nil"/>
              <w:tr2bl w:val="nil"/>
            </w:tcBorders>
            <w:vAlign w:val="center"/>
          </w:tcPr>
          <w:p w14:paraId="2B42808B">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w:t>
            </w:r>
          </w:p>
        </w:tc>
        <w:tc>
          <w:tcPr>
            <w:tcW w:w="7181" w:type="dxa"/>
            <w:tcBorders>
              <w:tl2br w:val="nil"/>
              <w:tr2bl w:val="nil"/>
            </w:tcBorders>
            <w:vAlign w:val="center"/>
          </w:tcPr>
          <w:p w14:paraId="59D6F462">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投标保证金交纳方式：</w:t>
            </w:r>
            <w:r>
              <w:rPr>
                <w:rFonts w:hint="eastAsia" w:ascii="仿宋" w:hAnsi="仿宋" w:eastAsia="仿宋" w:cs="仿宋"/>
                <w:color w:val="auto"/>
                <w:sz w:val="21"/>
                <w:szCs w:val="21"/>
                <w:highlight w:val="none"/>
                <w:lang w:val="en-US" w:eastAsia="zh-CN"/>
              </w:rPr>
              <w:t>以支票、汇票、本票或者金融机构、担保机构出具的保函等非现金形式提交。</w:t>
            </w:r>
          </w:p>
          <w:p w14:paraId="1CB3BEFA">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default"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rPr>
              <w:t>投标保证金金额：</w:t>
            </w:r>
            <w:r>
              <w:rPr>
                <w:rFonts w:hint="eastAsia" w:ascii="仿宋" w:hAnsi="仿宋" w:eastAsia="仿宋" w:cs="仿宋"/>
                <w:b/>
                <w:bCs/>
                <w:color w:val="auto"/>
                <w:sz w:val="21"/>
                <w:szCs w:val="21"/>
                <w:highlight w:val="none"/>
                <w:lang w:val="en-US" w:eastAsia="zh-CN"/>
              </w:rPr>
              <w:t>30000.00元（大写：叁万元整）</w:t>
            </w:r>
          </w:p>
          <w:p w14:paraId="4258A091">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注：采用保函形式递交保证金的，供应商须在投标截止时间前，将所投项目对应的保函随响应文件一起上传到政采云平台。</w:t>
            </w:r>
          </w:p>
          <w:p w14:paraId="6CFF0C9A">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 xml:space="preserve">采用保函形式递交保证金的： </w:t>
            </w:r>
          </w:p>
          <w:p w14:paraId="431B9BAC">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 xml:space="preserve">（1）根据国家现行采购政策，投标保证金可以使用金融系统电子保函。电子保函按照“一包段一保函”的原则，办理电子保函必须在投标截止时 </w:t>
            </w:r>
          </w:p>
          <w:p w14:paraId="162F933A">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 xml:space="preserve">间（开标时间）前完成。投标人需自行评估异地、跨行、公休日等因素造 </w:t>
            </w:r>
          </w:p>
          <w:p w14:paraId="2FCB3667">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 xml:space="preserve">成的保函办理延迟风险，并承担相应责任；开标前，投保人必须下载加密 </w:t>
            </w:r>
          </w:p>
          <w:p w14:paraId="6170C0C3">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 xml:space="preserve">保单作为保证金缴纳凭证放入投标文件中。 </w:t>
            </w:r>
          </w:p>
          <w:p w14:paraId="45468612">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 xml:space="preserve">（2）电子保函操作流程：登录政采云平台→点击右上角[金融服务]进入 </w:t>
            </w:r>
          </w:p>
          <w:p w14:paraId="2ECF4D2F">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 xml:space="preserve">详情页→点击页面上方[保险/保函]，根据实际情况申请办理即可。供应 </w:t>
            </w:r>
          </w:p>
          <w:p w14:paraId="48721885">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 xml:space="preserve">商须在投标截止时间前，将所投项目对应的保函随响应文件一起上传到政 </w:t>
            </w:r>
          </w:p>
          <w:p w14:paraId="597F7C30">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 xml:space="preserve">采云平台。 </w:t>
            </w:r>
          </w:p>
          <w:p w14:paraId="327B3648">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 xml:space="preserve">友情提示：银行法定节假日不办理公对公账户电汇业务，请提前办理。投 </w:t>
            </w:r>
          </w:p>
          <w:p w14:paraId="363872F3">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 xml:space="preserve">标保证金是否在规定截止时间前到户的风险由投标单位承担，投标保证金 </w:t>
            </w:r>
          </w:p>
          <w:p w14:paraId="1AA6FAA9">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在银行的划转需要一定时间，望投标单位尽早缴纳！</w:t>
            </w:r>
          </w:p>
          <w:p w14:paraId="07BB4F7A">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账户名：新疆浩瑞兴建设工程项目管理咨询有限公司乌鲁木齐分公司</w:t>
            </w:r>
          </w:p>
          <w:p w14:paraId="7437804E">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开户行：乌鲁木齐银行股份有限公司东方支行</w:t>
            </w:r>
          </w:p>
          <w:p w14:paraId="296A6F83">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账  号：0000020080110079596717</w:t>
            </w:r>
          </w:p>
          <w:p w14:paraId="7DF71AE2">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行  号：313881000512</w:t>
            </w:r>
          </w:p>
          <w:p w14:paraId="6FCD2D41">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lang w:val="en-US" w:eastAsia="zh-CN"/>
              </w:rPr>
              <w:t>备注：请投标人在汇款时务必注明所投标项目的招标编号及用途，否则，因款项用途不明导致投标无效等后果由投标人自行承担。</w:t>
            </w:r>
            <w:r>
              <w:rPr>
                <w:rFonts w:hint="eastAsia" w:ascii="仿宋" w:hAnsi="仿宋" w:eastAsia="仿宋" w:cs="仿宋"/>
                <w:b/>
                <w:bCs/>
                <w:color w:val="auto"/>
                <w:sz w:val="21"/>
                <w:szCs w:val="21"/>
                <w:highlight w:val="none"/>
                <w:lang w:eastAsia="zh-CN"/>
              </w:rPr>
              <w:t>若供应商未按照上述缴纳</w:t>
            </w:r>
            <w:r>
              <w:rPr>
                <w:rFonts w:hint="eastAsia" w:ascii="仿宋" w:hAnsi="仿宋" w:eastAsia="仿宋" w:cs="仿宋"/>
                <w:b/>
                <w:bCs/>
                <w:color w:val="auto"/>
                <w:sz w:val="21"/>
                <w:szCs w:val="21"/>
                <w:highlight w:val="none"/>
                <w:lang w:val="en-US" w:eastAsia="zh-CN"/>
              </w:rPr>
              <w:t>投标</w:t>
            </w:r>
            <w:r>
              <w:rPr>
                <w:rFonts w:hint="eastAsia" w:ascii="仿宋" w:hAnsi="仿宋" w:eastAsia="仿宋" w:cs="仿宋"/>
                <w:b/>
                <w:bCs/>
                <w:color w:val="auto"/>
                <w:sz w:val="21"/>
                <w:szCs w:val="21"/>
                <w:highlight w:val="none"/>
                <w:lang w:eastAsia="zh-CN"/>
              </w:rPr>
              <w:t>保证金,响应文件将被拒绝评审。</w:t>
            </w:r>
          </w:p>
        </w:tc>
      </w:tr>
      <w:tr w14:paraId="492E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40" w:hRule="atLeast"/>
          <w:jc w:val="center"/>
        </w:trPr>
        <w:tc>
          <w:tcPr>
            <w:tcW w:w="700" w:type="dxa"/>
            <w:tcBorders>
              <w:tl2br w:val="nil"/>
              <w:tr2bl w:val="nil"/>
            </w:tcBorders>
            <w:vAlign w:val="center"/>
          </w:tcPr>
          <w:p w14:paraId="1C2C3E81">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14</w:t>
            </w:r>
          </w:p>
        </w:tc>
        <w:tc>
          <w:tcPr>
            <w:tcW w:w="1748" w:type="dxa"/>
            <w:tcBorders>
              <w:tl2br w:val="nil"/>
              <w:tr2bl w:val="nil"/>
            </w:tcBorders>
            <w:vAlign w:val="center"/>
          </w:tcPr>
          <w:p w14:paraId="5C9FDAA7">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标</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人</w:t>
            </w:r>
          </w:p>
          <w:p w14:paraId="7F71D0B1">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资</w:t>
            </w:r>
            <w:r>
              <w:rPr>
                <w:rFonts w:hint="eastAsia" w:ascii="仿宋" w:hAnsi="仿宋" w:eastAsia="仿宋" w:cs="仿宋"/>
                <w:color w:val="auto"/>
                <w:sz w:val="21"/>
                <w:szCs w:val="21"/>
                <w:highlight w:val="none"/>
                <w:lang w:val="en-US" w:eastAsia="zh-CN"/>
              </w:rPr>
              <w:t>格要求</w:t>
            </w:r>
          </w:p>
        </w:tc>
        <w:tc>
          <w:tcPr>
            <w:tcW w:w="7181" w:type="dxa"/>
            <w:tcBorders>
              <w:tl2br w:val="nil"/>
              <w:tr2bl w:val="nil"/>
            </w:tcBorders>
            <w:vAlign w:val="center"/>
          </w:tcPr>
          <w:p w14:paraId="3126EE21">
            <w:pPr>
              <w:keepNext w:val="0"/>
              <w:keepLines w:val="0"/>
              <w:pageBreakBefore w:val="0"/>
              <w:widowControl w:val="0"/>
              <w:tabs>
                <w:tab w:val="left" w:pos="4980"/>
                <w:tab w:val="right" w:pos="9000"/>
              </w:tabs>
              <w:kinsoku/>
              <w:wordWrap w:val="0"/>
              <w:overflowPunct/>
              <w:topLinePunct w:val="0"/>
              <w:autoSpaceDE w:val="0"/>
              <w:autoSpaceDN w:val="0"/>
              <w:bidi w:val="0"/>
              <w:adjustRightInd/>
              <w:snapToGrid/>
              <w:spacing w:line="360" w:lineRule="exact"/>
              <w:ind w:firstLine="0" w:firstLineChars="0"/>
              <w:jc w:val="both"/>
              <w:textAlignment w:val="auto"/>
              <w:outlineLvl w:val="9"/>
              <w:rPr>
                <w:rFonts w:hint="eastAsia" w:ascii="仿宋" w:hAnsi="仿宋" w:eastAsia="仿宋" w:cs="仿宋"/>
                <w:b/>
                <w:bCs/>
                <w:color w:val="auto"/>
                <w:kern w:val="2"/>
                <w:sz w:val="21"/>
                <w:szCs w:val="21"/>
                <w:highlight w:val="none"/>
                <w:u w:val="none"/>
                <w:lang w:val="en-US" w:eastAsia="zh-CN" w:bidi="ar-SA"/>
              </w:rPr>
            </w:pPr>
            <w:r>
              <w:rPr>
                <w:rFonts w:hint="eastAsia" w:ascii="仿宋" w:hAnsi="仿宋" w:eastAsia="仿宋" w:cs="仿宋"/>
                <w:b/>
                <w:bCs/>
                <w:color w:val="auto"/>
                <w:kern w:val="2"/>
                <w:sz w:val="21"/>
                <w:szCs w:val="21"/>
                <w:highlight w:val="none"/>
                <w:u w:val="none"/>
                <w:lang w:val="en-US" w:eastAsia="zh-CN" w:bidi="ar-SA"/>
              </w:rPr>
              <w:t>1、满足《中华人民共和国政府采购法》第二十二条规定：</w:t>
            </w:r>
          </w:p>
          <w:p w14:paraId="0A6EDD24">
            <w:pPr>
              <w:keepNext w:val="0"/>
              <w:keepLines w:val="0"/>
              <w:pageBreakBefore w:val="0"/>
              <w:widowControl w:val="0"/>
              <w:tabs>
                <w:tab w:val="left" w:pos="4980"/>
                <w:tab w:val="right" w:pos="9000"/>
              </w:tabs>
              <w:kinsoku/>
              <w:wordWrap w:val="0"/>
              <w:overflowPunct/>
              <w:topLinePunct w:val="0"/>
              <w:autoSpaceDE w:val="0"/>
              <w:autoSpaceDN w:val="0"/>
              <w:bidi w:val="0"/>
              <w:adjustRightInd/>
              <w:snapToGrid/>
              <w:spacing w:line="360" w:lineRule="exact"/>
              <w:ind w:firstLine="0" w:firstLineChars="0"/>
              <w:jc w:val="both"/>
              <w:textAlignment w:val="auto"/>
              <w:outlineLvl w:val="9"/>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kern w:val="2"/>
                <w:sz w:val="21"/>
                <w:szCs w:val="21"/>
                <w:highlight w:val="none"/>
                <w:u w:val="none"/>
                <w:lang w:val="en-US" w:eastAsia="zh-CN" w:bidi="ar-SA"/>
              </w:rPr>
              <w:t>（1）具有独立承担民事责任的能力：提供有效的营业执照；</w:t>
            </w:r>
          </w:p>
          <w:p w14:paraId="7E33046A">
            <w:pPr>
              <w:keepNext w:val="0"/>
              <w:keepLines w:val="0"/>
              <w:pageBreakBefore w:val="0"/>
              <w:widowControl w:val="0"/>
              <w:tabs>
                <w:tab w:val="left" w:pos="4980"/>
                <w:tab w:val="right" w:pos="9000"/>
              </w:tabs>
              <w:kinsoku/>
              <w:wordWrap w:val="0"/>
              <w:overflowPunct/>
              <w:topLinePunct w:val="0"/>
              <w:autoSpaceDE w:val="0"/>
              <w:autoSpaceDN w:val="0"/>
              <w:bidi w:val="0"/>
              <w:adjustRightInd/>
              <w:snapToGrid/>
              <w:spacing w:line="360" w:lineRule="exact"/>
              <w:ind w:firstLine="0" w:firstLineChars="0"/>
              <w:jc w:val="both"/>
              <w:textAlignment w:val="auto"/>
              <w:outlineLvl w:val="9"/>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kern w:val="2"/>
                <w:sz w:val="21"/>
                <w:szCs w:val="21"/>
                <w:highlight w:val="none"/>
                <w:u w:val="none"/>
                <w:lang w:val="en-US" w:eastAsia="zh-CN" w:bidi="ar-SA"/>
              </w:rPr>
              <w:t xml:space="preserve">（2）具有良好的商业信誉和健全的财务会计制度：投标人没有处于被责令停业、财产被接管、冻结、破产状态；提供2023年度财务审计报告或银行出具的资信证明材料（如提供银行资信证明的，须自2025年01月02日至首次提交投标响应文件截止时间内出具）； </w:t>
            </w:r>
          </w:p>
          <w:p w14:paraId="54383256">
            <w:pPr>
              <w:keepNext w:val="0"/>
              <w:keepLines w:val="0"/>
              <w:pageBreakBefore w:val="0"/>
              <w:widowControl w:val="0"/>
              <w:tabs>
                <w:tab w:val="left" w:pos="4980"/>
                <w:tab w:val="right" w:pos="9000"/>
              </w:tabs>
              <w:kinsoku/>
              <w:wordWrap w:val="0"/>
              <w:overflowPunct/>
              <w:topLinePunct w:val="0"/>
              <w:autoSpaceDE w:val="0"/>
              <w:autoSpaceDN w:val="0"/>
              <w:bidi w:val="0"/>
              <w:adjustRightInd/>
              <w:snapToGrid/>
              <w:spacing w:line="360" w:lineRule="exact"/>
              <w:ind w:firstLine="0" w:firstLineChars="0"/>
              <w:jc w:val="both"/>
              <w:textAlignment w:val="auto"/>
              <w:outlineLvl w:val="9"/>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kern w:val="2"/>
                <w:sz w:val="21"/>
                <w:szCs w:val="21"/>
                <w:highlight w:val="none"/>
                <w:u w:val="none"/>
                <w:lang w:val="en-US" w:eastAsia="zh-CN" w:bidi="ar-SA"/>
              </w:rPr>
              <w:t xml:space="preserve">（3）具有履行合同所必需的设备和专业技术能力：提供承诺函； </w:t>
            </w:r>
          </w:p>
          <w:p w14:paraId="1309D5BE">
            <w:pPr>
              <w:keepNext w:val="0"/>
              <w:keepLines w:val="0"/>
              <w:pageBreakBefore w:val="0"/>
              <w:widowControl w:val="0"/>
              <w:tabs>
                <w:tab w:val="left" w:pos="4980"/>
                <w:tab w:val="right" w:pos="9000"/>
              </w:tabs>
              <w:kinsoku/>
              <w:wordWrap w:val="0"/>
              <w:overflowPunct/>
              <w:topLinePunct w:val="0"/>
              <w:autoSpaceDE w:val="0"/>
              <w:autoSpaceDN w:val="0"/>
              <w:bidi w:val="0"/>
              <w:adjustRightInd/>
              <w:snapToGrid/>
              <w:spacing w:line="360" w:lineRule="exact"/>
              <w:ind w:firstLine="0" w:firstLineChars="0"/>
              <w:jc w:val="both"/>
              <w:textAlignment w:val="auto"/>
              <w:outlineLvl w:val="9"/>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kern w:val="2"/>
                <w:sz w:val="21"/>
                <w:szCs w:val="21"/>
                <w:highlight w:val="none"/>
                <w:u w:val="none"/>
                <w:lang w:val="en-US" w:eastAsia="zh-CN" w:bidi="ar-SA"/>
              </w:rPr>
              <w:t>（4）有依法缴纳税收和社会保障资金的良好记录：①提供投标人近半年任意一个月依法纳税凭证原件或有电子专用章的完税证明；②提供投标人近半年任意一个月依法缴纳社会保障资金证明。</w:t>
            </w:r>
          </w:p>
          <w:p w14:paraId="10F7DB08">
            <w:pPr>
              <w:keepNext w:val="0"/>
              <w:keepLines w:val="0"/>
              <w:pageBreakBefore w:val="0"/>
              <w:widowControl w:val="0"/>
              <w:tabs>
                <w:tab w:val="left" w:pos="4980"/>
                <w:tab w:val="right" w:pos="9000"/>
              </w:tabs>
              <w:kinsoku/>
              <w:wordWrap w:val="0"/>
              <w:overflowPunct/>
              <w:topLinePunct w:val="0"/>
              <w:autoSpaceDE w:val="0"/>
              <w:autoSpaceDN w:val="0"/>
              <w:bidi w:val="0"/>
              <w:adjustRightInd/>
              <w:snapToGrid/>
              <w:spacing w:line="360" w:lineRule="exact"/>
              <w:ind w:firstLine="0" w:firstLineChars="0"/>
              <w:jc w:val="both"/>
              <w:textAlignment w:val="auto"/>
              <w:outlineLvl w:val="9"/>
              <w:rPr>
                <w:rFonts w:hint="eastAsia" w:ascii="仿宋" w:hAnsi="仿宋" w:eastAsia="仿宋" w:cs="仿宋"/>
                <w:b/>
                <w:bCs/>
                <w:color w:val="auto"/>
                <w:kern w:val="2"/>
                <w:sz w:val="21"/>
                <w:szCs w:val="21"/>
                <w:highlight w:val="none"/>
                <w:u w:val="none"/>
                <w:lang w:val="en-US" w:eastAsia="zh-CN" w:bidi="ar-SA"/>
              </w:rPr>
            </w:pPr>
            <w:r>
              <w:rPr>
                <w:rFonts w:hint="eastAsia" w:ascii="仿宋" w:hAnsi="仿宋" w:eastAsia="仿宋" w:cs="仿宋"/>
                <w:b/>
                <w:bCs/>
                <w:color w:val="auto"/>
                <w:kern w:val="2"/>
                <w:sz w:val="21"/>
                <w:szCs w:val="21"/>
                <w:highlight w:val="none"/>
                <w:u w:val="none"/>
                <w:lang w:val="en-US" w:eastAsia="zh-CN" w:bidi="ar-SA"/>
              </w:rPr>
              <w:t>注：依法免税或不需要缴纳社会保障资金的投标人，应提供相应文件证明其依法免税或不需要缴纳社会保障资金。</w:t>
            </w:r>
          </w:p>
          <w:p w14:paraId="399D1892">
            <w:pPr>
              <w:keepNext w:val="0"/>
              <w:keepLines w:val="0"/>
              <w:pageBreakBefore w:val="0"/>
              <w:widowControl w:val="0"/>
              <w:tabs>
                <w:tab w:val="left" w:pos="4980"/>
                <w:tab w:val="right" w:pos="9000"/>
              </w:tabs>
              <w:kinsoku/>
              <w:wordWrap w:val="0"/>
              <w:overflowPunct/>
              <w:topLinePunct w:val="0"/>
              <w:autoSpaceDE w:val="0"/>
              <w:autoSpaceDN w:val="0"/>
              <w:bidi w:val="0"/>
              <w:adjustRightInd/>
              <w:snapToGrid/>
              <w:spacing w:line="360" w:lineRule="exact"/>
              <w:ind w:firstLine="0" w:firstLineChars="0"/>
              <w:jc w:val="both"/>
              <w:textAlignment w:val="auto"/>
              <w:outlineLvl w:val="9"/>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kern w:val="2"/>
                <w:sz w:val="21"/>
                <w:szCs w:val="21"/>
                <w:highlight w:val="none"/>
                <w:u w:val="none"/>
                <w:lang w:val="en-US" w:eastAsia="zh-CN" w:bidi="ar-SA"/>
              </w:rPr>
              <w:t>（5）参加政府采购活动前三年内，在经营活动中没有重大违法记录：提供无重大违法记录声明函。</w:t>
            </w:r>
          </w:p>
          <w:p w14:paraId="7B4C5CE0">
            <w:pPr>
              <w:keepNext w:val="0"/>
              <w:keepLines w:val="0"/>
              <w:pageBreakBefore w:val="0"/>
              <w:widowControl w:val="0"/>
              <w:tabs>
                <w:tab w:val="left" w:pos="4980"/>
                <w:tab w:val="right" w:pos="9000"/>
              </w:tabs>
              <w:kinsoku/>
              <w:wordWrap w:val="0"/>
              <w:overflowPunct/>
              <w:topLinePunct w:val="0"/>
              <w:autoSpaceDE w:val="0"/>
              <w:autoSpaceDN w:val="0"/>
              <w:bidi w:val="0"/>
              <w:adjustRightInd/>
              <w:snapToGrid/>
              <w:spacing w:line="360" w:lineRule="exact"/>
              <w:ind w:firstLine="0" w:firstLineChars="0"/>
              <w:jc w:val="both"/>
              <w:textAlignment w:val="auto"/>
              <w:outlineLvl w:val="9"/>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b/>
                <w:bCs/>
                <w:color w:val="auto"/>
                <w:kern w:val="2"/>
                <w:sz w:val="21"/>
                <w:szCs w:val="21"/>
                <w:highlight w:val="none"/>
                <w:u w:val="none"/>
                <w:lang w:val="en-US" w:eastAsia="zh-CN" w:bidi="ar-SA"/>
              </w:rPr>
              <w:t>2、落实政府采购政策需满足的资格要求：</w:t>
            </w:r>
            <w:r>
              <w:rPr>
                <w:rFonts w:hint="eastAsia" w:ascii="仿宋" w:hAnsi="仿宋" w:eastAsia="仿宋" w:cs="仿宋"/>
                <w:b w:val="0"/>
                <w:bCs w:val="0"/>
                <w:color w:val="auto"/>
                <w:kern w:val="2"/>
                <w:sz w:val="21"/>
                <w:szCs w:val="21"/>
                <w:highlight w:val="none"/>
                <w:u w:val="none"/>
                <w:lang w:val="en-US" w:eastAsia="zh-CN" w:bidi="ar-SA"/>
              </w:rPr>
              <w:t>本项目为专门面向中小企业（含中型、小型、微型企业）采购项目</w:t>
            </w:r>
            <w:r>
              <w:rPr>
                <w:rFonts w:hint="eastAsia" w:ascii="仿宋" w:hAnsi="仿宋" w:eastAsia="仿宋" w:cs="仿宋"/>
                <w:color w:val="auto"/>
                <w:kern w:val="2"/>
                <w:sz w:val="21"/>
                <w:szCs w:val="21"/>
                <w:highlight w:val="none"/>
                <w:u w:val="none"/>
                <w:lang w:val="en-US" w:eastAsia="zh-CN" w:bidi="ar-SA"/>
              </w:rPr>
              <w:t>。</w:t>
            </w:r>
          </w:p>
          <w:p w14:paraId="3AA25A12">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both"/>
              <w:textAlignment w:val="auto"/>
              <w:outlineLvl w:val="9"/>
              <w:rPr>
                <w:rFonts w:hint="eastAsia" w:ascii="仿宋" w:hAnsi="仿宋" w:eastAsia="仿宋" w:cs="仿宋"/>
                <w:b/>
                <w:bCs/>
                <w:color w:val="auto"/>
                <w:kern w:val="2"/>
                <w:sz w:val="21"/>
                <w:szCs w:val="21"/>
                <w:highlight w:val="none"/>
                <w:u w:val="none"/>
                <w:lang w:val="en-US" w:eastAsia="zh-CN" w:bidi="ar-SA"/>
              </w:rPr>
            </w:pPr>
            <w:r>
              <w:rPr>
                <w:rFonts w:hint="eastAsia" w:ascii="仿宋" w:hAnsi="仿宋" w:eastAsia="仿宋" w:cs="仿宋"/>
                <w:b/>
                <w:bCs/>
                <w:color w:val="auto"/>
                <w:kern w:val="2"/>
                <w:sz w:val="21"/>
                <w:szCs w:val="21"/>
                <w:highlight w:val="none"/>
                <w:u w:val="none"/>
                <w:lang w:val="en-US" w:eastAsia="zh-CN" w:bidi="ar-SA"/>
              </w:rPr>
              <w:t>3、本项目的特定资格要求：</w:t>
            </w:r>
          </w:p>
          <w:p w14:paraId="4348ED46">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both"/>
              <w:textAlignment w:val="auto"/>
              <w:outlineLvl w:val="9"/>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kern w:val="2"/>
                <w:sz w:val="21"/>
                <w:szCs w:val="21"/>
                <w:highlight w:val="none"/>
                <w:u w:val="none"/>
                <w:lang w:val="en-US" w:eastAsia="zh-CN" w:bidi="ar-SA"/>
              </w:rPr>
              <w:t>（1）供应商为制造商的须提供《医疗器械生产许可证》、所投产品的《医疗器械产品注册证》；</w:t>
            </w:r>
          </w:p>
          <w:p w14:paraId="0F00CF7F">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both"/>
              <w:textAlignment w:val="auto"/>
              <w:outlineLvl w:val="9"/>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val="0"/>
                <w:bCs w:val="0"/>
                <w:color w:val="auto"/>
                <w:kern w:val="2"/>
                <w:sz w:val="21"/>
                <w:szCs w:val="21"/>
                <w:highlight w:val="none"/>
                <w:u w:val="none"/>
                <w:lang w:val="en-US" w:eastAsia="zh-CN" w:bidi="ar-SA"/>
              </w:rPr>
              <w:t>供应商为经销商的须提供包含所投产品相应经营范围的《医疗器械经营许可证》、《医疗器械经营备案凭证》，及所投产品制造商的《医疗器械生产许可证》、《医疗器械产品注册证》。</w:t>
            </w:r>
          </w:p>
          <w:p w14:paraId="224F29C4">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both"/>
              <w:textAlignment w:val="auto"/>
              <w:outlineLvl w:val="9"/>
              <w:rPr>
                <w:rFonts w:hint="eastAsia" w:ascii="仿宋" w:hAnsi="仿宋" w:eastAsia="仿宋" w:cs="仿宋"/>
                <w:b/>
                <w:bCs/>
                <w:color w:val="auto"/>
                <w:kern w:val="2"/>
                <w:sz w:val="21"/>
                <w:szCs w:val="21"/>
                <w:highlight w:val="none"/>
                <w:u w:val="none"/>
                <w:lang w:val="en-US" w:eastAsia="zh-CN" w:bidi="ar-SA"/>
              </w:rPr>
            </w:pPr>
            <w:r>
              <w:rPr>
                <w:rFonts w:hint="eastAsia" w:ascii="仿宋" w:hAnsi="仿宋" w:eastAsia="仿宋" w:cs="仿宋"/>
                <w:b w:val="0"/>
                <w:bCs w:val="0"/>
                <w:color w:val="auto"/>
                <w:kern w:val="2"/>
                <w:sz w:val="21"/>
                <w:szCs w:val="21"/>
                <w:highlight w:val="none"/>
                <w:u w:val="none"/>
                <w:lang w:val="en-US" w:eastAsia="zh-CN" w:bidi="ar-SA"/>
              </w:rPr>
              <w:t>（2）参与本项目供应商所投产品的制造商须为中小/小微企业。</w:t>
            </w:r>
          </w:p>
          <w:p w14:paraId="52966564">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kern w:val="2"/>
                <w:sz w:val="21"/>
                <w:szCs w:val="21"/>
                <w:highlight w:val="none"/>
                <w:u w:val="none"/>
                <w:lang w:val="en-US" w:eastAsia="zh-CN" w:bidi="ar-SA"/>
              </w:rPr>
              <w:t>4、本项目不接受联合体投标。</w:t>
            </w:r>
          </w:p>
        </w:tc>
      </w:tr>
      <w:tr w14:paraId="44FB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54" w:hRule="atLeast"/>
          <w:jc w:val="center"/>
        </w:trPr>
        <w:tc>
          <w:tcPr>
            <w:tcW w:w="700" w:type="dxa"/>
            <w:tcBorders>
              <w:tl2br w:val="nil"/>
              <w:tr2bl w:val="nil"/>
            </w:tcBorders>
            <w:vAlign w:val="center"/>
          </w:tcPr>
          <w:p w14:paraId="28F0AD64">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15</w:t>
            </w:r>
          </w:p>
        </w:tc>
        <w:tc>
          <w:tcPr>
            <w:tcW w:w="1748" w:type="dxa"/>
            <w:tcBorders>
              <w:tl2br w:val="nil"/>
              <w:tr2bl w:val="nil"/>
            </w:tcBorders>
            <w:vAlign w:val="center"/>
          </w:tcPr>
          <w:p w14:paraId="46B415F4">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w:t>
            </w:r>
          </w:p>
          <w:p w14:paraId="271D7A7B">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有效期</w:t>
            </w:r>
          </w:p>
        </w:tc>
        <w:tc>
          <w:tcPr>
            <w:tcW w:w="7181" w:type="dxa"/>
            <w:tcBorders>
              <w:tl2br w:val="nil"/>
              <w:tr2bl w:val="nil"/>
            </w:tcBorders>
            <w:vAlign w:val="center"/>
          </w:tcPr>
          <w:p w14:paraId="19E6EE27">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90</w:t>
            </w:r>
            <w:r>
              <w:rPr>
                <w:rFonts w:hint="eastAsia" w:ascii="仿宋" w:hAnsi="仿宋" w:eastAsia="仿宋" w:cs="仿宋"/>
                <w:color w:val="auto"/>
                <w:sz w:val="21"/>
                <w:szCs w:val="21"/>
                <w:highlight w:val="none"/>
              </w:rPr>
              <w:t>日历日（自投标截止日起）</w:t>
            </w:r>
          </w:p>
        </w:tc>
      </w:tr>
      <w:tr w14:paraId="5CA9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54" w:hRule="atLeast"/>
          <w:jc w:val="center"/>
        </w:trPr>
        <w:tc>
          <w:tcPr>
            <w:tcW w:w="700" w:type="dxa"/>
            <w:tcBorders>
              <w:tl2br w:val="nil"/>
              <w:tr2bl w:val="nil"/>
            </w:tcBorders>
            <w:vAlign w:val="center"/>
          </w:tcPr>
          <w:p w14:paraId="259B1BB3">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p>
        </w:tc>
        <w:tc>
          <w:tcPr>
            <w:tcW w:w="1748" w:type="dxa"/>
            <w:tcBorders>
              <w:tl2br w:val="nil"/>
              <w:tr2bl w:val="nil"/>
            </w:tcBorders>
            <w:vAlign w:val="center"/>
          </w:tcPr>
          <w:p w14:paraId="51DDE673">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投标文件的</w:t>
            </w:r>
          </w:p>
          <w:p w14:paraId="2A319C56">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上传和递交</w:t>
            </w:r>
          </w:p>
        </w:tc>
        <w:tc>
          <w:tcPr>
            <w:tcW w:w="7181" w:type="dxa"/>
            <w:tcBorders>
              <w:tl2br w:val="nil"/>
              <w:tr2bl w:val="nil"/>
            </w:tcBorders>
            <w:vAlign w:val="center"/>
          </w:tcPr>
          <w:p w14:paraId="449F2B41">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电子加密投标文件：投标文件制作完成并生成加密标书，在投标截止时间前，供应商需将加密的投标文件上传至政采云平台，在开标时间开始后，待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发出解密通知后30分钟内解密投标文件。</w:t>
            </w:r>
          </w:p>
          <w:p w14:paraId="32CDEA7E">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注:供应商未能在投标截止时间前成功上传电子加密投标文件的投标无效。</w:t>
            </w:r>
          </w:p>
        </w:tc>
      </w:tr>
      <w:tr w14:paraId="7B25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54" w:hRule="atLeast"/>
          <w:jc w:val="center"/>
        </w:trPr>
        <w:tc>
          <w:tcPr>
            <w:tcW w:w="700" w:type="dxa"/>
            <w:tcBorders>
              <w:tl2br w:val="nil"/>
              <w:tr2bl w:val="nil"/>
            </w:tcBorders>
            <w:vAlign w:val="center"/>
          </w:tcPr>
          <w:p w14:paraId="6BABFED6">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7</w:t>
            </w:r>
          </w:p>
        </w:tc>
        <w:tc>
          <w:tcPr>
            <w:tcW w:w="1748" w:type="dxa"/>
            <w:tcBorders>
              <w:tl2br w:val="nil"/>
              <w:tr2bl w:val="nil"/>
            </w:tcBorders>
            <w:vAlign w:val="center"/>
          </w:tcPr>
          <w:p w14:paraId="3A390B90">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投标文件份数</w:t>
            </w:r>
          </w:p>
        </w:tc>
        <w:tc>
          <w:tcPr>
            <w:tcW w:w="7181" w:type="dxa"/>
            <w:tcBorders>
              <w:tl2br w:val="nil"/>
              <w:tr2bl w:val="nil"/>
            </w:tcBorders>
            <w:vAlign w:val="center"/>
          </w:tcPr>
          <w:p w14:paraId="5F7669F6">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本项目为不见面开标，</w:t>
            </w:r>
            <w:r>
              <w:rPr>
                <w:rFonts w:hint="eastAsia" w:ascii="仿宋" w:hAnsi="仿宋" w:eastAsia="仿宋" w:cs="仿宋"/>
                <w:color w:val="auto"/>
                <w:sz w:val="21"/>
                <w:szCs w:val="21"/>
                <w:highlight w:val="none"/>
                <w:lang w:val="en-US" w:eastAsia="zh-CN"/>
              </w:rPr>
              <w:t>供应商开标现场</w:t>
            </w:r>
            <w:r>
              <w:rPr>
                <w:rFonts w:hint="eastAsia" w:ascii="仿宋" w:hAnsi="仿宋" w:eastAsia="仿宋" w:cs="仿宋"/>
                <w:b/>
                <w:bCs/>
                <w:color w:val="auto"/>
                <w:sz w:val="21"/>
                <w:szCs w:val="21"/>
                <w:highlight w:val="none"/>
              </w:rPr>
              <w:t>无需提交</w:t>
            </w:r>
            <w:r>
              <w:rPr>
                <w:rFonts w:hint="eastAsia" w:ascii="仿宋" w:hAnsi="仿宋" w:eastAsia="仿宋" w:cs="仿宋"/>
                <w:color w:val="auto"/>
                <w:sz w:val="21"/>
                <w:szCs w:val="21"/>
                <w:highlight w:val="none"/>
              </w:rPr>
              <w:t>纸质版</w:t>
            </w:r>
            <w:r>
              <w:rPr>
                <w:rFonts w:hint="eastAsia" w:ascii="仿宋" w:hAnsi="仿宋" w:eastAsia="仿宋" w:cs="仿宋"/>
                <w:color w:val="auto"/>
                <w:sz w:val="21"/>
                <w:szCs w:val="21"/>
                <w:highlight w:val="none"/>
                <w:lang w:eastAsia="zh-CN"/>
              </w:rPr>
              <w:t>投标文件</w:t>
            </w:r>
            <w:r>
              <w:rPr>
                <w:rFonts w:hint="eastAsia" w:ascii="仿宋" w:hAnsi="仿宋" w:eastAsia="仿宋" w:cs="仿宋"/>
                <w:color w:val="auto"/>
                <w:sz w:val="21"/>
                <w:szCs w:val="21"/>
                <w:highlight w:val="none"/>
              </w:rPr>
              <w:t>及电子版U盘或光盘</w:t>
            </w:r>
            <w:r>
              <w:rPr>
                <w:rFonts w:hint="eastAsia" w:ascii="仿宋" w:hAnsi="仿宋" w:eastAsia="仿宋" w:cs="仿宋"/>
                <w:color w:val="auto"/>
                <w:sz w:val="21"/>
                <w:szCs w:val="21"/>
                <w:highlight w:val="none"/>
                <w:lang w:eastAsia="zh-CN"/>
              </w:rPr>
              <w:t>。</w:t>
            </w:r>
          </w:p>
        </w:tc>
      </w:tr>
      <w:tr w14:paraId="3BA4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54" w:hRule="atLeast"/>
          <w:jc w:val="center"/>
        </w:trPr>
        <w:tc>
          <w:tcPr>
            <w:tcW w:w="700" w:type="dxa"/>
            <w:tcBorders>
              <w:tl2br w:val="nil"/>
              <w:tr2bl w:val="nil"/>
            </w:tcBorders>
            <w:vAlign w:val="center"/>
          </w:tcPr>
          <w:p w14:paraId="5D4F967A">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18</w:t>
            </w:r>
          </w:p>
        </w:tc>
        <w:tc>
          <w:tcPr>
            <w:tcW w:w="1748" w:type="dxa"/>
            <w:tcBorders>
              <w:tl2br w:val="nil"/>
              <w:tr2bl w:val="nil"/>
            </w:tcBorders>
            <w:vAlign w:val="center"/>
          </w:tcPr>
          <w:p w14:paraId="73B8E745">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投标截止时间和投标文件递交地点</w:t>
            </w:r>
          </w:p>
        </w:tc>
        <w:tc>
          <w:tcPr>
            <w:tcW w:w="7181" w:type="dxa"/>
            <w:tcBorders>
              <w:tl2br w:val="nil"/>
              <w:tr2bl w:val="nil"/>
            </w:tcBorders>
            <w:vAlign w:val="center"/>
          </w:tcPr>
          <w:p w14:paraId="064D8C44">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val="0"/>
                <w:bCs w:val="0"/>
                <w:color w:val="auto"/>
                <w:sz w:val="21"/>
                <w:szCs w:val="21"/>
                <w:highlight w:val="none"/>
              </w:rPr>
              <w:t>投标截止时间：</w:t>
            </w:r>
            <w:r>
              <w:rPr>
                <w:rFonts w:hint="eastAsia" w:ascii="仿宋" w:hAnsi="仿宋" w:eastAsia="仿宋" w:cs="仿宋"/>
                <w:b/>
                <w:bCs/>
                <w:color w:val="auto"/>
                <w:sz w:val="21"/>
                <w:szCs w:val="21"/>
                <w:highlight w:val="none"/>
                <w:u w:val="single"/>
                <w:lang w:eastAsia="zh-CN"/>
              </w:rPr>
              <w:t>2025年03月04日11:00</w:t>
            </w:r>
            <w:r>
              <w:rPr>
                <w:rFonts w:hint="eastAsia" w:ascii="仿宋" w:hAnsi="仿宋" w:eastAsia="仿宋" w:cs="仿宋"/>
                <w:b/>
                <w:bCs/>
                <w:color w:val="auto"/>
                <w:sz w:val="21"/>
                <w:szCs w:val="21"/>
                <w:highlight w:val="none"/>
                <w:u w:val="single"/>
              </w:rPr>
              <w:t>（北京时间）</w:t>
            </w:r>
          </w:p>
          <w:p w14:paraId="3AFBB847">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rPr>
              <w:t>投标文件递交</w:t>
            </w:r>
            <w:r>
              <w:rPr>
                <w:rFonts w:hint="eastAsia" w:ascii="仿宋" w:hAnsi="仿宋" w:eastAsia="仿宋" w:cs="仿宋"/>
                <w:b w:val="0"/>
                <w:bCs w:val="0"/>
                <w:color w:val="auto"/>
                <w:sz w:val="21"/>
                <w:szCs w:val="21"/>
                <w:highlight w:val="none"/>
                <w:lang w:val="en-US" w:eastAsia="zh-CN"/>
              </w:rPr>
              <w:t>地点</w:t>
            </w:r>
            <w:r>
              <w:rPr>
                <w:rFonts w:hint="eastAsia" w:ascii="仿宋" w:hAnsi="仿宋" w:eastAsia="仿宋" w:cs="仿宋"/>
                <w:b w:val="0"/>
                <w:bCs w:val="0"/>
                <w:color w:val="auto"/>
                <w:sz w:val="21"/>
                <w:szCs w:val="21"/>
                <w:highlight w:val="none"/>
              </w:rPr>
              <w:t>：新疆政府采购云平台（www.zcygov.cn）</w:t>
            </w:r>
            <w:r>
              <w:rPr>
                <w:rFonts w:hint="eastAsia" w:ascii="仿宋" w:hAnsi="仿宋" w:eastAsia="仿宋" w:cs="仿宋"/>
                <w:b w:val="0"/>
                <w:bCs w:val="0"/>
                <w:color w:val="auto"/>
                <w:sz w:val="21"/>
                <w:szCs w:val="21"/>
                <w:highlight w:val="none"/>
                <w:lang w:val="en-US" w:eastAsia="zh-CN"/>
              </w:rPr>
              <w:t>指定位置上传递交</w:t>
            </w:r>
          </w:p>
        </w:tc>
      </w:tr>
      <w:tr w14:paraId="7083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54" w:hRule="atLeast"/>
          <w:jc w:val="center"/>
        </w:trPr>
        <w:tc>
          <w:tcPr>
            <w:tcW w:w="700" w:type="dxa"/>
            <w:tcBorders>
              <w:tl2br w:val="nil"/>
              <w:tr2bl w:val="nil"/>
            </w:tcBorders>
            <w:vAlign w:val="center"/>
          </w:tcPr>
          <w:p w14:paraId="1542981A">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19</w:t>
            </w:r>
          </w:p>
        </w:tc>
        <w:tc>
          <w:tcPr>
            <w:tcW w:w="1748" w:type="dxa"/>
            <w:tcBorders>
              <w:tl2br w:val="nil"/>
              <w:tr2bl w:val="nil"/>
            </w:tcBorders>
            <w:vAlign w:val="center"/>
          </w:tcPr>
          <w:p w14:paraId="68E09121">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开标时间和</w:t>
            </w:r>
          </w:p>
          <w:p w14:paraId="6D857064">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开标地点</w:t>
            </w:r>
          </w:p>
        </w:tc>
        <w:tc>
          <w:tcPr>
            <w:tcW w:w="7181" w:type="dxa"/>
            <w:tcBorders>
              <w:tl2br w:val="nil"/>
              <w:tr2bl w:val="nil"/>
            </w:tcBorders>
            <w:vAlign w:val="center"/>
          </w:tcPr>
          <w:p w14:paraId="1535393A">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b/>
                <w:bCs/>
                <w:color w:val="auto"/>
                <w:sz w:val="21"/>
                <w:szCs w:val="21"/>
                <w:highlight w:val="none"/>
                <w:u w:val="single"/>
              </w:rPr>
            </w:pPr>
            <w:r>
              <w:rPr>
                <w:rFonts w:hint="eastAsia" w:ascii="仿宋" w:hAnsi="仿宋" w:eastAsia="仿宋" w:cs="仿宋"/>
                <w:b w:val="0"/>
                <w:bCs w:val="0"/>
                <w:color w:val="auto"/>
                <w:sz w:val="21"/>
                <w:szCs w:val="21"/>
                <w:highlight w:val="none"/>
              </w:rPr>
              <w:t>开标时间：</w:t>
            </w:r>
            <w:r>
              <w:rPr>
                <w:rFonts w:hint="eastAsia" w:ascii="仿宋" w:hAnsi="仿宋" w:eastAsia="仿宋" w:cs="仿宋"/>
                <w:b/>
                <w:bCs/>
                <w:color w:val="auto"/>
                <w:sz w:val="21"/>
                <w:szCs w:val="21"/>
                <w:highlight w:val="none"/>
                <w:u w:val="single"/>
                <w:lang w:eastAsia="zh-CN"/>
              </w:rPr>
              <w:t>2025年03月04日11:00</w:t>
            </w:r>
            <w:r>
              <w:rPr>
                <w:rFonts w:hint="eastAsia" w:ascii="仿宋" w:hAnsi="仿宋" w:eastAsia="仿宋" w:cs="仿宋"/>
                <w:b/>
                <w:bCs/>
                <w:color w:val="auto"/>
                <w:sz w:val="21"/>
                <w:szCs w:val="21"/>
                <w:highlight w:val="none"/>
                <w:u w:val="single"/>
              </w:rPr>
              <w:t>（北京时间）</w:t>
            </w:r>
          </w:p>
          <w:p w14:paraId="0132258E">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开标地点：新疆政府采购云平台（www.zcygov.cn）</w:t>
            </w:r>
          </w:p>
        </w:tc>
      </w:tr>
      <w:tr w14:paraId="570B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54" w:hRule="atLeast"/>
          <w:jc w:val="center"/>
        </w:trPr>
        <w:tc>
          <w:tcPr>
            <w:tcW w:w="700" w:type="dxa"/>
            <w:tcBorders>
              <w:tl2br w:val="nil"/>
              <w:tr2bl w:val="nil"/>
            </w:tcBorders>
            <w:vAlign w:val="center"/>
          </w:tcPr>
          <w:p w14:paraId="56DBFF15">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1748" w:type="dxa"/>
            <w:tcBorders>
              <w:tl2br w:val="nil"/>
              <w:tr2bl w:val="nil"/>
            </w:tcBorders>
            <w:vAlign w:val="center"/>
          </w:tcPr>
          <w:p w14:paraId="634845A9">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评标办法</w:t>
            </w:r>
          </w:p>
        </w:tc>
        <w:tc>
          <w:tcPr>
            <w:tcW w:w="7181" w:type="dxa"/>
            <w:tcBorders>
              <w:tl2br w:val="nil"/>
              <w:tr2bl w:val="nil"/>
            </w:tcBorders>
            <w:vAlign w:val="center"/>
          </w:tcPr>
          <w:p w14:paraId="591BE34A">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both"/>
              <w:textAlignment w:val="auto"/>
              <w:outlineLvl w:val="9"/>
              <w:rPr>
                <w:rFonts w:hint="eastAsia" w:ascii="仿宋" w:hAnsi="仿宋" w:eastAsia="仿宋" w:cs="仿宋"/>
                <w:b w:val="0"/>
                <w:bCs w:val="0"/>
                <w:color w:val="auto"/>
                <w:sz w:val="21"/>
                <w:szCs w:val="21"/>
                <w:highlight w:val="none"/>
              </w:rPr>
            </w:pPr>
            <w:r>
              <w:rPr>
                <w:rFonts w:hint="eastAsia" w:ascii="仿宋" w:hAnsi="仿宋" w:eastAsia="仿宋" w:cs="仿宋"/>
                <w:b/>
                <w:bCs/>
                <w:color w:val="auto"/>
                <w:sz w:val="21"/>
                <w:szCs w:val="21"/>
                <w:highlight w:val="none"/>
                <w:lang w:val="en-US" w:eastAsia="zh-CN"/>
              </w:rPr>
              <w:t>综合评分法：</w:t>
            </w:r>
            <w:r>
              <w:rPr>
                <w:rFonts w:hint="eastAsia" w:ascii="仿宋" w:hAnsi="仿宋" w:eastAsia="仿宋" w:cs="仿宋"/>
                <w:color w:val="auto"/>
                <w:sz w:val="21"/>
                <w:szCs w:val="21"/>
                <w:highlight w:val="none"/>
                <w:lang w:val="en-US" w:eastAsia="zh-CN"/>
              </w:rPr>
              <w:t>综合比较质量、价格、公司实力和服务保障能力等因素，选择实力强、报价合理、服务保障能力强的供应商为中标人。</w:t>
            </w:r>
          </w:p>
        </w:tc>
      </w:tr>
      <w:tr w14:paraId="6EEC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54" w:hRule="atLeast"/>
          <w:jc w:val="center"/>
        </w:trPr>
        <w:tc>
          <w:tcPr>
            <w:tcW w:w="700" w:type="dxa"/>
            <w:tcBorders>
              <w:tl2br w:val="nil"/>
              <w:tr2bl w:val="nil"/>
            </w:tcBorders>
            <w:vAlign w:val="center"/>
          </w:tcPr>
          <w:p w14:paraId="37283707">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21</w:t>
            </w:r>
          </w:p>
        </w:tc>
        <w:tc>
          <w:tcPr>
            <w:tcW w:w="1748" w:type="dxa"/>
            <w:tcBorders>
              <w:tl2br w:val="nil"/>
              <w:tr2bl w:val="nil"/>
            </w:tcBorders>
            <w:vAlign w:val="center"/>
          </w:tcPr>
          <w:p w14:paraId="621CA838">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资格审查</w:t>
            </w:r>
          </w:p>
          <w:p w14:paraId="27E7D875">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文件</w:t>
            </w:r>
          </w:p>
        </w:tc>
        <w:tc>
          <w:tcPr>
            <w:tcW w:w="7181" w:type="dxa"/>
            <w:tcBorders>
              <w:tl2br w:val="nil"/>
              <w:tr2bl w:val="nil"/>
            </w:tcBorders>
            <w:vAlign w:val="center"/>
          </w:tcPr>
          <w:p w14:paraId="293D9A8C">
            <w:pPr>
              <w:keepNext w:val="0"/>
              <w:keepLines w:val="0"/>
              <w:pageBreakBefore w:val="0"/>
              <w:widowControl w:val="0"/>
              <w:kinsoku/>
              <w:wordWrap w:val="0"/>
              <w:overflowPunct/>
              <w:topLinePunct w:val="0"/>
              <w:autoSpaceDE w:val="0"/>
              <w:autoSpaceDN w:val="0"/>
              <w:bidi w:val="0"/>
              <w:adjustRightInd/>
              <w:snapToGrid/>
              <w:spacing w:line="360" w:lineRule="exact"/>
              <w:ind w:left="0" w:leftChars="0" w:firstLine="0" w:firstLineChars="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投标供应商在投标截止时间之前，在政采云平台指定位置上传资格响应文件，以证明其符合本项目资格条件：</w:t>
            </w:r>
          </w:p>
          <w:p w14:paraId="208FEEAA">
            <w:pPr>
              <w:pStyle w:val="21"/>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exac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（1）法定代表人身份证明或法定代表人授权委托书；</w:t>
            </w:r>
          </w:p>
          <w:p w14:paraId="5DEF08F7">
            <w:pPr>
              <w:pStyle w:val="21"/>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exac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（2）具有独立承担民事责任的能力：提供有效的营业执照；</w:t>
            </w:r>
          </w:p>
          <w:p w14:paraId="4800B14B">
            <w:pPr>
              <w:pStyle w:val="21"/>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exac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（3）具有良好的商业信誉和健全的财务会计制度：投标人没有处于被责令停业、财产被接管、冻结、破产状态；</w:t>
            </w:r>
            <w:r>
              <w:rPr>
                <w:rFonts w:hint="eastAsia" w:ascii="仿宋" w:hAnsi="仿宋" w:eastAsia="仿宋" w:cs="仿宋"/>
                <w:color w:val="auto"/>
                <w:kern w:val="2"/>
                <w:sz w:val="21"/>
                <w:szCs w:val="21"/>
                <w:highlight w:val="none"/>
                <w:u w:val="none"/>
                <w:lang w:val="en-US" w:eastAsia="zh-CN" w:bidi="ar-SA"/>
              </w:rPr>
              <w:t>提供2023年度经审计的财务报告或银行出具的资信证明（如提供银行资信证明的，须自2025年02月至首次提交投标响应文件截止时间内出具）</w:t>
            </w:r>
            <w:r>
              <w:rPr>
                <w:rFonts w:hint="eastAsia" w:ascii="仿宋" w:hAnsi="仿宋" w:eastAsia="仿宋" w:cs="仿宋"/>
                <w:color w:val="auto"/>
                <w:kern w:val="2"/>
                <w:sz w:val="21"/>
                <w:szCs w:val="21"/>
                <w:highlight w:val="none"/>
                <w:lang w:val="en-US" w:eastAsia="zh-CN" w:bidi="ar-SA"/>
              </w:rPr>
              <w:t>；</w:t>
            </w:r>
          </w:p>
          <w:p w14:paraId="3B48B886">
            <w:pPr>
              <w:pStyle w:val="21"/>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exac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u w:val="none"/>
                <w:lang w:val="en-US" w:eastAsia="zh-CN" w:bidi="ar-SA"/>
              </w:rPr>
              <w:t>（4）具有履行合同所必需的设备和专业技术能力：提供承诺函</w:t>
            </w:r>
            <w:r>
              <w:rPr>
                <w:rFonts w:hint="eastAsia" w:ascii="仿宋" w:hAnsi="仿宋" w:eastAsia="仿宋" w:cs="仿宋"/>
                <w:color w:val="auto"/>
                <w:kern w:val="2"/>
                <w:sz w:val="21"/>
                <w:szCs w:val="21"/>
                <w:highlight w:val="none"/>
                <w:lang w:val="en-US" w:eastAsia="zh-CN" w:bidi="ar-SA"/>
              </w:rPr>
              <w:t xml:space="preserve">； </w:t>
            </w:r>
          </w:p>
          <w:p w14:paraId="0C180BC2">
            <w:pPr>
              <w:pStyle w:val="21"/>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exac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u w:val="none"/>
                <w:lang w:val="en-US" w:eastAsia="zh-CN" w:bidi="ar-SA"/>
              </w:rPr>
              <w:t>（5）提供投标人近半年任意一个月依法纳税凭证原件或有电子专用章的完税证明，</w:t>
            </w:r>
            <w:r>
              <w:rPr>
                <w:rFonts w:hint="eastAsia" w:ascii="仿宋" w:hAnsi="仿宋" w:eastAsia="仿宋" w:cs="仿宋"/>
                <w:color w:val="auto"/>
                <w:sz w:val="21"/>
                <w:szCs w:val="21"/>
                <w:highlight w:val="none"/>
                <w:lang w:eastAsia="zh-CN"/>
              </w:rPr>
              <w:t>依法免税的供应商，应提供相应文件证明其依法免税</w:t>
            </w:r>
            <w:r>
              <w:rPr>
                <w:rFonts w:hint="eastAsia" w:ascii="仿宋" w:hAnsi="仿宋" w:eastAsia="仿宋" w:cs="仿宋"/>
                <w:color w:val="auto"/>
                <w:kern w:val="2"/>
                <w:sz w:val="21"/>
                <w:szCs w:val="21"/>
                <w:highlight w:val="none"/>
                <w:lang w:val="en-US" w:eastAsia="zh-CN" w:bidi="ar-SA"/>
              </w:rPr>
              <w:t>；</w:t>
            </w:r>
          </w:p>
          <w:p w14:paraId="255433FE">
            <w:pPr>
              <w:pStyle w:val="21"/>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exac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（6）提供投标人</w:t>
            </w:r>
            <w:r>
              <w:rPr>
                <w:rFonts w:hint="eastAsia" w:ascii="仿宋" w:hAnsi="仿宋" w:eastAsia="仿宋" w:cs="仿宋"/>
                <w:color w:val="auto"/>
                <w:kern w:val="2"/>
                <w:sz w:val="21"/>
                <w:szCs w:val="21"/>
                <w:highlight w:val="none"/>
                <w:u w:val="none"/>
                <w:lang w:val="en-US" w:eastAsia="zh-CN" w:bidi="ar-SA"/>
              </w:rPr>
              <w:t>近半年</w:t>
            </w:r>
            <w:r>
              <w:rPr>
                <w:rFonts w:hint="eastAsia" w:ascii="仿宋" w:hAnsi="仿宋" w:eastAsia="仿宋" w:cs="仿宋"/>
                <w:color w:val="auto"/>
                <w:kern w:val="2"/>
                <w:sz w:val="21"/>
                <w:szCs w:val="21"/>
                <w:highlight w:val="none"/>
                <w:lang w:val="en-US" w:eastAsia="zh-CN" w:bidi="ar-SA"/>
              </w:rPr>
              <w:t>任意一个月依法缴纳社会保险的凭据（专用收据或社会保险缴纳清单），</w:t>
            </w:r>
            <w:r>
              <w:rPr>
                <w:rFonts w:hint="eastAsia" w:ascii="仿宋" w:hAnsi="仿宋" w:eastAsia="仿宋" w:cs="仿宋"/>
                <w:color w:val="auto"/>
                <w:sz w:val="21"/>
                <w:szCs w:val="21"/>
                <w:highlight w:val="none"/>
                <w:lang w:eastAsia="zh-CN"/>
              </w:rPr>
              <w:t>依法</w:t>
            </w:r>
            <w:r>
              <w:rPr>
                <w:rFonts w:hint="eastAsia" w:ascii="仿宋" w:hAnsi="仿宋" w:eastAsia="仿宋" w:cs="仿宋"/>
                <w:color w:val="auto"/>
                <w:sz w:val="21"/>
                <w:szCs w:val="21"/>
                <w:highlight w:val="none"/>
                <w:lang w:val="en-US" w:eastAsia="zh-CN"/>
              </w:rPr>
              <w:t>不需要缴纳社会保障资金</w:t>
            </w:r>
            <w:r>
              <w:rPr>
                <w:rFonts w:hint="eastAsia" w:ascii="仿宋" w:hAnsi="仿宋" w:eastAsia="仿宋" w:cs="仿宋"/>
                <w:color w:val="auto"/>
                <w:sz w:val="21"/>
                <w:szCs w:val="21"/>
                <w:highlight w:val="none"/>
                <w:lang w:eastAsia="zh-CN"/>
              </w:rPr>
              <w:t>的供应商，应提供相应文件证明其</w:t>
            </w:r>
            <w:r>
              <w:rPr>
                <w:rFonts w:hint="eastAsia" w:ascii="仿宋" w:hAnsi="仿宋" w:eastAsia="仿宋" w:cs="仿宋"/>
                <w:color w:val="auto"/>
                <w:sz w:val="21"/>
                <w:szCs w:val="21"/>
                <w:highlight w:val="none"/>
                <w:lang w:val="en-US" w:eastAsia="zh-CN"/>
              </w:rPr>
              <w:t>不需要缴纳社会保障资金</w:t>
            </w:r>
            <w:r>
              <w:rPr>
                <w:rFonts w:hint="eastAsia" w:ascii="仿宋" w:hAnsi="仿宋" w:eastAsia="仿宋" w:cs="仿宋"/>
                <w:color w:val="auto"/>
                <w:kern w:val="2"/>
                <w:sz w:val="21"/>
                <w:szCs w:val="21"/>
                <w:highlight w:val="none"/>
                <w:lang w:val="en-US" w:eastAsia="zh-CN" w:bidi="ar-SA"/>
              </w:rPr>
              <w:t>；</w:t>
            </w:r>
          </w:p>
          <w:p w14:paraId="3FF48F5F">
            <w:pPr>
              <w:pStyle w:val="21"/>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exac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（7）供应商为制造商的须提供《医疗器械生产许可证》、所投产品的《医疗器械产品注册证》；</w:t>
            </w:r>
          </w:p>
          <w:p w14:paraId="24073F69">
            <w:pPr>
              <w:pStyle w:val="21"/>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exac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供应商为经销商的须提供包含所投产品相应经营范围的《医疗器械经营许可证》、《医疗器械经营备案凭证》，及所投产品制造商的《医疗器械生产许可证》、《医疗器械产品注册证》；</w:t>
            </w:r>
          </w:p>
          <w:p w14:paraId="391B1E11">
            <w:pPr>
              <w:pStyle w:val="21"/>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exac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（8）无重大违法记录声明函；</w:t>
            </w:r>
          </w:p>
          <w:p w14:paraId="7049DAF4">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（9）投标保证金缴纳凭证或保函。</w:t>
            </w:r>
          </w:p>
        </w:tc>
      </w:tr>
      <w:tr w14:paraId="229B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54" w:hRule="atLeast"/>
          <w:jc w:val="center"/>
        </w:trPr>
        <w:tc>
          <w:tcPr>
            <w:tcW w:w="700" w:type="dxa"/>
            <w:tcBorders>
              <w:tl2br w:val="nil"/>
              <w:tr2bl w:val="nil"/>
            </w:tcBorders>
            <w:vAlign w:val="center"/>
          </w:tcPr>
          <w:p w14:paraId="32F145EA">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22</w:t>
            </w:r>
          </w:p>
        </w:tc>
        <w:tc>
          <w:tcPr>
            <w:tcW w:w="1748" w:type="dxa"/>
            <w:tcBorders>
              <w:tl2br w:val="nil"/>
              <w:tr2bl w:val="nil"/>
            </w:tcBorders>
            <w:vAlign w:val="center"/>
          </w:tcPr>
          <w:p w14:paraId="40FD3798">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中标结果公告</w:t>
            </w:r>
          </w:p>
        </w:tc>
        <w:tc>
          <w:tcPr>
            <w:tcW w:w="7181" w:type="dxa"/>
            <w:tcBorders>
              <w:tl2br w:val="nil"/>
              <w:tr2bl w:val="nil"/>
            </w:tcBorders>
            <w:vAlign w:val="center"/>
          </w:tcPr>
          <w:p w14:paraId="4FB1ABD5">
            <w:pPr>
              <w:pStyle w:val="52"/>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中标结果公告将在新疆政府采购网发布，</w:t>
            </w:r>
            <w:r>
              <w:rPr>
                <w:rFonts w:hint="eastAsia" w:ascii="仿宋" w:hAnsi="仿宋" w:eastAsia="仿宋" w:cs="仿宋"/>
                <w:color w:val="auto"/>
                <w:sz w:val="21"/>
                <w:szCs w:val="21"/>
                <w:highlight w:val="none"/>
                <w:lang w:eastAsia="zh-CN"/>
              </w:rPr>
              <w:t>公告</w:t>
            </w:r>
            <w:r>
              <w:rPr>
                <w:rFonts w:hint="eastAsia" w:ascii="仿宋" w:hAnsi="仿宋" w:eastAsia="仿宋" w:cs="仿宋"/>
                <w:color w:val="auto"/>
                <w:sz w:val="21"/>
                <w:szCs w:val="21"/>
                <w:highlight w:val="none"/>
                <w:lang w:val="en-US" w:eastAsia="zh-CN"/>
              </w:rPr>
              <w:t>期限</w:t>
            </w:r>
            <w:r>
              <w:rPr>
                <w:rFonts w:hint="eastAsia" w:ascii="仿宋" w:hAnsi="仿宋" w:eastAsia="仿宋" w:cs="仿宋"/>
                <w:color w:val="auto"/>
                <w:kern w:val="2"/>
                <w:sz w:val="21"/>
                <w:szCs w:val="21"/>
                <w:highlight w:val="none"/>
                <w:lang w:val="en-US" w:eastAsia="zh-CN" w:bidi="ar-SA"/>
              </w:rPr>
              <w:t>为1个工作日。</w:t>
            </w:r>
          </w:p>
        </w:tc>
      </w:tr>
      <w:tr w14:paraId="0996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54" w:hRule="atLeast"/>
          <w:jc w:val="center"/>
        </w:trPr>
        <w:tc>
          <w:tcPr>
            <w:tcW w:w="700" w:type="dxa"/>
            <w:tcBorders>
              <w:tl2br w:val="nil"/>
              <w:tr2bl w:val="nil"/>
            </w:tcBorders>
            <w:vAlign w:val="center"/>
          </w:tcPr>
          <w:p w14:paraId="2C8CE987">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23</w:t>
            </w:r>
          </w:p>
        </w:tc>
        <w:tc>
          <w:tcPr>
            <w:tcW w:w="1748" w:type="dxa"/>
            <w:tcBorders>
              <w:tl2br w:val="nil"/>
              <w:tr2bl w:val="nil"/>
            </w:tcBorders>
            <w:vAlign w:val="center"/>
          </w:tcPr>
          <w:p w14:paraId="52ECF136">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代理服务费</w:t>
            </w:r>
          </w:p>
        </w:tc>
        <w:tc>
          <w:tcPr>
            <w:tcW w:w="7181" w:type="dxa"/>
            <w:tcBorders>
              <w:tl2br w:val="nil"/>
              <w:tr2bl w:val="nil"/>
            </w:tcBorders>
            <w:vAlign w:val="center"/>
          </w:tcPr>
          <w:p w14:paraId="28751B64">
            <w:pPr>
              <w:keepNext w:val="0"/>
              <w:keepLines w:val="0"/>
              <w:pageBreakBefore w:val="0"/>
              <w:widowControl w:val="0"/>
              <w:kinsoku/>
              <w:wordWrap w:val="0"/>
              <w:overflowPunct/>
              <w:topLinePunct w:val="0"/>
              <w:autoSpaceDE w:val="0"/>
              <w:autoSpaceDN w:val="0"/>
              <w:bidi w:val="0"/>
              <w:adjustRightInd/>
              <w:snapToGrid/>
              <w:spacing w:line="360" w:lineRule="exact"/>
              <w:ind w:left="0" w:leftChars="0" w:firstLine="0" w:firstLineChars="0"/>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本项目服务费按照差额定律累进计费方式计算，标准如下：</w:t>
            </w:r>
          </w:p>
          <w:p w14:paraId="3C64E1A8">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中标金额100万元以下的部分,货物类费率1.50%,服务类费率1.50%；</w:t>
            </w:r>
          </w:p>
          <w:p w14:paraId="279ADDF6">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中标金额100万元至500万元的部分,货物类费率1.10%,服务类费率0.80%；</w:t>
            </w:r>
          </w:p>
          <w:p w14:paraId="4547252F">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中标金额500万元至1000万元的部分,货物类采购费率0.80%,服务类采购费率0.45%；</w:t>
            </w:r>
          </w:p>
          <w:p w14:paraId="46FED161">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注：本项目属于货物类采购项目，代理服务费由中标方在领取中标通知书时一次性足额支付。</w:t>
            </w:r>
          </w:p>
        </w:tc>
      </w:tr>
      <w:tr w14:paraId="564B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050" w:hRule="atLeast"/>
          <w:jc w:val="center"/>
        </w:trPr>
        <w:tc>
          <w:tcPr>
            <w:tcW w:w="700" w:type="dxa"/>
            <w:tcBorders>
              <w:tl2br w:val="nil"/>
              <w:tr2bl w:val="nil"/>
            </w:tcBorders>
            <w:vAlign w:val="center"/>
          </w:tcPr>
          <w:p w14:paraId="68940481">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24</w:t>
            </w:r>
          </w:p>
        </w:tc>
        <w:tc>
          <w:tcPr>
            <w:tcW w:w="1748" w:type="dxa"/>
            <w:tcBorders>
              <w:tl2br w:val="nil"/>
              <w:tr2bl w:val="nil"/>
            </w:tcBorders>
            <w:vAlign w:val="center"/>
          </w:tcPr>
          <w:p w14:paraId="6A2244D4">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特别提示</w:t>
            </w:r>
          </w:p>
        </w:tc>
        <w:tc>
          <w:tcPr>
            <w:tcW w:w="7181" w:type="dxa"/>
            <w:tcBorders>
              <w:tl2br w:val="nil"/>
              <w:tr2bl w:val="nil"/>
            </w:tcBorders>
            <w:vAlign w:val="center"/>
          </w:tcPr>
          <w:p w14:paraId="13443C54">
            <w:pPr>
              <w:keepNext w:val="0"/>
              <w:keepLines w:val="0"/>
              <w:pageBreakBefore w:val="0"/>
              <w:widowControl w:val="0"/>
              <w:kinsoku/>
              <w:wordWrap w:val="0"/>
              <w:overflowPunct/>
              <w:topLinePunct w:val="0"/>
              <w:autoSpaceDE/>
              <w:autoSpaceDN/>
              <w:bidi w:val="0"/>
              <w:adjustRightInd/>
              <w:snapToGrid/>
              <w:spacing w:line="360" w:lineRule="exac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投标人的</w:t>
            </w:r>
            <w:r>
              <w:rPr>
                <w:rFonts w:hint="eastAsia" w:ascii="仿宋" w:hAnsi="仿宋" w:eastAsia="仿宋" w:cs="仿宋"/>
                <w:color w:val="auto"/>
                <w:sz w:val="21"/>
                <w:szCs w:val="21"/>
                <w:highlight w:val="none"/>
                <w:lang w:val="en-US" w:eastAsia="zh-CN"/>
              </w:rPr>
              <w:t>投标单价及投标总</w:t>
            </w:r>
            <w:r>
              <w:rPr>
                <w:rFonts w:hint="eastAsia" w:ascii="仿宋" w:hAnsi="仿宋" w:eastAsia="仿宋" w:cs="仿宋"/>
                <w:color w:val="auto"/>
                <w:sz w:val="21"/>
                <w:szCs w:val="21"/>
                <w:highlight w:val="none"/>
              </w:rPr>
              <w:t>报价</w:t>
            </w:r>
            <w:r>
              <w:rPr>
                <w:rFonts w:hint="eastAsia" w:ascii="仿宋" w:hAnsi="仿宋" w:eastAsia="仿宋" w:cs="仿宋"/>
                <w:color w:val="auto"/>
                <w:sz w:val="21"/>
                <w:szCs w:val="21"/>
                <w:highlight w:val="none"/>
                <w:lang w:val="en-US" w:eastAsia="zh-CN"/>
              </w:rPr>
              <w:t>均不得</w:t>
            </w:r>
            <w:r>
              <w:rPr>
                <w:rFonts w:hint="eastAsia" w:ascii="仿宋" w:hAnsi="仿宋" w:eastAsia="仿宋" w:cs="仿宋"/>
                <w:color w:val="auto"/>
                <w:sz w:val="21"/>
                <w:szCs w:val="21"/>
                <w:highlight w:val="none"/>
              </w:rPr>
              <w:t>高于采购预算</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最高限价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否则</w:t>
            </w:r>
            <w:r>
              <w:rPr>
                <w:rFonts w:hint="eastAsia" w:ascii="仿宋" w:hAnsi="仿宋" w:eastAsia="仿宋" w:cs="仿宋"/>
                <w:color w:val="auto"/>
                <w:sz w:val="21"/>
                <w:szCs w:val="21"/>
                <w:highlight w:val="none"/>
              </w:rPr>
              <w:t>视为无效报价（即作否决投标处理）。</w:t>
            </w:r>
          </w:p>
          <w:p w14:paraId="1A7B6A95">
            <w:pPr>
              <w:keepNext w:val="0"/>
              <w:keepLines w:val="0"/>
              <w:pageBreakBefore w:val="0"/>
              <w:widowControl w:val="0"/>
              <w:kinsoku/>
              <w:wordWrap w:val="0"/>
              <w:overflowPunct/>
              <w:topLinePunct w:val="0"/>
              <w:autoSpaceDE/>
              <w:autoSpaceDN/>
              <w:bidi w:val="0"/>
              <w:adjustRightInd/>
              <w:snapToGrid/>
              <w:spacing w:line="360" w:lineRule="exact"/>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2、请各投标单位认真阅读并充分响应招标文件要求，其中招标文件内容中加粗、加下划线、废标、无效、投标被否决等字样的条款，为采购的实质性要求和条件，着重提醒各投标人注意。因误读招标文件而造成的后果，采购人及代理机构概不负责</w:t>
            </w:r>
            <w:r>
              <w:rPr>
                <w:rFonts w:hint="eastAsia" w:ascii="仿宋" w:hAnsi="仿宋" w:eastAsia="仿宋" w:cs="仿宋"/>
                <w:b/>
                <w:bCs/>
                <w:color w:val="auto"/>
                <w:sz w:val="21"/>
                <w:szCs w:val="21"/>
                <w:highlight w:val="none"/>
              </w:rPr>
              <w:t>。</w:t>
            </w:r>
          </w:p>
          <w:p w14:paraId="59677D1E">
            <w:pPr>
              <w:keepNext w:val="0"/>
              <w:keepLines w:val="0"/>
              <w:pageBreakBefore w:val="0"/>
              <w:widowControl w:val="0"/>
              <w:kinsoku/>
              <w:wordWrap w:val="0"/>
              <w:overflowPunct/>
              <w:topLinePunct w:val="0"/>
              <w:autoSpaceDE/>
              <w:autoSpaceDN/>
              <w:bidi w:val="0"/>
              <w:adjustRightInd/>
              <w:snapToGrid/>
              <w:spacing w:line="360" w:lineRule="exact"/>
              <w:ind w:left="0" w:leftChars="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3、供应商未被列入中国政府采购网（http://www.ccgp.gov.cn）严重违法失信行为记录名单、“信用中国”网站（http://www.creditchina.gov.cn）失信被执行人、重大税收违法案件当事人名单（尚在处罚期内的），</w:t>
            </w:r>
            <w:r>
              <w:rPr>
                <w:rFonts w:hint="eastAsia" w:ascii="仿宋" w:hAnsi="仿宋" w:eastAsia="仿宋" w:cs="仿宋"/>
                <w:b/>
                <w:bCs/>
                <w:color w:val="auto"/>
                <w:sz w:val="21"/>
                <w:szCs w:val="21"/>
                <w:highlight w:val="none"/>
                <w:lang w:val="en-US" w:eastAsia="zh-CN"/>
              </w:rPr>
              <w:t>否则其投标无效（查询时间为采购公告发布之日起至投标截止时间止）</w:t>
            </w:r>
            <w:r>
              <w:rPr>
                <w:rFonts w:hint="eastAsia" w:ascii="仿宋" w:hAnsi="仿宋" w:eastAsia="仿宋" w:cs="仿宋"/>
                <w:color w:val="auto"/>
                <w:sz w:val="21"/>
                <w:szCs w:val="21"/>
                <w:highlight w:val="none"/>
                <w:lang w:val="en-US" w:eastAsia="zh-CN"/>
              </w:rPr>
              <w:t>。</w:t>
            </w:r>
          </w:p>
          <w:p w14:paraId="7C852B21">
            <w:pPr>
              <w:keepNext w:val="0"/>
              <w:keepLines w:val="0"/>
              <w:pageBreakBefore w:val="0"/>
              <w:widowControl w:val="0"/>
              <w:kinsoku/>
              <w:wordWrap w:val="0"/>
              <w:overflowPunct/>
              <w:topLinePunct w:val="0"/>
              <w:autoSpaceDE/>
              <w:autoSpaceDN/>
              <w:bidi w:val="0"/>
              <w:adjustRightInd/>
              <w:snapToGrid/>
              <w:spacing w:line="36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仿宋" w:hAnsi="仿宋" w:eastAsia="仿宋" w:cs="仿宋"/>
                <w:b/>
                <w:bCs/>
                <w:color w:val="auto"/>
                <w:sz w:val="21"/>
                <w:szCs w:val="21"/>
                <w:highlight w:val="none"/>
                <w:lang w:val="en-US" w:eastAsia="zh-CN"/>
              </w:rPr>
              <w:t>存在以上行为的供应商，其投标无效</w:t>
            </w:r>
            <w:r>
              <w:rPr>
                <w:rFonts w:hint="eastAsia" w:ascii="仿宋" w:hAnsi="仿宋" w:eastAsia="仿宋" w:cs="仿宋"/>
                <w:color w:val="auto"/>
                <w:sz w:val="21"/>
                <w:szCs w:val="21"/>
                <w:highlight w:val="none"/>
                <w:lang w:val="en-US" w:eastAsia="zh-CN"/>
              </w:rPr>
              <w:t>。</w:t>
            </w:r>
          </w:p>
          <w:p w14:paraId="29594C85">
            <w:pPr>
              <w:keepNext w:val="0"/>
              <w:keepLines w:val="0"/>
              <w:pageBreakBefore w:val="0"/>
              <w:widowControl w:val="0"/>
              <w:kinsoku/>
              <w:wordWrap w:val="0"/>
              <w:overflowPunct/>
              <w:topLinePunct w:val="0"/>
              <w:autoSpaceDE/>
              <w:autoSpaceDN/>
              <w:bidi w:val="0"/>
              <w:adjustRightInd/>
              <w:snapToGrid/>
              <w:spacing w:line="36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5、投标人应承担其编制投标响应文件与递交投标响应文件所涉及的一切费用，不论投标结果如何，采购方对上述费用不做任何补偿。</w:t>
            </w:r>
          </w:p>
          <w:p w14:paraId="00CC4A0F">
            <w:pPr>
              <w:keepNext w:val="0"/>
              <w:keepLines w:val="0"/>
              <w:pageBreakBefore w:val="0"/>
              <w:widowControl w:val="0"/>
              <w:kinsoku/>
              <w:wordWrap w:val="0"/>
              <w:overflowPunct/>
              <w:topLinePunct w:val="0"/>
              <w:autoSpaceDE/>
              <w:autoSpaceDN/>
              <w:bidi w:val="0"/>
              <w:adjustRightInd/>
              <w:snapToGrid/>
              <w:spacing w:line="360" w:lineRule="exact"/>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6、</w:t>
            </w:r>
            <w:r>
              <w:rPr>
                <w:rFonts w:hint="eastAsia" w:ascii="仿宋" w:hAnsi="仿宋" w:eastAsia="仿宋" w:cs="仿宋"/>
                <w:b/>
                <w:bCs/>
                <w:color w:val="auto"/>
                <w:sz w:val="21"/>
                <w:szCs w:val="21"/>
                <w:highlight w:val="none"/>
              </w:rPr>
              <w:t>为保证本项目产品质量及良好的服务，最低报价不作为中标的</w:t>
            </w:r>
            <w:r>
              <w:rPr>
                <w:rFonts w:hint="eastAsia" w:ascii="仿宋" w:hAnsi="仿宋" w:eastAsia="仿宋" w:cs="仿宋"/>
                <w:b/>
                <w:bCs/>
                <w:color w:val="auto"/>
                <w:sz w:val="21"/>
                <w:szCs w:val="21"/>
                <w:highlight w:val="none"/>
                <w:lang w:val="en-US" w:eastAsia="zh-CN"/>
              </w:rPr>
              <w:t>保证</w:t>
            </w:r>
            <w:r>
              <w:rPr>
                <w:rFonts w:hint="eastAsia" w:ascii="仿宋" w:hAnsi="仿宋" w:eastAsia="仿宋" w:cs="仿宋"/>
                <w:b/>
                <w:bCs/>
                <w:color w:val="auto"/>
                <w:sz w:val="21"/>
                <w:szCs w:val="21"/>
                <w:highlight w:val="none"/>
              </w:rPr>
              <w:t>。</w:t>
            </w:r>
          </w:p>
          <w:p w14:paraId="2F9188FB">
            <w:pPr>
              <w:keepNext w:val="0"/>
              <w:keepLines w:val="0"/>
              <w:pageBreakBefore w:val="0"/>
              <w:widowControl w:val="0"/>
              <w:kinsoku/>
              <w:wordWrap w:val="0"/>
              <w:overflowPunct/>
              <w:topLinePunct w:val="0"/>
              <w:autoSpaceDE/>
              <w:autoSpaceDN/>
              <w:bidi w:val="0"/>
              <w:adjustRightInd/>
              <w:snapToGrid/>
              <w:spacing w:line="360" w:lineRule="exact"/>
              <w:textAlignment w:val="auto"/>
              <w:outlineLvl w:val="9"/>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bCs/>
                <w:color w:val="auto"/>
                <w:sz w:val="21"/>
                <w:szCs w:val="21"/>
                <w:highlight w:val="none"/>
                <w:lang w:val="en-US" w:eastAsia="zh-CN"/>
              </w:rPr>
              <w:t>7、本项目所属行业：</w:t>
            </w:r>
            <w:r>
              <w:rPr>
                <w:rFonts w:hint="eastAsia" w:ascii="仿宋" w:hAnsi="仿宋" w:eastAsia="仿宋" w:cs="仿宋"/>
                <w:b/>
                <w:bCs/>
                <w:color w:val="auto"/>
                <w:sz w:val="21"/>
                <w:szCs w:val="21"/>
                <w:highlight w:val="none"/>
                <w:u w:val="single"/>
                <w:lang w:val="en-US" w:eastAsia="zh-CN"/>
              </w:rPr>
              <w:t>工业（制造业）</w:t>
            </w:r>
            <w:r>
              <w:rPr>
                <w:rFonts w:hint="eastAsia" w:ascii="仿宋" w:hAnsi="仿宋" w:eastAsia="仿宋" w:cs="仿宋"/>
                <w:b/>
                <w:bCs/>
                <w:color w:val="auto"/>
                <w:sz w:val="21"/>
                <w:szCs w:val="21"/>
                <w:highlight w:val="none"/>
                <w:u w:val="none"/>
                <w:lang w:val="en-US" w:eastAsia="zh-CN"/>
              </w:rPr>
              <w:t>。</w:t>
            </w:r>
            <w:r>
              <w:rPr>
                <w:rFonts w:hint="eastAsia" w:ascii="仿宋" w:hAnsi="仿宋" w:eastAsia="仿宋" w:cs="仿宋"/>
                <w:b w:val="0"/>
                <w:bCs w:val="0"/>
                <w:color w:val="auto"/>
                <w:sz w:val="21"/>
                <w:szCs w:val="21"/>
                <w:highlight w:val="none"/>
                <w:u w:val="none"/>
                <w:lang w:val="en-US" w:eastAsia="zh-CN"/>
              </w:rPr>
              <w:t>行业划分标准按《国民经济行业分类》执行。中小企业划分标准按《中小企业划型标准规定》（工信部联企业[2011]300号）文件规定执行。</w:t>
            </w:r>
          </w:p>
          <w:p w14:paraId="267208A8">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bCs/>
                <w:color w:val="auto"/>
                <w:sz w:val="21"/>
                <w:szCs w:val="21"/>
                <w:highlight w:val="none"/>
                <w:u w:val="single"/>
                <w:lang w:val="en-US" w:eastAsia="zh-CN"/>
              </w:rPr>
              <w:t>工业（制造业）</w:t>
            </w:r>
            <w:r>
              <w:rPr>
                <w:rFonts w:hint="eastAsia" w:ascii="仿宋" w:hAnsi="仿宋" w:eastAsia="仿宋" w:cs="仿宋"/>
                <w:b/>
                <w:bCs/>
                <w:color w:val="auto"/>
                <w:sz w:val="21"/>
                <w:szCs w:val="21"/>
                <w:highlight w:val="none"/>
                <w:u w:val="none"/>
                <w:lang w:val="en-US" w:eastAsia="zh-CN"/>
              </w:rPr>
              <w:t>中小企业划型标准：</w:t>
            </w:r>
            <w:r>
              <w:rPr>
                <w:rFonts w:hint="eastAsia" w:ascii="仿宋" w:hAnsi="仿宋" w:eastAsia="仿宋" w:cs="仿宋"/>
                <w:b w:val="0"/>
                <w:bCs w:val="0"/>
                <w:color w:val="auto"/>
                <w:sz w:val="21"/>
                <w:szCs w:val="21"/>
                <w:highlight w:val="none"/>
                <w:u w:val="none"/>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82F1293">
            <w:pPr>
              <w:pStyle w:val="25"/>
              <w:keepNext w:val="0"/>
              <w:keepLines w:val="0"/>
              <w:pageBreakBefore w:val="0"/>
              <w:widowControl w:val="0"/>
              <w:numPr>
                <w:ilvl w:val="0"/>
                <w:numId w:val="3"/>
              </w:numPr>
              <w:kinsoku/>
              <w:overflowPunct/>
              <w:topLinePunct w:val="0"/>
              <w:bidi w:val="0"/>
              <w:adjustRightInd/>
              <w:snapToGrid/>
              <w:spacing w:after="0" w:line="360" w:lineRule="exact"/>
              <w:ind w:left="0" w:leftChars="0" w:firstLine="0" w:firstLineChars="0"/>
              <w:textAlignment w:val="auto"/>
              <w:rPr>
                <w:rFonts w:hint="eastAsia" w:ascii="仿宋" w:hAnsi="仿宋" w:eastAsia="仿宋" w:cs="仿宋"/>
                <w:b w:val="0"/>
                <w:bCs w:val="0"/>
                <w:color w:val="auto"/>
                <w:kern w:val="2"/>
                <w:sz w:val="21"/>
                <w:szCs w:val="21"/>
                <w:highlight w:val="none"/>
                <w:u w:val="none"/>
                <w:lang w:val="en-US" w:eastAsia="zh-CN" w:bidi="ar-SA"/>
              </w:rPr>
            </w:pPr>
            <w:r>
              <w:rPr>
                <w:rFonts w:hint="eastAsia" w:ascii="仿宋" w:hAnsi="仿宋" w:eastAsia="仿宋" w:cs="仿宋"/>
                <w:b/>
                <w:bCs/>
                <w:color w:val="auto"/>
                <w:kern w:val="2"/>
                <w:sz w:val="21"/>
                <w:szCs w:val="21"/>
                <w:highlight w:val="none"/>
                <w:u w:val="none"/>
                <w:lang w:val="en-US" w:eastAsia="zh-CN" w:bidi="ar-SA"/>
              </w:rPr>
              <w:t>本项目为专门专门面向中小企业（含中型、小型、微型企业）采购项目。</w:t>
            </w:r>
            <w:r>
              <w:rPr>
                <w:rFonts w:hint="eastAsia" w:ascii="仿宋" w:hAnsi="仿宋" w:eastAsia="仿宋" w:cs="仿宋"/>
                <w:b w:val="0"/>
                <w:bCs w:val="0"/>
                <w:color w:val="auto"/>
                <w:kern w:val="2"/>
                <w:sz w:val="21"/>
                <w:szCs w:val="21"/>
                <w:highlight w:val="none"/>
                <w:u w:val="none"/>
                <w:lang w:val="en-US" w:eastAsia="zh-CN" w:bidi="ar-SA"/>
              </w:rPr>
              <w:t>（1）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p w14:paraId="0C03D0B9">
            <w:pPr>
              <w:pStyle w:val="25"/>
              <w:keepNext w:val="0"/>
              <w:keepLines w:val="0"/>
              <w:pageBreakBefore w:val="0"/>
              <w:widowControl w:val="0"/>
              <w:numPr>
                <w:ilvl w:val="0"/>
                <w:numId w:val="0"/>
              </w:numPr>
              <w:kinsoku/>
              <w:overflowPunct/>
              <w:topLinePunct w:val="0"/>
              <w:bidi w:val="0"/>
              <w:adjustRightInd/>
              <w:snapToGrid/>
              <w:spacing w:after="0" w:line="360" w:lineRule="exact"/>
              <w:textAlignment w:val="auto"/>
              <w:rPr>
                <w:rFonts w:hint="default" w:ascii="仿宋" w:hAnsi="仿宋" w:eastAsia="仿宋" w:cs="仿宋"/>
                <w:b w:val="0"/>
                <w:bCs w:val="0"/>
                <w:color w:val="auto"/>
                <w:kern w:val="2"/>
                <w:sz w:val="21"/>
                <w:szCs w:val="21"/>
                <w:highlight w:val="none"/>
                <w:u w:val="none"/>
                <w:lang w:val="en-US" w:eastAsia="zh-CN" w:bidi="ar-SA"/>
              </w:rPr>
            </w:pPr>
            <w:r>
              <w:rPr>
                <w:rFonts w:hint="default" w:ascii="仿宋" w:hAnsi="仿宋" w:eastAsia="仿宋" w:cs="仿宋"/>
                <w:b w:val="0"/>
                <w:bCs w:val="0"/>
                <w:color w:val="auto"/>
                <w:kern w:val="2"/>
                <w:sz w:val="21"/>
                <w:szCs w:val="21"/>
                <w:lang w:val="en-US" w:eastAsia="zh-CN" w:bidi="ar-SA"/>
              </w:rPr>
              <w:t>（2）</w:t>
            </w:r>
            <w:r>
              <w:rPr>
                <w:rFonts w:hint="default" w:ascii="仿宋" w:hAnsi="仿宋" w:eastAsia="仿宋" w:cs="仿宋"/>
                <w:b w:val="0"/>
                <w:bCs w:val="0"/>
                <w:color w:val="auto"/>
                <w:kern w:val="2"/>
                <w:sz w:val="21"/>
                <w:szCs w:val="21"/>
                <w:highlight w:val="none"/>
                <w:u w:val="none"/>
                <w:lang w:val="en-US" w:eastAsia="zh-CN" w:bidi="ar-SA"/>
              </w:rPr>
              <w:t>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767C1FDF">
            <w:pPr>
              <w:pStyle w:val="25"/>
              <w:keepNext w:val="0"/>
              <w:keepLines w:val="0"/>
              <w:pageBreakBefore w:val="0"/>
              <w:widowControl w:val="0"/>
              <w:numPr>
                <w:ilvl w:val="0"/>
                <w:numId w:val="0"/>
              </w:numPr>
              <w:kinsoku/>
              <w:overflowPunct/>
              <w:topLinePunct w:val="0"/>
              <w:bidi w:val="0"/>
              <w:adjustRightInd/>
              <w:snapToGrid/>
              <w:spacing w:after="0" w:line="360" w:lineRule="exact"/>
              <w:textAlignment w:val="auto"/>
              <w:rPr>
                <w:rFonts w:hint="default" w:ascii="仿宋" w:hAnsi="仿宋" w:eastAsia="仿宋" w:cs="仿宋"/>
                <w:b/>
                <w:bCs/>
                <w:color w:val="auto"/>
                <w:kern w:val="2"/>
                <w:sz w:val="21"/>
                <w:szCs w:val="21"/>
                <w:highlight w:val="none"/>
                <w:u w:val="none"/>
                <w:lang w:val="en-US" w:eastAsia="zh-CN" w:bidi="ar-SA"/>
              </w:rPr>
            </w:pPr>
            <w:r>
              <w:rPr>
                <w:rFonts w:hint="default" w:ascii="仿宋" w:hAnsi="仿宋" w:eastAsia="仿宋" w:cs="仿宋"/>
                <w:b w:val="0"/>
                <w:bCs w:val="0"/>
                <w:color w:val="auto"/>
                <w:kern w:val="2"/>
                <w:sz w:val="21"/>
                <w:szCs w:val="21"/>
                <w:highlight w:val="none"/>
                <w:u w:val="none"/>
                <w:lang w:val="en-US" w:eastAsia="zh-CN" w:bidi="ar-SA"/>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3B9E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54" w:hRule="atLeast"/>
          <w:jc w:val="center"/>
        </w:trPr>
        <w:tc>
          <w:tcPr>
            <w:tcW w:w="700" w:type="dxa"/>
            <w:tcBorders>
              <w:tl2br w:val="nil"/>
              <w:tr2bl w:val="nil"/>
            </w:tcBorders>
            <w:vAlign w:val="center"/>
          </w:tcPr>
          <w:p w14:paraId="72E49A7E">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25</w:t>
            </w:r>
          </w:p>
        </w:tc>
        <w:tc>
          <w:tcPr>
            <w:tcW w:w="1748" w:type="dxa"/>
            <w:tcBorders>
              <w:tl2br w:val="nil"/>
              <w:tr2bl w:val="nil"/>
            </w:tcBorders>
            <w:vAlign w:val="center"/>
          </w:tcPr>
          <w:p w14:paraId="7ED751D9">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其他要求</w:t>
            </w:r>
          </w:p>
        </w:tc>
        <w:tc>
          <w:tcPr>
            <w:tcW w:w="7181" w:type="dxa"/>
            <w:tcBorders>
              <w:tl2br w:val="nil"/>
              <w:tr2bl w:val="nil"/>
            </w:tcBorders>
            <w:vAlign w:val="center"/>
          </w:tcPr>
          <w:p w14:paraId="1C6B74E9">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采购人因此支出的律师费、诉讼费、交通费、差旅费等相关涉诉费用，及其他由人民法院或仲裁机构裁决由采购方承担的责任，均由</w:t>
            </w:r>
            <w:r>
              <w:rPr>
                <w:rFonts w:hint="eastAsia" w:ascii="仿宋" w:hAnsi="仿宋" w:eastAsia="仿宋" w:cs="仿宋"/>
                <w:color w:val="auto"/>
                <w:sz w:val="21"/>
                <w:szCs w:val="21"/>
                <w:highlight w:val="none"/>
                <w:lang w:val="en-US" w:eastAsia="zh-CN"/>
              </w:rPr>
              <w:t>中标</w:t>
            </w:r>
            <w:r>
              <w:rPr>
                <w:rFonts w:hint="eastAsia" w:ascii="仿宋" w:hAnsi="仿宋" w:eastAsia="仿宋" w:cs="仿宋"/>
                <w:color w:val="auto"/>
                <w:sz w:val="21"/>
                <w:szCs w:val="21"/>
                <w:highlight w:val="none"/>
              </w:rPr>
              <w:t>方承担，同时</w:t>
            </w:r>
            <w:r>
              <w:rPr>
                <w:rFonts w:hint="eastAsia" w:ascii="仿宋" w:hAnsi="仿宋" w:eastAsia="仿宋" w:cs="仿宋"/>
                <w:color w:val="auto"/>
                <w:sz w:val="21"/>
                <w:szCs w:val="21"/>
                <w:highlight w:val="none"/>
                <w:lang w:val="en-US" w:eastAsia="zh-CN"/>
              </w:rPr>
              <w:t>中标方</w:t>
            </w:r>
            <w:r>
              <w:rPr>
                <w:rFonts w:hint="eastAsia" w:ascii="仿宋" w:hAnsi="仿宋" w:eastAsia="仿宋" w:cs="仿宋"/>
                <w:color w:val="auto"/>
                <w:sz w:val="21"/>
                <w:szCs w:val="21"/>
                <w:highlight w:val="none"/>
              </w:rPr>
              <w:t>不得耽误本项目供货</w:t>
            </w:r>
            <w:r>
              <w:rPr>
                <w:rFonts w:hint="eastAsia" w:ascii="仿宋" w:hAnsi="仿宋" w:eastAsia="仿宋" w:cs="仿宋"/>
                <w:color w:val="auto"/>
                <w:sz w:val="21"/>
                <w:szCs w:val="21"/>
                <w:highlight w:val="none"/>
                <w:lang w:eastAsia="zh-CN"/>
              </w:rPr>
              <w:t>。</w:t>
            </w:r>
          </w:p>
        </w:tc>
      </w:tr>
      <w:tr w14:paraId="5B69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54" w:hRule="atLeast"/>
          <w:jc w:val="center"/>
        </w:trPr>
        <w:tc>
          <w:tcPr>
            <w:tcW w:w="700" w:type="dxa"/>
            <w:tcBorders>
              <w:tl2br w:val="nil"/>
              <w:tr2bl w:val="nil"/>
            </w:tcBorders>
            <w:vAlign w:val="center"/>
          </w:tcPr>
          <w:p w14:paraId="5483254F">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26</w:t>
            </w:r>
          </w:p>
        </w:tc>
        <w:tc>
          <w:tcPr>
            <w:tcW w:w="1748" w:type="dxa"/>
            <w:tcBorders>
              <w:tl2br w:val="nil"/>
              <w:tr2bl w:val="nil"/>
            </w:tcBorders>
            <w:vAlign w:val="center"/>
          </w:tcPr>
          <w:p w14:paraId="3FDC1881">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未尽事项</w:t>
            </w:r>
          </w:p>
        </w:tc>
        <w:tc>
          <w:tcPr>
            <w:tcW w:w="7181" w:type="dxa"/>
            <w:tcBorders>
              <w:tl2br w:val="nil"/>
              <w:tr2bl w:val="nil"/>
            </w:tcBorders>
            <w:vAlign w:val="center"/>
          </w:tcPr>
          <w:p w14:paraId="71E849D5">
            <w:pPr>
              <w:keepNext w:val="0"/>
              <w:keepLines w:val="0"/>
              <w:pageBreakBefore w:val="0"/>
              <w:widowControl w:val="0"/>
              <w:kinsoku/>
              <w:wordWrap w:val="0"/>
              <w:overflowPunct/>
              <w:topLinePunct w:val="0"/>
              <w:autoSpaceDE w:val="0"/>
              <w:autoSpaceDN w:val="0"/>
              <w:bidi w:val="0"/>
              <w:adjustRightInd/>
              <w:snapToGrid/>
              <w:spacing w:line="360" w:lineRule="exact"/>
              <w:ind w:firstLine="0" w:firstLineChars="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采购</w:t>
            </w:r>
            <w:r>
              <w:rPr>
                <w:rFonts w:hint="eastAsia" w:ascii="仿宋" w:hAnsi="仿宋" w:eastAsia="仿宋" w:cs="仿宋"/>
                <w:color w:val="auto"/>
                <w:sz w:val="21"/>
                <w:szCs w:val="21"/>
                <w:highlight w:val="none"/>
                <w:lang w:val="en-US" w:eastAsia="zh-CN"/>
              </w:rPr>
              <w:t>人</w:t>
            </w:r>
            <w:r>
              <w:rPr>
                <w:rFonts w:hint="eastAsia" w:ascii="仿宋" w:hAnsi="仿宋" w:eastAsia="仿宋" w:cs="仿宋"/>
                <w:color w:val="auto"/>
                <w:sz w:val="21"/>
                <w:szCs w:val="21"/>
                <w:highlight w:val="none"/>
              </w:rPr>
              <w:t>与中标</w:t>
            </w:r>
            <w:r>
              <w:rPr>
                <w:rFonts w:hint="eastAsia" w:ascii="仿宋" w:hAnsi="仿宋" w:eastAsia="仿宋" w:cs="仿宋"/>
                <w:color w:val="auto"/>
                <w:sz w:val="21"/>
                <w:szCs w:val="21"/>
                <w:highlight w:val="none"/>
                <w:lang w:val="en-US" w:eastAsia="zh-CN"/>
              </w:rPr>
              <w:t>人</w:t>
            </w:r>
            <w:r>
              <w:rPr>
                <w:rFonts w:hint="eastAsia" w:ascii="仿宋" w:hAnsi="仿宋" w:eastAsia="仿宋" w:cs="仿宋"/>
                <w:color w:val="auto"/>
                <w:sz w:val="21"/>
                <w:szCs w:val="21"/>
                <w:highlight w:val="none"/>
              </w:rPr>
              <w:t>协商事项，具体在合同中约定</w:t>
            </w:r>
            <w:r>
              <w:rPr>
                <w:rFonts w:hint="eastAsia" w:ascii="仿宋" w:hAnsi="仿宋" w:eastAsia="仿宋" w:cs="仿宋"/>
                <w:color w:val="auto"/>
                <w:sz w:val="21"/>
                <w:szCs w:val="21"/>
                <w:highlight w:val="none"/>
                <w:lang w:eastAsia="zh-CN"/>
              </w:rPr>
              <w:t>。</w:t>
            </w:r>
          </w:p>
        </w:tc>
      </w:tr>
    </w:tbl>
    <w:p w14:paraId="6D83001E">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如有矛盾，以本表为准。</w:t>
      </w:r>
    </w:p>
    <w:p w14:paraId="1AEA24D8">
      <w:pPr>
        <w:jc w:val="center"/>
        <w:outlineLvl w:val="9"/>
        <w:rPr>
          <w:rFonts w:hint="eastAsia" w:ascii="仿宋" w:hAnsi="仿宋" w:eastAsia="仿宋" w:cs="仿宋"/>
          <w:b/>
          <w:color w:val="auto"/>
          <w:sz w:val="36"/>
          <w:szCs w:val="36"/>
          <w:highlight w:val="none"/>
        </w:rPr>
      </w:pPr>
    </w:p>
    <w:p w14:paraId="70CCDEED">
      <w:pPr>
        <w:jc w:val="both"/>
        <w:outlineLvl w:val="9"/>
        <w:rPr>
          <w:rFonts w:hint="eastAsia" w:ascii="仿宋" w:hAnsi="仿宋" w:eastAsia="仿宋" w:cs="仿宋"/>
          <w:b/>
          <w:color w:val="auto"/>
          <w:sz w:val="36"/>
          <w:szCs w:val="36"/>
          <w:highlight w:val="none"/>
        </w:rPr>
      </w:pPr>
    </w:p>
    <w:p w14:paraId="13085474">
      <w:pPr>
        <w:jc w:val="both"/>
        <w:outlineLvl w:val="9"/>
        <w:rPr>
          <w:rFonts w:hint="eastAsia" w:ascii="仿宋" w:hAnsi="仿宋" w:eastAsia="仿宋" w:cs="仿宋"/>
          <w:b/>
          <w:color w:val="auto"/>
          <w:sz w:val="36"/>
          <w:szCs w:val="36"/>
          <w:highlight w:val="none"/>
        </w:rPr>
      </w:pPr>
    </w:p>
    <w:p w14:paraId="71973B08">
      <w:pPr>
        <w:jc w:val="both"/>
        <w:outlineLvl w:val="9"/>
        <w:rPr>
          <w:rFonts w:hint="eastAsia" w:ascii="仿宋" w:hAnsi="仿宋" w:eastAsia="仿宋" w:cs="仿宋"/>
          <w:b/>
          <w:color w:val="auto"/>
          <w:sz w:val="36"/>
          <w:szCs w:val="36"/>
          <w:highlight w:val="none"/>
        </w:rPr>
      </w:pPr>
    </w:p>
    <w:p w14:paraId="13595844">
      <w:pPr>
        <w:jc w:val="both"/>
        <w:outlineLvl w:val="9"/>
        <w:rPr>
          <w:rFonts w:hint="eastAsia" w:ascii="仿宋" w:hAnsi="仿宋" w:eastAsia="仿宋" w:cs="仿宋"/>
          <w:b/>
          <w:color w:val="auto"/>
          <w:sz w:val="36"/>
          <w:szCs w:val="36"/>
          <w:highlight w:val="none"/>
        </w:rPr>
      </w:pPr>
    </w:p>
    <w:p w14:paraId="71E51388">
      <w:pPr>
        <w:jc w:val="both"/>
        <w:outlineLvl w:val="9"/>
        <w:rPr>
          <w:rFonts w:hint="eastAsia" w:ascii="仿宋" w:hAnsi="仿宋" w:eastAsia="仿宋" w:cs="仿宋"/>
          <w:b/>
          <w:color w:val="auto"/>
          <w:sz w:val="36"/>
          <w:szCs w:val="36"/>
          <w:highlight w:val="none"/>
        </w:rPr>
      </w:pPr>
    </w:p>
    <w:p w14:paraId="45852FD7">
      <w:pPr>
        <w:jc w:val="both"/>
        <w:outlineLvl w:val="9"/>
        <w:rPr>
          <w:rFonts w:hint="eastAsia" w:ascii="仿宋" w:hAnsi="仿宋" w:eastAsia="仿宋" w:cs="仿宋"/>
          <w:b/>
          <w:color w:val="auto"/>
          <w:sz w:val="36"/>
          <w:szCs w:val="36"/>
          <w:highlight w:val="none"/>
        </w:rPr>
      </w:pPr>
    </w:p>
    <w:p w14:paraId="35ADD15C">
      <w:pPr>
        <w:jc w:val="both"/>
        <w:outlineLvl w:val="9"/>
        <w:rPr>
          <w:rFonts w:hint="eastAsia" w:ascii="仿宋" w:hAnsi="仿宋" w:eastAsia="仿宋" w:cs="仿宋"/>
          <w:b/>
          <w:color w:val="auto"/>
          <w:sz w:val="36"/>
          <w:szCs w:val="36"/>
          <w:highlight w:val="none"/>
        </w:rPr>
      </w:pPr>
    </w:p>
    <w:p w14:paraId="56596086">
      <w:pPr>
        <w:jc w:val="both"/>
        <w:outlineLvl w:val="9"/>
        <w:rPr>
          <w:rFonts w:hint="eastAsia" w:ascii="仿宋" w:hAnsi="仿宋" w:eastAsia="仿宋" w:cs="仿宋"/>
          <w:b/>
          <w:color w:val="auto"/>
          <w:sz w:val="36"/>
          <w:szCs w:val="36"/>
          <w:highlight w:val="none"/>
        </w:rPr>
      </w:pPr>
    </w:p>
    <w:p w14:paraId="68973A2A">
      <w:pPr>
        <w:pStyle w:val="25"/>
        <w:outlineLvl w:val="9"/>
        <w:rPr>
          <w:rFonts w:hint="eastAsia" w:ascii="仿宋" w:hAnsi="仿宋" w:eastAsia="仿宋" w:cs="仿宋"/>
          <w:b/>
          <w:color w:val="auto"/>
          <w:sz w:val="36"/>
          <w:szCs w:val="36"/>
          <w:highlight w:val="none"/>
        </w:rPr>
      </w:pPr>
    </w:p>
    <w:p w14:paraId="1D7D1FFE">
      <w:pPr>
        <w:jc w:val="both"/>
        <w:outlineLvl w:val="9"/>
        <w:rPr>
          <w:rFonts w:hint="eastAsia" w:ascii="仿宋" w:hAnsi="仿宋" w:eastAsia="仿宋" w:cs="仿宋"/>
          <w:b/>
          <w:color w:val="auto"/>
          <w:sz w:val="36"/>
          <w:szCs w:val="36"/>
          <w:highlight w:val="none"/>
        </w:rPr>
      </w:pPr>
    </w:p>
    <w:p w14:paraId="388EF75B">
      <w:pPr>
        <w:pStyle w:val="2"/>
        <w:bidi w:val="0"/>
        <w:rPr>
          <w:rFonts w:hint="eastAsia" w:ascii="仿宋" w:hAnsi="仿宋" w:eastAsia="仿宋" w:cs="仿宋"/>
          <w:b/>
          <w:color w:val="auto"/>
          <w:szCs w:val="30"/>
          <w:highlight w:val="none"/>
        </w:rPr>
      </w:pPr>
      <w:bookmarkStart w:id="11" w:name="_Toc28970"/>
      <w:r>
        <w:rPr>
          <w:rFonts w:hint="eastAsia"/>
        </w:rPr>
        <w:t>第二章</w:t>
      </w:r>
      <w:r>
        <w:rPr>
          <w:rFonts w:hint="eastAsia"/>
          <w:lang w:val="en-US" w:eastAsia="zh-CN"/>
        </w:rPr>
        <w:t xml:space="preserve"> </w:t>
      </w:r>
      <w:r>
        <w:rPr>
          <w:rFonts w:hint="eastAsia"/>
        </w:rPr>
        <w:t>投标人须知</w:t>
      </w:r>
      <w:bookmarkEnd w:id="11"/>
    </w:p>
    <w:p w14:paraId="16B61190">
      <w:pPr>
        <w:pStyle w:val="3"/>
        <w:numPr>
          <w:ilvl w:val="0"/>
          <w:numId w:val="0"/>
        </w:numPr>
        <w:tabs>
          <w:tab w:val="clear" w:pos="720"/>
        </w:tabs>
        <w:bidi w:val="0"/>
        <w:ind w:left="0" w:leftChars="0" w:firstLine="0" w:firstLineChars="0"/>
        <w:rPr>
          <w:rFonts w:hint="eastAsia"/>
        </w:rPr>
      </w:pPr>
      <w:bookmarkStart w:id="12" w:name="_Toc31122"/>
      <w:r>
        <w:rPr>
          <w:rFonts w:hint="eastAsia"/>
          <w:lang w:val="en-US" w:eastAsia="zh-CN"/>
        </w:rPr>
        <w:t>一、</w:t>
      </w:r>
      <w:r>
        <w:rPr>
          <w:rFonts w:hint="eastAsia"/>
          <w:lang w:eastAsia="zh-CN"/>
        </w:rPr>
        <w:t>总</w:t>
      </w:r>
      <w:r>
        <w:rPr>
          <w:rFonts w:hint="eastAsia"/>
          <w:lang w:val="en-US" w:eastAsia="zh-CN"/>
        </w:rPr>
        <w:t xml:space="preserve">  </w:t>
      </w:r>
      <w:r>
        <w:rPr>
          <w:rFonts w:hint="eastAsia"/>
          <w:lang w:eastAsia="zh-CN"/>
        </w:rPr>
        <w:t>则</w:t>
      </w:r>
      <w:bookmarkEnd w:id="12"/>
    </w:p>
    <w:p w14:paraId="546B3705">
      <w:pPr>
        <w:keepNext w:val="0"/>
        <w:keepLines w:val="0"/>
        <w:pageBreakBefore w:val="0"/>
        <w:widowControl w:val="0"/>
        <w:kinsoku/>
        <w:wordWrap/>
        <w:overflowPunct/>
        <w:topLinePunct w:val="0"/>
        <w:bidi w:val="0"/>
        <w:snapToGrid/>
        <w:spacing w:line="500" w:lineRule="exac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1、开标会的</w:t>
      </w:r>
      <w:r>
        <w:rPr>
          <w:rFonts w:hint="eastAsia" w:ascii="仿宋" w:hAnsi="仿宋" w:eastAsia="仿宋" w:cs="仿宋"/>
          <w:b/>
          <w:color w:val="auto"/>
          <w:sz w:val="24"/>
          <w:highlight w:val="none"/>
          <w:lang w:val="en-US" w:eastAsia="zh-CN"/>
        </w:rPr>
        <w:t>资格</w:t>
      </w:r>
      <w:r>
        <w:rPr>
          <w:rFonts w:hint="eastAsia" w:ascii="仿宋" w:hAnsi="仿宋" w:eastAsia="仿宋" w:cs="仿宋"/>
          <w:b/>
          <w:color w:val="auto"/>
          <w:sz w:val="24"/>
          <w:highlight w:val="none"/>
        </w:rPr>
        <w:t>要求、开标时间及地点</w:t>
      </w:r>
    </w:p>
    <w:p w14:paraId="1197174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 本项目开标的时间、地点已在</w:t>
      </w:r>
      <w:r>
        <w:rPr>
          <w:rFonts w:hint="eastAsia" w:ascii="仿宋" w:hAnsi="仿宋" w:eastAsia="仿宋" w:cs="仿宋"/>
          <w:color w:val="auto"/>
          <w:sz w:val="24"/>
          <w:highlight w:val="none"/>
          <w:lang w:eastAsia="zh-CN"/>
        </w:rPr>
        <w:t>供应商须知前附表</w:t>
      </w:r>
      <w:r>
        <w:rPr>
          <w:rFonts w:hint="eastAsia" w:ascii="仿宋" w:hAnsi="仿宋" w:eastAsia="仿宋" w:cs="仿宋"/>
          <w:color w:val="auto"/>
          <w:sz w:val="24"/>
          <w:highlight w:val="none"/>
        </w:rPr>
        <w:t>列清。</w:t>
      </w:r>
    </w:p>
    <w:p w14:paraId="49A1B0EA">
      <w:pPr>
        <w:pStyle w:val="53"/>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1.2 </w:t>
      </w:r>
      <w:r>
        <w:rPr>
          <w:rFonts w:hint="eastAsia" w:ascii="仿宋" w:hAnsi="仿宋" w:eastAsia="仿宋" w:cs="仿宋"/>
          <w:color w:val="auto"/>
          <w:sz w:val="24"/>
          <w:highlight w:val="none"/>
          <w:lang w:eastAsia="zh-CN"/>
        </w:rPr>
        <w:t>供应商应</w:t>
      </w:r>
      <w:r>
        <w:rPr>
          <w:rFonts w:hint="eastAsia" w:ascii="仿宋" w:hAnsi="仿宋" w:eastAsia="仿宋" w:cs="仿宋"/>
          <w:color w:val="auto"/>
          <w:sz w:val="24"/>
          <w:highlight w:val="none"/>
        </w:rPr>
        <w:t>派代表</w:t>
      </w:r>
      <w:r>
        <w:rPr>
          <w:rFonts w:hint="eastAsia" w:ascii="仿宋" w:hAnsi="仿宋" w:eastAsia="仿宋" w:cs="仿宋"/>
          <w:color w:val="auto"/>
          <w:sz w:val="24"/>
          <w:highlight w:val="none"/>
          <w:lang w:val="en-US" w:eastAsia="zh-CN"/>
        </w:rPr>
        <w:t>线上</w:t>
      </w:r>
      <w:r>
        <w:rPr>
          <w:rFonts w:hint="eastAsia" w:ascii="仿宋" w:hAnsi="仿宋" w:eastAsia="仿宋" w:cs="仿宋"/>
          <w:color w:val="auto"/>
          <w:sz w:val="24"/>
          <w:highlight w:val="none"/>
        </w:rPr>
        <w:t>参加开标会</w:t>
      </w:r>
      <w:r>
        <w:rPr>
          <w:rFonts w:hint="eastAsia" w:ascii="仿宋" w:hAnsi="仿宋" w:eastAsia="仿宋" w:cs="仿宋"/>
          <w:color w:val="auto"/>
          <w:sz w:val="24"/>
          <w:highlight w:val="none"/>
          <w:lang w:eastAsia="zh-CN"/>
        </w:rPr>
        <w:t>。</w:t>
      </w:r>
    </w:p>
    <w:p w14:paraId="6B8CC37D">
      <w:pPr>
        <w:pStyle w:val="53"/>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所有资格证明文件必须满足</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文件的要求，否则将拒绝其投标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本次投标供应商具体资格要求如下：</w:t>
      </w:r>
    </w:p>
    <w:p w14:paraId="1142048C">
      <w:pPr>
        <w:pStyle w:val="53"/>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1.3.1 供应商应当符合</w:t>
      </w:r>
      <w:r>
        <w:rPr>
          <w:rFonts w:hint="eastAsia" w:ascii="仿宋" w:hAnsi="仿宋" w:eastAsia="仿宋" w:cs="仿宋"/>
          <w:b/>
          <w:bCs/>
          <w:color w:val="auto"/>
          <w:sz w:val="24"/>
          <w:highlight w:val="none"/>
          <w:lang w:val="en-US" w:eastAsia="zh-CN"/>
        </w:rPr>
        <w:t>供应商须知前附表</w:t>
      </w:r>
      <w:r>
        <w:rPr>
          <w:rFonts w:hint="eastAsia" w:ascii="仿宋" w:hAnsi="仿宋" w:eastAsia="仿宋" w:cs="仿宋"/>
          <w:color w:val="auto"/>
          <w:sz w:val="24"/>
          <w:highlight w:val="none"/>
          <w:lang w:val="en-US" w:eastAsia="zh-CN"/>
        </w:rPr>
        <w:t xml:space="preserve">中规定的资格条件要求； </w:t>
      </w:r>
    </w:p>
    <w:p w14:paraId="197E59D8">
      <w:pPr>
        <w:pStyle w:val="53"/>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1.3.2 供应商不得存在下列情形之一：</w:t>
      </w:r>
    </w:p>
    <w:p w14:paraId="29FB135E">
      <w:pPr>
        <w:pStyle w:val="53"/>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（1）单位负责人为同一人或者存在直接控股、管理关系的不同投标单位，不得参加同一合同项下的政府采购活动。</w:t>
      </w:r>
    </w:p>
    <w:p w14:paraId="1A2380C9">
      <w:pPr>
        <w:pStyle w:val="53"/>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（2）除单一来源采购项目外，为采购项目提供整体设计、规范编制或者项目管理、监理、检测等服务的投标单位，不得再参加该采购项目的其他采购活动。</w:t>
      </w:r>
    </w:p>
    <w:p w14:paraId="47F67DE3">
      <w:pPr>
        <w:pStyle w:val="16"/>
        <w:keepNext w:val="0"/>
        <w:keepLines w:val="0"/>
        <w:pageBreakBefore w:val="0"/>
        <w:widowControl/>
        <w:kinsoku/>
        <w:wordWrap w:val="0"/>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3）供应商被列入失信被执行人、重大税收违法失信主体、政府采购严重违法失信行为记录名单（处罚决定规定的时间和地域范围内）。供应商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供应商将被认定为投标无效。以联合体形式参加投标的，联合体任何成员存在以上不良信用记录的，联合体供应商将被认定为投标无效。</w:t>
      </w:r>
    </w:p>
    <w:p w14:paraId="5321CEA4">
      <w:pPr>
        <w:pStyle w:val="16"/>
        <w:keepNext w:val="0"/>
        <w:keepLines w:val="0"/>
        <w:pageBreakBefore w:val="0"/>
        <w:tabs>
          <w:tab w:val="left" w:pos="5850"/>
          <w:tab w:val="left" w:pos="5950"/>
          <w:tab w:val="left" w:pos="6585"/>
        </w:tabs>
        <w:kinsoku/>
        <w:wordWrap/>
        <w:overflowPunct/>
        <w:topLinePunct w:val="0"/>
        <w:autoSpaceDE/>
        <w:autoSpaceDN/>
        <w:bidi w:val="0"/>
        <w:adjustRightInd/>
        <w:snapToGrid/>
        <w:spacing w:before="0" w:beforeAutospacing="0" w:after="0" w:afterAutospacing="0" w:line="500" w:lineRule="exact"/>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2、</w:t>
      </w:r>
      <w:r>
        <w:rPr>
          <w:rFonts w:hint="eastAsia" w:ascii="仿宋" w:hAnsi="仿宋" w:eastAsia="仿宋" w:cs="仿宋"/>
          <w:b/>
          <w:color w:val="auto"/>
          <w:sz w:val="24"/>
          <w:szCs w:val="24"/>
          <w:highlight w:val="none"/>
        </w:rPr>
        <w:t>适用范围和</w:t>
      </w:r>
      <w:r>
        <w:rPr>
          <w:rFonts w:hint="eastAsia" w:ascii="仿宋" w:hAnsi="仿宋" w:eastAsia="仿宋" w:cs="仿宋"/>
          <w:b/>
          <w:color w:val="auto"/>
          <w:sz w:val="24"/>
          <w:szCs w:val="24"/>
          <w:highlight w:val="none"/>
          <w:lang w:val="en-US" w:eastAsia="zh-CN"/>
        </w:rPr>
        <w:t>定义</w:t>
      </w:r>
    </w:p>
    <w:p w14:paraId="6D97CA7A">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highlight w:val="none"/>
        </w:rPr>
      </w:pPr>
      <w:r>
        <w:rPr>
          <w:rFonts w:hint="eastAsia" w:ascii="仿宋" w:hAnsi="仿宋" w:eastAsia="仿宋" w:cs="仿宋"/>
          <w:b/>
          <w:color w:val="auto"/>
          <w:sz w:val="24"/>
          <w:szCs w:val="24"/>
          <w:highlight w:val="none"/>
          <w:lang w:val="en-US" w:eastAsia="zh-CN"/>
        </w:rPr>
        <w:t>2.1适用范围：</w:t>
      </w:r>
      <w:r>
        <w:rPr>
          <w:rFonts w:hint="eastAsia" w:ascii="仿宋" w:hAnsi="仿宋" w:eastAsia="仿宋" w:cs="仿宋"/>
          <w:color w:val="auto"/>
          <w:kern w:val="0"/>
          <w:sz w:val="24"/>
          <w:szCs w:val="24"/>
          <w:highlight w:val="none"/>
          <w:lang w:val="en-US" w:eastAsia="zh-CN" w:bidi="ar-SA"/>
        </w:rPr>
        <w:t>本招标文件仅适用于本</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kern w:val="0"/>
          <w:sz w:val="24"/>
          <w:szCs w:val="24"/>
          <w:highlight w:val="none"/>
          <w:lang w:val="en-US" w:eastAsia="zh-CN" w:bidi="ar-SA"/>
        </w:rPr>
        <w:t>文件中所述的货物采购及相关服务。</w:t>
      </w:r>
    </w:p>
    <w:p w14:paraId="2B37E9F1">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2.2定义</w:t>
      </w:r>
    </w:p>
    <w:p w14:paraId="53AF14C5">
      <w:pPr>
        <w:pStyle w:val="43"/>
        <w:keepNext w:val="0"/>
        <w:keepLines w:val="0"/>
        <w:pageBreakBefore w:val="0"/>
        <w:kinsoku/>
        <w:wordWrap/>
        <w:overflowPunct/>
        <w:topLinePunct w:val="0"/>
        <w:autoSpaceDE/>
        <w:autoSpaceDN/>
        <w:bidi w:val="0"/>
        <w:adjustRightInd/>
        <w:snapToGrid/>
        <w:spacing w:line="500" w:lineRule="exact"/>
        <w:ind w:firstLine="48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 “</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lang w:val="en-US" w:eastAsia="zh-CN"/>
        </w:rPr>
        <w:t>“招标人”、“甲方”均指</w:t>
      </w:r>
      <w:r>
        <w:rPr>
          <w:rFonts w:hint="eastAsia" w:ascii="仿宋" w:hAnsi="仿宋" w:eastAsia="仿宋" w:cs="仿宋"/>
          <w:color w:val="auto"/>
          <w:sz w:val="24"/>
          <w:szCs w:val="24"/>
          <w:highlight w:val="none"/>
          <w:lang w:eastAsia="zh-CN"/>
        </w:rPr>
        <w:t>昭苏县中医医院</w:t>
      </w:r>
      <w:r>
        <w:rPr>
          <w:rFonts w:hint="eastAsia" w:ascii="仿宋" w:hAnsi="仿宋" w:eastAsia="仿宋" w:cs="仿宋"/>
          <w:color w:val="auto"/>
          <w:sz w:val="24"/>
          <w:highlight w:val="none"/>
        </w:rPr>
        <w:t>。</w:t>
      </w:r>
    </w:p>
    <w:p w14:paraId="54D8621A">
      <w:pPr>
        <w:pStyle w:val="43"/>
        <w:keepNext w:val="0"/>
        <w:keepLines w:val="0"/>
        <w:pageBreakBefore w:val="0"/>
        <w:kinsoku/>
        <w:wordWrap/>
        <w:overflowPunct/>
        <w:topLinePunct w:val="0"/>
        <w:autoSpaceDE/>
        <w:autoSpaceDN/>
        <w:bidi w:val="0"/>
        <w:adjustRightInd/>
        <w:snapToGrid/>
        <w:spacing w:line="500" w:lineRule="exact"/>
        <w:ind w:firstLine="48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w:t>
      </w:r>
      <w:r>
        <w:rPr>
          <w:rFonts w:hint="eastAsia" w:ascii="仿宋" w:hAnsi="仿宋" w:eastAsia="仿宋" w:cs="仿宋"/>
          <w:color w:val="auto"/>
          <w:sz w:val="24"/>
          <w:highlight w:val="none"/>
          <w:lang w:eastAsia="zh-CN"/>
        </w:rPr>
        <w:t>新疆浩瑞兴建设工程项目管理咨询有限公司</w:t>
      </w:r>
      <w:r>
        <w:rPr>
          <w:rFonts w:hint="eastAsia" w:ascii="仿宋" w:hAnsi="仿宋" w:eastAsia="仿宋" w:cs="仿宋"/>
          <w:color w:val="auto"/>
          <w:sz w:val="24"/>
          <w:highlight w:val="none"/>
        </w:rPr>
        <w:t>。</w:t>
      </w:r>
    </w:p>
    <w:p w14:paraId="1646F377">
      <w:pPr>
        <w:pStyle w:val="43"/>
        <w:keepNext w:val="0"/>
        <w:keepLines w:val="0"/>
        <w:pageBreakBefore w:val="0"/>
        <w:kinsoku/>
        <w:wordWrap/>
        <w:overflowPunct/>
        <w:topLinePunct w:val="0"/>
        <w:autoSpaceDE/>
        <w:autoSpaceDN/>
        <w:bidi w:val="0"/>
        <w:adjustRightInd/>
        <w:snapToGrid/>
        <w:spacing w:line="500" w:lineRule="exact"/>
        <w:ind w:firstLine="48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3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lang w:val="en-US" w:eastAsia="zh-CN"/>
        </w:rPr>
        <w:t>”、“投标供应商”均</w:t>
      </w:r>
      <w:r>
        <w:rPr>
          <w:rFonts w:hint="eastAsia" w:ascii="仿宋" w:hAnsi="仿宋" w:eastAsia="仿宋" w:cs="仿宋"/>
          <w:color w:val="auto"/>
          <w:sz w:val="24"/>
          <w:szCs w:val="24"/>
          <w:highlight w:val="none"/>
        </w:rPr>
        <w:t>指响应</w:t>
      </w:r>
      <w:r>
        <w:rPr>
          <w:rFonts w:hint="eastAsia" w:ascii="仿宋" w:hAnsi="仿宋" w:eastAsia="仿宋" w:cs="仿宋"/>
          <w:color w:val="auto"/>
          <w:sz w:val="24"/>
          <w:szCs w:val="24"/>
          <w:highlight w:val="none"/>
          <w:lang w:val="en-US" w:eastAsia="zh-CN"/>
        </w:rPr>
        <w:t>服务需求</w:t>
      </w:r>
      <w:r>
        <w:rPr>
          <w:rFonts w:hint="eastAsia" w:ascii="仿宋" w:hAnsi="仿宋" w:eastAsia="仿宋" w:cs="仿宋"/>
          <w:color w:val="auto"/>
          <w:sz w:val="24"/>
          <w:szCs w:val="24"/>
          <w:highlight w:val="none"/>
        </w:rPr>
        <w:t>，并按照</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文件的要求参与本次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任务竞争的法人、其他组织或者自然人，</w:t>
      </w:r>
      <w:r>
        <w:rPr>
          <w:rFonts w:hint="eastAsia" w:ascii="仿宋" w:hAnsi="仿宋" w:eastAsia="仿宋" w:cs="仿宋"/>
          <w:color w:val="auto"/>
          <w:sz w:val="24"/>
          <w:szCs w:val="24"/>
          <w:highlight w:val="none"/>
          <w:lang w:eastAsia="zh-CN"/>
        </w:rPr>
        <w:t>中标/成交</w:t>
      </w:r>
      <w:r>
        <w:rPr>
          <w:rFonts w:hint="eastAsia" w:ascii="仿宋" w:hAnsi="仿宋" w:eastAsia="仿宋" w:cs="仿宋"/>
          <w:color w:val="auto"/>
          <w:sz w:val="24"/>
          <w:szCs w:val="24"/>
          <w:highlight w:val="none"/>
        </w:rPr>
        <w:t>后即为</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人，签定合同后即为</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eastAsia="zh-CN"/>
        </w:rPr>
        <w:t>。</w:t>
      </w:r>
    </w:p>
    <w:p w14:paraId="40B4A2F1">
      <w:pPr>
        <w:pStyle w:val="43"/>
        <w:keepNext w:val="0"/>
        <w:keepLines w:val="0"/>
        <w:pageBreakBefore w:val="0"/>
        <w:kinsoku/>
        <w:wordWrap/>
        <w:overflowPunct/>
        <w:topLinePunct w:val="0"/>
        <w:autoSpaceDE/>
        <w:autoSpaceDN/>
        <w:bidi w:val="0"/>
        <w:adjustRightInd/>
        <w:snapToGrid/>
        <w:spacing w:line="500" w:lineRule="exact"/>
        <w:ind w:firstLine="48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4 “</w:t>
      </w:r>
      <w:r>
        <w:rPr>
          <w:rFonts w:hint="eastAsia" w:ascii="仿宋" w:hAnsi="仿宋" w:eastAsia="仿宋" w:cs="仿宋"/>
          <w:color w:val="auto"/>
          <w:sz w:val="24"/>
          <w:highlight w:val="none"/>
          <w:lang w:eastAsia="zh-CN"/>
        </w:rPr>
        <w:t>货物</w:t>
      </w:r>
      <w:r>
        <w:rPr>
          <w:rFonts w:hint="eastAsia" w:ascii="仿宋" w:hAnsi="仿宋" w:eastAsia="仿宋" w:cs="仿宋"/>
          <w:color w:val="auto"/>
          <w:sz w:val="24"/>
          <w:highlight w:val="none"/>
        </w:rPr>
        <w:t>”系指投标人按合同要求，须向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提供的一切产品及其他技术资料和材料。</w:t>
      </w:r>
    </w:p>
    <w:p w14:paraId="3944BD0D">
      <w:pPr>
        <w:pStyle w:val="43"/>
        <w:keepNext w:val="0"/>
        <w:keepLines w:val="0"/>
        <w:pageBreakBefore w:val="0"/>
        <w:kinsoku/>
        <w:wordWrap/>
        <w:overflowPunct/>
        <w:topLinePunct w:val="0"/>
        <w:autoSpaceDE/>
        <w:autoSpaceDN/>
        <w:bidi w:val="0"/>
        <w:adjustRightInd/>
        <w:snapToGrid/>
        <w:spacing w:line="500" w:lineRule="exact"/>
        <w:ind w:firstLine="48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5 “服务”系指投标人按合同规定向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服务等其他类似的义务。</w:t>
      </w:r>
    </w:p>
    <w:p w14:paraId="796197E8">
      <w:pPr>
        <w:pStyle w:val="43"/>
        <w:keepNext w:val="0"/>
        <w:keepLines w:val="0"/>
        <w:pageBreakBefore w:val="0"/>
        <w:kinsoku/>
        <w:wordWrap/>
        <w:overflowPunct/>
        <w:topLinePunct w:val="0"/>
        <w:autoSpaceDE/>
        <w:autoSpaceDN/>
        <w:bidi w:val="0"/>
        <w:adjustRightInd/>
        <w:snapToGrid/>
        <w:spacing w:line="500" w:lineRule="exact"/>
        <w:ind w:firstLine="48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6 “甲方”系指购买</w:t>
      </w:r>
      <w:r>
        <w:rPr>
          <w:rFonts w:hint="eastAsia" w:ascii="仿宋" w:hAnsi="仿宋" w:eastAsia="仿宋" w:cs="仿宋"/>
          <w:color w:val="auto"/>
          <w:sz w:val="24"/>
          <w:highlight w:val="none"/>
          <w:lang w:eastAsia="zh-CN"/>
        </w:rPr>
        <w:t>货物</w:t>
      </w:r>
      <w:r>
        <w:rPr>
          <w:rFonts w:hint="eastAsia" w:ascii="仿宋" w:hAnsi="仿宋" w:eastAsia="仿宋" w:cs="仿宋"/>
          <w:color w:val="auto"/>
          <w:sz w:val="24"/>
          <w:highlight w:val="none"/>
        </w:rPr>
        <w:t>和服务的单位。</w:t>
      </w:r>
    </w:p>
    <w:p w14:paraId="2DF1AF2B">
      <w:pPr>
        <w:pStyle w:val="43"/>
        <w:keepNext w:val="0"/>
        <w:keepLines w:val="0"/>
        <w:pageBreakBefore w:val="0"/>
        <w:kinsoku/>
        <w:wordWrap/>
        <w:overflowPunct/>
        <w:topLinePunct w:val="0"/>
        <w:autoSpaceDE/>
        <w:autoSpaceDN/>
        <w:bidi w:val="0"/>
        <w:adjustRightInd/>
        <w:snapToGrid/>
        <w:spacing w:line="500" w:lineRule="exact"/>
        <w:ind w:firstLine="48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7 “乙方”系指提供合同</w:t>
      </w:r>
      <w:r>
        <w:rPr>
          <w:rFonts w:hint="eastAsia" w:ascii="仿宋" w:hAnsi="仿宋" w:eastAsia="仿宋" w:cs="仿宋"/>
          <w:color w:val="auto"/>
          <w:sz w:val="24"/>
          <w:highlight w:val="none"/>
          <w:lang w:eastAsia="zh-CN"/>
        </w:rPr>
        <w:t>货物</w:t>
      </w:r>
      <w:r>
        <w:rPr>
          <w:rFonts w:hint="eastAsia" w:ascii="仿宋" w:hAnsi="仿宋" w:eastAsia="仿宋" w:cs="仿宋"/>
          <w:color w:val="auto"/>
          <w:sz w:val="24"/>
          <w:highlight w:val="none"/>
        </w:rPr>
        <w:t>和服务的经济实体。</w:t>
      </w:r>
    </w:p>
    <w:p w14:paraId="40C9EBF3">
      <w:pPr>
        <w:pStyle w:val="43"/>
        <w:keepNext w:val="0"/>
        <w:keepLines w:val="0"/>
        <w:pageBreakBefore w:val="0"/>
        <w:kinsoku/>
        <w:wordWrap/>
        <w:overflowPunct/>
        <w:topLinePunct w:val="0"/>
        <w:autoSpaceDE/>
        <w:autoSpaceDN/>
        <w:bidi w:val="0"/>
        <w:adjustRightInd/>
        <w:snapToGrid/>
        <w:spacing w:line="500" w:lineRule="exact"/>
        <w:ind w:firstLine="48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8 项目说明</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szCs w:val="24"/>
          <w:highlight w:val="none"/>
          <w:lang w:val="en-US" w:eastAsia="zh-CN"/>
        </w:rPr>
        <w:t>详见投标人须知前附表。</w:t>
      </w:r>
    </w:p>
    <w:p w14:paraId="4933D049">
      <w:pPr>
        <w:pStyle w:val="43"/>
        <w:keepNext w:val="0"/>
        <w:keepLines w:val="0"/>
        <w:pageBreakBefore w:val="0"/>
        <w:kinsoku/>
        <w:wordWrap/>
        <w:overflowPunct/>
        <w:topLinePunct w:val="0"/>
        <w:autoSpaceDE/>
        <w:autoSpaceDN/>
        <w:bidi w:val="0"/>
        <w:adjustRightInd/>
        <w:snapToGrid/>
        <w:spacing w:line="500" w:lineRule="exact"/>
        <w:ind w:firstLine="0" w:firstLineChars="0"/>
        <w:textAlignment w:val="auto"/>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3、投标费用</w:t>
      </w:r>
    </w:p>
    <w:p w14:paraId="1F0D21DE">
      <w:pPr>
        <w:pStyle w:val="43"/>
        <w:keepNext w:val="0"/>
        <w:keepLines w:val="0"/>
        <w:pageBreakBefore w:val="0"/>
        <w:kinsoku/>
        <w:wordWrap/>
        <w:overflowPunct/>
        <w:topLinePunct w:val="0"/>
        <w:autoSpaceDE/>
        <w:autoSpaceDN/>
        <w:bidi w:val="0"/>
        <w:adjustRightInd/>
        <w:snapToGrid/>
        <w:spacing w:line="500" w:lineRule="exact"/>
        <w:ind w:firstLine="48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3.1 </w:t>
      </w:r>
      <w:r>
        <w:rPr>
          <w:rFonts w:hint="eastAsia" w:ascii="仿宋" w:hAnsi="仿宋" w:eastAsia="仿宋" w:cs="仿宋"/>
          <w:color w:val="auto"/>
          <w:kern w:val="0"/>
          <w:sz w:val="24"/>
          <w:szCs w:val="24"/>
          <w:highlight w:val="none"/>
          <w:lang w:val="en-US" w:eastAsia="zh-CN"/>
        </w:rPr>
        <w:t>供应商应承担所有编写、提交投标文件、参加采购活动等有关的费用，不论投标的结果如何，采购人和采购代理机构在任何情况下均无义务和责任承担这些费用</w:t>
      </w:r>
      <w:r>
        <w:rPr>
          <w:rFonts w:hint="eastAsia" w:ascii="仿宋" w:hAnsi="仿宋" w:eastAsia="仿宋" w:cs="仿宋"/>
          <w:color w:val="auto"/>
          <w:kern w:val="0"/>
          <w:sz w:val="24"/>
          <w:highlight w:val="none"/>
        </w:rPr>
        <w:t>。</w:t>
      </w:r>
    </w:p>
    <w:p w14:paraId="72B8C817">
      <w:pPr>
        <w:pStyle w:val="43"/>
        <w:keepNext w:val="0"/>
        <w:keepLines w:val="0"/>
        <w:pageBreakBefore w:val="0"/>
        <w:kinsoku/>
        <w:wordWrap/>
        <w:overflowPunct/>
        <w:topLinePunct w:val="0"/>
        <w:autoSpaceDE/>
        <w:autoSpaceDN/>
        <w:bidi w:val="0"/>
        <w:adjustRightInd/>
        <w:snapToGrid/>
        <w:spacing w:line="500" w:lineRule="exact"/>
        <w:ind w:firstLine="480"/>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rPr>
        <w:t>3.2</w:t>
      </w:r>
      <w:r>
        <w:rPr>
          <w:rFonts w:hint="eastAsia" w:ascii="仿宋" w:hAnsi="仿宋" w:eastAsia="仿宋" w:cs="仿宋"/>
          <w:color w:val="auto"/>
          <w:kern w:val="0"/>
          <w:sz w:val="24"/>
          <w:szCs w:val="24"/>
          <w:highlight w:val="none"/>
          <w:lang w:val="en-US" w:eastAsia="zh-CN"/>
        </w:rPr>
        <w:t xml:space="preserve"> 本项</w:t>
      </w:r>
      <w:r>
        <w:rPr>
          <w:rFonts w:hint="eastAsia" w:ascii="仿宋" w:hAnsi="仿宋" w:eastAsia="仿宋" w:cs="仿宋"/>
          <w:b w:val="0"/>
          <w:bCs w:val="0"/>
          <w:color w:val="auto"/>
          <w:kern w:val="0"/>
          <w:sz w:val="24"/>
          <w:szCs w:val="24"/>
          <w:highlight w:val="none"/>
          <w:lang w:val="en-US" w:eastAsia="zh-CN"/>
        </w:rPr>
        <w:t>目服务费按照差额定律累</w:t>
      </w:r>
      <w:r>
        <w:rPr>
          <w:rFonts w:hint="eastAsia" w:ascii="仿宋" w:hAnsi="仿宋" w:eastAsia="仿宋" w:cs="仿宋"/>
          <w:color w:val="auto"/>
          <w:kern w:val="0"/>
          <w:sz w:val="24"/>
          <w:szCs w:val="24"/>
          <w:highlight w:val="none"/>
          <w:lang w:val="en-US" w:eastAsia="zh-CN"/>
        </w:rPr>
        <w:t>进计费方式计算，标准如下：</w:t>
      </w:r>
    </w:p>
    <w:p w14:paraId="63FCDE86">
      <w:pPr>
        <w:pStyle w:val="43"/>
        <w:keepNext w:val="0"/>
        <w:keepLines w:val="0"/>
        <w:pageBreakBefore w:val="0"/>
        <w:kinsoku/>
        <w:wordWrap/>
        <w:overflowPunct/>
        <w:topLinePunct w:val="0"/>
        <w:autoSpaceDE/>
        <w:autoSpaceDN/>
        <w:bidi w:val="0"/>
        <w:adjustRightInd/>
        <w:snapToGrid/>
        <w:spacing w:line="500" w:lineRule="exact"/>
        <w:ind w:firstLine="480"/>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中标金额100万元以下的部分,货物类费率1.50%,服务类费率1.50%；</w:t>
      </w:r>
    </w:p>
    <w:p w14:paraId="10CD0F3F">
      <w:pPr>
        <w:pStyle w:val="43"/>
        <w:keepNext w:val="0"/>
        <w:keepLines w:val="0"/>
        <w:pageBreakBefore w:val="0"/>
        <w:kinsoku/>
        <w:wordWrap/>
        <w:overflowPunct/>
        <w:topLinePunct w:val="0"/>
        <w:autoSpaceDE/>
        <w:autoSpaceDN/>
        <w:bidi w:val="0"/>
        <w:adjustRightInd/>
        <w:snapToGrid/>
        <w:spacing w:line="500" w:lineRule="exact"/>
        <w:ind w:firstLine="480"/>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中标金额100万元至500万元的部分,货物类费率1.10%,服务类费率0.80%；</w:t>
      </w:r>
    </w:p>
    <w:p w14:paraId="51A24826">
      <w:pPr>
        <w:pStyle w:val="43"/>
        <w:keepNext w:val="0"/>
        <w:keepLines w:val="0"/>
        <w:pageBreakBefore w:val="0"/>
        <w:kinsoku/>
        <w:wordWrap/>
        <w:overflowPunct/>
        <w:topLinePunct w:val="0"/>
        <w:autoSpaceDE/>
        <w:autoSpaceDN/>
        <w:bidi w:val="0"/>
        <w:adjustRightInd/>
        <w:snapToGrid/>
        <w:spacing w:line="500" w:lineRule="exact"/>
        <w:ind w:firstLine="480"/>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中标金额500万元至1000万元的部分,货物类采购费率0.80%,服务类采购费率0.45%；</w:t>
      </w:r>
    </w:p>
    <w:p w14:paraId="70D462C9">
      <w:pPr>
        <w:pStyle w:val="43"/>
        <w:keepNext w:val="0"/>
        <w:keepLines w:val="0"/>
        <w:pageBreakBefore w:val="0"/>
        <w:kinsoku/>
        <w:wordWrap/>
        <w:overflowPunct/>
        <w:topLinePunct w:val="0"/>
        <w:autoSpaceDE/>
        <w:autoSpaceDN/>
        <w:bidi w:val="0"/>
        <w:adjustRightInd/>
        <w:snapToGrid/>
        <w:spacing w:line="500" w:lineRule="exact"/>
        <w:ind w:firstLine="48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color w:val="auto"/>
          <w:kern w:val="0"/>
          <w:sz w:val="24"/>
          <w:szCs w:val="24"/>
          <w:highlight w:val="none"/>
          <w:lang w:val="en-US" w:eastAsia="zh-CN"/>
        </w:rPr>
        <w:t>注：</w:t>
      </w:r>
      <w:r>
        <w:rPr>
          <w:rFonts w:hint="eastAsia" w:ascii="仿宋" w:hAnsi="仿宋" w:eastAsia="仿宋" w:cs="仿宋"/>
          <w:b/>
          <w:bCs/>
          <w:color w:val="auto"/>
          <w:kern w:val="0"/>
          <w:sz w:val="24"/>
          <w:szCs w:val="24"/>
          <w:highlight w:val="none"/>
          <w:lang w:val="en-US" w:eastAsia="zh-CN"/>
        </w:rPr>
        <w:t>本项目属于货物类采购项目，代理服务费由中标方在领取中标通知书时一次性足额支付</w:t>
      </w:r>
      <w:r>
        <w:rPr>
          <w:rFonts w:hint="eastAsia" w:ascii="仿宋" w:hAnsi="仿宋" w:eastAsia="仿宋" w:cs="仿宋"/>
          <w:b/>
          <w:bCs/>
          <w:color w:val="auto"/>
          <w:kern w:val="0"/>
          <w:sz w:val="24"/>
          <w:highlight w:val="none"/>
        </w:rPr>
        <w:t>。</w:t>
      </w:r>
    </w:p>
    <w:p w14:paraId="4EB33F57">
      <w:pPr>
        <w:pStyle w:val="3"/>
        <w:numPr>
          <w:ilvl w:val="0"/>
          <w:numId w:val="0"/>
        </w:numPr>
        <w:tabs>
          <w:tab w:val="clear" w:pos="720"/>
        </w:tabs>
        <w:bidi w:val="0"/>
        <w:ind w:leftChars="0"/>
        <w:rPr>
          <w:rFonts w:hint="eastAsia" w:ascii="仿宋" w:hAnsi="仿宋" w:eastAsia="仿宋" w:cs="仿宋"/>
          <w:b/>
          <w:color w:val="auto"/>
          <w:szCs w:val="32"/>
          <w:highlight w:val="none"/>
        </w:rPr>
      </w:pPr>
      <w:bookmarkStart w:id="13" w:name="_Toc27503"/>
      <w:r>
        <w:rPr>
          <w:rFonts w:hint="eastAsia"/>
        </w:rPr>
        <w:t>二、招标文件的组成</w:t>
      </w:r>
      <w:bookmarkEnd w:id="13"/>
    </w:p>
    <w:p w14:paraId="4028910C">
      <w:pPr>
        <w:pStyle w:val="43"/>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4、招标文件</w:t>
      </w:r>
    </w:p>
    <w:p w14:paraId="0F29AD5D">
      <w:pPr>
        <w:pStyle w:val="43"/>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4.1 招标文件包括下列内容：</w:t>
      </w:r>
    </w:p>
    <w:p w14:paraId="6FF664B9">
      <w:pPr>
        <w:pStyle w:val="43"/>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招标公告</w:t>
      </w:r>
    </w:p>
    <w:p w14:paraId="4371FB0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第一章：投标人须知前附表</w:t>
      </w:r>
    </w:p>
    <w:p w14:paraId="06ACB536">
      <w:pPr>
        <w:keepNext w:val="0"/>
        <w:keepLines w:val="0"/>
        <w:pageBreakBefore w:val="0"/>
        <w:widowControl w:val="0"/>
        <w:kinsoku/>
        <w:wordWrap/>
        <w:overflowPunct/>
        <w:topLinePunct w:val="0"/>
        <w:autoSpaceDE/>
        <w:autoSpaceDN/>
        <w:bidi w:val="0"/>
        <w:adjustRightInd/>
        <w:snapToGrid/>
        <w:spacing w:line="480" w:lineRule="exact"/>
        <w:ind w:firstLine="472" w:firstLineChars="197"/>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第二章：投标人须知</w:t>
      </w:r>
    </w:p>
    <w:p w14:paraId="605E122F">
      <w:pPr>
        <w:keepNext w:val="0"/>
        <w:keepLines w:val="0"/>
        <w:pageBreakBefore w:val="0"/>
        <w:widowControl w:val="0"/>
        <w:kinsoku/>
        <w:wordWrap/>
        <w:overflowPunct/>
        <w:topLinePunct w:val="0"/>
        <w:autoSpaceDE/>
        <w:autoSpaceDN/>
        <w:bidi w:val="0"/>
        <w:adjustRightInd/>
        <w:snapToGrid/>
        <w:spacing w:line="480" w:lineRule="exact"/>
        <w:ind w:firstLine="472" w:firstLineChars="197"/>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第三章：评标办法</w:t>
      </w:r>
    </w:p>
    <w:p w14:paraId="19284758">
      <w:pPr>
        <w:keepNext w:val="0"/>
        <w:keepLines w:val="0"/>
        <w:pageBreakBefore w:val="0"/>
        <w:widowControl w:val="0"/>
        <w:kinsoku/>
        <w:wordWrap/>
        <w:overflowPunct/>
        <w:topLinePunct w:val="0"/>
        <w:autoSpaceDE/>
        <w:autoSpaceDN/>
        <w:bidi w:val="0"/>
        <w:adjustRightInd/>
        <w:snapToGrid/>
        <w:spacing w:line="480" w:lineRule="exact"/>
        <w:ind w:firstLine="472" w:firstLineChars="197"/>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第四章：合同条款</w:t>
      </w:r>
      <w:r>
        <w:rPr>
          <w:rFonts w:hint="eastAsia" w:ascii="仿宋" w:hAnsi="仿宋" w:eastAsia="仿宋" w:cs="仿宋"/>
          <w:color w:val="auto"/>
          <w:sz w:val="24"/>
          <w:highlight w:val="none"/>
          <w:lang w:val="en-US" w:eastAsia="zh-CN"/>
        </w:rPr>
        <w:t>及格式</w:t>
      </w:r>
    </w:p>
    <w:p w14:paraId="69884864">
      <w:pPr>
        <w:keepNext w:val="0"/>
        <w:keepLines w:val="0"/>
        <w:pageBreakBefore w:val="0"/>
        <w:widowControl w:val="0"/>
        <w:kinsoku/>
        <w:wordWrap/>
        <w:overflowPunct/>
        <w:topLinePunct w:val="0"/>
        <w:autoSpaceDE/>
        <w:autoSpaceDN/>
        <w:bidi w:val="0"/>
        <w:adjustRightInd/>
        <w:snapToGrid/>
        <w:spacing w:line="480" w:lineRule="exact"/>
        <w:ind w:firstLine="472" w:firstLineChars="197"/>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第五章：</w:t>
      </w:r>
      <w:r>
        <w:rPr>
          <w:rFonts w:hint="eastAsia" w:ascii="仿宋" w:hAnsi="仿宋" w:eastAsia="仿宋" w:cs="仿宋"/>
          <w:color w:val="auto"/>
          <w:sz w:val="24"/>
          <w:highlight w:val="none"/>
          <w:lang w:val="en-US" w:eastAsia="zh-CN"/>
        </w:rPr>
        <w:t>采购内容及规格参数</w:t>
      </w:r>
    </w:p>
    <w:p w14:paraId="7FF8B746">
      <w:pPr>
        <w:keepNext w:val="0"/>
        <w:keepLines w:val="0"/>
        <w:pageBreakBefore w:val="0"/>
        <w:widowControl w:val="0"/>
        <w:kinsoku/>
        <w:wordWrap/>
        <w:overflowPunct/>
        <w:topLinePunct w:val="0"/>
        <w:autoSpaceDE/>
        <w:autoSpaceDN/>
        <w:bidi w:val="0"/>
        <w:adjustRightInd/>
        <w:snapToGrid/>
        <w:spacing w:line="480" w:lineRule="exact"/>
        <w:ind w:firstLine="472" w:firstLineChars="197"/>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第六章：投标文件部分格式</w:t>
      </w:r>
    </w:p>
    <w:p w14:paraId="37A56956">
      <w:pPr>
        <w:pStyle w:val="43"/>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4.2  招标文件由本文件及</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按有关规定发出的招标文件补充构成。招标文件的澄清、修改、招标答疑纪要等书面材料在本招标项目中均称招标文件补充。</w:t>
      </w:r>
    </w:p>
    <w:p w14:paraId="7855B219">
      <w:pPr>
        <w:pStyle w:val="43"/>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5、招标文件的澄清</w:t>
      </w:r>
      <w:r>
        <w:rPr>
          <w:rFonts w:hint="eastAsia" w:ascii="仿宋" w:hAnsi="仿宋" w:eastAsia="仿宋" w:cs="仿宋"/>
          <w:b/>
          <w:color w:val="auto"/>
          <w:kern w:val="0"/>
          <w:sz w:val="24"/>
          <w:highlight w:val="none"/>
          <w:lang w:eastAsia="zh-CN"/>
        </w:rPr>
        <w:t>及</w:t>
      </w:r>
      <w:r>
        <w:rPr>
          <w:rFonts w:hint="eastAsia" w:ascii="仿宋" w:hAnsi="仿宋" w:eastAsia="仿宋" w:cs="仿宋"/>
          <w:b/>
          <w:color w:val="auto"/>
          <w:kern w:val="0"/>
          <w:sz w:val="24"/>
          <w:highlight w:val="none"/>
        </w:rPr>
        <w:t>修改</w:t>
      </w:r>
    </w:p>
    <w:p w14:paraId="750BF5C6">
      <w:pPr>
        <w:pStyle w:val="43"/>
        <w:keepNext w:val="0"/>
        <w:keepLines w:val="0"/>
        <w:pageBreakBefore w:val="0"/>
        <w:widowControl w:val="0"/>
        <w:kinsoku/>
        <w:wordWrap/>
        <w:overflowPunct/>
        <w:topLinePunct w:val="0"/>
        <w:autoSpaceDE/>
        <w:autoSpaceDN/>
        <w:bidi w:val="0"/>
        <w:adjustRightInd/>
        <w:snapToGrid/>
        <w:spacing w:line="480" w:lineRule="exact"/>
        <w:ind w:firstLine="3168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.1 在投标截止时间15日以前，</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都可能以招标文件补充的方式澄清及修改招标文件。</w:t>
      </w:r>
      <w:r>
        <w:rPr>
          <w:rFonts w:hint="eastAsia" w:ascii="仿宋" w:hAnsi="仿宋" w:eastAsia="仿宋" w:cs="仿宋"/>
          <w:color w:val="auto"/>
          <w:kern w:val="0"/>
          <w:sz w:val="24"/>
          <w:highlight w:val="none"/>
          <w:lang w:eastAsia="zh-CN"/>
        </w:rPr>
        <w:t>修改后的文件通过新疆政府采购云平台（www.zcygov.cn）发布，</w:t>
      </w:r>
      <w:r>
        <w:rPr>
          <w:rFonts w:hint="eastAsia" w:ascii="仿宋" w:hAnsi="仿宋" w:eastAsia="仿宋" w:cs="仿宋"/>
          <w:b/>
          <w:bCs/>
          <w:color w:val="auto"/>
          <w:kern w:val="0"/>
          <w:sz w:val="24"/>
          <w:highlight w:val="none"/>
          <w:lang w:eastAsia="zh-CN"/>
        </w:rPr>
        <w:t>投标供应商自行及时查阅</w:t>
      </w:r>
      <w:r>
        <w:rPr>
          <w:rFonts w:hint="eastAsia" w:ascii="仿宋" w:hAnsi="仿宋" w:eastAsia="仿宋" w:cs="仿宋"/>
          <w:b/>
          <w:bCs/>
          <w:color w:val="auto"/>
          <w:kern w:val="0"/>
          <w:sz w:val="24"/>
          <w:highlight w:val="none"/>
        </w:rPr>
        <w:t>。</w:t>
      </w:r>
      <w:r>
        <w:rPr>
          <w:rFonts w:hint="eastAsia" w:ascii="仿宋" w:hAnsi="仿宋" w:eastAsia="仿宋" w:cs="仿宋"/>
          <w:color w:val="auto"/>
          <w:kern w:val="0"/>
          <w:sz w:val="24"/>
          <w:szCs w:val="24"/>
          <w:highlight w:val="none"/>
          <w:lang w:eastAsia="zh-CN"/>
        </w:rPr>
        <w:t>采购人和采购代理机构不对因</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lang w:eastAsia="zh-CN"/>
        </w:rPr>
        <w:t>未及时查阅或误读等原因造成的结果负责。</w:t>
      </w:r>
    </w:p>
    <w:p w14:paraId="41A7F98A">
      <w:pPr>
        <w:pStyle w:val="43"/>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.2 招标文件补充作为招标文件的组成部分，对投标人具有同等约束力。如果招标文件补充内容与在此招标文件补充发出之前的招标文件中相关内容冲突，请投标人执行招标文件补充的相关内容。</w:t>
      </w:r>
    </w:p>
    <w:p w14:paraId="19725353">
      <w:pPr>
        <w:pStyle w:val="43"/>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.3 为使投标人在编制投标文件时把招标文件补充内容考虑进去，</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可以相应延长投标截止日期，具体时间将在招标文件补充中写明。</w:t>
      </w:r>
    </w:p>
    <w:p w14:paraId="3682634C">
      <w:pPr>
        <w:pStyle w:val="3"/>
        <w:numPr>
          <w:ilvl w:val="0"/>
          <w:numId w:val="0"/>
        </w:numPr>
        <w:bidi w:val="0"/>
        <w:ind w:leftChars="0"/>
        <w:rPr>
          <w:rFonts w:hint="eastAsia" w:ascii="仿宋" w:hAnsi="仿宋" w:eastAsia="仿宋" w:cs="仿宋"/>
          <w:b/>
          <w:color w:val="auto"/>
          <w:szCs w:val="32"/>
          <w:highlight w:val="none"/>
          <w:lang w:val="en-US" w:eastAsia="zh-CN"/>
        </w:rPr>
      </w:pPr>
      <w:bookmarkStart w:id="14" w:name="_Toc7562"/>
      <w:r>
        <w:rPr>
          <w:rFonts w:hint="eastAsia"/>
          <w:lang w:val="en-US" w:eastAsia="zh-CN"/>
        </w:rPr>
        <w:t>三、</w:t>
      </w:r>
      <w:r>
        <w:rPr>
          <w:rFonts w:hint="eastAsia"/>
        </w:rPr>
        <w:t>投标文件的编制</w:t>
      </w:r>
      <w:bookmarkEnd w:id="14"/>
    </w:p>
    <w:p w14:paraId="66F0CF2F">
      <w:pPr>
        <w:pStyle w:val="43"/>
        <w:keepNext w:val="0"/>
        <w:keepLines w:val="0"/>
        <w:pageBreakBefore w:val="0"/>
        <w:widowControl w:val="0"/>
        <w:kinsoku/>
        <w:wordWrap/>
        <w:overflowPunct/>
        <w:topLinePunct w:val="0"/>
        <w:bidi w:val="0"/>
        <w:adjustRightInd/>
        <w:snapToGrid/>
        <w:spacing w:line="480" w:lineRule="exact"/>
        <w:ind w:right="0" w:firstLine="0" w:firstLineChars="0"/>
        <w:textAlignment w:val="auto"/>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rPr>
        <w:t>、投标文件的编写</w:t>
      </w:r>
    </w:p>
    <w:p w14:paraId="053EF7F3">
      <w:pPr>
        <w:pStyle w:val="43"/>
        <w:keepNext w:val="0"/>
        <w:keepLines w:val="0"/>
        <w:pageBreakBefore w:val="0"/>
        <w:widowControl w:val="0"/>
        <w:kinsoku/>
        <w:wordWrap/>
        <w:overflowPunct/>
        <w:topLinePunct w:val="0"/>
        <w:bidi w:val="0"/>
        <w:adjustRightInd/>
        <w:snapToGrid/>
        <w:spacing w:line="480" w:lineRule="exact"/>
        <w:ind w:right="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.1 投标人应按招标文件的要求，认真编制投标文件，投标文件应对招标文件提出的实质性要求和条件做出响应。</w:t>
      </w:r>
    </w:p>
    <w:p w14:paraId="7DEDD88E">
      <w:pPr>
        <w:pStyle w:val="43"/>
        <w:keepNext w:val="0"/>
        <w:keepLines w:val="0"/>
        <w:pageBreakBefore w:val="0"/>
        <w:widowControl w:val="0"/>
        <w:kinsoku/>
        <w:wordWrap/>
        <w:overflowPunct/>
        <w:topLinePunct w:val="0"/>
        <w:bidi w:val="0"/>
        <w:adjustRightInd/>
        <w:snapToGrid/>
        <w:spacing w:line="480" w:lineRule="exact"/>
        <w:ind w:right="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.2 投标人应仔细阅读招标文件，了解招标文件的要求。在充分理解招标文件提出的质量要求、服务、商务条件后，制作投标文件。</w:t>
      </w:r>
    </w:p>
    <w:p w14:paraId="72E8F965">
      <w:pPr>
        <w:pStyle w:val="43"/>
        <w:keepNext w:val="0"/>
        <w:keepLines w:val="0"/>
        <w:pageBreakBefore w:val="0"/>
        <w:widowControl w:val="0"/>
        <w:kinsoku/>
        <w:wordWrap/>
        <w:overflowPunct/>
        <w:topLinePunct w:val="0"/>
        <w:bidi w:val="0"/>
        <w:adjustRightInd/>
        <w:snapToGrid/>
        <w:spacing w:line="480" w:lineRule="exact"/>
        <w:ind w:right="0"/>
        <w:textAlignment w:val="auto"/>
        <w:outlineLvl w:val="9"/>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6.3 </w:t>
      </w:r>
      <w:r>
        <w:rPr>
          <w:rFonts w:hint="eastAsia" w:ascii="仿宋" w:hAnsi="仿宋" w:eastAsia="仿宋" w:cs="仿宋"/>
          <w:b/>
          <w:bCs/>
          <w:color w:val="auto"/>
          <w:kern w:val="0"/>
          <w:sz w:val="24"/>
          <w:highlight w:val="none"/>
          <w:lang w:val="en-US" w:eastAsia="zh-CN"/>
        </w:rPr>
        <w:t>投标文件应编制目录及页码，且目录及页码应相互对应。</w:t>
      </w:r>
    </w:p>
    <w:p w14:paraId="2E42B57A">
      <w:pPr>
        <w:pStyle w:val="43"/>
        <w:keepNext w:val="0"/>
        <w:keepLines w:val="0"/>
        <w:pageBreakBefore w:val="0"/>
        <w:widowControl w:val="0"/>
        <w:kinsoku/>
        <w:wordWrap/>
        <w:overflowPunct/>
        <w:topLinePunct w:val="0"/>
        <w:bidi w:val="0"/>
        <w:adjustRightInd/>
        <w:snapToGrid/>
        <w:spacing w:line="480" w:lineRule="exact"/>
        <w:ind w:right="0" w:firstLine="0" w:firstLineChars="0"/>
        <w:textAlignment w:val="auto"/>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en-US" w:eastAsia="zh-CN"/>
        </w:rPr>
        <w:t>7</w:t>
      </w:r>
      <w:r>
        <w:rPr>
          <w:rFonts w:hint="eastAsia" w:ascii="仿宋" w:hAnsi="仿宋" w:eastAsia="仿宋" w:cs="仿宋"/>
          <w:b/>
          <w:color w:val="auto"/>
          <w:kern w:val="0"/>
          <w:sz w:val="24"/>
          <w:highlight w:val="none"/>
        </w:rPr>
        <w:t>、投标的语言及计量单位</w:t>
      </w:r>
    </w:p>
    <w:p w14:paraId="648C515B">
      <w:pPr>
        <w:pStyle w:val="43"/>
        <w:keepNext w:val="0"/>
        <w:keepLines w:val="0"/>
        <w:pageBreakBefore w:val="0"/>
        <w:widowControl w:val="0"/>
        <w:kinsoku/>
        <w:wordWrap/>
        <w:overflowPunct/>
        <w:topLinePunct w:val="0"/>
        <w:bidi w:val="0"/>
        <w:adjustRightInd/>
        <w:snapToGrid/>
        <w:spacing w:line="480" w:lineRule="exact"/>
        <w:ind w:left="0" w:leftChars="0" w:right="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.1 投标人的投标文件以及投标人与</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就有关招标活动的所有来往函电均应使用中文。如果投标文件或与投标有关的其它文件、信件及来往函电以其它语言书写，投标人应将其译成中文。</w:t>
      </w:r>
    </w:p>
    <w:p w14:paraId="6C31222B">
      <w:pPr>
        <w:pStyle w:val="43"/>
        <w:keepNext w:val="0"/>
        <w:keepLines w:val="0"/>
        <w:pageBreakBefore w:val="0"/>
        <w:widowControl w:val="0"/>
        <w:kinsoku/>
        <w:wordWrap/>
        <w:overflowPunct/>
        <w:topLinePunct w:val="0"/>
        <w:bidi w:val="0"/>
        <w:adjustRightInd/>
        <w:snapToGrid/>
        <w:spacing w:line="480" w:lineRule="exact"/>
        <w:ind w:left="0" w:leftChars="0" w:right="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.2 投标文件中所使用的计量单位除招标文件中有特殊规定外，一律使用法定计量单位。</w:t>
      </w:r>
    </w:p>
    <w:p w14:paraId="298450C9">
      <w:pPr>
        <w:pStyle w:val="43"/>
        <w:keepNext w:val="0"/>
        <w:keepLines w:val="0"/>
        <w:pageBreakBefore w:val="0"/>
        <w:widowControl w:val="0"/>
        <w:kinsoku/>
        <w:wordWrap/>
        <w:overflowPunct/>
        <w:topLinePunct w:val="0"/>
        <w:bidi w:val="0"/>
        <w:adjustRightInd/>
        <w:snapToGrid/>
        <w:spacing w:line="480" w:lineRule="exact"/>
        <w:ind w:right="0" w:firstLine="0" w:firstLineChars="0"/>
        <w:textAlignment w:val="auto"/>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en-US" w:eastAsia="zh-CN"/>
        </w:rPr>
        <w:t>8</w:t>
      </w:r>
      <w:r>
        <w:rPr>
          <w:rFonts w:hint="eastAsia" w:ascii="仿宋" w:hAnsi="仿宋" w:eastAsia="仿宋" w:cs="仿宋"/>
          <w:b/>
          <w:color w:val="auto"/>
          <w:kern w:val="0"/>
          <w:sz w:val="24"/>
          <w:highlight w:val="none"/>
        </w:rPr>
        <w:t>、投标文件构成</w:t>
      </w:r>
    </w:p>
    <w:p w14:paraId="29B896AA">
      <w:pPr>
        <w:pStyle w:val="43"/>
        <w:keepNext w:val="0"/>
        <w:keepLines w:val="0"/>
        <w:pageBreakBefore w:val="0"/>
        <w:widowControl w:val="0"/>
        <w:kinsoku/>
        <w:wordWrap/>
        <w:overflowPunct/>
        <w:topLinePunct w:val="0"/>
        <w:bidi w:val="0"/>
        <w:adjustRightInd/>
        <w:snapToGrid/>
        <w:spacing w:line="480" w:lineRule="exact"/>
        <w:ind w:right="0" w:firstLine="472" w:firstLineChars="196"/>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.1包括下列内容：</w:t>
      </w:r>
    </w:p>
    <w:p w14:paraId="2910B7D7">
      <w:pPr>
        <w:pStyle w:val="43"/>
        <w:keepNext w:val="0"/>
        <w:keepLines w:val="0"/>
        <w:pageBreakBefore w:val="0"/>
        <w:widowControl w:val="0"/>
        <w:kinsoku/>
        <w:wordWrap/>
        <w:overflowPunct/>
        <w:topLinePunct w:val="0"/>
        <w:bidi w:val="0"/>
        <w:adjustRightInd/>
        <w:snapToGrid/>
        <w:spacing w:line="480" w:lineRule="exact"/>
        <w:ind w:right="0"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投标承诺书</w:t>
      </w:r>
    </w:p>
    <w:p w14:paraId="12E8A025">
      <w:pPr>
        <w:pStyle w:val="43"/>
        <w:keepNext w:val="0"/>
        <w:keepLines w:val="0"/>
        <w:pageBreakBefore w:val="0"/>
        <w:widowControl w:val="0"/>
        <w:kinsoku/>
        <w:wordWrap/>
        <w:overflowPunct/>
        <w:topLinePunct w:val="0"/>
        <w:bidi w:val="0"/>
        <w:adjustRightInd/>
        <w:snapToGrid/>
        <w:spacing w:line="480" w:lineRule="exact"/>
        <w:ind w:right="0"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开标一览表</w:t>
      </w:r>
    </w:p>
    <w:p w14:paraId="41D5D3D6">
      <w:pPr>
        <w:pStyle w:val="43"/>
        <w:keepNext w:val="0"/>
        <w:keepLines w:val="0"/>
        <w:pageBreakBefore w:val="0"/>
        <w:widowControl w:val="0"/>
        <w:kinsoku/>
        <w:wordWrap/>
        <w:overflowPunct/>
        <w:topLinePunct w:val="0"/>
        <w:bidi w:val="0"/>
        <w:adjustRightInd/>
        <w:snapToGrid/>
        <w:spacing w:line="480" w:lineRule="exact"/>
        <w:ind w:right="0"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投标方资格证明文件</w:t>
      </w:r>
    </w:p>
    <w:p w14:paraId="6119D145">
      <w:pPr>
        <w:pStyle w:val="43"/>
        <w:keepNext w:val="0"/>
        <w:keepLines w:val="0"/>
        <w:pageBreakBefore w:val="0"/>
        <w:widowControl w:val="0"/>
        <w:kinsoku/>
        <w:wordWrap/>
        <w:overflowPunct/>
        <w:topLinePunct w:val="0"/>
        <w:bidi w:val="0"/>
        <w:adjustRightInd/>
        <w:snapToGrid/>
        <w:spacing w:line="480" w:lineRule="exact"/>
        <w:ind w:right="0" w:firstLine="48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商务偏离表</w:t>
      </w:r>
    </w:p>
    <w:p w14:paraId="577D5C44">
      <w:pPr>
        <w:pStyle w:val="43"/>
        <w:keepNext w:val="0"/>
        <w:keepLines w:val="0"/>
        <w:pageBreakBefore w:val="0"/>
        <w:widowControl w:val="0"/>
        <w:kinsoku/>
        <w:wordWrap/>
        <w:overflowPunct/>
        <w:topLinePunct w:val="0"/>
        <w:bidi w:val="0"/>
        <w:adjustRightInd/>
        <w:snapToGrid/>
        <w:spacing w:line="480" w:lineRule="exact"/>
        <w:ind w:right="0"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类似业绩</w:t>
      </w:r>
    </w:p>
    <w:p w14:paraId="6B804179">
      <w:pPr>
        <w:pStyle w:val="43"/>
        <w:keepNext w:val="0"/>
        <w:keepLines w:val="0"/>
        <w:pageBreakBefore w:val="0"/>
        <w:widowControl w:val="0"/>
        <w:kinsoku/>
        <w:wordWrap/>
        <w:overflowPunct/>
        <w:topLinePunct w:val="0"/>
        <w:bidi w:val="0"/>
        <w:adjustRightInd/>
        <w:snapToGrid/>
        <w:spacing w:line="480" w:lineRule="exact"/>
        <w:ind w:right="0"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节能产品、环境标志产品</w:t>
      </w:r>
    </w:p>
    <w:p w14:paraId="403F9575">
      <w:pPr>
        <w:pStyle w:val="43"/>
        <w:keepNext w:val="0"/>
        <w:keepLines w:val="0"/>
        <w:pageBreakBefore w:val="0"/>
        <w:widowControl w:val="0"/>
        <w:kinsoku/>
        <w:wordWrap/>
        <w:overflowPunct/>
        <w:topLinePunct w:val="0"/>
        <w:bidi w:val="0"/>
        <w:adjustRightInd/>
        <w:snapToGrid/>
        <w:spacing w:line="480" w:lineRule="exact"/>
        <w:ind w:right="0"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技术参数响应程度</w:t>
      </w:r>
    </w:p>
    <w:p w14:paraId="7F76F43E">
      <w:pPr>
        <w:pStyle w:val="43"/>
        <w:keepNext w:val="0"/>
        <w:keepLines w:val="0"/>
        <w:pageBreakBefore w:val="0"/>
        <w:widowControl w:val="0"/>
        <w:kinsoku/>
        <w:wordWrap/>
        <w:overflowPunct/>
        <w:topLinePunct w:val="0"/>
        <w:bidi w:val="0"/>
        <w:adjustRightInd/>
        <w:snapToGrid/>
        <w:spacing w:line="480" w:lineRule="exact"/>
        <w:ind w:right="0"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项目实施方案</w:t>
      </w:r>
    </w:p>
    <w:p w14:paraId="060385C1">
      <w:pPr>
        <w:pStyle w:val="43"/>
        <w:keepNext w:val="0"/>
        <w:keepLines w:val="0"/>
        <w:pageBreakBefore w:val="0"/>
        <w:widowControl w:val="0"/>
        <w:kinsoku/>
        <w:wordWrap/>
        <w:overflowPunct/>
        <w:topLinePunct w:val="0"/>
        <w:bidi w:val="0"/>
        <w:adjustRightInd/>
        <w:snapToGrid/>
        <w:spacing w:line="480" w:lineRule="exact"/>
        <w:ind w:right="0"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培训方案</w:t>
      </w:r>
    </w:p>
    <w:p w14:paraId="2CD981B5">
      <w:pPr>
        <w:pStyle w:val="43"/>
        <w:keepNext w:val="0"/>
        <w:keepLines w:val="0"/>
        <w:pageBreakBefore w:val="0"/>
        <w:widowControl w:val="0"/>
        <w:kinsoku/>
        <w:wordWrap/>
        <w:overflowPunct/>
        <w:topLinePunct w:val="0"/>
        <w:bidi w:val="0"/>
        <w:adjustRightInd/>
        <w:snapToGrid/>
        <w:spacing w:line="480" w:lineRule="exact"/>
        <w:ind w:right="0"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售后服务方案及承诺</w:t>
      </w:r>
    </w:p>
    <w:p w14:paraId="12AF84BC">
      <w:pPr>
        <w:pStyle w:val="43"/>
        <w:keepNext w:val="0"/>
        <w:keepLines w:val="0"/>
        <w:pageBreakBefore w:val="0"/>
        <w:widowControl w:val="0"/>
        <w:kinsoku/>
        <w:wordWrap/>
        <w:overflowPunct/>
        <w:topLinePunct w:val="0"/>
        <w:bidi w:val="0"/>
        <w:adjustRightInd/>
        <w:snapToGrid/>
        <w:spacing w:line="480" w:lineRule="exact"/>
        <w:ind w:right="0"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投标人认为需要提供的其他材料说明</w:t>
      </w:r>
    </w:p>
    <w:p w14:paraId="7C788302">
      <w:pPr>
        <w:keepNext w:val="0"/>
        <w:keepLines w:val="0"/>
        <w:pageBreakBefore w:val="0"/>
        <w:widowControl w:val="0"/>
        <w:kinsoku/>
        <w:wordWrap/>
        <w:overflowPunct/>
        <w:topLinePunct w:val="0"/>
        <w:autoSpaceDE w:val="0"/>
        <w:autoSpaceDN w:val="0"/>
        <w:bidi w:val="0"/>
        <w:adjustRightInd/>
        <w:snapToGrid/>
        <w:spacing w:line="480" w:lineRule="exact"/>
        <w:ind w:right="0"/>
        <w:textAlignment w:val="auto"/>
        <w:outlineLvl w:val="9"/>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、投标书内容填写说明</w:t>
      </w:r>
    </w:p>
    <w:p w14:paraId="57FD28CA">
      <w:pPr>
        <w:pStyle w:val="43"/>
        <w:keepNext w:val="0"/>
        <w:keepLines w:val="0"/>
        <w:pageBreakBefore w:val="0"/>
        <w:widowControl w:val="0"/>
        <w:kinsoku/>
        <w:wordWrap/>
        <w:overflowPunct/>
        <w:topLinePunct w:val="0"/>
        <w:bidi w:val="0"/>
        <w:adjustRightInd/>
        <w:snapToGrid/>
        <w:spacing w:line="480" w:lineRule="exact"/>
        <w:ind w:right="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 投标人应按招标文件中要求的统一格式填写，无格式的投标人自行编制。</w:t>
      </w:r>
    </w:p>
    <w:p w14:paraId="3617AE53">
      <w:pPr>
        <w:pStyle w:val="43"/>
        <w:keepNext w:val="0"/>
        <w:keepLines w:val="0"/>
        <w:pageBreakBefore w:val="0"/>
        <w:widowControl w:val="0"/>
        <w:kinsoku/>
        <w:wordWrap/>
        <w:overflowPunct/>
        <w:topLinePunct w:val="0"/>
        <w:bidi w:val="0"/>
        <w:adjustRightInd/>
        <w:snapToGrid/>
        <w:spacing w:line="480" w:lineRule="exact"/>
        <w:ind w:right="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 开标一览表的内容，要求按格式填写、不能随意涂改。</w:t>
      </w:r>
    </w:p>
    <w:p w14:paraId="3661F8C3">
      <w:pPr>
        <w:pStyle w:val="43"/>
        <w:keepNext w:val="0"/>
        <w:keepLines w:val="0"/>
        <w:pageBreakBefore w:val="0"/>
        <w:widowControl w:val="0"/>
        <w:kinsoku/>
        <w:wordWrap/>
        <w:overflowPunct/>
        <w:topLinePunct w:val="0"/>
        <w:bidi w:val="0"/>
        <w:adjustRightInd/>
        <w:snapToGrid/>
        <w:spacing w:line="480" w:lineRule="exact"/>
        <w:ind w:right="0" w:firstLine="480"/>
        <w:textAlignment w:val="auto"/>
        <w:outlineLvl w:val="9"/>
        <w:rPr>
          <w:rFonts w:hint="eastAsia" w:ascii="仿宋" w:hAnsi="仿宋" w:eastAsia="仿宋" w:cs="仿宋"/>
          <w:color w:val="auto"/>
          <w:sz w:val="24"/>
          <w:highlight w:val="none"/>
          <w:u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 xml:space="preserve">.3 </w:t>
      </w:r>
      <w:r>
        <w:rPr>
          <w:rFonts w:hint="eastAsia" w:ascii="仿宋" w:hAnsi="仿宋" w:eastAsia="仿宋" w:cs="仿宋"/>
          <w:b/>
          <w:color w:val="auto"/>
          <w:sz w:val="24"/>
          <w:highlight w:val="none"/>
          <w:u w:val="none"/>
        </w:rPr>
        <w:t>投标人按招标文件要求编制投标文件。</w:t>
      </w:r>
    </w:p>
    <w:p w14:paraId="440E1F92">
      <w:pPr>
        <w:keepNext w:val="0"/>
        <w:keepLines w:val="0"/>
        <w:pageBreakBefore w:val="0"/>
        <w:widowControl w:val="0"/>
        <w:kinsoku/>
        <w:wordWrap/>
        <w:overflowPunct/>
        <w:topLinePunct w:val="0"/>
        <w:bidi w:val="0"/>
        <w:adjustRightInd/>
        <w:snapToGrid/>
        <w:spacing w:line="480" w:lineRule="exact"/>
        <w:ind w:right="0"/>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、投标报价</w:t>
      </w:r>
    </w:p>
    <w:p w14:paraId="7907F2A1">
      <w:pPr>
        <w:keepNext w:val="0"/>
        <w:keepLines w:val="0"/>
        <w:pageBreakBefore w:val="0"/>
        <w:widowControl w:val="0"/>
        <w:kinsoku/>
        <w:wordWrap/>
        <w:overflowPunct/>
        <w:topLinePunct w:val="0"/>
        <w:bidi w:val="0"/>
        <w:adjustRightInd/>
        <w:snapToGrid/>
        <w:spacing w:line="480" w:lineRule="exact"/>
        <w:ind w:right="0" w:firstLine="480" w:firstLineChars="20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 xml:space="preserve">.1 </w:t>
      </w:r>
      <w:r>
        <w:rPr>
          <w:rFonts w:hint="eastAsia" w:ascii="仿宋" w:hAnsi="仿宋" w:eastAsia="仿宋" w:cs="仿宋"/>
          <w:b/>
          <w:color w:val="auto"/>
          <w:sz w:val="24"/>
          <w:szCs w:val="24"/>
          <w:highlight w:val="none"/>
          <w:u w:val="single"/>
        </w:rPr>
        <w:t>投标报价超过</w:t>
      </w:r>
      <w:r>
        <w:rPr>
          <w:rFonts w:hint="eastAsia" w:ascii="仿宋" w:hAnsi="仿宋" w:eastAsia="仿宋" w:cs="仿宋"/>
          <w:b/>
          <w:color w:val="auto"/>
          <w:sz w:val="24"/>
          <w:szCs w:val="24"/>
          <w:highlight w:val="none"/>
          <w:u w:val="single"/>
          <w:lang w:val="en-US" w:eastAsia="zh-CN"/>
        </w:rPr>
        <w:t>最高限价</w:t>
      </w:r>
      <w:r>
        <w:rPr>
          <w:rFonts w:hint="eastAsia" w:ascii="仿宋" w:hAnsi="仿宋" w:eastAsia="仿宋" w:cs="仿宋"/>
          <w:b/>
          <w:color w:val="auto"/>
          <w:sz w:val="24"/>
          <w:szCs w:val="24"/>
          <w:highlight w:val="none"/>
          <w:u w:val="single"/>
        </w:rPr>
        <w:t>的，报价无效，其投标应作</w:t>
      </w:r>
      <w:r>
        <w:rPr>
          <w:rFonts w:hint="eastAsia" w:ascii="仿宋" w:hAnsi="仿宋" w:eastAsia="仿宋" w:cs="仿宋"/>
          <w:b/>
          <w:color w:val="auto"/>
          <w:sz w:val="24"/>
          <w:szCs w:val="24"/>
          <w:highlight w:val="none"/>
          <w:u w:val="single"/>
          <w:lang w:val="en-US" w:eastAsia="zh-CN"/>
        </w:rPr>
        <w:t>无效标</w:t>
      </w:r>
      <w:r>
        <w:rPr>
          <w:rFonts w:hint="eastAsia" w:ascii="仿宋" w:hAnsi="仿宋" w:eastAsia="仿宋" w:cs="仿宋"/>
          <w:b/>
          <w:color w:val="auto"/>
          <w:sz w:val="24"/>
          <w:szCs w:val="24"/>
          <w:highlight w:val="none"/>
          <w:u w:val="single"/>
        </w:rPr>
        <w:t>处理</w:t>
      </w:r>
      <w:r>
        <w:rPr>
          <w:rFonts w:hint="eastAsia" w:ascii="仿宋" w:hAnsi="仿宋" w:eastAsia="仿宋" w:cs="仿宋"/>
          <w:color w:val="auto"/>
          <w:sz w:val="24"/>
          <w:highlight w:val="none"/>
          <w:lang w:eastAsia="zh-CN"/>
        </w:rPr>
        <w:t>。</w:t>
      </w:r>
    </w:p>
    <w:p w14:paraId="777A02F8">
      <w:pPr>
        <w:keepNext w:val="0"/>
        <w:keepLines w:val="0"/>
        <w:pageBreakBefore w:val="0"/>
        <w:widowControl w:val="0"/>
        <w:kinsoku/>
        <w:wordWrap/>
        <w:overflowPunct/>
        <w:topLinePunct w:val="0"/>
        <w:bidi w:val="0"/>
        <w:adjustRightInd/>
        <w:snapToGrid/>
        <w:spacing w:line="480" w:lineRule="exact"/>
        <w:ind w:right="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1</w:t>
      </w:r>
      <w:r>
        <w:rPr>
          <w:rFonts w:hint="eastAsia" w:ascii="仿宋" w:hAnsi="仿宋" w:eastAsia="仿宋" w:cs="仿宋"/>
          <w:bCs/>
          <w:color w:val="auto"/>
          <w:kern w:val="0"/>
          <w:sz w:val="24"/>
          <w:highlight w:val="none"/>
          <w:lang w:val="en-US" w:eastAsia="zh-CN"/>
        </w:rPr>
        <w:t>0</w:t>
      </w:r>
      <w:r>
        <w:rPr>
          <w:rFonts w:hint="eastAsia" w:ascii="仿宋" w:hAnsi="仿宋" w:eastAsia="仿宋" w:cs="仿宋"/>
          <w:bCs/>
          <w:color w:val="auto"/>
          <w:kern w:val="0"/>
          <w:sz w:val="24"/>
          <w:highlight w:val="none"/>
        </w:rPr>
        <w:t>.2 投标报价为本招标文件所确定的招标范围内的全部工作内容的价格体现。</w:t>
      </w:r>
      <w:r>
        <w:rPr>
          <w:rFonts w:hint="eastAsia" w:ascii="仿宋" w:hAnsi="仿宋" w:eastAsia="仿宋" w:cs="仿宋"/>
          <w:color w:val="auto"/>
          <w:sz w:val="24"/>
          <w:highlight w:val="none"/>
        </w:rPr>
        <w:t>任何有选择的报价将不予接受，</w:t>
      </w:r>
      <w:r>
        <w:rPr>
          <w:rFonts w:hint="eastAsia" w:ascii="仿宋" w:hAnsi="仿宋" w:eastAsia="仿宋" w:cs="仿宋"/>
          <w:color w:val="auto"/>
          <w:sz w:val="24"/>
          <w:highlight w:val="none"/>
          <w:lang w:eastAsia="zh-CN"/>
        </w:rPr>
        <w:t>清单</w:t>
      </w:r>
      <w:r>
        <w:rPr>
          <w:rFonts w:hint="eastAsia" w:ascii="仿宋" w:hAnsi="仿宋" w:eastAsia="仿宋" w:cs="仿宋"/>
          <w:color w:val="auto"/>
          <w:sz w:val="24"/>
          <w:highlight w:val="none"/>
          <w:lang w:val="en-US" w:eastAsia="zh-CN"/>
        </w:rPr>
        <w:t>上的</w:t>
      </w:r>
      <w:r>
        <w:rPr>
          <w:rFonts w:hint="eastAsia" w:ascii="仿宋" w:hAnsi="仿宋" w:eastAsia="仿宋" w:cs="仿宋"/>
          <w:color w:val="auto"/>
          <w:sz w:val="24"/>
          <w:highlight w:val="none"/>
        </w:rPr>
        <w:t>每种</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只允许有一个报价。其它各类报价也只允许有一个报价（除非</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另有约定）。</w:t>
      </w:r>
    </w:p>
    <w:p w14:paraId="16F198B6">
      <w:pPr>
        <w:keepNext w:val="0"/>
        <w:keepLines w:val="0"/>
        <w:pageBreakBefore w:val="0"/>
        <w:widowControl w:val="0"/>
        <w:kinsoku/>
        <w:wordWrap/>
        <w:overflowPunct/>
        <w:topLinePunct w:val="0"/>
        <w:bidi w:val="0"/>
        <w:adjustRightInd/>
        <w:snapToGrid/>
        <w:spacing w:line="480" w:lineRule="exact"/>
        <w:ind w:right="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 xml:space="preserve">.3 </w:t>
      </w:r>
      <w:r>
        <w:rPr>
          <w:rFonts w:hint="eastAsia" w:ascii="仿宋" w:hAnsi="仿宋" w:eastAsia="仿宋" w:cs="仿宋"/>
          <w:b/>
          <w:bCs/>
          <w:color w:val="auto"/>
          <w:kern w:val="0"/>
          <w:sz w:val="24"/>
          <w:szCs w:val="24"/>
          <w:highlight w:val="none"/>
          <w:lang w:val="en-US" w:eastAsia="zh-CN"/>
        </w:rPr>
        <w:t>报价大小写不一致的，以大写金额为准；</w:t>
      </w:r>
      <w:r>
        <w:rPr>
          <w:rFonts w:hint="eastAsia" w:ascii="仿宋" w:hAnsi="仿宋" w:eastAsia="仿宋" w:cs="仿宋"/>
          <w:b/>
          <w:bCs/>
          <w:color w:val="auto"/>
          <w:sz w:val="24"/>
          <w:highlight w:val="none"/>
        </w:rPr>
        <w:t>当分项价之和与总价不符时，以分项价为准</w:t>
      </w:r>
      <w:r>
        <w:rPr>
          <w:rFonts w:hint="eastAsia" w:ascii="仿宋" w:hAnsi="仿宋" w:eastAsia="仿宋" w:cs="仿宋"/>
          <w:b/>
          <w:bCs/>
          <w:color w:val="auto"/>
          <w:sz w:val="24"/>
          <w:highlight w:val="none"/>
          <w:lang w:val="en-US" w:eastAsia="zh-CN"/>
        </w:rPr>
        <w:t>修正总价</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开标一览表内容与投标文件相应内容不一致的，以开标一览表为准，电子招投标的，以开启报价环节显示的内容为准。</w:t>
      </w:r>
    </w:p>
    <w:p w14:paraId="23925033">
      <w:pPr>
        <w:keepNext w:val="0"/>
        <w:keepLines w:val="0"/>
        <w:pageBreakBefore w:val="0"/>
        <w:widowControl w:val="0"/>
        <w:kinsoku/>
        <w:wordWrap/>
        <w:overflowPunct/>
        <w:topLinePunct w:val="0"/>
        <w:bidi w:val="0"/>
        <w:adjustRightInd/>
        <w:snapToGrid/>
        <w:spacing w:line="480" w:lineRule="exact"/>
        <w:ind w:right="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 报价币种为人民币，进口部分也应以人民币报价。</w:t>
      </w:r>
    </w:p>
    <w:p w14:paraId="785BC9D7">
      <w:pPr>
        <w:keepNext w:val="0"/>
        <w:keepLines w:val="0"/>
        <w:pageBreakBefore w:val="0"/>
        <w:widowControl w:val="0"/>
        <w:kinsoku/>
        <w:wordWrap/>
        <w:overflowPunct/>
        <w:topLinePunct w:val="0"/>
        <w:bidi w:val="0"/>
        <w:adjustRightInd/>
        <w:snapToGrid/>
        <w:spacing w:line="480" w:lineRule="exact"/>
        <w:ind w:right="0" w:firstLine="480" w:firstLineChars="20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 xml:space="preserve"> 投标文件中的总价金额与单价计算出的结果不一致的，以单价金额为准修正总价，但单价金额小数点有明显错误的除外。</w:t>
      </w:r>
    </w:p>
    <w:p w14:paraId="15097D32">
      <w:pPr>
        <w:keepNext w:val="0"/>
        <w:keepLines w:val="0"/>
        <w:pageBreakBefore w:val="0"/>
        <w:widowControl w:val="0"/>
        <w:kinsoku/>
        <w:wordWrap/>
        <w:overflowPunct/>
        <w:topLinePunct w:val="0"/>
        <w:bidi w:val="0"/>
        <w:adjustRightInd/>
        <w:snapToGrid/>
        <w:spacing w:line="480" w:lineRule="exact"/>
        <w:ind w:right="0" w:firstLine="480" w:firstLineChars="20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10.6 </w:t>
      </w:r>
      <w:r>
        <w:rPr>
          <w:rFonts w:hint="eastAsia" w:ascii="仿宋" w:hAnsi="仿宋" w:eastAsia="仿宋" w:cs="仿宋"/>
          <w:color w:val="auto"/>
          <w:sz w:val="24"/>
          <w:highlight w:val="none"/>
          <w:lang w:eastAsia="zh-CN"/>
        </w:rPr>
        <w:t>在评标过程中，评标委员会认为投标人报价明显低于其他有效投标人报价，有可能影响</w:t>
      </w:r>
      <w:r>
        <w:rPr>
          <w:rFonts w:hint="eastAsia" w:ascii="仿宋" w:hAnsi="仿宋" w:eastAsia="仿宋" w:cs="仿宋"/>
          <w:color w:val="auto"/>
          <w:sz w:val="24"/>
          <w:highlight w:val="none"/>
          <w:lang w:val="en-US" w:eastAsia="zh-CN"/>
        </w:rPr>
        <w:t>服务内容及要求</w:t>
      </w:r>
      <w:r>
        <w:rPr>
          <w:rFonts w:hint="eastAsia" w:ascii="仿宋" w:hAnsi="仿宋" w:eastAsia="仿宋" w:cs="仿宋"/>
          <w:color w:val="auto"/>
          <w:sz w:val="24"/>
          <w:highlight w:val="none"/>
          <w:lang w:eastAsia="zh-CN"/>
        </w:rPr>
        <w:t>或者不能诚信履约的，评标委员会应当要求其在合理的时间内提供成本构成说明，并提交相关证明材料。供应商书面说明应当按照国家财务会计制度的规定要求，逐项就供应商提供的货物、服务和工程的主营业务成本（应根据供应商企业类型予以区别）、税金及附加、销售费用、管理费用、财务费用等成本构成事项详细陈述。</w:t>
      </w:r>
    </w:p>
    <w:p w14:paraId="6B2AEE4E">
      <w:pPr>
        <w:keepNext w:val="0"/>
        <w:keepLines w:val="0"/>
        <w:pageBreakBefore w:val="0"/>
        <w:widowControl w:val="0"/>
        <w:kinsoku/>
        <w:wordWrap/>
        <w:overflowPunct/>
        <w:topLinePunct w:val="0"/>
        <w:autoSpaceDE/>
        <w:autoSpaceDN/>
        <w:bidi w:val="0"/>
        <w:adjustRightInd/>
        <w:snapToGrid/>
        <w:spacing w:line="500" w:lineRule="exact"/>
        <w:ind w:right="0" w:firstLine="482" w:firstLineChars="20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供应商书面说明应当签字确认</w:t>
      </w:r>
      <w:r>
        <w:rPr>
          <w:rFonts w:hint="eastAsia" w:ascii="仿宋" w:hAnsi="仿宋" w:eastAsia="仿宋" w:cs="仿宋"/>
          <w:b/>
          <w:bCs/>
          <w:color w:val="auto"/>
          <w:sz w:val="24"/>
          <w:highlight w:val="none"/>
          <w:lang w:val="en-US" w:eastAsia="zh-CN"/>
        </w:rPr>
        <w:t>并</w:t>
      </w:r>
      <w:r>
        <w:rPr>
          <w:rFonts w:hint="eastAsia" w:ascii="仿宋" w:hAnsi="仿宋" w:eastAsia="仿宋" w:cs="仿宋"/>
          <w:b/>
          <w:bCs/>
          <w:color w:val="auto"/>
          <w:sz w:val="24"/>
          <w:highlight w:val="none"/>
          <w:lang w:eastAsia="zh-CN"/>
        </w:rPr>
        <w:t>加盖公章，否则无效。书面说明的签字确认，供应商为法人的，由其法定代表人</w:t>
      </w:r>
      <w:r>
        <w:rPr>
          <w:rFonts w:hint="eastAsia" w:ascii="仿宋" w:hAnsi="仿宋" w:eastAsia="仿宋" w:cs="仿宋"/>
          <w:b/>
          <w:bCs/>
          <w:color w:val="auto"/>
          <w:sz w:val="24"/>
          <w:highlight w:val="none"/>
          <w:lang w:val="en-US" w:eastAsia="zh-CN"/>
        </w:rPr>
        <w:t>及</w:t>
      </w:r>
      <w:r>
        <w:rPr>
          <w:rFonts w:hint="eastAsia" w:ascii="仿宋" w:hAnsi="仿宋" w:eastAsia="仿宋" w:cs="仿宋"/>
          <w:b/>
          <w:bCs/>
          <w:color w:val="auto"/>
          <w:sz w:val="24"/>
          <w:highlight w:val="none"/>
          <w:lang w:eastAsia="zh-CN"/>
        </w:rPr>
        <w:t>代理人签字确认；供应商为其他组织的，由其主要负责人</w:t>
      </w:r>
      <w:r>
        <w:rPr>
          <w:rFonts w:hint="eastAsia" w:ascii="仿宋" w:hAnsi="仿宋" w:eastAsia="仿宋" w:cs="仿宋"/>
          <w:b/>
          <w:bCs/>
          <w:color w:val="auto"/>
          <w:sz w:val="24"/>
          <w:highlight w:val="none"/>
          <w:lang w:val="en-US" w:eastAsia="zh-CN"/>
        </w:rPr>
        <w:t>及</w:t>
      </w:r>
      <w:r>
        <w:rPr>
          <w:rFonts w:hint="eastAsia" w:ascii="仿宋" w:hAnsi="仿宋" w:eastAsia="仿宋" w:cs="仿宋"/>
          <w:b/>
          <w:bCs/>
          <w:color w:val="auto"/>
          <w:sz w:val="24"/>
          <w:highlight w:val="none"/>
          <w:lang w:eastAsia="zh-CN"/>
        </w:rPr>
        <w:t>代理人签字确认；供应商为自然人的，由其本人</w:t>
      </w:r>
      <w:r>
        <w:rPr>
          <w:rFonts w:hint="eastAsia" w:ascii="仿宋" w:hAnsi="仿宋" w:eastAsia="仿宋" w:cs="仿宋"/>
          <w:b/>
          <w:bCs/>
          <w:color w:val="auto"/>
          <w:sz w:val="24"/>
          <w:highlight w:val="none"/>
          <w:lang w:val="en-US" w:eastAsia="zh-CN"/>
        </w:rPr>
        <w:t>及</w:t>
      </w:r>
      <w:r>
        <w:rPr>
          <w:rFonts w:hint="eastAsia" w:ascii="仿宋" w:hAnsi="仿宋" w:eastAsia="仿宋" w:cs="仿宋"/>
          <w:b/>
          <w:bCs/>
          <w:color w:val="auto"/>
          <w:sz w:val="24"/>
          <w:highlight w:val="none"/>
          <w:lang w:eastAsia="zh-CN"/>
        </w:rPr>
        <w:t>代理人签字确认。</w:t>
      </w:r>
      <w:r>
        <w:rPr>
          <w:rFonts w:hint="eastAsia" w:ascii="仿宋" w:hAnsi="仿宋" w:eastAsia="仿宋" w:cs="仿宋"/>
          <w:b/>
          <w:bCs/>
          <w:color w:val="auto"/>
          <w:sz w:val="24"/>
          <w:highlight w:val="none"/>
          <w:lang w:val="en-US" w:eastAsia="zh-CN"/>
        </w:rPr>
        <w:t xml:space="preserve"> </w:t>
      </w:r>
    </w:p>
    <w:p w14:paraId="49D4B730">
      <w:pPr>
        <w:keepNext w:val="0"/>
        <w:keepLines w:val="0"/>
        <w:pageBreakBefore w:val="0"/>
        <w:widowControl w:val="0"/>
        <w:kinsoku/>
        <w:wordWrap/>
        <w:overflowPunct/>
        <w:topLinePunct w:val="0"/>
        <w:autoSpaceDE/>
        <w:autoSpaceDN/>
        <w:bidi w:val="0"/>
        <w:adjustRightInd/>
        <w:snapToGrid/>
        <w:spacing w:line="500" w:lineRule="exact"/>
        <w:ind w:right="0" w:firstLine="482" w:firstLineChars="200"/>
        <w:textAlignment w:val="auto"/>
        <w:outlineLvl w:val="9"/>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供应商提供</w:t>
      </w:r>
      <w:r>
        <w:rPr>
          <w:rFonts w:hint="eastAsia" w:ascii="仿宋" w:hAnsi="仿宋" w:eastAsia="仿宋" w:cs="仿宋"/>
          <w:b/>
          <w:bCs/>
          <w:color w:val="auto"/>
          <w:sz w:val="24"/>
          <w:highlight w:val="none"/>
          <w:lang w:val="en-US" w:eastAsia="zh-CN"/>
        </w:rPr>
        <w:t>书面</w:t>
      </w:r>
      <w:r>
        <w:rPr>
          <w:rFonts w:hint="eastAsia" w:ascii="仿宋" w:hAnsi="仿宋" w:eastAsia="仿宋" w:cs="仿宋"/>
          <w:b/>
          <w:bCs/>
          <w:color w:val="auto"/>
          <w:sz w:val="24"/>
          <w:highlight w:val="none"/>
          <w:lang w:eastAsia="zh-CN"/>
        </w:rPr>
        <w:t>说明后，评标委员会应当结合项目</w:t>
      </w:r>
      <w:r>
        <w:rPr>
          <w:rFonts w:hint="eastAsia" w:ascii="仿宋" w:hAnsi="仿宋" w:eastAsia="仿宋" w:cs="仿宋"/>
          <w:b/>
          <w:bCs/>
          <w:color w:val="auto"/>
          <w:sz w:val="24"/>
          <w:highlight w:val="none"/>
          <w:lang w:val="en-US" w:eastAsia="zh-CN"/>
        </w:rPr>
        <w:t>采购内容及要求</w:t>
      </w:r>
      <w:r>
        <w:rPr>
          <w:rFonts w:hint="eastAsia" w:ascii="仿宋" w:hAnsi="仿宋" w:eastAsia="仿宋" w:cs="仿宋"/>
          <w:b/>
          <w:bCs/>
          <w:color w:val="auto"/>
          <w:sz w:val="24"/>
          <w:highlight w:val="none"/>
          <w:lang w:eastAsia="zh-CN"/>
        </w:rPr>
        <w:t>、专业实际情况、供应商财务状况报告、与其他供应商比较情况等就供应商书面说明进行审查评价。供应商拒绝或者变相拒绝提供有效书面说明或者书面说明不能证明其报价合理性的，评标委员会应当将其投标响应文件作为无效处理。</w:t>
      </w:r>
    </w:p>
    <w:p w14:paraId="6ECA5C36">
      <w:pPr>
        <w:keepNext w:val="0"/>
        <w:keepLines w:val="0"/>
        <w:pageBreakBefore w:val="0"/>
        <w:widowControl/>
        <w:kinsoku/>
        <w:wordWrap/>
        <w:overflowPunct/>
        <w:topLinePunct w:val="0"/>
        <w:autoSpaceDE/>
        <w:autoSpaceDN/>
        <w:bidi w:val="0"/>
        <w:adjustRightInd w:val="0"/>
        <w:snapToGrid/>
        <w:spacing w:line="48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10.7</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bCs/>
          <w:color w:val="auto"/>
          <w:sz w:val="24"/>
          <w:szCs w:val="24"/>
          <w:highlight w:val="none"/>
          <w:lang w:val="en-US" w:eastAsia="zh-CN"/>
        </w:rPr>
        <w:t>本项目为专门面向中小企业的项目，故不再进行价格扣除</w:t>
      </w:r>
      <w:r>
        <w:rPr>
          <w:rFonts w:hint="eastAsia" w:ascii="仿宋" w:hAnsi="仿宋" w:eastAsia="仿宋" w:cs="仿宋"/>
          <w:b w:val="0"/>
          <w:bCs w:val="0"/>
          <w:color w:val="auto"/>
          <w:sz w:val="24"/>
          <w:szCs w:val="24"/>
          <w:highlight w:val="none"/>
          <w:lang w:val="en-US" w:eastAsia="zh-CN"/>
        </w:rPr>
        <w:t>。</w:t>
      </w:r>
    </w:p>
    <w:p w14:paraId="3587AB89">
      <w:pPr>
        <w:keepNext w:val="0"/>
        <w:keepLines w:val="0"/>
        <w:pageBreakBefore w:val="0"/>
        <w:widowControl/>
        <w:kinsoku/>
        <w:wordWrap/>
        <w:overflowPunct/>
        <w:topLinePunct w:val="0"/>
        <w:autoSpaceDE/>
        <w:autoSpaceDN/>
        <w:bidi w:val="0"/>
        <w:adjustRightInd w:val="0"/>
        <w:snapToGrid/>
        <w:spacing w:line="48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根据财政部、工业和信息化部关于印发《政府采购促进中小企业发展管理办法》（财库﹝2020﹞46号）的通知，投标人及其所投产品的制造商均属于《工业和信息化部、国家统计局、国家发展和改革委员会、财政部关于印发中小企业划型标准规定的通知》(工信部联企业[2011]300号)中规定的小型、微型企业标准的，需提供《中小企业声明函》 。</w:t>
      </w:r>
    </w:p>
    <w:p w14:paraId="335F73AB">
      <w:pPr>
        <w:keepNext w:val="0"/>
        <w:keepLines w:val="0"/>
        <w:pageBreakBefore w:val="0"/>
        <w:widowControl/>
        <w:kinsoku/>
        <w:wordWrap/>
        <w:overflowPunct/>
        <w:topLinePunct w:val="0"/>
        <w:autoSpaceDE/>
        <w:autoSpaceDN/>
        <w:bidi w:val="0"/>
        <w:adjustRightInd w:val="0"/>
        <w:snapToGrid/>
        <w:spacing w:line="48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财政部、司法部《关于政府采购支持监狱企业发展有关问题》的通知(财库[2014168号)监狱企业参加本项目投标时，应当提供由省级以上监狱管理局、戒毒管理局(新疆生产建设兵团)出具的属于监狱企业的证明文件。监狱企业视同小型、微型企业。</w:t>
      </w:r>
    </w:p>
    <w:p w14:paraId="2BB498DF">
      <w:pPr>
        <w:keepNext w:val="0"/>
        <w:keepLines w:val="0"/>
        <w:pageBreakBefore w:val="0"/>
        <w:widowControl/>
        <w:kinsoku/>
        <w:wordWrap/>
        <w:overflowPunct/>
        <w:topLinePunct w:val="0"/>
        <w:autoSpaceDE/>
        <w:autoSpaceDN/>
        <w:bidi w:val="0"/>
        <w:adjustRightInd w:val="0"/>
        <w:snapToGrid/>
        <w:spacing w:line="480" w:lineRule="exact"/>
        <w:ind w:firstLine="480" w:firstLineChars="200"/>
        <w:textAlignment w:val="auto"/>
        <w:outlineLvl w:val="9"/>
        <w:rPr>
          <w:rFonts w:hint="eastAsia" w:ascii="仿宋" w:hAnsi="仿宋" w:eastAsia="仿宋" w:cs="仿宋"/>
          <w:color w:val="auto"/>
          <w:sz w:val="24"/>
          <w:szCs w:val="22"/>
          <w:highlight w:val="none"/>
        </w:rPr>
      </w:pPr>
      <w:r>
        <w:rPr>
          <w:rFonts w:hint="eastAsia" w:ascii="仿宋" w:hAnsi="仿宋" w:eastAsia="仿宋" w:cs="仿宋"/>
          <w:color w:val="auto"/>
          <w:sz w:val="24"/>
          <w:highlight w:val="none"/>
        </w:rPr>
        <w:t>（3）根据财政部、民政部、中国残疾人联合会《关于促进残疾人就业政府采购政策的通知》(财库[2017]141号)，在政府采购活动中,残疾人福利性单位视同小型、微型</w:t>
      </w:r>
      <w:r>
        <w:rPr>
          <w:rFonts w:hint="eastAsia" w:ascii="仿宋" w:hAnsi="仿宋" w:eastAsia="仿宋" w:cs="仿宋"/>
          <w:color w:val="auto"/>
          <w:sz w:val="24"/>
          <w:szCs w:val="22"/>
          <w:highlight w:val="none"/>
        </w:rPr>
        <w:t>企业。投标人属于残疾人福利性单位的,需提供《残疾人福利性单位声明函》。</w:t>
      </w:r>
    </w:p>
    <w:p w14:paraId="1A44C38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highlight w:val="none"/>
        </w:rPr>
        <w:t>注：声明函格式</w:t>
      </w:r>
      <w:r>
        <w:rPr>
          <w:rFonts w:hint="eastAsia" w:ascii="仿宋" w:hAnsi="仿宋" w:eastAsia="仿宋" w:cs="仿宋"/>
          <w:b/>
          <w:bCs/>
          <w:color w:val="auto"/>
          <w:sz w:val="24"/>
          <w:highlight w:val="none"/>
          <w:lang w:val="en-US" w:eastAsia="zh-CN"/>
        </w:rPr>
        <w:t>根据《政府采购促进中小企业发展暂行办法》(财库﹝2020﹞46号)相关规定格式填写</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本项目所属行业为</w:t>
      </w:r>
      <w:r>
        <w:rPr>
          <w:rFonts w:hint="eastAsia" w:ascii="仿宋" w:hAnsi="仿宋" w:eastAsia="仿宋" w:cs="仿宋"/>
          <w:b/>
          <w:bCs/>
          <w:color w:val="auto"/>
          <w:sz w:val="24"/>
          <w:highlight w:val="none"/>
          <w:u w:val="single"/>
          <w:lang w:val="en-US" w:eastAsia="zh-CN"/>
        </w:rPr>
        <w:t xml:space="preserve"> 工业（制造业） </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投标单位对声明的真实性负责。如有虚假，本次投标作无效标处理（已</w:t>
      </w:r>
      <w:r>
        <w:rPr>
          <w:rFonts w:hint="eastAsia" w:ascii="仿宋" w:hAnsi="仿宋" w:eastAsia="仿宋" w:cs="仿宋"/>
          <w:b/>
          <w:bCs/>
          <w:color w:val="auto"/>
          <w:sz w:val="24"/>
          <w:highlight w:val="none"/>
          <w:lang w:val="en-US" w:eastAsia="zh-CN"/>
        </w:rPr>
        <w:t>中标</w:t>
      </w:r>
      <w:r>
        <w:rPr>
          <w:rFonts w:hint="eastAsia" w:ascii="仿宋" w:hAnsi="仿宋" w:eastAsia="仿宋" w:cs="仿宋"/>
          <w:b/>
          <w:bCs/>
          <w:color w:val="auto"/>
          <w:sz w:val="24"/>
          <w:highlight w:val="none"/>
        </w:rPr>
        <w:t>的</w:t>
      </w:r>
      <w:r>
        <w:rPr>
          <w:rFonts w:hint="eastAsia" w:ascii="仿宋" w:hAnsi="仿宋" w:eastAsia="仿宋" w:cs="仿宋"/>
          <w:b/>
          <w:bCs/>
          <w:color w:val="auto"/>
          <w:sz w:val="24"/>
          <w:highlight w:val="none"/>
          <w:lang w:val="en-US" w:eastAsia="zh-CN"/>
        </w:rPr>
        <w:t>中标</w:t>
      </w:r>
      <w:r>
        <w:rPr>
          <w:rFonts w:hint="eastAsia" w:ascii="仿宋" w:hAnsi="仿宋" w:eastAsia="仿宋" w:cs="仿宋"/>
          <w:b/>
          <w:bCs/>
          <w:color w:val="auto"/>
          <w:sz w:val="24"/>
          <w:highlight w:val="none"/>
        </w:rPr>
        <w:t>无效），采购代理机构有权力不退还投标保证金和</w:t>
      </w:r>
      <w:r>
        <w:rPr>
          <w:rFonts w:hint="eastAsia" w:ascii="仿宋" w:hAnsi="仿宋" w:eastAsia="仿宋" w:cs="仿宋"/>
          <w:b/>
          <w:bCs/>
          <w:color w:val="auto"/>
          <w:sz w:val="24"/>
          <w:highlight w:val="none"/>
          <w:lang w:val="en-US" w:eastAsia="zh-CN"/>
        </w:rPr>
        <w:t>中标</w:t>
      </w:r>
      <w:r>
        <w:rPr>
          <w:rFonts w:hint="eastAsia" w:ascii="仿宋" w:hAnsi="仿宋" w:eastAsia="仿宋" w:cs="仿宋"/>
          <w:b/>
          <w:bCs/>
          <w:color w:val="auto"/>
          <w:sz w:val="24"/>
          <w:highlight w:val="none"/>
        </w:rPr>
        <w:t>服务费，且有权上报政府采购监管部门，并建议监管部门将</w:t>
      </w:r>
      <w:r>
        <w:rPr>
          <w:rFonts w:hint="eastAsia" w:ascii="仿宋" w:hAnsi="仿宋" w:eastAsia="仿宋" w:cs="仿宋"/>
          <w:b/>
          <w:bCs/>
          <w:color w:val="auto"/>
          <w:sz w:val="24"/>
          <w:highlight w:val="none"/>
          <w:lang w:val="en-US" w:eastAsia="zh-CN"/>
        </w:rPr>
        <w:t>其</w:t>
      </w:r>
      <w:r>
        <w:rPr>
          <w:rFonts w:hint="eastAsia" w:ascii="仿宋" w:hAnsi="仿宋" w:eastAsia="仿宋" w:cs="仿宋"/>
          <w:b/>
          <w:bCs/>
          <w:color w:val="auto"/>
          <w:sz w:val="24"/>
          <w:highlight w:val="none"/>
        </w:rPr>
        <w:t>列入不良行为记录名单，在一至三年内禁止</w:t>
      </w:r>
      <w:r>
        <w:rPr>
          <w:rFonts w:hint="eastAsia" w:ascii="仿宋" w:hAnsi="仿宋" w:eastAsia="仿宋" w:cs="仿宋"/>
          <w:b/>
          <w:bCs/>
          <w:color w:val="auto"/>
          <w:sz w:val="24"/>
          <w:highlight w:val="none"/>
          <w:lang w:val="en-US" w:eastAsia="zh-CN"/>
        </w:rPr>
        <w:t>其</w:t>
      </w:r>
      <w:r>
        <w:rPr>
          <w:rFonts w:hint="eastAsia" w:ascii="仿宋" w:hAnsi="仿宋" w:eastAsia="仿宋" w:cs="仿宋"/>
          <w:b/>
          <w:bCs/>
          <w:color w:val="auto"/>
          <w:sz w:val="24"/>
          <w:highlight w:val="none"/>
        </w:rPr>
        <w:t>参加政府采购项目并予以通报”</w:t>
      </w:r>
      <w:r>
        <w:rPr>
          <w:rFonts w:hint="eastAsia" w:ascii="仿宋" w:hAnsi="仿宋" w:eastAsia="仿宋" w:cs="仿宋"/>
          <w:b/>
          <w:color w:val="auto"/>
          <w:sz w:val="24"/>
          <w:szCs w:val="24"/>
          <w:highlight w:val="none"/>
        </w:rPr>
        <w:t>。</w:t>
      </w:r>
    </w:p>
    <w:p w14:paraId="25AC9EA0">
      <w:pPr>
        <w:pStyle w:val="21"/>
        <w:outlineLvl w:val="9"/>
        <w:rPr>
          <w:rFonts w:hint="eastAsia" w:ascii="仿宋" w:hAnsi="仿宋" w:eastAsia="仿宋" w:cs="仿宋"/>
          <w:color w:val="auto"/>
          <w:highlight w:val="none"/>
          <w:lang w:val="en-US" w:eastAsia="zh-CN"/>
        </w:rPr>
      </w:pPr>
    </w:p>
    <w:p w14:paraId="063E8C63">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、投标文件的签署及规定</w:t>
      </w:r>
    </w:p>
    <w:p w14:paraId="62C04DD7">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 投标人应按招标文件的要求，认真编制投标文件，投标文件应对招标文件提出的实质性要求和条件做出响应。</w:t>
      </w:r>
    </w:p>
    <w:p w14:paraId="5681D0E4">
      <w:pPr>
        <w:pStyle w:val="43"/>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 投标文件应</w:t>
      </w:r>
      <w:r>
        <w:rPr>
          <w:rFonts w:hint="eastAsia" w:ascii="仿宋" w:hAnsi="仿宋" w:eastAsia="仿宋" w:cs="仿宋"/>
          <w:b w:val="0"/>
          <w:bCs w:val="0"/>
          <w:color w:val="auto"/>
          <w:sz w:val="24"/>
          <w:highlight w:val="none"/>
        </w:rPr>
        <w:t>由</w:t>
      </w:r>
      <w:r>
        <w:rPr>
          <w:rFonts w:hint="eastAsia" w:ascii="仿宋" w:hAnsi="仿宋" w:eastAsia="仿宋" w:cs="仿宋"/>
          <w:b/>
          <w:bCs/>
          <w:color w:val="auto"/>
          <w:sz w:val="24"/>
          <w:highlight w:val="none"/>
        </w:rPr>
        <w:t>投标人的法定代表人</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或其委托代理人</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盖章签字并加盖单位公章</w:t>
      </w:r>
      <w:r>
        <w:rPr>
          <w:rFonts w:hint="eastAsia" w:ascii="仿宋" w:hAnsi="仿宋" w:eastAsia="仿宋" w:cs="仿宋"/>
          <w:color w:val="auto"/>
          <w:sz w:val="24"/>
          <w:highlight w:val="none"/>
        </w:rPr>
        <w:t>。委托代理人签字的，投标文件应附法定代表人签署的授权委托书。投标文件中应尽量避免涂改、行间插字或删除。如果出现上述情况，</w:t>
      </w:r>
      <w:r>
        <w:rPr>
          <w:rFonts w:hint="eastAsia" w:ascii="仿宋" w:hAnsi="仿宋" w:eastAsia="仿宋" w:cs="仿宋"/>
          <w:b/>
          <w:bCs/>
          <w:color w:val="auto"/>
          <w:sz w:val="24"/>
          <w:highlight w:val="none"/>
        </w:rPr>
        <w:t>改动之处应由投标人的法定代表人（或其委托代理人）盖章签字并加盖单位公章</w:t>
      </w:r>
      <w:r>
        <w:rPr>
          <w:rFonts w:hint="eastAsia" w:ascii="仿宋" w:hAnsi="仿宋" w:eastAsia="仿宋" w:cs="仿宋"/>
          <w:color w:val="auto"/>
          <w:sz w:val="24"/>
          <w:highlight w:val="none"/>
        </w:rPr>
        <w:t>。投标文件封面均应由法定代表人盖章签字</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其委托代理人</w:t>
      </w:r>
      <w:r>
        <w:rPr>
          <w:rFonts w:hint="eastAsia" w:ascii="仿宋" w:hAnsi="仿宋" w:eastAsia="仿宋" w:cs="仿宋"/>
          <w:color w:val="auto"/>
          <w:sz w:val="24"/>
          <w:highlight w:val="none"/>
          <w:lang w:val="en-US" w:eastAsia="zh-CN"/>
        </w:rPr>
        <w:t>盖章或签字</w:t>
      </w:r>
      <w:r>
        <w:rPr>
          <w:rFonts w:hint="eastAsia" w:ascii="仿宋" w:hAnsi="仿宋" w:eastAsia="仿宋" w:cs="仿宋"/>
          <w:color w:val="auto"/>
          <w:sz w:val="24"/>
          <w:highlight w:val="none"/>
        </w:rPr>
        <w:t>并加盖单位公章。由委托代理人签字或盖章的投标文件中须同时提交投标文件签署授权委托书。所有复印件须加盖公章，</w:t>
      </w:r>
      <w:r>
        <w:rPr>
          <w:rFonts w:hint="eastAsia" w:ascii="仿宋" w:hAnsi="仿宋" w:eastAsia="仿宋" w:cs="仿宋"/>
          <w:b/>
          <w:bCs/>
          <w:color w:val="auto"/>
          <w:sz w:val="24"/>
          <w:highlight w:val="none"/>
        </w:rPr>
        <w:t>投标文件签署授权委托书</w:t>
      </w:r>
      <w:r>
        <w:rPr>
          <w:rFonts w:hint="eastAsia" w:ascii="仿宋" w:hAnsi="仿宋" w:eastAsia="仿宋" w:cs="仿宋"/>
          <w:b/>
          <w:bCs/>
          <w:color w:val="auto"/>
          <w:sz w:val="24"/>
          <w:highlight w:val="none"/>
          <w:lang w:eastAsia="zh-CN"/>
        </w:rPr>
        <w:t>的</w:t>
      </w:r>
      <w:r>
        <w:rPr>
          <w:rFonts w:hint="eastAsia" w:ascii="仿宋" w:hAnsi="仿宋" w:eastAsia="仿宋" w:cs="仿宋"/>
          <w:b/>
          <w:bCs/>
          <w:color w:val="auto"/>
          <w:sz w:val="24"/>
          <w:highlight w:val="none"/>
        </w:rPr>
        <w:t>格式、签字、盖章及内容均应符合法律规定的要求，否则投标文件签署授权委托书无效。</w:t>
      </w:r>
    </w:p>
    <w:p w14:paraId="464CA60C">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 投标文件一般应无涂改和行间插字现象。表面整洁，如确需涂改（或插字），应在修改之处加盖单位公章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并由投标人的法定代表人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或其授权的代理人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确认。</w:t>
      </w:r>
    </w:p>
    <w:p w14:paraId="051BBB69">
      <w:pPr>
        <w:pStyle w:val="43"/>
        <w:keepNext w:val="0"/>
        <w:keepLines w:val="0"/>
        <w:pageBreakBefore w:val="0"/>
        <w:widowControl w:val="0"/>
        <w:kinsoku/>
        <w:wordWrap/>
        <w:overflowPunct/>
        <w:topLinePunct w:val="0"/>
        <w:autoSpaceDE/>
        <w:autoSpaceDN/>
        <w:bidi w:val="0"/>
        <w:adjustRightInd/>
        <w:snapToGrid/>
        <w:spacing w:line="480" w:lineRule="exact"/>
        <w:ind w:right="0"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、投标保证金</w:t>
      </w:r>
    </w:p>
    <w:p w14:paraId="78381484">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12.1</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highlight w:val="none"/>
        </w:rPr>
        <w:t>采购方因投标人的违规行为而受到损害时将不予退还投标人的</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保证金作为所受损害的补偿。</w:t>
      </w:r>
    </w:p>
    <w:p w14:paraId="526859D4">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12.2 </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应</w:t>
      </w:r>
      <w:r>
        <w:rPr>
          <w:rFonts w:hint="eastAsia" w:ascii="仿宋" w:hAnsi="仿宋" w:eastAsia="仿宋" w:cs="仿宋"/>
          <w:color w:val="auto"/>
          <w:sz w:val="24"/>
          <w:highlight w:val="none"/>
          <w:lang w:val="en-US" w:eastAsia="zh-CN"/>
        </w:rPr>
        <w:t>按采购</w:t>
      </w:r>
      <w:r>
        <w:rPr>
          <w:rFonts w:hint="eastAsia" w:ascii="仿宋" w:hAnsi="仿宋" w:eastAsia="仿宋" w:cs="仿宋"/>
          <w:color w:val="auto"/>
          <w:sz w:val="24"/>
          <w:highlight w:val="none"/>
        </w:rPr>
        <w:t>文件要求提交投标保证金，</w:t>
      </w:r>
      <w:r>
        <w:rPr>
          <w:rFonts w:hint="eastAsia" w:ascii="仿宋" w:hAnsi="仿宋" w:eastAsia="仿宋" w:cs="仿宋"/>
          <w:color w:val="auto"/>
          <w:sz w:val="24"/>
          <w:highlight w:val="none"/>
          <w:lang w:val="en-US" w:eastAsia="zh-CN"/>
        </w:rPr>
        <w:t>未</w:t>
      </w:r>
      <w:r>
        <w:rPr>
          <w:rFonts w:hint="eastAsia" w:ascii="仿宋" w:hAnsi="仿宋" w:eastAsia="仿宋" w:cs="仿宋"/>
          <w:color w:val="auto"/>
          <w:sz w:val="24"/>
          <w:highlight w:val="none"/>
        </w:rPr>
        <w:t>投标无效。</w:t>
      </w:r>
    </w:p>
    <w:p w14:paraId="1D8B3342">
      <w:pPr>
        <w:keepNext w:val="0"/>
        <w:keepLines w:val="0"/>
        <w:pageBreakBefore w:val="0"/>
        <w:widowControl w:val="0"/>
        <w:kinsoku/>
        <w:wordWrap/>
        <w:overflowPunct/>
        <w:topLinePunct w:val="0"/>
        <w:autoSpaceDE/>
        <w:autoSpaceDN/>
        <w:bidi w:val="0"/>
        <w:adjustRightInd/>
        <w:snapToGrid/>
        <w:spacing w:line="480" w:lineRule="exact"/>
        <w:ind w:right="0" w:firstLine="470" w:firstLineChars="196"/>
        <w:textAlignment w:val="auto"/>
        <w:outlineLvl w:val="9"/>
        <w:rPr>
          <w:rFonts w:hint="eastAsia" w:ascii="仿宋" w:hAnsi="仿宋" w:eastAsia="仿宋" w:cs="仿宋"/>
          <w:color w:val="auto"/>
          <w:szCs w:val="21"/>
          <w:highlight w:val="none"/>
          <w:lang w:val="zh-CN"/>
        </w:rPr>
      </w:pPr>
      <w:r>
        <w:rPr>
          <w:rFonts w:hint="eastAsia" w:ascii="仿宋" w:hAnsi="仿宋" w:eastAsia="仿宋" w:cs="仿宋"/>
          <w:color w:val="auto"/>
          <w:sz w:val="24"/>
          <w:highlight w:val="none"/>
          <w:lang w:val="en-US" w:eastAsia="zh-CN"/>
        </w:rPr>
        <w:t xml:space="preserve">12.3 </w:t>
      </w:r>
      <w:r>
        <w:rPr>
          <w:rFonts w:hint="eastAsia" w:ascii="仿宋" w:hAnsi="仿宋" w:eastAsia="仿宋" w:cs="仿宋"/>
          <w:b/>
          <w:color w:val="auto"/>
          <w:sz w:val="24"/>
          <w:highlight w:val="none"/>
          <w:lang w:eastAsia="zh-CN"/>
        </w:rPr>
        <w:t>投标保证金</w:t>
      </w:r>
      <w:r>
        <w:rPr>
          <w:rFonts w:hint="eastAsia" w:ascii="仿宋" w:hAnsi="仿宋" w:eastAsia="仿宋" w:cs="仿宋"/>
          <w:b/>
          <w:color w:val="auto"/>
          <w:sz w:val="24"/>
          <w:highlight w:val="none"/>
        </w:rPr>
        <w:t>其他要求详见</w:t>
      </w:r>
      <w:r>
        <w:rPr>
          <w:rFonts w:hint="eastAsia" w:ascii="仿宋" w:hAnsi="仿宋" w:eastAsia="仿宋" w:cs="仿宋"/>
          <w:b/>
          <w:color w:val="auto"/>
          <w:sz w:val="24"/>
          <w:highlight w:val="none"/>
          <w:lang w:eastAsia="zh-CN"/>
        </w:rPr>
        <w:t>供应商须知前附表</w:t>
      </w:r>
      <w:r>
        <w:rPr>
          <w:rFonts w:hint="eastAsia" w:ascii="仿宋" w:hAnsi="仿宋" w:eastAsia="仿宋" w:cs="仿宋"/>
          <w:b/>
          <w:color w:val="auto"/>
          <w:sz w:val="24"/>
          <w:highlight w:val="none"/>
        </w:rPr>
        <w:t>。</w:t>
      </w:r>
    </w:p>
    <w:p w14:paraId="5C29ACA1">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未</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投标人的</w:t>
      </w:r>
      <w:r>
        <w:rPr>
          <w:rFonts w:hint="eastAsia" w:ascii="仿宋" w:hAnsi="仿宋" w:eastAsia="仿宋" w:cs="仿宋"/>
          <w:color w:val="auto"/>
          <w:sz w:val="24"/>
          <w:highlight w:val="none"/>
          <w:lang w:eastAsia="zh-CN"/>
        </w:rPr>
        <w:t>投标保证金</w:t>
      </w:r>
      <w:r>
        <w:rPr>
          <w:rFonts w:hint="eastAsia" w:ascii="仿宋" w:hAnsi="仿宋" w:eastAsia="仿宋" w:cs="仿宋"/>
          <w:color w:val="auto"/>
          <w:sz w:val="24"/>
          <w:highlight w:val="none"/>
        </w:rPr>
        <w:t>，将在</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通知书发出后5个工作日内无息退还。</w:t>
      </w:r>
    </w:p>
    <w:p w14:paraId="0081CF67">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方的</w:t>
      </w:r>
      <w:r>
        <w:rPr>
          <w:rFonts w:hint="eastAsia" w:ascii="仿宋" w:hAnsi="仿宋" w:eastAsia="仿宋" w:cs="仿宋"/>
          <w:color w:val="auto"/>
          <w:sz w:val="24"/>
          <w:highlight w:val="none"/>
          <w:lang w:eastAsia="zh-CN"/>
        </w:rPr>
        <w:t>投标保证金</w:t>
      </w:r>
      <w:r>
        <w:rPr>
          <w:rFonts w:hint="eastAsia" w:ascii="仿宋" w:hAnsi="仿宋" w:eastAsia="仿宋" w:cs="仿宋"/>
          <w:color w:val="auto"/>
          <w:sz w:val="24"/>
          <w:highlight w:val="none"/>
        </w:rPr>
        <w:t>，将在领取</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通知书，并签订合同后5个工作日内无息退还，</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企业退还保证金时，还需提供采购合同复印件。</w:t>
      </w:r>
    </w:p>
    <w:p w14:paraId="5D5599CA">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.6 退还投标保证金办理电汇业务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请提供</w:t>
      </w:r>
      <w:r>
        <w:rPr>
          <w:rFonts w:hint="eastAsia" w:ascii="仿宋" w:hAnsi="仿宋" w:eastAsia="仿宋" w:cs="仿宋"/>
          <w:color w:val="auto"/>
          <w:sz w:val="24"/>
          <w:highlight w:val="none"/>
          <w:lang w:val="en-US" w:eastAsia="zh-CN"/>
        </w:rPr>
        <w:t>真实准确的</w:t>
      </w:r>
      <w:r>
        <w:rPr>
          <w:rFonts w:hint="eastAsia" w:ascii="仿宋" w:hAnsi="仿宋" w:eastAsia="仿宋" w:cs="仿宋"/>
          <w:color w:val="auto"/>
          <w:sz w:val="24"/>
          <w:highlight w:val="none"/>
        </w:rPr>
        <w:t>单位名称、账号、行号等相关</w:t>
      </w:r>
      <w:r>
        <w:rPr>
          <w:rFonts w:hint="eastAsia" w:ascii="仿宋" w:hAnsi="仿宋" w:eastAsia="仿宋" w:cs="仿宋"/>
          <w:color w:val="auto"/>
          <w:sz w:val="24"/>
          <w:highlight w:val="none"/>
          <w:lang w:val="en-US" w:eastAsia="zh-CN"/>
        </w:rPr>
        <w:t>信息</w:t>
      </w:r>
      <w:r>
        <w:rPr>
          <w:rFonts w:hint="eastAsia" w:ascii="仿宋" w:hAnsi="仿宋" w:eastAsia="仿宋" w:cs="仿宋"/>
          <w:color w:val="auto"/>
          <w:sz w:val="24"/>
          <w:highlight w:val="none"/>
        </w:rPr>
        <w:t>，保证金不退还现金。</w:t>
      </w:r>
    </w:p>
    <w:p w14:paraId="3DBC552F">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未按规定提交投标保证金的投标，将被视为投标无效。</w:t>
      </w:r>
    </w:p>
    <w:p w14:paraId="549E9E1D">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.8 下列任何情况发生时，投标保证金将不予退还：</w:t>
      </w:r>
    </w:p>
    <w:p w14:paraId="77F026DD">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（1）投标人在投标截止期后，投标有效期内撤回投标；</w:t>
      </w:r>
    </w:p>
    <w:p w14:paraId="6D1EABCB">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（2）投标人在规定期限内未按规定向采购人缴纳履约保证金；</w:t>
      </w:r>
    </w:p>
    <w:p w14:paraId="40919310">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（3）以他人名义投标或者以其他方式弄虚作假，骗取</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w:t>
      </w:r>
    </w:p>
    <w:p w14:paraId="0BD320D1">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（5）本</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文件中规定的其他不予退还投标保证金的情形。</w:t>
      </w:r>
    </w:p>
    <w:p w14:paraId="0DB87E69">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出现</w:t>
      </w:r>
      <w:r>
        <w:rPr>
          <w:rFonts w:hint="eastAsia" w:ascii="仿宋" w:hAnsi="仿宋" w:eastAsia="仿宋" w:cs="仿宋"/>
          <w:color w:val="auto"/>
          <w:sz w:val="24"/>
          <w:highlight w:val="none"/>
        </w:rPr>
        <w:t>上述不予退还投标保证金的情况</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并给</w:t>
      </w:r>
      <w:r>
        <w:rPr>
          <w:rFonts w:hint="eastAsia" w:ascii="仿宋" w:hAnsi="仿宋" w:eastAsia="仿宋" w:cs="仿宋"/>
          <w:color w:val="auto"/>
          <w:sz w:val="24"/>
          <w:highlight w:val="none"/>
          <w:lang w:eastAsia="zh-CN"/>
        </w:rPr>
        <w:t>采购人和</w:t>
      </w:r>
      <w:r>
        <w:rPr>
          <w:rFonts w:hint="eastAsia" w:ascii="仿宋" w:hAnsi="仿宋" w:eastAsia="仿宋" w:cs="仿宋"/>
          <w:color w:val="auto"/>
          <w:sz w:val="24"/>
          <w:highlight w:val="none"/>
        </w:rPr>
        <w:t>代理机构造成损失的，还要承担赔偿责任。</w:t>
      </w:r>
    </w:p>
    <w:p w14:paraId="14EAE7A1">
      <w:pPr>
        <w:pStyle w:val="3"/>
        <w:numPr>
          <w:ilvl w:val="0"/>
          <w:numId w:val="0"/>
        </w:numPr>
        <w:tabs>
          <w:tab w:val="clear" w:pos="720"/>
        </w:tabs>
        <w:bidi w:val="0"/>
        <w:ind w:leftChars="0"/>
        <w:rPr>
          <w:rFonts w:hint="eastAsia" w:ascii="仿宋" w:hAnsi="仿宋" w:eastAsia="仿宋" w:cs="仿宋"/>
          <w:color w:val="auto"/>
          <w:highlight w:val="none"/>
        </w:rPr>
      </w:pPr>
      <w:bookmarkStart w:id="15" w:name="_Toc13658"/>
      <w:r>
        <w:rPr>
          <w:rFonts w:hint="eastAsia"/>
          <w:lang w:eastAsia="zh-CN"/>
        </w:rPr>
        <w:t>四、</w:t>
      </w:r>
      <w:r>
        <w:rPr>
          <w:rFonts w:hint="eastAsia"/>
        </w:rPr>
        <w:t>投标文件的制作、上传及递交要求</w:t>
      </w:r>
      <w:bookmarkEnd w:id="15"/>
    </w:p>
    <w:p w14:paraId="34DE9D14">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13</w:t>
      </w:r>
      <w:r>
        <w:rPr>
          <w:rFonts w:hint="eastAsia" w:ascii="仿宋" w:hAnsi="仿宋" w:eastAsia="仿宋" w:cs="仿宋"/>
          <w:b/>
          <w:bCs w:val="0"/>
          <w:color w:val="auto"/>
          <w:sz w:val="24"/>
          <w:szCs w:val="24"/>
          <w:highlight w:val="none"/>
        </w:rPr>
        <w:t>.投标文件的制作要求</w:t>
      </w:r>
    </w:p>
    <w:p w14:paraId="5C92EFE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13.1</w:t>
      </w:r>
      <w:r>
        <w:rPr>
          <w:rFonts w:hint="eastAsia" w:ascii="仿宋" w:hAnsi="仿宋" w:eastAsia="仿宋" w:cs="仿宋"/>
          <w:b w:val="0"/>
          <w:bCs/>
          <w:color w:val="auto"/>
          <w:sz w:val="24"/>
          <w:szCs w:val="24"/>
          <w:highlight w:val="none"/>
        </w:rPr>
        <w:t>供应商应按照投标文件组成内容及项目招标需求和新疆政府采购云平台要求制作投标文件，不按</w:t>
      </w:r>
      <w:r>
        <w:rPr>
          <w:rFonts w:hint="eastAsia" w:ascii="仿宋" w:hAnsi="仿宋" w:eastAsia="仿宋" w:cs="仿宋"/>
          <w:b w:val="0"/>
          <w:bCs/>
          <w:color w:val="auto"/>
          <w:sz w:val="24"/>
          <w:szCs w:val="24"/>
          <w:highlight w:val="none"/>
          <w:lang w:eastAsia="zh-CN"/>
        </w:rPr>
        <w:t>招标文件</w:t>
      </w:r>
      <w:r>
        <w:rPr>
          <w:rFonts w:hint="eastAsia" w:ascii="仿宋" w:hAnsi="仿宋" w:eastAsia="仿宋" w:cs="仿宋"/>
          <w:b w:val="0"/>
          <w:bCs/>
          <w:color w:val="auto"/>
          <w:sz w:val="24"/>
          <w:szCs w:val="24"/>
          <w:highlight w:val="none"/>
        </w:rPr>
        <w:t>和新疆政府采购云平台要求制作投标文件的将视情况处理（拒收等），由此产生的责任由供应商自行承担。</w:t>
      </w:r>
    </w:p>
    <w:p w14:paraId="1E4850E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电子投标文件部分：供应商应根据“政采云供应商项目采购-电子招投标操作指南”及本</w:t>
      </w:r>
      <w:r>
        <w:rPr>
          <w:rFonts w:hint="eastAsia" w:ascii="仿宋" w:hAnsi="仿宋" w:eastAsia="仿宋" w:cs="仿宋"/>
          <w:b w:val="0"/>
          <w:bCs/>
          <w:color w:val="auto"/>
          <w:sz w:val="24"/>
          <w:szCs w:val="24"/>
          <w:highlight w:val="none"/>
          <w:lang w:eastAsia="zh-CN"/>
        </w:rPr>
        <w:t>招标文件</w:t>
      </w:r>
      <w:r>
        <w:rPr>
          <w:rFonts w:hint="eastAsia" w:ascii="仿宋" w:hAnsi="仿宋" w:eastAsia="仿宋" w:cs="仿宋"/>
          <w:b w:val="0"/>
          <w:bCs/>
          <w:color w:val="auto"/>
          <w:sz w:val="24"/>
          <w:szCs w:val="24"/>
          <w:highlight w:val="none"/>
        </w:rPr>
        <w:t>规定的格式和顺序编制电子投标文件并进行关联定位。本文件《第</w:t>
      </w:r>
      <w:r>
        <w:rPr>
          <w:rFonts w:hint="eastAsia" w:ascii="仿宋" w:hAnsi="仿宋" w:eastAsia="仿宋" w:cs="仿宋"/>
          <w:b w:val="0"/>
          <w:bCs/>
          <w:color w:val="auto"/>
          <w:sz w:val="24"/>
          <w:szCs w:val="24"/>
          <w:highlight w:val="none"/>
          <w:lang w:eastAsia="zh-CN"/>
        </w:rPr>
        <w:t>六</w:t>
      </w:r>
      <w:r>
        <w:rPr>
          <w:rFonts w:hint="eastAsia" w:ascii="仿宋" w:hAnsi="仿宋" w:eastAsia="仿宋" w:cs="仿宋"/>
          <w:b w:val="0"/>
          <w:bCs/>
          <w:color w:val="auto"/>
          <w:sz w:val="24"/>
          <w:szCs w:val="24"/>
          <w:highlight w:val="none"/>
        </w:rPr>
        <w:t>章 投标文件格式》中有提供格式的，供应商应按照格式进行编制（格式中要求提供相关证明材料的还需后附相关证明材料），并按格式要求在指定位置根据要求进行签章，否则视为未提供；本文件《第</w:t>
      </w:r>
      <w:r>
        <w:rPr>
          <w:rFonts w:hint="eastAsia" w:ascii="仿宋" w:hAnsi="仿宋" w:eastAsia="仿宋" w:cs="仿宋"/>
          <w:b w:val="0"/>
          <w:bCs/>
          <w:color w:val="auto"/>
          <w:sz w:val="24"/>
          <w:szCs w:val="24"/>
          <w:highlight w:val="none"/>
          <w:lang w:eastAsia="zh-CN"/>
        </w:rPr>
        <w:t>六</w:t>
      </w:r>
      <w:r>
        <w:rPr>
          <w:rFonts w:hint="eastAsia" w:ascii="仿宋" w:hAnsi="仿宋" w:eastAsia="仿宋" w:cs="仿宋"/>
          <w:b w:val="0"/>
          <w:bCs/>
          <w:color w:val="auto"/>
          <w:sz w:val="24"/>
          <w:szCs w:val="24"/>
          <w:highlight w:val="none"/>
        </w:rPr>
        <w:t>章</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投标文件格式》未提供格式的，请供应商自行拟定格式，并加盖单位公章，否则视为未提供。</w:t>
      </w:r>
    </w:p>
    <w:p w14:paraId="1CBA779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13.2</w:t>
      </w:r>
      <w:r>
        <w:rPr>
          <w:rFonts w:hint="eastAsia" w:ascii="仿宋" w:hAnsi="仿宋" w:eastAsia="仿宋" w:cs="仿宋"/>
          <w:b w:val="0"/>
          <w:bCs/>
          <w:color w:val="auto"/>
          <w:sz w:val="24"/>
          <w:szCs w:val="24"/>
          <w:highlight w:val="none"/>
        </w:rPr>
        <w:t>供应商应对所提供的全部资料的真实性、有效性承担法律责任，电子投标文件中所须加盖公章部分均采用CA签章。</w:t>
      </w:r>
    </w:p>
    <w:p w14:paraId="49EA67B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13.3</w:t>
      </w:r>
      <w:r>
        <w:rPr>
          <w:rFonts w:hint="eastAsia" w:ascii="仿宋" w:hAnsi="仿宋" w:eastAsia="仿宋" w:cs="仿宋"/>
          <w:b w:val="0"/>
          <w:bCs/>
          <w:color w:val="auto"/>
          <w:sz w:val="24"/>
          <w:szCs w:val="24"/>
          <w:highlight w:val="none"/>
        </w:rPr>
        <w:t>投标文件以及供应商与</w:t>
      </w:r>
      <w:r>
        <w:rPr>
          <w:rFonts w:hint="eastAsia" w:ascii="仿宋" w:hAnsi="仿宋" w:eastAsia="仿宋" w:cs="仿宋"/>
          <w:b w:val="0"/>
          <w:bCs/>
          <w:color w:val="auto"/>
          <w:sz w:val="24"/>
          <w:szCs w:val="24"/>
          <w:highlight w:val="none"/>
          <w:lang w:eastAsia="zh-CN"/>
        </w:rPr>
        <w:t>采购代理机构</w:t>
      </w:r>
      <w:r>
        <w:rPr>
          <w:rFonts w:hint="eastAsia" w:ascii="仿宋" w:hAnsi="仿宋" w:eastAsia="仿宋" w:cs="仿宋"/>
          <w:b w:val="0"/>
          <w:bCs/>
          <w:color w:val="auto"/>
          <w:sz w:val="24"/>
          <w:szCs w:val="24"/>
          <w:highlight w:val="none"/>
        </w:rPr>
        <w:t>就有关投标事宜的所有来往函电，均应以中文汉语书写。除签字、盖章、专用名称等特殊情形外，以中文汉语以外的文字表述的投标文件视同未提供。</w:t>
      </w:r>
    </w:p>
    <w:p w14:paraId="4DDC7F2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13.4</w:t>
      </w:r>
      <w:r>
        <w:rPr>
          <w:rFonts w:hint="eastAsia" w:ascii="仿宋" w:hAnsi="仿宋" w:eastAsia="仿宋" w:cs="仿宋"/>
          <w:b w:val="0"/>
          <w:bCs/>
          <w:color w:val="auto"/>
          <w:sz w:val="24"/>
          <w:szCs w:val="24"/>
          <w:highlight w:val="none"/>
        </w:rPr>
        <w:t>投标计量单位，</w:t>
      </w:r>
      <w:r>
        <w:rPr>
          <w:rFonts w:hint="eastAsia" w:ascii="仿宋" w:hAnsi="仿宋" w:eastAsia="仿宋" w:cs="仿宋"/>
          <w:b w:val="0"/>
          <w:bCs/>
          <w:color w:val="auto"/>
          <w:sz w:val="24"/>
          <w:szCs w:val="24"/>
          <w:highlight w:val="none"/>
          <w:lang w:eastAsia="zh-CN"/>
        </w:rPr>
        <w:t>招标文件</w:t>
      </w:r>
      <w:r>
        <w:rPr>
          <w:rFonts w:hint="eastAsia" w:ascii="仿宋" w:hAnsi="仿宋" w:eastAsia="仿宋" w:cs="仿宋"/>
          <w:b w:val="0"/>
          <w:bCs/>
          <w:color w:val="auto"/>
          <w:sz w:val="24"/>
          <w:szCs w:val="24"/>
          <w:highlight w:val="none"/>
        </w:rPr>
        <w:t>已有明确规定的，使用</w:t>
      </w:r>
      <w:r>
        <w:rPr>
          <w:rFonts w:hint="eastAsia" w:ascii="仿宋" w:hAnsi="仿宋" w:eastAsia="仿宋" w:cs="仿宋"/>
          <w:b w:val="0"/>
          <w:bCs/>
          <w:color w:val="auto"/>
          <w:sz w:val="24"/>
          <w:szCs w:val="24"/>
          <w:highlight w:val="none"/>
          <w:lang w:eastAsia="zh-CN"/>
        </w:rPr>
        <w:t>招标文件</w:t>
      </w:r>
      <w:r>
        <w:rPr>
          <w:rFonts w:hint="eastAsia" w:ascii="仿宋" w:hAnsi="仿宋" w:eastAsia="仿宋" w:cs="仿宋"/>
          <w:b w:val="0"/>
          <w:bCs/>
          <w:color w:val="auto"/>
          <w:sz w:val="24"/>
          <w:szCs w:val="24"/>
          <w:highlight w:val="none"/>
        </w:rPr>
        <w:t>规定的计量单位；</w:t>
      </w:r>
      <w:r>
        <w:rPr>
          <w:rFonts w:hint="eastAsia" w:ascii="仿宋" w:hAnsi="仿宋" w:eastAsia="仿宋" w:cs="仿宋"/>
          <w:b w:val="0"/>
          <w:bCs/>
          <w:color w:val="auto"/>
          <w:sz w:val="24"/>
          <w:szCs w:val="24"/>
          <w:highlight w:val="none"/>
          <w:lang w:eastAsia="zh-CN"/>
        </w:rPr>
        <w:t>招标文件</w:t>
      </w:r>
      <w:r>
        <w:rPr>
          <w:rFonts w:hint="eastAsia" w:ascii="仿宋" w:hAnsi="仿宋" w:eastAsia="仿宋" w:cs="仿宋"/>
          <w:b w:val="0"/>
          <w:bCs/>
          <w:color w:val="auto"/>
          <w:sz w:val="24"/>
          <w:szCs w:val="24"/>
          <w:highlight w:val="none"/>
        </w:rPr>
        <w:t>没有规定的，应采用中华人民共和国法定计量单位（货币单位：人民币元）。</w:t>
      </w:r>
    </w:p>
    <w:p w14:paraId="3E7835E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13.5</w:t>
      </w:r>
      <w:r>
        <w:rPr>
          <w:rFonts w:hint="eastAsia" w:ascii="仿宋" w:hAnsi="仿宋" w:eastAsia="仿宋" w:cs="仿宋"/>
          <w:b w:val="0"/>
          <w:bCs/>
          <w:color w:val="auto"/>
          <w:sz w:val="24"/>
          <w:szCs w:val="24"/>
          <w:highlight w:val="none"/>
        </w:rPr>
        <w:t>若供应商不按</w:t>
      </w:r>
      <w:r>
        <w:rPr>
          <w:rFonts w:hint="eastAsia" w:ascii="仿宋" w:hAnsi="仿宋" w:eastAsia="仿宋" w:cs="仿宋"/>
          <w:b w:val="0"/>
          <w:bCs/>
          <w:color w:val="auto"/>
          <w:sz w:val="24"/>
          <w:szCs w:val="24"/>
          <w:highlight w:val="none"/>
          <w:lang w:eastAsia="zh-CN"/>
        </w:rPr>
        <w:t>招标文件</w:t>
      </w:r>
      <w:r>
        <w:rPr>
          <w:rFonts w:hint="eastAsia" w:ascii="仿宋" w:hAnsi="仿宋" w:eastAsia="仿宋" w:cs="仿宋"/>
          <w:b w:val="0"/>
          <w:bCs/>
          <w:color w:val="auto"/>
          <w:sz w:val="24"/>
          <w:szCs w:val="24"/>
          <w:highlight w:val="none"/>
        </w:rPr>
        <w:t>的要求提供资格审查材料，其风险由供应商自行承担。</w:t>
      </w:r>
    </w:p>
    <w:p w14:paraId="5FD994E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13.6</w:t>
      </w:r>
      <w:r>
        <w:rPr>
          <w:rFonts w:hint="eastAsia" w:ascii="仿宋" w:hAnsi="仿宋" w:eastAsia="仿宋" w:cs="仿宋"/>
          <w:b w:val="0"/>
          <w:bCs/>
          <w:color w:val="auto"/>
          <w:sz w:val="24"/>
          <w:szCs w:val="24"/>
          <w:highlight w:val="none"/>
        </w:rPr>
        <w:t>与本次投标无关的内容请不要制作在内，确保投标文件有针对性、简洁明了。</w:t>
      </w:r>
    </w:p>
    <w:p w14:paraId="34B5E3DA">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14.</w:t>
      </w:r>
      <w:r>
        <w:rPr>
          <w:rFonts w:hint="eastAsia" w:ascii="仿宋" w:hAnsi="仿宋" w:eastAsia="仿宋" w:cs="仿宋"/>
          <w:b/>
          <w:bCs w:val="0"/>
          <w:color w:val="auto"/>
          <w:sz w:val="24"/>
          <w:szCs w:val="24"/>
          <w:highlight w:val="none"/>
        </w:rPr>
        <w:t>投标文件的上传</w:t>
      </w:r>
    </w:p>
    <w:p w14:paraId="5B18342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14.1</w:t>
      </w:r>
      <w:r>
        <w:rPr>
          <w:rFonts w:hint="eastAsia" w:ascii="仿宋" w:hAnsi="仿宋" w:eastAsia="仿宋" w:cs="仿宋"/>
          <w:b w:val="0"/>
          <w:bCs/>
          <w:color w:val="auto"/>
          <w:sz w:val="24"/>
          <w:szCs w:val="24"/>
          <w:highlight w:val="none"/>
        </w:rPr>
        <w:t>电子加密投标文件：</w:t>
      </w:r>
    </w:p>
    <w:p w14:paraId="773BF77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14.1.1</w:t>
      </w:r>
      <w:r>
        <w:rPr>
          <w:rFonts w:hint="eastAsia" w:ascii="仿宋" w:hAnsi="仿宋" w:eastAsia="仿宋" w:cs="仿宋"/>
          <w:b w:val="0"/>
          <w:bCs/>
          <w:color w:val="auto"/>
          <w:sz w:val="24"/>
          <w:szCs w:val="24"/>
          <w:highlight w:val="none"/>
        </w:rPr>
        <w:t xml:space="preserve"> 供应商应在投标截止时间前将电子加密投标文件成功上传递交至新疆政府采购云平台，否则投标无效；</w:t>
      </w:r>
    </w:p>
    <w:p w14:paraId="0AEEA52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14.1.2</w:t>
      </w:r>
      <w:r>
        <w:rPr>
          <w:rFonts w:hint="eastAsia" w:ascii="仿宋" w:hAnsi="仿宋" w:eastAsia="仿宋" w:cs="仿宋"/>
          <w:b w:val="0"/>
          <w:bCs/>
          <w:color w:val="auto"/>
          <w:sz w:val="24"/>
          <w:szCs w:val="24"/>
          <w:highlight w:val="none"/>
        </w:rPr>
        <w:t>供应商成功上传电子加密投标文件后，可自行打印投标文件接收回执。</w:t>
      </w:r>
    </w:p>
    <w:p w14:paraId="0932EB9F">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15.</w:t>
      </w:r>
      <w:r>
        <w:rPr>
          <w:rFonts w:hint="eastAsia" w:ascii="仿宋" w:hAnsi="仿宋" w:eastAsia="仿宋" w:cs="仿宋"/>
          <w:b/>
          <w:bCs w:val="0"/>
          <w:color w:val="auto"/>
          <w:sz w:val="24"/>
          <w:szCs w:val="24"/>
          <w:highlight w:val="none"/>
        </w:rPr>
        <w:t>投标文件的递交要求</w:t>
      </w:r>
    </w:p>
    <w:p w14:paraId="70544E1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15.1</w:t>
      </w:r>
      <w:r>
        <w:rPr>
          <w:rFonts w:hint="eastAsia" w:ascii="仿宋" w:hAnsi="仿宋" w:eastAsia="仿宋" w:cs="仿宋"/>
          <w:b w:val="0"/>
          <w:bCs/>
          <w:color w:val="auto"/>
          <w:sz w:val="24"/>
          <w:szCs w:val="24"/>
          <w:highlight w:val="none"/>
        </w:rPr>
        <w:t>供应商须按照</w:t>
      </w:r>
      <w:r>
        <w:rPr>
          <w:rFonts w:hint="eastAsia" w:ascii="仿宋" w:hAnsi="仿宋" w:eastAsia="仿宋" w:cs="仿宋"/>
          <w:b w:val="0"/>
          <w:bCs/>
          <w:color w:val="auto"/>
          <w:sz w:val="24"/>
          <w:szCs w:val="24"/>
          <w:highlight w:val="none"/>
          <w:lang w:eastAsia="zh-CN"/>
        </w:rPr>
        <w:t>招标文件</w:t>
      </w:r>
      <w:r>
        <w:rPr>
          <w:rFonts w:hint="eastAsia" w:ascii="仿宋" w:hAnsi="仿宋" w:eastAsia="仿宋" w:cs="仿宋"/>
          <w:b w:val="0"/>
          <w:bCs/>
          <w:color w:val="auto"/>
          <w:sz w:val="24"/>
          <w:szCs w:val="24"/>
          <w:highlight w:val="none"/>
        </w:rPr>
        <w:t>和政采云平台的要求编制并加密投标文件。在投标文件递交截止时间以前完成投标文件的传输递交，截止时间后递交的投标文件，将被拒收。</w:t>
      </w:r>
    </w:p>
    <w:p w14:paraId="51892F5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15.2</w:t>
      </w:r>
      <w:r>
        <w:rPr>
          <w:rFonts w:hint="eastAsia" w:ascii="仿宋" w:hAnsi="仿宋" w:eastAsia="仿宋" w:cs="仿宋"/>
          <w:b w:val="0"/>
          <w:bCs/>
          <w:color w:val="auto"/>
          <w:sz w:val="24"/>
          <w:szCs w:val="24"/>
          <w:highlight w:val="none"/>
        </w:rPr>
        <w:t>如有特殊情况，</w:t>
      </w:r>
      <w:r>
        <w:rPr>
          <w:rFonts w:hint="eastAsia" w:ascii="仿宋" w:hAnsi="仿宋" w:eastAsia="仿宋" w:cs="仿宋"/>
          <w:b w:val="0"/>
          <w:bCs/>
          <w:color w:val="auto"/>
          <w:sz w:val="24"/>
          <w:szCs w:val="24"/>
          <w:highlight w:val="none"/>
          <w:lang w:eastAsia="zh-CN"/>
        </w:rPr>
        <w:t>采购代理机构</w:t>
      </w:r>
      <w:r>
        <w:rPr>
          <w:rFonts w:hint="eastAsia" w:ascii="仿宋" w:hAnsi="仿宋" w:eastAsia="仿宋" w:cs="仿宋"/>
          <w:b w:val="0"/>
          <w:bCs/>
          <w:color w:val="auto"/>
          <w:sz w:val="24"/>
          <w:szCs w:val="24"/>
          <w:highlight w:val="none"/>
        </w:rPr>
        <w:t>延长截止时间和开标时间，</w:t>
      </w:r>
      <w:r>
        <w:rPr>
          <w:rFonts w:hint="eastAsia" w:ascii="仿宋" w:hAnsi="仿宋" w:eastAsia="仿宋" w:cs="仿宋"/>
          <w:b w:val="0"/>
          <w:bCs/>
          <w:color w:val="auto"/>
          <w:sz w:val="24"/>
          <w:szCs w:val="24"/>
          <w:highlight w:val="none"/>
          <w:lang w:eastAsia="zh-CN"/>
        </w:rPr>
        <w:t>采购代理机构</w:t>
      </w:r>
      <w:r>
        <w:rPr>
          <w:rFonts w:hint="eastAsia" w:ascii="仿宋" w:hAnsi="仿宋" w:eastAsia="仿宋" w:cs="仿宋"/>
          <w:b w:val="0"/>
          <w:bCs/>
          <w:color w:val="auto"/>
          <w:sz w:val="24"/>
          <w:szCs w:val="24"/>
          <w:highlight w:val="none"/>
        </w:rPr>
        <w:t>和供应商的权利和义务将受到新的截止时间和开标时间的约束。</w:t>
      </w:r>
    </w:p>
    <w:p w14:paraId="62307785">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16.</w:t>
      </w:r>
      <w:r>
        <w:rPr>
          <w:rFonts w:hint="eastAsia" w:ascii="仿宋" w:hAnsi="仿宋" w:eastAsia="仿宋" w:cs="仿宋"/>
          <w:b/>
          <w:bCs w:val="0"/>
          <w:color w:val="auto"/>
          <w:sz w:val="24"/>
          <w:szCs w:val="24"/>
          <w:highlight w:val="none"/>
        </w:rPr>
        <w:t>投标文件的补充、修改与撤回</w:t>
      </w:r>
    </w:p>
    <w:p w14:paraId="1E59C22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552F0D46">
      <w:pPr>
        <w:rPr>
          <w:rFonts w:hint="eastAsia" w:ascii="仿宋" w:hAnsi="仿宋" w:eastAsia="仿宋" w:cs="仿宋"/>
          <w:color w:val="auto"/>
          <w:highlight w:val="none"/>
        </w:rPr>
      </w:pPr>
    </w:p>
    <w:p w14:paraId="5C469509">
      <w:pPr>
        <w:pStyle w:val="3"/>
        <w:numPr>
          <w:ilvl w:val="0"/>
          <w:numId w:val="0"/>
        </w:numPr>
        <w:tabs>
          <w:tab w:val="clear" w:pos="720"/>
        </w:tabs>
        <w:bidi w:val="0"/>
        <w:ind w:leftChars="0"/>
        <w:rPr>
          <w:rFonts w:hint="eastAsia" w:ascii="仿宋" w:hAnsi="仿宋" w:eastAsia="仿宋" w:cs="仿宋"/>
          <w:b/>
          <w:color w:val="auto"/>
          <w:highlight w:val="none"/>
        </w:rPr>
      </w:pPr>
      <w:bookmarkStart w:id="16" w:name="_Toc21493"/>
      <w:r>
        <w:rPr>
          <w:rFonts w:hint="eastAsia"/>
        </w:rPr>
        <w:t>五、开标及评标</w:t>
      </w:r>
      <w:bookmarkEnd w:id="16"/>
    </w:p>
    <w:p w14:paraId="4A7CA967">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17</w:t>
      </w:r>
      <w:r>
        <w:rPr>
          <w:rFonts w:hint="eastAsia" w:ascii="仿宋" w:hAnsi="仿宋" w:eastAsia="仿宋" w:cs="仿宋"/>
          <w:b/>
          <w:bCs w:val="0"/>
          <w:color w:val="auto"/>
          <w:sz w:val="24"/>
          <w:szCs w:val="24"/>
          <w:highlight w:val="none"/>
        </w:rPr>
        <w:t>. 开标</w:t>
      </w:r>
    </w:p>
    <w:p w14:paraId="505010D2">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17.1</w:t>
      </w:r>
      <w:r>
        <w:rPr>
          <w:rFonts w:hint="eastAsia" w:ascii="仿宋" w:hAnsi="仿宋" w:eastAsia="仿宋" w:cs="仿宋"/>
          <w:b w:val="0"/>
          <w:bCs/>
          <w:color w:val="auto"/>
          <w:sz w:val="24"/>
          <w:szCs w:val="24"/>
          <w:highlight w:val="none"/>
        </w:rPr>
        <w:t>开标准备：本项目开标的准备工作由</w:t>
      </w:r>
      <w:r>
        <w:rPr>
          <w:rFonts w:hint="eastAsia" w:ascii="仿宋" w:hAnsi="仿宋" w:eastAsia="仿宋" w:cs="仿宋"/>
          <w:b w:val="0"/>
          <w:bCs/>
          <w:color w:val="auto"/>
          <w:sz w:val="24"/>
          <w:szCs w:val="24"/>
          <w:highlight w:val="none"/>
          <w:lang w:eastAsia="zh-CN"/>
        </w:rPr>
        <w:t>采购代理机构</w:t>
      </w:r>
      <w:r>
        <w:rPr>
          <w:rFonts w:hint="eastAsia" w:ascii="仿宋" w:hAnsi="仿宋" w:eastAsia="仿宋" w:cs="仿宋"/>
          <w:b w:val="0"/>
          <w:bCs/>
          <w:color w:val="auto"/>
          <w:sz w:val="24"/>
          <w:szCs w:val="24"/>
          <w:highlight w:val="none"/>
        </w:rPr>
        <w:t>负责落实，开标过程由</w:t>
      </w:r>
      <w:r>
        <w:rPr>
          <w:rFonts w:hint="eastAsia" w:ascii="仿宋" w:hAnsi="仿宋" w:eastAsia="仿宋" w:cs="仿宋"/>
          <w:b w:val="0"/>
          <w:bCs/>
          <w:color w:val="auto"/>
          <w:sz w:val="24"/>
          <w:szCs w:val="24"/>
          <w:highlight w:val="none"/>
          <w:lang w:eastAsia="zh-CN"/>
        </w:rPr>
        <w:t>采购代理机构</w:t>
      </w:r>
      <w:r>
        <w:rPr>
          <w:rFonts w:hint="eastAsia" w:ascii="仿宋" w:hAnsi="仿宋" w:eastAsia="仿宋" w:cs="仿宋"/>
          <w:b w:val="0"/>
          <w:bCs/>
          <w:color w:val="auto"/>
          <w:sz w:val="24"/>
          <w:szCs w:val="24"/>
          <w:highlight w:val="none"/>
        </w:rPr>
        <w:t>负责记录；</w:t>
      </w:r>
    </w:p>
    <w:p w14:paraId="6CEAD6A2">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）开标主持：本项目开标由采购人或者采购代理机构主持；</w:t>
      </w:r>
    </w:p>
    <w:p w14:paraId="4B3F20A9">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）开标邀请：本项目采用电子交易，</w:t>
      </w:r>
      <w:r>
        <w:rPr>
          <w:rFonts w:hint="eastAsia" w:ascii="仿宋" w:hAnsi="仿宋" w:eastAsia="仿宋" w:cs="仿宋"/>
          <w:b w:val="0"/>
          <w:bCs/>
          <w:color w:val="auto"/>
          <w:sz w:val="24"/>
          <w:szCs w:val="24"/>
          <w:highlight w:val="none"/>
          <w:lang w:eastAsia="zh-CN"/>
        </w:rPr>
        <w:t>采购代理机构</w:t>
      </w:r>
      <w:r>
        <w:rPr>
          <w:rFonts w:hint="eastAsia" w:ascii="仿宋" w:hAnsi="仿宋" w:eastAsia="仿宋" w:cs="仿宋"/>
          <w:b w:val="0"/>
          <w:bCs/>
          <w:color w:val="auto"/>
          <w:sz w:val="24"/>
          <w:szCs w:val="24"/>
          <w:highlight w:val="none"/>
        </w:rPr>
        <w:t>将按照</w:t>
      </w:r>
      <w:r>
        <w:rPr>
          <w:rFonts w:hint="eastAsia" w:ascii="仿宋" w:hAnsi="仿宋" w:eastAsia="仿宋" w:cs="仿宋"/>
          <w:b w:val="0"/>
          <w:bCs/>
          <w:color w:val="auto"/>
          <w:sz w:val="24"/>
          <w:szCs w:val="24"/>
          <w:highlight w:val="none"/>
          <w:lang w:eastAsia="zh-CN"/>
        </w:rPr>
        <w:t>招标文件</w:t>
      </w:r>
      <w:r>
        <w:rPr>
          <w:rFonts w:hint="eastAsia" w:ascii="仿宋" w:hAnsi="仿宋" w:eastAsia="仿宋" w:cs="仿宋"/>
          <w:b w:val="0"/>
          <w:bCs/>
          <w:color w:val="auto"/>
          <w:sz w:val="24"/>
          <w:szCs w:val="24"/>
          <w:highlight w:val="none"/>
        </w:rPr>
        <w:t>规定的时间通过“新疆政府采购云平台，网址：</w:t>
      </w: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color w:val="auto"/>
          <w:sz w:val="24"/>
          <w:szCs w:val="24"/>
          <w:highlight w:val="none"/>
        </w:rPr>
        <w:instrText xml:space="preserve"> HYPERLINK "http://www.zcygov.cn" </w:instrText>
      </w:r>
      <w:r>
        <w:rPr>
          <w:rFonts w:hint="eastAsia" w:ascii="仿宋" w:hAnsi="仿宋" w:eastAsia="仿宋" w:cs="仿宋"/>
          <w:b w:val="0"/>
          <w:bCs/>
          <w:color w:val="auto"/>
          <w:sz w:val="24"/>
          <w:szCs w:val="24"/>
          <w:highlight w:val="none"/>
        </w:rPr>
        <w:fldChar w:fldCharType="separate"/>
      </w:r>
      <w:r>
        <w:rPr>
          <w:rFonts w:hint="eastAsia" w:ascii="仿宋" w:hAnsi="仿宋" w:eastAsia="仿宋" w:cs="仿宋"/>
          <w:b w:val="0"/>
          <w:bCs/>
          <w:color w:val="auto"/>
          <w:sz w:val="24"/>
          <w:szCs w:val="24"/>
          <w:highlight w:val="none"/>
        </w:rPr>
        <w:t>www.zcygov.cn</w:t>
      </w:r>
      <w:r>
        <w:rPr>
          <w:rFonts w:hint="eastAsia" w:ascii="仿宋" w:hAnsi="仿宋" w:eastAsia="仿宋" w:cs="仿宋"/>
          <w:b w:val="0"/>
          <w:bCs/>
          <w:color w:val="auto"/>
          <w:sz w:val="24"/>
          <w:szCs w:val="24"/>
          <w:highlight w:val="none"/>
        </w:rPr>
        <w:fldChar w:fldCharType="end"/>
      </w:r>
      <w:r>
        <w:rPr>
          <w:rFonts w:hint="eastAsia" w:ascii="仿宋" w:hAnsi="仿宋" w:eastAsia="仿宋" w:cs="仿宋"/>
          <w:b w:val="0"/>
          <w:bCs/>
          <w:color w:val="auto"/>
          <w:sz w:val="24"/>
          <w:szCs w:val="24"/>
          <w:highlight w:val="none"/>
        </w:rPr>
        <w:t>”组织开标、开启投标</w:t>
      </w:r>
      <w:r>
        <w:rPr>
          <w:rFonts w:hint="eastAsia" w:ascii="仿宋" w:hAnsi="仿宋" w:eastAsia="仿宋" w:cs="仿宋"/>
          <w:b w:val="0"/>
          <w:bCs/>
          <w:color w:val="auto"/>
          <w:sz w:val="24"/>
          <w:szCs w:val="24"/>
          <w:highlight w:val="none"/>
          <w:lang w:eastAsia="zh-CN"/>
        </w:rPr>
        <w:t>投标文件</w:t>
      </w:r>
      <w:r>
        <w:rPr>
          <w:rFonts w:hint="eastAsia" w:ascii="仿宋" w:hAnsi="仿宋" w:eastAsia="仿宋" w:cs="仿宋"/>
          <w:b w:val="0"/>
          <w:bCs/>
          <w:color w:val="auto"/>
          <w:sz w:val="24"/>
          <w:szCs w:val="24"/>
          <w:highlight w:val="none"/>
        </w:rPr>
        <w:t>，所有供应商均应当准时在线参加。</w:t>
      </w:r>
    </w:p>
    <w:p w14:paraId="0A420438">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2EC33453">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bookmarkStart w:id="17" w:name="_Toc73975823"/>
      <w:r>
        <w:rPr>
          <w:rFonts w:hint="eastAsia" w:ascii="仿宋" w:hAnsi="仿宋" w:eastAsia="仿宋" w:cs="仿宋"/>
          <w:b w:val="0"/>
          <w:bCs/>
          <w:color w:val="auto"/>
          <w:sz w:val="24"/>
          <w:szCs w:val="24"/>
          <w:highlight w:val="none"/>
          <w:lang w:val="en-US" w:eastAsia="zh-CN"/>
        </w:rPr>
        <w:t>17</w:t>
      </w:r>
      <w:r>
        <w:rPr>
          <w:rFonts w:hint="eastAsia" w:ascii="仿宋" w:hAnsi="仿宋" w:eastAsia="仿宋" w:cs="仿宋"/>
          <w:b w:val="0"/>
          <w:bCs/>
          <w:color w:val="auto"/>
          <w:sz w:val="24"/>
          <w:szCs w:val="24"/>
          <w:highlight w:val="none"/>
        </w:rPr>
        <w:t>.2开标程序</w:t>
      </w:r>
      <w:bookmarkEnd w:id="17"/>
    </w:p>
    <w:p w14:paraId="733960E7">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（1）开标时间到后，主持人宣布开标会议开始。</w:t>
      </w:r>
    </w:p>
    <w:p w14:paraId="2EC7BE80">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（2）投标文件解密（解密规定见《供应商须知前附表》）。</w:t>
      </w:r>
    </w:p>
    <w:p w14:paraId="3A169AB9">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（3）投标文件解密异常情况处理。</w:t>
      </w:r>
    </w:p>
    <w:p w14:paraId="071A6D6F">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（4）公布投标文件解密情况（投标文件成功解密的供应商名单等信息），逾期发送或未发送的视为无异议。</w:t>
      </w:r>
    </w:p>
    <w:p w14:paraId="683F9513">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）开启投标供应商的报价，公布开标一览表有关内容，并【开启签字时段】，供应商对开标纪录进行在线签字确认（不予确认的应说明理由，否则视为无异议）。</w:t>
      </w:r>
    </w:p>
    <w:p w14:paraId="7BBA0EE3">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）开启标书信息，标书信息开启后，首先由采购人依法对投标供应商的资格证明文件进行审查， 审查结束公布投标供应商的资格符合情况。资格审查未获通过的供应商，其商务技术文件及报价文件不再进入评审。</w:t>
      </w:r>
    </w:p>
    <w:p w14:paraId="3004EC25">
      <w:pPr>
        <w:pStyle w:val="12"/>
        <w:jc w:val="center"/>
        <w:outlineLvl w:val="9"/>
        <w:rPr>
          <w:rFonts w:hint="eastAsia" w:ascii="仿宋" w:hAnsi="仿宋" w:eastAsia="仿宋" w:cs="仿宋"/>
          <w:b/>
          <w:bCs/>
          <w:color w:val="auto"/>
          <w:highlight w:val="none"/>
          <w:lang w:val="en-US" w:eastAsia="zh-CN"/>
        </w:rPr>
      </w:pPr>
      <w:r>
        <w:rPr>
          <w:rFonts w:hint="eastAsia" w:ascii="仿宋" w:hAnsi="仿宋" w:eastAsia="仿宋" w:cs="仿宋"/>
          <w:b/>
          <w:bCs/>
          <w:color w:val="auto"/>
          <w:sz w:val="24"/>
          <w:szCs w:val="24"/>
          <w:highlight w:val="none"/>
          <w:lang w:val="en-US" w:eastAsia="zh-CN"/>
        </w:rPr>
        <w:t>资格审查表</w:t>
      </w:r>
    </w:p>
    <w:tbl>
      <w:tblPr>
        <w:tblStyle w:val="26"/>
        <w:tblW w:w="9385" w:type="dxa"/>
        <w:jc w:val="center"/>
        <w:tblLayout w:type="fixed"/>
        <w:tblCellMar>
          <w:top w:w="0" w:type="dxa"/>
          <w:left w:w="113" w:type="dxa"/>
          <w:bottom w:w="0" w:type="dxa"/>
          <w:right w:w="0" w:type="dxa"/>
        </w:tblCellMar>
      </w:tblPr>
      <w:tblGrid>
        <w:gridCol w:w="717"/>
        <w:gridCol w:w="3295"/>
        <w:gridCol w:w="4516"/>
        <w:gridCol w:w="857"/>
      </w:tblGrid>
      <w:tr w14:paraId="406D4A1C">
        <w:tblPrEx>
          <w:tblCellMar>
            <w:top w:w="0" w:type="dxa"/>
            <w:left w:w="113" w:type="dxa"/>
            <w:bottom w:w="0" w:type="dxa"/>
            <w:right w:w="0" w:type="dxa"/>
          </w:tblCellMar>
        </w:tblPrEx>
        <w:trPr>
          <w:trHeight w:val="567" w:hRule="atLeast"/>
          <w:jc w:val="center"/>
        </w:trPr>
        <w:tc>
          <w:tcPr>
            <w:tcW w:w="717"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14:paraId="2DCB44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序号</w:t>
            </w:r>
          </w:p>
        </w:tc>
        <w:tc>
          <w:tcPr>
            <w:tcW w:w="3295" w:type="dxa"/>
            <w:tcBorders>
              <w:top w:val="single" w:color="000000" w:sz="4" w:space="0"/>
              <w:left w:val="single" w:color="000000" w:sz="4" w:space="0"/>
              <w:bottom w:val="single" w:color="000000" w:sz="4" w:space="0"/>
              <w:right w:val="single" w:color="auto" w:sz="4" w:space="0"/>
            </w:tcBorders>
            <w:noWrap w:val="0"/>
            <w:tcMar>
              <w:top w:w="57" w:type="dxa"/>
              <w:left w:w="113" w:type="dxa"/>
              <w:bottom w:w="57" w:type="dxa"/>
              <w:right w:w="113" w:type="dxa"/>
            </w:tcMar>
            <w:vAlign w:val="center"/>
          </w:tcPr>
          <w:p w14:paraId="282909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审查内容</w:t>
            </w:r>
          </w:p>
        </w:tc>
        <w:tc>
          <w:tcPr>
            <w:tcW w:w="4516" w:type="dxa"/>
            <w:tcBorders>
              <w:top w:val="single" w:color="000000" w:sz="4" w:space="0"/>
              <w:left w:val="single" w:color="auto" w:sz="4" w:space="0"/>
              <w:bottom w:val="single" w:color="000000" w:sz="4" w:space="0"/>
              <w:right w:val="single" w:color="000000" w:sz="4" w:space="0"/>
            </w:tcBorders>
            <w:noWrap w:val="0"/>
            <w:tcMar>
              <w:top w:w="57" w:type="dxa"/>
              <w:left w:w="113" w:type="dxa"/>
              <w:bottom w:w="57" w:type="dxa"/>
              <w:right w:w="113" w:type="dxa"/>
            </w:tcMar>
            <w:vAlign w:val="center"/>
          </w:tcPr>
          <w:p w14:paraId="758016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要求说明</w:t>
            </w:r>
          </w:p>
        </w:tc>
        <w:tc>
          <w:tcPr>
            <w:tcW w:w="857"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14:paraId="2B434763">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是否</w:t>
            </w:r>
          </w:p>
          <w:p w14:paraId="4207845C">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通过</w:t>
            </w:r>
          </w:p>
        </w:tc>
      </w:tr>
      <w:tr w14:paraId="7A1E2E5A">
        <w:tblPrEx>
          <w:tblCellMar>
            <w:top w:w="0" w:type="dxa"/>
            <w:left w:w="113" w:type="dxa"/>
            <w:bottom w:w="0" w:type="dxa"/>
            <w:right w:w="0" w:type="dxa"/>
          </w:tblCellMar>
        </w:tblPrEx>
        <w:trPr>
          <w:trHeight w:val="567" w:hRule="atLeast"/>
          <w:jc w:val="center"/>
        </w:trPr>
        <w:tc>
          <w:tcPr>
            <w:tcW w:w="717"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14:paraId="625258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color w:val="auto"/>
                <w:kern w:val="0"/>
                <w:sz w:val="21"/>
                <w:szCs w:val="21"/>
                <w:highlight w:val="none"/>
                <w:u w:val="none"/>
                <w:lang w:val="en-US" w:eastAsia="zh-CN" w:bidi="ar"/>
              </w:rPr>
              <w:t>1</w:t>
            </w:r>
          </w:p>
        </w:tc>
        <w:tc>
          <w:tcPr>
            <w:tcW w:w="3295" w:type="dxa"/>
            <w:tcBorders>
              <w:top w:val="single" w:color="000000" w:sz="4" w:space="0"/>
              <w:left w:val="single" w:color="000000" w:sz="4" w:space="0"/>
              <w:bottom w:val="single" w:color="000000" w:sz="4" w:space="0"/>
              <w:right w:val="single" w:color="auto" w:sz="4" w:space="0"/>
            </w:tcBorders>
            <w:noWrap w:val="0"/>
            <w:tcMar>
              <w:top w:w="57" w:type="dxa"/>
              <w:left w:w="113" w:type="dxa"/>
              <w:bottom w:w="57" w:type="dxa"/>
              <w:right w:w="113" w:type="dxa"/>
            </w:tcMar>
            <w:vAlign w:val="center"/>
          </w:tcPr>
          <w:p w14:paraId="066FA1B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项目授权</w:t>
            </w:r>
          </w:p>
        </w:tc>
        <w:tc>
          <w:tcPr>
            <w:tcW w:w="4516" w:type="dxa"/>
            <w:tcBorders>
              <w:top w:val="single" w:color="000000" w:sz="4" w:space="0"/>
              <w:left w:val="single" w:color="auto" w:sz="4" w:space="0"/>
              <w:bottom w:val="single" w:color="000000" w:sz="4" w:space="0"/>
              <w:right w:val="single" w:color="000000" w:sz="4" w:space="0"/>
            </w:tcBorders>
            <w:noWrap w:val="0"/>
            <w:tcMar>
              <w:top w:w="57" w:type="dxa"/>
              <w:left w:w="113" w:type="dxa"/>
              <w:bottom w:w="57" w:type="dxa"/>
              <w:right w:w="113" w:type="dxa"/>
            </w:tcMar>
            <w:vAlign w:val="center"/>
          </w:tcPr>
          <w:p w14:paraId="636A3AE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提供法定代表人身份证明或法定代表人授权委托书。</w:t>
            </w:r>
          </w:p>
        </w:tc>
        <w:tc>
          <w:tcPr>
            <w:tcW w:w="857"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14:paraId="68981B54">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i w:val="0"/>
                <w:color w:val="auto"/>
                <w:sz w:val="22"/>
                <w:szCs w:val="22"/>
                <w:highlight w:val="none"/>
                <w:u w:val="none"/>
              </w:rPr>
            </w:pPr>
          </w:p>
        </w:tc>
      </w:tr>
      <w:tr w14:paraId="52A8E367">
        <w:tblPrEx>
          <w:tblCellMar>
            <w:top w:w="0" w:type="dxa"/>
            <w:left w:w="113" w:type="dxa"/>
            <w:bottom w:w="0" w:type="dxa"/>
            <w:right w:w="0" w:type="dxa"/>
          </w:tblCellMar>
        </w:tblPrEx>
        <w:trPr>
          <w:trHeight w:val="567" w:hRule="atLeast"/>
          <w:jc w:val="center"/>
        </w:trPr>
        <w:tc>
          <w:tcPr>
            <w:tcW w:w="717"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14:paraId="5ADC31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3295" w:type="dxa"/>
            <w:tcBorders>
              <w:top w:val="single" w:color="000000" w:sz="4" w:space="0"/>
              <w:left w:val="single" w:color="000000" w:sz="4" w:space="0"/>
              <w:bottom w:val="single" w:color="000000" w:sz="4" w:space="0"/>
              <w:right w:val="single" w:color="auto" w:sz="4" w:space="0"/>
            </w:tcBorders>
            <w:noWrap w:val="0"/>
            <w:tcMar>
              <w:top w:w="57" w:type="dxa"/>
              <w:left w:w="113" w:type="dxa"/>
              <w:bottom w:w="57" w:type="dxa"/>
              <w:right w:w="113" w:type="dxa"/>
            </w:tcMar>
            <w:vAlign w:val="center"/>
          </w:tcPr>
          <w:p w14:paraId="47C1FA4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具有独立承担民事责任的能力</w:t>
            </w:r>
          </w:p>
        </w:tc>
        <w:tc>
          <w:tcPr>
            <w:tcW w:w="4516" w:type="dxa"/>
            <w:tcBorders>
              <w:top w:val="single" w:color="000000" w:sz="4" w:space="0"/>
              <w:left w:val="single" w:color="auto" w:sz="4" w:space="0"/>
              <w:bottom w:val="single" w:color="000000" w:sz="4" w:space="0"/>
              <w:right w:val="single" w:color="000000" w:sz="4" w:space="0"/>
            </w:tcBorders>
            <w:noWrap w:val="0"/>
            <w:tcMar>
              <w:top w:w="57" w:type="dxa"/>
              <w:left w:w="113" w:type="dxa"/>
              <w:bottom w:w="57" w:type="dxa"/>
              <w:right w:w="113" w:type="dxa"/>
            </w:tcMar>
            <w:vAlign w:val="center"/>
          </w:tcPr>
          <w:p w14:paraId="56E07E9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提供有效的营业执照。</w:t>
            </w:r>
          </w:p>
        </w:tc>
        <w:tc>
          <w:tcPr>
            <w:tcW w:w="857"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14:paraId="7D31F125">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i w:val="0"/>
                <w:color w:val="auto"/>
                <w:sz w:val="22"/>
                <w:szCs w:val="22"/>
                <w:highlight w:val="none"/>
                <w:u w:val="none"/>
              </w:rPr>
            </w:pPr>
          </w:p>
        </w:tc>
      </w:tr>
      <w:tr w14:paraId="5290B63F">
        <w:tblPrEx>
          <w:tblCellMar>
            <w:top w:w="0" w:type="dxa"/>
            <w:left w:w="113" w:type="dxa"/>
            <w:bottom w:w="0" w:type="dxa"/>
            <w:right w:w="0" w:type="dxa"/>
          </w:tblCellMar>
        </w:tblPrEx>
        <w:trPr>
          <w:trHeight w:val="567" w:hRule="atLeast"/>
          <w:jc w:val="center"/>
        </w:trPr>
        <w:tc>
          <w:tcPr>
            <w:tcW w:w="717"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14:paraId="696AC4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w:t>
            </w:r>
          </w:p>
        </w:tc>
        <w:tc>
          <w:tcPr>
            <w:tcW w:w="3295" w:type="dxa"/>
            <w:tcBorders>
              <w:top w:val="single" w:color="000000" w:sz="4" w:space="0"/>
              <w:left w:val="single" w:color="000000" w:sz="4" w:space="0"/>
              <w:bottom w:val="single" w:color="000000" w:sz="4" w:space="0"/>
              <w:right w:val="single" w:color="auto" w:sz="4" w:space="0"/>
            </w:tcBorders>
            <w:noWrap w:val="0"/>
            <w:tcMar>
              <w:top w:w="57" w:type="dxa"/>
              <w:left w:w="113" w:type="dxa"/>
              <w:bottom w:w="57" w:type="dxa"/>
              <w:right w:w="113" w:type="dxa"/>
            </w:tcMar>
            <w:vAlign w:val="center"/>
          </w:tcPr>
          <w:p w14:paraId="59A2D49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供应商为制造商的须提供《医疗器械生产许可证》、所投产品的《医疗器械产品注册证》；供应商为经销商的须提供包含所投产品相应经营范围的《医疗器械经营许可证》、《医疗器械经营备案凭证》，及所投产品制造商的《医疗器械生产许可证》、《医疗器械产品注册证》。</w:t>
            </w:r>
          </w:p>
        </w:tc>
        <w:tc>
          <w:tcPr>
            <w:tcW w:w="4516" w:type="dxa"/>
            <w:tcBorders>
              <w:top w:val="single" w:color="000000" w:sz="4" w:space="0"/>
              <w:left w:val="single" w:color="auto" w:sz="4" w:space="0"/>
              <w:bottom w:val="single" w:color="000000" w:sz="4" w:space="0"/>
              <w:right w:val="single" w:color="000000" w:sz="4" w:space="0"/>
            </w:tcBorders>
            <w:noWrap w:val="0"/>
            <w:tcMar>
              <w:top w:w="57" w:type="dxa"/>
              <w:left w:w="113" w:type="dxa"/>
              <w:bottom w:w="57" w:type="dxa"/>
              <w:right w:w="113" w:type="dxa"/>
            </w:tcMar>
            <w:vAlign w:val="center"/>
          </w:tcPr>
          <w:p w14:paraId="2441DCA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供应商为制造商的须提供《医疗器械生产许可证》、所投产品的《医疗器械产品注册证》；供应商为经销商的须提供包含所投产品相应经营范围的《医疗器械经营许可证》、《医疗器械经营备案凭证》，及所投产品制造商的《医疗器械生产许可证》、《医疗器械产品注册证》。</w:t>
            </w:r>
          </w:p>
        </w:tc>
        <w:tc>
          <w:tcPr>
            <w:tcW w:w="857"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14:paraId="08FA73FB">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i w:val="0"/>
                <w:color w:val="auto"/>
                <w:sz w:val="22"/>
                <w:szCs w:val="22"/>
                <w:highlight w:val="none"/>
                <w:u w:val="none"/>
              </w:rPr>
            </w:pPr>
          </w:p>
        </w:tc>
      </w:tr>
      <w:tr w14:paraId="2311A804">
        <w:tblPrEx>
          <w:tblCellMar>
            <w:top w:w="0" w:type="dxa"/>
            <w:left w:w="113" w:type="dxa"/>
            <w:bottom w:w="0" w:type="dxa"/>
            <w:right w:w="0" w:type="dxa"/>
          </w:tblCellMar>
        </w:tblPrEx>
        <w:trPr>
          <w:trHeight w:val="567" w:hRule="atLeast"/>
          <w:jc w:val="center"/>
        </w:trPr>
        <w:tc>
          <w:tcPr>
            <w:tcW w:w="717"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14:paraId="7CD728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3295" w:type="dxa"/>
            <w:tcBorders>
              <w:top w:val="single" w:color="000000" w:sz="4" w:space="0"/>
              <w:left w:val="single" w:color="000000" w:sz="4" w:space="0"/>
              <w:bottom w:val="single" w:color="000000" w:sz="4" w:space="0"/>
              <w:right w:val="single" w:color="auto" w:sz="4" w:space="0"/>
            </w:tcBorders>
            <w:noWrap w:val="0"/>
            <w:tcMar>
              <w:top w:w="57" w:type="dxa"/>
              <w:left w:w="113" w:type="dxa"/>
              <w:bottom w:w="57" w:type="dxa"/>
              <w:right w:w="113" w:type="dxa"/>
            </w:tcMar>
            <w:vAlign w:val="center"/>
          </w:tcPr>
          <w:p w14:paraId="4818CBA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kern w:val="2"/>
                <w:sz w:val="21"/>
                <w:szCs w:val="21"/>
                <w:highlight w:val="none"/>
                <w:u w:val="none"/>
                <w:lang w:val="en-US" w:eastAsia="zh-CN" w:bidi="ar-SA"/>
              </w:rPr>
              <w:t>具有良好的商业信誉和健全的财务会计制度</w:t>
            </w:r>
          </w:p>
        </w:tc>
        <w:tc>
          <w:tcPr>
            <w:tcW w:w="4516" w:type="dxa"/>
            <w:tcBorders>
              <w:top w:val="single" w:color="000000" w:sz="4" w:space="0"/>
              <w:left w:val="single" w:color="auto" w:sz="4" w:space="0"/>
              <w:bottom w:val="single" w:color="000000" w:sz="4" w:space="0"/>
              <w:right w:val="single" w:color="000000" w:sz="4" w:space="0"/>
            </w:tcBorders>
            <w:noWrap w:val="0"/>
            <w:tcMar>
              <w:top w:w="57" w:type="dxa"/>
              <w:left w:w="113" w:type="dxa"/>
              <w:bottom w:w="57" w:type="dxa"/>
              <w:right w:w="113" w:type="dxa"/>
            </w:tcMar>
            <w:vAlign w:val="center"/>
          </w:tcPr>
          <w:p w14:paraId="6E770A5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kern w:val="2"/>
                <w:sz w:val="21"/>
                <w:szCs w:val="21"/>
                <w:highlight w:val="none"/>
                <w:u w:val="none"/>
                <w:lang w:val="en-US" w:eastAsia="zh-CN" w:bidi="ar-SA"/>
              </w:rPr>
              <w:t>提供2023年度经审计的财务报告或银行出具的资信证明（如提供银行资信证明的，须自2025年01月02日至首次提交投标响应文件截止时间内出具）。</w:t>
            </w:r>
          </w:p>
        </w:tc>
        <w:tc>
          <w:tcPr>
            <w:tcW w:w="857"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14:paraId="7DD6187B">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i w:val="0"/>
                <w:color w:val="auto"/>
                <w:sz w:val="22"/>
                <w:szCs w:val="22"/>
                <w:highlight w:val="none"/>
                <w:u w:val="none"/>
              </w:rPr>
            </w:pPr>
          </w:p>
        </w:tc>
      </w:tr>
      <w:tr w14:paraId="43E904D4">
        <w:tblPrEx>
          <w:tblCellMar>
            <w:top w:w="0" w:type="dxa"/>
            <w:left w:w="113" w:type="dxa"/>
            <w:bottom w:w="0" w:type="dxa"/>
            <w:right w:w="0" w:type="dxa"/>
          </w:tblCellMar>
        </w:tblPrEx>
        <w:trPr>
          <w:trHeight w:val="567" w:hRule="atLeast"/>
          <w:jc w:val="center"/>
        </w:trPr>
        <w:tc>
          <w:tcPr>
            <w:tcW w:w="717"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14:paraId="029033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2"/>
                <w:sz w:val="21"/>
                <w:szCs w:val="21"/>
                <w:highlight w:val="none"/>
                <w:u w:val="none"/>
                <w:lang w:val="en-US" w:eastAsia="zh-CN" w:bidi="ar-SA"/>
              </w:rPr>
              <w:t>5</w:t>
            </w:r>
          </w:p>
        </w:tc>
        <w:tc>
          <w:tcPr>
            <w:tcW w:w="3295" w:type="dxa"/>
            <w:tcBorders>
              <w:top w:val="single" w:color="000000" w:sz="4" w:space="0"/>
              <w:left w:val="single" w:color="000000" w:sz="4" w:space="0"/>
              <w:bottom w:val="single" w:color="000000" w:sz="4" w:space="0"/>
              <w:right w:val="single" w:color="auto" w:sz="4" w:space="0"/>
            </w:tcBorders>
            <w:noWrap w:val="0"/>
            <w:tcMar>
              <w:top w:w="57" w:type="dxa"/>
              <w:left w:w="113" w:type="dxa"/>
              <w:bottom w:w="57" w:type="dxa"/>
              <w:right w:w="113" w:type="dxa"/>
            </w:tcMar>
            <w:vAlign w:val="center"/>
          </w:tcPr>
          <w:p w14:paraId="3078CD4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color w:val="auto"/>
                <w:kern w:val="2"/>
                <w:sz w:val="21"/>
                <w:szCs w:val="21"/>
                <w:highlight w:val="none"/>
                <w:u w:val="none"/>
                <w:lang w:val="en-US" w:eastAsia="zh-CN" w:bidi="ar-SA"/>
              </w:rPr>
              <w:t>具有履行合同所必需的设备和专业技术能力</w:t>
            </w:r>
          </w:p>
        </w:tc>
        <w:tc>
          <w:tcPr>
            <w:tcW w:w="4516" w:type="dxa"/>
            <w:tcBorders>
              <w:top w:val="single" w:color="000000" w:sz="4" w:space="0"/>
              <w:left w:val="single" w:color="auto" w:sz="4" w:space="0"/>
              <w:bottom w:val="single" w:color="000000" w:sz="4" w:space="0"/>
              <w:right w:val="single" w:color="000000" w:sz="4" w:space="0"/>
            </w:tcBorders>
            <w:noWrap w:val="0"/>
            <w:tcMar>
              <w:top w:w="57" w:type="dxa"/>
              <w:left w:w="113" w:type="dxa"/>
              <w:bottom w:w="57" w:type="dxa"/>
              <w:right w:w="113" w:type="dxa"/>
            </w:tcMar>
            <w:vAlign w:val="center"/>
          </w:tcPr>
          <w:p w14:paraId="698656C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color w:val="auto"/>
                <w:kern w:val="2"/>
                <w:sz w:val="21"/>
                <w:szCs w:val="21"/>
                <w:highlight w:val="none"/>
                <w:u w:val="none"/>
                <w:lang w:val="en-US" w:eastAsia="zh-CN" w:bidi="ar-SA"/>
              </w:rPr>
              <w:t>提供承诺函。</w:t>
            </w:r>
          </w:p>
        </w:tc>
        <w:tc>
          <w:tcPr>
            <w:tcW w:w="857"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14:paraId="675DFD4F">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i w:val="0"/>
                <w:color w:val="auto"/>
                <w:sz w:val="22"/>
                <w:szCs w:val="22"/>
                <w:highlight w:val="none"/>
                <w:u w:val="none"/>
              </w:rPr>
            </w:pPr>
          </w:p>
        </w:tc>
      </w:tr>
      <w:tr w14:paraId="27EAFCAB">
        <w:tblPrEx>
          <w:tblCellMar>
            <w:top w:w="0" w:type="dxa"/>
            <w:left w:w="113" w:type="dxa"/>
            <w:bottom w:w="0" w:type="dxa"/>
            <w:right w:w="0" w:type="dxa"/>
          </w:tblCellMar>
        </w:tblPrEx>
        <w:trPr>
          <w:trHeight w:val="567" w:hRule="atLeast"/>
          <w:jc w:val="center"/>
        </w:trPr>
        <w:tc>
          <w:tcPr>
            <w:tcW w:w="717"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14:paraId="1D5DFA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color w:val="auto"/>
                <w:kern w:val="2"/>
                <w:sz w:val="21"/>
                <w:szCs w:val="21"/>
                <w:highlight w:val="none"/>
                <w:u w:val="none"/>
                <w:lang w:val="en-US" w:eastAsia="zh-CN" w:bidi="ar-SA"/>
              </w:rPr>
              <w:t>6</w:t>
            </w:r>
          </w:p>
        </w:tc>
        <w:tc>
          <w:tcPr>
            <w:tcW w:w="3295" w:type="dxa"/>
            <w:tcBorders>
              <w:top w:val="single" w:color="000000" w:sz="4" w:space="0"/>
              <w:left w:val="single" w:color="000000" w:sz="4" w:space="0"/>
              <w:bottom w:val="single" w:color="000000" w:sz="4" w:space="0"/>
              <w:right w:val="single" w:color="auto" w:sz="4" w:space="0"/>
            </w:tcBorders>
            <w:noWrap w:val="0"/>
            <w:tcMar>
              <w:top w:w="57" w:type="dxa"/>
              <w:left w:w="113" w:type="dxa"/>
              <w:bottom w:w="57" w:type="dxa"/>
              <w:right w:w="113" w:type="dxa"/>
            </w:tcMar>
            <w:vAlign w:val="center"/>
          </w:tcPr>
          <w:p w14:paraId="1DD7252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color w:val="auto"/>
                <w:kern w:val="2"/>
                <w:sz w:val="21"/>
                <w:szCs w:val="21"/>
                <w:highlight w:val="none"/>
                <w:u w:val="none"/>
                <w:lang w:val="en-US" w:eastAsia="zh-CN" w:bidi="ar-SA"/>
              </w:rPr>
              <w:t>有依法缴纳税收的良好记录</w:t>
            </w:r>
          </w:p>
        </w:tc>
        <w:tc>
          <w:tcPr>
            <w:tcW w:w="4516" w:type="dxa"/>
            <w:tcBorders>
              <w:top w:val="single" w:color="000000" w:sz="4" w:space="0"/>
              <w:left w:val="single" w:color="auto" w:sz="4" w:space="0"/>
              <w:bottom w:val="single" w:color="000000" w:sz="4" w:space="0"/>
              <w:right w:val="single" w:color="000000" w:sz="4" w:space="0"/>
            </w:tcBorders>
            <w:noWrap w:val="0"/>
            <w:tcMar>
              <w:top w:w="57" w:type="dxa"/>
              <w:left w:w="113" w:type="dxa"/>
              <w:bottom w:w="57" w:type="dxa"/>
              <w:right w:w="113" w:type="dxa"/>
            </w:tcMar>
            <w:vAlign w:val="center"/>
          </w:tcPr>
          <w:p w14:paraId="58F044B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color w:val="auto"/>
                <w:kern w:val="2"/>
                <w:sz w:val="21"/>
                <w:szCs w:val="21"/>
                <w:highlight w:val="none"/>
                <w:u w:val="none"/>
                <w:lang w:val="en-US" w:eastAsia="zh-CN" w:bidi="ar-SA"/>
              </w:rPr>
              <w:t>提供投标人近半年任意一个月依法纳税凭证原件或有电子专用章的完税证明，依法免税的供应商，应提供相应文件证明其依法免税。</w:t>
            </w:r>
          </w:p>
        </w:tc>
        <w:tc>
          <w:tcPr>
            <w:tcW w:w="857"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14:paraId="0D0E7FE3">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i w:val="0"/>
                <w:color w:val="auto"/>
                <w:sz w:val="22"/>
                <w:szCs w:val="22"/>
                <w:highlight w:val="none"/>
                <w:u w:val="none"/>
              </w:rPr>
            </w:pPr>
          </w:p>
        </w:tc>
      </w:tr>
      <w:tr w14:paraId="20F68F06">
        <w:tblPrEx>
          <w:tblCellMar>
            <w:top w:w="0" w:type="dxa"/>
            <w:left w:w="113" w:type="dxa"/>
            <w:bottom w:w="0" w:type="dxa"/>
            <w:right w:w="0" w:type="dxa"/>
          </w:tblCellMar>
        </w:tblPrEx>
        <w:trPr>
          <w:trHeight w:val="567" w:hRule="atLeast"/>
          <w:jc w:val="center"/>
        </w:trPr>
        <w:tc>
          <w:tcPr>
            <w:tcW w:w="717"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14:paraId="0EDFFD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color w:val="auto"/>
                <w:kern w:val="2"/>
                <w:sz w:val="21"/>
                <w:szCs w:val="21"/>
                <w:highlight w:val="none"/>
                <w:u w:val="none"/>
                <w:lang w:val="en-US" w:eastAsia="zh-CN" w:bidi="ar-SA"/>
              </w:rPr>
              <w:t>7</w:t>
            </w:r>
          </w:p>
        </w:tc>
        <w:tc>
          <w:tcPr>
            <w:tcW w:w="3295" w:type="dxa"/>
            <w:tcBorders>
              <w:top w:val="single" w:color="000000" w:sz="4" w:space="0"/>
              <w:left w:val="single" w:color="000000" w:sz="4" w:space="0"/>
              <w:bottom w:val="single" w:color="000000" w:sz="4" w:space="0"/>
              <w:right w:val="single" w:color="auto" w:sz="4" w:space="0"/>
            </w:tcBorders>
            <w:noWrap w:val="0"/>
            <w:tcMar>
              <w:top w:w="57" w:type="dxa"/>
              <w:left w:w="113" w:type="dxa"/>
              <w:bottom w:w="57" w:type="dxa"/>
              <w:right w:w="113" w:type="dxa"/>
            </w:tcMar>
            <w:vAlign w:val="center"/>
          </w:tcPr>
          <w:p w14:paraId="648591C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color w:val="auto"/>
                <w:kern w:val="2"/>
                <w:sz w:val="21"/>
                <w:szCs w:val="21"/>
                <w:highlight w:val="none"/>
                <w:u w:val="none"/>
                <w:lang w:val="en-US" w:eastAsia="zh-CN" w:bidi="ar-SA"/>
              </w:rPr>
              <w:t>有依法缴纳社会保障资金的良好记录</w:t>
            </w:r>
          </w:p>
        </w:tc>
        <w:tc>
          <w:tcPr>
            <w:tcW w:w="4516" w:type="dxa"/>
            <w:tcBorders>
              <w:top w:val="single" w:color="000000" w:sz="4" w:space="0"/>
              <w:left w:val="single" w:color="auto" w:sz="4" w:space="0"/>
              <w:bottom w:val="single" w:color="000000" w:sz="4" w:space="0"/>
              <w:right w:val="single" w:color="000000" w:sz="4" w:space="0"/>
            </w:tcBorders>
            <w:noWrap w:val="0"/>
            <w:tcMar>
              <w:top w:w="57" w:type="dxa"/>
              <w:left w:w="113" w:type="dxa"/>
              <w:bottom w:w="57" w:type="dxa"/>
              <w:right w:w="113" w:type="dxa"/>
            </w:tcMar>
            <w:vAlign w:val="center"/>
          </w:tcPr>
          <w:p w14:paraId="6855360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color w:val="auto"/>
                <w:kern w:val="2"/>
                <w:sz w:val="21"/>
                <w:szCs w:val="21"/>
                <w:highlight w:val="none"/>
                <w:u w:val="none"/>
                <w:lang w:val="en-US" w:eastAsia="zh-CN" w:bidi="ar-SA"/>
              </w:rPr>
              <w:t>提供投标人近半年任意一个月</w:t>
            </w:r>
            <w:r>
              <w:rPr>
                <w:rFonts w:hint="eastAsia" w:ascii="仿宋" w:hAnsi="仿宋" w:eastAsia="仿宋" w:cs="仿宋"/>
                <w:color w:val="auto"/>
                <w:kern w:val="2"/>
                <w:sz w:val="21"/>
                <w:highlight w:val="none"/>
                <w:lang w:val="en-US" w:eastAsia="zh-CN" w:bidi="ar-SA"/>
              </w:rPr>
              <w:t>依法缴纳社会保障资金证明，</w:t>
            </w:r>
            <w:r>
              <w:rPr>
                <w:rFonts w:hint="eastAsia" w:ascii="仿宋" w:hAnsi="仿宋" w:eastAsia="仿宋" w:cs="仿宋"/>
                <w:color w:val="auto"/>
                <w:kern w:val="2"/>
                <w:sz w:val="21"/>
                <w:szCs w:val="21"/>
                <w:highlight w:val="none"/>
                <w:u w:val="none"/>
                <w:lang w:val="en-US" w:eastAsia="zh-CN" w:bidi="ar-SA"/>
              </w:rPr>
              <w:t>依法不需要缴纳社会保障资金的供应商，应提供相应文件证明其依法不需要缴纳社会保障资金。</w:t>
            </w:r>
          </w:p>
        </w:tc>
        <w:tc>
          <w:tcPr>
            <w:tcW w:w="857"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14:paraId="77CD825E">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i w:val="0"/>
                <w:color w:val="auto"/>
                <w:sz w:val="22"/>
                <w:szCs w:val="22"/>
                <w:highlight w:val="none"/>
                <w:u w:val="none"/>
              </w:rPr>
            </w:pPr>
          </w:p>
        </w:tc>
      </w:tr>
      <w:tr w14:paraId="64356097">
        <w:tblPrEx>
          <w:tblCellMar>
            <w:top w:w="0" w:type="dxa"/>
            <w:left w:w="113" w:type="dxa"/>
            <w:bottom w:w="0" w:type="dxa"/>
            <w:right w:w="0" w:type="dxa"/>
          </w:tblCellMar>
        </w:tblPrEx>
        <w:trPr>
          <w:trHeight w:val="567" w:hRule="atLeast"/>
          <w:jc w:val="center"/>
        </w:trPr>
        <w:tc>
          <w:tcPr>
            <w:tcW w:w="717"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14:paraId="565C2C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color w:val="auto"/>
                <w:kern w:val="2"/>
                <w:sz w:val="21"/>
                <w:szCs w:val="21"/>
                <w:highlight w:val="none"/>
                <w:u w:val="none"/>
                <w:lang w:val="en-US" w:eastAsia="zh-CN" w:bidi="ar-SA"/>
              </w:rPr>
              <w:t>8</w:t>
            </w:r>
          </w:p>
        </w:tc>
        <w:tc>
          <w:tcPr>
            <w:tcW w:w="3295" w:type="dxa"/>
            <w:tcBorders>
              <w:top w:val="single" w:color="000000" w:sz="4" w:space="0"/>
              <w:left w:val="single" w:color="000000" w:sz="4" w:space="0"/>
              <w:bottom w:val="single" w:color="000000" w:sz="4" w:space="0"/>
              <w:right w:val="single" w:color="auto" w:sz="4" w:space="0"/>
            </w:tcBorders>
            <w:noWrap w:val="0"/>
            <w:tcMar>
              <w:top w:w="57" w:type="dxa"/>
              <w:left w:w="113" w:type="dxa"/>
              <w:bottom w:w="57" w:type="dxa"/>
              <w:right w:w="113" w:type="dxa"/>
            </w:tcMar>
            <w:vAlign w:val="center"/>
          </w:tcPr>
          <w:p w14:paraId="1984209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color w:val="auto"/>
                <w:kern w:val="2"/>
                <w:sz w:val="21"/>
                <w:szCs w:val="21"/>
                <w:highlight w:val="none"/>
                <w:u w:val="none"/>
                <w:lang w:val="en-US" w:eastAsia="zh-CN" w:bidi="ar-SA"/>
              </w:rPr>
              <w:t>参加政府采购活动前三年内，在经营活动中没有重大违法记录</w:t>
            </w:r>
          </w:p>
        </w:tc>
        <w:tc>
          <w:tcPr>
            <w:tcW w:w="4516" w:type="dxa"/>
            <w:tcBorders>
              <w:top w:val="single" w:color="000000" w:sz="4" w:space="0"/>
              <w:left w:val="single" w:color="auto" w:sz="4" w:space="0"/>
              <w:bottom w:val="single" w:color="000000" w:sz="4" w:space="0"/>
              <w:right w:val="single" w:color="000000" w:sz="4" w:space="0"/>
            </w:tcBorders>
            <w:noWrap w:val="0"/>
            <w:tcMar>
              <w:top w:w="57" w:type="dxa"/>
              <w:left w:w="113" w:type="dxa"/>
              <w:bottom w:w="57" w:type="dxa"/>
              <w:right w:w="113" w:type="dxa"/>
            </w:tcMar>
            <w:vAlign w:val="center"/>
          </w:tcPr>
          <w:p w14:paraId="6E64E7B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color w:val="auto"/>
                <w:kern w:val="2"/>
                <w:sz w:val="21"/>
                <w:highlight w:val="none"/>
                <w:lang w:val="en-US" w:eastAsia="zh-CN" w:bidi="ar-SA"/>
              </w:rPr>
              <w:t>提供无重大违法记录声明函。</w:t>
            </w:r>
          </w:p>
        </w:tc>
        <w:tc>
          <w:tcPr>
            <w:tcW w:w="857"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14:paraId="44E58543">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i w:val="0"/>
                <w:color w:val="auto"/>
                <w:sz w:val="22"/>
                <w:szCs w:val="22"/>
                <w:highlight w:val="none"/>
                <w:u w:val="none"/>
              </w:rPr>
            </w:pPr>
          </w:p>
        </w:tc>
      </w:tr>
      <w:tr w14:paraId="7DEF532B">
        <w:tblPrEx>
          <w:tblCellMar>
            <w:top w:w="0" w:type="dxa"/>
            <w:left w:w="113" w:type="dxa"/>
            <w:bottom w:w="0" w:type="dxa"/>
            <w:right w:w="0" w:type="dxa"/>
          </w:tblCellMar>
        </w:tblPrEx>
        <w:trPr>
          <w:trHeight w:val="567" w:hRule="atLeast"/>
          <w:jc w:val="center"/>
        </w:trPr>
        <w:tc>
          <w:tcPr>
            <w:tcW w:w="717"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14:paraId="1BAC6E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color w:val="auto"/>
                <w:kern w:val="2"/>
                <w:sz w:val="21"/>
                <w:szCs w:val="21"/>
                <w:highlight w:val="none"/>
                <w:u w:val="none"/>
                <w:lang w:val="en-US" w:eastAsia="zh-CN" w:bidi="ar-SA"/>
              </w:rPr>
              <w:t>9</w:t>
            </w:r>
          </w:p>
        </w:tc>
        <w:tc>
          <w:tcPr>
            <w:tcW w:w="3295" w:type="dxa"/>
            <w:tcBorders>
              <w:top w:val="single" w:color="000000" w:sz="4" w:space="0"/>
              <w:left w:val="single" w:color="000000" w:sz="4" w:space="0"/>
              <w:bottom w:val="single" w:color="000000" w:sz="4" w:space="0"/>
              <w:right w:val="single" w:color="auto" w:sz="4" w:space="0"/>
            </w:tcBorders>
            <w:noWrap w:val="0"/>
            <w:tcMar>
              <w:top w:w="57" w:type="dxa"/>
              <w:left w:w="113" w:type="dxa"/>
              <w:bottom w:w="57" w:type="dxa"/>
              <w:right w:w="113" w:type="dxa"/>
            </w:tcMar>
            <w:vAlign w:val="center"/>
          </w:tcPr>
          <w:p w14:paraId="2A0BF22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投标保证金</w:t>
            </w:r>
          </w:p>
        </w:tc>
        <w:tc>
          <w:tcPr>
            <w:tcW w:w="4516" w:type="dxa"/>
            <w:tcBorders>
              <w:top w:val="single" w:color="000000" w:sz="4" w:space="0"/>
              <w:left w:val="single" w:color="auto" w:sz="4" w:space="0"/>
              <w:bottom w:val="single" w:color="000000" w:sz="4" w:space="0"/>
              <w:right w:val="single" w:color="000000" w:sz="4" w:space="0"/>
            </w:tcBorders>
            <w:noWrap w:val="0"/>
            <w:tcMar>
              <w:top w:w="57" w:type="dxa"/>
              <w:left w:w="113" w:type="dxa"/>
              <w:bottom w:w="57" w:type="dxa"/>
              <w:right w:w="113" w:type="dxa"/>
            </w:tcMar>
            <w:vAlign w:val="center"/>
          </w:tcPr>
          <w:p w14:paraId="6D31519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color w:val="auto"/>
                <w:kern w:val="2"/>
                <w:sz w:val="21"/>
                <w:highlight w:val="none"/>
                <w:lang w:val="en-US" w:eastAsia="zh-CN" w:bidi="ar-SA"/>
              </w:rPr>
              <w:t>投标保证金缴纳凭证或保函。</w:t>
            </w:r>
          </w:p>
        </w:tc>
        <w:tc>
          <w:tcPr>
            <w:tcW w:w="857"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14:paraId="14D89F9C">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i w:val="0"/>
                <w:color w:val="auto"/>
                <w:sz w:val="22"/>
                <w:szCs w:val="22"/>
                <w:highlight w:val="none"/>
                <w:u w:val="none"/>
              </w:rPr>
            </w:pPr>
          </w:p>
        </w:tc>
      </w:tr>
      <w:tr w14:paraId="6D89ABD6">
        <w:tblPrEx>
          <w:tblCellMar>
            <w:top w:w="0" w:type="dxa"/>
            <w:left w:w="113" w:type="dxa"/>
            <w:bottom w:w="0" w:type="dxa"/>
            <w:right w:w="0" w:type="dxa"/>
          </w:tblCellMar>
        </w:tblPrEx>
        <w:trPr>
          <w:trHeight w:val="567" w:hRule="atLeast"/>
          <w:jc w:val="center"/>
        </w:trPr>
        <w:tc>
          <w:tcPr>
            <w:tcW w:w="717"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14:paraId="4A1861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color w:val="auto"/>
                <w:kern w:val="2"/>
                <w:sz w:val="21"/>
                <w:szCs w:val="21"/>
                <w:highlight w:val="none"/>
                <w:u w:val="none"/>
                <w:lang w:val="en-US" w:eastAsia="zh-CN" w:bidi="ar-SA"/>
              </w:rPr>
            </w:pPr>
            <w:r>
              <w:rPr>
                <w:rFonts w:hint="eastAsia" w:ascii="仿宋" w:hAnsi="仿宋" w:eastAsia="仿宋" w:cs="仿宋"/>
                <w:i w:val="0"/>
                <w:color w:val="auto"/>
                <w:kern w:val="2"/>
                <w:sz w:val="21"/>
                <w:szCs w:val="21"/>
                <w:highlight w:val="none"/>
                <w:u w:val="none"/>
                <w:lang w:val="en-US" w:eastAsia="zh-CN" w:bidi="ar-SA"/>
              </w:rPr>
              <w:t>10</w:t>
            </w:r>
          </w:p>
        </w:tc>
        <w:tc>
          <w:tcPr>
            <w:tcW w:w="3295" w:type="dxa"/>
            <w:tcBorders>
              <w:top w:val="single" w:color="000000" w:sz="4" w:space="0"/>
              <w:left w:val="single" w:color="000000" w:sz="4" w:space="0"/>
              <w:bottom w:val="single" w:color="000000" w:sz="4" w:space="0"/>
              <w:right w:val="single" w:color="auto" w:sz="4" w:space="0"/>
            </w:tcBorders>
            <w:noWrap w:val="0"/>
            <w:tcMar>
              <w:top w:w="57" w:type="dxa"/>
              <w:left w:w="113" w:type="dxa"/>
              <w:bottom w:w="57" w:type="dxa"/>
              <w:right w:w="113" w:type="dxa"/>
            </w:tcMar>
            <w:vAlign w:val="center"/>
          </w:tcPr>
          <w:p w14:paraId="681A1CF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供应商不存在第二章供应商须知（1）-（3）规定</w:t>
            </w:r>
          </w:p>
        </w:tc>
        <w:tc>
          <w:tcPr>
            <w:tcW w:w="4516" w:type="dxa"/>
            <w:tcBorders>
              <w:top w:val="single" w:color="000000" w:sz="4" w:space="0"/>
              <w:left w:val="single" w:color="auto" w:sz="4" w:space="0"/>
              <w:bottom w:val="single" w:color="000000" w:sz="4" w:space="0"/>
              <w:right w:val="single" w:color="000000" w:sz="4" w:space="0"/>
            </w:tcBorders>
            <w:noWrap w:val="0"/>
            <w:tcMar>
              <w:top w:w="57" w:type="dxa"/>
              <w:left w:w="113" w:type="dxa"/>
              <w:bottom w:w="57" w:type="dxa"/>
              <w:right w:w="113" w:type="dxa"/>
            </w:tcMar>
            <w:vAlign w:val="center"/>
          </w:tcPr>
          <w:p w14:paraId="3D1A9BE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（1）单位负责人为同一人或者存在直接控股、管理关系的不同投标单位，不得参加同一合同项下的政府采购活动。</w:t>
            </w:r>
          </w:p>
          <w:p w14:paraId="3439752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（2）除单一来源采购项目外，为采购项目提供整体设计、规范编制或者项目管理、监理、检测等服务的投标单位，不得再参加该采购项目的其他采购活动。</w:t>
            </w:r>
          </w:p>
          <w:p w14:paraId="629788D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（3）供应商未被列入失信被执行人、重大税收违法失信主体、政府采购严重违法失信行为记录名单（处罚决定规定的时间和地域范围内）。</w:t>
            </w:r>
          </w:p>
        </w:tc>
        <w:tc>
          <w:tcPr>
            <w:tcW w:w="857"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14:paraId="335A5B70">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i w:val="0"/>
                <w:color w:val="auto"/>
                <w:sz w:val="22"/>
                <w:szCs w:val="22"/>
                <w:highlight w:val="none"/>
                <w:u w:val="none"/>
              </w:rPr>
            </w:pPr>
          </w:p>
        </w:tc>
      </w:tr>
      <w:tr w14:paraId="57B11763">
        <w:tblPrEx>
          <w:tblCellMar>
            <w:top w:w="0" w:type="dxa"/>
            <w:left w:w="113" w:type="dxa"/>
            <w:bottom w:w="0" w:type="dxa"/>
            <w:right w:w="0" w:type="dxa"/>
          </w:tblCellMar>
        </w:tblPrEx>
        <w:trPr>
          <w:trHeight w:val="567" w:hRule="atLeast"/>
          <w:jc w:val="center"/>
        </w:trPr>
        <w:tc>
          <w:tcPr>
            <w:tcW w:w="8528" w:type="dxa"/>
            <w:gridSpan w:val="3"/>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14:paraId="2D146A6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结论：是否通过资格审查。</w:t>
            </w:r>
          </w:p>
        </w:tc>
        <w:tc>
          <w:tcPr>
            <w:tcW w:w="857"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14:paraId="09F78FCB">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i w:val="0"/>
                <w:color w:val="auto"/>
                <w:sz w:val="22"/>
                <w:szCs w:val="22"/>
                <w:highlight w:val="none"/>
                <w:u w:val="none"/>
              </w:rPr>
            </w:pPr>
          </w:p>
        </w:tc>
      </w:tr>
    </w:tbl>
    <w:p w14:paraId="48CB51E6">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注：表中所述资格审查结果分两种：通过或不通过，对某一分项资格审查认为不通过时，必须要写明原因，凡有一项不通过者，其结论即为“不通过”。其竞标作为无效标，不进入后期评审阶段。</w:t>
      </w:r>
    </w:p>
    <w:p w14:paraId="747D2448">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lang w:eastAsia="zh-CN"/>
        </w:rPr>
        <w:t>）评标委员会对通过资格审查的投标文件进行符合性审查。</w:t>
      </w:r>
    </w:p>
    <w:p w14:paraId="6B3F4508">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8</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商务技术评审</w:t>
      </w:r>
      <w:r>
        <w:rPr>
          <w:rFonts w:hint="eastAsia" w:ascii="仿宋" w:hAnsi="仿宋" w:eastAsia="仿宋" w:cs="仿宋"/>
          <w:b w:val="0"/>
          <w:bCs/>
          <w:color w:val="auto"/>
          <w:sz w:val="24"/>
          <w:szCs w:val="24"/>
          <w:highlight w:val="none"/>
        </w:rPr>
        <w:t>。</w:t>
      </w:r>
    </w:p>
    <w:p w14:paraId="1E4F8997">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9</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报价评审。</w:t>
      </w:r>
    </w:p>
    <w:p w14:paraId="237ECBDA">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10</w:t>
      </w:r>
      <w:r>
        <w:rPr>
          <w:rFonts w:hint="eastAsia" w:ascii="仿宋" w:hAnsi="仿宋" w:eastAsia="仿宋" w:cs="仿宋"/>
          <w:b w:val="0"/>
          <w:bCs/>
          <w:color w:val="auto"/>
          <w:sz w:val="24"/>
          <w:szCs w:val="24"/>
          <w:highlight w:val="none"/>
          <w:lang w:eastAsia="zh-CN"/>
        </w:rPr>
        <w:t>）评审</w:t>
      </w:r>
      <w:r>
        <w:rPr>
          <w:rFonts w:hint="eastAsia" w:ascii="仿宋" w:hAnsi="仿宋" w:eastAsia="仿宋" w:cs="仿宋"/>
          <w:b w:val="0"/>
          <w:bCs/>
          <w:color w:val="auto"/>
          <w:sz w:val="24"/>
          <w:szCs w:val="24"/>
          <w:highlight w:val="none"/>
        </w:rPr>
        <w:t>结束后，由评标委员会对本次</w:t>
      </w:r>
      <w:r>
        <w:rPr>
          <w:rFonts w:hint="eastAsia" w:ascii="仿宋" w:hAnsi="仿宋" w:eastAsia="仿宋" w:cs="仿宋"/>
          <w:b w:val="0"/>
          <w:bCs/>
          <w:color w:val="auto"/>
          <w:sz w:val="24"/>
          <w:szCs w:val="24"/>
          <w:highlight w:val="none"/>
          <w:lang w:eastAsia="zh-CN"/>
        </w:rPr>
        <w:t>评审结果进行排名</w:t>
      </w:r>
      <w:r>
        <w:rPr>
          <w:rFonts w:hint="eastAsia" w:ascii="仿宋" w:hAnsi="仿宋" w:eastAsia="仿宋" w:cs="仿宋"/>
          <w:b w:val="0"/>
          <w:bCs/>
          <w:color w:val="auto"/>
          <w:sz w:val="24"/>
          <w:szCs w:val="24"/>
          <w:highlight w:val="none"/>
        </w:rPr>
        <w:t>。</w:t>
      </w:r>
    </w:p>
    <w:p w14:paraId="42A607B3">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11</w:t>
      </w:r>
      <w:r>
        <w:rPr>
          <w:rFonts w:hint="eastAsia" w:ascii="仿宋" w:hAnsi="仿宋" w:eastAsia="仿宋" w:cs="仿宋"/>
          <w:b w:val="0"/>
          <w:bCs/>
          <w:color w:val="auto"/>
          <w:sz w:val="24"/>
          <w:szCs w:val="24"/>
          <w:highlight w:val="none"/>
        </w:rPr>
        <w:t>）评</w:t>
      </w:r>
      <w:r>
        <w:rPr>
          <w:rFonts w:hint="eastAsia" w:ascii="仿宋" w:hAnsi="仿宋" w:eastAsia="仿宋" w:cs="仿宋"/>
          <w:b w:val="0"/>
          <w:bCs/>
          <w:color w:val="auto"/>
          <w:sz w:val="24"/>
          <w:szCs w:val="24"/>
          <w:highlight w:val="none"/>
          <w:lang w:eastAsia="zh-CN"/>
        </w:rPr>
        <w:t>标</w:t>
      </w:r>
      <w:r>
        <w:rPr>
          <w:rFonts w:hint="eastAsia" w:ascii="仿宋" w:hAnsi="仿宋" w:eastAsia="仿宋" w:cs="仿宋"/>
          <w:b w:val="0"/>
          <w:bCs/>
          <w:color w:val="auto"/>
          <w:sz w:val="24"/>
          <w:szCs w:val="24"/>
          <w:highlight w:val="none"/>
        </w:rPr>
        <w:t>结束后，采购代理机构在系统上公布评审结果。</w:t>
      </w:r>
    </w:p>
    <w:p w14:paraId="0D365778">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特别情况说明：</w:t>
      </w:r>
    </w:p>
    <w:p w14:paraId="5C3CAFF7">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（1）本项目采用电子交易，如遇“新疆政府采购云平台”电子化开标或评审程序调整的，按调整后程序执行。</w:t>
      </w:r>
    </w:p>
    <w:p w14:paraId="5047C584">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（2）开标过程中需要相关当事人进行签字或盖章确认的材料将通过“政府采购云平台”进行，若因“政府采购云平台”技术问题无法进行签字或盖章确认的，</w:t>
      </w:r>
      <w:r>
        <w:rPr>
          <w:rFonts w:hint="eastAsia" w:ascii="仿宋" w:hAnsi="仿宋" w:eastAsia="仿宋" w:cs="仿宋"/>
          <w:b w:val="0"/>
          <w:bCs/>
          <w:color w:val="auto"/>
          <w:sz w:val="24"/>
          <w:szCs w:val="24"/>
          <w:highlight w:val="none"/>
          <w:lang w:eastAsia="zh-CN"/>
        </w:rPr>
        <w:t>采购代理机构</w:t>
      </w:r>
      <w:r>
        <w:rPr>
          <w:rFonts w:hint="eastAsia" w:ascii="仿宋" w:hAnsi="仿宋" w:eastAsia="仿宋" w:cs="仿宋"/>
          <w:b w:val="0"/>
          <w:bCs/>
          <w:color w:val="auto"/>
          <w:sz w:val="24"/>
          <w:szCs w:val="24"/>
          <w:highlight w:val="none"/>
        </w:rPr>
        <w:t>将通过电子邮件等形式予以确认，请供应商保证办理投标事宜人员电话畅通、网络在线，签字或盖章确认的时间为20分钟。如未及时签字或盖章确认的，视为无异议。</w:t>
      </w:r>
    </w:p>
    <w:p w14:paraId="31DE39BF">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17</w:t>
      </w:r>
      <w:r>
        <w:rPr>
          <w:rFonts w:hint="eastAsia" w:ascii="仿宋" w:hAnsi="仿宋" w:eastAsia="仿宋" w:cs="仿宋"/>
          <w:b w:val="0"/>
          <w:bCs/>
          <w:color w:val="auto"/>
          <w:sz w:val="24"/>
          <w:szCs w:val="24"/>
          <w:highlight w:val="none"/>
        </w:rPr>
        <w:t>.3 投标供应商资格审查：</w:t>
      </w:r>
    </w:p>
    <w:p w14:paraId="1C1E2400">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14:paraId="287E7C4A">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（2）投标供应商提交的资格证明材料无法证明其符合</w:t>
      </w:r>
      <w:r>
        <w:rPr>
          <w:rFonts w:hint="eastAsia" w:ascii="仿宋" w:hAnsi="仿宋" w:eastAsia="仿宋" w:cs="仿宋"/>
          <w:b w:val="0"/>
          <w:bCs/>
          <w:color w:val="auto"/>
          <w:sz w:val="24"/>
          <w:szCs w:val="24"/>
          <w:highlight w:val="none"/>
          <w:lang w:eastAsia="zh-CN"/>
        </w:rPr>
        <w:t>招标文件</w:t>
      </w:r>
      <w:r>
        <w:rPr>
          <w:rFonts w:hint="eastAsia" w:ascii="仿宋" w:hAnsi="仿宋" w:eastAsia="仿宋" w:cs="仿宋"/>
          <w:b w:val="0"/>
          <w:bCs/>
          <w:color w:val="auto"/>
          <w:sz w:val="24"/>
          <w:szCs w:val="24"/>
          <w:highlight w:val="none"/>
        </w:rPr>
        <w:t>规定的“投标供应商资格要求”的，采购人或采购代理机构将对其作“资格审查不合格”处理（无效投标），并不再将其投标提交评标委员会进行后续评审。</w:t>
      </w:r>
    </w:p>
    <w:p w14:paraId="6E468877">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（3）供应商信用记录查询与使用：见供应商须知前附表。</w:t>
      </w:r>
    </w:p>
    <w:p w14:paraId="2D2796F0">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17.4</w:t>
      </w:r>
      <w:r>
        <w:rPr>
          <w:rFonts w:hint="eastAsia" w:ascii="仿宋" w:hAnsi="仿宋" w:eastAsia="仿宋" w:cs="仿宋"/>
          <w:b w:val="0"/>
          <w:bCs/>
          <w:color w:val="auto"/>
          <w:sz w:val="24"/>
          <w:szCs w:val="24"/>
          <w:highlight w:val="none"/>
        </w:rPr>
        <w:t>评审工作的组织</w:t>
      </w:r>
    </w:p>
    <w:p w14:paraId="664DA7BE">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采购人或采购代理机构负责组织本项目的评审工作，并依据《政府采购货物和服务招标投标管理办法（财政部第87号令）》第四十五条的相关规定履行职责。</w:t>
      </w:r>
    </w:p>
    <w:p w14:paraId="4CC27429">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17.5</w:t>
      </w:r>
      <w:r>
        <w:rPr>
          <w:rFonts w:hint="eastAsia" w:ascii="仿宋" w:hAnsi="仿宋" w:eastAsia="仿宋" w:cs="仿宋"/>
          <w:b w:val="0"/>
          <w:bCs/>
          <w:color w:val="auto"/>
          <w:sz w:val="24"/>
          <w:szCs w:val="24"/>
          <w:highlight w:val="none"/>
        </w:rPr>
        <w:t xml:space="preserve"> 评标委员会的组建</w:t>
      </w:r>
    </w:p>
    <w:p w14:paraId="4B9DDAED">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17</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color w:val="auto"/>
          <w:sz w:val="24"/>
          <w:szCs w:val="22"/>
          <w:highlight w:val="none"/>
          <w:lang w:eastAsia="zh-CN"/>
        </w:rPr>
        <w:t>采购代理机构</w:t>
      </w:r>
      <w:r>
        <w:rPr>
          <w:rFonts w:hint="eastAsia" w:ascii="仿宋" w:hAnsi="仿宋" w:eastAsia="仿宋" w:cs="仿宋"/>
          <w:color w:val="auto"/>
          <w:sz w:val="24"/>
          <w:szCs w:val="22"/>
          <w:highlight w:val="none"/>
        </w:rPr>
        <w:t>会同</w:t>
      </w:r>
      <w:r>
        <w:rPr>
          <w:rFonts w:hint="eastAsia" w:ascii="仿宋" w:hAnsi="仿宋" w:eastAsia="仿宋" w:cs="仿宋"/>
          <w:color w:val="auto"/>
          <w:sz w:val="24"/>
          <w:szCs w:val="22"/>
          <w:highlight w:val="none"/>
          <w:lang w:eastAsia="zh-CN"/>
        </w:rPr>
        <w:t>采购人</w:t>
      </w:r>
      <w:r>
        <w:rPr>
          <w:rFonts w:hint="eastAsia" w:ascii="仿宋" w:hAnsi="仿宋" w:eastAsia="仿宋" w:cs="仿宋"/>
          <w:color w:val="auto"/>
          <w:sz w:val="24"/>
          <w:szCs w:val="22"/>
          <w:highlight w:val="none"/>
        </w:rPr>
        <w:t>在开标会议之前组建</w:t>
      </w:r>
      <w:r>
        <w:rPr>
          <w:rFonts w:hint="eastAsia" w:ascii="仿宋" w:hAnsi="仿宋" w:eastAsia="仿宋" w:cs="仿宋"/>
          <w:color w:val="auto"/>
          <w:sz w:val="24"/>
          <w:szCs w:val="22"/>
          <w:highlight w:val="none"/>
          <w:lang w:eastAsia="zh-CN"/>
        </w:rPr>
        <w:t>评标委员会（</w:t>
      </w:r>
      <w:r>
        <w:rPr>
          <w:rFonts w:hint="eastAsia" w:ascii="仿宋" w:hAnsi="仿宋" w:eastAsia="仿宋" w:cs="仿宋"/>
          <w:color w:val="auto"/>
          <w:sz w:val="24"/>
          <w:szCs w:val="22"/>
          <w:highlight w:val="none"/>
          <w:lang w:val="en-US" w:eastAsia="zh-CN"/>
        </w:rPr>
        <w:t>评审</w:t>
      </w:r>
      <w:r>
        <w:rPr>
          <w:rFonts w:hint="eastAsia" w:ascii="仿宋" w:hAnsi="仿宋" w:eastAsia="仿宋" w:cs="仿宋"/>
          <w:color w:val="auto"/>
          <w:sz w:val="24"/>
          <w:szCs w:val="22"/>
          <w:highlight w:val="none"/>
          <w:lang w:eastAsia="zh-CN"/>
        </w:rPr>
        <w:t>小组）</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val="en-US" w:eastAsia="zh-CN"/>
        </w:rPr>
        <w:t>评审</w:t>
      </w:r>
      <w:r>
        <w:rPr>
          <w:rFonts w:hint="eastAsia" w:ascii="仿宋" w:hAnsi="仿宋" w:eastAsia="仿宋" w:cs="仿宋"/>
          <w:color w:val="auto"/>
          <w:sz w:val="24"/>
          <w:szCs w:val="22"/>
          <w:highlight w:val="none"/>
          <w:lang w:eastAsia="zh-CN"/>
        </w:rPr>
        <w:t>小组</w:t>
      </w:r>
      <w:r>
        <w:rPr>
          <w:rFonts w:hint="eastAsia" w:ascii="仿宋" w:hAnsi="仿宋" w:eastAsia="仿宋" w:cs="仿宋"/>
          <w:color w:val="auto"/>
          <w:sz w:val="24"/>
          <w:szCs w:val="22"/>
          <w:highlight w:val="none"/>
        </w:rPr>
        <w:t>负责评标工作。本次</w:t>
      </w:r>
      <w:r>
        <w:rPr>
          <w:rFonts w:hint="eastAsia" w:ascii="仿宋" w:hAnsi="仿宋" w:eastAsia="仿宋" w:cs="仿宋"/>
          <w:color w:val="auto"/>
          <w:sz w:val="24"/>
          <w:szCs w:val="22"/>
          <w:highlight w:val="none"/>
          <w:lang w:val="en-US" w:eastAsia="zh-CN"/>
        </w:rPr>
        <w:t>评审</w:t>
      </w:r>
      <w:r>
        <w:rPr>
          <w:rFonts w:hint="eastAsia" w:ascii="仿宋" w:hAnsi="仿宋" w:eastAsia="仿宋" w:cs="仿宋"/>
          <w:color w:val="auto"/>
          <w:sz w:val="24"/>
          <w:szCs w:val="22"/>
          <w:highlight w:val="none"/>
          <w:lang w:eastAsia="zh-CN"/>
        </w:rPr>
        <w:t>小组</w:t>
      </w:r>
      <w:r>
        <w:rPr>
          <w:rFonts w:hint="eastAsia" w:ascii="仿宋" w:hAnsi="仿宋" w:eastAsia="仿宋" w:cs="仿宋"/>
          <w:color w:val="auto"/>
          <w:sz w:val="24"/>
          <w:szCs w:val="22"/>
          <w:highlight w:val="none"/>
        </w:rPr>
        <w:t>由</w:t>
      </w:r>
      <w:r>
        <w:rPr>
          <w:rFonts w:hint="eastAsia" w:ascii="仿宋" w:hAnsi="仿宋" w:eastAsia="仿宋" w:cs="仿宋"/>
          <w:b/>
          <w:bCs/>
          <w:color w:val="auto"/>
          <w:sz w:val="24"/>
          <w:szCs w:val="22"/>
          <w:highlight w:val="none"/>
          <w:lang w:val="en-US" w:eastAsia="zh-CN"/>
        </w:rPr>
        <w:t>5</w:t>
      </w:r>
      <w:r>
        <w:rPr>
          <w:rFonts w:hint="eastAsia" w:ascii="仿宋" w:hAnsi="仿宋" w:eastAsia="仿宋" w:cs="仿宋"/>
          <w:b/>
          <w:bCs/>
          <w:color w:val="auto"/>
          <w:sz w:val="24"/>
          <w:szCs w:val="22"/>
          <w:highlight w:val="none"/>
        </w:rPr>
        <w:t>人</w:t>
      </w:r>
      <w:r>
        <w:rPr>
          <w:rFonts w:hint="eastAsia" w:ascii="仿宋" w:hAnsi="仿宋" w:eastAsia="仿宋" w:cs="仿宋"/>
          <w:color w:val="auto"/>
          <w:sz w:val="24"/>
          <w:szCs w:val="22"/>
          <w:highlight w:val="none"/>
        </w:rPr>
        <w:t>组成，其中：政府采购云平台专家名册中随机抽取的</w:t>
      </w:r>
      <w:r>
        <w:rPr>
          <w:rFonts w:hint="eastAsia" w:ascii="仿宋" w:hAnsi="仿宋" w:eastAsia="仿宋" w:cs="仿宋"/>
          <w:b/>
          <w:bCs/>
          <w:color w:val="auto"/>
          <w:sz w:val="24"/>
          <w:szCs w:val="22"/>
          <w:highlight w:val="none"/>
        </w:rPr>
        <w:t>专家</w:t>
      </w:r>
      <w:r>
        <w:rPr>
          <w:rFonts w:hint="eastAsia" w:ascii="仿宋" w:hAnsi="仿宋" w:eastAsia="仿宋" w:cs="仿宋"/>
          <w:b/>
          <w:bCs/>
          <w:color w:val="auto"/>
          <w:sz w:val="24"/>
          <w:szCs w:val="22"/>
          <w:highlight w:val="none"/>
          <w:lang w:val="en-US" w:eastAsia="zh-CN"/>
        </w:rPr>
        <w:t>4</w:t>
      </w:r>
      <w:r>
        <w:rPr>
          <w:rFonts w:hint="eastAsia" w:ascii="仿宋" w:hAnsi="仿宋" w:eastAsia="仿宋" w:cs="仿宋"/>
          <w:b/>
          <w:bCs/>
          <w:color w:val="auto"/>
          <w:sz w:val="24"/>
          <w:szCs w:val="22"/>
          <w:highlight w:val="none"/>
        </w:rPr>
        <w:t>人</w:t>
      </w:r>
      <w:r>
        <w:rPr>
          <w:rFonts w:hint="eastAsia" w:ascii="仿宋" w:hAnsi="仿宋" w:eastAsia="仿宋" w:cs="仿宋"/>
          <w:color w:val="auto"/>
          <w:sz w:val="24"/>
          <w:szCs w:val="22"/>
          <w:highlight w:val="none"/>
        </w:rPr>
        <w:t>，</w:t>
      </w:r>
      <w:r>
        <w:rPr>
          <w:rFonts w:hint="eastAsia" w:ascii="仿宋" w:hAnsi="仿宋" w:eastAsia="仿宋" w:cs="仿宋"/>
          <w:b/>
          <w:bCs/>
          <w:color w:val="auto"/>
          <w:sz w:val="24"/>
          <w:szCs w:val="22"/>
          <w:highlight w:val="none"/>
          <w:lang w:eastAsia="zh-CN"/>
        </w:rPr>
        <w:t>采购人</w:t>
      </w:r>
      <w:r>
        <w:rPr>
          <w:rFonts w:hint="eastAsia" w:ascii="仿宋" w:hAnsi="仿宋" w:eastAsia="仿宋" w:cs="仿宋"/>
          <w:b/>
          <w:bCs/>
          <w:color w:val="auto"/>
          <w:sz w:val="24"/>
          <w:szCs w:val="22"/>
          <w:highlight w:val="none"/>
        </w:rPr>
        <w:t>代表</w:t>
      </w:r>
      <w:r>
        <w:rPr>
          <w:rFonts w:hint="eastAsia" w:ascii="仿宋" w:hAnsi="仿宋" w:eastAsia="仿宋" w:cs="仿宋"/>
          <w:b/>
          <w:bCs/>
          <w:color w:val="auto"/>
          <w:sz w:val="24"/>
          <w:szCs w:val="22"/>
          <w:highlight w:val="none"/>
          <w:lang w:val="en-US" w:eastAsia="zh-CN"/>
        </w:rPr>
        <w:t>1</w:t>
      </w:r>
      <w:r>
        <w:rPr>
          <w:rFonts w:hint="eastAsia" w:ascii="仿宋" w:hAnsi="仿宋" w:eastAsia="仿宋" w:cs="仿宋"/>
          <w:b/>
          <w:bCs/>
          <w:color w:val="auto"/>
          <w:sz w:val="24"/>
          <w:szCs w:val="22"/>
          <w:highlight w:val="none"/>
        </w:rPr>
        <w:t>人</w:t>
      </w:r>
      <w:r>
        <w:rPr>
          <w:rFonts w:hint="eastAsia" w:ascii="仿宋" w:hAnsi="仿宋" w:eastAsia="仿宋" w:cs="仿宋"/>
          <w:color w:val="auto"/>
          <w:sz w:val="24"/>
          <w:szCs w:val="22"/>
          <w:highlight w:val="none"/>
        </w:rPr>
        <w:t>。</w:t>
      </w:r>
      <w:r>
        <w:rPr>
          <w:rFonts w:hint="eastAsia" w:ascii="仿宋" w:hAnsi="仿宋" w:eastAsia="仿宋" w:cs="仿宋"/>
          <w:b w:val="0"/>
          <w:bCs/>
          <w:color w:val="auto"/>
          <w:sz w:val="24"/>
          <w:szCs w:val="24"/>
          <w:highlight w:val="none"/>
        </w:rPr>
        <w:t>评标委员会的成员在评标过程中</w:t>
      </w:r>
      <w:r>
        <w:rPr>
          <w:rFonts w:hint="eastAsia" w:ascii="仿宋" w:hAnsi="仿宋" w:eastAsia="仿宋" w:cs="仿宋"/>
          <w:b w:val="0"/>
          <w:bCs/>
          <w:color w:val="auto"/>
          <w:sz w:val="24"/>
          <w:szCs w:val="24"/>
          <w:highlight w:val="none"/>
          <w:lang w:val="zh-CN"/>
        </w:rPr>
        <w:t>必须严格遵守政府采购的有关规定</w:t>
      </w:r>
      <w:r>
        <w:rPr>
          <w:rFonts w:hint="eastAsia" w:ascii="仿宋" w:hAnsi="仿宋" w:eastAsia="仿宋" w:cs="仿宋"/>
          <w:b w:val="0"/>
          <w:bCs/>
          <w:color w:val="auto"/>
          <w:sz w:val="24"/>
          <w:szCs w:val="24"/>
          <w:highlight w:val="none"/>
        </w:rPr>
        <w:t>。</w:t>
      </w:r>
    </w:p>
    <w:p w14:paraId="4A90B78A">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17</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评标委员会根据招标文件的规定，进行投标文件的评审、得出评标结果，并向招标人推荐中标候选人。</w:t>
      </w:r>
    </w:p>
    <w:p w14:paraId="42D3F455">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17</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8</w:t>
      </w:r>
      <w:r>
        <w:rPr>
          <w:rFonts w:hint="eastAsia" w:ascii="仿宋" w:hAnsi="仿宋" w:eastAsia="仿宋" w:cs="仿宋"/>
          <w:b w:val="0"/>
          <w:bCs/>
          <w:color w:val="auto"/>
          <w:sz w:val="24"/>
          <w:szCs w:val="24"/>
          <w:highlight w:val="none"/>
        </w:rPr>
        <w:t>投标文件的初审</w:t>
      </w:r>
    </w:p>
    <w:p w14:paraId="4ED22840">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17</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8</w:t>
      </w:r>
      <w:r>
        <w:rPr>
          <w:rFonts w:hint="eastAsia" w:ascii="仿宋" w:hAnsi="仿宋" w:eastAsia="仿宋" w:cs="仿宋"/>
          <w:b w:val="0"/>
          <w:bCs/>
          <w:color w:val="auto"/>
          <w:sz w:val="24"/>
          <w:szCs w:val="24"/>
          <w:highlight w:val="none"/>
        </w:rPr>
        <w:t>.1 资格性检查：依据法律法规和招标文件的规定，对投标文件中的资格证明、投标保证金等进行审查，以确定投标人是否具备投标资格。</w:t>
      </w:r>
    </w:p>
    <w:p w14:paraId="71F46824">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17</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8</w:t>
      </w:r>
      <w:r>
        <w:rPr>
          <w:rFonts w:hint="eastAsia" w:ascii="仿宋" w:hAnsi="仿宋" w:eastAsia="仿宋" w:cs="仿宋"/>
          <w:b w:val="0"/>
          <w:bCs/>
          <w:color w:val="auto"/>
          <w:sz w:val="24"/>
          <w:szCs w:val="24"/>
          <w:highlight w:val="none"/>
        </w:rPr>
        <w:t>.2 符合性检查：依据招标文件的规定，从投标文件的有效性、完整性和对招标文件的响应程度进行审查，以确定是否对招标文件的实质性要求作出响应。</w:t>
      </w:r>
    </w:p>
    <w:p w14:paraId="625F3150">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bookmarkStart w:id="18" w:name="_Hlk35577961"/>
      <w:bookmarkStart w:id="19" w:name="_Hlk35577960"/>
      <w:bookmarkStart w:id="20" w:name="_Hlk35577959"/>
      <w:r>
        <w:rPr>
          <w:rFonts w:hint="eastAsia" w:ascii="仿宋" w:hAnsi="仿宋" w:eastAsia="仿宋" w:cs="仿宋"/>
          <w:b w:val="0"/>
          <w:bCs/>
          <w:color w:val="auto"/>
          <w:sz w:val="24"/>
          <w:szCs w:val="24"/>
          <w:highlight w:val="none"/>
          <w:lang w:val="en-US" w:eastAsia="zh-CN"/>
        </w:rPr>
        <w:t>17</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8</w:t>
      </w:r>
      <w:r>
        <w:rPr>
          <w:rFonts w:hint="eastAsia" w:ascii="仿宋" w:hAnsi="仿宋" w:eastAsia="仿宋" w:cs="仿宋"/>
          <w:b w:val="0"/>
          <w:bCs/>
          <w:color w:val="auto"/>
          <w:sz w:val="24"/>
          <w:szCs w:val="24"/>
          <w:highlight w:val="none"/>
        </w:rPr>
        <w:t>.3对投标文件的比较</w:t>
      </w:r>
      <w:bookmarkEnd w:id="18"/>
      <w:bookmarkEnd w:id="19"/>
      <w:bookmarkEnd w:id="20"/>
      <w:r>
        <w:rPr>
          <w:rFonts w:hint="eastAsia" w:ascii="仿宋" w:hAnsi="仿宋" w:eastAsia="仿宋" w:cs="仿宋"/>
          <w:b w:val="0"/>
          <w:bCs/>
          <w:color w:val="auto"/>
          <w:sz w:val="24"/>
          <w:szCs w:val="24"/>
          <w:highlight w:val="none"/>
        </w:rPr>
        <w:t>和评价</w:t>
      </w:r>
    </w:p>
    <w:p w14:paraId="09A2E5DD">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17</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8</w:t>
      </w:r>
      <w:r>
        <w:rPr>
          <w:rFonts w:hint="eastAsia" w:ascii="仿宋" w:hAnsi="仿宋" w:eastAsia="仿宋" w:cs="仿宋"/>
          <w:b w:val="0"/>
          <w:bCs/>
          <w:color w:val="auto"/>
          <w:sz w:val="24"/>
          <w:szCs w:val="24"/>
          <w:highlight w:val="none"/>
        </w:rPr>
        <w:t>.4评标委员会将按招标文件中规定的评标方法和标准，对资格性检查和符合性检查合格的投标文件进行评估与评价。</w:t>
      </w:r>
    </w:p>
    <w:p w14:paraId="5AAFFC37">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bookmarkStart w:id="21" w:name="_Hlk35586141"/>
      <w:bookmarkStart w:id="22" w:name="_Hlk35586143"/>
      <w:bookmarkStart w:id="23" w:name="_Hlk35586142"/>
      <w:r>
        <w:rPr>
          <w:rFonts w:hint="eastAsia" w:ascii="仿宋" w:hAnsi="仿宋" w:eastAsia="仿宋" w:cs="仿宋"/>
          <w:b w:val="0"/>
          <w:bCs/>
          <w:color w:val="auto"/>
          <w:sz w:val="24"/>
          <w:szCs w:val="24"/>
          <w:highlight w:val="none"/>
          <w:lang w:val="en-US" w:eastAsia="zh-CN"/>
        </w:rPr>
        <w:t>17.9</w:t>
      </w:r>
      <w:r>
        <w:rPr>
          <w:rFonts w:hint="eastAsia" w:ascii="仿宋" w:hAnsi="仿宋" w:eastAsia="仿宋" w:cs="仿宋"/>
          <w:b w:val="0"/>
          <w:bCs/>
          <w:color w:val="auto"/>
          <w:sz w:val="24"/>
          <w:szCs w:val="24"/>
          <w:highlight w:val="none"/>
        </w:rPr>
        <w:t>评标原则及方法</w:t>
      </w:r>
      <w:bookmarkEnd w:id="21"/>
      <w:bookmarkEnd w:id="22"/>
      <w:bookmarkEnd w:id="23"/>
    </w:p>
    <w:p w14:paraId="5C0857BB">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17.9</w:t>
      </w:r>
      <w:r>
        <w:rPr>
          <w:rFonts w:hint="eastAsia" w:ascii="仿宋" w:hAnsi="仿宋" w:eastAsia="仿宋" w:cs="仿宋"/>
          <w:b w:val="0"/>
          <w:bCs/>
          <w:color w:val="auto"/>
          <w:sz w:val="24"/>
          <w:szCs w:val="24"/>
          <w:highlight w:val="none"/>
        </w:rPr>
        <w:t>评标原则及方法</w:t>
      </w:r>
    </w:p>
    <w:p w14:paraId="28BF44C6">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17.9</w:t>
      </w: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评标原则</w:t>
      </w:r>
    </w:p>
    <w:p w14:paraId="491F44B4">
      <w:pPr>
        <w:pStyle w:val="43"/>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竞争优选；</w:t>
      </w:r>
    </w:p>
    <w:p w14:paraId="626B2711">
      <w:pPr>
        <w:pStyle w:val="43"/>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公平公正科学合理。</w:t>
      </w:r>
    </w:p>
    <w:p w14:paraId="420BB5B8">
      <w:pPr>
        <w:pStyle w:val="43"/>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规范性与灵活性相结合。</w:t>
      </w:r>
    </w:p>
    <w:p w14:paraId="790F2791">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17.9.2</w:t>
      </w:r>
      <w:r>
        <w:rPr>
          <w:rFonts w:hint="eastAsia" w:ascii="仿宋" w:hAnsi="仿宋" w:eastAsia="仿宋" w:cs="仿宋"/>
          <w:b w:val="0"/>
          <w:bCs/>
          <w:color w:val="auto"/>
          <w:sz w:val="24"/>
          <w:szCs w:val="24"/>
          <w:highlight w:val="none"/>
        </w:rPr>
        <w:t>评标</w:t>
      </w:r>
      <w:r>
        <w:rPr>
          <w:rFonts w:hint="eastAsia" w:ascii="仿宋" w:hAnsi="仿宋" w:eastAsia="仿宋" w:cs="仿宋"/>
          <w:b w:val="0"/>
          <w:bCs/>
          <w:color w:val="auto"/>
          <w:sz w:val="24"/>
          <w:szCs w:val="24"/>
          <w:highlight w:val="none"/>
          <w:lang w:val="en-US" w:eastAsia="zh-CN"/>
        </w:rPr>
        <w:t>办法</w:t>
      </w:r>
      <w:r>
        <w:rPr>
          <w:rFonts w:hint="eastAsia" w:ascii="仿宋" w:hAnsi="仿宋" w:eastAsia="仿宋" w:cs="仿宋"/>
          <w:b w:val="0"/>
          <w:bCs/>
          <w:color w:val="auto"/>
          <w:sz w:val="24"/>
          <w:szCs w:val="24"/>
          <w:highlight w:val="none"/>
        </w:rPr>
        <w:t xml:space="preserve">采用综合评分法。   </w:t>
      </w:r>
    </w:p>
    <w:p w14:paraId="7DA8CC9B">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18</w:t>
      </w:r>
      <w:r>
        <w:rPr>
          <w:rFonts w:hint="eastAsia" w:ascii="仿宋" w:hAnsi="仿宋" w:eastAsia="仿宋" w:cs="仿宋"/>
          <w:b/>
          <w:bCs w:val="0"/>
          <w:color w:val="auto"/>
          <w:sz w:val="24"/>
          <w:szCs w:val="24"/>
          <w:highlight w:val="none"/>
        </w:rPr>
        <w:t>. 评委纪律</w:t>
      </w:r>
    </w:p>
    <w:p w14:paraId="6BF5ED6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评审</w:t>
      </w:r>
      <w:r>
        <w:rPr>
          <w:rFonts w:hint="eastAsia" w:ascii="仿宋" w:hAnsi="仿宋" w:eastAsia="仿宋" w:cs="仿宋"/>
          <w:color w:val="auto"/>
          <w:sz w:val="24"/>
          <w:szCs w:val="24"/>
          <w:highlight w:val="none"/>
          <w:lang w:eastAsia="zh-CN"/>
        </w:rPr>
        <w:t>小组</w:t>
      </w:r>
      <w:r>
        <w:rPr>
          <w:rFonts w:hint="eastAsia" w:ascii="仿宋" w:hAnsi="仿宋" w:eastAsia="仿宋" w:cs="仿宋"/>
          <w:color w:val="auto"/>
          <w:sz w:val="24"/>
          <w:szCs w:val="24"/>
          <w:highlight w:val="none"/>
        </w:rPr>
        <w:t>应当客观、公正地履行职责，遵守职业道德，对所提出的评审意见承担个人责任。</w:t>
      </w:r>
    </w:p>
    <w:p w14:paraId="21168C8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评标委员会成员必须严格遵守保密规定，不得泄露评审的有关情况，任何单位和个人不得干扰、影响评标的正常进行，评标委员会成员不得私下与投标供应商接触。</w:t>
      </w:r>
    </w:p>
    <w:p w14:paraId="3C7545F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评标期间，个人的通讯工具均应交由监督人员集中保管</w:t>
      </w:r>
      <w:r>
        <w:rPr>
          <w:rFonts w:hint="eastAsia" w:ascii="仿宋" w:hAnsi="仿宋" w:eastAsia="仿宋" w:cs="仿宋"/>
          <w:b w:val="0"/>
          <w:bCs/>
          <w:color w:val="auto"/>
          <w:sz w:val="24"/>
          <w:szCs w:val="24"/>
          <w:highlight w:val="none"/>
        </w:rPr>
        <w:t>。</w:t>
      </w:r>
    </w:p>
    <w:p w14:paraId="0B98854F">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19.评标程序</w:t>
      </w:r>
    </w:p>
    <w:p w14:paraId="687EBEE7">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19</w:t>
      </w:r>
      <w:r>
        <w:rPr>
          <w:rFonts w:hint="eastAsia" w:ascii="仿宋" w:hAnsi="仿宋" w:eastAsia="仿宋" w:cs="仿宋"/>
          <w:b w:val="0"/>
          <w:bCs/>
          <w:color w:val="auto"/>
          <w:sz w:val="24"/>
          <w:szCs w:val="24"/>
          <w:highlight w:val="none"/>
        </w:rPr>
        <w:t>.1在评审专家中推选评标委员会组长，采购人代表不得担任评标委员会组长。</w:t>
      </w:r>
    </w:p>
    <w:p w14:paraId="61CEDCB0">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19.</w:t>
      </w:r>
      <w:r>
        <w:rPr>
          <w:rFonts w:hint="eastAsia" w:ascii="仿宋" w:hAnsi="仿宋" w:eastAsia="仿宋" w:cs="仿宋"/>
          <w:b w:val="0"/>
          <w:bCs/>
          <w:color w:val="auto"/>
          <w:sz w:val="24"/>
          <w:szCs w:val="24"/>
          <w:highlight w:val="none"/>
        </w:rPr>
        <w:t>2 评标委员会组长召集成员认真阅读</w:t>
      </w:r>
      <w:r>
        <w:rPr>
          <w:rFonts w:hint="eastAsia" w:ascii="仿宋" w:hAnsi="仿宋" w:eastAsia="仿宋" w:cs="仿宋"/>
          <w:b w:val="0"/>
          <w:bCs/>
          <w:color w:val="auto"/>
          <w:sz w:val="24"/>
          <w:szCs w:val="24"/>
          <w:highlight w:val="none"/>
          <w:lang w:eastAsia="zh-CN"/>
        </w:rPr>
        <w:t>招标文件</w:t>
      </w:r>
      <w:r>
        <w:rPr>
          <w:rFonts w:hint="eastAsia" w:ascii="仿宋" w:hAnsi="仿宋" w:eastAsia="仿宋" w:cs="仿宋"/>
          <w:b w:val="0"/>
          <w:bCs/>
          <w:color w:val="auto"/>
          <w:sz w:val="24"/>
          <w:szCs w:val="24"/>
          <w:highlight w:val="none"/>
        </w:rPr>
        <w:t>以及相关补充、质疑、答复文件、项目书面说明等材料，熟悉采购项目的基本概况，采购项目的质量要求、数量、主要技术标准或服务需求，采购合同主要条款，投标文件无效情形，评审方法、评审依据、评审标准等。</w:t>
      </w:r>
    </w:p>
    <w:p w14:paraId="2C027E02">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19.</w:t>
      </w:r>
      <w:r>
        <w:rPr>
          <w:rFonts w:hint="eastAsia" w:ascii="仿宋" w:hAnsi="仿宋" w:eastAsia="仿宋" w:cs="仿宋"/>
          <w:b w:val="0"/>
          <w:bCs/>
          <w:color w:val="auto"/>
          <w:sz w:val="24"/>
          <w:szCs w:val="24"/>
          <w:highlight w:val="none"/>
        </w:rPr>
        <w:t>3 评审人员对符合资格的供应商的投标文件的有效性、符合性、完整性和响应程度进行审查，确定是否对</w:t>
      </w:r>
      <w:r>
        <w:rPr>
          <w:rFonts w:hint="eastAsia" w:ascii="仿宋" w:hAnsi="仿宋" w:eastAsia="仿宋" w:cs="仿宋"/>
          <w:b w:val="0"/>
          <w:bCs/>
          <w:color w:val="auto"/>
          <w:sz w:val="24"/>
          <w:szCs w:val="24"/>
          <w:highlight w:val="none"/>
          <w:lang w:eastAsia="zh-CN"/>
        </w:rPr>
        <w:t>招标文件</w:t>
      </w:r>
      <w:r>
        <w:rPr>
          <w:rFonts w:hint="eastAsia" w:ascii="仿宋" w:hAnsi="仿宋" w:eastAsia="仿宋" w:cs="仿宋"/>
          <w:b w:val="0"/>
          <w:bCs/>
          <w:color w:val="auto"/>
          <w:sz w:val="24"/>
          <w:szCs w:val="24"/>
          <w:highlight w:val="none"/>
        </w:rPr>
        <w:t>作出实质性响应。</w:t>
      </w:r>
    </w:p>
    <w:p w14:paraId="70CE0706">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19.</w:t>
      </w:r>
      <w:r>
        <w:rPr>
          <w:rFonts w:hint="eastAsia" w:ascii="仿宋" w:hAnsi="仿宋" w:eastAsia="仿宋" w:cs="仿宋"/>
          <w:b w:val="0"/>
          <w:bCs/>
          <w:color w:val="auto"/>
          <w:sz w:val="24"/>
          <w:szCs w:val="24"/>
          <w:highlight w:val="none"/>
        </w:rPr>
        <w:t>4 评审人员按</w:t>
      </w:r>
      <w:r>
        <w:rPr>
          <w:rFonts w:hint="eastAsia" w:ascii="仿宋" w:hAnsi="仿宋" w:eastAsia="仿宋" w:cs="仿宋"/>
          <w:b w:val="0"/>
          <w:bCs/>
          <w:color w:val="auto"/>
          <w:sz w:val="24"/>
          <w:szCs w:val="24"/>
          <w:highlight w:val="none"/>
          <w:lang w:eastAsia="zh-CN"/>
        </w:rPr>
        <w:t>招标文件</w:t>
      </w:r>
      <w:r>
        <w:rPr>
          <w:rFonts w:hint="eastAsia" w:ascii="仿宋" w:hAnsi="仿宋" w:eastAsia="仿宋" w:cs="仿宋"/>
          <w:b w:val="0"/>
          <w:bCs/>
          <w:color w:val="auto"/>
          <w:sz w:val="24"/>
          <w:szCs w:val="24"/>
          <w:highlight w:val="none"/>
        </w:rPr>
        <w:t>规定的评审方法和评审标准，依法独立对供应商投标文件进行评估、比较，并给予评价或打分，不受任何单位和个人的干预。</w:t>
      </w:r>
    </w:p>
    <w:p w14:paraId="225EA290">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20.评审小组</w:t>
      </w:r>
    </w:p>
    <w:p w14:paraId="0FAC0B62">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20.</w:t>
      </w:r>
      <w:r>
        <w:rPr>
          <w:rFonts w:hint="eastAsia" w:ascii="仿宋" w:hAnsi="仿宋" w:eastAsia="仿宋" w:cs="仿宋"/>
          <w:b w:val="0"/>
          <w:bCs/>
          <w:color w:val="auto"/>
          <w:sz w:val="24"/>
          <w:szCs w:val="24"/>
          <w:highlight w:val="none"/>
        </w:rPr>
        <w:t>1采购方将根据《中华人民共和国政府采购法》等有关法规的规定，依法组建本次采购项目的评审小组</w:t>
      </w:r>
      <w:r>
        <w:rPr>
          <w:rFonts w:hint="eastAsia" w:ascii="仿宋" w:hAnsi="仿宋" w:eastAsia="仿宋" w:cs="仿宋"/>
          <w:b w:val="0"/>
          <w:bCs/>
          <w:color w:val="auto"/>
          <w:sz w:val="24"/>
          <w:szCs w:val="24"/>
          <w:highlight w:val="none"/>
          <w:lang w:eastAsia="zh-CN"/>
        </w:rPr>
        <w:t>。</w:t>
      </w:r>
    </w:p>
    <w:p w14:paraId="7FD32279">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20.</w:t>
      </w:r>
      <w:r>
        <w:rPr>
          <w:rFonts w:hint="eastAsia" w:ascii="仿宋" w:hAnsi="仿宋" w:eastAsia="仿宋" w:cs="仿宋"/>
          <w:b w:val="0"/>
          <w:bCs/>
          <w:color w:val="auto"/>
          <w:sz w:val="24"/>
          <w:szCs w:val="24"/>
          <w:highlight w:val="none"/>
        </w:rPr>
        <w:t>2 评审小组人选于投标文件开启前确定。评审小组成员名单在中标结果确定前保密。</w:t>
      </w:r>
    </w:p>
    <w:p w14:paraId="0FA055C0">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20.</w:t>
      </w:r>
      <w:r>
        <w:rPr>
          <w:rFonts w:hint="eastAsia" w:ascii="仿宋" w:hAnsi="仿宋" w:eastAsia="仿宋" w:cs="仿宋"/>
          <w:b w:val="0"/>
          <w:bCs/>
          <w:color w:val="auto"/>
          <w:sz w:val="24"/>
          <w:szCs w:val="24"/>
          <w:highlight w:val="none"/>
        </w:rPr>
        <w:t>3 评审小组有关技术、经济等方面的专家和采购人熟悉相关业务的代表人员组成，成员为五人以上的单数，其中技术、经济等方面的成员人数不少于成员总数的三分之二。</w:t>
      </w:r>
    </w:p>
    <w:p w14:paraId="592664B6">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20.</w:t>
      </w:r>
      <w:r>
        <w:rPr>
          <w:rFonts w:hint="eastAsia" w:ascii="仿宋" w:hAnsi="仿宋" w:eastAsia="仿宋" w:cs="仿宋"/>
          <w:b w:val="0"/>
          <w:bCs/>
          <w:color w:val="auto"/>
          <w:sz w:val="24"/>
          <w:szCs w:val="24"/>
          <w:highlight w:val="none"/>
        </w:rPr>
        <w:t>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14:paraId="43F53AC5">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20.</w:t>
      </w:r>
      <w:r>
        <w:rPr>
          <w:rFonts w:hint="eastAsia" w:ascii="仿宋" w:hAnsi="仿宋" w:eastAsia="仿宋" w:cs="仿宋"/>
          <w:b w:val="0"/>
          <w:bCs/>
          <w:color w:val="auto"/>
          <w:sz w:val="24"/>
          <w:szCs w:val="24"/>
          <w:highlight w:val="none"/>
        </w:rPr>
        <w:t>5评审小组成员遵循法定的回避规定。</w:t>
      </w:r>
    </w:p>
    <w:p w14:paraId="2C668440">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20.</w:t>
      </w:r>
      <w:r>
        <w:rPr>
          <w:rFonts w:hint="eastAsia" w:ascii="仿宋" w:hAnsi="仿宋" w:eastAsia="仿宋" w:cs="仿宋"/>
          <w:b w:val="0"/>
          <w:bCs/>
          <w:color w:val="auto"/>
          <w:sz w:val="24"/>
          <w:szCs w:val="24"/>
          <w:highlight w:val="none"/>
        </w:rPr>
        <w:t>6 评标专家应符合下列条件：</w:t>
      </w:r>
    </w:p>
    <w:p w14:paraId="15CEE03E">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（1）具有良好的职业道德,廉洁自律,遵纪守法,无行贿、受贿、欺诈等不良信用记录</w:t>
      </w:r>
      <w:r>
        <w:rPr>
          <w:rFonts w:hint="eastAsia" w:ascii="仿宋" w:hAnsi="仿宋" w:eastAsia="仿宋" w:cs="仿宋"/>
          <w:b w:val="0"/>
          <w:bCs/>
          <w:color w:val="auto"/>
          <w:sz w:val="24"/>
          <w:szCs w:val="24"/>
          <w:highlight w:val="none"/>
          <w:lang w:eastAsia="zh-CN"/>
        </w:rPr>
        <w:t>；</w:t>
      </w:r>
    </w:p>
    <w:p w14:paraId="371BDAD4">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（2）具有中级专业技术职称或同等专业水平且从事相关领域工作满 8 年,或者具有高级专业技术职称或同等专业水平</w:t>
      </w:r>
      <w:r>
        <w:rPr>
          <w:rFonts w:hint="eastAsia" w:ascii="仿宋" w:hAnsi="仿宋" w:eastAsia="仿宋" w:cs="仿宋"/>
          <w:b w:val="0"/>
          <w:bCs/>
          <w:color w:val="auto"/>
          <w:sz w:val="24"/>
          <w:szCs w:val="24"/>
          <w:highlight w:val="none"/>
          <w:lang w:eastAsia="zh-CN"/>
        </w:rPr>
        <w:t>；</w:t>
      </w:r>
    </w:p>
    <w:p w14:paraId="2E3228DF">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（3）熟悉政府采购相关政策法规</w:t>
      </w:r>
      <w:r>
        <w:rPr>
          <w:rFonts w:hint="eastAsia" w:ascii="仿宋" w:hAnsi="仿宋" w:eastAsia="仿宋" w:cs="仿宋"/>
          <w:b w:val="0"/>
          <w:bCs/>
          <w:color w:val="auto"/>
          <w:sz w:val="24"/>
          <w:szCs w:val="24"/>
          <w:highlight w:val="none"/>
          <w:lang w:eastAsia="zh-CN"/>
        </w:rPr>
        <w:t>；</w:t>
      </w:r>
    </w:p>
    <w:p w14:paraId="22312441">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（4）承诺以独立身份参加评审工作,依法履行评审专家工作职责并承担相应法律责任的中国公民</w:t>
      </w:r>
      <w:r>
        <w:rPr>
          <w:rFonts w:hint="eastAsia" w:ascii="仿宋" w:hAnsi="仿宋" w:eastAsia="仿宋" w:cs="仿宋"/>
          <w:b w:val="0"/>
          <w:bCs/>
          <w:color w:val="auto"/>
          <w:sz w:val="24"/>
          <w:szCs w:val="24"/>
          <w:highlight w:val="none"/>
          <w:lang w:eastAsia="zh-CN"/>
        </w:rPr>
        <w:t>；</w:t>
      </w:r>
    </w:p>
    <w:p w14:paraId="006CC6C4">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）申请成为评审专家前三年内,无不良行为记录。</w:t>
      </w:r>
    </w:p>
    <w:p w14:paraId="06D82563">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20.7</w:t>
      </w:r>
      <w:r>
        <w:rPr>
          <w:rFonts w:hint="eastAsia" w:ascii="仿宋" w:hAnsi="仿宋" w:eastAsia="仿宋" w:cs="仿宋"/>
          <w:b w:val="0"/>
          <w:bCs/>
          <w:color w:val="auto"/>
          <w:sz w:val="24"/>
          <w:szCs w:val="24"/>
          <w:highlight w:val="none"/>
        </w:rPr>
        <w:t>有下列情形之一的，不得担任评标委员会成员：</w:t>
      </w:r>
    </w:p>
    <w:p w14:paraId="4892126B">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（1）与投标方或者投标方主要负责人有近亲关系的；</w:t>
      </w:r>
    </w:p>
    <w:p w14:paraId="5AE6BC68">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（2）与项目主管部门或者行政监督部门的人员有近亲关系的；</w:t>
      </w:r>
    </w:p>
    <w:p w14:paraId="4F40C0FC">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（3）与投标人有经济利益关系，可能影响对投标公正评审的；</w:t>
      </w:r>
    </w:p>
    <w:p w14:paraId="10210F93">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（4）曾因在招标、评标以及其他与招标投标有关活动中从事违法行为而受过行政处罚或刑事处罚的。</w:t>
      </w:r>
    </w:p>
    <w:p w14:paraId="1AF1CA80">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20.8</w:t>
      </w:r>
      <w:r>
        <w:rPr>
          <w:rFonts w:hint="eastAsia" w:ascii="仿宋" w:hAnsi="仿宋" w:eastAsia="仿宋" w:cs="仿宋"/>
          <w:b w:val="0"/>
          <w:bCs/>
          <w:color w:val="auto"/>
          <w:sz w:val="24"/>
          <w:szCs w:val="24"/>
          <w:highlight w:val="none"/>
        </w:rPr>
        <w:t>评标委员会成员与参加采购活动的投标人存在下列利害关系之一的,应当回避:</w:t>
      </w:r>
    </w:p>
    <w:p w14:paraId="4F0DDF1B">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（1）参加采购活动前三年内,与投标供应商存在劳动关系,或者担任过投标供应商的董事、监事,或者是投标供应商的控股股东或实际控制人</w:t>
      </w:r>
      <w:r>
        <w:rPr>
          <w:rFonts w:hint="eastAsia" w:ascii="仿宋" w:hAnsi="仿宋" w:eastAsia="仿宋" w:cs="仿宋"/>
          <w:b w:val="0"/>
          <w:bCs/>
          <w:color w:val="auto"/>
          <w:sz w:val="24"/>
          <w:szCs w:val="24"/>
          <w:highlight w:val="none"/>
          <w:lang w:eastAsia="zh-CN"/>
        </w:rPr>
        <w:t>；</w:t>
      </w:r>
    </w:p>
    <w:p w14:paraId="76EA90E8">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（2）与投标供应商的法定代表人或者负责人有夫妻、直系血亲、三代以内旁系血亲或者近姻亲关系</w:t>
      </w:r>
      <w:r>
        <w:rPr>
          <w:rFonts w:hint="eastAsia" w:ascii="仿宋" w:hAnsi="仿宋" w:eastAsia="仿宋" w:cs="仿宋"/>
          <w:b w:val="0"/>
          <w:bCs/>
          <w:color w:val="auto"/>
          <w:sz w:val="24"/>
          <w:szCs w:val="24"/>
          <w:highlight w:val="none"/>
          <w:lang w:eastAsia="zh-CN"/>
        </w:rPr>
        <w:t>；</w:t>
      </w:r>
    </w:p>
    <w:p w14:paraId="3FFD432B">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（3）与投标供应商有其他可能影响政府采购活动公平、公正进行的关系。</w:t>
      </w:r>
    </w:p>
    <w:p w14:paraId="7337CD62">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评审专家发现本人与参加采购活动的投标人有利害关系的,应当主动提出回避。采购人或者招标方发现评审专家与参加采购活动的供应商有利害关系的,将要求其回避。</w:t>
      </w:r>
    </w:p>
    <w:p w14:paraId="35EAB88D">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20.9</w:t>
      </w:r>
      <w:r>
        <w:rPr>
          <w:rFonts w:hint="eastAsia" w:ascii="仿宋" w:hAnsi="仿宋" w:eastAsia="仿宋" w:cs="仿宋"/>
          <w:b w:val="0"/>
          <w:bCs/>
          <w:color w:val="auto"/>
          <w:sz w:val="24"/>
          <w:szCs w:val="24"/>
          <w:highlight w:val="none"/>
        </w:rPr>
        <w:t xml:space="preserve"> 评标委员会成员应当熟悉招标文件及以下内容：</w:t>
      </w:r>
    </w:p>
    <w:p w14:paraId="3300E7EA">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20.9.1</w:t>
      </w:r>
      <w:r>
        <w:rPr>
          <w:rFonts w:hint="eastAsia" w:ascii="仿宋" w:hAnsi="仿宋" w:eastAsia="仿宋" w:cs="仿宋"/>
          <w:b w:val="0"/>
          <w:bCs/>
          <w:color w:val="auto"/>
          <w:sz w:val="24"/>
          <w:szCs w:val="24"/>
          <w:highlight w:val="none"/>
        </w:rPr>
        <w:t xml:space="preserve"> 招标目的。</w:t>
      </w:r>
    </w:p>
    <w:p w14:paraId="0A06A864">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20.9.2</w:t>
      </w:r>
      <w:r>
        <w:rPr>
          <w:rFonts w:hint="eastAsia" w:ascii="仿宋" w:hAnsi="仿宋" w:eastAsia="仿宋" w:cs="仿宋"/>
          <w:b w:val="0"/>
          <w:bCs/>
          <w:color w:val="auto"/>
          <w:sz w:val="24"/>
          <w:szCs w:val="24"/>
          <w:highlight w:val="none"/>
        </w:rPr>
        <w:t xml:space="preserve"> 招标项目的范围、性质。</w:t>
      </w:r>
    </w:p>
    <w:p w14:paraId="1EA7D66C">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20.9.3</w:t>
      </w:r>
      <w:r>
        <w:rPr>
          <w:rFonts w:hint="eastAsia" w:ascii="仿宋" w:hAnsi="仿宋" w:eastAsia="仿宋" w:cs="仿宋"/>
          <w:b w:val="0"/>
          <w:bCs/>
          <w:color w:val="auto"/>
          <w:sz w:val="24"/>
          <w:szCs w:val="24"/>
          <w:highlight w:val="none"/>
        </w:rPr>
        <w:t>招标文件中规定的主要技术要求、标准和商务条款。</w:t>
      </w:r>
    </w:p>
    <w:p w14:paraId="7F16A330">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20.9.4</w:t>
      </w:r>
      <w:r>
        <w:rPr>
          <w:rFonts w:hint="eastAsia" w:ascii="仿宋" w:hAnsi="仿宋" w:eastAsia="仿宋" w:cs="仿宋"/>
          <w:b w:val="0"/>
          <w:bCs/>
          <w:color w:val="auto"/>
          <w:sz w:val="24"/>
          <w:szCs w:val="24"/>
          <w:highlight w:val="none"/>
        </w:rPr>
        <w:t>招标文件规定的评标标准、评标方法和在评标过程中应考虑的相关因素。</w:t>
      </w:r>
    </w:p>
    <w:p w14:paraId="4E35E22C">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20.9.5</w:t>
      </w:r>
      <w:r>
        <w:rPr>
          <w:rFonts w:hint="eastAsia" w:ascii="仿宋" w:hAnsi="仿宋" w:eastAsia="仿宋" w:cs="仿宋"/>
          <w:b w:val="0"/>
          <w:bCs/>
          <w:color w:val="auto"/>
          <w:sz w:val="24"/>
          <w:szCs w:val="24"/>
          <w:highlight w:val="none"/>
        </w:rPr>
        <w:t>招标人将向评标委员会提供评标所需的信息和数据。</w:t>
      </w:r>
    </w:p>
    <w:p w14:paraId="5B0BE1DA">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20.9.6</w:t>
      </w:r>
      <w:r>
        <w:rPr>
          <w:rFonts w:hint="eastAsia" w:ascii="仿宋" w:hAnsi="仿宋" w:eastAsia="仿宋" w:cs="仿宋"/>
          <w:b w:val="0"/>
          <w:bCs/>
          <w:color w:val="auto"/>
          <w:sz w:val="24"/>
          <w:szCs w:val="24"/>
          <w:highlight w:val="none"/>
        </w:rPr>
        <w:t>评标委员会应当根据招标文件规定的评标标准和方法，对投标文件进行评审和比较。招标文件中没有规定的标准和方法不得作为评标的依据。</w:t>
      </w:r>
    </w:p>
    <w:p w14:paraId="1BFEC529">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20.9.7</w:t>
      </w:r>
      <w:r>
        <w:rPr>
          <w:rFonts w:hint="eastAsia" w:ascii="仿宋" w:hAnsi="仿宋" w:eastAsia="仿宋" w:cs="仿宋"/>
          <w:b w:val="0"/>
          <w:bCs/>
          <w:color w:val="auto"/>
          <w:sz w:val="24"/>
          <w:szCs w:val="24"/>
          <w:highlight w:val="none"/>
        </w:rPr>
        <w:t>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14:paraId="7D266A86">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20.9.8</w:t>
      </w:r>
      <w:r>
        <w:rPr>
          <w:rFonts w:hint="eastAsia" w:ascii="仿宋" w:hAnsi="仿宋" w:eastAsia="仿宋" w:cs="仿宋"/>
          <w:b w:val="0"/>
          <w:bCs/>
          <w:color w:val="auto"/>
          <w:sz w:val="24"/>
          <w:szCs w:val="24"/>
          <w:highlight w:val="none"/>
        </w:rPr>
        <w:t>评标委员会成员和与本项目评标活动有关的工作人员，不得透露对投标文件的评审和比较、中标候选人的推荐情况以及与评标有关的其他情况。</w:t>
      </w:r>
    </w:p>
    <w:p w14:paraId="5FC34F00">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20.9.9</w:t>
      </w:r>
      <w:r>
        <w:rPr>
          <w:rFonts w:hint="eastAsia" w:ascii="仿宋" w:hAnsi="仿宋" w:eastAsia="仿宋" w:cs="仿宋"/>
          <w:b w:val="0"/>
          <w:bCs/>
          <w:color w:val="auto"/>
          <w:sz w:val="24"/>
          <w:szCs w:val="24"/>
          <w:highlight w:val="none"/>
        </w:rPr>
        <w:t>与评标活动有关的工作人员，是指评标委员会成员以外的、因参与评标监督工作或者事务性工作而知悉有关评标情况的所有人员。</w:t>
      </w:r>
    </w:p>
    <w:p w14:paraId="3A8D6C67">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21、监督</w:t>
      </w:r>
    </w:p>
    <w:p w14:paraId="4BF92E3D">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21</w:t>
      </w:r>
      <w:r>
        <w:rPr>
          <w:rFonts w:hint="eastAsia" w:ascii="仿宋" w:hAnsi="仿宋" w:eastAsia="仿宋" w:cs="仿宋"/>
          <w:b w:val="0"/>
          <w:bCs/>
          <w:color w:val="auto"/>
          <w:sz w:val="24"/>
          <w:szCs w:val="24"/>
          <w:highlight w:val="none"/>
        </w:rPr>
        <w:t>.1  采购人</w:t>
      </w:r>
      <w:r>
        <w:rPr>
          <w:rFonts w:hint="eastAsia" w:ascii="仿宋" w:hAnsi="仿宋" w:eastAsia="仿宋" w:cs="仿宋"/>
          <w:b w:val="0"/>
          <w:bCs/>
          <w:color w:val="auto"/>
          <w:sz w:val="24"/>
          <w:szCs w:val="24"/>
          <w:highlight w:val="none"/>
          <w:lang w:val="en-US" w:eastAsia="zh-CN"/>
        </w:rPr>
        <w:t>自行</w:t>
      </w:r>
      <w:r>
        <w:rPr>
          <w:rFonts w:hint="eastAsia" w:ascii="仿宋" w:hAnsi="仿宋" w:eastAsia="仿宋" w:cs="仿宋"/>
          <w:b w:val="0"/>
          <w:bCs/>
          <w:color w:val="auto"/>
          <w:sz w:val="24"/>
          <w:szCs w:val="24"/>
          <w:highlight w:val="none"/>
        </w:rPr>
        <w:t>组建监督小组，监督小组对开标、评标、定标的全过程依法进行监督。</w:t>
      </w:r>
    </w:p>
    <w:p w14:paraId="4C1DBE4B">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21</w:t>
      </w:r>
      <w:r>
        <w:rPr>
          <w:rFonts w:hint="eastAsia" w:ascii="仿宋" w:hAnsi="仿宋" w:eastAsia="仿宋" w:cs="仿宋"/>
          <w:b w:val="0"/>
          <w:bCs/>
          <w:color w:val="auto"/>
          <w:sz w:val="24"/>
          <w:szCs w:val="24"/>
          <w:highlight w:val="none"/>
        </w:rPr>
        <w:t>.2  监督小组成员遵循法定的回避规定。</w:t>
      </w:r>
    </w:p>
    <w:p w14:paraId="462A263F">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21</w:t>
      </w:r>
      <w:r>
        <w:rPr>
          <w:rFonts w:hint="eastAsia" w:ascii="仿宋" w:hAnsi="仿宋" w:eastAsia="仿宋" w:cs="仿宋"/>
          <w:b w:val="0"/>
          <w:bCs/>
          <w:color w:val="auto"/>
          <w:sz w:val="24"/>
          <w:szCs w:val="24"/>
          <w:highlight w:val="none"/>
        </w:rPr>
        <w:t>.3  遵纪守法，客观、公正、廉洁地履行职责。</w:t>
      </w:r>
    </w:p>
    <w:p w14:paraId="397DFFE9">
      <w:pPr>
        <w:pStyle w:val="4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val="0"/>
          <w:bCs/>
          <w:color w:val="auto"/>
          <w:sz w:val="24"/>
          <w:szCs w:val="24"/>
          <w:highlight w:val="none"/>
          <w:lang w:val="en-US" w:eastAsia="zh-CN"/>
        </w:rPr>
        <w:t>21</w:t>
      </w:r>
      <w:r>
        <w:rPr>
          <w:rFonts w:hint="eastAsia" w:ascii="仿宋" w:hAnsi="仿宋" w:eastAsia="仿宋" w:cs="仿宋"/>
          <w:b w:val="0"/>
          <w:bCs/>
          <w:color w:val="auto"/>
          <w:sz w:val="24"/>
          <w:szCs w:val="24"/>
          <w:highlight w:val="none"/>
        </w:rPr>
        <w:t>.4  配合采购方答复报价方提出的质疑；配合财政部门的投诉处理和监督检查工作。</w:t>
      </w:r>
    </w:p>
    <w:p w14:paraId="4219CA53">
      <w:pPr>
        <w:pStyle w:val="3"/>
        <w:numPr>
          <w:ilvl w:val="0"/>
          <w:numId w:val="0"/>
        </w:numPr>
        <w:tabs>
          <w:tab w:val="clear" w:pos="720"/>
        </w:tabs>
        <w:bidi w:val="0"/>
        <w:ind w:leftChars="0"/>
        <w:rPr>
          <w:rFonts w:hint="eastAsia" w:ascii="仿宋" w:hAnsi="仿宋" w:eastAsia="仿宋" w:cs="仿宋"/>
          <w:b/>
          <w:color w:val="auto"/>
          <w:szCs w:val="24"/>
          <w:highlight w:val="none"/>
          <w:lang w:val="en-US" w:eastAsia="zh-CN"/>
        </w:rPr>
      </w:pPr>
      <w:bookmarkStart w:id="24" w:name="_Toc13488"/>
      <w:r>
        <w:rPr>
          <w:rFonts w:hint="eastAsia"/>
        </w:rPr>
        <w:t>六、定 标</w:t>
      </w:r>
      <w:bookmarkEnd w:id="24"/>
    </w:p>
    <w:p w14:paraId="579E3264">
      <w:pPr>
        <w:keepNext w:val="0"/>
        <w:keepLines w:val="0"/>
        <w:pageBreakBefore w:val="0"/>
        <w:widowControl w:val="0"/>
        <w:kinsoku/>
        <w:wordWrap/>
        <w:overflowPunct/>
        <w:topLinePunct w:val="0"/>
        <w:autoSpaceDE/>
        <w:autoSpaceDN/>
        <w:bidi w:val="0"/>
        <w:adjustRightInd/>
        <w:spacing w:line="460" w:lineRule="exac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22</w:t>
      </w:r>
      <w:r>
        <w:rPr>
          <w:rFonts w:hint="eastAsia" w:ascii="仿宋" w:hAnsi="仿宋" w:eastAsia="仿宋" w:cs="仿宋"/>
          <w:b/>
          <w:color w:val="auto"/>
          <w:sz w:val="24"/>
          <w:szCs w:val="24"/>
          <w:highlight w:val="none"/>
        </w:rPr>
        <w:t>、中标人的确定</w:t>
      </w:r>
    </w:p>
    <w:p w14:paraId="35F5EF49">
      <w:pPr>
        <w:pStyle w:val="43"/>
        <w:keepNext w:val="0"/>
        <w:keepLines w:val="0"/>
        <w:pageBreakBefore w:val="0"/>
        <w:widowControl w:val="0"/>
        <w:kinsoku/>
        <w:wordWrap/>
        <w:overflowPunct/>
        <w:topLinePunct w:val="0"/>
        <w:autoSpaceDE/>
        <w:autoSpaceDN/>
        <w:bidi w:val="0"/>
        <w:adjustRightInd/>
        <w:spacing w:line="460" w:lineRule="exact"/>
        <w:ind w:firstLine="316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.1 评标委员会将按投标人得分顺序由高到低依次排名，得分最高的前三名投标人将</w:t>
      </w:r>
      <w:r>
        <w:rPr>
          <w:rFonts w:hint="eastAsia" w:ascii="仿宋" w:hAnsi="仿宋" w:eastAsia="仿宋" w:cs="仿宋"/>
          <w:color w:val="auto"/>
          <w:sz w:val="24"/>
          <w:szCs w:val="24"/>
          <w:highlight w:val="none"/>
          <w:lang w:val="en-US" w:eastAsia="zh-CN"/>
        </w:rPr>
        <w:t>被推荐</w:t>
      </w:r>
      <w:r>
        <w:rPr>
          <w:rFonts w:hint="eastAsia" w:ascii="仿宋" w:hAnsi="仿宋" w:eastAsia="仿宋" w:cs="仿宋"/>
          <w:color w:val="auto"/>
          <w:sz w:val="24"/>
          <w:szCs w:val="24"/>
          <w:highlight w:val="none"/>
        </w:rPr>
        <w:t>为中标候选人，如果两个投标人得分相同时，取投标报价低的。得分且投标报价相同的，由</w:t>
      </w:r>
      <w:r>
        <w:rPr>
          <w:rFonts w:hint="eastAsia" w:ascii="仿宋" w:hAnsi="仿宋" w:eastAsia="仿宋" w:cs="仿宋"/>
          <w:color w:val="auto"/>
          <w:sz w:val="24"/>
          <w:szCs w:val="24"/>
          <w:highlight w:val="none"/>
          <w:lang w:val="en-US" w:eastAsia="zh-CN"/>
        </w:rPr>
        <w:t>评标委员会</w:t>
      </w:r>
      <w:r>
        <w:rPr>
          <w:rFonts w:hint="eastAsia" w:ascii="仿宋" w:hAnsi="仿宋" w:eastAsia="仿宋" w:cs="仿宋"/>
          <w:color w:val="auto"/>
          <w:sz w:val="24"/>
          <w:szCs w:val="24"/>
          <w:highlight w:val="none"/>
        </w:rPr>
        <w:t>按照少数服从多数原则现场投票表决或现场随机抽取确定排序。</w:t>
      </w:r>
    </w:p>
    <w:p w14:paraId="3205B723">
      <w:pPr>
        <w:pStyle w:val="43"/>
        <w:keepNext w:val="0"/>
        <w:keepLines w:val="0"/>
        <w:pageBreakBefore w:val="0"/>
        <w:widowControl w:val="0"/>
        <w:kinsoku/>
        <w:wordWrap/>
        <w:overflowPunct/>
        <w:topLinePunct w:val="0"/>
        <w:autoSpaceDE/>
        <w:autoSpaceDN/>
        <w:bidi w:val="0"/>
        <w:adjustRightInd/>
        <w:spacing w:line="460" w:lineRule="exact"/>
        <w:ind w:firstLine="3168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应根据评标委员会的评审结果和国家有关规定确定中标人</w:t>
      </w:r>
      <w:r>
        <w:rPr>
          <w:rFonts w:hint="eastAsia" w:ascii="仿宋" w:hAnsi="仿宋" w:eastAsia="仿宋" w:cs="仿宋"/>
          <w:color w:val="auto"/>
          <w:sz w:val="24"/>
          <w:szCs w:val="24"/>
          <w:highlight w:val="none"/>
          <w:lang w:eastAsia="zh-CN"/>
        </w:rPr>
        <w:t>。采购人在收到评标报告5个工作日内未按评标报告推荐的中标候选人顺序确定中标人，又不能说明合法理由的，视同按评标报告推荐的顺序确定排名第一的中标候选人为中标人。</w:t>
      </w:r>
    </w:p>
    <w:p w14:paraId="29C3C8A3">
      <w:pPr>
        <w:pStyle w:val="43"/>
        <w:keepNext w:val="0"/>
        <w:keepLines w:val="0"/>
        <w:pageBreakBefore w:val="0"/>
        <w:widowControl w:val="0"/>
        <w:kinsoku/>
        <w:wordWrap/>
        <w:overflowPunct/>
        <w:topLinePunct w:val="0"/>
        <w:autoSpaceDE/>
        <w:autoSpaceDN/>
        <w:bidi w:val="0"/>
        <w:adjustRightInd/>
        <w:spacing w:line="460" w:lineRule="exact"/>
        <w:ind w:firstLine="0" w:firstLine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23</w:t>
      </w:r>
      <w:r>
        <w:rPr>
          <w:rFonts w:hint="eastAsia" w:ascii="仿宋" w:hAnsi="仿宋" w:eastAsia="仿宋" w:cs="仿宋"/>
          <w:b/>
          <w:color w:val="auto"/>
          <w:sz w:val="24"/>
          <w:szCs w:val="24"/>
          <w:highlight w:val="none"/>
        </w:rPr>
        <w:t>、中标通知书</w:t>
      </w:r>
    </w:p>
    <w:p w14:paraId="524E31DA">
      <w:pPr>
        <w:pStyle w:val="43"/>
        <w:keepNext w:val="0"/>
        <w:keepLines w:val="0"/>
        <w:pageBreakBefore w:val="0"/>
        <w:widowControl w:val="0"/>
        <w:kinsoku/>
        <w:wordWrap/>
        <w:overflowPunct/>
        <w:topLinePunct w:val="0"/>
        <w:autoSpaceDE/>
        <w:autoSpaceDN/>
        <w:bidi w:val="0"/>
        <w:adjustRightInd/>
        <w:spacing w:line="460" w:lineRule="exact"/>
        <w:ind w:firstLine="31680"/>
        <w:textAlignment w:val="auto"/>
        <w:outlineLvl w:val="9"/>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在投标有效期内，中标人确定后，由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签发经核准的中标通知书。</w:t>
      </w:r>
    </w:p>
    <w:p w14:paraId="6808B012">
      <w:pPr>
        <w:pStyle w:val="3"/>
        <w:numPr>
          <w:ilvl w:val="0"/>
          <w:numId w:val="0"/>
        </w:numPr>
        <w:tabs>
          <w:tab w:val="clear" w:pos="720"/>
        </w:tabs>
        <w:bidi w:val="0"/>
        <w:ind w:leftChars="0"/>
        <w:rPr>
          <w:rFonts w:hint="eastAsia" w:ascii="仿宋" w:hAnsi="仿宋" w:eastAsia="仿宋" w:cs="仿宋"/>
          <w:b/>
          <w:color w:val="auto"/>
          <w:szCs w:val="32"/>
          <w:highlight w:val="none"/>
        </w:rPr>
      </w:pPr>
      <w:bookmarkStart w:id="25" w:name="_Toc20681"/>
      <w:r>
        <w:rPr>
          <w:rFonts w:hint="eastAsia"/>
          <w:lang w:val="en-US" w:eastAsia="zh-CN"/>
        </w:rPr>
        <w:t>七、</w:t>
      </w:r>
      <w:r>
        <w:rPr>
          <w:rFonts w:hint="eastAsia"/>
        </w:rPr>
        <w:t>授予合同</w:t>
      </w:r>
      <w:bookmarkEnd w:id="25"/>
    </w:p>
    <w:p w14:paraId="11BE9D44">
      <w:pPr>
        <w:pStyle w:val="43"/>
        <w:keepNext w:val="0"/>
        <w:keepLines w:val="0"/>
        <w:pageBreakBefore w:val="0"/>
        <w:widowControl w:val="0"/>
        <w:kinsoku/>
        <w:wordWrap/>
        <w:overflowPunct/>
        <w:topLinePunct w:val="0"/>
        <w:autoSpaceDE/>
        <w:autoSpaceDN/>
        <w:bidi w:val="0"/>
        <w:adjustRightInd/>
        <w:spacing w:line="460" w:lineRule="exact"/>
        <w:ind w:firstLine="0" w:firstLine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24</w:t>
      </w:r>
      <w:r>
        <w:rPr>
          <w:rFonts w:hint="eastAsia" w:ascii="仿宋" w:hAnsi="仿宋" w:eastAsia="仿宋" w:cs="仿宋"/>
          <w:b/>
          <w:color w:val="auto"/>
          <w:sz w:val="24"/>
          <w:szCs w:val="24"/>
          <w:highlight w:val="none"/>
        </w:rPr>
        <w:t>、签订合同</w:t>
      </w:r>
    </w:p>
    <w:p w14:paraId="0F203FC2">
      <w:pPr>
        <w:pStyle w:val="43"/>
        <w:keepNext w:val="0"/>
        <w:keepLines w:val="0"/>
        <w:pageBreakBefore w:val="0"/>
        <w:widowControl w:val="0"/>
        <w:kinsoku/>
        <w:wordWrap/>
        <w:overflowPunct/>
        <w:topLinePunct w:val="0"/>
        <w:autoSpaceDE/>
        <w:autoSpaceDN/>
        <w:bidi w:val="0"/>
        <w:adjustRightInd/>
        <w:spacing w:line="460" w:lineRule="exact"/>
        <w:ind w:firstLine="316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.1 中标人收到中标通知书后，须按有关规定与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签定合同。合同的签定</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在中标通知书发出后</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天内进行。</w:t>
      </w:r>
    </w:p>
    <w:p w14:paraId="6ADEBF0D">
      <w:pPr>
        <w:pStyle w:val="43"/>
        <w:keepNext w:val="0"/>
        <w:keepLines w:val="0"/>
        <w:pageBreakBefore w:val="0"/>
        <w:widowControl w:val="0"/>
        <w:kinsoku/>
        <w:wordWrap/>
        <w:overflowPunct/>
        <w:topLinePunct w:val="0"/>
        <w:autoSpaceDE/>
        <w:autoSpaceDN/>
        <w:bidi w:val="0"/>
        <w:adjustRightInd/>
        <w:spacing w:line="460" w:lineRule="exact"/>
        <w:ind w:firstLine="316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.2 合同签定后，</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应按合同的规定履行合同，未按规定履约的，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有权取消合同，并且不退还中标人的投标保证金。投标保证金不足以赔偿采购人损失的，采购人有权向中标人继续追偿。</w:t>
      </w:r>
    </w:p>
    <w:p w14:paraId="0739B7D8">
      <w:pPr>
        <w:pStyle w:val="43"/>
        <w:keepNext w:val="0"/>
        <w:keepLines w:val="0"/>
        <w:pageBreakBefore w:val="0"/>
        <w:widowControl w:val="0"/>
        <w:kinsoku/>
        <w:wordWrap/>
        <w:overflowPunct/>
        <w:topLinePunct w:val="0"/>
        <w:autoSpaceDE/>
        <w:autoSpaceDN/>
        <w:bidi w:val="0"/>
        <w:adjustRightInd/>
        <w:spacing w:line="460" w:lineRule="exact"/>
        <w:ind w:firstLine="316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.3 中标合同不得转让或分包。如果对合同的非主体部分进行转让或分包，投标人必须在投标文件中予以说明，并需经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同意。否则，</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有权取消中标人的中标资格。</w:t>
      </w:r>
    </w:p>
    <w:p w14:paraId="667D18C8">
      <w:pPr>
        <w:pStyle w:val="43"/>
        <w:keepNext w:val="0"/>
        <w:keepLines w:val="0"/>
        <w:pageBreakBefore w:val="0"/>
        <w:widowControl w:val="0"/>
        <w:kinsoku/>
        <w:wordWrap/>
        <w:overflowPunct/>
        <w:topLinePunct w:val="0"/>
        <w:autoSpaceDE/>
        <w:autoSpaceDN/>
        <w:bidi w:val="0"/>
        <w:adjustRightInd/>
        <w:spacing w:line="460" w:lineRule="exact"/>
        <w:ind w:firstLine="3168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.4 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拒绝与采购人签订合同的，采购人可以按照评审报告推荐的中标候选人名单排序，确定下一候选人为中标或者成交供应商，也可以重新开展政府采购活动</w:t>
      </w:r>
      <w:r>
        <w:rPr>
          <w:rFonts w:hint="eastAsia" w:ascii="仿宋" w:hAnsi="仿宋" w:eastAsia="仿宋" w:cs="仿宋"/>
          <w:color w:val="auto"/>
          <w:sz w:val="24"/>
          <w:szCs w:val="24"/>
          <w:highlight w:val="none"/>
          <w:lang w:eastAsia="zh-CN"/>
        </w:rPr>
        <w:t>。</w:t>
      </w:r>
    </w:p>
    <w:p w14:paraId="398E3374">
      <w:pPr>
        <w:pStyle w:val="43"/>
        <w:keepNext w:val="0"/>
        <w:keepLines w:val="0"/>
        <w:pageBreakBefore w:val="0"/>
        <w:widowControl w:val="0"/>
        <w:kinsoku/>
        <w:wordWrap/>
        <w:overflowPunct/>
        <w:topLinePunct w:val="0"/>
        <w:autoSpaceDE/>
        <w:autoSpaceDN/>
        <w:bidi w:val="0"/>
        <w:adjustRightInd/>
        <w:spacing w:line="460" w:lineRule="exact"/>
        <w:ind w:firstLine="0" w:firstLine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25</w:t>
      </w:r>
      <w:r>
        <w:rPr>
          <w:rFonts w:hint="eastAsia" w:ascii="仿宋" w:hAnsi="仿宋" w:eastAsia="仿宋" w:cs="仿宋"/>
          <w:b/>
          <w:color w:val="auto"/>
          <w:sz w:val="24"/>
          <w:szCs w:val="24"/>
          <w:highlight w:val="none"/>
        </w:rPr>
        <w:t>、合同的组成</w:t>
      </w:r>
    </w:p>
    <w:p w14:paraId="210C5192">
      <w:pPr>
        <w:pStyle w:val="43"/>
        <w:keepNext w:val="0"/>
        <w:keepLines w:val="0"/>
        <w:pageBreakBefore w:val="0"/>
        <w:widowControl w:val="0"/>
        <w:kinsoku/>
        <w:wordWrap/>
        <w:overflowPunct/>
        <w:topLinePunct w:val="0"/>
        <w:autoSpaceDE/>
        <w:autoSpaceDN/>
        <w:bidi w:val="0"/>
        <w:adjustRightInd/>
        <w:spacing w:line="460" w:lineRule="exact"/>
        <w:ind w:firstLine="316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.1 合同；</w:t>
      </w:r>
    </w:p>
    <w:p w14:paraId="5AA2BF3F">
      <w:pPr>
        <w:pStyle w:val="43"/>
        <w:keepNext w:val="0"/>
        <w:keepLines w:val="0"/>
        <w:pageBreakBefore w:val="0"/>
        <w:widowControl w:val="0"/>
        <w:kinsoku/>
        <w:wordWrap/>
        <w:overflowPunct/>
        <w:topLinePunct w:val="0"/>
        <w:autoSpaceDE/>
        <w:autoSpaceDN/>
        <w:bidi w:val="0"/>
        <w:adjustRightInd/>
        <w:spacing w:line="460" w:lineRule="exact"/>
        <w:ind w:firstLine="316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.2 招标产品技术条款及合同条款；</w:t>
      </w:r>
    </w:p>
    <w:p w14:paraId="35AD55CD">
      <w:pPr>
        <w:pStyle w:val="43"/>
        <w:keepNext w:val="0"/>
        <w:keepLines w:val="0"/>
        <w:pageBreakBefore w:val="0"/>
        <w:widowControl w:val="0"/>
        <w:kinsoku/>
        <w:wordWrap/>
        <w:overflowPunct/>
        <w:topLinePunct w:val="0"/>
        <w:autoSpaceDE/>
        <w:autoSpaceDN/>
        <w:bidi w:val="0"/>
        <w:adjustRightInd/>
        <w:spacing w:line="460" w:lineRule="exact"/>
        <w:ind w:firstLine="316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.3 中标通知书；</w:t>
      </w:r>
    </w:p>
    <w:p w14:paraId="05B6EC49">
      <w:pPr>
        <w:pStyle w:val="43"/>
        <w:keepNext w:val="0"/>
        <w:keepLines w:val="0"/>
        <w:pageBreakBefore w:val="0"/>
        <w:widowControl w:val="0"/>
        <w:kinsoku/>
        <w:wordWrap/>
        <w:overflowPunct/>
        <w:topLinePunct w:val="0"/>
        <w:autoSpaceDE/>
        <w:autoSpaceDN/>
        <w:bidi w:val="0"/>
        <w:adjustRightInd/>
        <w:spacing w:line="460" w:lineRule="exact"/>
        <w:ind w:firstLine="316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val="en-US" w:eastAsia="zh-CN"/>
        </w:rPr>
        <w:t>中标单位的</w:t>
      </w:r>
      <w:r>
        <w:rPr>
          <w:rFonts w:hint="eastAsia" w:ascii="仿宋" w:hAnsi="仿宋" w:eastAsia="仿宋" w:cs="仿宋"/>
          <w:color w:val="auto"/>
          <w:sz w:val="24"/>
          <w:szCs w:val="24"/>
          <w:highlight w:val="none"/>
        </w:rPr>
        <w:t>投标文件；</w:t>
      </w:r>
    </w:p>
    <w:p w14:paraId="7B4CD474">
      <w:pPr>
        <w:pStyle w:val="43"/>
        <w:keepNext w:val="0"/>
        <w:keepLines w:val="0"/>
        <w:pageBreakBefore w:val="0"/>
        <w:widowControl w:val="0"/>
        <w:kinsoku/>
        <w:wordWrap/>
        <w:overflowPunct/>
        <w:topLinePunct w:val="0"/>
        <w:bidi w:val="0"/>
        <w:spacing w:line="460" w:lineRule="exact"/>
        <w:ind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.5 招标文件</w:t>
      </w:r>
    </w:p>
    <w:p w14:paraId="733D4566">
      <w:pPr>
        <w:pStyle w:val="3"/>
        <w:numPr>
          <w:ilvl w:val="0"/>
          <w:numId w:val="0"/>
        </w:numPr>
        <w:tabs>
          <w:tab w:val="clear" w:pos="720"/>
        </w:tabs>
        <w:bidi w:val="0"/>
        <w:ind w:leftChars="0"/>
        <w:rPr>
          <w:rFonts w:hint="eastAsia" w:ascii="仿宋" w:hAnsi="仿宋" w:eastAsia="仿宋" w:cs="仿宋"/>
          <w:color w:val="auto"/>
          <w:highlight w:val="none"/>
        </w:rPr>
      </w:pPr>
      <w:bookmarkStart w:id="26" w:name="_Toc9678"/>
      <w:r>
        <w:rPr>
          <w:rFonts w:hint="eastAsia"/>
          <w:lang w:val="en-US" w:eastAsia="zh-CN"/>
        </w:rPr>
        <w:t>八、</w:t>
      </w:r>
      <w:r>
        <w:rPr>
          <w:rFonts w:hint="eastAsia"/>
          <w:lang w:eastAsia="zh-CN"/>
        </w:rPr>
        <w:t>重新招标</w:t>
      </w:r>
      <w:bookmarkEnd w:id="26"/>
    </w:p>
    <w:p w14:paraId="6A6E251C">
      <w:pPr>
        <w:spacing w:line="500" w:lineRule="exact"/>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26、</w:t>
      </w:r>
      <w:r>
        <w:rPr>
          <w:rFonts w:hint="eastAsia" w:ascii="仿宋" w:hAnsi="仿宋" w:eastAsia="仿宋" w:cs="仿宋"/>
          <w:b/>
          <w:bCs/>
          <w:color w:val="auto"/>
          <w:sz w:val="24"/>
          <w:highlight w:val="none"/>
        </w:rPr>
        <w:t>有下列情形之一的，招标人将重新招标：</w:t>
      </w:r>
    </w:p>
    <w:p w14:paraId="447C66CA">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26.1 </w:t>
      </w:r>
      <w:r>
        <w:rPr>
          <w:rFonts w:hint="eastAsia" w:ascii="仿宋" w:hAnsi="仿宋" w:eastAsia="仿宋" w:cs="仿宋"/>
          <w:color w:val="auto"/>
          <w:sz w:val="24"/>
          <w:highlight w:val="none"/>
        </w:rPr>
        <w:t>投标截止时间止，投标人少于三个的</w:t>
      </w:r>
      <w:r>
        <w:rPr>
          <w:rFonts w:hint="eastAsia" w:ascii="仿宋" w:hAnsi="仿宋" w:eastAsia="仿宋" w:cs="仿宋"/>
          <w:color w:val="auto"/>
          <w:sz w:val="24"/>
          <w:highlight w:val="none"/>
          <w:lang w:eastAsia="zh-CN"/>
        </w:rPr>
        <w:t>，不得开标，采购人</w:t>
      </w:r>
      <w:r>
        <w:rPr>
          <w:rFonts w:hint="eastAsia" w:ascii="仿宋" w:hAnsi="仿宋" w:eastAsia="仿宋" w:cs="仿宋"/>
          <w:color w:val="auto"/>
          <w:sz w:val="24"/>
          <w:highlight w:val="none"/>
        </w:rPr>
        <w:t>应重新招标；</w:t>
      </w:r>
    </w:p>
    <w:p w14:paraId="5526ED10">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26.2 </w:t>
      </w:r>
      <w:r>
        <w:rPr>
          <w:rFonts w:hint="eastAsia" w:ascii="仿宋" w:hAnsi="仿宋" w:eastAsia="仿宋" w:cs="仿宋"/>
          <w:color w:val="auto"/>
          <w:sz w:val="24"/>
          <w:highlight w:val="none"/>
        </w:rPr>
        <w:t>投标被依法否定，或者投标文件被评标委员会界定为</w:t>
      </w:r>
      <w:r>
        <w:rPr>
          <w:rFonts w:hint="eastAsia" w:ascii="仿宋" w:hAnsi="仿宋" w:eastAsia="仿宋" w:cs="仿宋"/>
          <w:color w:val="auto"/>
          <w:sz w:val="24"/>
          <w:highlight w:val="none"/>
          <w:lang w:val="en-US" w:eastAsia="zh-CN"/>
        </w:rPr>
        <w:t>无效</w:t>
      </w:r>
      <w:r>
        <w:rPr>
          <w:rFonts w:hint="eastAsia" w:ascii="仿宋" w:hAnsi="仿宋" w:eastAsia="仿宋" w:cs="仿宋"/>
          <w:color w:val="auto"/>
          <w:sz w:val="24"/>
          <w:highlight w:val="none"/>
        </w:rPr>
        <w:t>后有效投标不足三个的</w:t>
      </w:r>
      <w:r>
        <w:rPr>
          <w:rFonts w:hint="eastAsia" w:ascii="仿宋" w:hAnsi="仿宋" w:eastAsia="仿宋" w:cs="仿宋"/>
          <w:color w:val="auto"/>
          <w:sz w:val="24"/>
          <w:highlight w:val="none"/>
          <w:lang w:eastAsia="zh-CN"/>
        </w:rPr>
        <w:t>，不得评标，采购人可</w:t>
      </w:r>
      <w:r>
        <w:rPr>
          <w:rFonts w:hint="eastAsia" w:ascii="仿宋" w:hAnsi="仿宋" w:eastAsia="仿宋" w:cs="仿宋"/>
          <w:color w:val="auto"/>
          <w:sz w:val="24"/>
          <w:highlight w:val="none"/>
        </w:rPr>
        <w:t>重新招标；</w:t>
      </w:r>
    </w:p>
    <w:p w14:paraId="50E51E32">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26.3 </w:t>
      </w:r>
      <w:r>
        <w:rPr>
          <w:rFonts w:hint="eastAsia" w:ascii="仿宋" w:hAnsi="仿宋" w:eastAsia="仿宋" w:cs="仿宋"/>
          <w:color w:val="auto"/>
          <w:sz w:val="24"/>
          <w:highlight w:val="none"/>
        </w:rPr>
        <w:t>如评标委员会推荐的前三名中标候选人均放弃中标资格，</w:t>
      </w:r>
      <w:r>
        <w:rPr>
          <w:rFonts w:hint="eastAsia" w:ascii="仿宋" w:hAnsi="仿宋" w:eastAsia="仿宋" w:cs="仿宋"/>
          <w:color w:val="auto"/>
          <w:sz w:val="24"/>
          <w:highlight w:val="none"/>
          <w:lang w:eastAsia="zh-CN"/>
        </w:rPr>
        <w:t>采购人可</w:t>
      </w:r>
      <w:r>
        <w:rPr>
          <w:rFonts w:hint="eastAsia" w:ascii="仿宋" w:hAnsi="仿宋" w:eastAsia="仿宋" w:cs="仿宋"/>
          <w:color w:val="auto"/>
          <w:sz w:val="24"/>
          <w:highlight w:val="none"/>
        </w:rPr>
        <w:t>重新招标</w:t>
      </w:r>
      <w:r>
        <w:rPr>
          <w:rFonts w:hint="eastAsia" w:ascii="仿宋" w:hAnsi="仿宋" w:eastAsia="仿宋" w:cs="仿宋"/>
          <w:color w:val="auto"/>
          <w:sz w:val="24"/>
          <w:highlight w:val="none"/>
          <w:lang w:eastAsia="zh-CN"/>
        </w:rPr>
        <w:t>；</w:t>
      </w:r>
    </w:p>
    <w:p w14:paraId="44A4A0A3">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outlineLvl w:val="9"/>
        <w:rPr>
          <w:rFonts w:hint="eastAsia" w:ascii="仿宋" w:hAnsi="仿宋" w:eastAsia="仿宋" w:cs="仿宋"/>
          <w:b/>
          <w:color w:val="auto"/>
          <w:sz w:val="32"/>
          <w:szCs w:val="32"/>
          <w:highlight w:val="none"/>
          <w:lang w:val="en-US" w:eastAsia="zh-CN"/>
        </w:rPr>
      </w:pPr>
      <w:r>
        <w:rPr>
          <w:rFonts w:hint="eastAsia" w:ascii="仿宋" w:hAnsi="仿宋" w:eastAsia="仿宋" w:cs="仿宋"/>
          <w:color w:val="auto"/>
          <w:sz w:val="24"/>
          <w:highlight w:val="none"/>
          <w:lang w:val="en-US" w:eastAsia="zh-CN"/>
        </w:rPr>
        <w:t>26.4 出现本章24.4条的情形，采购人决定重新组织招标的。</w:t>
      </w:r>
    </w:p>
    <w:p w14:paraId="0D44A48D">
      <w:pPr>
        <w:pStyle w:val="3"/>
        <w:numPr>
          <w:ilvl w:val="0"/>
          <w:numId w:val="0"/>
        </w:numPr>
        <w:tabs>
          <w:tab w:val="clear" w:pos="720"/>
        </w:tabs>
        <w:bidi w:val="0"/>
        <w:ind w:leftChars="0"/>
        <w:rPr>
          <w:rFonts w:hint="eastAsia" w:ascii="仿宋" w:hAnsi="仿宋" w:eastAsia="仿宋" w:cs="仿宋"/>
          <w:b/>
          <w:bCs/>
          <w:color w:val="auto"/>
          <w:highlight w:val="none"/>
          <w:lang w:val="en-US" w:eastAsia="zh-CN"/>
        </w:rPr>
      </w:pPr>
      <w:bookmarkStart w:id="27" w:name="_Toc15941"/>
      <w:r>
        <w:rPr>
          <w:rFonts w:hint="eastAsia"/>
          <w:lang w:val="en-US" w:eastAsia="zh-CN"/>
        </w:rPr>
        <w:t>九、质疑</w:t>
      </w:r>
      <w:bookmarkEnd w:id="27"/>
    </w:p>
    <w:p w14:paraId="7C34591B">
      <w:pPr>
        <w:spacing w:line="500" w:lineRule="exact"/>
        <w:jc w:val="left"/>
        <w:outlineLvl w:val="9"/>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27、质疑</w:t>
      </w:r>
    </w:p>
    <w:p w14:paraId="6F5524C1">
      <w:pPr>
        <w:spacing w:line="500" w:lineRule="exact"/>
        <w:ind w:firstLine="480" w:firstLineChars="200"/>
        <w:jc w:val="lef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27.1 供应商认为招标文件、采购过程、中标结果使自己的权益受到损害的，可以在知道或者应知其权益受到损害之日起7个工作日内，以书面形式向采购人、采购代理机构一次性针对同一采购程序环节提出质疑。</w:t>
      </w:r>
    </w:p>
    <w:p w14:paraId="53F0202A">
      <w:pPr>
        <w:spacing w:line="500" w:lineRule="exact"/>
        <w:ind w:firstLine="480" w:firstLineChars="200"/>
        <w:jc w:val="lef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27.2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01C0AB7">
      <w:pPr>
        <w:spacing w:line="500" w:lineRule="exact"/>
        <w:ind w:firstLine="480" w:firstLineChars="200"/>
        <w:jc w:val="lef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代理人提出质疑和投诉，应当提交供应商签署的授权委托书。</w:t>
      </w:r>
    </w:p>
    <w:p w14:paraId="7E7BB0DA">
      <w:pPr>
        <w:spacing w:line="500" w:lineRule="exact"/>
        <w:ind w:firstLine="480" w:firstLineChars="200"/>
        <w:jc w:val="lef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27.3 供应商提出质疑应当提交质疑函和必要的证明材料。质疑函应当包括下列内容：</w:t>
      </w:r>
    </w:p>
    <w:p w14:paraId="272F20B0">
      <w:pPr>
        <w:spacing w:line="500" w:lineRule="exact"/>
        <w:ind w:firstLine="480" w:firstLineChars="200"/>
        <w:jc w:val="lef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（1）供应商的姓名或者名称、地址、邮编、联系人及联系电话；</w:t>
      </w:r>
    </w:p>
    <w:p w14:paraId="21725ECB">
      <w:pPr>
        <w:spacing w:line="500" w:lineRule="exact"/>
        <w:ind w:firstLine="480" w:firstLineChars="200"/>
        <w:jc w:val="lef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（2）质疑项目的名称、编号；</w:t>
      </w:r>
    </w:p>
    <w:p w14:paraId="3D76E3DD">
      <w:pPr>
        <w:spacing w:line="500" w:lineRule="exact"/>
        <w:ind w:firstLine="480" w:firstLineChars="200"/>
        <w:jc w:val="lef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（3）具体、明确的质疑事项和与质疑事项相关的请求；</w:t>
      </w:r>
    </w:p>
    <w:p w14:paraId="2AB3594E">
      <w:pPr>
        <w:spacing w:line="500" w:lineRule="exact"/>
        <w:ind w:firstLine="480" w:firstLineChars="200"/>
        <w:jc w:val="lef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（4）事实依据；</w:t>
      </w:r>
    </w:p>
    <w:p w14:paraId="72867B27">
      <w:pPr>
        <w:spacing w:line="500" w:lineRule="exact"/>
        <w:ind w:firstLine="480" w:firstLineChars="200"/>
        <w:jc w:val="lef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（5）必要的法律依据；</w:t>
      </w:r>
    </w:p>
    <w:p w14:paraId="24A1C742">
      <w:pPr>
        <w:spacing w:line="500" w:lineRule="exact"/>
        <w:ind w:firstLine="480" w:firstLineChars="200"/>
        <w:jc w:val="lef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（6）提出质疑的日期。</w:t>
      </w:r>
    </w:p>
    <w:p w14:paraId="285B3697">
      <w:pPr>
        <w:spacing w:line="500" w:lineRule="exact"/>
        <w:ind w:firstLine="480" w:firstLineChars="200"/>
        <w:jc w:val="lef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供应商为自然人的，应当由本人签字；供应商为法人或者其他组织的，应当由法定代表人、主要负责人，或者其授权代表签字或者盖章，并加盖公章。</w:t>
      </w:r>
    </w:p>
    <w:p w14:paraId="5C29075F">
      <w:pPr>
        <w:spacing w:line="500" w:lineRule="exact"/>
        <w:ind w:firstLine="480" w:firstLineChars="200"/>
        <w:jc w:val="lef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27.4 代理机构通过以下方式接收质疑函：</w:t>
      </w:r>
    </w:p>
    <w:p w14:paraId="17DEF0B0">
      <w:pPr>
        <w:spacing w:line="500" w:lineRule="exact"/>
        <w:ind w:firstLine="480" w:firstLineChars="200"/>
        <w:jc w:val="lef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（1）接收质疑函的方式：加盖公章的纸质版质疑函（具体格式参照</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条要求）；</w:t>
      </w:r>
    </w:p>
    <w:p w14:paraId="03FF05BD">
      <w:pPr>
        <w:spacing w:line="500" w:lineRule="exact"/>
        <w:ind w:firstLine="480" w:firstLineChars="200"/>
        <w:jc w:val="lef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（2）联系部门：</w:t>
      </w:r>
      <w:r>
        <w:rPr>
          <w:rFonts w:hint="eastAsia" w:ascii="仿宋" w:hAnsi="仿宋" w:eastAsia="仿宋" w:cs="仿宋"/>
          <w:color w:val="auto"/>
          <w:sz w:val="24"/>
          <w:szCs w:val="24"/>
          <w:highlight w:val="none"/>
          <w:lang w:val="en-US" w:eastAsia="zh-CN"/>
        </w:rPr>
        <w:t>新疆浩瑞兴建设工程项目管理咨询有限公司</w:t>
      </w:r>
      <w:r>
        <w:rPr>
          <w:rFonts w:hint="eastAsia" w:ascii="仿宋" w:hAnsi="仿宋" w:eastAsia="仿宋" w:cs="仿宋"/>
          <w:color w:val="auto"/>
          <w:sz w:val="24"/>
          <w:highlight w:val="none"/>
          <w:lang w:val="en-US" w:eastAsia="zh-CN"/>
        </w:rPr>
        <w:t>；</w:t>
      </w:r>
    </w:p>
    <w:p w14:paraId="47169345">
      <w:pPr>
        <w:spacing w:line="500" w:lineRule="exact"/>
        <w:ind w:firstLine="480" w:firstLineChars="200"/>
        <w:jc w:val="lef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（3）联系方式：电话：15160968614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邮箱：3958774434@qq.com；</w:t>
      </w:r>
    </w:p>
    <w:p w14:paraId="76509B20">
      <w:pPr>
        <w:spacing w:line="500" w:lineRule="exact"/>
        <w:ind w:firstLine="480" w:firstLineChars="200"/>
        <w:jc w:val="lef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（4）通讯地址：新疆乌鲁木齐市水磨沟区安居南路鸿瑞豪庭四号楼907。</w:t>
      </w:r>
    </w:p>
    <w:p w14:paraId="505C1409">
      <w:pPr>
        <w:jc w:val="center"/>
        <w:outlineLvl w:val="9"/>
        <w:rPr>
          <w:rFonts w:hint="eastAsia" w:ascii="仿宋" w:hAnsi="仿宋" w:eastAsia="仿宋" w:cs="仿宋"/>
          <w:b/>
          <w:color w:val="auto"/>
          <w:sz w:val="36"/>
          <w:szCs w:val="36"/>
          <w:highlight w:val="none"/>
        </w:rPr>
      </w:pPr>
    </w:p>
    <w:p w14:paraId="67C74B0A">
      <w:pPr>
        <w:jc w:val="center"/>
        <w:outlineLvl w:val="9"/>
        <w:rPr>
          <w:rFonts w:hint="eastAsia" w:ascii="仿宋" w:hAnsi="仿宋" w:eastAsia="仿宋" w:cs="仿宋"/>
          <w:b/>
          <w:color w:val="auto"/>
          <w:sz w:val="36"/>
          <w:szCs w:val="36"/>
          <w:highlight w:val="none"/>
        </w:rPr>
      </w:pPr>
    </w:p>
    <w:p w14:paraId="18342882">
      <w:pPr>
        <w:pStyle w:val="21"/>
        <w:outlineLvl w:val="9"/>
        <w:rPr>
          <w:rFonts w:hint="eastAsia" w:ascii="仿宋" w:hAnsi="仿宋" w:eastAsia="仿宋" w:cs="仿宋"/>
          <w:b/>
          <w:color w:val="auto"/>
          <w:sz w:val="36"/>
          <w:szCs w:val="36"/>
          <w:highlight w:val="none"/>
        </w:rPr>
      </w:pPr>
    </w:p>
    <w:p w14:paraId="5F72C45C">
      <w:pPr>
        <w:pStyle w:val="12"/>
        <w:outlineLvl w:val="9"/>
        <w:rPr>
          <w:rFonts w:hint="eastAsia" w:ascii="仿宋" w:hAnsi="仿宋" w:eastAsia="仿宋" w:cs="仿宋"/>
          <w:color w:val="auto"/>
          <w:highlight w:val="none"/>
        </w:rPr>
      </w:pPr>
    </w:p>
    <w:p w14:paraId="5135697E">
      <w:pPr>
        <w:jc w:val="center"/>
        <w:outlineLvl w:val="9"/>
        <w:rPr>
          <w:rFonts w:hint="eastAsia" w:ascii="仿宋" w:hAnsi="仿宋" w:eastAsia="仿宋" w:cs="仿宋"/>
          <w:b/>
          <w:color w:val="auto"/>
          <w:sz w:val="36"/>
          <w:szCs w:val="36"/>
          <w:highlight w:val="none"/>
        </w:rPr>
      </w:pPr>
    </w:p>
    <w:p w14:paraId="34949B21">
      <w:pPr>
        <w:jc w:val="center"/>
        <w:outlineLvl w:val="9"/>
        <w:rPr>
          <w:rFonts w:hint="eastAsia" w:ascii="仿宋" w:hAnsi="仿宋" w:eastAsia="仿宋" w:cs="仿宋"/>
          <w:b/>
          <w:color w:val="auto"/>
          <w:sz w:val="36"/>
          <w:szCs w:val="36"/>
          <w:highlight w:val="none"/>
        </w:rPr>
      </w:pPr>
    </w:p>
    <w:p w14:paraId="6A174D9A">
      <w:pPr>
        <w:jc w:val="center"/>
        <w:outlineLvl w:val="9"/>
        <w:rPr>
          <w:rFonts w:hint="eastAsia" w:ascii="仿宋" w:hAnsi="仿宋" w:eastAsia="仿宋" w:cs="仿宋"/>
          <w:b/>
          <w:color w:val="auto"/>
          <w:sz w:val="36"/>
          <w:szCs w:val="36"/>
          <w:highlight w:val="none"/>
        </w:rPr>
      </w:pPr>
    </w:p>
    <w:p w14:paraId="1C47BCB0">
      <w:pPr>
        <w:jc w:val="center"/>
        <w:outlineLvl w:val="9"/>
        <w:rPr>
          <w:rFonts w:hint="eastAsia" w:ascii="仿宋" w:hAnsi="仿宋" w:eastAsia="仿宋" w:cs="仿宋"/>
          <w:b/>
          <w:color w:val="auto"/>
          <w:sz w:val="36"/>
          <w:szCs w:val="36"/>
          <w:highlight w:val="none"/>
        </w:rPr>
      </w:pPr>
    </w:p>
    <w:p w14:paraId="5A071840">
      <w:pPr>
        <w:jc w:val="center"/>
        <w:outlineLvl w:val="9"/>
        <w:rPr>
          <w:rFonts w:hint="eastAsia" w:ascii="仿宋" w:hAnsi="仿宋" w:eastAsia="仿宋" w:cs="仿宋"/>
          <w:b/>
          <w:color w:val="auto"/>
          <w:sz w:val="36"/>
          <w:szCs w:val="36"/>
          <w:highlight w:val="none"/>
        </w:rPr>
      </w:pPr>
    </w:p>
    <w:p w14:paraId="1FC74010">
      <w:pPr>
        <w:jc w:val="center"/>
        <w:outlineLvl w:val="9"/>
        <w:rPr>
          <w:rFonts w:hint="eastAsia" w:ascii="仿宋" w:hAnsi="仿宋" w:eastAsia="仿宋" w:cs="仿宋"/>
          <w:b/>
          <w:color w:val="auto"/>
          <w:sz w:val="36"/>
          <w:szCs w:val="36"/>
          <w:highlight w:val="none"/>
        </w:rPr>
      </w:pPr>
    </w:p>
    <w:p w14:paraId="26F07C81">
      <w:pPr>
        <w:jc w:val="center"/>
        <w:outlineLvl w:val="9"/>
        <w:rPr>
          <w:rFonts w:hint="eastAsia" w:ascii="仿宋" w:hAnsi="仿宋" w:eastAsia="仿宋" w:cs="仿宋"/>
          <w:b/>
          <w:color w:val="auto"/>
          <w:sz w:val="36"/>
          <w:szCs w:val="36"/>
          <w:highlight w:val="none"/>
        </w:rPr>
      </w:pPr>
    </w:p>
    <w:p w14:paraId="7FA99FCA">
      <w:pPr>
        <w:jc w:val="center"/>
        <w:outlineLvl w:val="9"/>
        <w:rPr>
          <w:rFonts w:hint="eastAsia" w:ascii="仿宋" w:hAnsi="仿宋" w:eastAsia="仿宋" w:cs="仿宋"/>
          <w:b/>
          <w:color w:val="auto"/>
          <w:sz w:val="36"/>
          <w:szCs w:val="36"/>
          <w:highlight w:val="none"/>
        </w:rPr>
      </w:pPr>
    </w:p>
    <w:p w14:paraId="7D177059">
      <w:pPr>
        <w:pStyle w:val="12"/>
        <w:outlineLvl w:val="9"/>
        <w:rPr>
          <w:rFonts w:hint="eastAsia" w:ascii="仿宋" w:hAnsi="仿宋" w:eastAsia="仿宋" w:cs="仿宋"/>
          <w:color w:val="auto"/>
          <w:highlight w:val="none"/>
        </w:rPr>
      </w:pPr>
    </w:p>
    <w:p w14:paraId="34712D43">
      <w:pPr>
        <w:pStyle w:val="2"/>
        <w:bidi w:val="0"/>
        <w:rPr>
          <w:rFonts w:hint="eastAsia" w:ascii="仿宋" w:hAnsi="仿宋" w:eastAsia="仿宋" w:cs="仿宋"/>
          <w:b/>
          <w:color w:val="auto"/>
          <w:szCs w:val="24"/>
          <w:highlight w:val="none"/>
        </w:rPr>
      </w:pPr>
      <w:bookmarkStart w:id="28" w:name="_Toc13311"/>
      <w:r>
        <w:rPr>
          <w:rFonts w:hint="eastAsia"/>
        </w:rPr>
        <w:t>第三章 评标办法</w:t>
      </w:r>
      <w:bookmarkEnd w:id="28"/>
    </w:p>
    <w:p w14:paraId="0D75C1D8">
      <w:pPr>
        <w:keepNext w:val="0"/>
        <w:keepLines w:val="0"/>
        <w:pageBreakBefore w:val="0"/>
        <w:widowControl w:val="0"/>
        <w:kinsoku/>
        <w:wordWrap/>
        <w:overflowPunct/>
        <w:topLinePunct w:val="0"/>
        <w:bidi w:val="0"/>
        <w:adjustRightInd/>
        <w:snapToGrid/>
        <w:spacing w:line="480" w:lineRule="exact"/>
        <w:ind w:left="0" w:leftChars="0"/>
        <w:outlineLvl w:val="1"/>
        <w:rPr>
          <w:rFonts w:hint="eastAsia" w:ascii="仿宋" w:hAnsi="仿宋" w:eastAsia="仿宋" w:cs="仿宋"/>
          <w:b/>
          <w:color w:val="auto"/>
          <w:sz w:val="24"/>
          <w:highlight w:val="none"/>
        </w:rPr>
      </w:pPr>
      <w:bookmarkStart w:id="29" w:name="_Toc17507"/>
      <w:r>
        <w:rPr>
          <w:rFonts w:hint="eastAsia" w:ascii="仿宋" w:hAnsi="仿宋" w:eastAsia="仿宋" w:cs="仿宋"/>
          <w:b/>
          <w:color w:val="auto"/>
          <w:sz w:val="24"/>
          <w:highlight w:val="none"/>
        </w:rPr>
        <w:t>1、评标方法</w:t>
      </w:r>
      <w:bookmarkEnd w:id="29"/>
    </w:p>
    <w:p w14:paraId="30F890C9">
      <w:pPr>
        <w:pStyle w:val="43"/>
        <w:keepNext w:val="0"/>
        <w:keepLines w:val="0"/>
        <w:pageBreakBefore w:val="0"/>
        <w:widowControl w:val="0"/>
        <w:kinsoku/>
        <w:wordWrap/>
        <w:overflowPunct/>
        <w:topLinePunct w:val="0"/>
        <w:bidi w:val="0"/>
        <w:adjustRightInd/>
        <w:snapToGrid/>
        <w:spacing w:line="480" w:lineRule="exact"/>
        <w:ind w:left="0" w:leftChars="0"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1.1本次评标采用</w:t>
      </w:r>
      <w:r>
        <w:rPr>
          <w:rFonts w:hint="eastAsia" w:ascii="仿宋" w:hAnsi="仿宋" w:eastAsia="仿宋" w:cs="仿宋"/>
          <w:b/>
          <w:bCs/>
          <w:color w:val="auto"/>
          <w:sz w:val="24"/>
          <w:highlight w:val="none"/>
          <w:u w:val="single"/>
        </w:rPr>
        <w:t>综合评分法</w:t>
      </w:r>
      <w:r>
        <w:rPr>
          <w:rFonts w:hint="eastAsia" w:ascii="仿宋" w:hAnsi="仿宋" w:eastAsia="仿宋" w:cs="仿宋"/>
          <w:color w:val="auto"/>
          <w:sz w:val="24"/>
          <w:highlight w:val="none"/>
        </w:rPr>
        <w:t>。根据《中华人民共和国政府采购法》、《中华人民共和国政府采购法</w:t>
      </w:r>
      <w:r>
        <w:rPr>
          <w:rFonts w:hint="eastAsia" w:ascii="仿宋" w:hAnsi="仿宋" w:eastAsia="仿宋" w:cs="仿宋"/>
          <w:color w:val="auto"/>
          <w:sz w:val="24"/>
          <w:highlight w:val="none"/>
          <w:lang w:val="en-US" w:eastAsia="zh-CN"/>
        </w:rPr>
        <w:t>实施条例</w:t>
      </w:r>
      <w:r>
        <w:rPr>
          <w:rFonts w:hint="eastAsia" w:ascii="仿宋" w:hAnsi="仿宋" w:eastAsia="仿宋" w:cs="仿宋"/>
          <w:color w:val="auto"/>
          <w:sz w:val="24"/>
          <w:highlight w:val="none"/>
        </w:rPr>
        <w:t>》、《政府采购货物和服务招标投标管理办法》</w:t>
      </w:r>
      <w:r>
        <w:rPr>
          <w:rFonts w:hint="eastAsia" w:ascii="仿宋" w:hAnsi="仿宋" w:eastAsia="仿宋" w:cs="仿宋"/>
          <w:color w:val="auto"/>
          <w:sz w:val="24"/>
          <w:highlight w:val="none"/>
          <w:lang w:eastAsia="zh-CN"/>
        </w:rPr>
        <w:t>（财政部令第87号）</w:t>
      </w:r>
      <w:r>
        <w:rPr>
          <w:rFonts w:hint="eastAsia" w:ascii="仿宋" w:hAnsi="仿宋" w:eastAsia="仿宋" w:cs="仿宋"/>
          <w:color w:val="auto"/>
          <w:sz w:val="24"/>
          <w:highlight w:val="none"/>
        </w:rPr>
        <w:t>中所规定的标准和补充规定等法律法规和有关实施办法。评标委员会将对投标文件提出的</w:t>
      </w:r>
      <w:r>
        <w:rPr>
          <w:rFonts w:hint="eastAsia" w:ascii="仿宋" w:hAnsi="仿宋" w:eastAsia="仿宋" w:cs="仿宋"/>
          <w:color w:val="auto"/>
          <w:sz w:val="24"/>
          <w:highlight w:val="none"/>
          <w:lang w:val="en-US" w:eastAsia="zh-CN"/>
        </w:rPr>
        <w:t>技术参数响应</w:t>
      </w:r>
      <w:r>
        <w:rPr>
          <w:rFonts w:hint="eastAsia" w:ascii="仿宋" w:hAnsi="仿宋" w:eastAsia="仿宋" w:cs="仿宋"/>
          <w:color w:val="auto"/>
          <w:sz w:val="24"/>
          <w:highlight w:val="none"/>
        </w:rPr>
        <w:t>、业绩、售后承诺、投标价格等，能否最大限度的满足招标文件中规定的各项要求和评价标准进行评审和比较。</w:t>
      </w:r>
    </w:p>
    <w:p w14:paraId="339FDEBD">
      <w:pPr>
        <w:keepNext w:val="0"/>
        <w:keepLines w:val="0"/>
        <w:pageBreakBefore w:val="0"/>
        <w:widowControl w:val="0"/>
        <w:kinsoku/>
        <w:wordWrap/>
        <w:overflowPunct/>
        <w:topLinePunct w:val="0"/>
        <w:bidi w:val="0"/>
        <w:adjustRightInd/>
        <w:snapToGrid/>
        <w:spacing w:line="480" w:lineRule="exact"/>
        <w:ind w:left="0" w:leftChars="0"/>
        <w:outlineLvl w:val="1"/>
        <w:rPr>
          <w:rFonts w:hint="eastAsia" w:ascii="仿宋" w:hAnsi="仿宋" w:eastAsia="仿宋" w:cs="仿宋"/>
          <w:b/>
          <w:color w:val="auto"/>
          <w:sz w:val="24"/>
          <w:highlight w:val="none"/>
        </w:rPr>
      </w:pPr>
      <w:bookmarkStart w:id="30" w:name="_Toc29102"/>
      <w:r>
        <w:rPr>
          <w:rFonts w:hint="eastAsia" w:ascii="仿宋" w:hAnsi="仿宋" w:eastAsia="仿宋" w:cs="仿宋"/>
          <w:b/>
          <w:color w:val="auto"/>
          <w:sz w:val="24"/>
          <w:highlight w:val="none"/>
        </w:rPr>
        <w:t>2、评标程序</w:t>
      </w:r>
      <w:bookmarkEnd w:id="30"/>
    </w:p>
    <w:p w14:paraId="2DC2A651">
      <w:pPr>
        <w:keepNext w:val="0"/>
        <w:keepLines w:val="0"/>
        <w:pageBreakBefore w:val="0"/>
        <w:widowControl w:val="0"/>
        <w:kinsoku/>
        <w:wordWrap/>
        <w:overflowPunct/>
        <w:topLinePunct w:val="0"/>
        <w:bidi w:val="0"/>
        <w:adjustRightInd/>
        <w:snapToGrid/>
        <w:spacing w:line="480" w:lineRule="exact"/>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 评标准备；</w:t>
      </w:r>
    </w:p>
    <w:p w14:paraId="431D4D51">
      <w:pPr>
        <w:keepNext w:val="0"/>
        <w:keepLines w:val="0"/>
        <w:pageBreakBefore w:val="0"/>
        <w:widowControl w:val="0"/>
        <w:kinsoku/>
        <w:wordWrap/>
        <w:overflowPunct/>
        <w:topLinePunct w:val="0"/>
        <w:bidi w:val="0"/>
        <w:adjustRightInd/>
        <w:snapToGrid/>
        <w:spacing w:line="480" w:lineRule="exact"/>
        <w:ind w:left="0" w:leftChars="0" w:firstLine="480" w:firstLineChars="20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2.2 </w:t>
      </w:r>
      <w:r>
        <w:rPr>
          <w:rFonts w:hint="eastAsia" w:ascii="仿宋" w:hAnsi="仿宋" w:eastAsia="仿宋" w:cs="仿宋"/>
          <w:color w:val="auto"/>
          <w:sz w:val="24"/>
          <w:highlight w:val="none"/>
          <w:lang w:eastAsia="zh-CN"/>
        </w:rPr>
        <w:t>符合性审查；</w:t>
      </w:r>
    </w:p>
    <w:p w14:paraId="7C7CA212">
      <w:pPr>
        <w:keepNext w:val="0"/>
        <w:keepLines w:val="0"/>
        <w:pageBreakBefore w:val="0"/>
        <w:widowControl w:val="0"/>
        <w:kinsoku/>
        <w:wordWrap/>
        <w:overflowPunct/>
        <w:topLinePunct w:val="0"/>
        <w:bidi w:val="0"/>
        <w:adjustRightInd/>
        <w:snapToGrid/>
        <w:spacing w:line="480" w:lineRule="exact"/>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 澄清说明或补证；</w:t>
      </w:r>
    </w:p>
    <w:p w14:paraId="3609E29A">
      <w:pPr>
        <w:keepNext w:val="0"/>
        <w:keepLines w:val="0"/>
        <w:pageBreakBefore w:val="0"/>
        <w:widowControl w:val="0"/>
        <w:kinsoku/>
        <w:wordWrap/>
        <w:overflowPunct/>
        <w:topLinePunct w:val="0"/>
        <w:bidi w:val="0"/>
        <w:adjustRightInd/>
        <w:snapToGrid/>
        <w:spacing w:line="480" w:lineRule="exact"/>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2.4 详细评审；</w:t>
      </w:r>
    </w:p>
    <w:p w14:paraId="13948209">
      <w:pPr>
        <w:keepNext w:val="0"/>
        <w:keepLines w:val="0"/>
        <w:pageBreakBefore w:val="0"/>
        <w:widowControl w:val="0"/>
        <w:kinsoku/>
        <w:wordWrap/>
        <w:overflowPunct/>
        <w:topLinePunct w:val="0"/>
        <w:bidi w:val="0"/>
        <w:adjustRightInd/>
        <w:snapToGrid/>
        <w:spacing w:line="480" w:lineRule="exact"/>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2.5 推荐中标候选人提交评标报告。</w:t>
      </w:r>
    </w:p>
    <w:p w14:paraId="7CCDAA4E">
      <w:pPr>
        <w:keepNext w:val="0"/>
        <w:keepLines w:val="0"/>
        <w:pageBreakBefore w:val="0"/>
        <w:widowControl w:val="0"/>
        <w:kinsoku/>
        <w:wordWrap/>
        <w:overflowPunct/>
        <w:topLinePunct w:val="0"/>
        <w:bidi w:val="0"/>
        <w:adjustRightInd/>
        <w:snapToGrid/>
        <w:spacing w:line="480" w:lineRule="exact"/>
        <w:ind w:left="0" w:leftChars="0"/>
        <w:outlineLvl w:val="1"/>
        <w:rPr>
          <w:rFonts w:hint="eastAsia" w:ascii="仿宋" w:hAnsi="仿宋" w:eastAsia="仿宋" w:cs="仿宋"/>
          <w:b/>
          <w:color w:val="auto"/>
          <w:sz w:val="24"/>
          <w:highlight w:val="none"/>
        </w:rPr>
      </w:pPr>
      <w:bookmarkStart w:id="31" w:name="_Toc29913"/>
      <w:r>
        <w:rPr>
          <w:rFonts w:hint="eastAsia" w:ascii="仿宋" w:hAnsi="仿宋" w:eastAsia="仿宋" w:cs="仿宋"/>
          <w:b/>
          <w:color w:val="auto"/>
          <w:sz w:val="24"/>
          <w:highlight w:val="none"/>
        </w:rPr>
        <w:t>3、评标准备</w:t>
      </w:r>
      <w:bookmarkEnd w:id="31"/>
    </w:p>
    <w:p w14:paraId="0180C556">
      <w:pPr>
        <w:keepNext w:val="0"/>
        <w:keepLines w:val="0"/>
        <w:pageBreakBefore w:val="0"/>
        <w:widowControl w:val="0"/>
        <w:kinsoku/>
        <w:wordWrap/>
        <w:overflowPunct/>
        <w:topLinePunct w:val="0"/>
        <w:bidi w:val="0"/>
        <w:adjustRightInd/>
        <w:snapToGrid/>
        <w:spacing w:line="480" w:lineRule="exact"/>
        <w:ind w:firstLine="482" w:firstLineChars="200"/>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评标委员会成员由政府采购云平台专家名册中随机抽取的专家</w:t>
      </w:r>
      <w:r>
        <w:rPr>
          <w:rFonts w:hint="eastAsia" w:ascii="仿宋" w:hAnsi="仿宋" w:eastAsia="仿宋" w:cs="仿宋"/>
          <w:b/>
          <w:bCs/>
          <w:color w:val="auto"/>
          <w:sz w:val="24"/>
          <w:highlight w:val="none"/>
          <w:u w:val="single"/>
          <w:lang w:val="en-US" w:eastAsia="zh-CN"/>
        </w:rPr>
        <w:t>5</w:t>
      </w:r>
      <w:r>
        <w:rPr>
          <w:rFonts w:hint="eastAsia" w:ascii="仿宋" w:hAnsi="仿宋" w:eastAsia="仿宋" w:cs="仿宋"/>
          <w:b/>
          <w:bCs/>
          <w:color w:val="auto"/>
          <w:sz w:val="24"/>
          <w:highlight w:val="none"/>
        </w:rPr>
        <w:t>人</w:t>
      </w:r>
      <w:r>
        <w:rPr>
          <w:rFonts w:hint="eastAsia" w:ascii="仿宋" w:hAnsi="仿宋" w:eastAsia="仿宋" w:cs="仿宋"/>
          <w:b/>
          <w:bCs/>
          <w:color w:val="auto"/>
          <w:sz w:val="24"/>
          <w:highlight w:val="none"/>
          <w:lang w:val="en-US" w:eastAsia="zh-CN"/>
        </w:rPr>
        <w:t>及采购人代表</w:t>
      </w:r>
      <w:r>
        <w:rPr>
          <w:rFonts w:hint="eastAsia" w:ascii="仿宋" w:hAnsi="仿宋" w:eastAsia="仿宋" w:cs="仿宋"/>
          <w:b/>
          <w:bCs/>
          <w:color w:val="auto"/>
          <w:sz w:val="24"/>
          <w:highlight w:val="none"/>
          <w:u w:val="single"/>
          <w:lang w:val="en-US" w:eastAsia="zh-CN"/>
        </w:rPr>
        <w:t>0</w:t>
      </w:r>
      <w:r>
        <w:rPr>
          <w:rFonts w:hint="eastAsia" w:ascii="仿宋" w:hAnsi="仿宋" w:eastAsia="仿宋" w:cs="仿宋"/>
          <w:b/>
          <w:bCs/>
          <w:color w:val="auto"/>
          <w:sz w:val="24"/>
          <w:highlight w:val="none"/>
          <w:lang w:val="en-US" w:eastAsia="zh-CN"/>
        </w:rPr>
        <w:t>人共同</w:t>
      </w:r>
      <w:r>
        <w:rPr>
          <w:rFonts w:hint="eastAsia" w:ascii="仿宋" w:hAnsi="仿宋" w:eastAsia="仿宋" w:cs="仿宋"/>
          <w:b/>
          <w:bCs/>
          <w:color w:val="auto"/>
          <w:sz w:val="24"/>
          <w:highlight w:val="none"/>
        </w:rPr>
        <w:t>组成。</w:t>
      </w:r>
      <w:r>
        <w:rPr>
          <w:rFonts w:hint="eastAsia" w:ascii="仿宋" w:hAnsi="仿宋" w:eastAsia="仿宋" w:cs="仿宋"/>
          <w:color w:val="auto"/>
          <w:sz w:val="24"/>
          <w:highlight w:val="none"/>
        </w:rPr>
        <w:t>评标委员会首先推选一名评标委员会组长，原则上评委会组长由专家名册产生，评标委员会组长负责评标活动的组织领导工作。</w:t>
      </w:r>
    </w:p>
    <w:p w14:paraId="06E18DF3">
      <w:pPr>
        <w:keepNext w:val="0"/>
        <w:keepLines w:val="0"/>
        <w:pageBreakBefore w:val="0"/>
        <w:widowControl w:val="0"/>
        <w:kinsoku/>
        <w:wordWrap/>
        <w:overflowPunct/>
        <w:topLinePunct w:val="0"/>
        <w:bidi w:val="0"/>
        <w:adjustRightInd/>
        <w:snapToGrid/>
        <w:spacing w:line="480" w:lineRule="exact"/>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3.1 </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应向评标委员会提供评标所需的信息和数据，包括招标文件、未在开标会上当场拒绝的各投标文件、开标会记录、有关的法律、法规、规章、国家标准以及</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或评标委员会认为必要的其他信息和数据。</w:t>
      </w:r>
    </w:p>
    <w:p w14:paraId="33E9BA38">
      <w:pPr>
        <w:keepNext w:val="0"/>
        <w:keepLines w:val="0"/>
        <w:pageBreakBefore w:val="0"/>
        <w:widowControl w:val="0"/>
        <w:kinsoku/>
        <w:wordWrap/>
        <w:overflowPunct/>
        <w:topLinePunct w:val="0"/>
        <w:bidi w:val="0"/>
        <w:adjustRightInd/>
        <w:snapToGrid/>
        <w:spacing w:line="480" w:lineRule="exact"/>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 评标委员会组长应组织评标委员会成员认真研究招标文件，了解和熟悉招标目的、招标范围、主要合同条件、技术标准和要求、质量标准和</w:t>
      </w:r>
      <w:r>
        <w:rPr>
          <w:rFonts w:hint="eastAsia" w:ascii="仿宋" w:hAnsi="仿宋" w:eastAsia="仿宋" w:cs="仿宋"/>
          <w:color w:val="auto"/>
          <w:sz w:val="24"/>
          <w:highlight w:val="none"/>
          <w:lang w:eastAsia="zh-CN"/>
        </w:rPr>
        <w:t>完成期限</w:t>
      </w:r>
      <w:r>
        <w:rPr>
          <w:rFonts w:hint="eastAsia" w:ascii="仿宋" w:hAnsi="仿宋" w:eastAsia="仿宋" w:cs="仿宋"/>
          <w:color w:val="auto"/>
          <w:sz w:val="24"/>
          <w:highlight w:val="none"/>
        </w:rPr>
        <w:t>要求等，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14:paraId="7E0FA5B4">
      <w:pPr>
        <w:keepNext w:val="0"/>
        <w:keepLines w:val="0"/>
        <w:pageBreakBefore w:val="0"/>
        <w:widowControl w:val="0"/>
        <w:kinsoku/>
        <w:wordWrap/>
        <w:overflowPunct/>
        <w:topLinePunct w:val="0"/>
        <w:bidi w:val="0"/>
        <w:adjustRightInd/>
        <w:snapToGrid/>
        <w:spacing w:line="480" w:lineRule="exact"/>
        <w:ind w:left="0" w:leftChars="0"/>
        <w:outlineLvl w:val="1"/>
        <w:rPr>
          <w:rFonts w:hint="eastAsia" w:ascii="仿宋" w:hAnsi="仿宋" w:eastAsia="仿宋" w:cs="仿宋"/>
          <w:b/>
          <w:color w:val="auto"/>
          <w:sz w:val="24"/>
          <w:highlight w:val="none"/>
        </w:rPr>
      </w:pPr>
      <w:bookmarkStart w:id="32" w:name="_Toc5860"/>
      <w:r>
        <w:rPr>
          <w:rFonts w:hint="eastAsia" w:ascii="仿宋" w:hAnsi="仿宋" w:eastAsia="仿宋" w:cs="仿宋"/>
          <w:b/>
          <w:color w:val="auto"/>
          <w:sz w:val="24"/>
          <w:highlight w:val="none"/>
        </w:rPr>
        <w:t>4、评审</w:t>
      </w:r>
      <w:bookmarkEnd w:id="32"/>
      <w:r>
        <w:rPr>
          <w:rFonts w:hint="eastAsia" w:ascii="仿宋" w:hAnsi="仿宋" w:eastAsia="仿宋" w:cs="仿宋"/>
          <w:b/>
          <w:color w:val="auto"/>
          <w:sz w:val="24"/>
          <w:highlight w:val="none"/>
        </w:rPr>
        <w:t xml:space="preserve">  </w:t>
      </w:r>
    </w:p>
    <w:p w14:paraId="09EB3CB9">
      <w:pPr>
        <w:keepNext w:val="0"/>
        <w:keepLines w:val="0"/>
        <w:pageBreakBefore w:val="0"/>
        <w:widowControl w:val="0"/>
        <w:kinsoku/>
        <w:wordWrap/>
        <w:overflowPunct/>
        <w:topLinePunct w:val="0"/>
        <w:bidi w:val="0"/>
        <w:adjustRightInd/>
        <w:snapToGrid/>
        <w:spacing w:line="480" w:lineRule="exact"/>
        <w:ind w:left="0" w:leftChars="0" w:firstLine="472" w:firstLineChars="196"/>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4.1 </w:t>
      </w:r>
      <w:r>
        <w:rPr>
          <w:rFonts w:hint="eastAsia" w:ascii="仿宋" w:hAnsi="仿宋" w:eastAsia="仿宋" w:cs="仿宋"/>
          <w:b/>
          <w:color w:val="auto"/>
          <w:sz w:val="24"/>
          <w:highlight w:val="none"/>
          <w:lang w:eastAsia="zh-CN"/>
        </w:rPr>
        <w:t>符合性审查</w:t>
      </w:r>
      <w:r>
        <w:rPr>
          <w:rFonts w:hint="eastAsia" w:ascii="仿宋" w:hAnsi="仿宋" w:eastAsia="仿宋" w:cs="仿宋"/>
          <w:b/>
          <w:color w:val="auto"/>
          <w:sz w:val="24"/>
          <w:highlight w:val="none"/>
        </w:rPr>
        <w:t>“详见附表一”</w:t>
      </w:r>
      <w:r>
        <w:rPr>
          <w:rFonts w:hint="eastAsia" w:ascii="仿宋" w:hAnsi="仿宋" w:eastAsia="仿宋" w:cs="仿宋"/>
          <w:color w:val="auto"/>
          <w:sz w:val="24"/>
          <w:highlight w:val="none"/>
        </w:rPr>
        <w:t xml:space="preserve"> </w:t>
      </w:r>
    </w:p>
    <w:p w14:paraId="744AAE1F">
      <w:pPr>
        <w:keepNext w:val="0"/>
        <w:keepLines w:val="0"/>
        <w:pageBreakBefore w:val="0"/>
        <w:widowControl w:val="0"/>
        <w:kinsoku/>
        <w:wordWrap/>
        <w:overflowPunct/>
        <w:topLinePunct w:val="0"/>
        <w:bidi w:val="0"/>
        <w:adjustRightInd/>
        <w:snapToGrid/>
        <w:spacing w:line="480" w:lineRule="exact"/>
        <w:ind w:left="0" w:leftChars="0" w:firstLine="472" w:firstLineChars="196"/>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 详细评审标准</w:t>
      </w:r>
    </w:p>
    <w:p w14:paraId="7F329B97">
      <w:pPr>
        <w:keepNext w:val="0"/>
        <w:keepLines w:val="0"/>
        <w:pageBreakBefore w:val="0"/>
        <w:widowControl w:val="0"/>
        <w:kinsoku/>
        <w:wordWrap/>
        <w:overflowPunct/>
        <w:topLinePunct w:val="0"/>
        <w:autoSpaceDE w:val="0"/>
        <w:autoSpaceDN w:val="0"/>
        <w:bidi w:val="0"/>
        <w:adjustRightInd/>
        <w:snapToGrid/>
        <w:spacing w:line="480" w:lineRule="exact"/>
        <w:ind w:left="0" w:leftChars="0"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评标委员会成员将采用综合评估法对投标文件经济和商务、技术部分进行详细评审、比较。</w:t>
      </w:r>
    </w:p>
    <w:p w14:paraId="56FA72C2">
      <w:pPr>
        <w:keepNext w:val="0"/>
        <w:keepLines w:val="0"/>
        <w:pageBreakBefore w:val="0"/>
        <w:widowControl w:val="0"/>
        <w:kinsoku/>
        <w:wordWrap/>
        <w:overflowPunct/>
        <w:topLinePunct w:val="0"/>
        <w:autoSpaceDE w:val="0"/>
        <w:autoSpaceDN w:val="0"/>
        <w:bidi w:val="0"/>
        <w:adjustRightInd/>
        <w:snapToGrid/>
        <w:spacing w:line="480" w:lineRule="exact"/>
        <w:ind w:left="0" w:leftChars="0" w:firstLine="472" w:firstLineChars="196"/>
        <w:jc w:val="left"/>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商务、技术部分评审</w:t>
      </w:r>
    </w:p>
    <w:p w14:paraId="0B7D189F">
      <w:pPr>
        <w:keepNext w:val="0"/>
        <w:keepLines w:val="0"/>
        <w:pageBreakBefore w:val="0"/>
        <w:widowControl w:val="0"/>
        <w:kinsoku/>
        <w:wordWrap/>
        <w:overflowPunct/>
        <w:topLinePunct w:val="0"/>
        <w:autoSpaceDE w:val="0"/>
        <w:autoSpaceDN w:val="0"/>
        <w:bidi w:val="0"/>
        <w:adjustRightInd/>
        <w:snapToGrid/>
        <w:spacing w:line="480" w:lineRule="exact"/>
        <w:ind w:left="0" w:leftChars="0"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按照招标文件要求对投标文件进行评审</w:t>
      </w:r>
      <w:r>
        <w:rPr>
          <w:rFonts w:hint="eastAsia" w:ascii="仿宋" w:hAnsi="仿宋" w:eastAsia="仿宋" w:cs="仿宋"/>
          <w:b/>
          <w:color w:val="auto"/>
          <w:sz w:val="24"/>
          <w:highlight w:val="none"/>
        </w:rPr>
        <w:t>（评审标准详附表二</w:t>
      </w:r>
      <w:r>
        <w:rPr>
          <w:rFonts w:hint="eastAsia" w:ascii="仿宋" w:hAnsi="仿宋" w:eastAsia="仿宋" w:cs="仿宋"/>
          <w:color w:val="auto"/>
          <w:sz w:val="24"/>
          <w:highlight w:val="none"/>
        </w:rPr>
        <w:t>）</w:t>
      </w:r>
    </w:p>
    <w:p w14:paraId="07A960F1">
      <w:pPr>
        <w:keepNext w:val="0"/>
        <w:keepLines w:val="0"/>
        <w:pageBreakBefore w:val="0"/>
        <w:widowControl w:val="0"/>
        <w:kinsoku/>
        <w:wordWrap/>
        <w:overflowPunct/>
        <w:topLinePunct w:val="0"/>
        <w:bidi w:val="0"/>
        <w:adjustRightInd/>
        <w:snapToGrid/>
        <w:spacing w:line="480" w:lineRule="exact"/>
        <w:ind w:left="0" w:leftChars="0" w:firstLine="451" w:firstLineChars="187"/>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4.2.2 经济部分评审</w:t>
      </w:r>
    </w:p>
    <w:p w14:paraId="4916610C">
      <w:pPr>
        <w:keepNext w:val="0"/>
        <w:keepLines w:val="0"/>
        <w:pageBreakBefore w:val="0"/>
        <w:widowControl w:val="0"/>
        <w:kinsoku/>
        <w:wordWrap/>
        <w:overflowPunct/>
        <w:topLinePunct w:val="0"/>
        <w:autoSpaceDE w:val="0"/>
        <w:autoSpaceDN w:val="0"/>
        <w:bidi w:val="0"/>
        <w:adjustRightInd/>
        <w:snapToGrid/>
        <w:spacing w:line="480" w:lineRule="exact"/>
        <w:ind w:left="0" w:leftChars="0" w:firstLine="472" w:firstLineChars="196"/>
        <w:outlineLvl w:val="9"/>
        <w:rPr>
          <w:rFonts w:hint="eastAsia" w:ascii="仿宋" w:hAnsi="仿宋" w:eastAsia="仿宋" w:cs="仿宋"/>
          <w:color w:val="auto"/>
          <w:kern w:val="0"/>
          <w:sz w:val="24"/>
          <w:highlight w:val="none"/>
          <w:lang w:val="zh-CN"/>
        </w:rPr>
      </w:pPr>
      <w:r>
        <w:rPr>
          <w:rFonts w:hint="eastAsia" w:ascii="仿宋" w:hAnsi="仿宋" w:eastAsia="仿宋" w:cs="仿宋"/>
          <w:b/>
          <w:bCs/>
          <w:color w:val="auto"/>
          <w:sz w:val="24"/>
          <w:highlight w:val="none"/>
        </w:rPr>
        <w:t>经济部分评标主要因素：报价。</w:t>
      </w:r>
      <w:r>
        <w:rPr>
          <w:rFonts w:hint="eastAsia" w:ascii="仿宋" w:hAnsi="仿宋" w:eastAsia="仿宋" w:cs="仿宋"/>
          <w:color w:val="auto"/>
          <w:kern w:val="0"/>
          <w:sz w:val="24"/>
          <w:highlight w:val="none"/>
        </w:rPr>
        <w:t>报价得分采用低价优先法计算，即满足招标文件要求且投标价格最低的投标报价为评标基准价，其价格分为满分。</w:t>
      </w:r>
      <w:r>
        <w:rPr>
          <w:rFonts w:hint="eastAsia" w:ascii="仿宋" w:hAnsi="仿宋" w:eastAsia="仿宋" w:cs="仿宋"/>
          <w:color w:val="auto"/>
          <w:sz w:val="24"/>
          <w:highlight w:val="none"/>
        </w:rPr>
        <w:t>评委按照招标文件要求对投标文件进行评审：</w:t>
      </w:r>
      <w:r>
        <w:rPr>
          <w:rFonts w:hint="eastAsia" w:ascii="仿宋" w:hAnsi="仿宋" w:eastAsia="仿宋" w:cs="仿宋"/>
          <w:color w:val="auto"/>
          <w:kern w:val="0"/>
          <w:sz w:val="24"/>
          <w:highlight w:val="none"/>
          <w:lang w:val="zh-CN"/>
        </w:rPr>
        <w:t>投标报价＝经评审后的投标报价。</w:t>
      </w:r>
      <w:bookmarkStart w:id="33" w:name="OLE_LINK2"/>
    </w:p>
    <w:p w14:paraId="6EE3638F">
      <w:pPr>
        <w:keepNext w:val="0"/>
        <w:keepLines w:val="0"/>
        <w:pageBreakBefore w:val="0"/>
        <w:widowControl w:val="0"/>
        <w:kinsoku/>
        <w:wordWrap/>
        <w:overflowPunct/>
        <w:topLinePunct w:val="0"/>
        <w:autoSpaceDE w:val="0"/>
        <w:autoSpaceDN w:val="0"/>
        <w:bidi w:val="0"/>
        <w:adjustRightInd/>
        <w:snapToGrid/>
        <w:spacing w:line="480" w:lineRule="exact"/>
        <w:ind w:left="0" w:leftChars="0" w:firstLine="480" w:firstLineChars="20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4.2.2.1</w:t>
      </w:r>
      <w:bookmarkEnd w:id="33"/>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评标基准价的计算</w:t>
      </w:r>
    </w:p>
    <w:p w14:paraId="34AC1FC7">
      <w:pPr>
        <w:keepNext w:val="0"/>
        <w:keepLines w:val="0"/>
        <w:pageBreakBefore w:val="0"/>
        <w:widowControl w:val="0"/>
        <w:kinsoku/>
        <w:wordWrap/>
        <w:overflowPunct/>
        <w:topLinePunct w:val="0"/>
        <w:autoSpaceDE w:val="0"/>
        <w:autoSpaceDN w:val="0"/>
        <w:bidi w:val="0"/>
        <w:adjustRightInd/>
        <w:snapToGrid/>
        <w:spacing w:line="480" w:lineRule="exact"/>
        <w:ind w:left="0" w:leftChars="0" w:firstLine="482" w:firstLineChars="20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zh-CN"/>
        </w:rPr>
        <w:t>评标基准价=</w:t>
      </w:r>
      <w:r>
        <w:rPr>
          <w:rFonts w:hint="eastAsia" w:ascii="仿宋" w:hAnsi="仿宋" w:eastAsia="仿宋" w:cs="仿宋"/>
          <w:b/>
          <w:bCs/>
          <w:color w:val="auto"/>
          <w:sz w:val="24"/>
          <w:highlight w:val="none"/>
        </w:rPr>
        <w:t>有效报价的最低价</w:t>
      </w:r>
      <w:bookmarkStart w:id="34" w:name="OLE_LINK3"/>
    </w:p>
    <w:bookmarkEnd w:id="34"/>
    <w:p w14:paraId="7088AC5C">
      <w:pPr>
        <w:keepNext w:val="0"/>
        <w:keepLines w:val="0"/>
        <w:pageBreakBefore w:val="0"/>
        <w:widowControl w:val="0"/>
        <w:kinsoku/>
        <w:wordWrap/>
        <w:overflowPunct/>
        <w:topLinePunct w:val="0"/>
        <w:autoSpaceDE w:val="0"/>
        <w:autoSpaceDN w:val="0"/>
        <w:bidi w:val="0"/>
        <w:adjustRightInd/>
        <w:snapToGrid/>
        <w:spacing w:line="480" w:lineRule="exact"/>
        <w:ind w:left="0" w:leftChars="0" w:firstLine="482" w:firstLineChars="200"/>
        <w:textAlignment w:val="auto"/>
        <w:outlineLvl w:val="9"/>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rPr>
        <w:t>4.2.2.2 投标报价得分=(评标基准价／投标报价</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×100×</w:t>
      </w:r>
      <w:r>
        <w:rPr>
          <w:rFonts w:hint="eastAsia" w:ascii="仿宋" w:hAnsi="仿宋" w:eastAsia="仿宋" w:cs="仿宋"/>
          <w:b/>
          <w:bCs/>
          <w:color w:val="auto"/>
          <w:sz w:val="24"/>
          <w:highlight w:val="none"/>
          <w:lang w:val="en-US" w:eastAsia="zh-CN"/>
        </w:rPr>
        <w:t>30</w:t>
      </w:r>
      <w:r>
        <w:rPr>
          <w:rFonts w:hint="eastAsia" w:ascii="仿宋" w:hAnsi="仿宋" w:eastAsia="仿宋" w:cs="仿宋"/>
          <w:b/>
          <w:bCs/>
          <w:color w:val="auto"/>
          <w:sz w:val="24"/>
          <w:highlight w:val="none"/>
        </w:rPr>
        <w:t>%</w:t>
      </w:r>
    </w:p>
    <w:p w14:paraId="2D03F233">
      <w:pPr>
        <w:keepNext w:val="0"/>
        <w:keepLines w:val="0"/>
        <w:pageBreakBefore w:val="0"/>
        <w:widowControl w:val="0"/>
        <w:kinsoku/>
        <w:wordWrap/>
        <w:overflowPunct/>
        <w:topLinePunct w:val="0"/>
        <w:autoSpaceDE w:val="0"/>
        <w:autoSpaceDN w:val="0"/>
        <w:bidi w:val="0"/>
        <w:adjustRightInd/>
        <w:snapToGrid/>
        <w:spacing w:line="480" w:lineRule="exact"/>
        <w:ind w:left="0" w:leftChars="0" w:firstLine="482" w:firstLineChars="200"/>
        <w:textAlignment w:val="auto"/>
        <w:outlineLvl w:val="9"/>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评分分值计算保留小数点后两位，小数点后三位“四舍五入”。</w:t>
      </w:r>
    </w:p>
    <w:p w14:paraId="5DD18980">
      <w:pPr>
        <w:keepNext w:val="0"/>
        <w:keepLines w:val="0"/>
        <w:pageBreakBefore w:val="0"/>
        <w:widowControl w:val="0"/>
        <w:kinsoku/>
        <w:wordWrap/>
        <w:overflowPunct/>
        <w:topLinePunct w:val="0"/>
        <w:autoSpaceDE w:val="0"/>
        <w:autoSpaceDN w:val="0"/>
        <w:bidi w:val="0"/>
        <w:adjustRightInd/>
        <w:snapToGrid/>
        <w:spacing w:line="480" w:lineRule="exact"/>
        <w:ind w:left="0" w:leftChars="0" w:firstLine="482"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b/>
          <w:bCs/>
          <w:color w:val="auto"/>
          <w:sz w:val="24"/>
          <w:highlight w:val="none"/>
          <w:lang w:val="zh-CN"/>
        </w:rPr>
        <w:t>投标报价得分扣完为止，最低得分为零分。</w:t>
      </w:r>
    </w:p>
    <w:p w14:paraId="6FED658D">
      <w:pPr>
        <w:keepNext w:val="0"/>
        <w:keepLines w:val="0"/>
        <w:pageBreakBefore w:val="0"/>
        <w:widowControl w:val="0"/>
        <w:kinsoku/>
        <w:wordWrap/>
        <w:overflowPunct/>
        <w:topLinePunct w:val="0"/>
        <w:bidi w:val="0"/>
        <w:adjustRightInd/>
        <w:snapToGrid/>
        <w:spacing w:line="480" w:lineRule="exact"/>
        <w:ind w:left="0" w:leftChars="0" w:firstLine="472" w:firstLineChars="196"/>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4.2.3  K1经济部分（报价）、K2(商务</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技术</w:t>
      </w:r>
      <w:r>
        <w:rPr>
          <w:rFonts w:hint="eastAsia" w:ascii="仿宋" w:hAnsi="仿宋" w:eastAsia="仿宋" w:cs="仿宋"/>
          <w:b/>
          <w:color w:val="auto"/>
          <w:sz w:val="24"/>
          <w:highlight w:val="none"/>
        </w:rPr>
        <w:t>部分</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权重取值范围：K1=</w:t>
      </w:r>
      <w:r>
        <w:rPr>
          <w:rFonts w:hint="eastAsia" w:ascii="仿宋" w:hAnsi="仿宋" w:eastAsia="仿宋" w:cs="仿宋"/>
          <w:b/>
          <w:color w:val="auto"/>
          <w:sz w:val="24"/>
          <w:highlight w:val="none"/>
          <w:lang w:val="en-US" w:eastAsia="zh-CN"/>
        </w:rPr>
        <w:t>30</w:t>
      </w:r>
      <w:r>
        <w:rPr>
          <w:rFonts w:hint="eastAsia" w:ascii="仿宋" w:hAnsi="仿宋" w:eastAsia="仿宋" w:cs="仿宋"/>
          <w:b/>
          <w:color w:val="auto"/>
          <w:sz w:val="24"/>
          <w:highlight w:val="none"/>
        </w:rPr>
        <w:t>%，K2=</w:t>
      </w:r>
      <w:r>
        <w:rPr>
          <w:rFonts w:hint="eastAsia" w:ascii="仿宋" w:hAnsi="仿宋" w:eastAsia="仿宋" w:cs="仿宋"/>
          <w:b/>
          <w:color w:val="auto"/>
          <w:sz w:val="24"/>
          <w:highlight w:val="none"/>
          <w:lang w:val="en-US" w:eastAsia="zh-CN"/>
        </w:rPr>
        <w:t>70</w:t>
      </w:r>
      <w:r>
        <w:rPr>
          <w:rFonts w:hint="eastAsia" w:ascii="仿宋" w:hAnsi="仿宋" w:eastAsia="仿宋" w:cs="仿宋"/>
          <w:b/>
          <w:color w:val="auto"/>
          <w:sz w:val="24"/>
          <w:highlight w:val="none"/>
        </w:rPr>
        <w:t>%，且K1+K2=1。</w:t>
      </w:r>
    </w:p>
    <w:p w14:paraId="2A67BB28">
      <w:pPr>
        <w:keepNext w:val="0"/>
        <w:keepLines w:val="0"/>
        <w:pageBreakBefore w:val="0"/>
        <w:widowControl w:val="0"/>
        <w:kinsoku/>
        <w:wordWrap/>
        <w:overflowPunct/>
        <w:topLinePunct w:val="0"/>
        <w:bidi w:val="0"/>
        <w:adjustRightInd/>
        <w:snapToGrid/>
        <w:spacing w:line="480" w:lineRule="exact"/>
        <w:ind w:left="0" w:leftChars="0" w:firstLine="472" w:firstLineChars="196"/>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4.3 投标文件的澄清和补正</w:t>
      </w:r>
    </w:p>
    <w:p w14:paraId="45085D62">
      <w:pPr>
        <w:keepNext w:val="0"/>
        <w:keepLines w:val="0"/>
        <w:pageBreakBefore w:val="0"/>
        <w:widowControl w:val="0"/>
        <w:kinsoku/>
        <w:wordWrap/>
        <w:overflowPunct/>
        <w:topLinePunct w:val="0"/>
        <w:bidi w:val="0"/>
        <w:adjustRightInd/>
        <w:snapToGrid/>
        <w:spacing w:line="480" w:lineRule="exact"/>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4.3.1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的实质性内容。拒不按照要求对投标文件进行澄清、说明或者补正的，评标委员会可以否决其投标，作</w:t>
      </w:r>
      <w:r>
        <w:rPr>
          <w:rFonts w:hint="eastAsia" w:ascii="仿宋" w:hAnsi="仿宋" w:eastAsia="仿宋" w:cs="仿宋"/>
          <w:color w:val="auto"/>
          <w:sz w:val="24"/>
          <w:highlight w:val="none"/>
          <w:lang w:val="en-US" w:eastAsia="zh-CN"/>
        </w:rPr>
        <w:t>无效标</w:t>
      </w:r>
      <w:r>
        <w:rPr>
          <w:rFonts w:hint="eastAsia" w:ascii="仿宋" w:hAnsi="仿宋" w:eastAsia="仿宋" w:cs="仿宋"/>
          <w:color w:val="auto"/>
          <w:sz w:val="24"/>
          <w:highlight w:val="none"/>
        </w:rPr>
        <w:t>处理。评标委员会不接受投标人主动提出的澄清、说明或补正。</w:t>
      </w:r>
    </w:p>
    <w:p w14:paraId="67D9676C">
      <w:pPr>
        <w:keepNext w:val="0"/>
        <w:keepLines w:val="0"/>
        <w:pageBreakBefore w:val="0"/>
        <w:widowControl w:val="0"/>
        <w:kinsoku/>
        <w:wordWrap/>
        <w:overflowPunct/>
        <w:topLinePunct w:val="0"/>
        <w:bidi w:val="0"/>
        <w:adjustRightInd/>
        <w:snapToGrid/>
        <w:spacing w:line="480" w:lineRule="exact"/>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4.3.2 澄清、说明和补正不得改变投标文件的实质性内容（算术性错误修正的除外）。投标人的书面澄清、说明和补正属于投标文件的组成部分。</w:t>
      </w:r>
    </w:p>
    <w:p w14:paraId="5A2BAB24">
      <w:pPr>
        <w:keepNext w:val="0"/>
        <w:keepLines w:val="0"/>
        <w:pageBreakBefore w:val="0"/>
        <w:widowControl w:val="0"/>
        <w:kinsoku/>
        <w:wordWrap/>
        <w:overflowPunct/>
        <w:topLinePunct w:val="0"/>
        <w:bidi w:val="0"/>
        <w:adjustRightInd/>
        <w:snapToGrid/>
        <w:spacing w:line="480" w:lineRule="exact"/>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4.3.3 评标委员会对投标人提交的澄清、说明或补正有疑问的，可以要求投标人进一步澄清、说明或补正，直至满足评标委员会的要求。</w:t>
      </w:r>
    </w:p>
    <w:p w14:paraId="04EE7601">
      <w:pPr>
        <w:keepNext w:val="0"/>
        <w:keepLines w:val="0"/>
        <w:pageBreakBefore w:val="0"/>
        <w:widowControl w:val="0"/>
        <w:kinsoku/>
        <w:wordWrap/>
        <w:overflowPunct/>
        <w:topLinePunct w:val="0"/>
        <w:bidi w:val="0"/>
        <w:adjustRightInd/>
        <w:snapToGrid/>
        <w:spacing w:line="480" w:lineRule="exact"/>
        <w:ind w:left="0" w:leftChars="0" w:firstLine="470" w:firstLineChars="195"/>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4.4 评标结果</w:t>
      </w:r>
    </w:p>
    <w:p w14:paraId="506F6EAF">
      <w:pPr>
        <w:keepNext w:val="0"/>
        <w:keepLines w:val="0"/>
        <w:pageBreakBefore w:val="0"/>
        <w:widowControl w:val="0"/>
        <w:kinsoku/>
        <w:wordWrap/>
        <w:overflowPunct/>
        <w:topLinePunct w:val="0"/>
        <w:bidi w:val="0"/>
        <w:adjustRightInd/>
        <w:snapToGrid/>
        <w:spacing w:line="480" w:lineRule="exact"/>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4.4.1评标委员会通过评标办法以得分由高到低确定出前三名作为中标候选人推荐给</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。得分相同的，按最终报价由低到高顺序排列。得分且投标报价相同的，由</w:t>
      </w:r>
      <w:r>
        <w:rPr>
          <w:rFonts w:hint="eastAsia" w:ascii="仿宋" w:hAnsi="仿宋" w:eastAsia="仿宋" w:cs="仿宋"/>
          <w:color w:val="auto"/>
          <w:sz w:val="24"/>
          <w:highlight w:val="none"/>
          <w:lang w:val="en-US" w:eastAsia="zh-CN"/>
        </w:rPr>
        <w:t>评标委员会</w:t>
      </w:r>
      <w:r>
        <w:rPr>
          <w:rFonts w:hint="eastAsia" w:ascii="仿宋" w:hAnsi="仿宋" w:eastAsia="仿宋" w:cs="仿宋"/>
          <w:color w:val="auto"/>
          <w:sz w:val="24"/>
          <w:highlight w:val="none"/>
        </w:rPr>
        <w:t>按照少数服从多数原则现场投票表决或现场随机抽取确定排序。</w:t>
      </w:r>
    </w:p>
    <w:p w14:paraId="4B2F2AE6">
      <w:pPr>
        <w:keepNext w:val="0"/>
        <w:keepLines w:val="0"/>
        <w:pageBreakBefore w:val="0"/>
        <w:widowControl w:val="0"/>
        <w:kinsoku/>
        <w:wordWrap/>
        <w:overflowPunct/>
        <w:topLinePunct w:val="0"/>
        <w:bidi w:val="0"/>
        <w:adjustRightInd/>
        <w:snapToGrid/>
        <w:spacing w:line="480" w:lineRule="exact"/>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4.4.</w:t>
      </w:r>
      <w:r>
        <w:rPr>
          <w:rFonts w:hint="eastAsia" w:ascii="仿宋" w:hAnsi="仿宋" w:eastAsia="仿宋" w:cs="仿宋"/>
          <w:color w:val="auto"/>
          <w:sz w:val="24"/>
          <w:highlight w:val="none"/>
          <w:lang w:val="en-US" w:eastAsia="zh-CN"/>
        </w:rPr>
        <w:t xml:space="preserve">2 </w:t>
      </w:r>
      <w:r>
        <w:rPr>
          <w:rFonts w:hint="eastAsia" w:ascii="仿宋" w:hAnsi="仿宋" w:eastAsia="仿宋" w:cs="仿宋"/>
          <w:color w:val="auto"/>
          <w:sz w:val="24"/>
          <w:highlight w:val="none"/>
        </w:rPr>
        <w:t>依法必须招标的项目，</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应当确定排名第一的中标候选人为中标人。排名第一的中标候选人放弃中标、因不可抗力提出不能履行合同，或者招标文件规定应当提交履约保证金而在规定的期限内未能提交的，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可以确定排名第二的中标候选人为中标人。排名第二的中标候选人因前款确定的同样原因不能签订合同的，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可以确定排名前三的中标候选人为中标人。</w:t>
      </w:r>
      <w:r>
        <w:rPr>
          <w:rFonts w:hint="eastAsia" w:ascii="仿宋" w:hAnsi="仿宋" w:eastAsia="仿宋" w:cs="仿宋"/>
          <w:color w:val="auto"/>
          <w:sz w:val="24"/>
          <w:highlight w:val="none"/>
          <w:lang w:val="en-US" w:eastAsia="zh-CN"/>
        </w:rPr>
        <w:t>也可重新招标。</w:t>
      </w:r>
    </w:p>
    <w:p w14:paraId="6F2B6AC0">
      <w:pPr>
        <w:keepNext w:val="0"/>
        <w:keepLines w:val="0"/>
        <w:pageBreakBefore w:val="0"/>
        <w:widowControl w:val="0"/>
        <w:kinsoku/>
        <w:wordWrap/>
        <w:overflowPunct/>
        <w:topLinePunct w:val="0"/>
        <w:bidi w:val="0"/>
        <w:adjustRightInd/>
        <w:snapToGrid/>
        <w:spacing w:line="480" w:lineRule="exact"/>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评标委员会完成评标后，应当向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提交书面评标报告。</w:t>
      </w:r>
    </w:p>
    <w:p w14:paraId="622C18AC">
      <w:pPr>
        <w:keepNext w:val="0"/>
        <w:keepLines w:val="0"/>
        <w:pageBreakBefore w:val="0"/>
        <w:widowControl w:val="0"/>
        <w:kinsoku/>
        <w:wordWrap/>
        <w:overflowPunct/>
        <w:topLinePunct w:val="0"/>
        <w:bidi w:val="0"/>
        <w:adjustRightInd/>
        <w:snapToGrid/>
        <w:spacing w:line="480" w:lineRule="exact"/>
        <w:ind w:left="0" w:leftChars="0"/>
        <w:outlineLvl w:val="1"/>
        <w:rPr>
          <w:rFonts w:hint="eastAsia" w:ascii="仿宋" w:hAnsi="仿宋" w:eastAsia="仿宋" w:cs="仿宋"/>
          <w:b w:val="0"/>
          <w:bCs/>
          <w:color w:val="auto"/>
          <w:sz w:val="24"/>
          <w:highlight w:val="none"/>
          <w:lang w:val="en-US" w:eastAsia="zh-CN"/>
        </w:rPr>
      </w:pPr>
      <w:bookmarkStart w:id="35" w:name="_Toc2059"/>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投标无效的情形</w:t>
      </w:r>
      <w:bookmarkEnd w:id="35"/>
    </w:p>
    <w:p w14:paraId="57FBA4A0">
      <w:pPr>
        <w:keepNext w:val="0"/>
        <w:keepLines w:val="0"/>
        <w:pageBreakBefore w:val="0"/>
        <w:widowControl w:val="0"/>
        <w:kinsoku/>
        <w:wordWrap/>
        <w:overflowPunct/>
        <w:topLinePunct w:val="0"/>
        <w:bidi w:val="0"/>
        <w:adjustRightInd/>
        <w:snapToGrid/>
        <w:spacing w:line="480" w:lineRule="exact"/>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5.1 投标人或其投标文件有下列情形之一的，其投标作</w:t>
      </w:r>
      <w:r>
        <w:rPr>
          <w:rFonts w:hint="eastAsia" w:ascii="仿宋" w:hAnsi="仿宋" w:eastAsia="仿宋" w:cs="仿宋"/>
          <w:color w:val="auto"/>
          <w:sz w:val="24"/>
          <w:highlight w:val="none"/>
          <w:lang w:val="en-US" w:eastAsia="zh-CN"/>
        </w:rPr>
        <w:t>无效标</w:t>
      </w:r>
      <w:r>
        <w:rPr>
          <w:rFonts w:hint="eastAsia" w:ascii="仿宋" w:hAnsi="仿宋" w:eastAsia="仿宋" w:cs="仿宋"/>
          <w:color w:val="auto"/>
          <w:sz w:val="24"/>
          <w:highlight w:val="none"/>
        </w:rPr>
        <w:t>处理：</w:t>
      </w:r>
    </w:p>
    <w:p w14:paraId="55B7E1AC">
      <w:pPr>
        <w:keepNext w:val="0"/>
        <w:keepLines w:val="0"/>
        <w:pageBreakBefore w:val="0"/>
        <w:widowControl w:val="0"/>
        <w:kinsoku/>
        <w:wordWrap/>
        <w:overflowPunct/>
        <w:topLinePunct w:val="0"/>
        <w:bidi w:val="0"/>
        <w:adjustRightInd/>
        <w:snapToGrid/>
        <w:spacing w:line="48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5.1 投标人或其投标文件有下列情形之一的，其投标作</w:t>
      </w:r>
      <w:r>
        <w:rPr>
          <w:rFonts w:hint="eastAsia" w:ascii="仿宋" w:hAnsi="仿宋" w:eastAsia="仿宋" w:cs="仿宋"/>
          <w:color w:val="auto"/>
          <w:sz w:val="24"/>
          <w:highlight w:val="none"/>
          <w:lang w:val="en-US" w:eastAsia="zh-CN"/>
        </w:rPr>
        <w:t>无效标</w:t>
      </w:r>
      <w:r>
        <w:rPr>
          <w:rFonts w:hint="eastAsia" w:ascii="仿宋" w:hAnsi="仿宋" w:eastAsia="仿宋" w:cs="仿宋"/>
          <w:color w:val="auto"/>
          <w:sz w:val="24"/>
          <w:highlight w:val="none"/>
        </w:rPr>
        <w:t>处理：</w:t>
      </w:r>
    </w:p>
    <w:p w14:paraId="37ED8C48">
      <w:pPr>
        <w:keepNext w:val="0"/>
        <w:keepLines w:val="0"/>
        <w:pageBreakBefore w:val="0"/>
        <w:widowControl w:val="0"/>
        <w:kinsoku/>
        <w:wordWrap/>
        <w:overflowPunct/>
        <w:topLinePunct w:val="0"/>
        <w:bidi w:val="0"/>
        <w:adjustRightInd/>
        <w:snapToGrid/>
        <w:spacing w:line="480" w:lineRule="exact"/>
        <w:ind w:left="0" w:leftChars="0" w:firstLine="482" w:firstLineChars="20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（1）串通投标或弄虚作假或有其他违法行为的；</w:t>
      </w:r>
    </w:p>
    <w:p w14:paraId="152B9766">
      <w:pPr>
        <w:keepNext w:val="0"/>
        <w:keepLines w:val="0"/>
        <w:pageBreakBefore w:val="0"/>
        <w:widowControl w:val="0"/>
        <w:kinsoku/>
        <w:wordWrap/>
        <w:overflowPunct/>
        <w:topLinePunct w:val="0"/>
        <w:bidi w:val="0"/>
        <w:adjustRightInd/>
        <w:snapToGrid/>
        <w:spacing w:line="480" w:lineRule="exact"/>
        <w:ind w:left="0" w:leftChars="0" w:firstLine="482" w:firstLineChars="20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（2）不按评标委员会要求澄清、说明或补正的；</w:t>
      </w:r>
    </w:p>
    <w:p w14:paraId="2D7043AB">
      <w:pPr>
        <w:keepNext w:val="0"/>
        <w:keepLines w:val="0"/>
        <w:pageBreakBefore w:val="0"/>
        <w:widowControl w:val="0"/>
        <w:kinsoku/>
        <w:wordWrap/>
        <w:overflowPunct/>
        <w:topLinePunct w:val="0"/>
        <w:bidi w:val="0"/>
        <w:adjustRightInd/>
        <w:snapToGrid/>
        <w:spacing w:line="480" w:lineRule="exact"/>
        <w:ind w:left="0" w:leftChars="0" w:firstLine="482" w:firstLineChars="20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在评审过程中，评标委员会认为投标人报价明显低于其他通过符合性审查投标人报价，有可能影响质量要求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7889393">
      <w:pPr>
        <w:keepNext w:val="0"/>
        <w:keepLines w:val="0"/>
        <w:pageBreakBefore w:val="0"/>
        <w:widowControl w:val="0"/>
        <w:kinsoku/>
        <w:wordWrap/>
        <w:overflowPunct/>
        <w:topLinePunct w:val="0"/>
        <w:bidi w:val="0"/>
        <w:adjustRightInd/>
        <w:snapToGrid/>
        <w:spacing w:line="480" w:lineRule="exact"/>
        <w:ind w:left="0" w:leftChars="0" w:firstLine="482" w:firstLineChars="20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19D7478A">
      <w:pPr>
        <w:keepNext w:val="0"/>
        <w:keepLines w:val="0"/>
        <w:pageBreakBefore w:val="0"/>
        <w:widowControl w:val="0"/>
        <w:kinsoku/>
        <w:wordWrap/>
        <w:overflowPunct/>
        <w:topLinePunct w:val="0"/>
        <w:bidi w:val="0"/>
        <w:adjustRightInd/>
        <w:snapToGrid/>
        <w:spacing w:line="480" w:lineRule="exact"/>
        <w:ind w:left="0" w:leftChars="0" w:firstLine="482" w:firstLineChars="20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供应商提供书面说明后，评标委员会应当结合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14:paraId="380ADA5F">
      <w:pPr>
        <w:keepNext w:val="0"/>
        <w:keepLines w:val="0"/>
        <w:pageBreakBefore w:val="0"/>
        <w:widowControl w:val="0"/>
        <w:kinsoku/>
        <w:wordWrap/>
        <w:overflowPunct/>
        <w:topLinePunct w:val="0"/>
        <w:bidi w:val="0"/>
        <w:adjustRightInd/>
        <w:snapToGrid/>
        <w:spacing w:line="480" w:lineRule="exact"/>
        <w:ind w:left="0" w:leftChars="0" w:firstLine="482" w:firstLineChars="20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（4）投标报价有算术错误的，评标委员会按以上原则对投标报价进行修正，修正后的投标报价对投标人起约束作用，投标人不接受修正价格的；</w:t>
      </w:r>
    </w:p>
    <w:p w14:paraId="72DFAC0C">
      <w:pPr>
        <w:keepNext w:val="0"/>
        <w:keepLines w:val="0"/>
        <w:pageBreakBefore w:val="0"/>
        <w:widowControl w:val="0"/>
        <w:kinsoku/>
        <w:wordWrap/>
        <w:overflowPunct/>
        <w:topLinePunct w:val="0"/>
        <w:bidi w:val="0"/>
        <w:adjustRightInd/>
        <w:snapToGrid/>
        <w:spacing w:line="480" w:lineRule="exact"/>
        <w:ind w:left="0" w:leftChars="0" w:firstLine="482" w:firstLineChars="20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招标文件约定的其他</w:t>
      </w:r>
      <w:r>
        <w:rPr>
          <w:rFonts w:hint="eastAsia" w:ascii="仿宋" w:hAnsi="仿宋" w:eastAsia="仿宋" w:cs="仿宋"/>
          <w:b/>
          <w:bCs/>
          <w:color w:val="auto"/>
          <w:sz w:val="24"/>
          <w:highlight w:val="none"/>
          <w:lang w:val="en-US" w:eastAsia="zh-CN"/>
        </w:rPr>
        <w:t>投标无效的情形</w:t>
      </w:r>
      <w:r>
        <w:rPr>
          <w:rFonts w:hint="eastAsia" w:ascii="仿宋" w:hAnsi="仿宋" w:eastAsia="仿宋" w:cs="仿宋"/>
          <w:b/>
          <w:bCs/>
          <w:color w:val="auto"/>
          <w:sz w:val="24"/>
          <w:highlight w:val="none"/>
        </w:rPr>
        <w:t>。</w:t>
      </w:r>
    </w:p>
    <w:p w14:paraId="04F1081E">
      <w:pPr>
        <w:spacing w:line="360" w:lineRule="auto"/>
        <w:ind w:firstLine="482" w:firstLineChars="20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319D70B2">
      <w:pPr>
        <w:spacing w:line="360" w:lineRule="auto"/>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附表一</w:t>
      </w:r>
    </w:p>
    <w:p w14:paraId="0B85710C">
      <w:pPr>
        <w:jc w:val="center"/>
        <w:outlineLvl w:val="9"/>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lang w:eastAsia="zh-CN"/>
        </w:rPr>
        <w:t>符合性审查表</w:t>
      </w:r>
    </w:p>
    <w:tbl>
      <w:tblPr>
        <w:tblStyle w:val="26"/>
        <w:tblW w:w="93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4"/>
        <w:gridCol w:w="525"/>
        <w:gridCol w:w="6668"/>
        <w:gridCol w:w="705"/>
        <w:gridCol w:w="709"/>
      </w:tblGrid>
      <w:tr w14:paraId="63946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exact"/>
          <w:jc w:val="center"/>
        </w:trPr>
        <w:tc>
          <w:tcPr>
            <w:tcW w:w="764" w:type="dxa"/>
            <w:vMerge w:val="restart"/>
            <w:tcBorders>
              <w:top w:val="single" w:color="auto" w:sz="12" w:space="0"/>
            </w:tcBorders>
            <w:vAlign w:val="center"/>
          </w:tcPr>
          <w:p w14:paraId="51B43A1B">
            <w:pPr>
              <w:jc w:val="center"/>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w:t>
            </w:r>
          </w:p>
        </w:tc>
        <w:tc>
          <w:tcPr>
            <w:tcW w:w="7193" w:type="dxa"/>
            <w:gridSpan w:val="2"/>
            <w:vMerge w:val="restart"/>
            <w:tcBorders>
              <w:top w:val="single" w:color="auto" w:sz="12" w:space="0"/>
            </w:tcBorders>
            <w:vAlign w:val="center"/>
          </w:tcPr>
          <w:p w14:paraId="08AF9D5D">
            <w:pPr>
              <w:jc w:val="center"/>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评审内容</w:t>
            </w:r>
          </w:p>
        </w:tc>
        <w:tc>
          <w:tcPr>
            <w:tcW w:w="1414" w:type="dxa"/>
            <w:gridSpan w:val="2"/>
            <w:tcBorders>
              <w:top w:val="single" w:color="auto" w:sz="12" w:space="0"/>
            </w:tcBorders>
            <w:vAlign w:val="center"/>
          </w:tcPr>
          <w:p w14:paraId="1C0C5B6B">
            <w:pPr>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评审意见</w:t>
            </w:r>
          </w:p>
        </w:tc>
      </w:tr>
      <w:tr w14:paraId="74211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exact"/>
          <w:jc w:val="center"/>
        </w:trPr>
        <w:tc>
          <w:tcPr>
            <w:tcW w:w="764" w:type="dxa"/>
            <w:vMerge w:val="continue"/>
            <w:vAlign w:val="center"/>
          </w:tcPr>
          <w:p w14:paraId="399A64E0">
            <w:pPr>
              <w:jc w:val="center"/>
              <w:outlineLvl w:val="9"/>
              <w:rPr>
                <w:rFonts w:hint="eastAsia" w:ascii="仿宋" w:hAnsi="仿宋" w:eastAsia="仿宋" w:cs="仿宋"/>
                <w:b/>
                <w:color w:val="auto"/>
                <w:sz w:val="24"/>
                <w:highlight w:val="none"/>
              </w:rPr>
            </w:pPr>
          </w:p>
        </w:tc>
        <w:tc>
          <w:tcPr>
            <w:tcW w:w="7193" w:type="dxa"/>
            <w:gridSpan w:val="2"/>
            <w:vMerge w:val="continue"/>
          </w:tcPr>
          <w:p w14:paraId="32EE26F6">
            <w:pPr>
              <w:outlineLvl w:val="9"/>
              <w:rPr>
                <w:rFonts w:hint="eastAsia" w:ascii="仿宋" w:hAnsi="仿宋" w:eastAsia="仿宋" w:cs="仿宋"/>
                <w:b/>
                <w:color w:val="auto"/>
                <w:sz w:val="24"/>
                <w:highlight w:val="none"/>
              </w:rPr>
            </w:pPr>
          </w:p>
        </w:tc>
        <w:tc>
          <w:tcPr>
            <w:tcW w:w="705" w:type="dxa"/>
            <w:vAlign w:val="center"/>
          </w:tcPr>
          <w:p w14:paraId="43F78423">
            <w:pPr>
              <w:jc w:val="center"/>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w:t>
            </w:r>
          </w:p>
        </w:tc>
        <w:tc>
          <w:tcPr>
            <w:tcW w:w="709" w:type="dxa"/>
            <w:vAlign w:val="center"/>
          </w:tcPr>
          <w:p w14:paraId="42707A20">
            <w:pPr>
              <w:jc w:val="center"/>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否</w:t>
            </w:r>
          </w:p>
        </w:tc>
      </w:tr>
      <w:tr w14:paraId="381EC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764" w:type="dxa"/>
            <w:vMerge w:val="restart"/>
            <w:vAlign w:val="center"/>
          </w:tcPr>
          <w:p w14:paraId="627C559B">
            <w:pPr>
              <w:jc w:val="center"/>
              <w:outlineLvl w:val="9"/>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符</w:t>
            </w:r>
          </w:p>
          <w:p w14:paraId="1C1D35BF">
            <w:pPr>
              <w:jc w:val="center"/>
              <w:outlineLvl w:val="9"/>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合</w:t>
            </w:r>
          </w:p>
          <w:p w14:paraId="72D194D1">
            <w:pPr>
              <w:jc w:val="center"/>
              <w:outlineLvl w:val="9"/>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性</w:t>
            </w:r>
          </w:p>
          <w:p w14:paraId="40BD2704">
            <w:pPr>
              <w:jc w:val="center"/>
              <w:outlineLvl w:val="9"/>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审</w:t>
            </w:r>
          </w:p>
          <w:p w14:paraId="7A36A61A">
            <w:pPr>
              <w:jc w:val="center"/>
              <w:outlineLvl w:val="9"/>
              <w:rPr>
                <w:rFonts w:hint="eastAsia" w:ascii="仿宋" w:hAnsi="仿宋" w:eastAsia="仿宋" w:cs="仿宋"/>
                <w:color w:val="auto"/>
                <w:szCs w:val="21"/>
                <w:highlight w:val="none"/>
              </w:rPr>
            </w:pPr>
            <w:r>
              <w:rPr>
                <w:rFonts w:hint="eastAsia" w:ascii="仿宋" w:hAnsi="仿宋" w:eastAsia="仿宋" w:cs="仿宋"/>
                <w:color w:val="auto"/>
                <w:sz w:val="22"/>
                <w:szCs w:val="22"/>
                <w:highlight w:val="none"/>
                <w:lang w:eastAsia="zh-CN"/>
              </w:rPr>
              <w:t>查</w:t>
            </w:r>
          </w:p>
        </w:tc>
        <w:tc>
          <w:tcPr>
            <w:tcW w:w="525" w:type="dxa"/>
            <w:vAlign w:val="center"/>
          </w:tcPr>
          <w:p w14:paraId="0E10B022">
            <w:pPr>
              <w:spacing w:line="32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2"/>
                <w:szCs w:val="22"/>
                <w:highlight w:val="none"/>
              </w:rPr>
              <w:t>1</w:t>
            </w:r>
          </w:p>
        </w:tc>
        <w:tc>
          <w:tcPr>
            <w:tcW w:w="6668" w:type="dxa"/>
            <w:vAlign w:val="center"/>
          </w:tcPr>
          <w:p w14:paraId="42883674">
            <w:pPr>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投标文件组成完整，主要内容按招标文件规定的内容、格式填写；</w:t>
            </w:r>
          </w:p>
        </w:tc>
        <w:tc>
          <w:tcPr>
            <w:tcW w:w="705" w:type="dxa"/>
            <w:tcBorders>
              <w:right w:val="single" w:color="auto" w:sz="4" w:space="0"/>
            </w:tcBorders>
            <w:vAlign w:val="center"/>
          </w:tcPr>
          <w:p w14:paraId="409DACD1">
            <w:pPr>
              <w:jc w:val="center"/>
              <w:outlineLvl w:val="9"/>
              <w:rPr>
                <w:rFonts w:hint="eastAsia" w:ascii="仿宋" w:hAnsi="仿宋" w:eastAsia="仿宋" w:cs="仿宋"/>
                <w:color w:val="auto"/>
                <w:highlight w:val="none"/>
              </w:rPr>
            </w:pPr>
          </w:p>
        </w:tc>
        <w:tc>
          <w:tcPr>
            <w:tcW w:w="709" w:type="dxa"/>
            <w:tcBorders>
              <w:left w:val="single" w:color="auto" w:sz="4" w:space="0"/>
            </w:tcBorders>
            <w:vAlign w:val="center"/>
          </w:tcPr>
          <w:p w14:paraId="25ED9C27">
            <w:pPr>
              <w:jc w:val="center"/>
              <w:outlineLvl w:val="9"/>
              <w:rPr>
                <w:rFonts w:hint="eastAsia" w:ascii="仿宋" w:hAnsi="仿宋" w:eastAsia="仿宋" w:cs="仿宋"/>
                <w:color w:val="auto"/>
                <w:highlight w:val="none"/>
              </w:rPr>
            </w:pPr>
          </w:p>
        </w:tc>
      </w:tr>
      <w:tr w14:paraId="3FEA6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764" w:type="dxa"/>
            <w:vMerge w:val="continue"/>
            <w:vAlign w:val="center"/>
          </w:tcPr>
          <w:p w14:paraId="11333CD4">
            <w:pPr>
              <w:jc w:val="center"/>
              <w:outlineLvl w:val="9"/>
              <w:rPr>
                <w:rFonts w:hint="eastAsia" w:ascii="仿宋" w:hAnsi="仿宋" w:eastAsia="仿宋" w:cs="仿宋"/>
                <w:color w:val="auto"/>
                <w:szCs w:val="21"/>
                <w:highlight w:val="none"/>
              </w:rPr>
            </w:pPr>
          </w:p>
        </w:tc>
        <w:tc>
          <w:tcPr>
            <w:tcW w:w="525" w:type="dxa"/>
            <w:vAlign w:val="center"/>
          </w:tcPr>
          <w:p w14:paraId="3BF96FF6">
            <w:pPr>
              <w:spacing w:line="32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2"/>
                <w:szCs w:val="22"/>
                <w:highlight w:val="none"/>
                <w:lang w:val="en-US" w:eastAsia="zh-CN"/>
              </w:rPr>
              <w:t>2</w:t>
            </w:r>
          </w:p>
        </w:tc>
        <w:tc>
          <w:tcPr>
            <w:tcW w:w="6668" w:type="dxa"/>
            <w:vAlign w:val="center"/>
          </w:tcPr>
          <w:p w14:paraId="717E3021">
            <w:pPr>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投标文件的有效期满足招标文件的规定</w:t>
            </w:r>
            <w:r>
              <w:rPr>
                <w:rFonts w:hint="eastAsia" w:ascii="仿宋" w:hAnsi="仿宋" w:eastAsia="仿宋" w:cs="仿宋"/>
                <w:color w:val="auto"/>
                <w:sz w:val="22"/>
                <w:szCs w:val="22"/>
                <w:highlight w:val="none"/>
              </w:rPr>
              <w:t>；</w:t>
            </w:r>
          </w:p>
        </w:tc>
        <w:tc>
          <w:tcPr>
            <w:tcW w:w="705" w:type="dxa"/>
            <w:tcBorders>
              <w:right w:val="single" w:color="auto" w:sz="4" w:space="0"/>
            </w:tcBorders>
            <w:vAlign w:val="center"/>
          </w:tcPr>
          <w:p w14:paraId="5ED1D786">
            <w:pPr>
              <w:jc w:val="center"/>
              <w:outlineLvl w:val="9"/>
              <w:rPr>
                <w:rFonts w:hint="eastAsia" w:ascii="仿宋" w:hAnsi="仿宋" w:eastAsia="仿宋" w:cs="仿宋"/>
                <w:color w:val="auto"/>
                <w:highlight w:val="none"/>
              </w:rPr>
            </w:pPr>
          </w:p>
        </w:tc>
        <w:tc>
          <w:tcPr>
            <w:tcW w:w="709" w:type="dxa"/>
            <w:tcBorders>
              <w:left w:val="single" w:color="auto" w:sz="4" w:space="0"/>
            </w:tcBorders>
            <w:vAlign w:val="center"/>
          </w:tcPr>
          <w:p w14:paraId="2DE75B7F">
            <w:pPr>
              <w:jc w:val="center"/>
              <w:outlineLvl w:val="9"/>
              <w:rPr>
                <w:rFonts w:hint="eastAsia" w:ascii="仿宋" w:hAnsi="仿宋" w:eastAsia="仿宋" w:cs="仿宋"/>
                <w:color w:val="auto"/>
                <w:highlight w:val="none"/>
              </w:rPr>
            </w:pPr>
          </w:p>
        </w:tc>
      </w:tr>
      <w:tr w14:paraId="77439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764" w:type="dxa"/>
            <w:vMerge w:val="continue"/>
            <w:vAlign w:val="center"/>
          </w:tcPr>
          <w:p w14:paraId="51E7B449">
            <w:pPr>
              <w:jc w:val="center"/>
              <w:outlineLvl w:val="9"/>
              <w:rPr>
                <w:rFonts w:hint="eastAsia" w:ascii="仿宋" w:hAnsi="仿宋" w:eastAsia="仿宋" w:cs="仿宋"/>
                <w:color w:val="auto"/>
                <w:highlight w:val="none"/>
              </w:rPr>
            </w:pPr>
          </w:p>
        </w:tc>
        <w:tc>
          <w:tcPr>
            <w:tcW w:w="525" w:type="dxa"/>
            <w:vAlign w:val="center"/>
          </w:tcPr>
          <w:p w14:paraId="69450289">
            <w:pPr>
              <w:spacing w:line="32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2"/>
                <w:szCs w:val="22"/>
                <w:highlight w:val="none"/>
                <w:lang w:val="en-US" w:eastAsia="zh-CN"/>
              </w:rPr>
              <w:t>3</w:t>
            </w:r>
          </w:p>
        </w:tc>
        <w:tc>
          <w:tcPr>
            <w:tcW w:w="6668" w:type="dxa"/>
            <w:vAlign w:val="center"/>
          </w:tcPr>
          <w:p w14:paraId="19E97324">
            <w:pPr>
              <w:outlineLvl w:val="9"/>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投标代表授权书由法定代表人及授权委托人签署并加盖公章</w:t>
            </w:r>
            <w:r>
              <w:rPr>
                <w:rFonts w:hint="eastAsia" w:ascii="仿宋" w:hAnsi="仿宋" w:eastAsia="仿宋" w:cs="仿宋"/>
                <w:color w:val="auto"/>
                <w:sz w:val="22"/>
                <w:szCs w:val="22"/>
                <w:highlight w:val="none"/>
              </w:rPr>
              <w:t>；</w:t>
            </w:r>
          </w:p>
        </w:tc>
        <w:tc>
          <w:tcPr>
            <w:tcW w:w="705" w:type="dxa"/>
            <w:tcBorders>
              <w:right w:val="single" w:color="auto" w:sz="4" w:space="0"/>
            </w:tcBorders>
          </w:tcPr>
          <w:p w14:paraId="24660A22">
            <w:pPr>
              <w:outlineLvl w:val="9"/>
              <w:rPr>
                <w:rFonts w:hint="eastAsia" w:ascii="仿宋" w:hAnsi="仿宋" w:eastAsia="仿宋" w:cs="仿宋"/>
                <w:color w:val="auto"/>
                <w:highlight w:val="none"/>
              </w:rPr>
            </w:pPr>
          </w:p>
        </w:tc>
        <w:tc>
          <w:tcPr>
            <w:tcW w:w="709" w:type="dxa"/>
            <w:tcBorders>
              <w:left w:val="single" w:color="auto" w:sz="4" w:space="0"/>
            </w:tcBorders>
          </w:tcPr>
          <w:p w14:paraId="2B9FF425">
            <w:pPr>
              <w:outlineLvl w:val="9"/>
              <w:rPr>
                <w:rFonts w:hint="eastAsia" w:ascii="仿宋" w:hAnsi="仿宋" w:eastAsia="仿宋" w:cs="仿宋"/>
                <w:color w:val="auto"/>
                <w:highlight w:val="none"/>
              </w:rPr>
            </w:pPr>
          </w:p>
        </w:tc>
      </w:tr>
      <w:tr w14:paraId="1D3C2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764" w:type="dxa"/>
            <w:vMerge w:val="continue"/>
            <w:vAlign w:val="center"/>
          </w:tcPr>
          <w:p w14:paraId="17525238">
            <w:pPr>
              <w:jc w:val="center"/>
              <w:outlineLvl w:val="9"/>
              <w:rPr>
                <w:rFonts w:hint="eastAsia" w:ascii="仿宋" w:hAnsi="仿宋" w:eastAsia="仿宋" w:cs="仿宋"/>
                <w:color w:val="auto"/>
                <w:highlight w:val="none"/>
              </w:rPr>
            </w:pPr>
          </w:p>
        </w:tc>
        <w:tc>
          <w:tcPr>
            <w:tcW w:w="525" w:type="dxa"/>
            <w:vAlign w:val="center"/>
          </w:tcPr>
          <w:p w14:paraId="130E680F">
            <w:pPr>
              <w:spacing w:line="32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2"/>
                <w:szCs w:val="22"/>
                <w:highlight w:val="none"/>
                <w:lang w:val="en-US" w:eastAsia="zh-CN"/>
              </w:rPr>
              <w:t>4</w:t>
            </w:r>
          </w:p>
        </w:tc>
        <w:tc>
          <w:tcPr>
            <w:tcW w:w="6668" w:type="dxa"/>
            <w:vAlign w:val="center"/>
          </w:tcPr>
          <w:p w14:paraId="66EA2A2B">
            <w:pPr>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投标文件按照规定在应由企业法人或法人授权代表在所有规定签章处逐一签署及加盖单位公章</w:t>
            </w:r>
            <w:r>
              <w:rPr>
                <w:rFonts w:hint="eastAsia" w:ascii="仿宋" w:hAnsi="仿宋" w:eastAsia="仿宋" w:cs="仿宋"/>
                <w:color w:val="auto"/>
                <w:sz w:val="22"/>
                <w:szCs w:val="22"/>
                <w:highlight w:val="none"/>
              </w:rPr>
              <w:t>；</w:t>
            </w:r>
          </w:p>
        </w:tc>
        <w:tc>
          <w:tcPr>
            <w:tcW w:w="705" w:type="dxa"/>
            <w:tcBorders>
              <w:right w:val="single" w:color="auto" w:sz="4" w:space="0"/>
            </w:tcBorders>
          </w:tcPr>
          <w:p w14:paraId="1D1CE765">
            <w:pPr>
              <w:outlineLvl w:val="9"/>
              <w:rPr>
                <w:rFonts w:hint="eastAsia" w:ascii="仿宋" w:hAnsi="仿宋" w:eastAsia="仿宋" w:cs="仿宋"/>
                <w:color w:val="auto"/>
                <w:highlight w:val="none"/>
              </w:rPr>
            </w:pPr>
          </w:p>
        </w:tc>
        <w:tc>
          <w:tcPr>
            <w:tcW w:w="709" w:type="dxa"/>
            <w:tcBorders>
              <w:left w:val="single" w:color="auto" w:sz="4" w:space="0"/>
            </w:tcBorders>
          </w:tcPr>
          <w:p w14:paraId="60B4833E">
            <w:pPr>
              <w:outlineLvl w:val="9"/>
              <w:rPr>
                <w:rFonts w:hint="eastAsia" w:ascii="仿宋" w:hAnsi="仿宋" w:eastAsia="仿宋" w:cs="仿宋"/>
                <w:color w:val="auto"/>
                <w:highlight w:val="none"/>
              </w:rPr>
            </w:pPr>
          </w:p>
        </w:tc>
      </w:tr>
      <w:tr w14:paraId="766B3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764" w:type="dxa"/>
            <w:vMerge w:val="continue"/>
            <w:vAlign w:val="center"/>
          </w:tcPr>
          <w:p w14:paraId="5B34023D">
            <w:pPr>
              <w:jc w:val="center"/>
              <w:outlineLvl w:val="9"/>
              <w:rPr>
                <w:rFonts w:hint="eastAsia" w:ascii="仿宋" w:hAnsi="仿宋" w:eastAsia="仿宋" w:cs="仿宋"/>
                <w:color w:val="auto"/>
                <w:highlight w:val="none"/>
              </w:rPr>
            </w:pPr>
          </w:p>
        </w:tc>
        <w:tc>
          <w:tcPr>
            <w:tcW w:w="525" w:type="dxa"/>
            <w:vAlign w:val="center"/>
          </w:tcPr>
          <w:p w14:paraId="147CC2BD">
            <w:pPr>
              <w:spacing w:line="320" w:lineRule="exac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6668" w:type="dxa"/>
            <w:vAlign w:val="center"/>
          </w:tcPr>
          <w:p w14:paraId="291368CC">
            <w:pPr>
              <w:outlineLvl w:val="9"/>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投标文件针对同一种货物未出现了两个或两个以上的报价</w:t>
            </w:r>
            <w:r>
              <w:rPr>
                <w:rFonts w:hint="eastAsia" w:ascii="仿宋" w:hAnsi="仿宋" w:eastAsia="仿宋" w:cs="仿宋"/>
                <w:color w:val="auto"/>
                <w:sz w:val="22"/>
                <w:szCs w:val="22"/>
                <w:highlight w:val="none"/>
                <w:lang w:eastAsia="zh-CN"/>
              </w:rPr>
              <w:t>；</w:t>
            </w:r>
          </w:p>
        </w:tc>
        <w:tc>
          <w:tcPr>
            <w:tcW w:w="705" w:type="dxa"/>
            <w:tcBorders>
              <w:right w:val="single" w:color="auto" w:sz="4" w:space="0"/>
            </w:tcBorders>
          </w:tcPr>
          <w:p w14:paraId="6BD64447">
            <w:pPr>
              <w:outlineLvl w:val="9"/>
              <w:rPr>
                <w:rFonts w:hint="eastAsia" w:ascii="仿宋" w:hAnsi="仿宋" w:eastAsia="仿宋" w:cs="仿宋"/>
                <w:color w:val="auto"/>
                <w:highlight w:val="none"/>
              </w:rPr>
            </w:pPr>
          </w:p>
        </w:tc>
        <w:tc>
          <w:tcPr>
            <w:tcW w:w="709" w:type="dxa"/>
            <w:tcBorders>
              <w:left w:val="single" w:color="auto" w:sz="4" w:space="0"/>
            </w:tcBorders>
          </w:tcPr>
          <w:p w14:paraId="75E6BE19">
            <w:pPr>
              <w:outlineLvl w:val="9"/>
              <w:rPr>
                <w:rFonts w:hint="eastAsia" w:ascii="仿宋" w:hAnsi="仿宋" w:eastAsia="仿宋" w:cs="仿宋"/>
                <w:color w:val="auto"/>
                <w:highlight w:val="none"/>
              </w:rPr>
            </w:pPr>
          </w:p>
        </w:tc>
      </w:tr>
      <w:tr w14:paraId="218D5B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764" w:type="dxa"/>
            <w:vMerge w:val="continue"/>
            <w:vAlign w:val="center"/>
          </w:tcPr>
          <w:p w14:paraId="7ADB13B3">
            <w:pPr>
              <w:jc w:val="center"/>
              <w:outlineLvl w:val="9"/>
              <w:rPr>
                <w:rFonts w:hint="eastAsia" w:ascii="仿宋" w:hAnsi="仿宋" w:eastAsia="仿宋" w:cs="仿宋"/>
                <w:color w:val="auto"/>
                <w:highlight w:val="none"/>
              </w:rPr>
            </w:pPr>
          </w:p>
        </w:tc>
        <w:tc>
          <w:tcPr>
            <w:tcW w:w="525" w:type="dxa"/>
            <w:vAlign w:val="center"/>
          </w:tcPr>
          <w:p w14:paraId="0A262877">
            <w:pPr>
              <w:spacing w:line="320" w:lineRule="exac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6668" w:type="dxa"/>
            <w:vAlign w:val="center"/>
          </w:tcPr>
          <w:p w14:paraId="0AA71756">
            <w:pPr>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投标文件封皮标明“正本”字样，并且加盖企业公章、法人签章、被授权人签字；</w:t>
            </w:r>
          </w:p>
        </w:tc>
        <w:tc>
          <w:tcPr>
            <w:tcW w:w="705" w:type="dxa"/>
            <w:tcBorders>
              <w:right w:val="single" w:color="auto" w:sz="4" w:space="0"/>
            </w:tcBorders>
          </w:tcPr>
          <w:p w14:paraId="622B249E">
            <w:pPr>
              <w:outlineLvl w:val="9"/>
              <w:rPr>
                <w:rFonts w:hint="eastAsia" w:ascii="仿宋" w:hAnsi="仿宋" w:eastAsia="仿宋" w:cs="仿宋"/>
                <w:color w:val="auto"/>
                <w:highlight w:val="none"/>
              </w:rPr>
            </w:pPr>
          </w:p>
        </w:tc>
        <w:tc>
          <w:tcPr>
            <w:tcW w:w="709" w:type="dxa"/>
            <w:tcBorders>
              <w:left w:val="single" w:color="auto" w:sz="4" w:space="0"/>
            </w:tcBorders>
          </w:tcPr>
          <w:p w14:paraId="3282327C">
            <w:pPr>
              <w:outlineLvl w:val="9"/>
              <w:rPr>
                <w:rFonts w:hint="eastAsia" w:ascii="仿宋" w:hAnsi="仿宋" w:eastAsia="仿宋" w:cs="仿宋"/>
                <w:color w:val="auto"/>
                <w:highlight w:val="none"/>
              </w:rPr>
            </w:pPr>
          </w:p>
        </w:tc>
      </w:tr>
      <w:tr w14:paraId="67049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764" w:type="dxa"/>
            <w:vMerge w:val="continue"/>
            <w:vAlign w:val="center"/>
          </w:tcPr>
          <w:p w14:paraId="3CB4BC40">
            <w:pPr>
              <w:jc w:val="center"/>
              <w:outlineLvl w:val="9"/>
              <w:rPr>
                <w:rFonts w:hint="eastAsia" w:ascii="仿宋" w:hAnsi="仿宋" w:eastAsia="仿宋" w:cs="仿宋"/>
                <w:color w:val="auto"/>
                <w:highlight w:val="none"/>
              </w:rPr>
            </w:pPr>
          </w:p>
        </w:tc>
        <w:tc>
          <w:tcPr>
            <w:tcW w:w="525" w:type="dxa"/>
            <w:vAlign w:val="center"/>
          </w:tcPr>
          <w:p w14:paraId="609FFD9E">
            <w:pPr>
              <w:spacing w:line="320" w:lineRule="exac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6668" w:type="dxa"/>
            <w:vAlign w:val="center"/>
          </w:tcPr>
          <w:p w14:paraId="20533432">
            <w:pPr>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投标文件载明的招标项目交货期限未超过招标文件规定的期限；</w:t>
            </w:r>
          </w:p>
        </w:tc>
        <w:tc>
          <w:tcPr>
            <w:tcW w:w="705" w:type="dxa"/>
            <w:tcBorders>
              <w:right w:val="single" w:color="auto" w:sz="4" w:space="0"/>
            </w:tcBorders>
          </w:tcPr>
          <w:p w14:paraId="37F2C377">
            <w:pPr>
              <w:outlineLvl w:val="9"/>
              <w:rPr>
                <w:rFonts w:hint="eastAsia" w:ascii="仿宋" w:hAnsi="仿宋" w:eastAsia="仿宋" w:cs="仿宋"/>
                <w:color w:val="auto"/>
                <w:highlight w:val="none"/>
              </w:rPr>
            </w:pPr>
          </w:p>
        </w:tc>
        <w:tc>
          <w:tcPr>
            <w:tcW w:w="709" w:type="dxa"/>
            <w:tcBorders>
              <w:left w:val="single" w:color="auto" w:sz="4" w:space="0"/>
            </w:tcBorders>
          </w:tcPr>
          <w:p w14:paraId="142B51FF">
            <w:pPr>
              <w:outlineLvl w:val="9"/>
              <w:rPr>
                <w:rFonts w:hint="eastAsia" w:ascii="仿宋" w:hAnsi="仿宋" w:eastAsia="仿宋" w:cs="仿宋"/>
                <w:color w:val="auto"/>
                <w:highlight w:val="none"/>
              </w:rPr>
            </w:pPr>
          </w:p>
        </w:tc>
      </w:tr>
      <w:tr w14:paraId="1590B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764" w:type="dxa"/>
            <w:vMerge w:val="continue"/>
            <w:vAlign w:val="center"/>
          </w:tcPr>
          <w:p w14:paraId="3ACDD5FF">
            <w:pPr>
              <w:jc w:val="center"/>
              <w:outlineLvl w:val="9"/>
              <w:rPr>
                <w:rFonts w:hint="eastAsia" w:ascii="仿宋" w:hAnsi="仿宋" w:eastAsia="仿宋" w:cs="仿宋"/>
                <w:color w:val="auto"/>
                <w:highlight w:val="none"/>
              </w:rPr>
            </w:pPr>
          </w:p>
        </w:tc>
        <w:tc>
          <w:tcPr>
            <w:tcW w:w="525" w:type="dxa"/>
            <w:vAlign w:val="center"/>
          </w:tcPr>
          <w:p w14:paraId="11B312DE">
            <w:pPr>
              <w:spacing w:line="320" w:lineRule="exac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6668" w:type="dxa"/>
            <w:vAlign w:val="center"/>
          </w:tcPr>
          <w:p w14:paraId="0174E5A1">
            <w:pPr>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投标文件载明的功能需求、验收标准和方法等符合招标文件的要求；</w:t>
            </w:r>
          </w:p>
        </w:tc>
        <w:tc>
          <w:tcPr>
            <w:tcW w:w="705" w:type="dxa"/>
            <w:tcBorders>
              <w:right w:val="single" w:color="auto" w:sz="4" w:space="0"/>
            </w:tcBorders>
          </w:tcPr>
          <w:p w14:paraId="451E3F28">
            <w:pPr>
              <w:outlineLvl w:val="9"/>
              <w:rPr>
                <w:rFonts w:hint="eastAsia" w:ascii="仿宋" w:hAnsi="仿宋" w:eastAsia="仿宋" w:cs="仿宋"/>
                <w:color w:val="auto"/>
                <w:highlight w:val="none"/>
              </w:rPr>
            </w:pPr>
          </w:p>
        </w:tc>
        <w:tc>
          <w:tcPr>
            <w:tcW w:w="709" w:type="dxa"/>
            <w:tcBorders>
              <w:left w:val="single" w:color="auto" w:sz="4" w:space="0"/>
            </w:tcBorders>
          </w:tcPr>
          <w:p w14:paraId="6D8893AD">
            <w:pPr>
              <w:outlineLvl w:val="9"/>
              <w:rPr>
                <w:rFonts w:hint="eastAsia" w:ascii="仿宋" w:hAnsi="仿宋" w:eastAsia="仿宋" w:cs="仿宋"/>
                <w:color w:val="auto"/>
                <w:highlight w:val="none"/>
              </w:rPr>
            </w:pPr>
          </w:p>
        </w:tc>
      </w:tr>
      <w:tr w14:paraId="37E7B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764" w:type="dxa"/>
            <w:vMerge w:val="continue"/>
            <w:vAlign w:val="center"/>
          </w:tcPr>
          <w:p w14:paraId="186E0726">
            <w:pPr>
              <w:jc w:val="center"/>
              <w:outlineLvl w:val="9"/>
              <w:rPr>
                <w:rFonts w:hint="eastAsia" w:ascii="仿宋" w:hAnsi="仿宋" w:eastAsia="仿宋" w:cs="仿宋"/>
                <w:color w:val="auto"/>
                <w:highlight w:val="none"/>
              </w:rPr>
            </w:pPr>
          </w:p>
        </w:tc>
        <w:tc>
          <w:tcPr>
            <w:tcW w:w="525" w:type="dxa"/>
            <w:vAlign w:val="center"/>
          </w:tcPr>
          <w:p w14:paraId="628153B0">
            <w:pPr>
              <w:spacing w:line="320" w:lineRule="exact"/>
              <w:jc w:val="center"/>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w:t>
            </w:r>
          </w:p>
        </w:tc>
        <w:tc>
          <w:tcPr>
            <w:tcW w:w="6668" w:type="dxa"/>
            <w:vAlign w:val="center"/>
          </w:tcPr>
          <w:p w14:paraId="225E4DD6">
            <w:pPr>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投标人</w:t>
            </w:r>
            <w:r>
              <w:rPr>
                <w:rFonts w:hint="eastAsia" w:ascii="仿宋" w:hAnsi="仿宋" w:eastAsia="仿宋" w:cs="仿宋"/>
                <w:color w:val="auto"/>
                <w:sz w:val="22"/>
                <w:szCs w:val="22"/>
                <w:highlight w:val="none"/>
              </w:rPr>
              <w:t>的报价未超过预算价或最高限价；</w:t>
            </w:r>
          </w:p>
        </w:tc>
        <w:tc>
          <w:tcPr>
            <w:tcW w:w="705" w:type="dxa"/>
            <w:tcBorders>
              <w:right w:val="single" w:color="auto" w:sz="4" w:space="0"/>
            </w:tcBorders>
          </w:tcPr>
          <w:p w14:paraId="2605E098">
            <w:pPr>
              <w:outlineLvl w:val="9"/>
              <w:rPr>
                <w:rFonts w:hint="eastAsia" w:ascii="仿宋" w:hAnsi="仿宋" w:eastAsia="仿宋" w:cs="仿宋"/>
                <w:color w:val="auto"/>
                <w:highlight w:val="none"/>
              </w:rPr>
            </w:pPr>
          </w:p>
        </w:tc>
        <w:tc>
          <w:tcPr>
            <w:tcW w:w="709" w:type="dxa"/>
            <w:tcBorders>
              <w:left w:val="single" w:color="auto" w:sz="4" w:space="0"/>
            </w:tcBorders>
          </w:tcPr>
          <w:p w14:paraId="4E92EC73">
            <w:pPr>
              <w:outlineLvl w:val="9"/>
              <w:rPr>
                <w:rFonts w:hint="eastAsia" w:ascii="仿宋" w:hAnsi="仿宋" w:eastAsia="仿宋" w:cs="仿宋"/>
                <w:color w:val="auto"/>
                <w:highlight w:val="none"/>
              </w:rPr>
            </w:pPr>
          </w:p>
        </w:tc>
      </w:tr>
      <w:tr w14:paraId="505F3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764" w:type="dxa"/>
            <w:vMerge w:val="continue"/>
            <w:vAlign w:val="center"/>
          </w:tcPr>
          <w:p w14:paraId="303BA004">
            <w:pPr>
              <w:jc w:val="center"/>
              <w:outlineLvl w:val="9"/>
              <w:rPr>
                <w:rFonts w:hint="eastAsia" w:ascii="仿宋" w:hAnsi="仿宋" w:eastAsia="仿宋" w:cs="仿宋"/>
                <w:color w:val="auto"/>
                <w:highlight w:val="none"/>
              </w:rPr>
            </w:pPr>
          </w:p>
        </w:tc>
        <w:tc>
          <w:tcPr>
            <w:tcW w:w="525" w:type="dxa"/>
            <w:vAlign w:val="center"/>
          </w:tcPr>
          <w:p w14:paraId="31596CD0">
            <w:pPr>
              <w:spacing w:line="320" w:lineRule="exact"/>
              <w:jc w:val="center"/>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6668" w:type="dxa"/>
            <w:vAlign w:val="center"/>
          </w:tcPr>
          <w:p w14:paraId="10878F65">
            <w:pPr>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投标文件未含有采购人不能接受的附加条件；</w:t>
            </w:r>
          </w:p>
        </w:tc>
        <w:tc>
          <w:tcPr>
            <w:tcW w:w="705" w:type="dxa"/>
            <w:tcBorders>
              <w:right w:val="single" w:color="auto" w:sz="4" w:space="0"/>
            </w:tcBorders>
          </w:tcPr>
          <w:p w14:paraId="5438BC67">
            <w:pPr>
              <w:outlineLvl w:val="9"/>
              <w:rPr>
                <w:rFonts w:hint="eastAsia" w:ascii="仿宋" w:hAnsi="仿宋" w:eastAsia="仿宋" w:cs="仿宋"/>
                <w:color w:val="auto"/>
                <w:highlight w:val="none"/>
              </w:rPr>
            </w:pPr>
          </w:p>
        </w:tc>
        <w:tc>
          <w:tcPr>
            <w:tcW w:w="709" w:type="dxa"/>
            <w:tcBorders>
              <w:left w:val="single" w:color="auto" w:sz="4" w:space="0"/>
            </w:tcBorders>
          </w:tcPr>
          <w:p w14:paraId="5452AA50">
            <w:pPr>
              <w:outlineLvl w:val="9"/>
              <w:rPr>
                <w:rFonts w:hint="eastAsia" w:ascii="仿宋" w:hAnsi="仿宋" w:eastAsia="仿宋" w:cs="仿宋"/>
                <w:color w:val="auto"/>
                <w:highlight w:val="none"/>
              </w:rPr>
            </w:pPr>
          </w:p>
        </w:tc>
      </w:tr>
      <w:tr w14:paraId="33A2E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764" w:type="dxa"/>
            <w:vMerge w:val="continue"/>
            <w:vAlign w:val="center"/>
          </w:tcPr>
          <w:p w14:paraId="4535EFD8">
            <w:pPr>
              <w:jc w:val="center"/>
              <w:outlineLvl w:val="9"/>
              <w:rPr>
                <w:rFonts w:hint="eastAsia" w:ascii="仿宋" w:hAnsi="仿宋" w:eastAsia="仿宋" w:cs="仿宋"/>
                <w:color w:val="auto"/>
                <w:highlight w:val="none"/>
              </w:rPr>
            </w:pPr>
          </w:p>
        </w:tc>
        <w:tc>
          <w:tcPr>
            <w:tcW w:w="525" w:type="dxa"/>
            <w:vAlign w:val="center"/>
          </w:tcPr>
          <w:p w14:paraId="5E5EA6E8">
            <w:pPr>
              <w:spacing w:line="320" w:lineRule="exact"/>
              <w:jc w:val="center"/>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6668" w:type="dxa"/>
            <w:vAlign w:val="center"/>
          </w:tcPr>
          <w:p w14:paraId="52E07F57">
            <w:pPr>
              <w:outlineLvl w:val="9"/>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无不</w:t>
            </w:r>
            <w:r>
              <w:rPr>
                <w:rFonts w:hint="eastAsia" w:ascii="仿宋" w:hAnsi="仿宋" w:eastAsia="仿宋" w:cs="仿宋"/>
                <w:color w:val="auto"/>
                <w:sz w:val="22"/>
                <w:szCs w:val="22"/>
                <w:highlight w:val="none"/>
              </w:rPr>
              <w:t>符合法律、法规和招标文件中规定的其他实质性要求。</w:t>
            </w:r>
          </w:p>
        </w:tc>
        <w:tc>
          <w:tcPr>
            <w:tcW w:w="705" w:type="dxa"/>
            <w:tcBorders>
              <w:right w:val="single" w:color="auto" w:sz="4" w:space="0"/>
            </w:tcBorders>
          </w:tcPr>
          <w:p w14:paraId="62C85593">
            <w:pPr>
              <w:outlineLvl w:val="9"/>
              <w:rPr>
                <w:rFonts w:hint="eastAsia" w:ascii="仿宋" w:hAnsi="仿宋" w:eastAsia="仿宋" w:cs="仿宋"/>
                <w:color w:val="auto"/>
                <w:highlight w:val="none"/>
              </w:rPr>
            </w:pPr>
          </w:p>
        </w:tc>
        <w:tc>
          <w:tcPr>
            <w:tcW w:w="709" w:type="dxa"/>
            <w:tcBorders>
              <w:left w:val="single" w:color="auto" w:sz="4" w:space="0"/>
            </w:tcBorders>
          </w:tcPr>
          <w:p w14:paraId="64C2FEBB">
            <w:pPr>
              <w:outlineLvl w:val="9"/>
              <w:rPr>
                <w:rFonts w:hint="eastAsia" w:ascii="仿宋" w:hAnsi="仿宋" w:eastAsia="仿宋" w:cs="仿宋"/>
                <w:color w:val="auto"/>
                <w:highlight w:val="none"/>
              </w:rPr>
            </w:pPr>
          </w:p>
        </w:tc>
      </w:tr>
      <w:tr w14:paraId="40D5A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exact"/>
          <w:jc w:val="center"/>
        </w:trPr>
        <w:tc>
          <w:tcPr>
            <w:tcW w:w="9371" w:type="dxa"/>
            <w:gridSpan w:val="5"/>
            <w:vAlign w:val="center"/>
          </w:tcPr>
          <w:p w14:paraId="4170CD28">
            <w:pPr>
              <w:outlineLvl w:val="9"/>
              <w:rPr>
                <w:rFonts w:hint="eastAsia" w:ascii="仿宋" w:hAnsi="仿宋" w:eastAsia="仿宋" w:cs="仿宋"/>
                <w:color w:val="auto"/>
                <w:highlight w:val="none"/>
              </w:rPr>
            </w:pPr>
            <w:r>
              <w:rPr>
                <w:rFonts w:hint="eastAsia" w:ascii="仿宋" w:hAnsi="仿宋" w:eastAsia="仿宋" w:cs="仿宋"/>
                <w:color w:val="auto"/>
                <w:sz w:val="22"/>
                <w:szCs w:val="22"/>
                <w:highlight w:val="none"/>
                <w:lang w:eastAsia="zh-CN"/>
              </w:rPr>
              <w:t>符合性审查</w:t>
            </w:r>
            <w:r>
              <w:rPr>
                <w:rFonts w:hint="eastAsia" w:ascii="仿宋" w:hAnsi="仿宋" w:eastAsia="仿宋" w:cs="仿宋"/>
                <w:color w:val="auto"/>
                <w:sz w:val="22"/>
                <w:szCs w:val="22"/>
                <w:highlight w:val="none"/>
              </w:rPr>
              <w:t>一项未通过者不参加下阶段评审，投标文件作</w:t>
            </w:r>
            <w:r>
              <w:rPr>
                <w:rFonts w:hint="eastAsia" w:ascii="仿宋" w:hAnsi="仿宋" w:eastAsia="仿宋" w:cs="仿宋"/>
                <w:color w:val="auto"/>
                <w:sz w:val="22"/>
                <w:szCs w:val="22"/>
                <w:highlight w:val="none"/>
                <w:lang w:val="en-US" w:eastAsia="zh-CN"/>
              </w:rPr>
              <w:t>无效标</w:t>
            </w:r>
            <w:r>
              <w:rPr>
                <w:rFonts w:hint="eastAsia" w:ascii="仿宋" w:hAnsi="仿宋" w:eastAsia="仿宋" w:cs="仿宋"/>
                <w:color w:val="auto"/>
                <w:sz w:val="22"/>
                <w:szCs w:val="22"/>
                <w:highlight w:val="none"/>
              </w:rPr>
              <w:t>处理，不再进入下阶段评审</w:t>
            </w:r>
            <w:r>
              <w:rPr>
                <w:rFonts w:hint="eastAsia" w:ascii="仿宋" w:hAnsi="仿宋" w:eastAsia="仿宋" w:cs="仿宋"/>
                <w:color w:val="auto"/>
                <w:sz w:val="24"/>
                <w:highlight w:val="none"/>
              </w:rPr>
              <w:t>。</w:t>
            </w:r>
          </w:p>
        </w:tc>
      </w:tr>
      <w:tr w14:paraId="68E6E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exact"/>
          <w:jc w:val="center"/>
        </w:trPr>
        <w:tc>
          <w:tcPr>
            <w:tcW w:w="764" w:type="dxa"/>
            <w:tcBorders>
              <w:bottom w:val="single" w:color="auto" w:sz="12" w:space="0"/>
            </w:tcBorders>
            <w:vAlign w:val="center"/>
          </w:tcPr>
          <w:p w14:paraId="55E333DA">
            <w:pPr>
              <w:jc w:val="center"/>
              <w:outlineLvl w:val="9"/>
              <w:rPr>
                <w:rFonts w:hint="eastAsia" w:ascii="仿宋" w:hAnsi="仿宋" w:eastAsia="仿宋" w:cs="仿宋"/>
                <w:color w:val="auto"/>
                <w:highlight w:val="none"/>
              </w:rPr>
            </w:pPr>
          </w:p>
        </w:tc>
        <w:tc>
          <w:tcPr>
            <w:tcW w:w="7193" w:type="dxa"/>
            <w:gridSpan w:val="2"/>
            <w:tcBorders>
              <w:bottom w:val="single" w:color="auto" w:sz="12" w:space="0"/>
            </w:tcBorders>
            <w:vAlign w:val="center"/>
          </w:tcPr>
          <w:p w14:paraId="5DC44F95">
            <w:pPr>
              <w:spacing w:line="320" w:lineRule="exact"/>
              <w:outlineLvl w:val="9"/>
              <w:rPr>
                <w:rFonts w:hint="eastAsia" w:ascii="仿宋" w:hAnsi="仿宋" w:eastAsia="仿宋" w:cs="仿宋"/>
                <w:color w:val="auto"/>
                <w:szCs w:val="21"/>
                <w:highlight w:val="none"/>
              </w:rPr>
            </w:pPr>
            <w:r>
              <w:rPr>
                <w:rFonts w:hint="eastAsia" w:ascii="仿宋" w:hAnsi="仿宋" w:eastAsia="仿宋" w:cs="仿宋"/>
                <w:color w:val="auto"/>
                <w:sz w:val="24"/>
                <w:highlight w:val="none"/>
              </w:rPr>
              <w:t>结论：是否通过评审</w:t>
            </w:r>
          </w:p>
        </w:tc>
        <w:tc>
          <w:tcPr>
            <w:tcW w:w="705" w:type="dxa"/>
            <w:tcBorders>
              <w:bottom w:val="single" w:color="auto" w:sz="12" w:space="0"/>
            </w:tcBorders>
          </w:tcPr>
          <w:p w14:paraId="0986F3F7">
            <w:pPr>
              <w:outlineLvl w:val="9"/>
              <w:rPr>
                <w:rFonts w:hint="eastAsia" w:ascii="仿宋" w:hAnsi="仿宋" w:eastAsia="仿宋" w:cs="仿宋"/>
                <w:color w:val="auto"/>
                <w:highlight w:val="none"/>
              </w:rPr>
            </w:pPr>
          </w:p>
        </w:tc>
        <w:tc>
          <w:tcPr>
            <w:tcW w:w="709" w:type="dxa"/>
            <w:tcBorders>
              <w:bottom w:val="single" w:color="auto" w:sz="12" w:space="0"/>
            </w:tcBorders>
          </w:tcPr>
          <w:p w14:paraId="1449FD6C">
            <w:pPr>
              <w:outlineLvl w:val="9"/>
              <w:rPr>
                <w:rFonts w:hint="eastAsia" w:ascii="仿宋" w:hAnsi="仿宋" w:eastAsia="仿宋" w:cs="仿宋"/>
                <w:color w:val="auto"/>
                <w:highlight w:val="none"/>
              </w:rPr>
            </w:pPr>
          </w:p>
        </w:tc>
      </w:tr>
    </w:tbl>
    <w:p w14:paraId="111092EB">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Style w:val="73"/>
          <w:rFonts w:hint="eastAsia" w:ascii="仿宋" w:hAnsi="仿宋" w:eastAsia="仿宋" w:cs="仿宋"/>
          <w:b/>
          <w:bCs/>
          <w:color w:val="auto"/>
          <w:highlight w:val="none"/>
        </w:rPr>
      </w:pPr>
      <w:r>
        <w:rPr>
          <w:rStyle w:val="73"/>
          <w:rFonts w:hint="eastAsia" w:ascii="仿宋" w:hAnsi="仿宋" w:eastAsia="仿宋" w:cs="仿宋"/>
          <w:b/>
          <w:bCs/>
          <w:color w:val="auto"/>
          <w:highlight w:val="none"/>
        </w:rPr>
        <w:t>注：表中所述分项评审结果分两种：（1）合格用“√”表示；（2）不合格用“×”表示，评委对某一分项评审认为不合格时，必须要写明原因，凡有一项不符合者，其结论即为“不符合”。其竞标作为无效标，不进入后期评审阶段</w:t>
      </w:r>
      <w:r>
        <w:rPr>
          <w:rStyle w:val="73"/>
          <w:rFonts w:hint="eastAsia" w:ascii="仿宋" w:hAnsi="仿宋" w:eastAsia="仿宋" w:cs="仿宋"/>
          <w:b/>
          <w:bCs/>
          <w:color w:val="auto"/>
          <w:highlight w:val="none"/>
          <w:lang w:eastAsia="zh-CN"/>
        </w:rPr>
        <w:t>。</w:t>
      </w:r>
    </w:p>
    <w:p w14:paraId="44A98D40">
      <w:pPr>
        <w:tabs>
          <w:tab w:val="left" w:pos="900"/>
        </w:tabs>
        <w:outlineLvl w:val="9"/>
        <w:rPr>
          <w:rFonts w:hint="eastAsia" w:ascii="仿宋" w:hAnsi="仿宋" w:eastAsia="仿宋" w:cs="仿宋"/>
          <w:b/>
          <w:color w:val="auto"/>
          <w:sz w:val="24"/>
          <w:highlight w:val="none"/>
        </w:rPr>
      </w:pPr>
    </w:p>
    <w:p w14:paraId="3B3001DC">
      <w:pPr>
        <w:pStyle w:val="25"/>
        <w:rPr>
          <w:rFonts w:hint="eastAsia" w:ascii="仿宋" w:hAnsi="仿宋" w:eastAsia="仿宋" w:cs="仿宋"/>
          <w:b/>
          <w:color w:val="auto"/>
          <w:sz w:val="24"/>
          <w:highlight w:val="none"/>
        </w:rPr>
      </w:pPr>
    </w:p>
    <w:p w14:paraId="7A6B0AA6">
      <w:pPr>
        <w:rPr>
          <w:rFonts w:hint="eastAsia"/>
        </w:rPr>
      </w:pPr>
    </w:p>
    <w:p w14:paraId="644DF752">
      <w:pPr>
        <w:tabs>
          <w:tab w:val="left" w:pos="900"/>
        </w:tabs>
        <w:outlineLvl w:val="9"/>
        <w:rPr>
          <w:rFonts w:hint="eastAsia" w:ascii="仿宋" w:hAnsi="仿宋" w:eastAsia="仿宋" w:cs="仿宋"/>
          <w:b/>
          <w:color w:val="auto"/>
          <w:sz w:val="24"/>
          <w:highlight w:val="none"/>
        </w:rPr>
      </w:pPr>
    </w:p>
    <w:p w14:paraId="41D0FE6D">
      <w:pPr>
        <w:tabs>
          <w:tab w:val="left" w:pos="900"/>
        </w:tabs>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附表二</w:t>
      </w:r>
    </w:p>
    <w:p w14:paraId="7EC86C37">
      <w:pPr>
        <w:pStyle w:val="44"/>
        <w:spacing w:line="273" w:lineRule="atLeast"/>
        <w:jc w:val="center"/>
        <w:outlineLvl w:val="0"/>
        <w:rPr>
          <w:rFonts w:hint="eastAsia" w:ascii="仿宋" w:hAnsi="仿宋" w:eastAsia="仿宋" w:cs="仿宋"/>
          <w:b/>
          <w:color w:val="auto"/>
          <w:sz w:val="28"/>
          <w:szCs w:val="28"/>
          <w:highlight w:val="none"/>
          <w:lang w:val="en-US" w:eastAsia="zh-CN"/>
        </w:rPr>
      </w:pPr>
      <w:bookmarkStart w:id="36" w:name="_Toc16032"/>
      <w:bookmarkStart w:id="37" w:name="_Toc24818"/>
      <w:r>
        <w:rPr>
          <w:rFonts w:hint="eastAsia" w:ascii="仿宋" w:hAnsi="仿宋" w:eastAsia="仿宋" w:cs="仿宋"/>
          <w:b/>
          <w:color w:val="auto"/>
          <w:sz w:val="32"/>
          <w:szCs w:val="32"/>
          <w:highlight w:val="none"/>
        </w:rPr>
        <w:t>详细评审标准</w:t>
      </w:r>
      <w:bookmarkEnd w:id="36"/>
      <w:bookmarkEnd w:id="37"/>
    </w:p>
    <w:tbl>
      <w:tblPr>
        <w:tblStyle w:val="26"/>
        <w:tblW w:w="9359"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748"/>
        <w:gridCol w:w="1319"/>
        <w:gridCol w:w="6746"/>
        <w:gridCol w:w="546"/>
      </w:tblGrid>
      <w:tr w14:paraId="71F8954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853" w:hRule="atLeast"/>
          <w:jc w:val="center"/>
        </w:trPr>
        <w:tc>
          <w:tcPr>
            <w:tcW w:w="748" w:type="dxa"/>
            <w:tcBorders>
              <w:tl2br w:val="nil"/>
              <w:tr2bl w:val="nil"/>
            </w:tcBorders>
            <w:vAlign w:val="center"/>
          </w:tcPr>
          <w:p w14:paraId="7E95937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p w14:paraId="7CF3344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1319" w:type="dxa"/>
            <w:tcBorders>
              <w:tl2br w:val="nil"/>
              <w:tr2bl w:val="nil"/>
            </w:tcBorders>
            <w:vAlign w:val="center"/>
          </w:tcPr>
          <w:p w14:paraId="07FC16A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评分内容</w:t>
            </w:r>
          </w:p>
        </w:tc>
        <w:tc>
          <w:tcPr>
            <w:tcW w:w="7292" w:type="dxa"/>
            <w:gridSpan w:val="2"/>
            <w:tcBorders>
              <w:tl2br w:val="nil"/>
              <w:tr2bl w:val="nil"/>
            </w:tcBorders>
            <w:vAlign w:val="center"/>
          </w:tcPr>
          <w:p w14:paraId="4ACD1F9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评分方法</w:t>
            </w:r>
          </w:p>
        </w:tc>
      </w:tr>
      <w:tr w14:paraId="534A4E9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086" w:hRule="atLeast"/>
          <w:jc w:val="center"/>
        </w:trPr>
        <w:tc>
          <w:tcPr>
            <w:tcW w:w="748" w:type="dxa"/>
            <w:tcBorders>
              <w:tl2br w:val="nil"/>
              <w:tr2bl w:val="nil"/>
            </w:tcBorders>
            <w:vAlign w:val="center"/>
          </w:tcPr>
          <w:p w14:paraId="76D19389">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经济</w:t>
            </w:r>
          </w:p>
          <w:p w14:paraId="30E0C542">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bidi="ar-SA"/>
              </w:rPr>
              <w:t xml:space="preserve">部分      </w:t>
            </w:r>
          </w:p>
        </w:tc>
        <w:tc>
          <w:tcPr>
            <w:tcW w:w="1319" w:type="dxa"/>
            <w:tcBorders>
              <w:tl2br w:val="nil"/>
              <w:tr2bl w:val="nil"/>
            </w:tcBorders>
            <w:vAlign w:val="center"/>
          </w:tcPr>
          <w:p w14:paraId="73FEBA3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价格</w:t>
            </w:r>
          </w:p>
          <w:p w14:paraId="5205457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val="en-US" w:eastAsia="zh-CN"/>
              </w:rPr>
              <w:t>(0-30分）</w:t>
            </w:r>
          </w:p>
        </w:tc>
        <w:tc>
          <w:tcPr>
            <w:tcW w:w="6746" w:type="dxa"/>
            <w:tcBorders>
              <w:tl2br w:val="nil"/>
              <w:tr2bl w:val="nil"/>
            </w:tcBorders>
            <w:vAlign w:val="center"/>
          </w:tcPr>
          <w:p w14:paraId="50DC4FA4">
            <w:pPr>
              <w:pStyle w:val="44"/>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价格分应当采用低价优先法计算，即满足招标文件要求且最终投标价格最低的有效投标报价为评标基准价，其价格分为满分。其他供应商的价格分统一按照下列公式计算：</w:t>
            </w:r>
          </w:p>
          <w:p w14:paraId="6A42A554">
            <w:pPr>
              <w:pStyle w:val="44"/>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投标报价得分=(评标基准价/投标报价）×100*30%</w:t>
            </w:r>
          </w:p>
          <w:p w14:paraId="200C98EE">
            <w:pPr>
              <w:pStyle w:val="44"/>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zh-CN" w:eastAsia="zh-CN"/>
              </w:rPr>
              <w:t>评分分值计算保留小数点后两位，小数点后三位“四舍五入”。</w:t>
            </w:r>
          </w:p>
        </w:tc>
        <w:tc>
          <w:tcPr>
            <w:tcW w:w="546" w:type="dxa"/>
            <w:tcBorders>
              <w:tl2br w:val="nil"/>
              <w:tr2bl w:val="nil"/>
            </w:tcBorders>
            <w:vAlign w:val="center"/>
          </w:tcPr>
          <w:p w14:paraId="2A083EE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pacing w:val="0"/>
                <w:kern w:val="0"/>
                <w:sz w:val="21"/>
                <w:szCs w:val="21"/>
                <w:highlight w:val="none"/>
                <w:lang w:val="en-US" w:eastAsia="zh-CN"/>
              </w:rPr>
            </w:pPr>
            <w:r>
              <w:rPr>
                <w:rFonts w:hint="eastAsia" w:ascii="仿宋" w:hAnsi="仿宋" w:eastAsia="仿宋" w:cs="仿宋"/>
                <w:color w:val="auto"/>
                <w:spacing w:val="0"/>
                <w:kern w:val="0"/>
                <w:sz w:val="21"/>
                <w:szCs w:val="21"/>
                <w:highlight w:val="none"/>
                <w:lang w:val="en-US" w:eastAsia="zh-CN"/>
              </w:rPr>
              <w:t>客观</w:t>
            </w:r>
          </w:p>
        </w:tc>
      </w:tr>
      <w:tr w14:paraId="7CE83EE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263" w:hRule="atLeast"/>
          <w:jc w:val="center"/>
        </w:trPr>
        <w:tc>
          <w:tcPr>
            <w:tcW w:w="748" w:type="dxa"/>
            <w:vMerge w:val="restart"/>
            <w:tcBorders>
              <w:tl2br w:val="nil"/>
              <w:tr2bl w:val="nil"/>
            </w:tcBorders>
            <w:vAlign w:val="center"/>
          </w:tcPr>
          <w:p w14:paraId="66577767">
            <w:pPr>
              <w:pStyle w:val="44"/>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商</w:t>
            </w:r>
          </w:p>
          <w:p w14:paraId="44FC0C05">
            <w:pPr>
              <w:pStyle w:val="44"/>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务</w:t>
            </w:r>
          </w:p>
          <w:p w14:paraId="36B3D766">
            <w:pPr>
              <w:pStyle w:val="44"/>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部</w:t>
            </w:r>
          </w:p>
          <w:p w14:paraId="6143B734">
            <w:pPr>
              <w:pStyle w:val="44"/>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rPr>
              <w:t>分</w:t>
            </w:r>
          </w:p>
        </w:tc>
        <w:tc>
          <w:tcPr>
            <w:tcW w:w="1319" w:type="dxa"/>
            <w:tcBorders>
              <w:bottom w:val="single" w:color="auto" w:sz="4" w:space="0"/>
              <w:tl2br w:val="nil"/>
              <w:tr2bl w:val="nil"/>
            </w:tcBorders>
            <w:vAlign w:val="center"/>
          </w:tcPr>
          <w:p w14:paraId="744F379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类似</w:t>
            </w:r>
            <w:r>
              <w:rPr>
                <w:rFonts w:hint="eastAsia" w:ascii="仿宋" w:hAnsi="仿宋" w:eastAsia="仿宋" w:cs="仿宋"/>
                <w:color w:val="auto"/>
                <w:kern w:val="0"/>
                <w:sz w:val="21"/>
                <w:szCs w:val="21"/>
                <w:highlight w:val="none"/>
              </w:rPr>
              <w:t>业绩</w:t>
            </w:r>
          </w:p>
          <w:p w14:paraId="3247686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（0-4</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w:t>
            </w:r>
          </w:p>
        </w:tc>
        <w:tc>
          <w:tcPr>
            <w:tcW w:w="6746" w:type="dxa"/>
            <w:tcBorders>
              <w:bottom w:val="single" w:color="auto" w:sz="4" w:space="0"/>
              <w:tl2br w:val="nil"/>
              <w:tr2bl w:val="nil"/>
            </w:tcBorders>
            <w:vAlign w:val="center"/>
          </w:tcPr>
          <w:p w14:paraId="5B6B9964">
            <w:pPr>
              <w:pStyle w:val="44"/>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lang w:val="en-US" w:eastAsia="zh-CN" w:bidi="ar-SA"/>
              </w:rPr>
              <w:t>1、</w:t>
            </w:r>
            <w:r>
              <w:rPr>
                <w:rFonts w:hint="eastAsia" w:ascii="仿宋" w:hAnsi="仿宋" w:eastAsia="仿宋" w:cs="仿宋"/>
                <w:color w:val="auto"/>
                <w:spacing w:val="0"/>
                <w:sz w:val="21"/>
                <w:szCs w:val="21"/>
                <w:highlight w:val="none"/>
                <w:lang w:val="en-US" w:eastAsia="zh-CN"/>
              </w:rPr>
              <w:t>投标供应商近三年(2022年1月至今）类似项目业绩，以签订合同时间为准，提供中标（成交）通知书或合同作为证明材料，提供的业绩每满足一项得1分，满分2分。</w:t>
            </w:r>
          </w:p>
          <w:p w14:paraId="6CC72F29">
            <w:pPr>
              <w:pStyle w:val="44"/>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default"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lang w:val="en-US" w:eastAsia="zh-CN" w:bidi="ar-SA"/>
              </w:rPr>
              <w:t>2、</w:t>
            </w:r>
            <w:r>
              <w:rPr>
                <w:rFonts w:hint="eastAsia" w:ascii="仿宋" w:hAnsi="仿宋" w:eastAsia="仿宋" w:cs="仿宋"/>
                <w:color w:val="auto"/>
                <w:spacing w:val="0"/>
                <w:sz w:val="21"/>
                <w:szCs w:val="21"/>
                <w:highlight w:val="none"/>
                <w:lang w:val="en-US" w:eastAsia="zh-CN"/>
              </w:rPr>
              <w:t>投标产品近三年（2022年1月至今）以来类似业绩，最多提供2个，提供在投标文件中提供合同或中标（成交）通知书复印件并加盖投标人公章，以合同签订时间为准，一项业绩得1分，最高得分为2分。</w:t>
            </w:r>
          </w:p>
        </w:tc>
        <w:tc>
          <w:tcPr>
            <w:tcW w:w="546" w:type="dxa"/>
            <w:tcBorders>
              <w:bottom w:val="single" w:color="auto" w:sz="4" w:space="0"/>
              <w:tl2br w:val="nil"/>
              <w:tr2bl w:val="nil"/>
            </w:tcBorders>
            <w:vAlign w:val="center"/>
          </w:tcPr>
          <w:p w14:paraId="6F51FF69">
            <w:pPr>
              <w:pStyle w:val="44"/>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kern w:val="0"/>
                <w:sz w:val="21"/>
                <w:szCs w:val="21"/>
                <w:highlight w:val="none"/>
                <w:lang w:val="en-US" w:eastAsia="zh-CN"/>
              </w:rPr>
              <w:t>客观</w:t>
            </w:r>
          </w:p>
        </w:tc>
      </w:tr>
      <w:tr w14:paraId="147D002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263" w:hRule="atLeast"/>
          <w:jc w:val="center"/>
        </w:trPr>
        <w:tc>
          <w:tcPr>
            <w:tcW w:w="748" w:type="dxa"/>
            <w:vMerge w:val="continue"/>
            <w:tcBorders>
              <w:tl2br w:val="nil"/>
              <w:tr2bl w:val="nil"/>
            </w:tcBorders>
            <w:vAlign w:val="center"/>
          </w:tcPr>
          <w:p w14:paraId="47916150">
            <w:pPr>
              <w:pStyle w:val="44"/>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b/>
                <w:bCs w:val="0"/>
                <w:color w:val="auto"/>
                <w:sz w:val="24"/>
                <w:szCs w:val="24"/>
                <w:highlight w:val="none"/>
              </w:rPr>
            </w:pPr>
          </w:p>
        </w:tc>
        <w:tc>
          <w:tcPr>
            <w:tcW w:w="1319" w:type="dxa"/>
            <w:tcBorders>
              <w:bottom w:val="single" w:color="auto" w:sz="4" w:space="0"/>
              <w:tl2br w:val="nil"/>
              <w:tr2bl w:val="nil"/>
            </w:tcBorders>
            <w:shd w:val="clear" w:color="auto" w:fill="auto"/>
            <w:vAlign w:val="center"/>
          </w:tcPr>
          <w:p w14:paraId="34EF167E">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企业实力 </w:t>
            </w:r>
          </w:p>
          <w:p w14:paraId="656EE540">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（0-6分）</w:t>
            </w:r>
          </w:p>
        </w:tc>
        <w:tc>
          <w:tcPr>
            <w:tcW w:w="6746" w:type="dxa"/>
            <w:tcBorders>
              <w:bottom w:val="single" w:color="auto" w:sz="4" w:space="0"/>
              <w:tl2br w:val="nil"/>
              <w:tr2bl w:val="nil"/>
            </w:tcBorders>
            <w:shd w:val="clear" w:color="auto" w:fill="auto"/>
            <w:vAlign w:val="center"/>
          </w:tcPr>
          <w:p w14:paraId="27ADD5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 xml:space="preserve">①投标人或投标产品生产企业具有环境管理体系认证，得2分。 </w:t>
            </w:r>
          </w:p>
          <w:p w14:paraId="5B6393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 xml:space="preserve">②投标人或投标产品生产企业具有职业健康安全管理体系认证，得2分。 </w:t>
            </w:r>
          </w:p>
          <w:p w14:paraId="4D77825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③投标人或投标产品生产企业具有压力容器制造氧舱（A5) 特种设备生产许可证），得2分。</w:t>
            </w:r>
          </w:p>
          <w:p w14:paraId="24D222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outlineLvl w:val="9"/>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sz w:val="21"/>
                <w:szCs w:val="21"/>
                <w:highlight w:val="none"/>
                <w:lang w:val="en-US" w:eastAsia="zh-CN"/>
              </w:rPr>
              <w:t>以上证件不提供不得分</w:t>
            </w:r>
          </w:p>
        </w:tc>
        <w:tc>
          <w:tcPr>
            <w:tcW w:w="546" w:type="dxa"/>
            <w:tcBorders>
              <w:bottom w:val="single" w:color="auto" w:sz="4" w:space="0"/>
              <w:tl2br w:val="nil"/>
              <w:tr2bl w:val="nil"/>
            </w:tcBorders>
            <w:vAlign w:val="center"/>
          </w:tcPr>
          <w:p w14:paraId="2C1A2AFB">
            <w:pPr>
              <w:pStyle w:val="44"/>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pacing w:val="0"/>
                <w:kern w:val="0"/>
                <w:sz w:val="21"/>
                <w:szCs w:val="21"/>
                <w:highlight w:val="none"/>
                <w:lang w:val="en-US" w:eastAsia="zh-CN"/>
              </w:rPr>
            </w:pPr>
            <w:r>
              <w:rPr>
                <w:rFonts w:hint="eastAsia" w:ascii="仿宋" w:hAnsi="仿宋" w:eastAsia="仿宋" w:cs="仿宋"/>
                <w:color w:val="auto"/>
                <w:spacing w:val="0"/>
                <w:kern w:val="0"/>
                <w:sz w:val="21"/>
                <w:szCs w:val="21"/>
                <w:highlight w:val="none"/>
                <w:lang w:val="en-US" w:eastAsia="zh-CN"/>
              </w:rPr>
              <w:t>客观</w:t>
            </w:r>
          </w:p>
        </w:tc>
      </w:tr>
      <w:tr w14:paraId="4E10630E">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154" w:hRule="atLeast"/>
          <w:jc w:val="center"/>
        </w:trPr>
        <w:tc>
          <w:tcPr>
            <w:tcW w:w="748" w:type="dxa"/>
            <w:vMerge w:val="continue"/>
            <w:tcBorders>
              <w:bottom w:val="single" w:color="auto" w:sz="4" w:space="0"/>
              <w:tl2br w:val="nil"/>
              <w:tr2bl w:val="nil"/>
            </w:tcBorders>
            <w:vAlign w:val="center"/>
          </w:tcPr>
          <w:p w14:paraId="270484D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b/>
                <w:bCs w:val="0"/>
                <w:color w:val="auto"/>
                <w:sz w:val="24"/>
                <w:szCs w:val="24"/>
                <w:highlight w:val="none"/>
                <w:lang w:val="en-US" w:eastAsia="zh-CN"/>
              </w:rPr>
            </w:pPr>
          </w:p>
        </w:tc>
        <w:tc>
          <w:tcPr>
            <w:tcW w:w="1319" w:type="dxa"/>
            <w:tcBorders>
              <w:bottom w:val="single" w:color="auto" w:sz="4" w:space="0"/>
              <w:tl2br w:val="nil"/>
              <w:tr2bl w:val="nil"/>
            </w:tcBorders>
            <w:vAlign w:val="center"/>
          </w:tcPr>
          <w:p w14:paraId="081BF433">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售后服务（0-4分）</w:t>
            </w:r>
          </w:p>
        </w:tc>
        <w:tc>
          <w:tcPr>
            <w:tcW w:w="6746" w:type="dxa"/>
            <w:tcBorders>
              <w:top w:val="single" w:color="auto" w:sz="4" w:space="0"/>
              <w:tl2br w:val="nil"/>
              <w:tr2bl w:val="nil"/>
            </w:tcBorders>
            <w:vAlign w:val="center"/>
          </w:tcPr>
          <w:p w14:paraId="7045C00A">
            <w:pPr>
              <w:pStyle w:val="4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在新疆地区有固定的售后服务地点，需提供场地证明材料（房屋产权证或租赁合同）。</w:t>
            </w:r>
          </w:p>
          <w:p w14:paraId="5338A6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有售后服务地点且证明材料齐全得4分，未提供不得分。</w:t>
            </w:r>
          </w:p>
        </w:tc>
        <w:tc>
          <w:tcPr>
            <w:tcW w:w="546" w:type="dxa"/>
            <w:tcBorders>
              <w:top w:val="single" w:color="auto" w:sz="4" w:space="0"/>
              <w:tl2br w:val="nil"/>
              <w:tr2bl w:val="nil"/>
            </w:tcBorders>
            <w:vAlign w:val="center"/>
          </w:tcPr>
          <w:p w14:paraId="315ABA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kern w:val="0"/>
                <w:sz w:val="21"/>
                <w:szCs w:val="21"/>
                <w:highlight w:val="none"/>
                <w:lang w:val="en-US" w:eastAsia="zh-CN"/>
              </w:rPr>
              <w:t>客观</w:t>
            </w:r>
          </w:p>
        </w:tc>
      </w:tr>
      <w:tr w14:paraId="378A4C8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jc w:val="center"/>
        </w:trPr>
        <w:tc>
          <w:tcPr>
            <w:tcW w:w="748" w:type="dxa"/>
            <w:vMerge w:val="restart"/>
            <w:tcBorders>
              <w:top w:val="single" w:color="auto" w:sz="4" w:space="0"/>
              <w:tl2br w:val="nil"/>
              <w:tr2bl w:val="nil"/>
            </w:tcBorders>
            <w:vAlign w:val="center"/>
          </w:tcPr>
          <w:p w14:paraId="449FDB17">
            <w:pPr>
              <w:pStyle w:val="44"/>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技</w:t>
            </w:r>
          </w:p>
          <w:p w14:paraId="0F649B7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术</w:t>
            </w:r>
          </w:p>
          <w:p w14:paraId="382AB08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部</w:t>
            </w:r>
          </w:p>
          <w:p w14:paraId="3BF9B3B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b/>
                <w:bCs w:val="0"/>
                <w:color w:val="auto"/>
                <w:sz w:val="24"/>
                <w:szCs w:val="24"/>
                <w:highlight w:val="none"/>
                <w:lang w:val="en-US" w:eastAsia="zh-CN"/>
              </w:rPr>
              <w:t>分</w:t>
            </w:r>
          </w:p>
        </w:tc>
        <w:tc>
          <w:tcPr>
            <w:tcW w:w="1319" w:type="dxa"/>
            <w:tcBorders>
              <w:top w:val="single" w:color="auto" w:sz="4" w:space="0"/>
              <w:tl2br w:val="nil"/>
              <w:tr2bl w:val="nil"/>
            </w:tcBorders>
            <w:vAlign w:val="center"/>
          </w:tcPr>
          <w:p w14:paraId="020C88B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技术</w:t>
            </w:r>
            <w:r>
              <w:rPr>
                <w:rFonts w:hint="eastAsia" w:ascii="仿宋" w:hAnsi="仿宋" w:eastAsia="仿宋" w:cs="仿宋"/>
                <w:color w:val="auto"/>
                <w:sz w:val="21"/>
                <w:szCs w:val="21"/>
                <w:highlight w:val="none"/>
                <w:lang w:val="en-US" w:eastAsia="zh-CN"/>
              </w:rPr>
              <w:t>参数</w:t>
            </w:r>
          </w:p>
          <w:p w14:paraId="2F517BF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响应程度</w:t>
            </w:r>
          </w:p>
          <w:p w14:paraId="1DD71B1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0-30分）</w:t>
            </w:r>
          </w:p>
        </w:tc>
        <w:tc>
          <w:tcPr>
            <w:tcW w:w="6746" w:type="dxa"/>
            <w:tcBorders>
              <w:tl2br w:val="nil"/>
              <w:tr2bl w:val="nil"/>
            </w:tcBorders>
            <w:vAlign w:val="center"/>
          </w:tcPr>
          <w:p w14:paraId="3EA21F22">
            <w:pPr>
              <w:pStyle w:val="21"/>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满足招标文件技术指标、参数要求的得30分，以此为基础，投标人技术指标、参数低于招标文件规定的相应技术指标、参数的，有一项减1分，减完为止。</w:t>
            </w:r>
          </w:p>
          <w:p w14:paraId="3F3571B9">
            <w:pPr>
              <w:pStyle w:val="21"/>
              <w:keepNext w:val="0"/>
              <w:keepLines w:val="0"/>
              <w:pageBreakBefore w:val="0"/>
              <w:widowControl w:val="0"/>
              <w:kinsoku/>
              <w:wordWrap/>
              <w:overflowPunct/>
              <w:topLinePunct w:val="0"/>
              <w:autoSpaceDE/>
              <w:autoSpaceDN/>
              <w:bidi w:val="0"/>
              <w:adjustRightInd/>
              <w:spacing w:line="440" w:lineRule="exact"/>
              <w:textAlignment w:val="auto"/>
              <w:outlineLvl w:val="9"/>
              <w:rPr>
                <w:rFonts w:hint="default"/>
                <w:lang w:val="en-US" w:eastAsia="zh-CN"/>
              </w:rPr>
            </w:pPr>
            <w:r>
              <w:rPr>
                <w:rFonts w:hint="eastAsia" w:ascii="仿宋" w:hAnsi="仿宋" w:eastAsia="仿宋" w:cs="仿宋"/>
                <w:color w:val="auto"/>
                <w:spacing w:val="0"/>
                <w:kern w:val="2"/>
                <w:sz w:val="21"/>
                <w:szCs w:val="21"/>
                <w:highlight w:val="none"/>
                <w:lang w:val="en-US" w:eastAsia="zh-CN" w:bidi="ar-SA"/>
              </w:rPr>
              <w:t>注：投标时提供对应的证明材料，包含但不限于（证明材料为第三方检测机构出具的检测报告、鉴定证书、技术白皮书、说明书、技术规格彩页、功能截图等），必须在技术偏离表中点对点注明相关证明材料在投标文件中的页码，若未提供有效证明材料或不符合要求的，视为不响应技术参数，则该参数将被视为不满足招标文件要求</w:t>
            </w:r>
          </w:p>
        </w:tc>
        <w:tc>
          <w:tcPr>
            <w:tcW w:w="546" w:type="dxa"/>
            <w:tcBorders>
              <w:tl2br w:val="nil"/>
              <w:tr2bl w:val="nil"/>
            </w:tcBorders>
            <w:vAlign w:val="center"/>
          </w:tcPr>
          <w:p w14:paraId="4E4D119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b/>
                <w:bCs/>
                <w:color w:val="auto"/>
                <w:spacing w:val="0"/>
                <w:sz w:val="21"/>
                <w:szCs w:val="21"/>
                <w:highlight w:val="none"/>
                <w:lang w:val="en-US" w:eastAsia="zh-CN"/>
              </w:rPr>
            </w:pPr>
            <w:r>
              <w:rPr>
                <w:rFonts w:hint="eastAsia" w:ascii="仿宋" w:hAnsi="仿宋" w:eastAsia="仿宋" w:cs="仿宋"/>
                <w:color w:val="auto"/>
                <w:spacing w:val="0"/>
                <w:kern w:val="0"/>
                <w:sz w:val="21"/>
                <w:szCs w:val="21"/>
                <w:highlight w:val="none"/>
                <w:lang w:val="en-US" w:eastAsia="zh-CN"/>
              </w:rPr>
              <w:t>客观</w:t>
            </w:r>
          </w:p>
        </w:tc>
      </w:tr>
      <w:tr w14:paraId="4A6AFD0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8" w:hRule="atLeast"/>
          <w:jc w:val="center"/>
        </w:trPr>
        <w:tc>
          <w:tcPr>
            <w:tcW w:w="748" w:type="dxa"/>
            <w:vMerge w:val="continue"/>
            <w:tcBorders>
              <w:tl2br w:val="nil"/>
              <w:tr2bl w:val="nil"/>
            </w:tcBorders>
            <w:vAlign w:val="center"/>
          </w:tcPr>
          <w:p w14:paraId="53CA7BF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val="en-US" w:eastAsia="zh-CN"/>
              </w:rPr>
            </w:pPr>
          </w:p>
        </w:tc>
        <w:tc>
          <w:tcPr>
            <w:tcW w:w="1319" w:type="dxa"/>
            <w:tcBorders>
              <w:tl2br w:val="nil"/>
              <w:tr2bl w:val="nil"/>
            </w:tcBorders>
            <w:vAlign w:val="center"/>
          </w:tcPr>
          <w:p w14:paraId="4EA4762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项目实施</w:t>
            </w:r>
          </w:p>
          <w:p w14:paraId="0B0A45C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方案</w:t>
            </w:r>
          </w:p>
          <w:p w14:paraId="3D525FE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（0-10</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w:t>
            </w:r>
          </w:p>
        </w:tc>
        <w:tc>
          <w:tcPr>
            <w:tcW w:w="6746" w:type="dxa"/>
            <w:tcBorders>
              <w:bottom w:val="single" w:color="auto" w:sz="4" w:space="0"/>
              <w:tl2br w:val="nil"/>
              <w:tr2bl w:val="nil"/>
            </w:tcBorders>
            <w:vAlign w:val="center"/>
          </w:tcPr>
          <w:p w14:paraId="7EB27455">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color w:val="auto"/>
                <w:spacing w:val="0"/>
                <w:kern w:val="0"/>
                <w:sz w:val="21"/>
                <w:szCs w:val="21"/>
                <w:highlight w:val="none"/>
                <w:lang w:val="en-US" w:eastAsia="zh-CN"/>
              </w:rPr>
            </w:pPr>
            <w:r>
              <w:rPr>
                <w:rFonts w:hint="eastAsia" w:ascii="仿宋" w:hAnsi="仿宋" w:eastAsia="仿宋" w:cs="仿宋"/>
                <w:color w:val="auto"/>
                <w:spacing w:val="0"/>
                <w:kern w:val="0"/>
                <w:sz w:val="21"/>
                <w:szCs w:val="21"/>
                <w:highlight w:val="none"/>
                <w:lang w:val="en-US" w:eastAsia="zh-CN"/>
              </w:rPr>
              <w:t>根据本项目特点及分析，制定项目实施方案，包括项目总体实施方案、项目实施难点分析、项目组织与协调方案、供货保障方案、项目验收方案、进度控制方案、质量控制方案、安全管理方案、设备调试方案、应急方案。以上方案内容完整得10分，每缺少一项内容扣1分，扣完为止。</w:t>
            </w:r>
          </w:p>
        </w:tc>
        <w:tc>
          <w:tcPr>
            <w:tcW w:w="546" w:type="dxa"/>
            <w:tcBorders>
              <w:bottom w:val="single" w:color="auto" w:sz="4" w:space="0"/>
              <w:tl2br w:val="nil"/>
              <w:tr2bl w:val="nil"/>
            </w:tcBorders>
            <w:vAlign w:val="center"/>
          </w:tcPr>
          <w:p w14:paraId="09726543">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default" w:ascii="仿宋" w:hAnsi="仿宋" w:eastAsia="仿宋" w:cs="仿宋"/>
                <w:color w:val="auto"/>
                <w:spacing w:val="0"/>
                <w:kern w:val="0"/>
                <w:sz w:val="21"/>
                <w:szCs w:val="21"/>
                <w:highlight w:val="none"/>
                <w:lang w:val="en-US" w:eastAsia="zh-CN"/>
              </w:rPr>
            </w:pPr>
            <w:r>
              <w:rPr>
                <w:rFonts w:hint="eastAsia" w:ascii="仿宋" w:hAnsi="仿宋" w:eastAsia="仿宋" w:cs="仿宋"/>
                <w:color w:val="auto"/>
                <w:spacing w:val="0"/>
                <w:kern w:val="0"/>
                <w:sz w:val="21"/>
                <w:szCs w:val="21"/>
                <w:highlight w:val="none"/>
                <w:lang w:val="en-US" w:eastAsia="zh-CN"/>
              </w:rPr>
              <w:t>主观</w:t>
            </w:r>
          </w:p>
        </w:tc>
      </w:tr>
      <w:tr w14:paraId="2269292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909" w:hRule="atLeast"/>
          <w:jc w:val="center"/>
        </w:trPr>
        <w:tc>
          <w:tcPr>
            <w:tcW w:w="748" w:type="dxa"/>
            <w:vMerge w:val="continue"/>
            <w:tcBorders>
              <w:tl2br w:val="nil"/>
              <w:tr2bl w:val="nil"/>
            </w:tcBorders>
            <w:vAlign w:val="center"/>
          </w:tcPr>
          <w:p w14:paraId="647704D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val="en-US" w:eastAsia="zh-CN"/>
              </w:rPr>
            </w:pPr>
          </w:p>
        </w:tc>
        <w:tc>
          <w:tcPr>
            <w:tcW w:w="1319" w:type="dxa"/>
            <w:tcBorders>
              <w:tl2br w:val="nil"/>
              <w:tr2bl w:val="nil"/>
            </w:tcBorders>
            <w:vAlign w:val="center"/>
          </w:tcPr>
          <w:p w14:paraId="1D4F81C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培训方案（0-8</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w:t>
            </w:r>
          </w:p>
        </w:tc>
        <w:tc>
          <w:tcPr>
            <w:tcW w:w="6746" w:type="dxa"/>
            <w:tcBorders>
              <w:tl2br w:val="nil"/>
              <w:tr2bl w:val="nil"/>
            </w:tcBorders>
            <w:vAlign w:val="center"/>
          </w:tcPr>
          <w:p w14:paraId="025B8033">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color w:val="auto"/>
                <w:spacing w:val="0"/>
                <w:kern w:val="0"/>
                <w:sz w:val="21"/>
                <w:szCs w:val="21"/>
                <w:highlight w:val="none"/>
                <w:lang w:val="en-US" w:eastAsia="zh-CN"/>
              </w:rPr>
            </w:pPr>
            <w:r>
              <w:rPr>
                <w:rFonts w:hint="eastAsia" w:ascii="仿宋" w:hAnsi="仿宋" w:eastAsia="仿宋" w:cs="仿宋"/>
                <w:color w:val="auto"/>
                <w:spacing w:val="0"/>
                <w:kern w:val="0"/>
                <w:sz w:val="21"/>
                <w:szCs w:val="21"/>
                <w:highlight w:val="none"/>
                <w:lang w:val="en-US" w:eastAsia="zh-CN"/>
              </w:rPr>
              <w:t>投标供应商应针对本项目提出合理可行的培训方案，包括但不限于培训组织架构、培训对象和内容、培训方式、培训流程、培训日程安排等；</w:t>
            </w:r>
          </w:p>
          <w:p w14:paraId="509125A3">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color w:val="auto"/>
                <w:spacing w:val="0"/>
                <w:kern w:val="0"/>
                <w:sz w:val="21"/>
                <w:szCs w:val="21"/>
                <w:highlight w:val="none"/>
                <w:lang w:val="en-US" w:eastAsia="zh-CN"/>
              </w:rPr>
            </w:pPr>
            <w:r>
              <w:rPr>
                <w:rFonts w:hint="eastAsia" w:ascii="仿宋" w:hAnsi="仿宋" w:eastAsia="仿宋" w:cs="仿宋"/>
                <w:color w:val="auto"/>
                <w:spacing w:val="0"/>
                <w:kern w:val="0"/>
                <w:sz w:val="21"/>
                <w:szCs w:val="21"/>
                <w:highlight w:val="none"/>
                <w:lang w:val="en-US" w:eastAsia="zh-CN"/>
              </w:rPr>
              <w:t>培训</w:t>
            </w:r>
            <w:r>
              <w:rPr>
                <w:rFonts w:hint="eastAsia" w:ascii="仿宋" w:hAnsi="仿宋" w:eastAsia="仿宋" w:cs="仿宋"/>
                <w:color w:val="auto"/>
                <w:spacing w:val="0"/>
                <w:sz w:val="21"/>
                <w:szCs w:val="21"/>
                <w:highlight w:val="none"/>
                <w:lang w:val="en-US" w:eastAsia="zh-CN"/>
              </w:rPr>
              <w:t>方案</w:t>
            </w:r>
            <w:r>
              <w:rPr>
                <w:rFonts w:hint="eastAsia" w:ascii="仿宋" w:hAnsi="仿宋" w:eastAsia="仿宋" w:cs="仿宋"/>
                <w:color w:val="auto"/>
                <w:spacing w:val="0"/>
                <w:kern w:val="0"/>
                <w:sz w:val="21"/>
                <w:szCs w:val="21"/>
                <w:highlight w:val="none"/>
                <w:lang w:val="en-US" w:eastAsia="zh-CN"/>
              </w:rPr>
              <w:t>内容详细、合理，培训人员专业技术能力强，可完全实现培训目标，得8分；</w:t>
            </w:r>
          </w:p>
          <w:p w14:paraId="24C07452">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color w:val="auto"/>
                <w:spacing w:val="0"/>
                <w:kern w:val="0"/>
                <w:sz w:val="21"/>
                <w:szCs w:val="21"/>
                <w:highlight w:val="none"/>
                <w:lang w:val="en-US" w:eastAsia="zh-CN"/>
              </w:rPr>
            </w:pPr>
            <w:r>
              <w:rPr>
                <w:rFonts w:hint="eastAsia" w:ascii="仿宋" w:hAnsi="仿宋" w:eastAsia="仿宋" w:cs="仿宋"/>
                <w:color w:val="auto"/>
                <w:spacing w:val="0"/>
                <w:kern w:val="0"/>
                <w:sz w:val="21"/>
                <w:szCs w:val="21"/>
                <w:highlight w:val="none"/>
                <w:lang w:val="en-US" w:eastAsia="zh-CN"/>
              </w:rPr>
              <w:t>有培训</w:t>
            </w:r>
            <w:r>
              <w:rPr>
                <w:rFonts w:hint="eastAsia" w:ascii="仿宋" w:hAnsi="仿宋" w:eastAsia="仿宋" w:cs="仿宋"/>
                <w:color w:val="auto"/>
                <w:spacing w:val="0"/>
                <w:sz w:val="21"/>
                <w:szCs w:val="21"/>
                <w:highlight w:val="none"/>
                <w:lang w:val="en-US" w:eastAsia="zh-CN"/>
              </w:rPr>
              <w:t>方案</w:t>
            </w:r>
            <w:r>
              <w:rPr>
                <w:rFonts w:hint="eastAsia" w:ascii="仿宋" w:hAnsi="仿宋" w:eastAsia="仿宋" w:cs="仿宋"/>
                <w:color w:val="auto"/>
                <w:spacing w:val="0"/>
                <w:kern w:val="0"/>
                <w:sz w:val="21"/>
                <w:szCs w:val="21"/>
                <w:highlight w:val="none"/>
                <w:lang w:val="en-US" w:eastAsia="zh-CN"/>
              </w:rPr>
              <w:t>内容及专业培训人员，可基本实现培训目标，得4分；</w:t>
            </w:r>
          </w:p>
          <w:p w14:paraId="60C9E8C3">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color w:val="auto"/>
                <w:spacing w:val="0"/>
                <w:kern w:val="0"/>
                <w:sz w:val="21"/>
                <w:szCs w:val="21"/>
                <w:highlight w:val="none"/>
                <w:lang w:val="en-US" w:eastAsia="zh-CN"/>
              </w:rPr>
            </w:pPr>
            <w:r>
              <w:rPr>
                <w:rFonts w:hint="eastAsia" w:ascii="仿宋" w:hAnsi="仿宋" w:eastAsia="仿宋" w:cs="仿宋"/>
                <w:color w:val="auto"/>
                <w:spacing w:val="0"/>
                <w:kern w:val="0"/>
                <w:sz w:val="21"/>
                <w:szCs w:val="21"/>
                <w:highlight w:val="none"/>
                <w:lang w:val="en-US" w:eastAsia="zh-CN"/>
              </w:rPr>
              <w:t>培训</w:t>
            </w:r>
            <w:r>
              <w:rPr>
                <w:rFonts w:hint="eastAsia" w:ascii="仿宋" w:hAnsi="仿宋" w:eastAsia="仿宋" w:cs="仿宋"/>
                <w:color w:val="auto"/>
                <w:spacing w:val="0"/>
                <w:sz w:val="21"/>
                <w:szCs w:val="21"/>
                <w:highlight w:val="none"/>
                <w:lang w:val="en-US" w:eastAsia="zh-CN"/>
              </w:rPr>
              <w:t>方案</w:t>
            </w:r>
            <w:r>
              <w:rPr>
                <w:rFonts w:hint="eastAsia" w:ascii="仿宋" w:hAnsi="仿宋" w:eastAsia="仿宋" w:cs="仿宋"/>
                <w:color w:val="auto"/>
                <w:spacing w:val="0"/>
                <w:kern w:val="0"/>
                <w:sz w:val="21"/>
                <w:szCs w:val="21"/>
                <w:highlight w:val="none"/>
                <w:lang w:val="en-US" w:eastAsia="zh-CN"/>
              </w:rPr>
              <w:t>内容简单，缺乏针对性的，无法实现培训目标的，得1分；</w:t>
            </w:r>
          </w:p>
          <w:p w14:paraId="6D498257">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color w:val="auto"/>
                <w:spacing w:val="0"/>
                <w:kern w:val="0"/>
                <w:sz w:val="21"/>
                <w:szCs w:val="21"/>
                <w:highlight w:val="none"/>
                <w:lang w:val="en-US" w:eastAsia="zh-CN"/>
              </w:rPr>
            </w:pPr>
            <w:r>
              <w:rPr>
                <w:rFonts w:hint="eastAsia" w:ascii="仿宋" w:hAnsi="仿宋" w:eastAsia="仿宋" w:cs="仿宋"/>
                <w:color w:val="auto"/>
                <w:spacing w:val="0"/>
                <w:kern w:val="0"/>
                <w:sz w:val="21"/>
                <w:szCs w:val="21"/>
                <w:highlight w:val="none"/>
                <w:lang w:val="en-US" w:eastAsia="zh-CN"/>
              </w:rPr>
              <w:t>未提供培训</w:t>
            </w:r>
            <w:r>
              <w:rPr>
                <w:rFonts w:hint="eastAsia" w:ascii="仿宋" w:hAnsi="仿宋" w:eastAsia="仿宋" w:cs="仿宋"/>
                <w:color w:val="auto"/>
                <w:spacing w:val="0"/>
                <w:sz w:val="21"/>
                <w:szCs w:val="21"/>
                <w:highlight w:val="none"/>
                <w:lang w:val="en-US" w:eastAsia="zh-CN"/>
              </w:rPr>
              <w:t>方案</w:t>
            </w:r>
            <w:r>
              <w:rPr>
                <w:rFonts w:hint="eastAsia" w:ascii="仿宋" w:hAnsi="仿宋" w:eastAsia="仿宋" w:cs="仿宋"/>
                <w:color w:val="auto"/>
                <w:spacing w:val="0"/>
                <w:kern w:val="0"/>
                <w:sz w:val="21"/>
                <w:szCs w:val="21"/>
                <w:highlight w:val="none"/>
                <w:lang w:val="en-US" w:eastAsia="zh-CN"/>
              </w:rPr>
              <w:t>的，不得分。</w:t>
            </w:r>
          </w:p>
        </w:tc>
        <w:tc>
          <w:tcPr>
            <w:tcW w:w="546" w:type="dxa"/>
            <w:tcBorders>
              <w:tl2br w:val="nil"/>
              <w:tr2bl w:val="nil"/>
            </w:tcBorders>
            <w:vAlign w:val="center"/>
          </w:tcPr>
          <w:p w14:paraId="4ECDD40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pacing w:val="0"/>
                <w:kern w:val="0"/>
                <w:sz w:val="21"/>
                <w:szCs w:val="21"/>
                <w:highlight w:val="none"/>
                <w:lang w:val="en-US" w:eastAsia="zh-CN"/>
              </w:rPr>
            </w:pPr>
            <w:r>
              <w:rPr>
                <w:rFonts w:hint="eastAsia" w:ascii="仿宋" w:hAnsi="仿宋" w:eastAsia="仿宋" w:cs="仿宋"/>
                <w:color w:val="auto"/>
                <w:spacing w:val="0"/>
                <w:kern w:val="0"/>
                <w:sz w:val="21"/>
                <w:szCs w:val="21"/>
                <w:highlight w:val="none"/>
                <w:lang w:val="en-US" w:eastAsia="zh-CN"/>
              </w:rPr>
              <w:t>主观</w:t>
            </w:r>
          </w:p>
        </w:tc>
      </w:tr>
      <w:tr w14:paraId="2ACC889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321" w:hRule="atLeast"/>
          <w:jc w:val="center"/>
        </w:trPr>
        <w:tc>
          <w:tcPr>
            <w:tcW w:w="748" w:type="dxa"/>
            <w:vMerge w:val="continue"/>
            <w:tcBorders>
              <w:tl2br w:val="nil"/>
              <w:tr2bl w:val="nil"/>
            </w:tcBorders>
            <w:vAlign w:val="center"/>
          </w:tcPr>
          <w:p w14:paraId="54BF094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val="en-US" w:eastAsia="zh-CN"/>
              </w:rPr>
            </w:pPr>
          </w:p>
        </w:tc>
        <w:tc>
          <w:tcPr>
            <w:tcW w:w="1319" w:type="dxa"/>
            <w:tcBorders>
              <w:tl2br w:val="nil"/>
              <w:tr2bl w:val="nil"/>
            </w:tcBorders>
            <w:vAlign w:val="center"/>
          </w:tcPr>
          <w:p w14:paraId="2C6BC58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售后服务</w:t>
            </w:r>
            <w:r>
              <w:rPr>
                <w:rFonts w:hint="eastAsia" w:ascii="仿宋" w:hAnsi="仿宋" w:eastAsia="仿宋" w:cs="仿宋"/>
                <w:color w:val="auto"/>
                <w:kern w:val="0"/>
                <w:sz w:val="21"/>
                <w:szCs w:val="21"/>
                <w:highlight w:val="none"/>
                <w:lang w:val="en-US" w:eastAsia="zh-CN"/>
              </w:rPr>
              <w:t>方案及承诺</w:t>
            </w:r>
          </w:p>
          <w:p w14:paraId="16FB518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（0-8</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w:t>
            </w:r>
          </w:p>
        </w:tc>
        <w:tc>
          <w:tcPr>
            <w:tcW w:w="6746" w:type="dxa"/>
            <w:tcBorders>
              <w:bottom w:val="single" w:color="auto" w:sz="4" w:space="0"/>
              <w:tl2br w:val="nil"/>
              <w:tr2bl w:val="nil"/>
            </w:tcBorders>
            <w:vAlign w:val="center"/>
          </w:tcPr>
          <w:p w14:paraId="4CA3F4A8">
            <w:pPr>
              <w:pStyle w:val="4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kern w:val="0"/>
                <w:sz w:val="21"/>
                <w:szCs w:val="21"/>
                <w:highlight w:val="none"/>
                <w:lang w:val="en-US" w:eastAsia="zh-CN"/>
              </w:rPr>
              <w:t>投标供应商需</w:t>
            </w:r>
            <w:r>
              <w:rPr>
                <w:rFonts w:hint="eastAsia" w:ascii="仿宋" w:hAnsi="仿宋" w:eastAsia="仿宋" w:cs="仿宋"/>
                <w:color w:val="auto"/>
                <w:spacing w:val="0"/>
                <w:sz w:val="21"/>
                <w:szCs w:val="21"/>
                <w:highlight w:val="none"/>
                <w:lang w:val="en-US" w:eastAsia="zh-CN"/>
              </w:rPr>
              <w:t>针对本项目提供售后服务方案及承诺，包括</w:t>
            </w:r>
            <w:r>
              <w:rPr>
                <w:rFonts w:hint="eastAsia" w:ascii="仿宋" w:hAnsi="仿宋" w:eastAsia="仿宋" w:cs="仿宋"/>
                <w:b w:val="0"/>
                <w:bCs w:val="0"/>
                <w:color w:val="auto"/>
                <w:spacing w:val="0"/>
                <w:sz w:val="21"/>
                <w:szCs w:val="21"/>
                <w:highlight w:val="none"/>
                <w:lang w:val="en-US" w:eastAsia="zh-CN"/>
              </w:rPr>
              <w:t>详细的售后服务保障体系和保内保外售后服务内容及措施，技术支持范围、耗材清单及价格、零配件供应的可靠性等。</w:t>
            </w:r>
          </w:p>
          <w:p w14:paraId="46DE5CAA">
            <w:pPr>
              <w:pStyle w:val="4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方案及承诺内容齐全、合理可行，完全满足项目需求，得8分；</w:t>
            </w:r>
          </w:p>
          <w:p w14:paraId="0992C0C2">
            <w:pPr>
              <w:pStyle w:val="4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方案及承诺内容稍有欠缺、基本合理可行，可基本满足项目需求，得4分；</w:t>
            </w:r>
          </w:p>
          <w:p w14:paraId="53247E03">
            <w:pPr>
              <w:pStyle w:val="4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方案及承诺内容简单、合理可行程度较低，不满足项目需求，得1分；</w:t>
            </w:r>
          </w:p>
          <w:p w14:paraId="6FF0C4B9">
            <w:pPr>
              <w:pStyle w:val="4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outlineLvl w:val="9"/>
              <w:rPr>
                <w:rFonts w:hint="default"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无方案及承诺的，得0分。</w:t>
            </w:r>
          </w:p>
        </w:tc>
        <w:tc>
          <w:tcPr>
            <w:tcW w:w="546" w:type="dxa"/>
            <w:tcBorders>
              <w:bottom w:val="single" w:color="auto" w:sz="4" w:space="0"/>
              <w:tl2br w:val="nil"/>
              <w:tr2bl w:val="nil"/>
            </w:tcBorders>
            <w:vAlign w:val="center"/>
          </w:tcPr>
          <w:p w14:paraId="63522A26">
            <w:pPr>
              <w:pStyle w:val="4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kern w:val="0"/>
                <w:sz w:val="21"/>
                <w:szCs w:val="21"/>
                <w:highlight w:val="none"/>
                <w:lang w:val="en-US" w:eastAsia="zh-CN"/>
              </w:rPr>
              <w:t>主观</w:t>
            </w:r>
          </w:p>
        </w:tc>
      </w:tr>
      <w:tr w14:paraId="6151D0F1">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294" w:hRule="atLeast"/>
          <w:jc w:val="center"/>
        </w:trPr>
        <w:tc>
          <w:tcPr>
            <w:tcW w:w="9359" w:type="dxa"/>
            <w:gridSpan w:val="4"/>
            <w:tcBorders>
              <w:tl2br w:val="nil"/>
              <w:tr2bl w:val="nil"/>
            </w:tcBorders>
            <w:vAlign w:val="center"/>
          </w:tcPr>
          <w:p w14:paraId="225B33EE">
            <w:pPr>
              <w:pStyle w:val="21"/>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 xml:space="preserve">注：1、供应商商务、技术部分最终得分为评审专家此部分打分的算术平均值；评分分值计算保留小数点后两位，小数点后三位“四舍五入”。 </w:t>
            </w:r>
          </w:p>
          <w:p w14:paraId="6F6109B9">
            <w:pPr>
              <w:pStyle w:val="4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2" w:firstLineChars="200"/>
              <w:jc w:val="both"/>
              <w:textAlignment w:val="auto"/>
              <w:outlineLvl w:val="9"/>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2、供应商最终得分=价格部分得分+商务、技术部分得分。</w:t>
            </w:r>
          </w:p>
        </w:tc>
      </w:tr>
    </w:tbl>
    <w:p w14:paraId="1847EB8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br w:type="page"/>
      </w:r>
      <w:bookmarkStart w:id="38" w:name="_Toc22652"/>
      <w:r>
        <w:rPr>
          <w:rStyle w:val="37"/>
          <w:rFonts w:hint="eastAsia"/>
        </w:rPr>
        <w:t>第四章 合同条款</w:t>
      </w:r>
      <w:r>
        <w:rPr>
          <w:rStyle w:val="37"/>
          <w:rFonts w:hint="eastAsia"/>
          <w:lang w:eastAsia="zh-CN"/>
        </w:rPr>
        <w:t>及格式</w:t>
      </w:r>
      <w:bookmarkEnd w:id="38"/>
    </w:p>
    <w:p w14:paraId="02D751AD">
      <w:pPr>
        <w:outlineLvl w:val="9"/>
        <w:rPr>
          <w:rFonts w:hint="eastAsia" w:ascii="仿宋" w:hAnsi="仿宋" w:eastAsia="仿宋" w:cs="仿宋"/>
          <w:color w:val="auto"/>
          <w:sz w:val="22"/>
          <w:szCs w:val="22"/>
          <w:highlight w:val="none"/>
        </w:rPr>
      </w:pPr>
    </w:p>
    <w:p w14:paraId="1EA381A4">
      <w:pPr>
        <w:outlineLvl w:val="9"/>
        <w:rPr>
          <w:rFonts w:hint="eastAsia" w:ascii="仿宋" w:hAnsi="仿宋" w:eastAsia="仿宋" w:cs="仿宋"/>
          <w:color w:val="auto"/>
          <w:sz w:val="22"/>
          <w:szCs w:val="22"/>
          <w:highlight w:val="none"/>
        </w:rPr>
      </w:pPr>
    </w:p>
    <w:p w14:paraId="5EE01615">
      <w:pPr>
        <w:spacing w:line="460" w:lineRule="exact"/>
        <w:ind w:firstLine="440" w:firstLineChars="200"/>
        <w:jc w:val="center"/>
        <w:outlineLvl w:val="9"/>
        <w:rPr>
          <w:rFonts w:hint="eastAsia" w:ascii="仿宋" w:hAnsi="仿宋" w:eastAsia="仿宋" w:cs="仿宋"/>
          <w:color w:val="auto"/>
          <w:sz w:val="24"/>
          <w:highlight w:val="none"/>
        </w:rPr>
      </w:pPr>
      <w:r>
        <w:rPr>
          <w:rFonts w:hint="eastAsia" w:ascii="仿宋" w:hAnsi="仿宋" w:eastAsia="仿宋" w:cs="仿宋"/>
          <w:color w:val="auto"/>
          <w:sz w:val="22"/>
          <w:szCs w:val="22"/>
          <w:highlight w:val="none"/>
          <w:lang w:val="en-US" w:eastAsia="zh-CN"/>
        </w:rPr>
        <w:t>（本合同条款及格式仅供参考，具体以采购人和中标人签订的合同为准。）</w:t>
      </w:r>
    </w:p>
    <w:p w14:paraId="2EAF6BC3">
      <w:pPr>
        <w:outlineLvl w:val="9"/>
        <w:rPr>
          <w:rFonts w:hint="eastAsia" w:ascii="仿宋" w:hAnsi="仿宋" w:eastAsia="仿宋" w:cs="仿宋"/>
          <w:color w:val="auto"/>
          <w:sz w:val="24"/>
          <w:highlight w:val="none"/>
        </w:rPr>
      </w:pPr>
    </w:p>
    <w:p w14:paraId="3DE20D79">
      <w:pPr>
        <w:outlineLvl w:val="9"/>
        <w:rPr>
          <w:rFonts w:hint="eastAsia" w:ascii="仿宋" w:hAnsi="仿宋" w:eastAsia="仿宋" w:cs="仿宋"/>
          <w:color w:val="auto"/>
          <w:sz w:val="24"/>
          <w:highlight w:val="none"/>
        </w:rPr>
      </w:pPr>
    </w:p>
    <w:p w14:paraId="6AFF4EA2">
      <w:pPr>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48193678">
      <w:pPr>
        <w:spacing w:line="480" w:lineRule="auto"/>
        <w:jc w:val="both"/>
        <w:outlineLvl w:val="9"/>
        <w:rPr>
          <w:rFonts w:hint="eastAsia" w:ascii="仿宋" w:hAnsi="仿宋" w:eastAsia="仿宋" w:cs="仿宋"/>
          <w:b/>
          <w:color w:val="auto"/>
          <w:sz w:val="28"/>
          <w:szCs w:val="28"/>
          <w:highlight w:val="none"/>
        </w:rPr>
      </w:pPr>
    </w:p>
    <w:p w14:paraId="6E0597AC">
      <w:pPr>
        <w:spacing w:line="480" w:lineRule="auto"/>
        <w:jc w:val="center"/>
        <w:outlineLvl w:val="9"/>
        <w:rPr>
          <w:rFonts w:hint="eastAsia" w:ascii="仿宋" w:hAnsi="仿宋" w:eastAsia="仿宋" w:cs="仿宋"/>
          <w:b/>
          <w:color w:val="auto"/>
          <w:sz w:val="28"/>
          <w:szCs w:val="28"/>
          <w:highlight w:val="none"/>
        </w:rPr>
      </w:pPr>
    </w:p>
    <w:p w14:paraId="06E331A9">
      <w:pPr>
        <w:spacing w:line="480" w:lineRule="auto"/>
        <w:jc w:val="center"/>
        <w:outlineLvl w:val="1"/>
        <w:rPr>
          <w:rFonts w:hint="eastAsia" w:ascii="仿宋" w:hAnsi="仿宋" w:eastAsia="仿宋" w:cs="仿宋"/>
          <w:b/>
          <w:color w:val="auto"/>
          <w:sz w:val="44"/>
          <w:szCs w:val="44"/>
          <w:highlight w:val="none"/>
        </w:rPr>
      </w:pPr>
      <w:bookmarkStart w:id="39" w:name="_Toc27000"/>
      <w:r>
        <w:rPr>
          <w:rFonts w:hint="eastAsia" w:ascii="仿宋" w:hAnsi="仿宋" w:eastAsia="仿宋" w:cs="仿宋"/>
          <w:b/>
          <w:color w:val="auto"/>
          <w:sz w:val="44"/>
          <w:szCs w:val="44"/>
          <w:highlight w:val="none"/>
        </w:rPr>
        <w:t>政府采购合同参考范本</w:t>
      </w:r>
      <w:bookmarkEnd w:id="39"/>
    </w:p>
    <w:p w14:paraId="3DEF30BB">
      <w:pPr>
        <w:spacing w:line="480" w:lineRule="auto"/>
        <w:jc w:val="center"/>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（货物类）</w:t>
      </w:r>
    </w:p>
    <w:p w14:paraId="75E603D4">
      <w:pPr>
        <w:pStyle w:val="55"/>
        <w:ind w:firstLine="0"/>
        <w:outlineLvl w:val="9"/>
        <w:rPr>
          <w:rFonts w:hint="eastAsia" w:ascii="仿宋" w:hAnsi="仿宋" w:eastAsia="仿宋" w:cs="仿宋"/>
          <w:color w:val="auto"/>
          <w:szCs w:val="24"/>
          <w:highlight w:val="none"/>
        </w:rPr>
      </w:pPr>
    </w:p>
    <w:p w14:paraId="5C18E2FA">
      <w:pPr>
        <w:pStyle w:val="55"/>
        <w:ind w:firstLine="0"/>
        <w:outlineLvl w:val="9"/>
        <w:rPr>
          <w:rFonts w:hint="eastAsia" w:ascii="仿宋" w:hAnsi="仿宋" w:eastAsia="仿宋" w:cs="仿宋"/>
          <w:color w:val="auto"/>
          <w:szCs w:val="24"/>
          <w:highlight w:val="none"/>
        </w:rPr>
      </w:pPr>
    </w:p>
    <w:p w14:paraId="4ECE05D7">
      <w:pPr>
        <w:pStyle w:val="55"/>
        <w:ind w:firstLine="0"/>
        <w:outlineLvl w:val="9"/>
        <w:rPr>
          <w:rFonts w:hint="eastAsia" w:ascii="仿宋" w:hAnsi="仿宋" w:eastAsia="仿宋" w:cs="仿宋"/>
          <w:color w:val="auto"/>
          <w:szCs w:val="24"/>
          <w:highlight w:val="none"/>
        </w:rPr>
      </w:pPr>
    </w:p>
    <w:p w14:paraId="1A435A66">
      <w:pPr>
        <w:pStyle w:val="55"/>
        <w:ind w:firstLine="0"/>
        <w:jc w:val="center"/>
        <w:outlineLvl w:val="1"/>
        <w:rPr>
          <w:rFonts w:hint="eastAsia" w:ascii="仿宋" w:hAnsi="仿宋" w:eastAsia="仿宋" w:cs="仿宋"/>
          <w:b/>
          <w:color w:val="auto"/>
          <w:szCs w:val="24"/>
          <w:highlight w:val="none"/>
        </w:rPr>
      </w:pPr>
      <w:bookmarkStart w:id="40" w:name="_Toc10687"/>
      <w:r>
        <w:rPr>
          <w:rFonts w:hint="eastAsia" w:ascii="仿宋" w:hAnsi="仿宋" w:eastAsia="仿宋" w:cs="仿宋"/>
          <w:b/>
          <w:color w:val="auto"/>
          <w:szCs w:val="24"/>
          <w:highlight w:val="none"/>
        </w:rPr>
        <w:t>第一部分 合同书</w:t>
      </w:r>
      <w:bookmarkEnd w:id="40"/>
    </w:p>
    <w:p w14:paraId="63B2108E">
      <w:pPr>
        <w:pStyle w:val="55"/>
        <w:ind w:firstLine="0"/>
        <w:outlineLvl w:val="9"/>
        <w:rPr>
          <w:rFonts w:hint="eastAsia" w:ascii="仿宋" w:hAnsi="仿宋" w:eastAsia="仿宋" w:cs="仿宋"/>
          <w:color w:val="auto"/>
          <w:szCs w:val="24"/>
          <w:highlight w:val="none"/>
        </w:rPr>
      </w:pPr>
    </w:p>
    <w:p w14:paraId="455DF7C7">
      <w:pPr>
        <w:pStyle w:val="55"/>
        <w:ind w:firstLine="0"/>
        <w:outlineLvl w:val="9"/>
        <w:rPr>
          <w:rFonts w:hint="eastAsia" w:ascii="仿宋" w:hAnsi="仿宋" w:eastAsia="仿宋" w:cs="仿宋"/>
          <w:color w:val="auto"/>
          <w:szCs w:val="24"/>
          <w:highlight w:val="none"/>
        </w:rPr>
      </w:pPr>
    </w:p>
    <w:p w14:paraId="03D0AD43">
      <w:pPr>
        <w:spacing w:before="120" w:line="22" w:lineRule="atLeast"/>
        <w:outlineLvl w:val="9"/>
        <w:rPr>
          <w:rFonts w:hint="eastAsia" w:ascii="仿宋" w:hAnsi="仿宋" w:eastAsia="仿宋" w:cs="仿宋"/>
          <w:color w:val="auto"/>
          <w:sz w:val="24"/>
          <w:highlight w:val="none"/>
        </w:rPr>
      </w:pPr>
    </w:p>
    <w:p w14:paraId="2992C609">
      <w:pPr>
        <w:spacing w:before="120" w:line="22" w:lineRule="atLeast"/>
        <w:ind w:left="96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2BFAF81">
      <w:pPr>
        <w:pStyle w:val="56"/>
        <w:spacing w:before="120" w:line="22" w:lineRule="atLeast"/>
        <w:outlineLvl w:val="9"/>
        <w:rPr>
          <w:rFonts w:hint="eastAsia" w:ascii="仿宋" w:hAnsi="仿宋" w:eastAsia="仿宋" w:cs="仿宋"/>
          <w:color w:val="auto"/>
          <w:szCs w:val="24"/>
          <w:highlight w:val="none"/>
        </w:rPr>
      </w:pPr>
    </w:p>
    <w:p w14:paraId="4EE3AB4E">
      <w:pPr>
        <w:pStyle w:val="56"/>
        <w:spacing w:before="120" w:line="22" w:lineRule="atLeast"/>
        <w:outlineLvl w:val="9"/>
        <w:rPr>
          <w:rFonts w:hint="eastAsia" w:ascii="仿宋" w:hAnsi="仿宋" w:eastAsia="仿宋" w:cs="仿宋"/>
          <w:color w:val="auto"/>
          <w:szCs w:val="24"/>
          <w:highlight w:val="none"/>
        </w:rPr>
      </w:pPr>
    </w:p>
    <w:p w14:paraId="2F816027">
      <w:pPr>
        <w:outlineLvl w:val="9"/>
        <w:rPr>
          <w:rFonts w:hint="eastAsia" w:ascii="仿宋" w:hAnsi="仿宋" w:eastAsia="仿宋" w:cs="仿宋"/>
          <w:color w:val="auto"/>
          <w:highlight w:val="none"/>
        </w:rPr>
      </w:pPr>
    </w:p>
    <w:p w14:paraId="68FDD883">
      <w:pPr>
        <w:spacing w:before="120" w:line="22" w:lineRule="atLeast"/>
        <w:ind w:left="96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4DEB909">
      <w:pPr>
        <w:spacing w:before="120" w:line="22" w:lineRule="atLeast"/>
        <w:outlineLvl w:val="9"/>
        <w:rPr>
          <w:rFonts w:hint="eastAsia" w:ascii="仿宋" w:hAnsi="仿宋" w:eastAsia="仿宋" w:cs="仿宋"/>
          <w:color w:val="auto"/>
          <w:sz w:val="24"/>
          <w:highlight w:val="none"/>
        </w:rPr>
      </w:pPr>
    </w:p>
    <w:p w14:paraId="5840F3A0">
      <w:pPr>
        <w:spacing w:before="120" w:line="22" w:lineRule="atLeast"/>
        <w:ind w:left="96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66C2571C">
      <w:pPr>
        <w:spacing w:before="120" w:line="22" w:lineRule="atLeast"/>
        <w:outlineLvl w:val="9"/>
        <w:rPr>
          <w:rFonts w:hint="eastAsia" w:ascii="仿宋" w:hAnsi="仿宋" w:eastAsia="仿宋" w:cs="仿宋"/>
          <w:color w:val="auto"/>
          <w:sz w:val="24"/>
          <w:highlight w:val="none"/>
        </w:rPr>
      </w:pPr>
    </w:p>
    <w:p w14:paraId="0111C519">
      <w:pPr>
        <w:spacing w:before="120" w:line="22" w:lineRule="atLeast"/>
        <w:ind w:firstLine="960" w:firstLineChars="4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4D28B9D8">
      <w:pPr>
        <w:spacing w:before="120" w:line="22" w:lineRule="atLeast"/>
        <w:outlineLvl w:val="9"/>
        <w:rPr>
          <w:rFonts w:hint="eastAsia" w:ascii="仿宋" w:hAnsi="仿宋" w:eastAsia="仿宋" w:cs="仿宋"/>
          <w:color w:val="auto"/>
          <w:sz w:val="24"/>
          <w:highlight w:val="none"/>
        </w:rPr>
      </w:pPr>
    </w:p>
    <w:p w14:paraId="14F55746">
      <w:pPr>
        <w:spacing w:before="120" w:line="22" w:lineRule="atLeast"/>
        <w:ind w:firstLine="960" w:firstLineChars="4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35B2023">
      <w:pPr>
        <w:autoSpaceDE w:val="0"/>
        <w:autoSpaceDN w:val="0"/>
        <w:adjustRightInd w:val="0"/>
        <w:spacing w:line="600" w:lineRule="exact"/>
        <w:ind w:firstLine="640"/>
        <w:jc w:val="center"/>
        <w:outlineLvl w:val="9"/>
        <w:rPr>
          <w:rFonts w:hint="eastAsia" w:ascii="仿宋" w:hAnsi="仿宋" w:eastAsia="仿宋" w:cs="仿宋"/>
          <w:color w:val="auto"/>
          <w:sz w:val="24"/>
          <w:highlight w:val="none"/>
        </w:rPr>
        <w:sectPr>
          <w:footerReference r:id="rId10" w:type="default"/>
          <w:pgSz w:w="11907" w:h="16840"/>
          <w:pgMar w:top="1247" w:right="1247" w:bottom="1247" w:left="1247" w:header="737" w:footer="851" w:gutter="0"/>
          <w:pgBorders>
            <w:top w:val="none" w:sz="0" w:space="0"/>
            <w:left w:val="none" w:sz="0" w:space="0"/>
            <w:bottom w:val="none" w:sz="0" w:space="0"/>
            <w:right w:val="none" w:sz="0" w:space="0"/>
          </w:pgBorders>
          <w:pgNumType w:fmt="numberInDash"/>
          <w:cols w:space="720" w:num="1"/>
          <w:rtlGutter w:val="0"/>
          <w:docGrid w:linePitch="462" w:charSpace="0"/>
        </w:sectPr>
      </w:pPr>
    </w:p>
    <w:p w14:paraId="3E2FDC88">
      <w:pPr>
        <w:spacing w:line="560" w:lineRule="exact"/>
        <w:ind w:firstLine="480" w:firstLineChars="200"/>
        <w:outlineLvl w:val="9"/>
        <w:rPr>
          <w:rFonts w:hint="eastAsia" w:ascii="仿宋" w:hAnsi="仿宋" w:eastAsia="仿宋" w:cs="仿宋"/>
          <w:color w:val="auto"/>
          <w:sz w:val="24"/>
          <w:highlight w:val="none"/>
        </w:rPr>
      </w:pPr>
      <w:bookmarkStart w:id="41" w:name="_Toc17135"/>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为该项目中标供应商。现于中标通知书发出之日起三十日内，按照采购文件确定的事项签订本合同。</w:t>
      </w:r>
    </w:p>
    <w:p w14:paraId="7532C0D7">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根据《中华人民共和国合同法》、《中华人民共和国政府采购法》等相关法律法规之规定，按照平等、自愿、公平和诚实信用的原则，经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C168E2C">
      <w:pPr>
        <w:spacing w:line="560" w:lineRule="exact"/>
        <w:ind w:firstLine="482" w:firstLineChars="200"/>
        <w:outlineLvl w:val="9"/>
        <w:rPr>
          <w:rFonts w:hint="eastAsia" w:ascii="仿宋" w:hAnsi="仿宋" w:eastAsia="仿宋" w:cs="仿宋"/>
          <w:b/>
          <w:color w:val="auto"/>
          <w:sz w:val="24"/>
          <w:highlight w:val="none"/>
        </w:rPr>
      </w:pPr>
      <w:bookmarkStart w:id="42" w:name="_Toc2232"/>
      <w:bookmarkStart w:id="43" w:name="_Toc24059"/>
      <w:bookmarkStart w:id="44" w:name="_Toc11693"/>
      <w:bookmarkStart w:id="45" w:name="_Toc3029"/>
      <w:r>
        <w:rPr>
          <w:rFonts w:hint="eastAsia" w:ascii="仿宋" w:hAnsi="仿宋" w:eastAsia="仿宋" w:cs="仿宋"/>
          <w:b/>
          <w:color w:val="auto"/>
          <w:sz w:val="24"/>
          <w:highlight w:val="none"/>
        </w:rPr>
        <w:t>1.1 合同组成部分</w:t>
      </w:r>
      <w:bookmarkEnd w:id="42"/>
      <w:bookmarkEnd w:id="43"/>
      <w:bookmarkEnd w:id="44"/>
      <w:bookmarkEnd w:id="45"/>
    </w:p>
    <w:p w14:paraId="5ED58DB6">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AC2A743">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089AC141">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406D3AAE">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05388173">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3DBCC806">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67CE221D">
      <w:pPr>
        <w:spacing w:line="560" w:lineRule="exact"/>
        <w:ind w:firstLine="482" w:firstLineChars="200"/>
        <w:outlineLvl w:val="9"/>
        <w:rPr>
          <w:rFonts w:hint="eastAsia" w:ascii="仿宋" w:hAnsi="仿宋" w:eastAsia="仿宋" w:cs="仿宋"/>
          <w:b/>
          <w:color w:val="auto"/>
          <w:sz w:val="24"/>
          <w:highlight w:val="none"/>
        </w:rPr>
      </w:pPr>
      <w:bookmarkStart w:id="46" w:name="_Toc21295"/>
      <w:bookmarkStart w:id="47" w:name="_Toc24834"/>
      <w:bookmarkStart w:id="48" w:name="_Toc27126"/>
      <w:bookmarkStart w:id="49" w:name="_Toc24300"/>
      <w:r>
        <w:rPr>
          <w:rFonts w:hint="eastAsia" w:ascii="仿宋" w:hAnsi="仿宋" w:eastAsia="仿宋" w:cs="仿宋"/>
          <w:b/>
          <w:color w:val="auto"/>
          <w:sz w:val="24"/>
          <w:highlight w:val="none"/>
        </w:rPr>
        <w:t>1.2 货物</w:t>
      </w:r>
      <w:bookmarkEnd w:id="46"/>
      <w:bookmarkEnd w:id="47"/>
      <w:bookmarkEnd w:id="48"/>
      <w:bookmarkEnd w:id="49"/>
    </w:p>
    <w:p w14:paraId="3AD7DDE9">
      <w:pPr>
        <w:spacing w:line="560" w:lineRule="exact"/>
        <w:ind w:firstLine="480" w:firstLineChars="2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3D007B2">
      <w:pPr>
        <w:spacing w:line="560" w:lineRule="exact"/>
        <w:ind w:firstLine="480" w:firstLineChars="2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E36ECB6">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60F4D89">
      <w:pPr>
        <w:spacing w:line="560" w:lineRule="exact"/>
        <w:ind w:firstLine="482" w:firstLineChars="200"/>
        <w:outlineLvl w:val="9"/>
        <w:rPr>
          <w:rFonts w:hint="eastAsia" w:ascii="仿宋" w:hAnsi="仿宋" w:eastAsia="仿宋" w:cs="仿宋"/>
          <w:b/>
          <w:color w:val="auto"/>
          <w:sz w:val="24"/>
          <w:highlight w:val="none"/>
        </w:rPr>
      </w:pPr>
      <w:bookmarkStart w:id="50" w:name="_Toc23292"/>
      <w:bookmarkStart w:id="51" w:name="_Toc21551"/>
      <w:bookmarkStart w:id="52" w:name="_Toc27302"/>
      <w:bookmarkStart w:id="53" w:name="_Toc21631"/>
      <w:r>
        <w:rPr>
          <w:rFonts w:hint="eastAsia" w:ascii="仿宋" w:hAnsi="仿宋" w:eastAsia="仿宋" w:cs="仿宋"/>
          <w:b/>
          <w:color w:val="auto"/>
          <w:sz w:val="24"/>
          <w:highlight w:val="none"/>
        </w:rPr>
        <w:t>1.3 价款</w:t>
      </w:r>
      <w:bookmarkEnd w:id="50"/>
      <w:bookmarkEnd w:id="51"/>
      <w:bookmarkEnd w:id="52"/>
      <w:bookmarkEnd w:id="53"/>
    </w:p>
    <w:p w14:paraId="09F8A780">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89A91C4">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分项价格：</w:t>
      </w:r>
    </w:p>
    <w:p w14:paraId="32749C25">
      <w:pPr>
        <w:pStyle w:val="21"/>
        <w:outlineLvl w:val="9"/>
        <w:rPr>
          <w:rFonts w:hint="eastAsia" w:ascii="仿宋" w:hAnsi="仿宋" w:eastAsia="仿宋" w:cs="仿宋"/>
          <w:color w:val="auto"/>
          <w:sz w:val="24"/>
          <w:highlight w:val="none"/>
        </w:rPr>
      </w:pPr>
    </w:p>
    <w:p w14:paraId="69D6E427">
      <w:pPr>
        <w:pStyle w:val="21"/>
        <w:outlineLvl w:val="9"/>
        <w:rPr>
          <w:rFonts w:hint="eastAsia" w:ascii="仿宋" w:hAnsi="仿宋" w:eastAsia="仿宋" w:cs="仿宋"/>
          <w:color w:val="auto"/>
          <w:sz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3642"/>
        <w:gridCol w:w="4264"/>
      </w:tblGrid>
      <w:tr w14:paraId="5313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85" w:type="dxa"/>
            <w:noWrap w:val="0"/>
            <w:vAlign w:val="center"/>
          </w:tcPr>
          <w:p w14:paraId="71235771">
            <w:pPr>
              <w:pStyle w:val="57"/>
              <w:spacing w:line="560" w:lineRule="exact"/>
              <w:jc w:val="center"/>
              <w:outlineLvl w:val="9"/>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序号</w:t>
            </w:r>
          </w:p>
        </w:tc>
        <w:tc>
          <w:tcPr>
            <w:tcW w:w="3642" w:type="dxa"/>
            <w:noWrap w:val="0"/>
            <w:vAlign w:val="center"/>
          </w:tcPr>
          <w:p w14:paraId="26229074">
            <w:pPr>
              <w:pStyle w:val="57"/>
              <w:spacing w:line="560" w:lineRule="exact"/>
              <w:ind w:firstLine="200"/>
              <w:jc w:val="center"/>
              <w:outlineLvl w:val="9"/>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分项名称</w:t>
            </w:r>
          </w:p>
        </w:tc>
        <w:tc>
          <w:tcPr>
            <w:tcW w:w="4264" w:type="dxa"/>
            <w:noWrap w:val="0"/>
            <w:vAlign w:val="center"/>
          </w:tcPr>
          <w:p w14:paraId="7F8F78C2">
            <w:pPr>
              <w:pStyle w:val="57"/>
              <w:spacing w:line="560" w:lineRule="exact"/>
              <w:jc w:val="center"/>
              <w:outlineLvl w:val="9"/>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分项价格</w:t>
            </w:r>
          </w:p>
        </w:tc>
      </w:tr>
      <w:tr w14:paraId="7947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85" w:type="dxa"/>
            <w:noWrap w:val="0"/>
            <w:vAlign w:val="center"/>
          </w:tcPr>
          <w:p w14:paraId="519CCA52">
            <w:pPr>
              <w:pStyle w:val="57"/>
              <w:spacing w:line="560" w:lineRule="exact"/>
              <w:ind w:firstLine="200"/>
              <w:jc w:val="center"/>
              <w:outlineLvl w:val="9"/>
              <w:rPr>
                <w:rFonts w:hint="eastAsia" w:ascii="仿宋" w:hAnsi="仿宋" w:eastAsia="仿宋" w:cs="仿宋"/>
                <w:color w:val="auto"/>
                <w:kern w:val="2"/>
                <w:sz w:val="24"/>
                <w:szCs w:val="24"/>
                <w:highlight w:val="none"/>
                <w:lang w:val="en-US" w:eastAsia="zh-CN"/>
              </w:rPr>
            </w:pPr>
          </w:p>
        </w:tc>
        <w:tc>
          <w:tcPr>
            <w:tcW w:w="3642" w:type="dxa"/>
            <w:noWrap w:val="0"/>
            <w:vAlign w:val="center"/>
          </w:tcPr>
          <w:p w14:paraId="45B6C8A3">
            <w:pPr>
              <w:pStyle w:val="57"/>
              <w:spacing w:line="560" w:lineRule="exact"/>
              <w:ind w:firstLine="200"/>
              <w:jc w:val="center"/>
              <w:outlineLvl w:val="9"/>
              <w:rPr>
                <w:rFonts w:hint="eastAsia" w:ascii="仿宋" w:hAnsi="仿宋" w:eastAsia="仿宋" w:cs="仿宋"/>
                <w:color w:val="auto"/>
                <w:kern w:val="2"/>
                <w:sz w:val="24"/>
                <w:szCs w:val="24"/>
                <w:highlight w:val="none"/>
                <w:lang w:val="en-US" w:eastAsia="zh-CN"/>
              </w:rPr>
            </w:pPr>
          </w:p>
        </w:tc>
        <w:tc>
          <w:tcPr>
            <w:tcW w:w="4264" w:type="dxa"/>
            <w:noWrap w:val="0"/>
            <w:vAlign w:val="center"/>
          </w:tcPr>
          <w:p w14:paraId="1E411F54">
            <w:pPr>
              <w:pStyle w:val="57"/>
              <w:spacing w:line="560" w:lineRule="exact"/>
              <w:ind w:firstLine="200"/>
              <w:jc w:val="center"/>
              <w:outlineLvl w:val="9"/>
              <w:rPr>
                <w:rFonts w:hint="eastAsia" w:ascii="仿宋" w:hAnsi="仿宋" w:eastAsia="仿宋" w:cs="仿宋"/>
                <w:color w:val="auto"/>
                <w:kern w:val="2"/>
                <w:sz w:val="24"/>
                <w:szCs w:val="24"/>
                <w:highlight w:val="none"/>
                <w:lang w:val="en-US" w:eastAsia="zh-CN"/>
              </w:rPr>
            </w:pPr>
          </w:p>
        </w:tc>
      </w:tr>
      <w:tr w14:paraId="5E8C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85" w:type="dxa"/>
            <w:noWrap w:val="0"/>
            <w:vAlign w:val="center"/>
          </w:tcPr>
          <w:p w14:paraId="3D4ACE4E">
            <w:pPr>
              <w:pStyle w:val="57"/>
              <w:spacing w:line="560" w:lineRule="exact"/>
              <w:ind w:firstLine="200"/>
              <w:jc w:val="center"/>
              <w:outlineLvl w:val="9"/>
              <w:rPr>
                <w:rFonts w:hint="eastAsia" w:ascii="仿宋" w:hAnsi="仿宋" w:eastAsia="仿宋" w:cs="仿宋"/>
                <w:color w:val="auto"/>
                <w:kern w:val="2"/>
                <w:sz w:val="24"/>
                <w:szCs w:val="24"/>
                <w:highlight w:val="none"/>
                <w:lang w:val="en-US" w:eastAsia="zh-CN"/>
              </w:rPr>
            </w:pPr>
          </w:p>
        </w:tc>
        <w:tc>
          <w:tcPr>
            <w:tcW w:w="3642" w:type="dxa"/>
            <w:noWrap w:val="0"/>
            <w:vAlign w:val="center"/>
          </w:tcPr>
          <w:p w14:paraId="6834F3F0">
            <w:pPr>
              <w:pStyle w:val="57"/>
              <w:spacing w:line="560" w:lineRule="exact"/>
              <w:ind w:firstLine="200"/>
              <w:jc w:val="center"/>
              <w:outlineLvl w:val="9"/>
              <w:rPr>
                <w:rFonts w:hint="eastAsia" w:ascii="仿宋" w:hAnsi="仿宋" w:eastAsia="仿宋" w:cs="仿宋"/>
                <w:color w:val="auto"/>
                <w:kern w:val="2"/>
                <w:sz w:val="24"/>
                <w:szCs w:val="24"/>
                <w:highlight w:val="none"/>
                <w:lang w:val="en-US" w:eastAsia="zh-CN"/>
              </w:rPr>
            </w:pPr>
          </w:p>
        </w:tc>
        <w:tc>
          <w:tcPr>
            <w:tcW w:w="4264" w:type="dxa"/>
            <w:noWrap w:val="0"/>
            <w:vAlign w:val="center"/>
          </w:tcPr>
          <w:p w14:paraId="30122E25">
            <w:pPr>
              <w:pStyle w:val="57"/>
              <w:spacing w:line="560" w:lineRule="exact"/>
              <w:ind w:firstLine="200"/>
              <w:jc w:val="center"/>
              <w:outlineLvl w:val="9"/>
              <w:rPr>
                <w:rFonts w:hint="eastAsia" w:ascii="仿宋" w:hAnsi="仿宋" w:eastAsia="仿宋" w:cs="仿宋"/>
                <w:color w:val="auto"/>
                <w:kern w:val="2"/>
                <w:sz w:val="24"/>
                <w:szCs w:val="24"/>
                <w:highlight w:val="none"/>
                <w:lang w:val="en-US" w:eastAsia="zh-CN"/>
              </w:rPr>
            </w:pPr>
          </w:p>
        </w:tc>
      </w:tr>
      <w:tr w14:paraId="4C90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85" w:type="dxa"/>
            <w:noWrap w:val="0"/>
            <w:vAlign w:val="center"/>
          </w:tcPr>
          <w:p w14:paraId="7B4C3128">
            <w:pPr>
              <w:pStyle w:val="57"/>
              <w:spacing w:line="560" w:lineRule="exact"/>
              <w:ind w:firstLine="200"/>
              <w:jc w:val="center"/>
              <w:outlineLvl w:val="9"/>
              <w:rPr>
                <w:rFonts w:hint="eastAsia" w:ascii="仿宋" w:hAnsi="仿宋" w:eastAsia="仿宋" w:cs="仿宋"/>
                <w:color w:val="auto"/>
                <w:kern w:val="2"/>
                <w:sz w:val="24"/>
                <w:szCs w:val="24"/>
                <w:highlight w:val="none"/>
                <w:lang w:val="en-US" w:eastAsia="zh-CN"/>
              </w:rPr>
            </w:pPr>
          </w:p>
        </w:tc>
        <w:tc>
          <w:tcPr>
            <w:tcW w:w="3642" w:type="dxa"/>
            <w:noWrap w:val="0"/>
            <w:vAlign w:val="center"/>
          </w:tcPr>
          <w:p w14:paraId="520151E7">
            <w:pPr>
              <w:pStyle w:val="57"/>
              <w:spacing w:line="560" w:lineRule="exact"/>
              <w:ind w:firstLine="200"/>
              <w:jc w:val="center"/>
              <w:outlineLvl w:val="9"/>
              <w:rPr>
                <w:rFonts w:hint="eastAsia" w:ascii="仿宋" w:hAnsi="仿宋" w:eastAsia="仿宋" w:cs="仿宋"/>
                <w:color w:val="auto"/>
                <w:kern w:val="2"/>
                <w:sz w:val="24"/>
                <w:szCs w:val="24"/>
                <w:highlight w:val="none"/>
                <w:lang w:val="en-US" w:eastAsia="zh-CN"/>
              </w:rPr>
            </w:pPr>
          </w:p>
        </w:tc>
        <w:tc>
          <w:tcPr>
            <w:tcW w:w="4264" w:type="dxa"/>
            <w:noWrap w:val="0"/>
            <w:vAlign w:val="center"/>
          </w:tcPr>
          <w:p w14:paraId="7558704E">
            <w:pPr>
              <w:pStyle w:val="57"/>
              <w:spacing w:line="560" w:lineRule="exact"/>
              <w:ind w:firstLine="200"/>
              <w:jc w:val="center"/>
              <w:outlineLvl w:val="9"/>
              <w:rPr>
                <w:rFonts w:hint="eastAsia" w:ascii="仿宋" w:hAnsi="仿宋" w:eastAsia="仿宋" w:cs="仿宋"/>
                <w:color w:val="auto"/>
                <w:kern w:val="2"/>
                <w:sz w:val="24"/>
                <w:szCs w:val="24"/>
                <w:highlight w:val="none"/>
                <w:lang w:val="en-US" w:eastAsia="zh-CN"/>
              </w:rPr>
            </w:pPr>
          </w:p>
        </w:tc>
      </w:tr>
      <w:tr w14:paraId="333B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927" w:type="dxa"/>
            <w:gridSpan w:val="2"/>
            <w:noWrap w:val="0"/>
            <w:vAlign w:val="center"/>
          </w:tcPr>
          <w:p w14:paraId="2C504048">
            <w:pPr>
              <w:pStyle w:val="57"/>
              <w:spacing w:line="560" w:lineRule="exact"/>
              <w:ind w:firstLine="200"/>
              <w:jc w:val="center"/>
              <w:outlineLvl w:val="9"/>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总价</w:t>
            </w:r>
          </w:p>
        </w:tc>
        <w:tc>
          <w:tcPr>
            <w:tcW w:w="4264" w:type="dxa"/>
            <w:noWrap w:val="0"/>
            <w:vAlign w:val="center"/>
          </w:tcPr>
          <w:p w14:paraId="62EEAB75">
            <w:pPr>
              <w:pStyle w:val="57"/>
              <w:spacing w:line="560" w:lineRule="exact"/>
              <w:ind w:firstLine="200"/>
              <w:jc w:val="center"/>
              <w:outlineLvl w:val="9"/>
              <w:rPr>
                <w:rFonts w:hint="eastAsia" w:ascii="仿宋" w:hAnsi="仿宋" w:eastAsia="仿宋" w:cs="仿宋"/>
                <w:color w:val="auto"/>
                <w:kern w:val="2"/>
                <w:sz w:val="24"/>
                <w:szCs w:val="24"/>
                <w:highlight w:val="none"/>
                <w:lang w:val="en-US" w:eastAsia="zh-CN"/>
              </w:rPr>
            </w:pPr>
          </w:p>
        </w:tc>
      </w:tr>
    </w:tbl>
    <w:p w14:paraId="6421587D">
      <w:pPr>
        <w:spacing w:line="560" w:lineRule="exact"/>
        <w:ind w:firstLine="482" w:firstLineChars="200"/>
        <w:outlineLvl w:val="9"/>
        <w:rPr>
          <w:rFonts w:hint="eastAsia" w:ascii="仿宋" w:hAnsi="仿宋" w:eastAsia="仿宋" w:cs="仿宋"/>
          <w:b/>
          <w:color w:val="auto"/>
          <w:sz w:val="24"/>
          <w:highlight w:val="none"/>
        </w:rPr>
      </w:pPr>
      <w:bookmarkStart w:id="54" w:name="_Toc10340"/>
      <w:bookmarkStart w:id="55" w:name="_Toc6656"/>
      <w:bookmarkStart w:id="56" w:name="_Toc22618"/>
      <w:bookmarkStart w:id="57" w:name="_Toc1814"/>
      <w:r>
        <w:rPr>
          <w:rFonts w:hint="eastAsia" w:ascii="仿宋" w:hAnsi="仿宋" w:eastAsia="仿宋" w:cs="仿宋"/>
          <w:b/>
          <w:color w:val="auto"/>
          <w:sz w:val="24"/>
          <w:highlight w:val="none"/>
        </w:rPr>
        <w:t>1.4 付款方式和发票开具方式</w:t>
      </w:r>
      <w:bookmarkEnd w:id="54"/>
      <w:bookmarkEnd w:id="55"/>
      <w:bookmarkEnd w:id="56"/>
      <w:bookmarkEnd w:id="57"/>
    </w:p>
    <w:p w14:paraId="2F0161B0">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1.4.1 付款方式：</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rPr>
        <w:t>；</w:t>
      </w:r>
    </w:p>
    <w:p w14:paraId="1890A713">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1.4.2 发票开具方式：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44271BD">
      <w:pPr>
        <w:spacing w:line="560" w:lineRule="exact"/>
        <w:ind w:firstLine="482" w:firstLineChars="200"/>
        <w:outlineLvl w:val="9"/>
        <w:rPr>
          <w:rFonts w:hint="eastAsia" w:ascii="仿宋" w:hAnsi="仿宋" w:eastAsia="仿宋" w:cs="仿宋"/>
          <w:b/>
          <w:color w:val="auto"/>
          <w:sz w:val="24"/>
          <w:highlight w:val="none"/>
        </w:rPr>
      </w:pPr>
      <w:bookmarkStart w:id="58" w:name="_Toc32071"/>
      <w:bookmarkStart w:id="59" w:name="_Toc16789"/>
      <w:bookmarkStart w:id="60" w:name="_Toc19304"/>
      <w:bookmarkStart w:id="61" w:name="_Toc2846"/>
      <w:r>
        <w:rPr>
          <w:rFonts w:hint="eastAsia" w:ascii="仿宋" w:hAnsi="仿宋" w:eastAsia="仿宋" w:cs="仿宋"/>
          <w:b/>
          <w:color w:val="auto"/>
          <w:sz w:val="24"/>
          <w:highlight w:val="none"/>
        </w:rPr>
        <w:t xml:space="preserve">1.5 </w:t>
      </w:r>
      <w:r>
        <w:rPr>
          <w:rFonts w:hint="eastAsia" w:ascii="仿宋" w:hAnsi="仿宋" w:eastAsia="仿宋" w:cs="仿宋"/>
          <w:b/>
          <w:color w:val="auto"/>
          <w:sz w:val="24"/>
          <w:highlight w:val="none"/>
          <w:lang w:eastAsia="zh-CN"/>
        </w:rPr>
        <w:t>履约</w:t>
      </w:r>
      <w:r>
        <w:rPr>
          <w:rFonts w:hint="eastAsia" w:ascii="仿宋" w:hAnsi="仿宋" w:eastAsia="仿宋" w:cs="仿宋"/>
          <w:b/>
          <w:color w:val="auto"/>
          <w:sz w:val="24"/>
          <w:highlight w:val="none"/>
        </w:rPr>
        <w:t>期限、地点和方式</w:t>
      </w:r>
      <w:bookmarkEnd w:id="58"/>
      <w:bookmarkEnd w:id="59"/>
      <w:bookmarkEnd w:id="60"/>
      <w:bookmarkEnd w:id="61"/>
    </w:p>
    <w:p w14:paraId="66A11B39">
      <w:pPr>
        <w:spacing w:line="560" w:lineRule="exact"/>
        <w:ind w:firstLine="480" w:firstLineChars="2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履约期限：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5BFAD9D">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1.5.2 履约地点：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B8D6A4D">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1.5.3 履约方式：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B6F00A8">
      <w:pPr>
        <w:spacing w:line="560" w:lineRule="exact"/>
        <w:ind w:firstLine="482" w:firstLineChars="200"/>
        <w:outlineLvl w:val="9"/>
        <w:rPr>
          <w:rFonts w:hint="eastAsia" w:ascii="仿宋" w:hAnsi="仿宋" w:eastAsia="仿宋" w:cs="仿宋"/>
          <w:b/>
          <w:color w:val="auto"/>
          <w:sz w:val="24"/>
          <w:highlight w:val="none"/>
        </w:rPr>
      </w:pPr>
      <w:bookmarkStart w:id="62" w:name="_Toc21423"/>
      <w:bookmarkStart w:id="63" w:name="_Toc6808"/>
      <w:bookmarkStart w:id="64" w:name="_Toc27250"/>
      <w:bookmarkStart w:id="65" w:name="_Toc19554"/>
      <w:r>
        <w:rPr>
          <w:rFonts w:hint="eastAsia" w:ascii="仿宋" w:hAnsi="仿宋" w:eastAsia="仿宋" w:cs="仿宋"/>
          <w:b/>
          <w:color w:val="auto"/>
          <w:sz w:val="24"/>
          <w:highlight w:val="none"/>
        </w:rPr>
        <w:t>1.6 违约责任</w:t>
      </w:r>
      <w:bookmarkEnd w:id="62"/>
      <w:bookmarkEnd w:id="63"/>
      <w:bookmarkEnd w:id="64"/>
      <w:bookmarkEnd w:id="65"/>
    </w:p>
    <w:p w14:paraId="71421F34">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42ABCA09">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7D605C58">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17495A2">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B7D5282">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73E7900">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4D35418E">
      <w:pPr>
        <w:spacing w:line="560" w:lineRule="exact"/>
        <w:ind w:firstLine="482" w:firstLineChars="200"/>
        <w:outlineLvl w:val="9"/>
        <w:rPr>
          <w:rFonts w:hint="eastAsia" w:ascii="仿宋" w:hAnsi="仿宋" w:eastAsia="仿宋" w:cs="仿宋"/>
          <w:b/>
          <w:color w:val="auto"/>
          <w:sz w:val="24"/>
          <w:highlight w:val="none"/>
        </w:rPr>
      </w:pPr>
      <w:bookmarkStart w:id="66" w:name="_Toc3639"/>
      <w:bookmarkStart w:id="67" w:name="_Toc28375"/>
      <w:bookmarkStart w:id="68" w:name="_Toc15583"/>
      <w:bookmarkStart w:id="69" w:name="_Toc16021"/>
      <w:r>
        <w:rPr>
          <w:rFonts w:hint="eastAsia" w:ascii="仿宋" w:hAnsi="仿宋" w:eastAsia="仿宋" w:cs="仿宋"/>
          <w:b/>
          <w:color w:val="auto"/>
          <w:sz w:val="24"/>
          <w:highlight w:val="none"/>
        </w:rPr>
        <w:t>1.7 合同争议的解决</w:t>
      </w:r>
      <w:bookmarkEnd w:id="66"/>
      <w:bookmarkEnd w:id="67"/>
      <w:bookmarkEnd w:id="68"/>
      <w:bookmarkEnd w:id="69"/>
    </w:p>
    <w:p w14:paraId="65A2751A">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种方式解决：</w:t>
      </w:r>
    </w:p>
    <w:p w14:paraId="50D82B6A">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仲裁委员会依申请仲裁时其现行有效的仲裁规则裁决；</w:t>
      </w:r>
    </w:p>
    <w:p w14:paraId="6B9911D2">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color w:val="auto"/>
          <w:sz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highlight w:val="none"/>
        </w:rPr>
        <w:t>人民法院起诉。</w:t>
      </w:r>
    </w:p>
    <w:p w14:paraId="0EBB9358">
      <w:pPr>
        <w:spacing w:line="560" w:lineRule="exact"/>
        <w:ind w:firstLine="482" w:firstLineChars="200"/>
        <w:outlineLvl w:val="9"/>
        <w:rPr>
          <w:rFonts w:hint="eastAsia" w:ascii="仿宋" w:hAnsi="仿宋" w:eastAsia="仿宋" w:cs="仿宋"/>
          <w:b/>
          <w:color w:val="auto"/>
          <w:sz w:val="24"/>
          <w:highlight w:val="none"/>
        </w:rPr>
      </w:pPr>
      <w:bookmarkStart w:id="70" w:name="_Toc7245"/>
      <w:bookmarkStart w:id="71" w:name="_Toc15322"/>
      <w:bookmarkStart w:id="72" w:name="_Toc11173"/>
      <w:bookmarkStart w:id="73" w:name="_Toc11668"/>
      <w:r>
        <w:rPr>
          <w:rFonts w:hint="eastAsia" w:ascii="仿宋" w:hAnsi="仿宋" w:eastAsia="仿宋" w:cs="仿宋"/>
          <w:b/>
          <w:color w:val="auto"/>
          <w:sz w:val="24"/>
          <w:highlight w:val="none"/>
        </w:rPr>
        <w:t>1.8 合同生效</w:t>
      </w:r>
      <w:bookmarkEnd w:id="70"/>
      <w:bookmarkEnd w:id="71"/>
      <w:bookmarkEnd w:id="72"/>
      <w:bookmarkEnd w:id="73"/>
    </w:p>
    <w:p w14:paraId="0DEDEAF0">
      <w:pPr>
        <w:spacing w:line="560" w:lineRule="exact"/>
        <w:ind w:firstLine="480" w:firstLineChars="200"/>
        <w:outlineLvl w:val="9"/>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14:paraId="799B5824">
      <w:pPr>
        <w:autoSpaceDE w:val="0"/>
        <w:autoSpaceDN w:val="0"/>
        <w:adjustRightInd w:val="0"/>
        <w:spacing w:line="560" w:lineRule="exact"/>
        <w:outlineLvl w:val="9"/>
        <w:rPr>
          <w:rFonts w:hint="eastAsia" w:ascii="仿宋" w:hAnsi="仿宋" w:eastAsia="仿宋" w:cs="仿宋"/>
          <w:color w:val="auto"/>
          <w:sz w:val="24"/>
          <w:highlight w:val="none"/>
          <w:lang w:val="zh-CN"/>
        </w:rPr>
      </w:pPr>
    </w:p>
    <w:p w14:paraId="43B1EE5E">
      <w:pPr>
        <w:autoSpaceDE w:val="0"/>
        <w:autoSpaceDN w:val="0"/>
        <w:adjustRightInd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5ED389C5">
      <w:pPr>
        <w:autoSpaceDE w:val="0"/>
        <w:autoSpaceDN w:val="0"/>
        <w:adjustRightInd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E7B8B21">
      <w:pPr>
        <w:autoSpaceDE w:val="0"/>
        <w:autoSpaceDN w:val="0"/>
        <w:adjustRightInd w:val="0"/>
        <w:spacing w:line="560" w:lineRule="exact"/>
        <w:outlineLvl w:val="9"/>
        <w:rPr>
          <w:rFonts w:hint="eastAsia" w:ascii="仿宋" w:hAnsi="仿宋" w:eastAsia="仿宋" w:cs="仿宋"/>
          <w:color w:val="auto"/>
          <w:sz w:val="24"/>
          <w:highlight w:val="none"/>
          <w:lang w:val="zh-CN"/>
        </w:rPr>
      </w:pPr>
    </w:p>
    <w:p w14:paraId="1A450046">
      <w:pPr>
        <w:autoSpaceDE w:val="0"/>
        <w:autoSpaceDN w:val="0"/>
        <w:adjustRightInd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58B28AC">
      <w:pPr>
        <w:autoSpaceDE w:val="0"/>
        <w:autoSpaceDN w:val="0"/>
        <w:adjustRightInd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2CB82460">
      <w:pPr>
        <w:autoSpaceDE w:val="0"/>
        <w:autoSpaceDN w:val="0"/>
        <w:adjustRightInd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0FB4F191">
      <w:pPr>
        <w:autoSpaceDE w:val="0"/>
        <w:autoSpaceDN w:val="0"/>
        <w:adjustRightInd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672F599A">
      <w:pPr>
        <w:autoSpaceDE w:val="0"/>
        <w:autoSpaceDN w:val="0"/>
        <w:adjustRightInd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12A780E">
      <w:pPr>
        <w:autoSpaceDE w:val="0"/>
        <w:autoSpaceDN w:val="0"/>
        <w:adjustRightInd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053E5F5">
      <w:pPr>
        <w:autoSpaceDE w:val="0"/>
        <w:autoSpaceDN w:val="0"/>
        <w:adjustRightInd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0B7C879">
      <w:pPr>
        <w:autoSpaceDE w:val="0"/>
        <w:autoSpaceDN w:val="0"/>
        <w:adjustRightInd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6E771D68">
      <w:pPr>
        <w:autoSpaceDE w:val="0"/>
        <w:autoSpaceDN w:val="0"/>
        <w:adjustRightInd w:val="0"/>
        <w:spacing w:line="56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7B620A03">
      <w:pPr>
        <w:autoSpaceDE w:val="0"/>
        <w:autoSpaceDN w:val="0"/>
        <w:adjustRightInd w:val="0"/>
        <w:spacing w:line="56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04424265">
      <w:pPr>
        <w:autoSpaceDE w:val="0"/>
        <w:autoSpaceDN w:val="0"/>
        <w:adjustRightInd w:val="0"/>
        <w:spacing w:line="56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31CC374">
      <w:pPr>
        <w:autoSpaceDE w:val="0"/>
        <w:autoSpaceDN w:val="0"/>
        <w:adjustRightInd w:val="0"/>
        <w:spacing w:line="56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2F785D6B">
      <w:pPr>
        <w:widowControl/>
        <w:spacing w:line="560" w:lineRule="exact"/>
        <w:jc w:val="left"/>
        <w:outlineLvl w:val="9"/>
        <w:rPr>
          <w:rFonts w:hint="eastAsia" w:ascii="仿宋" w:hAnsi="仿宋" w:eastAsia="仿宋" w:cs="仿宋"/>
          <w:b/>
          <w:color w:val="auto"/>
          <w:kern w:val="0"/>
          <w:sz w:val="24"/>
          <w:highlight w:val="none"/>
        </w:rPr>
      </w:pPr>
      <w:bookmarkStart w:id="74" w:name="_Toc331685783"/>
    </w:p>
    <w:p w14:paraId="0D7DAADA">
      <w:pPr>
        <w:pStyle w:val="9"/>
        <w:outlineLvl w:val="9"/>
        <w:rPr>
          <w:rFonts w:hint="eastAsia" w:ascii="仿宋" w:hAnsi="仿宋" w:eastAsia="仿宋" w:cs="仿宋"/>
          <w:b/>
          <w:color w:val="auto"/>
          <w:kern w:val="0"/>
          <w:sz w:val="24"/>
          <w:highlight w:val="none"/>
        </w:rPr>
      </w:pPr>
    </w:p>
    <w:p w14:paraId="78CCE554">
      <w:pPr>
        <w:pStyle w:val="9"/>
        <w:outlineLvl w:val="9"/>
        <w:rPr>
          <w:rFonts w:hint="eastAsia" w:ascii="仿宋" w:hAnsi="仿宋" w:eastAsia="仿宋" w:cs="仿宋"/>
          <w:b/>
          <w:color w:val="auto"/>
          <w:kern w:val="0"/>
          <w:sz w:val="24"/>
          <w:highlight w:val="none"/>
        </w:rPr>
      </w:pPr>
    </w:p>
    <w:p w14:paraId="38E9E038">
      <w:pPr>
        <w:pStyle w:val="9"/>
        <w:outlineLvl w:val="9"/>
        <w:rPr>
          <w:rFonts w:hint="eastAsia" w:ascii="仿宋" w:hAnsi="仿宋" w:eastAsia="仿宋" w:cs="仿宋"/>
          <w:b/>
          <w:color w:val="auto"/>
          <w:kern w:val="0"/>
          <w:sz w:val="24"/>
          <w:highlight w:val="none"/>
        </w:rPr>
      </w:pPr>
    </w:p>
    <w:p w14:paraId="3767C3FA">
      <w:pPr>
        <w:pStyle w:val="9"/>
        <w:outlineLvl w:val="9"/>
        <w:rPr>
          <w:rFonts w:hint="eastAsia" w:ascii="仿宋" w:hAnsi="仿宋" w:eastAsia="仿宋" w:cs="仿宋"/>
          <w:b/>
          <w:color w:val="auto"/>
          <w:kern w:val="0"/>
          <w:sz w:val="24"/>
          <w:highlight w:val="none"/>
        </w:rPr>
      </w:pPr>
    </w:p>
    <w:p w14:paraId="2544F1F7">
      <w:pPr>
        <w:pStyle w:val="9"/>
        <w:outlineLvl w:val="9"/>
        <w:rPr>
          <w:rFonts w:hint="eastAsia" w:ascii="仿宋" w:hAnsi="仿宋" w:eastAsia="仿宋" w:cs="仿宋"/>
          <w:b/>
          <w:color w:val="auto"/>
          <w:kern w:val="0"/>
          <w:sz w:val="24"/>
          <w:highlight w:val="none"/>
        </w:rPr>
      </w:pPr>
    </w:p>
    <w:p w14:paraId="65C286B6">
      <w:pPr>
        <w:pStyle w:val="9"/>
        <w:outlineLvl w:val="9"/>
        <w:rPr>
          <w:rFonts w:hint="eastAsia" w:ascii="仿宋" w:hAnsi="仿宋" w:eastAsia="仿宋" w:cs="仿宋"/>
          <w:b/>
          <w:color w:val="auto"/>
          <w:kern w:val="0"/>
          <w:sz w:val="24"/>
          <w:highlight w:val="none"/>
        </w:rPr>
      </w:pPr>
    </w:p>
    <w:p w14:paraId="743AE293">
      <w:pPr>
        <w:pStyle w:val="9"/>
        <w:outlineLvl w:val="9"/>
        <w:rPr>
          <w:rFonts w:hint="eastAsia" w:ascii="仿宋" w:hAnsi="仿宋" w:eastAsia="仿宋" w:cs="仿宋"/>
          <w:b/>
          <w:color w:val="auto"/>
          <w:kern w:val="0"/>
          <w:sz w:val="24"/>
          <w:highlight w:val="none"/>
        </w:rPr>
      </w:pPr>
    </w:p>
    <w:p w14:paraId="718B1F0D">
      <w:pPr>
        <w:pStyle w:val="9"/>
        <w:outlineLvl w:val="9"/>
        <w:rPr>
          <w:rFonts w:hint="eastAsia" w:ascii="仿宋" w:hAnsi="仿宋" w:eastAsia="仿宋" w:cs="仿宋"/>
          <w:b/>
          <w:color w:val="auto"/>
          <w:kern w:val="0"/>
          <w:sz w:val="24"/>
          <w:highlight w:val="none"/>
        </w:rPr>
      </w:pPr>
    </w:p>
    <w:p w14:paraId="466EE787">
      <w:pPr>
        <w:outlineLvl w:val="9"/>
        <w:rPr>
          <w:rFonts w:hint="eastAsia" w:ascii="仿宋" w:hAnsi="仿宋" w:eastAsia="仿宋" w:cs="仿宋"/>
          <w:b/>
          <w:color w:val="auto"/>
          <w:kern w:val="0"/>
          <w:sz w:val="24"/>
          <w:highlight w:val="none"/>
        </w:rPr>
      </w:pPr>
    </w:p>
    <w:p w14:paraId="7F2CD5EB">
      <w:pPr>
        <w:pStyle w:val="11"/>
        <w:outlineLvl w:val="9"/>
        <w:rPr>
          <w:rFonts w:hint="eastAsia" w:ascii="仿宋" w:hAnsi="仿宋" w:eastAsia="仿宋" w:cs="仿宋"/>
          <w:b/>
          <w:color w:val="auto"/>
          <w:kern w:val="0"/>
          <w:sz w:val="24"/>
          <w:highlight w:val="none"/>
        </w:rPr>
      </w:pPr>
    </w:p>
    <w:p w14:paraId="2447B0B2">
      <w:pPr>
        <w:outlineLvl w:val="9"/>
        <w:rPr>
          <w:rFonts w:hint="eastAsia" w:ascii="仿宋" w:hAnsi="仿宋" w:eastAsia="仿宋" w:cs="仿宋"/>
          <w:b/>
          <w:color w:val="auto"/>
          <w:kern w:val="0"/>
          <w:sz w:val="24"/>
          <w:highlight w:val="none"/>
        </w:rPr>
      </w:pPr>
    </w:p>
    <w:p w14:paraId="213E637A">
      <w:pPr>
        <w:pStyle w:val="11"/>
        <w:outlineLvl w:val="9"/>
        <w:rPr>
          <w:rFonts w:hint="eastAsia" w:ascii="仿宋" w:hAnsi="仿宋" w:eastAsia="仿宋" w:cs="仿宋"/>
          <w:color w:val="auto"/>
          <w:highlight w:val="none"/>
        </w:rPr>
      </w:pPr>
    </w:p>
    <w:p w14:paraId="482E0779">
      <w:pPr>
        <w:pStyle w:val="9"/>
        <w:outlineLvl w:val="9"/>
        <w:rPr>
          <w:rFonts w:hint="eastAsia" w:ascii="仿宋" w:hAnsi="仿宋" w:eastAsia="仿宋" w:cs="仿宋"/>
          <w:b/>
          <w:color w:val="auto"/>
          <w:kern w:val="0"/>
          <w:sz w:val="24"/>
          <w:highlight w:val="none"/>
        </w:rPr>
      </w:pPr>
    </w:p>
    <w:p w14:paraId="3E0975D1">
      <w:pPr>
        <w:pStyle w:val="9"/>
        <w:outlineLvl w:val="9"/>
        <w:rPr>
          <w:rFonts w:hint="eastAsia" w:ascii="仿宋" w:hAnsi="仿宋" w:eastAsia="仿宋" w:cs="仿宋"/>
          <w:b/>
          <w:color w:val="auto"/>
          <w:kern w:val="0"/>
          <w:sz w:val="24"/>
          <w:highlight w:val="none"/>
        </w:rPr>
      </w:pPr>
    </w:p>
    <w:p w14:paraId="7ACF7BA8">
      <w:pPr>
        <w:pStyle w:val="9"/>
        <w:outlineLvl w:val="9"/>
        <w:rPr>
          <w:rFonts w:hint="eastAsia" w:ascii="仿宋" w:hAnsi="仿宋" w:eastAsia="仿宋" w:cs="仿宋"/>
          <w:b/>
          <w:color w:val="auto"/>
          <w:kern w:val="0"/>
          <w:sz w:val="24"/>
          <w:highlight w:val="none"/>
        </w:rPr>
      </w:pPr>
    </w:p>
    <w:p w14:paraId="53ADC271">
      <w:pPr>
        <w:pStyle w:val="9"/>
        <w:outlineLvl w:val="9"/>
        <w:rPr>
          <w:rFonts w:hint="eastAsia" w:ascii="仿宋" w:hAnsi="仿宋" w:eastAsia="仿宋" w:cs="仿宋"/>
          <w:b/>
          <w:color w:val="auto"/>
          <w:kern w:val="0"/>
          <w:sz w:val="24"/>
          <w:highlight w:val="none"/>
        </w:rPr>
      </w:pPr>
    </w:p>
    <w:p w14:paraId="396B62FB">
      <w:pPr>
        <w:pStyle w:val="55"/>
        <w:spacing w:line="560" w:lineRule="exact"/>
        <w:ind w:firstLine="200"/>
        <w:jc w:val="center"/>
        <w:outlineLvl w:val="1"/>
        <w:rPr>
          <w:rFonts w:hint="eastAsia" w:ascii="仿宋" w:hAnsi="仿宋" w:eastAsia="仿宋" w:cs="仿宋"/>
          <w:b/>
          <w:color w:val="auto"/>
          <w:szCs w:val="24"/>
          <w:highlight w:val="none"/>
        </w:rPr>
      </w:pPr>
      <w:bookmarkStart w:id="75" w:name="_Toc31208"/>
      <w:r>
        <w:rPr>
          <w:rFonts w:hint="eastAsia" w:ascii="仿宋" w:hAnsi="仿宋" w:eastAsia="仿宋" w:cs="仿宋"/>
          <w:b/>
          <w:color w:val="auto"/>
          <w:szCs w:val="24"/>
          <w:highlight w:val="none"/>
        </w:rPr>
        <w:t>第二部分 合同一般条款</w:t>
      </w:r>
      <w:bookmarkEnd w:id="74"/>
      <w:bookmarkEnd w:id="75"/>
    </w:p>
    <w:p w14:paraId="544A536D">
      <w:pPr>
        <w:spacing w:line="560" w:lineRule="exact"/>
        <w:ind w:firstLine="482" w:firstLineChars="200"/>
        <w:outlineLvl w:val="9"/>
        <w:rPr>
          <w:rFonts w:hint="eastAsia" w:ascii="仿宋" w:hAnsi="仿宋" w:eastAsia="仿宋" w:cs="仿宋"/>
          <w:b/>
          <w:color w:val="auto"/>
          <w:sz w:val="24"/>
          <w:szCs w:val="24"/>
          <w:highlight w:val="none"/>
        </w:rPr>
      </w:pPr>
      <w:bookmarkStart w:id="76" w:name="_Toc19680"/>
      <w:bookmarkStart w:id="77" w:name="_Toc31297"/>
      <w:bookmarkStart w:id="78" w:name="_Ref467379109"/>
      <w:bookmarkStart w:id="79" w:name="_Ref467379225"/>
      <w:bookmarkStart w:id="80" w:name="_Toc279701240"/>
      <w:bookmarkStart w:id="81" w:name="_Toc259093669"/>
      <w:bookmarkStart w:id="82" w:name="_Ref467379214"/>
      <w:bookmarkStart w:id="83" w:name="_Toc25079"/>
      <w:bookmarkStart w:id="84" w:name="_Toc9737"/>
      <w:bookmarkStart w:id="85" w:name="_Ref467379101"/>
      <w:bookmarkStart w:id="86" w:name="_Ref467379094"/>
      <w:bookmarkStart w:id="87" w:name="_Ref467379205"/>
      <w:bookmarkStart w:id="88" w:name="_Ref467378499"/>
      <w:bookmarkStart w:id="89" w:name="_Toc487900349"/>
      <w:bookmarkStart w:id="90" w:name="_Toc3443"/>
      <w:bookmarkStart w:id="91" w:name="_Toc14021"/>
      <w:bookmarkStart w:id="92" w:name="_Toc24989"/>
      <w:bookmarkStart w:id="93" w:name="_Toc5228"/>
      <w:bookmarkStart w:id="94" w:name="_Ref467378404"/>
      <w:bookmarkStart w:id="95" w:name="_Ref467378463"/>
      <w:bookmarkStart w:id="96" w:name="_Ref467379195"/>
      <w:bookmarkStart w:id="97" w:name="_Toc9355"/>
      <w:r>
        <w:rPr>
          <w:rFonts w:hint="eastAsia" w:ascii="仿宋" w:hAnsi="仿宋" w:eastAsia="仿宋" w:cs="仿宋"/>
          <w:b/>
          <w:color w:val="auto"/>
          <w:sz w:val="24"/>
          <w:szCs w:val="24"/>
          <w:highlight w:val="none"/>
        </w:rPr>
        <w:t>2.1 定义</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5DB2340">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bookmarkStart w:id="98" w:name="_Ref467379436"/>
      <w:r>
        <w:rPr>
          <w:rFonts w:hint="eastAsia" w:ascii="仿宋" w:hAnsi="仿宋" w:eastAsia="仿宋" w:cs="仿宋"/>
          <w:color w:val="auto"/>
          <w:sz w:val="24"/>
          <w:szCs w:val="24"/>
          <w:highlight w:val="none"/>
        </w:rPr>
        <w:t>合同中的下列词语应按以下内容进行解释：</w:t>
      </w:r>
    </w:p>
    <w:p w14:paraId="2B3A3383">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“合同”系指采购人和中标供应商签订的载明双方当事人所达成的协议，并包括所有的附件、附录和构成合同的其他文件。</w:t>
      </w:r>
    </w:p>
    <w:p w14:paraId="63ED939D">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“合同价”系指根据合同约定，中标供应商在完全履行合同义务后，采购人应支付给中标供应商的价格。</w:t>
      </w:r>
    </w:p>
    <w:p w14:paraId="5CD879FF">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“货物”系指中标供应商根据合同约定应向采购人交付的一切各种形态和种类的物品，包括原材料、燃料、设备、机械、仪表、备件、计算机软件、产品等，并包括工具、手册等其他相关资料。</w:t>
      </w:r>
    </w:p>
    <w:p w14:paraId="2000B9AF">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 “甲方”系指与中标供应商签署合同的采购人；采购人委托采购代理机构代表其与乙方签订合同的，采购人的授权委托书作为合同附件。</w:t>
      </w:r>
    </w:p>
    <w:p w14:paraId="262F8EC6">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B045CB4">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 “现场”系指合同约定货物将要运至或者安装的地点。</w:t>
      </w:r>
      <w:bookmarkEnd w:id="98"/>
    </w:p>
    <w:p w14:paraId="4C807C4D">
      <w:pPr>
        <w:spacing w:line="560" w:lineRule="exact"/>
        <w:ind w:firstLine="482" w:firstLineChars="200"/>
        <w:outlineLvl w:val="9"/>
        <w:rPr>
          <w:rFonts w:hint="eastAsia" w:ascii="仿宋" w:hAnsi="仿宋" w:eastAsia="仿宋" w:cs="仿宋"/>
          <w:b/>
          <w:color w:val="auto"/>
          <w:sz w:val="24"/>
          <w:szCs w:val="24"/>
          <w:highlight w:val="none"/>
        </w:rPr>
      </w:pPr>
      <w:bookmarkStart w:id="99" w:name="_Toc11498"/>
      <w:bookmarkStart w:id="100" w:name="_Toc29360"/>
      <w:bookmarkStart w:id="101" w:name="_Toc279701241"/>
      <w:bookmarkStart w:id="102" w:name="_Toc19539"/>
      <w:bookmarkStart w:id="103" w:name="_Toc6355"/>
      <w:bookmarkStart w:id="104" w:name="_Toc3769"/>
      <w:bookmarkStart w:id="105" w:name="_Toc31402"/>
      <w:bookmarkStart w:id="106" w:name="_Toc16752"/>
      <w:bookmarkStart w:id="107" w:name="_Toc23289"/>
      <w:bookmarkStart w:id="108" w:name="_Toc259093670"/>
      <w:bookmarkStart w:id="109" w:name="_Toc487900350"/>
      <w:bookmarkStart w:id="110" w:name="_Toc29022"/>
      <w:r>
        <w:rPr>
          <w:rFonts w:hint="eastAsia" w:ascii="仿宋" w:hAnsi="仿宋" w:eastAsia="仿宋" w:cs="仿宋"/>
          <w:b/>
          <w:color w:val="auto"/>
          <w:sz w:val="24"/>
          <w:szCs w:val="24"/>
          <w:highlight w:val="none"/>
        </w:rPr>
        <w:t>2.2 技术规范</w:t>
      </w:r>
      <w:bookmarkEnd w:id="99"/>
      <w:bookmarkEnd w:id="100"/>
      <w:bookmarkEnd w:id="101"/>
      <w:bookmarkEnd w:id="102"/>
      <w:bookmarkEnd w:id="103"/>
      <w:bookmarkEnd w:id="104"/>
      <w:bookmarkEnd w:id="105"/>
      <w:bookmarkEnd w:id="106"/>
      <w:bookmarkEnd w:id="107"/>
      <w:bookmarkEnd w:id="108"/>
      <w:bookmarkEnd w:id="109"/>
      <w:bookmarkEnd w:id="110"/>
    </w:p>
    <w:p w14:paraId="47FF497A">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EFCDCB5">
      <w:pPr>
        <w:spacing w:line="560" w:lineRule="exact"/>
        <w:ind w:firstLine="482" w:firstLineChars="200"/>
        <w:outlineLvl w:val="9"/>
        <w:rPr>
          <w:rFonts w:hint="eastAsia" w:ascii="仿宋" w:hAnsi="仿宋" w:eastAsia="仿宋" w:cs="仿宋"/>
          <w:b/>
          <w:color w:val="auto"/>
          <w:sz w:val="24"/>
          <w:szCs w:val="24"/>
          <w:highlight w:val="none"/>
        </w:rPr>
      </w:pPr>
      <w:bookmarkStart w:id="111" w:name="_Toc12412"/>
      <w:bookmarkStart w:id="112" w:name="_Toc279701242"/>
      <w:bookmarkStart w:id="113" w:name="_Toc21566"/>
      <w:bookmarkStart w:id="114" w:name="_Toc13673"/>
      <w:bookmarkStart w:id="115" w:name="_Toc3780"/>
      <w:bookmarkStart w:id="116" w:name="_Toc3608"/>
      <w:bookmarkStart w:id="117" w:name="_Toc9161"/>
      <w:bookmarkStart w:id="118" w:name="_Toc259093671"/>
      <w:bookmarkStart w:id="119" w:name="_Toc27945"/>
      <w:bookmarkStart w:id="120" w:name="_Toc432"/>
      <w:bookmarkStart w:id="121" w:name="_Toc487900351"/>
      <w:bookmarkStart w:id="122" w:name="_Toc4133"/>
      <w:r>
        <w:rPr>
          <w:rFonts w:hint="eastAsia" w:ascii="仿宋" w:hAnsi="仿宋" w:eastAsia="仿宋" w:cs="仿宋"/>
          <w:b/>
          <w:color w:val="auto"/>
          <w:sz w:val="24"/>
          <w:szCs w:val="24"/>
          <w:highlight w:val="none"/>
        </w:rPr>
        <w:t>2.3 知识产权</w:t>
      </w:r>
      <w:bookmarkEnd w:id="111"/>
      <w:bookmarkEnd w:id="112"/>
      <w:bookmarkEnd w:id="113"/>
      <w:bookmarkEnd w:id="114"/>
      <w:bookmarkEnd w:id="115"/>
      <w:bookmarkEnd w:id="116"/>
      <w:bookmarkEnd w:id="117"/>
      <w:bookmarkEnd w:id="118"/>
      <w:bookmarkEnd w:id="119"/>
      <w:bookmarkEnd w:id="120"/>
      <w:bookmarkEnd w:id="121"/>
      <w:bookmarkEnd w:id="122"/>
    </w:p>
    <w:p w14:paraId="24C2C722">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0C0AAC5D">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2.3.2具有知识产权的计算机软件等货物的知识产权归属，详见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797B6E1F">
      <w:pPr>
        <w:spacing w:line="5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履约检查和问题反馈</w:t>
      </w:r>
    </w:p>
    <w:p w14:paraId="43363621">
      <w:pPr>
        <w:spacing w:line="560" w:lineRule="exact"/>
        <w:ind w:firstLine="480" w:firstLineChars="200"/>
        <w:outlineLvl w:val="9"/>
        <w:rPr>
          <w:rFonts w:hint="eastAsia" w:ascii="仿宋" w:hAnsi="仿宋" w:eastAsia="仿宋" w:cs="仿宋"/>
          <w:color w:val="auto"/>
          <w:sz w:val="24"/>
          <w:szCs w:val="24"/>
          <w:highlight w:val="none"/>
        </w:rPr>
      </w:pPr>
      <w:bookmarkStart w:id="123" w:name="_Toc186431855"/>
      <w:bookmarkStart w:id="124" w:name="_Toc259093676"/>
      <w:bookmarkStart w:id="125" w:name="_Toc279701247"/>
      <w:bookmarkStart w:id="126" w:name="_Ref467379807"/>
      <w:bookmarkStart w:id="127" w:name="_Toc487900357"/>
      <w:bookmarkStart w:id="128" w:name="_Ref467379793"/>
      <w:r>
        <w:rPr>
          <w:rFonts w:hint="eastAsia" w:ascii="仿宋" w:hAnsi="仿宋" w:eastAsia="仿宋" w:cs="仿宋"/>
          <w:color w:val="auto"/>
          <w:sz w:val="24"/>
          <w:szCs w:val="24"/>
          <w:highlight w:val="none"/>
        </w:rPr>
        <w:t>2.4.1除</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261CB64">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装运货物的要求和通知，详见</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w:t>
      </w:r>
    </w:p>
    <w:bookmarkEnd w:id="123"/>
    <w:p w14:paraId="5D5A0A2D">
      <w:pPr>
        <w:spacing w:line="560" w:lineRule="exact"/>
        <w:ind w:firstLine="482" w:firstLineChars="200"/>
        <w:outlineLvl w:val="9"/>
        <w:rPr>
          <w:rFonts w:hint="eastAsia" w:ascii="仿宋" w:hAnsi="仿宋" w:eastAsia="仿宋" w:cs="仿宋"/>
          <w:b/>
          <w:color w:val="auto"/>
          <w:sz w:val="24"/>
          <w:szCs w:val="24"/>
          <w:highlight w:val="none"/>
          <w:lang w:val="en-US" w:eastAsia="zh-CN"/>
        </w:rPr>
      </w:pPr>
      <w:bookmarkStart w:id="129" w:name="_Toc22011"/>
      <w:bookmarkStart w:id="130" w:name="_Toc22418"/>
      <w:bookmarkStart w:id="131" w:name="_Toc27767"/>
      <w:bookmarkStart w:id="132" w:name="_Toc28318"/>
      <w:bookmarkStart w:id="133" w:name="_Toc26555"/>
      <w:bookmarkStart w:id="134" w:name="_Toc32670"/>
      <w:bookmarkStart w:id="135" w:name="_Toc15447"/>
      <w:bookmarkStart w:id="136" w:name="_Toc24837"/>
      <w:bookmarkStart w:id="137" w:name="_Toc31233"/>
      <w:r>
        <w:rPr>
          <w:rFonts w:hint="eastAsia" w:ascii="仿宋" w:hAnsi="仿宋" w:eastAsia="仿宋" w:cs="仿宋"/>
          <w:b/>
          <w:color w:val="auto"/>
          <w:sz w:val="24"/>
          <w:szCs w:val="24"/>
          <w:highlight w:val="none"/>
          <w:lang w:val="en-US" w:eastAsia="zh-CN"/>
        </w:rPr>
        <w:t>2.5 履约检查和问题反馈</w:t>
      </w:r>
    </w:p>
    <w:p w14:paraId="7C36BC6A">
      <w:pPr>
        <w:spacing w:line="560" w:lineRule="exact"/>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71BE68E9">
      <w:pPr>
        <w:spacing w:line="560" w:lineRule="exact"/>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2.5.2 合同履行期间，甲方有权将履行过程中出现的问题反馈给乙方，双方当事人应以书面形式约定需要完善和改进的内容。</w:t>
      </w:r>
    </w:p>
    <w:p w14:paraId="26B24FE6">
      <w:pPr>
        <w:spacing w:line="5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xml:space="preserve"> 结算方式和付款条件</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4AC6EC00">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0052AFA1">
      <w:pPr>
        <w:spacing w:line="560" w:lineRule="exact"/>
        <w:ind w:firstLine="482" w:firstLineChars="200"/>
        <w:outlineLvl w:val="9"/>
        <w:rPr>
          <w:rFonts w:hint="eastAsia" w:ascii="仿宋" w:hAnsi="仿宋" w:eastAsia="仿宋" w:cs="仿宋"/>
          <w:b/>
          <w:color w:val="auto"/>
          <w:sz w:val="24"/>
          <w:szCs w:val="24"/>
          <w:highlight w:val="none"/>
        </w:rPr>
      </w:pPr>
      <w:bookmarkStart w:id="138" w:name="_Ref467379923"/>
      <w:bookmarkStart w:id="139" w:name="_Toc259093677"/>
      <w:bookmarkStart w:id="140" w:name="_Ref467379863"/>
      <w:bookmarkStart w:id="141" w:name="_Ref467379852"/>
      <w:bookmarkStart w:id="142" w:name="_Toc279701248"/>
      <w:bookmarkStart w:id="143" w:name="_Toc487900358"/>
      <w:bookmarkStart w:id="144" w:name="_Toc16163"/>
      <w:bookmarkStart w:id="145" w:name="_Toc18990"/>
      <w:bookmarkStart w:id="146" w:name="_Toc23316"/>
      <w:bookmarkStart w:id="147" w:name="_Toc13154"/>
      <w:bookmarkStart w:id="148" w:name="_Toc31126"/>
      <w:bookmarkStart w:id="149" w:name="_Toc13467"/>
      <w:bookmarkStart w:id="150" w:name="_Toc30507"/>
      <w:bookmarkStart w:id="151" w:name="_Toc26623"/>
      <w:bookmarkStart w:id="152" w:name="_Toc10233"/>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 xml:space="preserve"> 技术资料</w:t>
      </w:r>
      <w:bookmarkEnd w:id="138"/>
      <w:bookmarkEnd w:id="139"/>
      <w:bookmarkEnd w:id="140"/>
      <w:bookmarkEnd w:id="141"/>
      <w:bookmarkEnd w:id="142"/>
      <w:bookmarkEnd w:id="143"/>
      <w:r>
        <w:rPr>
          <w:rFonts w:hint="eastAsia" w:ascii="仿宋" w:hAnsi="仿宋" w:eastAsia="仿宋" w:cs="仿宋"/>
          <w:b/>
          <w:color w:val="auto"/>
          <w:sz w:val="24"/>
          <w:szCs w:val="24"/>
          <w:highlight w:val="none"/>
        </w:rPr>
        <w:t>和保密义务</w:t>
      </w:r>
      <w:bookmarkEnd w:id="144"/>
      <w:bookmarkEnd w:id="145"/>
      <w:bookmarkEnd w:id="146"/>
      <w:bookmarkEnd w:id="147"/>
      <w:bookmarkEnd w:id="148"/>
      <w:bookmarkEnd w:id="149"/>
      <w:bookmarkEnd w:id="150"/>
      <w:bookmarkEnd w:id="151"/>
      <w:bookmarkEnd w:id="152"/>
    </w:p>
    <w:p w14:paraId="7725F785">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乙方有权依据合同约定和项目需要，向甲方了解有关情况，调阅有关资料等，甲方应予积极配合；</w:t>
      </w:r>
    </w:p>
    <w:p w14:paraId="39DD63BB">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 乙方有义务妥善保管和保护由甲方提供的前款信息和资料等；</w:t>
      </w:r>
    </w:p>
    <w:p w14:paraId="26DFA1E0">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53FC017">
      <w:pPr>
        <w:spacing w:line="560" w:lineRule="exact"/>
        <w:ind w:firstLine="482" w:firstLineChars="200"/>
        <w:outlineLvl w:val="9"/>
        <w:rPr>
          <w:rFonts w:hint="eastAsia" w:ascii="仿宋" w:hAnsi="仿宋" w:eastAsia="仿宋" w:cs="仿宋"/>
          <w:b/>
          <w:color w:val="auto"/>
          <w:sz w:val="24"/>
          <w:szCs w:val="24"/>
          <w:highlight w:val="none"/>
        </w:rPr>
      </w:pPr>
      <w:bookmarkStart w:id="153" w:name="_Toc19069"/>
      <w:bookmarkStart w:id="154" w:name="_Toc5589"/>
      <w:bookmarkStart w:id="155" w:name="_Toc22354"/>
      <w:bookmarkStart w:id="156" w:name="_Toc24468"/>
      <w:bookmarkStart w:id="157" w:name="_Toc5229"/>
      <w:bookmarkStart w:id="158" w:name="_Toc487900362"/>
      <w:bookmarkStart w:id="159" w:name="_Toc259093681"/>
      <w:bookmarkStart w:id="160" w:name="_Toc279701252"/>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 xml:space="preserve"> 质量保证</w:t>
      </w:r>
      <w:bookmarkEnd w:id="153"/>
      <w:bookmarkEnd w:id="154"/>
      <w:bookmarkEnd w:id="155"/>
      <w:bookmarkEnd w:id="156"/>
      <w:bookmarkEnd w:id="157"/>
    </w:p>
    <w:bookmarkEnd w:id="158"/>
    <w:bookmarkEnd w:id="159"/>
    <w:bookmarkEnd w:id="160"/>
    <w:p w14:paraId="77BBA6BC">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2.8.1 乙方应建立和完善履行合同的内部质量保证体系，并提供相关内部规章制度给甲方，以便甲方进行监督检查；</w:t>
      </w:r>
    </w:p>
    <w:p w14:paraId="4CC7EF79">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 乙方应保证履行合同的人员数量和素质、软件和硬件设备的配置、场地、环境和设施等满足全面履行合同的要求，并应接受甲方的监督检查。</w:t>
      </w:r>
    </w:p>
    <w:p w14:paraId="28A0E7BD">
      <w:pPr>
        <w:spacing w:line="560" w:lineRule="exact"/>
        <w:ind w:firstLine="482" w:firstLineChars="200"/>
        <w:outlineLvl w:val="9"/>
        <w:rPr>
          <w:rFonts w:hint="eastAsia" w:ascii="仿宋" w:hAnsi="仿宋" w:eastAsia="仿宋" w:cs="仿宋"/>
          <w:b/>
          <w:color w:val="auto"/>
          <w:sz w:val="24"/>
          <w:szCs w:val="24"/>
          <w:highlight w:val="none"/>
          <w:lang w:val="en-US" w:eastAsia="zh-CN"/>
        </w:rPr>
      </w:pPr>
      <w:bookmarkStart w:id="161" w:name="_Toc15107"/>
      <w:bookmarkStart w:id="162" w:name="_Toc13062"/>
      <w:bookmarkStart w:id="163" w:name="_Toc22289"/>
      <w:bookmarkStart w:id="164" w:name="_Toc1091"/>
      <w:bookmarkStart w:id="165" w:name="_Toc10611"/>
      <w:bookmarkStart w:id="166" w:name="_Ref467378121"/>
      <w:bookmarkStart w:id="167" w:name="_Toc259093683"/>
      <w:bookmarkStart w:id="168" w:name="_Toc487900364"/>
      <w:bookmarkStart w:id="169" w:name="_Toc279701254"/>
      <w:r>
        <w:rPr>
          <w:rFonts w:hint="eastAsia" w:ascii="仿宋" w:hAnsi="仿宋" w:eastAsia="仿宋" w:cs="仿宋"/>
          <w:b/>
          <w:color w:val="auto"/>
          <w:sz w:val="24"/>
          <w:szCs w:val="24"/>
          <w:highlight w:val="none"/>
          <w:lang w:val="en-US" w:eastAsia="zh-CN"/>
        </w:rPr>
        <w:t>2.9 货物的风险负担</w:t>
      </w:r>
    </w:p>
    <w:p w14:paraId="27F6DBC6">
      <w:pPr>
        <w:spacing w:line="560" w:lineRule="exact"/>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货物或者在途货物或者交付给第一承运人后的货物毁损、灭失的风险负担详见</w:t>
      </w:r>
      <w:r>
        <w:rPr>
          <w:rFonts w:hint="eastAsia" w:ascii="仿宋" w:hAnsi="仿宋" w:eastAsia="仿宋" w:cs="仿宋"/>
          <w:b/>
          <w:bCs w:val="0"/>
          <w:i/>
          <w:iCs/>
          <w:color w:val="auto"/>
          <w:sz w:val="24"/>
          <w:szCs w:val="24"/>
          <w:highlight w:val="none"/>
          <w:u w:val="single"/>
        </w:rPr>
        <w:t>合同专用条款</w:t>
      </w:r>
      <w:r>
        <w:rPr>
          <w:rFonts w:hint="eastAsia" w:ascii="仿宋" w:hAnsi="仿宋" w:eastAsia="仿宋" w:cs="仿宋"/>
          <w:b w:val="0"/>
          <w:bCs/>
          <w:color w:val="auto"/>
          <w:sz w:val="24"/>
          <w:szCs w:val="24"/>
          <w:highlight w:val="none"/>
        </w:rPr>
        <w:t>。</w:t>
      </w:r>
    </w:p>
    <w:p w14:paraId="7E5A0AB6">
      <w:pPr>
        <w:spacing w:line="560" w:lineRule="exact"/>
        <w:ind w:firstLine="482" w:firstLineChars="200"/>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2.10 延迟交货</w:t>
      </w:r>
    </w:p>
    <w:p w14:paraId="304CF1FC">
      <w:pPr>
        <w:spacing w:line="560" w:lineRule="exact"/>
        <w:ind w:firstLine="480" w:firstLineChars="200"/>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F9BE1A7">
      <w:pPr>
        <w:spacing w:line="5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 xml:space="preserve"> 合同变更</w:t>
      </w:r>
      <w:bookmarkEnd w:id="161"/>
      <w:bookmarkEnd w:id="162"/>
      <w:bookmarkEnd w:id="163"/>
      <w:bookmarkEnd w:id="164"/>
      <w:bookmarkEnd w:id="165"/>
    </w:p>
    <w:p w14:paraId="7A482117">
      <w:pPr>
        <w:spacing w:line="560" w:lineRule="exact"/>
        <w:ind w:firstLine="480" w:firstLineChars="200"/>
        <w:outlineLvl w:val="9"/>
        <w:rPr>
          <w:rFonts w:hint="eastAsia" w:ascii="仿宋" w:hAnsi="仿宋" w:eastAsia="仿宋" w:cs="仿宋"/>
          <w:color w:val="auto"/>
          <w:sz w:val="24"/>
          <w:szCs w:val="24"/>
          <w:highlight w:val="none"/>
        </w:rPr>
      </w:pPr>
      <w:bookmarkStart w:id="170" w:name="_Toc259093688"/>
      <w:bookmarkStart w:id="171" w:name="_Toc487900369"/>
      <w:bookmarkStart w:id="172" w:name="_Toc279701259"/>
      <w:r>
        <w:rPr>
          <w:rFonts w:hint="eastAsia" w:ascii="仿宋" w:hAnsi="仿宋" w:eastAsia="仿宋" w:cs="仿宋"/>
          <w:color w:val="auto"/>
          <w:sz w:val="24"/>
          <w:szCs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14:paraId="793E0F4D">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2.11.2 合同继续履行将损害国家利益和社会公共利益的，双方当事人应当以书面形式变更合同。有过错的一方应当承担赔偿责任，双方当事人都有过错的，各自承担相应的责任。</w:t>
      </w:r>
    </w:p>
    <w:p w14:paraId="0AAE3DB2">
      <w:pPr>
        <w:spacing w:line="560" w:lineRule="exact"/>
        <w:ind w:firstLine="482" w:firstLineChars="200"/>
        <w:outlineLvl w:val="9"/>
        <w:rPr>
          <w:rFonts w:hint="eastAsia" w:ascii="仿宋" w:hAnsi="仿宋" w:eastAsia="仿宋" w:cs="仿宋"/>
          <w:b/>
          <w:color w:val="auto"/>
          <w:sz w:val="24"/>
          <w:szCs w:val="24"/>
          <w:highlight w:val="none"/>
        </w:rPr>
      </w:pPr>
      <w:bookmarkStart w:id="173" w:name="_Toc18377"/>
      <w:bookmarkStart w:id="174" w:name="_Toc42"/>
      <w:bookmarkStart w:id="175" w:name="_Toc10663"/>
      <w:bookmarkStart w:id="176" w:name="_Toc21603"/>
      <w:bookmarkStart w:id="177" w:name="_Toc23368"/>
      <w:bookmarkStart w:id="178" w:name="_Toc31888"/>
      <w:bookmarkStart w:id="179" w:name="_Toc21055"/>
      <w:bookmarkStart w:id="180" w:name="_Toc21830"/>
      <w:bookmarkStart w:id="181" w:name="_Toc26689"/>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xml:space="preserve"> 合同转让</w:t>
      </w:r>
      <w:bookmarkEnd w:id="170"/>
      <w:bookmarkEnd w:id="171"/>
      <w:bookmarkEnd w:id="172"/>
      <w:r>
        <w:rPr>
          <w:rFonts w:hint="eastAsia" w:ascii="仿宋" w:hAnsi="仿宋" w:eastAsia="仿宋" w:cs="仿宋"/>
          <w:b/>
          <w:color w:val="auto"/>
          <w:sz w:val="24"/>
          <w:szCs w:val="24"/>
          <w:highlight w:val="none"/>
        </w:rPr>
        <w:t>和分包</w:t>
      </w:r>
      <w:bookmarkEnd w:id="173"/>
      <w:bookmarkEnd w:id="174"/>
      <w:bookmarkEnd w:id="175"/>
      <w:bookmarkEnd w:id="176"/>
      <w:bookmarkEnd w:id="177"/>
      <w:bookmarkEnd w:id="178"/>
      <w:bookmarkEnd w:id="179"/>
      <w:bookmarkEnd w:id="180"/>
      <w:bookmarkEnd w:id="181"/>
    </w:p>
    <w:p w14:paraId="08728888">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C19AA0B">
      <w:pPr>
        <w:spacing w:line="560" w:lineRule="exact"/>
        <w:ind w:firstLine="482" w:firstLineChars="200"/>
        <w:outlineLvl w:val="9"/>
        <w:rPr>
          <w:rFonts w:hint="eastAsia" w:ascii="仿宋" w:hAnsi="仿宋" w:eastAsia="仿宋" w:cs="仿宋"/>
          <w:b/>
          <w:color w:val="auto"/>
          <w:sz w:val="24"/>
          <w:szCs w:val="24"/>
          <w:highlight w:val="none"/>
        </w:rPr>
      </w:pPr>
      <w:bookmarkStart w:id="182" w:name="_Toc756"/>
      <w:bookmarkStart w:id="183" w:name="_Toc25571"/>
      <w:bookmarkStart w:id="184" w:name="_Toc26633"/>
      <w:bookmarkStart w:id="185" w:name="_Toc14371"/>
      <w:bookmarkStart w:id="186" w:name="_Toc2510"/>
      <w:bookmarkStart w:id="187" w:name="_Toc32494"/>
      <w:bookmarkStart w:id="188" w:name="_Toc4720"/>
      <w:bookmarkStart w:id="189" w:name="_Toc25805"/>
      <w:bookmarkStart w:id="190" w:name="_Toc19780"/>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xml:space="preserve"> 不可抗力</w:t>
      </w:r>
      <w:bookmarkEnd w:id="182"/>
      <w:bookmarkEnd w:id="183"/>
      <w:bookmarkEnd w:id="184"/>
      <w:bookmarkEnd w:id="185"/>
      <w:bookmarkEnd w:id="186"/>
      <w:bookmarkEnd w:id="187"/>
      <w:bookmarkEnd w:id="188"/>
      <w:bookmarkEnd w:id="189"/>
      <w:bookmarkEnd w:id="190"/>
    </w:p>
    <w:p w14:paraId="3FC14FEA">
      <w:pPr>
        <w:spacing w:line="560" w:lineRule="exact"/>
        <w:ind w:firstLine="480" w:firstLineChars="200"/>
        <w:outlineLvl w:val="9"/>
        <w:rPr>
          <w:rFonts w:hint="eastAsia" w:ascii="仿宋" w:hAnsi="仿宋" w:eastAsia="仿宋" w:cs="仿宋"/>
          <w:b w:val="0"/>
          <w:bCs/>
          <w:i w:val="0"/>
          <w:iCs/>
          <w:color w:val="auto"/>
          <w:sz w:val="24"/>
          <w:szCs w:val="24"/>
          <w:highlight w:val="none"/>
          <w:u w:val="none"/>
        </w:rPr>
      </w:pPr>
      <w:r>
        <w:rPr>
          <w:rFonts w:hint="eastAsia" w:ascii="仿宋" w:hAnsi="仿宋" w:eastAsia="仿宋" w:cs="仿宋"/>
          <w:b w:val="0"/>
          <w:bCs/>
          <w:i w:val="0"/>
          <w:iCs/>
          <w:color w:val="auto"/>
          <w:sz w:val="24"/>
          <w:szCs w:val="24"/>
          <w:highlight w:val="none"/>
          <w:u w:val="none"/>
        </w:rPr>
        <w:t>2.13.1如果任何一方遭遇法律规定的不可抗力，致使合同履行受阻时，履行合同的期限应予延长，延长的期限应相当于不可抗力所影响的时间；</w:t>
      </w:r>
    </w:p>
    <w:p w14:paraId="7AD83CE8">
      <w:pPr>
        <w:spacing w:line="560" w:lineRule="exact"/>
        <w:ind w:firstLine="480" w:firstLineChars="200"/>
        <w:outlineLvl w:val="9"/>
        <w:rPr>
          <w:rFonts w:hint="eastAsia" w:ascii="仿宋" w:hAnsi="仿宋" w:eastAsia="仿宋" w:cs="仿宋"/>
          <w:b w:val="0"/>
          <w:bCs/>
          <w:i w:val="0"/>
          <w:iCs/>
          <w:color w:val="auto"/>
          <w:sz w:val="24"/>
          <w:szCs w:val="24"/>
          <w:highlight w:val="none"/>
          <w:u w:val="none"/>
        </w:rPr>
      </w:pPr>
      <w:r>
        <w:rPr>
          <w:rFonts w:hint="eastAsia" w:ascii="仿宋" w:hAnsi="仿宋" w:eastAsia="仿宋" w:cs="仿宋"/>
          <w:b w:val="0"/>
          <w:bCs/>
          <w:i w:val="0"/>
          <w:iCs/>
          <w:color w:val="auto"/>
          <w:sz w:val="24"/>
          <w:szCs w:val="24"/>
          <w:highlight w:val="none"/>
          <w:u w:val="none"/>
        </w:rPr>
        <w:t>2.13.2 因不可抗力致使不能实现合同目的的，当事人可以解除合同；</w:t>
      </w:r>
    </w:p>
    <w:p w14:paraId="5129A14C">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b w:val="0"/>
          <w:bCs/>
          <w:i w:val="0"/>
          <w:iCs/>
          <w:color w:val="auto"/>
          <w:sz w:val="24"/>
          <w:szCs w:val="24"/>
          <w:highlight w:val="none"/>
          <w:u w:val="none"/>
        </w:rPr>
        <w:t>2.13.3 因不可抗力致使合同有变更必要的，双方当事人应</w:t>
      </w:r>
      <w:r>
        <w:rPr>
          <w:rFonts w:hint="eastAsia" w:ascii="仿宋" w:hAnsi="仿宋" w:eastAsia="仿宋" w:cs="仿宋"/>
          <w:b/>
          <w:i/>
          <w:color w:val="auto"/>
          <w:sz w:val="24"/>
          <w:szCs w:val="24"/>
          <w:highlight w:val="none"/>
          <w:u w:val="single"/>
        </w:rPr>
        <w:t>在合同专用条款</w:t>
      </w:r>
      <w:r>
        <w:rPr>
          <w:rFonts w:hint="eastAsia" w:ascii="仿宋" w:hAnsi="仿宋" w:eastAsia="仿宋" w:cs="仿宋"/>
          <w:b/>
          <w:i/>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约定时间内以书面形式变更合同；</w:t>
      </w:r>
    </w:p>
    <w:p w14:paraId="5E2A3719">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.4受不可抗力影响的一方在不可抗力发生后，应在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b/>
          <w:i/>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b/>
          <w:i/>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约定时间内，将有关部门出具的证明文件送达对方当事人。</w:t>
      </w:r>
    </w:p>
    <w:p w14:paraId="58F734AF">
      <w:pPr>
        <w:spacing w:line="560" w:lineRule="exact"/>
        <w:ind w:firstLine="482" w:firstLineChars="200"/>
        <w:outlineLvl w:val="9"/>
        <w:rPr>
          <w:rFonts w:hint="eastAsia" w:ascii="仿宋" w:hAnsi="仿宋" w:eastAsia="仿宋" w:cs="仿宋"/>
          <w:b/>
          <w:color w:val="auto"/>
          <w:sz w:val="24"/>
          <w:szCs w:val="24"/>
          <w:highlight w:val="none"/>
        </w:rPr>
      </w:pPr>
      <w:bookmarkStart w:id="191" w:name="_Toc16801"/>
      <w:bookmarkStart w:id="192" w:name="_Toc24465"/>
      <w:bookmarkStart w:id="193" w:name="_Toc23854"/>
      <w:bookmarkStart w:id="194" w:name="_Toc14115"/>
      <w:bookmarkStart w:id="195" w:name="_Toc25783"/>
      <w:bookmarkStart w:id="196" w:name="_Toc487900365"/>
      <w:bookmarkStart w:id="197" w:name="_Toc24723"/>
      <w:bookmarkStart w:id="198" w:name="_Toc15380"/>
      <w:bookmarkStart w:id="199" w:name="_Toc259093684"/>
      <w:bookmarkStart w:id="200" w:name="_Toc48"/>
      <w:bookmarkStart w:id="201" w:name="_Toc279701255"/>
      <w:bookmarkStart w:id="202" w:name="_Toc3638"/>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 xml:space="preserve"> 税费</w:t>
      </w:r>
      <w:bookmarkEnd w:id="191"/>
      <w:bookmarkEnd w:id="192"/>
      <w:bookmarkEnd w:id="193"/>
      <w:bookmarkEnd w:id="194"/>
      <w:bookmarkEnd w:id="195"/>
      <w:bookmarkEnd w:id="196"/>
      <w:bookmarkEnd w:id="197"/>
      <w:bookmarkEnd w:id="198"/>
      <w:bookmarkEnd w:id="199"/>
      <w:bookmarkEnd w:id="200"/>
      <w:bookmarkEnd w:id="201"/>
      <w:bookmarkEnd w:id="202"/>
    </w:p>
    <w:p w14:paraId="0D123164">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与合同有关的一切税费，均按照中华人民共和国法律的相关规定缴纳。</w:t>
      </w:r>
    </w:p>
    <w:p w14:paraId="35145692">
      <w:pPr>
        <w:spacing w:line="560" w:lineRule="exact"/>
        <w:ind w:firstLine="482" w:firstLineChars="200"/>
        <w:outlineLvl w:val="9"/>
        <w:rPr>
          <w:rFonts w:hint="eastAsia" w:ascii="仿宋" w:hAnsi="仿宋" w:eastAsia="仿宋" w:cs="仿宋"/>
          <w:b/>
          <w:color w:val="auto"/>
          <w:sz w:val="24"/>
          <w:szCs w:val="24"/>
          <w:highlight w:val="none"/>
        </w:rPr>
      </w:pPr>
      <w:bookmarkStart w:id="203" w:name="_Toc17071"/>
      <w:bookmarkStart w:id="204" w:name="_Toc3994"/>
      <w:bookmarkStart w:id="205" w:name="_Toc487900368"/>
      <w:bookmarkStart w:id="206" w:name="_Toc30105"/>
      <w:bookmarkStart w:id="207" w:name="_Toc14814"/>
      <w:bookmarkStart w:id="208" w:name="_Toc25525"/>
      <w:bookmarkStart w:id="209" w:name="_Toc11838"/>
      <w:bookmarkStart w:id="210" w:name="_Toc7315"/>
      <w:bookmarkStart w:id="211" w:name="_Toc26883"/>
      <w:bookmarkStart w:id="212" w:name="_Toc259093687"/>
      <w:bookmarkStart w:id="213" w:name="_Toc279701258"/>
      <w:bookmarkStart w:id="214" w:name="_Toc23987"/>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乙方破产</w:t>
      </w:r>
      <w:bookmarkEnd w:id="203"/>
      <w:bookmarkEnd w:id="204"/>
      <w:bookmarkEnd w:id="205"/>
      <w:bookmarkEnd w:id="206"/>
      <w:bookmarkEnd w:id="207"/>
      <w:bookmarkEnd w:id="208"/>
      <w:bookmarkEnd w:id="209"/>
      <w:bookmarkEnd w:id="210"/>
      <w:bookmarkEnd w:id="211"/>
      <w:bookmarkEnd w:id="212"/>
      <w:bookmarkEnd w:id="213"/>
      <w:bookmarkEnd w:id="214"/>
    </w:p>
    <w:p w14:paraId="20EC7FAD">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2E2301F">
      <w:pPr>
        <w:spacing w:line="560" w:lineRule="exact"/>
        <w:ind w:firstLine="482" w:firstLineChars="200"/>
        <w:outlineLvl w:val="9"/>
        <w:rPr>
          <w:rFonts w:hint="eastAsia" w:ascii="仿宋" w:hAnsi="仿宋" w:eastAsia="仿宋" w:cs="仿宋"/>
          <w:b/>
          <w:color w:val="auto"/>
          <w:sz w:val="24"/>
          <w:szCs w:val="24"/>
          <w:highlight w:val="none"/>
        </w:rPr>
      </w:pPr>
      <w:bookmarkStart w:id="215" w:name="_Toc23323"/>
      <w:bookmarkStart w:id="216" w:name="_Toc3138"/>
      <w:bookmarkStart w:id="217" w:name="_Toc2016"/>
      <w:bookmarkStart w:id="218" w:name="_Toc12392"/>
      <w:bookmarkStart w:id="219" w:name="_Toc14665"/>
      <w:bookmarkStart w:id="220" w:name="_Toc1123"/>
      <w:bookmarkStart w:id="221" w:name="_Toc15404"/>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xml:space="preserve"> 合同中止、终止</w:t>
      </w:r>
      <w:bookmarkEnd w:id="215"/>
      <w:bookmarkEnd w:id="216"/>
      <w:bookmarkEnd w:id="217"/>
      <w:bookmarkEnd w:id="218"/>
      <w:bookmarkEnd w:id="219"/>
      <w:bookmarkEnd w:id="220"/>
      <w:bookmarkEnd w:id="221"/>
    </w:p>
    <w:p w14:paraId="222CD76A">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2.16.1 双方当事人不得擅自中止或者终止合同；</w:t>
      </w:r>
    </w:p>
    <w:p w14:paraId="6F69EE53">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2.16.2合同继续履行将损害国家利益和社会公共利益的，双方当事人应当中止或者终止合同。有过错的一方应当承担赔偿责任，双方当事人都有过错的，各自承担相应的责任。</w:t>
      </w:r>
    </w:p>
    <w:p w14:paraId="69E3D833">
      <w:pPr>
        <w:spacing w:line="560" w:lineRule="exact"/>
        <w:ind w:firstLine="482" w:firstLineChars="200"/>
        <w:outlineLvl w:val="9"/>
        <w:rPr>
          <w:rFonts w:hint="eastAsia" w:ascii="仿宋" w:hAnsi="仿宋" w:eastAsia="仿宋" w:cs="仿宋"/>
          <w:b/>
          <w:color w:val="auto"/>
          <w:sz w:val="24"/>
          <w:szCs w:val="24"/>
          <w:highlight w:val="none"/>
        </w:rPr>
      </w:pPr>
      <w:bookmarkStart w:id="222" w:name="_Toc26304"/>
      <w:bookmarkStart w:id="223" w:name="_Toc20657"/>
      <w:bookmarkStart w:id="224" w:name="_Toc14525"/>
      <w:bookmarkStart w:id="225" w:name="_Toc5419"/>
      <w:bookmarkStart w:id="226" w:name="_Toc1969"/>
      <w:bookmarkStart w:id="227" w:name="_Toc17363"/>
      <w:bookmarkStart w:id="228" w:name="_Toc8863"/>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 xml:space="preserve"> 检验和验收</w:t>
      </w:r>
      <w:bookmarkEnd w:id="222"/>
      <w:bookmarkEnd w:id="223"/>
      <w:bookmarkEnd w:id="224"/>
      <w:bookmarkEnd w:id="225"/>
      <w:bookmarkEnd w:id="226"/>
      <w:bookmarkEnd w:id="227"/>
      <w:bookmarkEnd w:id="228"/>
    </w:p>
    <w:p w14:paraId="2DF474F7">
      <w:pPr>
        <w:tabs>
          <w:tab w:val="left" w:pos="360"/>
          <w:tab w:val="left" w:pos="540"/>
          <w:tab w:val="left" w:pos="1080"/>
        </w:tabs>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2.17.1货物交付前，乙方应对货物的质量、数量等方面进行详细、全面的检验，并向甲方出具证明货物符合合同约定的文件；货物交付时，乙方</w:t>
      </w:r>
      <w:r>
        <w:rPr>
          <w:rFonts w:hint="eastAsia" w:ascii="仿宋" w:hAnsi="仿宋" w:eastAsia="仿宋" w:cs="仿宋"/>
          <w:color w:val="auto"/>
          <w:sz w:val="24"/>
          <w:szCs w:val="24"/>
          <w:highlight w:val="none"/>
          <w:lang w:val="en-US" w:eastAsia="zh-CN"/>
        </w:rPr>
        <w:t>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约定时间内组织验收，并可依法邀请相关方参加，验收应出具验收书。</w:t>
      </w:r>
    </w:p>
    <w:p w14:paraId="5D1844A9">
      <w:pPr>
        <w:tabs>
          <w:tab w:val="left" w:pos="360"/>
          <w:tab w:val="left" w:pos="540"/>
          <w:tab w:val="left" w:pos="1080"/>
        </w:tabs>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4CCFA22">
      <w:pPr>
        <w:tabs>
          <w:tab w:val="left" w:pos="360"/>
          <w:tab w:val="left" w:pos="540"/>
          <w:tab w:val="left" w:pos="1080"/>
        </w:tabs>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2.17.3 检验和验收标准、程序等具体内容以及前述验收书的效力详见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i/>
          <w:color w:val="auto"/>
          <w:sz w:val="24"/>
          <w:szCs w:val="24"/>
          <w:highlight w:val="none"/>
        </w:rPr>
        <w:t>。</w:t>
      </w:r>
    </w:p>
    <w:bookmarkEnd w:id="166"/>
    <w:bookmarkEnd w:id="167"/>
    <w:bookmarkEnd w:id="168"/>
    <w:bookmarkEnd w:id="169"/>
    <w:p w14:paraId="4E2EF670">
      <w:pPr>
        <w:spacing w:line="560" w:lineRule="exact"/>
        <w:ind w:firstLine="482" w:firstLineChars="200"/>
        <w:outlineLvl w:val="9"/>
        <w:rPr>
          <w:rFonts w:hint="eastAsia" w:ascii="仿宋" w:hAnsi="仿宋" w:eastAsia="仿宋" w:cs="仿宋"/>
          <w:b/>
          <w:color w:val="auto"/>
          <w:sz w:val="24"/>
          <w:szCs w:val="24"/>
          <w:highlight w:val="none"/>
        </w:rPr>
      </w:pPr>
      <w:bookmarkStart w:id="229" w:name="_Toc279701261"/>
      <w:bookmarkStart w:id="230" w:name="_Toc487900371"/>
      <w:bookmarkStart w:id="231" w:name="_Toc259093690"/>
      <w:bookmarkStart w:id="232" w:name="_Toc29512"/>
      <w:bookmarkStart w:id="233" w:name="_Toc21894"/>
      <w:bookmarkStart w:id="234" w:name="_Toc5289"/>
      <w:bookmarkStart w:id="235" w:name="_Toc2308"/>
      <w:bookmarkStart w:id="236" w:name="_Toc12666"/>
      <w:bookmarkStart w:id="237" w:name="_Toc9808"/>
      <w:bookmarkStart w:id="238" w:name="_Toc31892"/>
      <w:bookmarkStart w:id="239" w:name="_Toc6484"/>
      <w:bookmarkStart w:id="240" w:name="_Toc25198"/>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 xml:space="preserve"> 通知</w:t>
      </w:r>
      <w:bookmarkEnd w:id="229"/>
      <w:bookmarkEnd w:id="230"/>
      <w:bookmarkEnd w:id="231"/>
      <w:r>
        <w:rPr>
          <w:rFonts w:hint="eastAsia" w:ascii="仿宋" w:hAnsi="仿宋" w:eastAsia="仿宋" w:cs="仿宋"/>
          <w:b/>
          <w:color w:val="auto"/>
          <w:sz w:val="24"/>
          <w:szCs w:val="24"/>
          <w:highlight w:val="none"/>
        </w:rPr>
        <w:t>和送达</w:t>
      </w:r>
      <w:bookmarkEnd w:id="232"/>
      <w:bookmarkEnd w:id="233"/>
      <w:bookmarkEnd w:id="234"/>
      <w:bookmarkEnd w:id="235"/>
      <w:bookmarkEnd w:id="236"/>
      <w:bookmarkEnd w:id="237"/>
      <w:bookmarkEnd w:id="238"/>
      <w:bookmarkEnd w:id="239"/>
      <w:bookmarkEnd w:id="240"/>
    </w:p>
    <w:p w14:paraId="5BAF21D6">
      <w:pPr>
        <w:spacing w:line="560" w:lineRule="exact"/>
        <w:ind w:firstLine="480" w:firstLineChars="200"/>
        <w:outlineLvl w:val="9"/>
        <w:rPr>
          <w:rFonts w:hint="eastAsia" w:ascii="仿宋" w:hAnsi="仿宋" w:eastAsia="仿宋" w:cs="仿宋"/>
          <w:color w:val="auto"/>
          <w:sz w:val="24"/>
          <w:szCs w:val="24"/>
          <w:highlight w:val="none"/>
        </w:rPr>
      </w:pPr>
      <w:bookmarkStart w:id="241" w:name="_Toc7073"/>
      <w:bookmarkStart w:id="242" w:name="_Toc29220"/>
      <w:bookmarkStart w:id="243" w:name="_Toc259093691"/>
      <w:bookmarkStart w:id="244" w:name="_Toc487900372"/>
      <w:bookmarkStart w:id="245" w:name="_Toc279701262"/>
      <w:r>
        <w:rPr>
          <w:rFonts w:hint="eastAsia" w:ascii="仿宋" w:hAnsi="仿宋" w:eastAsia="仿宋" w:cs="仿宋"/>
          <w:color w:val="auto"/>
          <w:sz w:val="24"/>
          <w:szCs w:val="24"/>
          <w:highlight w:val="none"/>
        </w:rPr>
        <w:t>2.18.1 任何一方因履行合同而以合同第一部分尾部所列明的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bookmarkEnd w:id="241"/>
      <w:bookmarkEnd w:id="242"/>
    </w:p>
    <w:p w14:paraId="30C69062">
      <w:pPr>
        <w:spacing w:line="560" w:lineRule="exact"/>
        <w:ind w:firstLine="480" w:firstLineChars="200"/>
        <w:outlineLvl w:val="9"/>
        <w:rPr>
          <w:rFonts w:hint="eastAsia" w:ascii="仿宋" w:hAnsi="仿宋" w:eastAsia="仿宋" w:cs="仿宋"/>
          <w:color w:val="auto"/>
          <w:sz w:val="24"/>
          <w:szCs w:val="24"/>
          <w:highlight w:val="none"/>
        </w:rPr>
      </w:pPr>
      <w:bookmarkStart w:id="246" w:name="_Toc27674"/>
      <w:bookmarkStart w:id="247" w:name="_Toc18401"/>
      <w:r>
        <w:rPr>
          <w:rFonts w:hint="eastAsia" w:ascii="仿宋" w:hAnsi="仿宋" w:eastAsia="仿宋" w:cs="仿宋"/>
          <w:color w:val="auto"/>
          <w:sz w:val="24"/>
          <w:szCs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46"/>
      <w:bookmarkEnd w:id="247"/>
    </w:p>
    <w:bookmarkEnd w:id="243"/>
    <w:bookmarkEnd w:id="244"/>
    <w:bookmarkEnd w:id="245"/>
    <w:p w14:paraId="37C75429">
      <w:pPr>
        <w:spacing w:line="560" w:lineRule="exact"/>
        <w:ind w:firstLine="482" w:firstLineChars="200"/>
        <w:outlineLvl w:val="9"/>
        <w:rPr>
          <w:rFonts w:hint="eastAsia" w:ascii="仿宋" w:hAnsi="仿宋" w:eastAsia="仿宋" w:cs="仿宋"/>
          <w:b/>
          <w:color w:val="auto"/>
          <w:sz w:val="24"/>
          <w:szCs w:val="24"/>
          <w:highlight w:val="none"/>
          <w:lang w:val="en-US" w:eastAsia="zh-CN"/>
        </w:rPr>
      </w:pPr>
      <w:bookmarkStart w:id="248" w:name="_Toc28906"/>
      <w:bookmarkStart w:id="249" w:name="_Toc5903"/>
      <w:bookmarkStart w:id="250" w:name="_Toc259093692"/>
      <w:bookmarkStart w:id="251" w:name="_Toc12254"/>
      <w:bookmarkStart w:id="252" w:name="_Toc487900373"/>
      <w:bookmarkStart w:id="253" w:name="_Toc27644"/>
      <w:bookmarkStart w:id="254" w:name="_Toc279701263"/>
      <w:bookmarkStart w:id="255" w:name="_Toc9780"/>
      <w:bookmarkStart w:id="256" w:name="_Toc20808"/>
      <w:bookmarkStart w:id="257" w:name="_Toc18763"/>
      <w:bookmarkStart w:id="258" w:name="_Toc5063"/>
      <w:bookmarkStart w:id="259" w:name="_Toc24863"/>
      <w:r>
        <w:rPr>
          <w:rFonts w:hint="eastAsia" w:ascii="仿宋" w:hAnsi="仿宋" w:eastAsia="仿宋" w:cs="仿宋"/>
          <w:b/>
          <w:color w:val="auto"/>
          <w:sz w:val="24"/>
          <w:szCs w:val="24"/>
          <w:highlight w:val="none"/>
          <w:lang w:val="en-US" w:eastAsia="zh-CN"/>
        </w:rPr>
        <w:t>2.19 计量单位</w:t>
      </w:r>
    </w:p>
    <w:p w14:paraId="15FEFD2A">
      <w:pPr>
        <w:spacing w:line="560" w:lineRule="exact"/>
        <w:ind w:firstLine="480" w:firstLineChars="200"/>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除技术规范中另有规定外,合同的计量单位均使用国家法定计量单位。</w:t>
      </w:r>
    </w:p>
    <w:p w14:paraId="2ABBB1B1">
      <w:pPr>
        <w:spacing w:line="5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 xml:space="preserve"> 合同使用的文字和适用的法律</w:t>
      </w:r>
      <w:bookmarkEnd w:id="248"/>
      <w:bookmarkEnd w:id="249"/>
      <w:bookmarkEnd w:id="250"/>
      <w:bookmarkEnd w:id="251"/>
      <w:bookmarkEnd w:id="252"/>
      <w:bookmarkEnd w:id="253"/>
      <w:bookmarkEnd w:id="254"/>
      <w:bookmarkEnd w:id="255"/>
      <w:bookmarkEnd w:id="256"/>
      <w:bookmarkEnd w:id="257"/>
      <w:bookmarkEnd w:id="258"/>
      <w:bookmarkEnd w:id="259"/>
    </w:p>
    <w:p w14:paraId="7B02DEC3">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2.20.1 合同使用汉语书就、变更和解释；</w:t>
      </w:r>
    </w:p>
    <w:p w14:paraId="7E5454ED">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2.20.2 合同适用中华人民共和国法律。</w:t>
      </w:r>
    </w:p>
    <w:p w14:paraId="6A3376B1">
      <w:pPr>
        <w:spacing w:line="560" w:lineRule="exact"/>
        <w:ind w:firstLine="482" w:firstLineChars="200"/>
        <w:outlineLvl w:val="9"/>
        <w:rPr>
          <w:rFonts w:hint="eastAsia" w:ascii="仿宋" w:hAnsi="仿宋" w:eastAsia="仿宋" w:cs="仿宋"/>
          <w:b/>
          <w:color w:val="auto"/>
          <w:sz w:val="24"/>
          <w:szCs w:val="24"/>
          <w:highlight w:val="none"/>
        </w:rPr>
      </w:pPr>
      <w:bookmarkStart w:id="260" w:name="_Toc279701264"/>
      <w:bookmarkStart w:id="261" w:name="_Toc30096"/>
      <w:bookmarkStart w:id="262" w:name="_Toc14872"/>
      <w:bookmarkStart w:id="263" w:name="_Toc27127"/>
      <w:bookmarkStart w:id="264" w:name="_Toc1891"/>
      <w:bookmarkStart w:id="265" w:name="_Toc259093693"/>
      <w:bookmarkStart w:id="266" w:name="_Toc27403"/>
      <w:bookmarkStart w:id="267" w:name="_Toc9523"/>
      <w:bookmarkStart w:id="268" w:name="_Toc19166"/>
      <w:bookmarkStart w:id="269" w:name="_Toc22266"/>
      <w:bookmarkStart w:id="270" w:name="_Toc1492"/>
      <w:bookmarkStart w:id="271" w:name="_Toc487900374"/>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21</w:t>
      </w:r>
      <w:r>
        <w:rPr>
          <w:rFonts w:hint="eastAsia" w:ascii="仿宋" w:hAnsi="仿宋" w:eastAsia="仿宋" w:cs="仿宋"/>
          <w:b/>
          <w:color w:val="auto"/>
          <w:sz w:val="24"/>
          <w:szCs w:val="24"/>
          <w:highlight w:val="none"/>
        </w:rPr>
        <w:t xml:space="preserve"> 履约保证金</w:t>
      </w:r>
      <w:bookmarkEnd w:id="260"/>
      <w:bookmarkEnd w:id="261"/>
      <w:bookmarkEnd w:id="262"/>
      <w:bookmarkEnd w:id="263"/>
      <w:bookmarkEnd w:id="264"/>
      <w:bookmarkEnd w:id="265"/>
      <w:bookmarkEnd w:id="266"/>
      <w:bookmarkEnd w:id="267"/>
      <w:bookmarkEnd w:id="268"/>
      <w:bookmarkEnd w:id="269"/>
      <w:bookmarkEnd w:id="270"/>
    </w:p>
    <w:p w14:paraId="5419E447">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2.21.1 采购文件要求乙方提交履约保证金的，乙方应按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b/>
          <w:i/>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约定的方式，以支票、汇票、本票或者金融机构、担保机构出具的保函等非现金形式，提交不超过合同价10%的履约保证金；</w:t>
      </w:r>
    </w:p>
    <w:p w14:paraId="12114392">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2.21.2  履约保证金在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b/>
          <w:i/>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约定期间内或者货物质量保证期内不予退还或者应完全有效，前述约定期间届满或者货物质量保证期届满之日起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个工作日内，甲方应将履约保证金退还乙方；</w:t>
      </w:r>
    </w:p>
    <w:p w14:paraId="5EFC4295">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71"/>
    <w:p w14:paraId="7A7E25D8">
      <w:pPr>
        <w:spacing w:line="5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22</w:t>
      </w:r>
      <w:r>
        <w:rPr>
          <w:rFonts w:hint="eastAsia" w:ascii="仿宋" w:hAnsi="仿宋" w:eastAsia="仿宋" w:cs="仿宋"/>
          <w:b/>
          <w:color w:val="auto"/>
          <w:sz w:val="24"/>
          <w:szCs w:val="24"/>
          <w:highlight w:val="none"/>
        </w:rPr>
        <w:t xml:space="preserve"> 合同份数</w:t>
      </w:r>
    </w:p>
    <w:p w14:paraId="00F57E39">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合同份数按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b/>
          <w:i/>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规定，每份均具有同等法律效力。</w:t>
      </w:r>
    </w:p>
    <w:p w14:paraId="50002642">
      <w:pPr>
        <w:pStyle w:val="55"/>
        <w:spacing w:line="560" w:lineRule="exact"/>
        <w:ind w:firstLine="0"/>
        <w:jc w:val="center"/>
        <w:outlineLvl w:val="1"/>
        <w:rPr>
          <w:rFonts w:hint="eastAsia" w:ascii="仿宋" w:hAnsi="仿宋" w:eastAsia="仿宋" w:cs="仿宋"/>
          <w:b/>
          <w:color w:val="auto"/>
          <w:szCs w:val="24"/>
          <w:highlight w:val="none"/>
        </w:rPr>
      </w:pPr>
      <w:r>
        <w:rPr>
          <w:rFonts w:hint="eastAsia" w:ascii="仿宋" w:hAnsi="仿宋" w:eastAsia="仿宋" w:cs="仿宋"/>
          <w:color w:val="auto"/>
          <w:szCs w:val="24"/>
          <w:highlight w:val="none"/>
        </w:rPr>
        <w:br w:type="page"/>
      </w:r>
      <w:bookmarkStart w:id="272" w:name="_Toc331685784"/>
      <w:bookmarkStart w:id="273" w:name="_Toc22111"/>
      <w:r>
        <w:rPr>
          <w:rFonts w:hint="eastAsia" w:ascii="仿宋" w:hAnsi="仿宋" w:eastAsia="仿宋" w:cs="仿宋"/>
          <w:b/>
          <w:color w:val="auto"/>
          <w:szCs w:val="24"/>
          <w:highlight w:val="none"/>
        </w:rPr>
        <w:t>第三部分  合同专用条款</w:t>
      </w:r>
      <w:bookmarkEnd w:id="272"/>
      <w:bookmarkEnd w:id="273"/>
    </w:p>
    <w:p w14:paraId="56B1BC86">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6"/>
        <w:tblW w:w="943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37"/>
        <w:gridCol w:w="7800"/>
      </w:tblGrid>
      <w:tr w14:paraId="657AE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1637" w:type="dxa"/>
            <w:tcBorders>
              <w:left w:val="single" w:color="auto" w:sz="4" w:space="0"/>
            </w:tcBorders>
            <w:noWrap w:val="0"/>
            <w:vAlign w:val="center"/>
          </w:tcPr>
          <w:p w14:paraId="27C9DB6E">
            <w:pPr>
              <w:spacing w:line="560" w:lineRule="exact"/>
              <w:jc w:val="center"/>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7800" w:type="dxa"/>
            <w:noWrap w:val="0"/>
            <w:vAlign w:val="center"/>
          </w:tcPr>
          <w:p w14:paraId="536B17DB">
            <w:pPr>
              <w:spacing w:line="560" w:lineRule="exact"/>
              <w:jc w:val="center"/>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0F2DE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1637" w:type="dxa"/>
            <w:tcBorders>
              <w:left w:val="single" w:color="auto" w:sz="4" w:space="0"/>
            </w:tcBorders>
            <w:noWrap w:val="0"/>
            <w:vAlign w:val="center"/>
          </w:tcPr>
          <w:p w14:paraId="4D4B34F9">
            <w:pPr>
              <w:spacing w:line="560" w:lineRule="exact"/>
              <w:outlineLvl w:val="9"/>
              <w:rPr>
                <w:rFonts w:hint="eastAsia" w:ascii="仿宋" w:hAnsi="仿宋" w:eastAsia="仿宋" w:cs="仿宋"/>
                <w:color w:val="auto"/>
                <w:sz w:val="24"/>
                <w:highlight w:val="none"/>
              </w:rPr>
            </w:pPr>
          </w:p>
        </w:tc>
        <w:tc>
          <w:tcPr>
            <w:tcW w:w="7800" w:type="dxa"/>
            <w:noWrap w:val="0"/>
            <w:vAlign w:val="center"/>
          </w:tcPr>
          <w:p w14:paraId="44BB3E87">
            <w:pPr>
              <w:spacing w:line="560" w:lineRule="exact"/>
              <w:outlineLvl w:val="9"/>
              <w:rPr>
                <w:rFonts w:hint="eastAsia" w:ascii="仿宋" w:hAnsi="仿宋" w:eastAsia="仿宋" w:cs="仿宋"/>
                <w:color w:val="auto"/>
                <w:sz w:val="24"/>
                <w:highlight w:val="none"/>
              </w:rPr>
            </w:pPr>
          </w:p>
        </w:tc>
      </w:tr>
      <w:tr w14:paraId="75BB8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1637" w:type="dxa"/>
            <w:tcBorders>
              <w:left w:val="single" w:color="auto" w:sz="4" w:space="0"/>
            </w:tcBorders>
            <w:noWrap w:val="0"/>
            <w:vAlign w:val="center"/>
          </w:tcPr>
          <w:p w14:paraId="39BE7271">
            <w:pPr>
              <w:spacing w:line="560" w:lineRule="exact"/>
              <w:outlineLvl w:val="9"/>
              <w:rPr>
                <w:rFonts w:hint="eastAsia" w:ascii="仿宋" w:hAnsi="仿宋" w:eastAsia="仿宋" w:cs="仿宋"/>
                <w:color w:val="auto"/>
                <w:sz w:val="24"/>
                <w:highlight w:val="none"/>
              </w:rPr>
            </w:pPr>
          </w:p>
        </w:tc>
        <w:tc>
          <w:tcPr>
            <w:tcW w:w="7800" w:type="dxa"/>
            <w:noWrap w:val="0"/>
            <w:vAlign w:val="center"/>
          </w:tcPr>
          <w:p w14:paraId="33AD3864">
            <w:pPr>
              <w:spacing w:line="560" w:lineRule="exact"/>
              <w:outlineLvl w:val="9"/>
              <w:rPr>
                <w:rFonts w:hint="eastAsia" w:ascii="仿宋" w:hAnsi="仿宋" w:eastAsia="仿宋" w:cs="仿宋"/>
                <w:color w:val="auto"/>
                <w:sz w:val="24"/>
                <w:highlight w:val="none"/>
              </w:rPr>
            </w:pPr>
          </w:p>
        </w:tc>
      </w:tr>
      <w:tr w14:paraId="33950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1637" w:type="dxa"/>
            <w:tcBorders>
              <w:left w:val="single" w:color="auto" w:sz="4" w:space="0"/>
            </w:tcBorders>
            <w:noWrap w:val="0"/>
            <w:vAlign w:val="center"/>
          </w:tcPr>
          <w:p w14:paraId="6B551CAF">
            <w:pPr>
              <w:spacing w:line="560" w:lineRule="exact"/>
              <w:outlineLvl w:val="9"/>
              <w:rPr>
                <w:rFonts w:hint="eastAsia" w:ascii="仿宋" w:hAnsi="仿宋" w:eastAsia="仿宋" w:cs="仿宋"/>
                <w:color w:val="auto"/>
                <w:sz w:val="24"/>
                <w:highlight w:val="none"/>
              </w:rPr>
            </w:pPr>
          </w:p>
        </w:tc>
        <w:tc>
          <w:tcPr>
            <w:tcW w:w="7800" w:type="dxa"/>
            <w:noWrap w:val="0"/>
            <w:vAlign w:val="center"/>
          </w:tcPr>
          <w:p w14:paraId="1B792FAA">
            <w:pPr>
              <w:spacing w:line="560" w:lineRule="exact"/>
              <w:outlineLvl w:val="9"/>
              <w:rPr>
                <w:rFonts w:hint="eastAsia" w:ascii="仿宋" w:hAnsi="仿宋" w:eastAsia="仿宋" w:cs="仿宋"/>
                <w:color w:val="auto"/>
                <w:sz w:val="24"/>
                <w:highlight w:val="none"/>
              </w:rPr>
            </w:pPr>
          </w:p>
        </w:tc>
      </w:tr>
      <w:tr w14:paraId="24EFA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1637" w:type="dxa"/>
            <w:tcBorders>
              <w:left w:val="single" w:color="auto" w:sz="4" w:space="0"/>
            </w:tcBorders>
            <w:noWrap w:val="0"/>
            <w:vAlign w:val="center"/>
          </w:tcPr>
          <w:p w14:paraId="004C3336">
            <w:pPr>
              <w:spacing w:line="560" w:lineRule="exact"/>
              <w:outlineLvl w:val="9"/>
              <w:rPr>
                <w:rFonts w:hint="eastAsia" w:ascii="仿宋" w:hAnsi="仿宋" w:eastAsia="仿宋" w:cs="仿宋"/>
                <w:color w:val="auto"/>
                <w:sz w:val="24"/>
                <w:highlight w:val="none"/>
              </w:rPr>
            </w:pPr>
          </w:p>
        </w:tc>
        <w:tc>
          <w:tcPr>
            <w:tcW w:w="7800" w:type="dxa"/>
            <w:noWrap w:val="0"/>
            <w:vAlign w:val="center"/>
          </w:tcPr>
          <w:p w14:paraId="00401A10">
            <w:pPr>
              <w:spacing w:line="560" w:lineRule="exact"/>
              <w:outlineLvl w:val="9"/>
              <w:rPr>
                <w:rFonts w:hint="eastAsia" w:ascii="仿宋" w:hAnsi="仿宋" w:eastAsia="仿宋" w:cs="仿宋"/>
                <w:color w:val="auto"/>
                <w:sz w:val="24"/>
                <w:highlight w:val="none"/>
              </w:rPr>
            </w:pPr>
          </w:p>
        </w:tc>
      </w:tr>
      <w:tr w14:paraId="27822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1637" w:type="dxa"/>
            <w:tcBorders>
              <w:left w:val="single" w:color="auto" w:sz="4" w:space="0"/>
            </w:tcBorders>
            <w:noWrap w:val="0"/>
            <w:vAlign w:val="center"/>
          </w:tcPr>
          <w:p w14:paraId="31D83A71">
            <w:pPr>
              <w:spacing w:line="560" w:lineRule="exact"/>
              <w:outlineLvl w:val="9"/>
              <w:rPr>
                <w:rFonts w:hint="eastAsia" w:ascii="仿宋" w:hAnsi="仿宋" w:eastAsia="仿宋" w:cs="仿宋"/>
                <w:color w:val="auto"/>
                <w:sz w:val="24"/>
                <w:highlight w:val="none"/>
              </w:rPr>
            </w:pPr>
          </w:p>
        </w:tc>
        <w:tc>
          <w:tcPr>
            <w:tcW w:w="7800" w:type="dxa"/>
            <w:noWrap w:val="0"/>
            <w:vAlign w:val="center"/>
          </w:tcPr>
          <w:p w14:paraId="6780D254">
            <w:pPr>
              <w:spacing w:line="560" w:lineRule="exact"/>
              <w:outlineLvl w:val="9"/>
              <w:rPr>
                <w:rFonts w:hint="eastAsia" w:ascii="仿宋" w:hAnsi="仿宋" w:eastAsia="仿宋" w:cs="仿宋"/>
                <w:color w:val="auto"/>
                <w:sz w:val="24"/>
                <w:highlight w:val="none"/>
                <w:u w:val="single"/>
              </w:rPr>
            </w:pPr>
          </w:p>
        </w:tc>
      </w:tr>
      <w:tr w14:paraId="61023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1637" w:type="dxa"/>
            <w:tcBorders>
              <w:left w:val="single" w:color="auto" w:sz="4" w:space="0"/>
            </w:tcBorders>
            <w:noWrap w:val="0"/>
            <w:vAlign w:val="center"/>
          </w:tcPr>
          <w:p w14:paraId="42542AE1">
            <w:pPr>
              <w:spacing w:line="560" w:lineRule="exact"/>
              <w:outlineLvl w:val="9"/>
              <w:rPr>
                <w:rFonts w:hint="eastAsia" w:ascii="仿宋" w:hAnsi="仿宋" w:eastAsia="仿宋" w:cs="仿宋"/>
                <w:color w:val="auto"/>
                <w:sz w:val="24"/>
                <w:highlight w:val="none"/>
              </w:rPr>
            </w:pPr>
          </w:p>
        </w:tc>
        <w:tc>
          <w:tcPr>
            <w:tcW w:w="7800" w:type="dxa"/>
            <w:noWrap w:val="0"/>
            <w:vAlign w:val="center"/>
          </w:tcPr>
          <w:p w14:paraId="2A65D2DE">
            <w:pPr>
              <w:spacing w:line="560" w:lineRule="exact"/>
              <w:outlineLvl w:val="9"/>
              <w:rPr>
                <w:rFonts w:hint="eastAsia" w:ascii="仿宋" w:hAnsi="仿宋" w:eastAsia="仿宋" w:cs="仿宋"/>
                <w:color w:val="auto"/>
                <w:sz w:val="24"/>
                <w:highlight w:val="none"/>
              </w:rPr>
            </w:pPr>
          </w:p>
        </w:tc>
      </w:tr>
      <w:tr w14:paraId="323C4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1637" w:type="dxa"/>
            <w:tcBorders>
              <w:left w:val="single" w:color="auto" w:sz="4" w:space="0"/>
            </w:tcBorders>
            <w:noWrap w:val="0"/>
            <w:vAlign w:val="center"/>
          </w:tcPr>
          <w:p w14:paraId="2C431E0F">
            <w:pPr>
              <w:spacing w:line="560" w:lineRule="exact"/>
              <w:outlineLvl w:val="9"/>
              <w:rPr>
                <w:rFonts w:hint="eastAsia" w:ascii="仿宋" w:hAnsi="仿宋" w:eastAsia="仿宋" w:cs="仿宋"/>
                <w:color w:val="auto"/>
                <w:sz w:val="24"/>
                <w:highlight w:val="none"/>
              </w:rPr>
            </w:pPr>
          </w:p>
        </w:tc>
        <w:tc>
          <w:tcPr>
            <w:tcW w:w="7800" w:type="dxa"/>
            <w:noWrap w:val="0"/>
            <w:vAlign w:val="center"/>
          </w:tcPr>
          <w:p w14:paraId="75A1FF0C">
            <w:pPr>
              <w:spacing w:line="560" w:lineRule="exact"/>
              <w:outlineLvl w:val="9"/>
              <w:rPr>
                <w:rFonts w:hint="eastAsia" w:ascii="仿宋" w:hAnsi="仿宋" w:eastAsia="仿宋" w:cs="仿宋"/>
                <w:color w:val="auto"/>
                <w:sz w:val="24"/>
                <w:highlight w:val="none"/>
                <w:u w:val="single"/>
              </w:rPr>
            </w:pPr>
          </w:p>
        </w:tc>
      </w:tr>
      <w:tr w14:paraId="2223B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1637" w:type="dxa"/>
            <w:tcBorders>
              <w:left w:val="single" w:color="auto" w:sz="4" w:space="0"/>
            </w:tcBorders>
            <w:noWrap w:val="0"/>
            <w:vAlign w:val="center"/>
          </w:tcPr>
          <w:p w14:paraId="4322BA2D">
            <w:pPr>
              <w:spacing w:line="560" w:lineRule="exact"/>
              <w:outlineLvl w:val="9"/>
              <w:rPr>
                <w:rFonts w:hint="eastAsia" w:ascii="仿宋" w:hAnsi="仿宋" w:eastAsia="仿宋" w:cs="仿宋"/>
                <w:color w:val="auto"/>
                <w:sz w:val="24"/>
                <w:highlight w:val="none"/>
              </w:rPr>
            </w:pPr>
          </w:p>
        </w:tc>
        <w:tc>
          <w:tcPr>
            <w:tcW w:w="7800" w:type="dxa"/>
            <w:noWrap w:val="0"/>
            <w:vAlign w:val="center"/>
          </w:tcPr>
          <w:p w14:paraId="0247774C">
            <w:pPr>
              <w:spacing w:line="560" w:lineRule="exact"/>
              <w:outlineLvl w:val="9"/>
              <w:rPr>
                <w:rFonts w:hint="eastAsia" w:ascii="仿宋" w:hAnsi="仿宋" w:eastAsia="仿宋" w:cs="仿宋"/>
                <w:color w:val="auto"/>
                <w:sz w:val="24"/>
                <w:highlight w:val="none"/>
              </w:rPr>
            </w:pPr>
          </w:p>
        </w:tc>
      </w:tr>
      <w:tr w14:paraId="20D83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1637" w:type="dxa"/>
            <w:tcBorders>
              <w:left w:val="single" w:color="auto" w:sz="4" w:space="0"/>
            </w:tcBorders>
            <w:noWrap w:val="0"/>
            <w:vAlign w:val="center"/>
          </w:tcPr>
          <w:p w14:paraId="59240CA6">
            <w:pPr>
              <w:spacing w:line="560" w:lineRule="exact"/>
              <w:outlineLvl w:val="9"/>
              <w:rPr>
                <w:rFonts w:hint="eastAsia" w:ascii="仿宋" w:hAnsi="仿宋" w:eastAsia="仿宋" w:cs="仿宋"/>
                <w:color w:val="auto"/>
                <w:sz w:val="24"/>
                <w:highlight w:val="none"/>
              </w:rPr>
            </w:pPr>
          </w:p>
        </w:tc>
        <w:tc>
          <w:tcPr>
            <w:tcW w:w="7800" w:type="dxa"/>
            <w:noWrap w:val="0"/>
            <w:vAlign w:val="center"/>
          </w:tcPr>
          <w:p w14:paraId="32B24AC5">
            <w:pPr>
              <w:spacing w:line="560" w:lineRule="exact"/>
              <w:outlineLvl w:val="9"/>
              <w:rPr>
                <w:rFonts w:hint="eastAsia" w:ascii="仿宋" w:hAnsi="仿宋" w:eastAsia="仿宋" w:cs="仿宋"/>
                <w:color w:val="auto"/>
                <w:sz w:val="24"/>
                <w:highlight w:val="none"/>
              </w:rPr>
            </w:pPr>
          </w:p>
        </w:tc>
      </w:tr>
      <w:tr w14:paraId="64A37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1637" w:type="dxa"/>
            <w:tcBorders>
              <w:left w:val="single" w:color="auto" w:sz="4" w:space="0"/>
            </w:tcBorders>
            <w:noWrap w:val="0"/>
            <w:vAlign w:val="center"/>
          </w:tcPr>
          <w:p w14:paraId="4D71576B">
            <w:pPr>
              <w:spacing w:line="560" w:lineRule="exact"/>
              <w:outlineLvl w:val="9"/>
              <w:rPr>
                <w:rFonts w:hint="eastAsia" w:ascii="仿宋" w:hAnsi="仿宋" w:eastAsia="仿宋" w:cs="仿宋"/>
                <w:color w:val="auto"/>
                <w:sz w:val="24"/>
                <w:highlight w:val="none"/>
              </w:rPr>
            </w:pPr>
          </w:p>
        </w:tc>
        <w:tc>
          <w:tcPr>
            <w:tcW w:w="7800" w:type="dxa"/>
            <w:noWrap w:val="0"/>
            <w:vAlign w:val="center"/>
          </w:tcPr>
          <w:p w14:paraId="21370BB5">
            <w:pPr>
              <w:spacing w:line="560" w:lineRule="exact"/>
              <w:outlineLvl w:val="9"/>
              <w:rPr>
                <w:rFonts w:hint="eastAsia" w:ascii="仿宋" w:hAnsi="仿宋" w:eastAsia="仿宋" w:cs="仿宋"/>
                <w:color w:val="auto"/>
                <w:sz w:val="24"/>
                <w:highlight w:val="none"/>
              </w:rPr>
            </w:pPr>
          </w:p>
        </w:tc>
      </w:tr>
      <w:bookmarkEnd w:id="41"/>
    </w:tbl>
    <w:p w14:paraId="507C6D4B">
      <w:pPr>
        <w:spacing w:line="540" w:lineRule="exact"/>
        <w:jc w:val="center"/>
        <w:outlineLvl w:val="9"/>
        <w:rPr>
          <w:rFonts w:hint="eastAsia" w:ascii="仿宋" w:hAnsi="仿宋" w:eastAsia="仿宋" w:cs="仿宋"/>
          <w:b/>
          <w:color w:val="auto"/>
          <w:sz w:val="21"/>
          <w:szCs w:val="21"/>
          <w:highlight w:val="none"/>
        </w:rPr>
      </w:pPr>
    </w:p>
    <w:p w14:paraId="7EF122A5">
      <w:pPr>
        <w:numPr>
          <w:ilvl w:val="0"/>
          <w:numId w:val="0"/>
        </w:numPr>
        <w:spacing w:line="500" w:lineRule="exact"/>
        <w:jc w:val="both"/>
        <w:outlineLvl w:val="9"/>
        <w:rPr>
          <w:rStyle w:val="37"/>
          <w:rFonts w:hint="eastAsia" w:ascii="仿宋" w:hAnsi="仿宋" w:eastAsia="仿宋" w:cs="仿宋"/>
          <w:color w:val="auto"/>
          <w:highlight w:val="none"/>
          <w:lang w:eastAsia="zh-CN"/>
        </w:rPr>
      </w:pPr>
    </w:p>
    <w:p w14:paraId="18DCB945">
      <w:pPr>
        <w:pStyle w:val="21"/>
        <w:rPr>
          <w:rFonts w:hint="eastAsia" w:ascii="仿宋" w:hAnsi="仿宋" w:eastAsia="仿宋" w:cs="仿宋"/>
          <w:color w:val="auto"/>
          <w:highlight w:val="none"/>
          <w:lang w:eastAsia="zh-CN"/>
        </w:rPr>
        <w:sectPr>
          <w:headerReference r:id="rId11" w:type="default"/>
          <w:footerReference r:id="rId12" w:type="default"/>
          <w:pgSz w:w="11906" w:h="16838"/>
          <w:pgMar w:top="1247" w:right="1247" w:bottom="1247" w:left="1247" w:header="737" w:footer="992" w:gutter="0"/>
          <w:pgBorders>
            <w:top w:val="none" w:sz="0" w:space="0"/>
            <w:left w:val="none" w:sz="0" w:space="0"/>
            <w:bottom w:val="none" w:sz="0" w:space="0"/>
            <w:right w:val="none" w:sz="0" w:space="0"/>
          </w:pgBorders>
          <w:pgNumType w:fmt="numberInDash"/>
          <w:cols w:space="720" w:num="1"/>
          <w:rtlGutter w:val="0"/>
          <w:docGrid w:linePitch="312" w:charSpace="0"/>
        </w:sectPr>
      </w:pPr>
    </w:p>
    <w:p w14:paraId="0C6372B3">
      <w:pPr>
        <w:pStyle w:val="2"/>
        <w:bidi w:val="0"/>
        <w:rPr>
          <w:rFonts w:hint="eastAsia" w:ascii="仿宋" w:hAnsi="仿宋" w:eastAsia="仿宋" w:cs="仿宋"/>
          <w:b/>
          <w:color w:val="auto"/>
          <w:kern w:val="2"/>
          <w:szCs w:val="28"/>
          <w:highlight w:val="none"/>
          <w:lang w:val="en-US"/>
        </w:rPr>
      </w:pPr>
      <w:bookmarkStart w:id="274" w:name="_Toc6739"/>
      <w:r>
        <w:rPr>
          <w:rFonts w:hint="eastAsia"/>
          <w:lang w:val="en-US" w:eastAsia="zh-CN"/>
        </w:rPr>
        <w:t>第五章 采购内容及规格参数</w:t>
      </w:r>
      <w:bookmarkEnd w:id="274"/>
    </w:p>
    <w:p w14:paraId="2669E615">
      <w:pPr>
        <w:keepNext w:val="0"/>
        <w:keepLines w:val="0"/>
        <w:pageBreakBefore w:val="0"/>
        <w:kinsoku/>
        <w:wordWrap/>
        <w:overflowPunct/>
        <w:topLinePunct w:val="0"/>
        <w:autoSpaceDE/>
        <w:autoSpaceDN/>
        <w:bidi w:val="0"/>
        <w:adjustRightInd/>
        <w:snapToGrid w:val="0"/>
        <w:spacing w:line="440" w:lineRule="exact"/>
        <w:jc w:val="both"/>
        <w:textAlignment w:val="auto"/>
        <w:outlineLvl w:val="1"/>
        <w:rPr>
          <w:rFonts w:hint="eastAsia" w:ascii="仿宋" w:hAnsi="仿宋" w:eastAsia="仿宋" w:cs="仿宋"/>
          <w:color w:val="000000"/>
          <w:sz w:val="24"/>
          <w:highlight w:val="none"/>
        </w:rPr>
      </w:pPr>
      <w:bookmarkStart w:id="275" w:name="_Toc12998"/>
      <w:r>
        <w:rPr>
          <w:rFonts w:hint="eastAsia" w:ascii="仿宋" w:hAnsi="仿宋" w:eastAsia="仿宋" w:cs="仿宋"/>
          <w:color w:val="000000"/>
          <w:sz w:val="24"/>
          <w:highlight w:val="none"/>
        </w:rPr>
        <w:t>一、执行标准：</w:t>
      </w:r>
      <w:bookmarkEnd w:id="275"/>
    </w:p>
    <w:p w14:paraId="12CD606B">
      <w:pPr>
        <w:keepNext w:val="0"/>
        <w:keepLines w:val="0"/>
        <w:pageBreakBefore w:val="0"/>
        <w:widowControl w:val="0"/>
        <w:tabs>
          <w:tab w:val="left" w:pos="540"/>
          <w:tab w:val="left" w:pos="851"/>
          <w:tab w:val="left" w:pos="1800"/>
        </w:tabs>
        <w:kinsoku/>
        <w:wordWrap/>
        <w:overflowPunct/>
        <w:topLinePunct w:val="0"/>
        <w:autoSpaceDE/>
        <w:autoSpaceDN/>
        <w:bidi w:val="0"/>
        <w:adjustRightInd/>
        <w:spacing w:line="440" w:lineRule="exact"/>
        <w:jc w:val="both"/>
        <w:textAlignment w:val="auto"/>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1. TSG24-2015《氧舱安全技术监察规程》</w:t>
      </w:r>
    </w:p>
    <w:p w14:paraId="018605A5">
      <w:pPr>
        <w:keepNext w:val="0"/>
        <w:keepLines w:val="0"/>
        <w:pageBreakBefore w:val="0"/>
        <w:widowControl w:val="0"/>
        <w:tabs>
          <w:tab w:val="left" w:pos="540"/>
          <w:tab w:val="left" w:pos="851"/>
          <w:tab w:val="left" w:pos="1800"/>
        </w:tabs>
        <w:kinsoku/>
        <w:wordWrap/>
        <w:overflowPunct/>
        <w:topLinePunct w:val="0"/>
        <w:autoSpaceDE/>
        <w:autoSpaceDN/>
        <w:bidi w:val="0"/>
        <w:adjustRightInd/>
        <w:spacing w:line="440" w:lineRule="exact"/>
        <w:jc w:val="both"/>
        <w:textAlignment w:val="auto"/>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2. GB/T150.1~150.4-2011《压力容器》</w:t>
      </w:r>
    </w:p>
    <w:p w14:paraId="04E0F16C">
      <w:pPr>
        <w:keepNext w:val="0"/>
        <w:keepLines w:val="0"/>
        <w:pageBreakBefore w:val="0"/>
        <w:widowControl w:val="0"/>
        <w:tabs>
          <w:tab w:val="left" w:pos="540"/>
          <w:tab w:val="left" w:pos="851"/>
          <w:tab w:val="left" w:pos="1800"/>
        </w:tabs>
        <w:kinsoku/>
        <w:wordWrap/>
        <w:overflowPunct/>
        <w:topLinePunct w:val="0"/>
        <w:autoSpaceDE/>
        <w:autoSpaceDN/>
        <w:bidi w:val="0"/>
        <w:adjustRightInd/>
        <w:spacing w:line="440" w:lineRule="exact"/>
        <w:jc w:val="both"/>
        <w:textAlignment w:val="auto"/>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3. GB/T 12130-2020《氧舱》</w:t>
      </w:r>
    </w:p>
    <w:p w14:paraId="342007B0">
      <w:pPr>
        <w:keepNext w:val="0"/>
        <w:keepLines w:val="0"/>
        <w:pageBreakBefore w:val="0"/>
        <w:widowControl w:val="0"/>
        <w:tabs>
          <w:tab w:val="left" w:pos="540"/>
          <w:tab w:val="left" w:pos="851"/>
          <w:tab w:val="left" w:pos="1800"/>
        </w:tabs>
        <w:kinsoku/>
        <w:wordWrap/>
        <w:overflowPunct/>
        <w:topLinePunct w:val="0"/>
        <w:autoSpaceDE/>
        <w:autoSpaceDN/>
        <w:bidi w:val="0"/>
        <w:adjustRightInd/>
        <w:spacing w:line="440" w:lineRule="exact"/>
        <w:jc w:val="both"/>
        <w:textAlignment w:val="auto"/>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4. NB/T 47013-2015《承压设备无损检测》</w:t>
      </w:r>
    </w:p>
    <w:p w14:paraId="286BCF7C">
      <w:pPr>
        <w:keepNext w:val="0"/>
        <w:keepLines w:val="0"/>
        <w:pageBreakBefore w:val="0"/>
        <w:widowControl w:val="0"/>
        <w:tabs>
          <w:tab w:val="left" w:pos="540"/>
          <w:tab w:val="left" w:pos="851"/>
          <w:tab w:val="left" w:pos="1800"/>
        </w:tabs>
        <w:kinsoku/>
        <w:wordWrap/>
        <w:overflowPunct/>
        <w:topLinePunct w:val="0"/>
        <w:autoSpaceDE/>
        <w:autoSpaceDN/>
        <w:bidi w:val="0"/>
        <w:adjustRightInd/>
        <w:spacing w:line="440" w:lineRule="exact"/>
        <w:jc w:val="both"/>
        <w:textAlignment w:val="auto"/>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5. GB50222-2017《建筑内部装修设计防火规范》</w:t>
      </w:r>
    </w:p>
    <w:p w14:paraId="0F2FEC45">
      <w:pPr>
        <w:keepNext w:val="0"/>
        <w:keepLines w:val="0"/>
        <w:pageBreakBefore w:val="0"/>
        <w:widowControl w:val="0"/>
        <w:tabs>
          <w:tab w:val="left" w:pos="540"/>
          <w:tab w:val="left" w:pos="851"/>
          <w:tab w:val="left" w:pos="1800"/>
        </w:tabs>
        <w:kinsoku/>
        <w:wordWrap/>
        <w:overflowPunct/>
        <w:topLinePunct w:val="0"/>
        <w:autoSpaceDE/>
        <w:autoSpaceDN/>
        <w:bidi w:val="0"/>
        <w:adjustRightInd/>
        <w:spacing w:line="440" w:lineRule="exact"/>
        <w:jc w:val="both"/>
        <w:textAlignment w:val="auto"/>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6. GB9706.1《医用电气设备第一部分：通用安全要求》</w:t>
      </w:r>
    </w:p>
    <w:p w14:paraId="51182D28">
      <w:pPr>
        <w:keepNext w:val="0"/>
        <w:keepLines w:val="0"/>
        <w:pageBreakBefore w:val="0"/>
        <w:widowControl w:val="0"/>
        <w:tabs>
          <w:tab w:val="left" w:pos="540"/>
          <w:tab w:val="left" w:pos="851"/>
          <w:tab w:val="left" w:pos="1800"/>
        </w:tabs>
        <w:kinsoku/>
        <w:wordWrap/>
        <w:overflowPunct/>
        <w:topLinePunct w:val="0"/>
        <w:autoSpaceDE/>
        <w:autoSpaceDN/>
        <w:bidi w:val="0"/>
        <w:adjustRightInd/>
        <w:spacing w:line="440" w:lineRule="exact"/>
        <w:jc w:val="both"/>
        <w:textAlignment w:val="auto"/>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7. GB/T7134-2008《浇铸型工业有机玻璃板材》</w:t>
      </w:r>
    </w:p>
    <w:p w14:paraId="65DB14F1">
      <w:pPr>
        <w:keepNext w:val="0"/>
        <w:keepLines w:val="0"/>
        <w:pageBreakBefore w:val="0"/>
        <w:widowControl w:val="0"/>
        <w:tabs>
          <w:tab w:val="left" w:pos="540"/>
          <w:tab w:val="left" w:pos="851"/>
          <w:tab w:val="left" w:pos="1800"/>
        </w:tabs>
        <w:kinsoku/>
        <w:wordWrap/>
        <w:overflowPunct/>
        <w:topLinePunct w:val="0"/>
        <w:autoSpaceDE/>
        <w:autoSpaceDN/>
        <w:bidi w:val="0"/>
        <w:adjustRightInd/>
        <w:spacing w:line="440" w:lineRule="exact"/>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szCs w:val="22"/>
          <w:highlight w:val="none"/>
        </w:rPr>
        <w:t>8. GB/T 12243-2021《弹簧直接载荷式安全阀》</w:t>
      </w:r>
    </w:p>
    <w:p w14:paraId="0EDBBFA2">
      <w:pPr>
        <w:keepNext w:val="0"/>
        <w:keepLines w:val="0"/>
        <w:pageBreakBefore w:val="0"/>
        <w:kinsoku/>
        <w:wordWrap/>
        <w:overflowPunct/>
        <w:topLinePunct w:val="0"/>
        <w:autoSpaceDE/>
        <w:autoSpaceDN/>
        <w:bidi w:val="0"/>
        <w:adjustRightInd/>
        <w:snapToGrid w:val="0"/>
        <w:spacing w:line="440" w:lineRule="exact"/>
        <w:jc w:val="both"/>
        <w:textAlignment w:val="auto"/>
        <w:outlineLvl w:val="1"/>
        <w:rPr>
          <w:rFonts w:hint="eastAsia" w:ascii="仿宋" w:hAnsi="仿宋" w:eastAsia="仿宋" w:cs="仿宋"/>
          <w:color w:val="000000"/>
          <w:sz w:val="24"/>
          <w:highlight w:val="none"/>
        </w:rPr>
      </w:pPr>
      <w:bookmarkStart w:id="276" w:name="_Toc9327"/>
      <w:r>
        <w:rPr>
          <w:rFonts w:hint="eastAsia" w:ascii="仿宋" w:hAnsi="仿宋" w:eastAsia="仿宋" w:cs="仿宋"/>
          <w:color w:val="000000"/>
          <w:sz w:val="24"/>
          <w:highlight w:val="none"/>
        </w:rPr>
        <w:t>二、主要技术要求：</w:t>
      </w:r>
      <w:bookmarkEnd w:id="276"/>
    </w:p>
    <w:p w14:paraId="4C43DD64">
      <w:pPr>
        <w:keepNext w:val="0"/>
        <w:keepLines w:val="0"/>
        <w:pageBreakBefore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（一）舱体部分</w:t>
      </w:r>
    </w:p>
    <w:p w14:paraId="359F47C8">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1．舱体规格：直径≥2400mm，长度≥7500 mm</w:t>
      </w:r>
    </w:p>
    <w:p w14:paraId="6CAAE012">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2．最高工作压力</w:t>
      </w:r>
      <w:r>
        <w:rPr>
          <w:rFonts w:hint="eastAsia" w:ascii="仿宋" w:hAnsi="仿宋" w:eastAsia="仿宋" w:cs="仿宋"/>
          <w:color w:val="000000"/>
          <w:sz w:val="24"/>
          <w:szCs w:val="22"/>
          <w:highlight w:val="none"/>
        </w:rPr>
        <w:t>≥</w:t>
      </w:r>
      <w:r>
        <w:rPr>
          <w:rFonts w:hint="eastAsia" w:ascii="仿宋" w:hAnsi="仿宋" w:eastAsia="仿宋" w:cs="仿宋"/>
          <w:color w:val="000000"/>
          <w:sz w:val="24"/>
          <w:highlight w:val="none"/>
        </w:rPr>
        <w:t>0.2 MPa</w:t>
      </w:r>
    </w:p>
    <w:p w14:paraId="130E042A">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3．治疗人数：10人</w:t>
      </w:r>
    </w:p>
    <w:p w14:paraId="2F09C9EA">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治疗舱6人，过渡舱4人</w:t>
      </w:r>
    </w:p>
    <w:p w14:paraId="01C5B75E">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4．</w:t>
      </w:r>
      <w:r>
        <w:rPr>
          <w:rFonts w:hint="eastAsia" w:ascii="仿宋" w:hAnsi="仿宋" w:eastAsia="仿宋" w:cs="仿宋"/>
          <w:color w:val="000000"/>
          <w:sz w:val="24"/>
          <w:szCs w:val="22"/>
          <w:highlight w:val="none"/>
        </w:rPr>
        <w:t>人均舱容≥3m</w:t>
      </w:r>
      <w:r>
        <w:rPr>
          <w:rFonts w:hint="eastAsia" w:ascii="仿宋" w:hAnsi="仿宋" w:eastAsia="仿宋" w:cs="仿宋"/>
          <w:color w:val="000000"/>
          <w:sz w:val="24"/>
          <w:szCs w:val="22"/>
          <w:highlight w:val="none"/>
          <w:vertAlign w:val="superscript"/>
        </w:rPr>
        <w:t xml:space="preserve">3 </w:t>
      </w:r>
    </w:p>
    <w:p w14:paraId="719EF7E4">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5．舱门数量：数量4个(投标供应商应提供国家级机构颁发的证明材料)</w:t>
      </w:r>
    </w:p>
    <w:p w14:paraId="4573158D">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6．舱门密封方式：采用氧舱舱门密封结构技术(投标供应商应提供国家级机构颁发的证明材料)</w:t>
      </w:r>
    </w:p>
    <w:p w14:paraId="5CD7203D">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7. 内嵌照明装置： 7只</w:t>
      </w:r>
    </w:p>
    <w:p w14:paraId="44C2B274">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 xml:space="preserve">   治疗舱4只，过渡舱3只</w:t>
      </w:r>
    </w:p>
    <w:p w14:paraId="0380AD5C">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8．观察窗数量：6只</w:t>
      </w:r>
    </w:p>
    <w:p w14:paraId="4743678E">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 xml:space="preserve">   治疗舱4只，过渡舱2只</w:t>
      </w:r>
    </w:p>
    <w:p w14:paraId="45D3DEE8">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9．递物筒透光尺寸及数量：DN300型2套</w:t>
      </w:r>
    </w:p>
    <w:p w14:paraId="621FB2ED">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 xml:space="preserve">   治疗舱、过渡舱各1套</w:t>
      </w:r>
    </w:p>
    <w:p w14:paraId="1399C2EB">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10．舱内配设全方位拾音对讲装置</w:t>
      </w:r>
    </w:p>
    <w:p w14:paraId="31473FCC">
      <w:pPr>
        <w:keepNext w:val="0"/>
        <w:keepLines w:val="0"/>
        <w:pageBreakBefore w:val="0"/>
        <w:kinsoku/>
        <w:wordWrap/>
        <w:overflowPunct/>
        <w:topLinePunct w:val="0"/>
        <w:autoSpaceDE/>
        <w:autoSpaceDN/>
        <w:bidi w:val="0"/>
        <w:adjustRightInd/>
        <w:snapToGrid w:val="0"/>
        <w:spacing w:line="440" w:lineRule="exact"/>
        <w:ind w:left="210" w:leftChars="100" w:firstLine="360" w:firstLineChars="15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治疗舱、过渡舱各1套</w:t>
      </w:r>
    </w:p>
    <w:p w14:paraId="11BDF3ED">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11．治疗舱、过渡舱均配设输液吊架1套</w:t>
      </w:r>
    </w:p>
    <w:p w14:paraId="2F2B5B2C">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12．舱内壁饰装采用彩涂合金板装饰</w:t>
      </w:r>
    </w:p>
    <w:p w14:paraId="02F3C879">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13．舱内天花板采用彩涂合金板装饰</w:t>
      </w:r>
    </w:p>
    <w:p w14:paraId="47390974">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14．舱内地板采用高档地砖铺面</w:t>
      </w:r>
    </w:p>
    <w:p w14:paraId="0FAAD061">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15．舱内座椅布置：治疗舱设置阻燃面料高靠背可自动回弹影院座椅6套，过渡舱设置阻燃面料高靠背可自动回弹影院座椅4套。</w:t>
      </w:r>
    </w:p>
    <w:p w14:paraId="394AB826">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16．供氧方式：单人供氧流量计</w:t>
      </w:r>
    </w:p>
    <w:p w14:paraId="00ACE187">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17．排氧方式：缓冲式舱外排氧</w:t>
      </w:r>
    </w:p>
    <w:p w14:paraId="623B67A8">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18．加减压操作控制方式：手动（机械式）+计算机自动化操作控制</w:t>
      </w:r>
    </w:p>
    <w:p w14:paraId="24AD9659">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19． 供气系统管路及阀件符合GB/T12130-2020《医用空气加压氧舱》标准。</w:t>
      </w:r>
    </w:p>
    <w:p w14:paraId="03C37415">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20．按GB/T12130-2020《医用空气加压氧舱》标准之要求，配备消防水喷淋系统。</w:t>
      </w:r>
    </w:p>
    <w:p w14:paraId="48C675BB">
      <w:pPr>
        <w:keepNext w:val="0"/>
        <w:keepLines w:val="0"/>
        <w:pageBreakBefore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（二）氧舱控制台</w:t>
      </w:r>
    </w:p>
    <w:p w14:paraId="426B34F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控制台壳体采用专用型材冷扎钢板经专业加工而成；外观采用矮化设计、方便观察及操作；整个系统的操作执行设备均可由控制中心集中控制；所有设备运行状态均通过仪表在控制中心集中显示；</w:t>
      </w:r>
      <w:r>
        <w:rPr>
          <w:rFonts w:hint="eastAsia" w:ascii="仿宋" w:hAnsi="仿宋" w:eastAsia="仿宋" w:cs="仿宋"/>
          <w:bCs/>
          <w:color w:val="000000"/>
          <w:sz w:val="24"/>
          <w:highlight w:val="none"/>
        </w:rPr>
        <w:t>设备操作控制方式采用</w:t>
      </w:r>
      <w:r>
        <w:rPr>
          <w:rFonts w:hint="eastAsia" w:ascii="仿宋" w:hAnsi="仿宋" w:eastAsia="仿宋" w:cs="仿宋"/>
          <w:color w:val="000000"/>
          <w:sz w:val="24"/>
          <w:highlight w:val="none"/>
        </w:rPr>
        <w:t>手动（机械式）+电动+计算机自动化操作三种控制方式</w:t>
      </w:r>
    </w:p>
    <w:p w14:paraId="008CE9D1">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1．加减压操作阀门（推拉式）4套</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 xml:space="preserve">                                    </w:t>
      </w:r>
    </w:p>
    <w:p w14:paraId="7C2A4F58">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2．供排氧操作阀门4套</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 xml:space="preserve">                                             </w:t>
      </w:r>
    </w:p>
    <w:p w14:paraId="60C0B9DA">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3．压力显示系统 7只                                                </w:t>
      </w:r>
    </w:p>
    <w:p w14:paraId="28802DC2">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供气压力表1只</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 xml:space="preserve">                                                 </w:t>
      </w:r>
    </w:p>
    <w:p w14:paraId="19E59DB1">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普通压力表2只</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 xml:space="preserve">                                                </w:t>
      </w:r>
    </w:p>
    <w:p w14:paraId="21A776BC">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精密压力表2只</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 xml:space="preserve">                                                </w:t>
      </w:r>
    </w:p>
    <w:p w14:paraId="3EE98E3C">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消防水压力表1只                                   </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 xml:space="preserve">             </w:t>
      </w:r>
    </w:p>
    <w:p w14:paraId="0300B5A7">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供氧压力表1只                                   </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 xml:space="preserve">             </w:t>
      </w:r>
    </w:p>
    <w:p w14:paraId="2402BAA5">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4．氧舱专用对讲机1台                      </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 xml:space="preserve">                             </w:t>
      </w:r>
    </w:p>
    <w:p w14:paraId="1B087411">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5．紧急呼叫声光报警装置2套</w:t>
      </w:r>
    </w:p>
    <w:p w14:paraId="5A1A563B">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6．网络机顶盒1台                      </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 xml:space="preserve">                             </w:t>
      </w:r>
    </w:p>
    <w:p w14:paraId="01EDEACC">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7．电气控制系统1套</w:t>
      </w:r>
    </w:p>
    <w:p w14:paraId="0B521BBA">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8．单人供氧流量计</w:t>
      </w:r>
      <w:r>
        <w:rPr>
          <w:rFonts w:hint="eastAsia" w:ascii="仿宋" w:hAnsi="仿宋" w:eastAsia="仿宋" w:cs="仿宋"/>
          <w:color w:val="000000"/>
          <w:sz w:val="24"/>
          <w:highlight w:val="none"/>
          <w:lang w:val="en-US" w:eastAsia="zh-CN"/>
        </w:rPr>
        <w:t>10</w:t>
      </w:r>
      <w:r>
        <w:rPr>
          <w:rFonts w:hint="eastAsia" w:ascii="仿宋" w:hAnsi="仿宋" w:eastAsia="仿宋" w:cs="仿宋"/>
          <w:color w:val="000000"/>
          <w:sz w:val="24"/>
          <w:highlight w:val="none"/>
        </w:rPr>
        <w:t xml:space="preserve">套                      </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 xml:space="preserve">                             </w:t>
      </w:r>
    </w:p>
    <w:p w14:paraId="69338BFF">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9．取样流量计2套</w:t>
      </w:r>
    </w:p>
    <w:p w14:paraId="2362593E">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10．触摸屏控制系统2套                      </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 xml:space="preserve">                             </w:t>
      </w:r>
    </w:p>
    <w:p w14:paraId="3B090123">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11．供排氧操作手轮（带刻度）4套</w:t>
      </w:r>
    </w:p>
    <w:p w14:paraId="29A43C72">
      <w:pPr>
        <w:keepNext w:val="0"/>
        <w:keepLines w:val="0"/>
        <w:pageBreakBefore w:val="0"/>
        <w:tabs>
          <w:tab w:val="left" w:pos="7200"/>
        </w:tabs>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12．标志、铭牌1套</w:t>
      </w:r>
    </w:p>
    <w:p w14:paraId="6E159F01">
      <w:pPr>
        <w:keepNext w:val="0"/>
        <w:keepLines w:val="0"/>
        <w:pageBreakBefore w:val="0"/>
        <w:tabs>
          <w:tab w:val="left" w:pos="7200"/>
        </w:tabs>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13．应急电源（UPS1000VA）2台</w:t>
      </w:r>
    </w:p>
    <w:p w14:paraId="3818CC5A">
      <w:pPr>
        <w:keepNext w:val="0"/>
        <w:keepLines w:val="0"/>
        <w:pageBreakBefore w:val="0"/>
        <w:tabs>
          <w:tab w:val="left" w:pos="7200"/>
        </w:tabs>
        <w:kinsoku/>
        <w:wordWrap/>
        <w:overflowPunct/>
        <w:topLinePunct w:val="0"/>
        <w:autoSpaceDE/>
        <w:autoSpaceDN/>
        <w:bidi w:val="0"/>
        <w:adjustRightInd/>
        <w:snapToGrid w:val="0"/>
        <w:spacing w:line="440" w:lineRule="exac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14．氧气稳压分配管2套</w:t>
      </w:r>
    </w:p>
    <w:p w14:paraId="5A38359E">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15．温湿度变送器2套</w:t>
      </w:r>
    </w:p>
    <w:p w14:paraId="69E6AF65">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16、测氧仪2台   </w:t>
      </w:r>
    </w:p>
    <w:p w14:paraId="7E63F9A5">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17.隔离变压器1台</w:t>
      </w:r>
    </w:p>
    <w:p w14:paraId="3522E965">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000000"/>
          <w:highlight w:val="none"/>
        </w:rPr>
      </w:pPr>
      <w:r>
        <w:rPr>
          <w:rFonts w:hint="eastAsia" w:ascii="仿宋" w:hAnsi="仿宋" w:eastAsia="仿宋" w:cs="仿宋"/>
          <w:color w:val="000000"/>
          <w:sz w:val="24"/>
          <w:highlight w:val="none"/>
        </w:rPr>
        <w:t>18.逆电电源1台</w:t>
      </w:r>
    </w:p>
    <w:p w14:paraId="0263AC54">
      <w:pPr>
        <w:keepNext w:val="0"/>
        <w:keepLines w:val="0"/>
        <w:pageBreakBefore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（三）压力调节系统</w:t>
      </w:r>
    </w:p>
    <w:p w14:paraId="46C18DC9">
      <w:pPr>
        <w:keepNext w:val="0"/>
        <w:keepLines w:val="0"/>
        <w:pageBreakBefore w:val="0"/>
        <w:kinsoku/>
        <w:wordWrap/>
        <w:overflowPunct/>
        <w:topLinePunct w:val="0"/>
        <w:autoSpaceDE/>
        <w:autoSpaceDN/>
        <w:bidi w:val="0"/>
        <w:adjustRightInd/>
        <w:snapToGrid w:val="0"/>
        <w:spacing w:line="440" w:lineRule="exact"/>
        <w:ind w:left="690" w:leftChars="100" w:hanging="480" w:hangingChars="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1．空压机：双螺杆静音型空压机2台    排气量</w:t>
      </w:r>
      <w:r>
        <w:rPr>
          <w:rFonts w:hint="eastAsia" w:ascii="仿宋" w:hAnsi="仿宋" w:eastAsia="仿宋" w:cs="仿宋"/>
          <w:color w:val="000000"/>
          <w:sz w:val="24"/>
          <w:szCs w:val="22"/>
          <w:highlight w:val="none"/>
        </w:rPr>
        <w:t>≥</w:t>
      </w:r>
      <w:r>
        <w:rPr>
          <w:rFonts w:hint="eastAsia" w:ascii="仿宋" w:hAnsi="仿宋" w:eastAsia="仿宋" w:cs="仿宋"/>
          <w:color w:val="000000"/>
          <w:sz w:val="24"/>
          <w:highlight w:val="none"/>
        </w:rPr>
        <w:t>1.1m</w:t>
      </w:r>
      <w:r>
        <w:rPr>
          <w:rFonts w:hint="eastAsia" w:ascii="仿宋" w:hAnsi="仿宋" w:eastAsia="仿宋" w:cs="仿宋"/>
          <w:color w:val="000000"/>
          <w:sz w:val="24"/>
          <w:highlight w:val="none"/>
          <w:vertAlign w:val="superscript"/>
        </w:rPr>
        <w:t>3</w:t>
      </w:r>
      <w:r>
        <w:rPr>
          <w:rFonts w:hint="eastAsia" w:ascii="仿宋" w:hAnsi="仿宋" w:eastAsia="仿宋" w:cs="仿宋"/>
          <w:color w:val="000000"/>
          <w:sz w:val="24"/>
          <w:highlight w:val="none"/>
        </w:rPr>
        <w:t>/min ，排气压力</w:t>
      </w:r>
      <w:r>
        <w:rPr>
          <w:rFonts w:hint="eastAsia" w:ascii="仿宋" w:hAnsi="仿宋" w:eastAsia="仿宋" w:cs="仿宋"/>
          <w:color w:val="000000"/>
          <w:sz w:val="24"/>
          <w:szCs w:val="22"/>
          <w:highlight w:val="none"/>
        </w:rPr>
        <w:t>≥</w:t>
      </w:r>
      <w:r>
        <w:rPr>
          <w:rFonts w:hint="eastAsia" w:ascii="仿宋" w:hAnsi="仿宋" w:eastAsia="仿宋" w:cs="仿宋"/>
          <w:color w:val="000000"/>
          <w:sz w:val="24"/>
          <w:highlight w:val="none"/>
        </w:rPr>
        <w:t>1.25MPa。</w:t>
      </w:r>
    </w:p>
    <w:p w14:paraId="4C581818">
      <w:pPr>
        <w:keepNext w:val="0"/>
        <w:keepLines w:val="0"/>
        <w:pageBreakBefore w:val="0"/>
        <w:kinsoku/>
        <w:wordWrap/>
        <w:overflowPunct/>
        <w:topLinePunct w:val="0"/>
        <w:autoSpaceDE/>
        <w:autoSpaceDN/>
        <w:bidi w:val="0"/>
        <w:adjustRightInd/>
        <w:snapToGrid w:val="0"/>
        <w:spacing w:line="440" w:lineRule="exact"/>
        <w:ind w:left="690" w:leftChars="100" w:hanging="480" w:hangingChars="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2．储气罐为：容积</w:t>
      </w:r>
      <w:r>
        <w:rPr>
          <w:rFonts w:hint="eastAsia" w:ascii="仿宋" w:hAnsi="仿宋" w:eastAsia="仿宋" w:cs="仿宋"/>
          <w:color w:val="000000"/>
          <w:sz w:val="24"/>
          <w:szCs w:val="22"/>
          <w:highlight w:val="none"/>
        </w:rPr>
        <w:t>≥</w:t>
      </w:r>
      <w:r>
        <w:rPr>
          <w:rFonts w:hint="eastAsia" w:ascii="仿宋" w:hAnsi="仿宋" w:eastAsia="仿宋" w:cs="仿宋"/>
          <w:color w:val="000000"/>
          <w:sz w:val="24"/>
          <w:highlight w:val="none"/>
        </w:rPr>
        <w:t>10m</w:t>
      </w:r>
      <w:r>
        <w:rPr>
          <w:rFonts w:hint="eastAsia" w:ascii="仿宋" w:hAnsi="仿宋" w:eastAsia="仿宋" w:cs="仿宋"/>
          <w:color w:val="000000"/>
          <w:sz w:val="24"/>
          <w:highlight w:val="none"/>
          <w:vertAlign w:val="superscript"/>
        </w:rPr>
        <w:t>3</w:t>
      </w:r>
      <w:r>
        <w:rPr>
          <w:rFonts w:hint="eastAsia" w:ascii="仿宋" w:hAnsi="仿宋" w:eastAsia="仿宋" w:cs="仿宋"/>
          <w:color w:val="000000"/>
          <w:sz w:val="24"/>
          <w:highlight w:val="none"/>
        </w:rPr>
        <w:t>，1台。</w:t>
      </w:r>
    </w:p>
    <w:p w14:paraId="1BCACA6A">
      <w:pPr>
        <w:keepNext w:val="0"/>
        <w:keepLines w:val="0"/>
        <w:pageBreakBefore w:val="0"/>
        <w:kinsoku/>
        <w:wordWrap/>
        <w:overflowPunct/>
        <w:topLinePunct w:val="0"/>
        <w:autoSpaceDE/>
        <w:autoSpaceDN/>
        <w:bidi w:val="0"/>
        <w:adjustRightInd/>
        <w:snapToGrid w:val="0"/>
        <w:spacing w:line="440" w:lineRule="exact"/>
        <w:ind w:left="690" w:leftChars="100" w:hanging="480" w:hangingChars="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3．配气冷式冷冻干燥机2台。</w:t>
      </w:r>
    </w:p>
    <w:p w14:paraId="541D7DEC">
      <w:pPr>
        <w:keepNext w:val="0"/>
        <w:keepLines w:val="0"/>
        <w:pageBreakBefore w:val="0"/>
        <w:kinsoku/>
        <w:wordWrap/>
        <w:overflowPunct/>
        <w:topLinePunct w:val="0"/>
        <w:autoSpaceDE/>
        <w:autoSpaceDN/>
        <w:bidi w:val="0"/>
        <w:adjustRightInd/>
        <w:snapToGrid w:val="0"/>
        <w:spacing w:line="440" w:lineRule="exact"/>
        <w:ind w:left="690" w:leftChars="100" w:hanging="480" w:hangingChars="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4．配气水分离器、空气过滤器进行多级过滤，保证进舱气体符合国家卫生学标准。</w:t>
      </w:r>
    </w:p>
    <w:p w14:paraId="5D54A610">
      <w:pPr>
        <w:keepNext w:val="0"/>
        <w:keepLines w:val="0"/>
        <w:pageBreakBefore w:val="0"/>
        <w:kinsoku/>
        <w:wordWrap/>
        <w:overflowPunct/>
        <w:topLinePunct w:val="0"/>
        <w:autoSpaceDE/>
        <w:autoSpaceDN/>
        <w:bidi w:val="0"/>
        <w:adjustRightInd/>
        <w:snapToGrid w:val="0"/>
        <w:spacing w:line="440" w:lineRule="exact"/>
        <w:ind w:left="690" w:leftChars="100" w:hanging="480" w:hangingChars="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5．系统管路及阀件符合GB/T12130-2020《医用空气加压氧舱》标准要求。</w:t>
      </w:r>
    </w:p>
    <w:p w14:paraId="65145D87">
      <w:pPr>
        <w:keepNext w:val="0"/>
        <w:keepLines w:val="0"/>
        <w:pageBreakBefore w:val="0"/>
        <w:kinsoku/>
        <w:wordWrap/>
        <w:overflowPunct/>
        <w:topLinePunct w:val="0"/>
        <w:autoSpaceDE/>
        <w:autoSpaceDN/>
        <w:bidi w:val="0"/>
        <w:adjustRightInd/>
        <w:snapToGrid w:val="0"/>
        <w:spacing w:line="440" w:lineRule="exact"/>
        <w:ind w:left="690" w:leftChars="100" w:hanging="480" w:hangingChars="200"/>
        <w:jc w:val="both"/>
        <w:textAlignment w:val="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6. 采用气、电动调节阀门技术</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投标供应商应提供第三方权威部门证明材料</w:t>
      </w:r>
      <w:r>
        <w:rPr>
          <w:rFonts w:hint="eastAsia" w:ascii="仿宋" w:hAnsi="仿宋" w:eastAsia="仿宋" w:cs="仿宋"/>
          <w:color w:val="000000"/>
          <w:sz w:val="24"/>
          <w:highlight w:val="none"/>
          <w:lang w:eastAsia="zh-CN"/>
        </w:rPr>
        <w:t>）</w:t>
      </w:r>
    </w:p>
    <w:p w14:paraId="0BC52B3E">
      <w:pPr>
        <w:keepNext w:val="0"/>
        <w:keepLines w:val="0"/>
        <w:pageBreakBefore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（四）呼吸气系统</w:t>
      </w:r>
    </w:p>
    <w:p w14:paraId="13317C6F">
      <w:pPr>
        <w:keepNext w:val="0"/>
        <w:keepLines w:val="0"/>
        <w:pageBreakBefore w:val="0"/>
        <w:kinsoku/>
        <w:wordWrap/>
        <w:overflowPunct/>
        <w:topLinePunct w:val="0"/>
        <w:autoSpaceDE/>
        <w:autoSpaceDN/>
        <w:bidi w:val="0"/>
        <w:adjustRightInd/>
        <w:snapToGrid w:val="0"/>
        <w:spacing w:line="440" w:lineRule="exact"/>
        <w:ind w:left="690" w:leftChars="100" w:hanging="480" w:hangingChars="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1．供氧方式：采用低阻力供氧方式，单人供氧流量计，加装供氧缓冲箱（储氧筒）。</w:t>
      </w:r>
    </w:p>
    <w:p w14:paraId="7B7E9E66">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2．排氧方式：缓冲式舱外排氧</w:t>
      </w:r>
    </w:p>
    <w:p w14:paraId="0905E484">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3．系统管路及阀件符合GB/T12130-2020《医用空气加压氧舱》标准要求。</w:t>
      </w:r>
    </w:p>
    <w:p w14:paraId="6BACF56F">
      <w:pPr>
        <w:keepNext w:val="0"/>
        <w:keepLines w:val="0"/>
        <w:pageBreakBefore w:val="0"/>
        <w:kinsoku/>
        <w:wordWrap/>
        <w:overflowPunct/>
        <w:topLinePunct w:val="0"/>
        <w:autoSpaceDE/>
        <w:autoSpaceDN/>
        <w:bidi w:val="0"/>
        <w:adjustRightInd/>
        <w:snapToGrid w:val="0"/>
        <w:spacing w:line="440" w:lineRule="exact"/>
        <w:ind w:left="690" w:leftChars="100" w:hanging="480" w:hangingChars="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4．单人供氧截止阀：10套。   </w:t>
      </w:r>
    </w:p>
    <w:p w14:paraId="1C85F825">
      <w:pPr>
        <w:keepNext w:val="0"/>
        <w:keepLines w:val="0"/>
        <w:pageBreakBefore w:val="0"/>
        <w:kinsoku/>
        <w:wordWrap/>
        <w:overflowPunct/>
        <w:topLinePunct w:val="0"/>
        <w:autoSpaceDE/>
        <w:autoSpaceDN/>
        <w:bidi w:val="0"/>
        <w:adjustRightInd/>
        <w:snapToGrid w:val="0"/>
        <w:spacing w:line="440" w:lineRule="exact"/>
        <w:ind w:left="690" w:leftChars="100" w:hanging="480" w:hangingChars="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5．单人供氧缓冲箱：10套。 </w:t>
      </w:r>
    </w:p>
    <w:p w14:paraId="5DC92CCC">
      <w:pPr>
        <w:keepNext w:val="0"/>
        <w:keepLines w:val="0"/>
        <w:pageBreakBefore w:val="0"/>
        <w:kinsoku/>
        <w:wordWrap/>
        <w:overflowPunct/>
        <w:topLinePunct w:val="0"/>
        <w:autoSpaceDE/>
        <w:autoSpaceDN/>
        <w:bidi w:val="0"/>
        <w:adjustRightInd/>
        <w:snapToGrid w:val="0"/>
        <w:spacing w:line="440" w:lineRule="exact"/>
        <w:ind w:left="690" w:leftChars="100" w:hanging="480" w:hangingChars="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6．无阻力呼吸器：10套。</w:t>
      </w:r>
      <w:r>
        <w:rPr>
          <w:rFonts w:hint="eastAsia" w:ascii="仿宋" w:hAnsi="仿宋" w:eastAsia="仿宋" w:cs="仿宋"/>
          <w:color w:val="000000"/>
          <w:sz w:val="24"/>
          <w:szCs w:val="22"/>
          <w:highlight w:val="none"/>
        </w:rPr>
        <w:t>(投标供应商应提供国家级机构颁发的证明材料)</w:t>
      </w:r>
    </w:p>
    <w:p w14:paraId="2119A0F1">
      <w:pPr>
        <w:keepNext w:val="0"/>
        <w:keepLines w:val="0"/>
        <w:pageBreakBefore w:val="0"/>
        <w:kinsoku/>
        <w:wordWrap/>
        <w:overflowPunct/>
        <w:topLinePunct w:val="0"/>
        <w:autoSpaceDE/>
        <w:autoSpaceDN/>
        <w:bidi w:val="0"/>
        <w:adjustRightInd/>
        <w:snapToGrid w:val="0"/>
        <w:spacing w:line="440" w:lineRule="exact"/>
        <w:ind w:left="690" w:leftChars="100" w:hanging="480" w:hangingChars="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7．舱壁管带吸氧：10套。</w:t>
      </w:r>
    </w:p>
    <w:p w14:paraId="794676A8">
      <w:pPr>
        <w:keepNext w:val="0"/>
        <w:keepLines w:val="0"/>
        <w:pageBreakBefore w:val="0"/>
        <w:kinsoku/>
        <w:wordWrap/>
        <w:overflowPunct/>
        <w:topLinePunct w:val="0"/>
        <w:autoSpaceDE/>
        <w:autoSpaceDN/>
        <w:bidi w:val="0"/>
        <w:adjustRightInd/>
        <w:snapToGrid w:val="0"/>
        <w:spacing w:line="440" w:lineRule="exact"/>
        <w:ind w:left="690" w:leftChars="100" w:hanging="480" w:hangingChars="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8．排氧过滤器：2套。</w:t>
      </w:r>
    </w:p>
    <w:p w14:paraId="678C32B9">
      <w:pPr>
        <w:keepNext w:val="0"/>
        <w:keepLines w:val="0"/>
        <w:pageBreakBefore w:val="0"/>
        <w:kinsoku/>
        <w:wordWrap/>
        <w:overflowPunct/>
        <w:topLinePunct w:val="0"/>
        <w:autoSpaceDE/>
        <w:autoSpaceDN/>
        <w:bidi w:val="0"/>
        <w:adjustRightInd/>
        <w:snapToGrid w:val="0"/>
        <w:spacing w:line="440" w:lineRule="exact"/>
        <w:ind w:left="690" w:leftChars="100" w:hanging="480" w:hangingChars="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9．舱外缓冲式定性定量排氧系统：2套。</w:t>
      </w:r>
    </w:p>
    <w:p w14:paraId="47E426BD">
      <w:pPr>
        <w:keepNext w:val="0"/>
        <w:keepLines w:val="0"/>
        <w:pageBreakBefore w:val="0"/>
        <w:kinsoku/>
        <w:wordWrap/>
        <w:overflowPunct/>
        <w:topLinePunct w:val="0"/>
        <w:autoSpaceDE/>
        <w:autoSpaceDN/>
        <w:bidi w:val="0"/>
        <w:adjustRightInd/>
        <w:snapToGrid w:val="0"/>
        <w:spacing w:line="440" w:lineRule="exact"/>
        <w:ind w:left="690" w:leftChars="100" w:hanging="480" w:hangingChars="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10．排氧气水过滤系统2套。</w:t>
      </w:r>
      <w:r>
        <w:rPr>
          <w:rFonts w:hint="eastAsia" w:ascii="仿宋" w:hAnsi="仿宋" w:eastAsia="仿宋" w:cs="仿宋"/>
          <w:color w:val="000000"/>
          <w:sz w:val="24"/>
          <w:szCs w:val="22"/>
          <w:highlight w:val="none"/>
        </w:rPr>
        <w:t>(投标供应商应提供国家级机构颁发的证明材料)</w:t>
      </w:r>
    </w:p>
    <w:p w14:paraId="6DAB113A">
      <w:pPr>
        <w:keepNext w:val="0"/>
        <w:keepLines w:val="0"/>
        <w:pageBreakBefore w:val="0"/>
        <w:kinsoku/>
        <w:wordWrap/>
        <w:overflowPunct/>
        <w:topLinePunct w:val="0"/>
        <w:autoSpaceDE/>
        <w:autoSpaceDN/>
        <w:bidi w:val="0"/>
        <w:adjustRightInd/>
        <w:snapToGrid w:val="0"/>
        <w:spacing w:line="440" w:lineRule="exact"/>
        <w:ind w:left="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11．配备多功能综合吸氧控制面板，每组控制面板均具备常规吸氧、一级吸氧、雾化吸氧、湿化吸氧、负压吸引、应急呼叫等多种功能。</w:t>
      </w:r>
    </w:p>
    <w:p w14:paraId="4C427AFE">
      <w:pPr>
        <w:keepNext w:val="0"/>
        <w:keepLines w:val="0"/>
        <w:pageBreakBefore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（五）舱内环境调节系统</w:t>
      </w:r>
    </w:p>
    <w:p w14:paraId="10E9C925">
      <w:pPr>
        <w:keepNext w:val="0"/>
        <w:keepLines w:val="0"/>
        <w:pageBreakBefore w:val="0"/>
        <w:kinsoku/>
        <w:wordWrap/>
        <w:overflowPunct/>
        <w:topLinePunct w:val="0"/>
        <w:autoSpaceDE/>
        <w:autoSpaceDN/>
        <w:bidi w:val="0"/>
        <w:adjustRightInd/>
        <w:snapToGrid w:val="0"/>
        <w:spacing w:line="440" w:lineRule="exact"/>
        <w:ind w:firstLine="182" w:firstLineChars="76"/>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1．舱内空调采用壁挂式分体冷暖空调，主舱</w:t>
      </w:r>
      <w:r>
        <w:rPr>
          <w:rFonts w:hint="eastAsia" w:ascii="仿宋" w:hAnsi="仿宋" w:eastAsia="仿宋" w:cs="仿宋"/>
          <w:color w:val="000000"/>
          <w:sz w:val="24"/>
          <w:szCs w:val="22"/>
          <w:highlight w:val="none"/>
        </w:rPr>
        <w:t>≥</w:t>
      </w:r>
      <w:r>
        <w:rPr>
          <w:rFonts w:hint="eastAsia" w:ascii="仿宋" w:hAnsi="仿宋" w:eastAsia="仿宋" w:cs="仿宋"/>
          <w:color w:val="000000"/>
          <w:sz w:val="24"/>
          <w:highlight w:val="none"/>
        </w:rPr>
        <w:t>1.5P     1台,过渡舱</w:t>
      </w:r>
      <w:r>
        <w:rPr>
          <w:rFonts w:hint="eastAsia" w:ascii="仿宋" w:hAnsi="仿宋" w:eastAsia="仿宋" w:cs="仿宋"/>
          <w:color w:val="000000"/>
          <w:sz w:val="24"/>
          <w:szCs w:val="22"/>
          <w:highlight w:val="none"/>
        </w:rPr>
        <w:t>≥</w:t>
      </w:r>
      <w:r>
        <w:rPr>
          <w:rFonts w:hint="eastAsia" w:ascii="仿宋" w:hAnsi="仿宋" w:eastAsia="仿宋" w:cs="仿宋"/>
          <w:color w:val="000000"/>
          <w:sz w:val="24"/>
          <w:highlight w:val="none"/>
        </w:rPr>
        <w:t>1P      1台。</w:t>
      </w:r>
    </w:p>
    <w:p w14:paraId="3DBA888A">
      <w:pPr>
        <w:keepNext w:val="0"/>
        <w:keepLines w:val="0"/>
        <w:pageBreakBefore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（六）监控系统</w:t>
      </w:r>
    </w:p>
    <w:p w14:paraId="48CB8FBE">
      <w:pPr>
        <w:keepNext w:val="0"/>
        <w:keepLines w:val="0"/>
        <w:pageBreakBefore w:val="0"/>
        <w:kinsoku/>
        <w:wordWrap/>
        <w:overflowPunct/>
        <w:topLinePunct w:val="0"/>
        <w:autoSpaceDE/>
        <w:autoSpaceDN/>
        <w:bidi w:val="0"/>
        <w:adjustRightInd/>
        <w:snapToGrid w:val="0"/>
        <w:spacing w:line="440" w:lineRule="exact"/>
        <w:ind w:left="126" w:leftChars="60" w:firstLine="480" w:firstLineChars="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配备彩色电视摄像监视系统4套（治疗舱、过渡舱各2套），采用内嵌式摄像机4台，</w:t>
      </w:r>
      <w:r>
        <w:rPr>
          <w:rFonts w:hint="eastAsia" w:ascii="仿宋" w:hAnsi="仿宋" w:eastAsia="仿宋" w:cs="仿宋"/>
          <w:color w:val="000000"/>
          <w:sz w:val="24"/>
          <w:szCs w:val="22"/>
          <w:highlight w:val="none"/>
        </w:rPr>
        <w:t>≥</w:t>
      </w:r>
      <w:r>
        <w:rPr>
          <w:rFonts w:hint="eastAsia" w:ascii="仿宋" w:hAnsi="仿宋" w:eastAsia="仿宋" w:cs="仿宋"/>
          <w:color w:val="000000"/>
          <w:sz w:val="24"/>
          <w:highlight w:val="none"/>
        </w:rPr>
        <w:t>22寸彩色液晶监视器1台，硬盘录像机1台。</w:t>
      </w:r>
    </w:p>
    <w:p w14:paraId="6C5B072C">
      <w:pPr>
        <w:keepNext w:val="0"/>
        <w:keepLines w:val="0"/>
        <w:pageBreakBefore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（七）消防系统</w:t>
      </w:r>
    </w:p>
    <w:p w14:paraId="69EF8A6F">
      <w:pPr>
        <w:keepNext w:val="0"/>
        <w:keepLines w:val="0"/>
        <w:pageBreakBefore w:val="0"/>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按GB/T12130-2020《医用空气加压氧舱》标准之要求，各舱室均配置水喷淋消防设施，要求喷水强度≥50L/（m2.min），喷水动作响应时间≤3S，并在控制台及舱内醒目位置设置水喷淋报警开关，在系统管路上设置快开式电动调节阀，以确保紧急状态下使用。采用医用氧舱消防水喷淋系统的气水灌(投标供应商应提供国家级机构颁发的证明材料)</w:t>
      </w:r>
    </w:p>
    <w:p w14:paraId="1D6DFE60">
      <w:pPr>
        <w:keepNext w:val="0"/>
        <w:keepLines w:val="0"/>
        <w:pageBreakBefore w:val="0"/>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配备气水罐（容积</w:t>
      </w:r>
      <w:r>
        <w:rPr>
          <w:rFonts w:hint="eastAsia" w:ascii="仿宋" w:hAnsi="仿宋" w:eastAsia="仿宋" w:cs="仿宋"/>
          <w:color w:val="000000"/>
          <w:sz w:val="24"/>
          <w:szCs w:val="22"/>
          <w:highlight w:val="none"/>
        </w:rPr>
        <w:t>≥</w:t>
      </w:r>
      <w:r>
        <w:rPr>
          <w:rFonts w:hint="eastAsia" w:ascii="仿宋" w:hAnsi="仿宋" w:eastAsia="仿宋" w:cs="仿宋"/>
          <w:color w:val="000000"/>
          <w:sz w:val="24"/>
          <w:highlight w:val="none"/>
        </w:rPr>
        <w:t>1m</w:t>
      </w:r>
      <w:r>
        <w:rPr>
          <w:rFonts w:hint="eastAsia" w:ascii="仿宋" w:hAnsi="仿宋" w:eastAsia="仿宋" w:cs="仿宋"/>
          <w:color w:val="000000"/>
          <w:sz w:val="24"/>
          <w:highlight w:val="none"/>
          <w:vertAlign w:val="superscript"/>
        </w:rPr>
        <w:t>3</w:t>
      </w:r>
      <w:r>
        <w:rPr>
          <w:rFonts w:hint="eastAsia" w:ascii="仿宋" w:hAnsi="仿宋" w:eastAsia="仿宋" w:cs="仿宋"/>
          <w:color w:val="000000"/>
          <w:sz w:val="24"/>
          <w:highlight w:val="none"/>
        </w:rPr>
        <w:t>）1台。</w:t>
      </w:r>
    </w:p>
    <w:p w14:paraId="4F7011E5">
      <w:pPr>
        <w:keepNext w:val="0"/>
        <w:keepLines w:val="0"/>
        <w:pageBreakBefore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（八）计算机自动化操作控制系统</w:t>
      </w:r>
    </w:p>
    <w:p w14:paraId="2722F67B">
      <w:pPr>
        <w:keepNext w:val="0"/>
        <w:keepLines w:val="0"/>
        <w:pageBreakBefore w:val="0"/>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 xml:space="preserve">计算机满足YY/T0708-2009（可编程医用电气系统）；（提供第三方可编程医用电气系统检验报告） </w:t>
      </w:r>
    </w:p>
    <w:p w14:paraId="780D43C0">
      <w:pPr>
        <w:keepNext w:val="0"/>
        <w:keepLines w:val="0"/>
        <w:pageBreakBefore w:val="0"/>
        <w:kinsoku/>
        <w:wordWrap/>
        <w:overflowPunct/>
        <w:topLinePunct w:val="0"/>
        <w:autoSpaceDE/>
        <w:autoSpaceDN/>
        <w:bidi w:val="0"/>
        <w:adjustRightInd/>
        <w:spacing w:line="44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highlight w:val="none"/>
        </w:rPr>
        <w:t>1.</w:t>
      </w:r>
      <w:r>
        <w:rPr>
          <w:rFonts w:hint="eastAsia" w:ascii="仿宋" w:hAnsi="仿宋" w:eastAsia="仿宋" w:cs="仿宋"/>
          <w:color w:val="000000"/>
          <w:sz w:val="24"/>
          <w:szCs w:val="24"/>
          <w:highlight w:val="none"/>
        </w:rPr>
        <w:t xml:space="preserve"> 医疗方案程序化自动控制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投标供应商应提供第三方权威部门证明材料</w:t>
      </w:r>
      <w:r>
        <w:rPr>
          <w:rFonts w:hint="eastAsia" w:ascii="仿宋" w:hAnsi="仿宋" w:eastAsia="仿宋" w:cs="仿宋"/>
          <w:color w:val="000000"/>
          <w:sz w:val="24"/>
          <w:szCs w:val="24"/>
          <w:highlight w:val="none"/>
          <w:lang w:eastAsia="zh-CN"/>
        </w:rPr>
        <w:t>）</w:t>
      </w:r>
    </w:p>
    <w:p w14:paraId="173DBE18">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（1）加减压系统程序化自动控制。 </w:t>
      </w:r>
    </w:p>
    <w:p w14:paraId="607B8892">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（2）排氧系统程序化自动控制。</w:t>
      </w:r>
    </w:p>
    <w:p w14:paraId="29811D1A">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（3）多种医疗方案的优化选择。</w:t>
      </w:r>
    </w:p>
    <w:p w14:paraId="4DAD0E41">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szCs w:val="24"/>
          <w:highlight w:val="none"/>
        </w:rPr>
        <w:t xml:space="preserve"> 具有人机界面</w:t>
      </w:r>
    </w:p>
    <w:p w14:paraId="0E1B4119">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highlight w:val="none"/>
        </w:rPr>
        <w:t>3.</w:t>
      </w:r>
      <w:r>
        <w:rPr>
          <w:rFonts w:hint="eastAsia" w:ascii="仿宋" w:hAnsi="仿宋" w:eastAsia="仿宋" w:cs="仿宋"/>
          <w:color w:val="000000"/>
          <w:sz w:val="24"/>
          <w:szCs w:val="24"/>
          <w:highlight w:val="none"/>
        </w:rPr>
        <w:t xml:space="preserve"> 对治疗过程中的重要数据跟踪处理，自动显示和记录。</w:t>
      </w:r>
    </w:p>
    <w:p w14:paraId="6AA17F81">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highlight w:val="none"/>
        </w:rPr>
        <w:t>4.</w:t>
      </w:r>
      <w:r>
        <w:rPr>
          <w:rFonts w:hint="eastAsia" w:ascii="仿宋" w:hAnsi="仿宋" w:eastAsia="仿宋" w:cs="仿宋"/>
          <w:color w:val="000000"/>
          <w:sz w:val="24"/>
          <w:szCs w:val="24"/>
          <w:highlight w:val="none"/>
        </w:rPr>
        <w:t xml:space="preserve"> 具有语音提示功能。</w:t>
      </w:r>
    </w:p>
    <w:p w14:paraId="4F1B92DA">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highlight w:val="none"/>
        </w:rPr>
        <w:t>5.</w:t>
      </w:r>
      <w:r>
        <w:rPr>
          <w:rFonts w:hint="eastAsia" w:ascii="仿宋" w:hAnsi="仿宋" w:eastAsia="仿宋" w:cs="仿宋"/>
          <w:color w:val="000000"/>
          <w:sz w:val="24"/>
          <w:szCs w:val="24"/>
          <w:highlight w:val="none"/>
        </w:rPr>
        <w:t xml:space="preserve"> 具有安全锁定氧浓度功能。</w:t>
      </w:r>
    </w:p>
    <w:p w14:paraId="18DA130F">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6. 具有故障报警自检功能。</w:t>
      </w:r>
    </w:p>
    <w:p w14:paraId="17E78806">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highlight w:val="none"/>
        </w:rPr>
        <w:t>7.</w:t>
      </w:r>
      <w:r>
        <w:rPr>
          <w:rFonts w:hint="eastAsia" w:ascii="仿宋" w:hAnsi="仿宋" w:eastAsia="仿宋" w:cs="仿宋"/>
          <w:color w:val="000000"/>
          <w:sz w:val="24"/>
          <w:szCs w:val="24"/>
          <w:highlight w:val="none"/>
        </w:rPr>
        <w:t xml:space="preserve"> 具有自动稳压功能。</w:t>
      </w:r>
    </w:p>
    <w:p w14:paraId="2066EED2">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highlight w:val="none"/>
        </w:rPr>
        <w:t>8.</w:t>
      </w:r>
      <w:r>
        <w:rPr>
          <w:rFonts w:hint="eastAsia" w:ascii="仿宋" w:hAnsi="仿宋" w:eastAsia="仿宋" w:cs="仿宋"/>
          <w:color w:val="000000"/>
          <w:sz w:val="24"/>
          <w:szCs w:val="24"/>
          <w:highlight w:val="none"/>
        </w:rPr>
        <w:t xml:space="preserve"> 具有数据记录功能。</w:t>
      </w:r>
    </w:p>
    <w:p w14:paraId="78B9D510">
      <w:pPr>
        <w:keepNext w:val="0"/>
        <w:keepLines w:val="0"/>
        <w:pageBreakBefore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color w:val="000000"/>
          <w:sz w:val="24"/>
          <w:highlight w:val="none"/>
        </w:rPr>
      </w:pPr>
      <w:r>
        <w:rPr>
          <w:rFonts w:hint="eastAsia" w:ascii="仿宋" w:hAnsi="仿宋" w:eastAsia="仿宋" w:cs="仿宋"/>
          <w:b/>
          <w:color w:val="000000"/>
          <w:sz w:val="24"/>
          <w:szCs w:val="24"/>
          <w:highlight w:val="none"/>
        </w:rPr>
        <w:t>（九</w:t>
      </w:r>
      <w:r>
        <w:rPr>
          <w:rFonts w:hint="eastAsia" w:ascii="仿宋" w:hAnsi="仿宋" w:eastAsia="仿宋" w:cs="仿宋"/>
          <w:b/>
          <w:color w:val="000000"/>
          <w:sz w:val="24"/>
          <w:highlight w:val="none"/>
        </w:rPr>
        <w:t>）应急安全项目</w:t>
      </w:r>
    </w:p>
    <w:p w14:paraId="480BF1D9">
      <w:pPr>
        <w:keepNext w:val="0"/>
        <w:keepLines w:val="0"/>
        <w:pageBreakBefore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1、舱体各舱室应配置安全阀各2只；储气罐、气水罐配置安全阀各1只；</w:t>
      </w:r>
    </w:p>
    <w:p w14:paraId="651347B5">
      <w:pPr>
        <w:keepNext w:val="0"/>
        <w:keepLines w:val="0"/>
        <w:pageBreakBefore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2、递物筒配装压力锁定、低压自动开启装置各1套；</w:t>
      </w:r>
    </w:p>
    <w:p w14:paraId="6E224982">
      <w:pPr>
        <w:keepNext w:val="0"/>
        <w:keepLines w:val="0"/>
        <w:pageBreakBefore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3.递物筒配装压力显示仪表各1套；</w:t>
      </w:r>
    </w:p>
    <w:p w14:paraId="6BA1980D">
      <w:pPr>
        <w:keepNext w:val="0"/>
        <w:keepLines w:val="0"/>
        <w:pageBreakBefore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4、压缩机配装超压自动停机、低压自动复位装置；</w:t>
      </w:r>
    </w:p>
    <w:p w14:paraId="4F636F5D">
      <w:pPr>
        <w:keepNext w:val="0"/>
        <w:keepLines w:val="0"/>
        <w:pageBreakBefore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5、各舱室配装应急呼叫装置及应急通讯装置；</w:t>
      </w:r>
    </w:p>
    <w:p w14:paraId="2F439BF9">
      <w:pPr>
        <w:keepNext w:val="0"/>
        <w:keepLines w:val="0"/>
        <w:pageBreakBefore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6、各舱室内外应配装应急卸压装置各1套，并涂红色标记；</w:t>
      </w:r>
    </w:p>
    <w:p w14:paraId="1180C5FF">
      <w:pPr>
        <w:keepNext w:val="0"/>
        <w:keepLines w:val="0"/>
        <w:pageBreakBefore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7、舱内饰装用材达B1级以上消防等级；</w:t>
      </w:r>
      <w:r>
        <w:rPr>
          <w:rFonts w:hint="eastAsia" w:ascii="仿宋" w:hAnsi="仿宋" w:eastAsia="仿宋" w:cs="仿宋"/>
          <w:color w:val="000000"/>
          <w:sz w:val="24"/>
          <w:szCs w:val="22"/>
          <w:highlight w:val="none"/>
        </w:rPr>
        <w:t>(投标供应商应提供国家级机构颁发的证明材料)</w:t>
      </w:r>
    </w:p>
    <w:p w14:paraId="412FCC7F">
      <w:pPr>
        <w:keepNext w:val="0"/>
        <w:keepLines w:val="0"/>
        <w:pageBreakBefore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8、配备氧舱应急手动快速控制系统；</w:t>
      </w:r>
    </w:p>
    <w:p w14:paraId="665D6E4C">
      <w:pPr>
        <w:keepNext w:val="0"/>
        <w:keepLines w:val="0"/>
        <w:pageBreakBefore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color w:val="auto"/>
          <w:kern w:val="2"/>
          <w:sz w:val="28"/>
          <w:szCs w:val="28"/>
          <w:highlight w:val="none"/>
          <w:lang w:eastAsia="zh-CN"/>
        </w:rPr>
      </w:pPr>
      <w:r>
        <w:rPr>
          <w:rFonts w:hint="eastAsia" w:ascii="仿宋" w:hAnsi="仿宋" w:eastAsia="仿宋" w:cs="仿宋"/>
          <w:b/>
          <w:bCs/>
          <w:color w:val="000000"/>
          <w:sz w:val="24"/>
          <w:highlight w:val="none"/>
        </w:rPr>
        <w:t>（十）设备各项性能指标必须达到或优于GB/T 12130-2020《医用空气加压氧舱》标准要求。</w:t>
      </w:r>
    </w:p>
    <w:p w14:paraId="1D197BA2">
      <w:pPr>
        <w:rPr>
          <w:rFonts w:hint="eastAsia" w:ascii="仿宋" w:hAnsi="仿宋" w:eastAsia="仿宋" w:cs="仿宋"/>
          <w:b/>
          <w:color w:val="auto"/>
          <w:kern w:val="2"/>
          <w:sz w:val="28"/>
          <w:szCs w:val="28"/>
          <w:highlight w:val="none"/>
        </w:rPr>
      </w:pPr>
    </w:p>
    <w:p w14:paraId="081358D1">
      <w:pPr>
        <w:rPr>
          <w:rFonts w:hint="eastAsia" w:ascii="仿宋" w:hAnsi="仿宋" w:eastAsia="仿宋" w:cs="仿宋"/>
          <w:b/>
          <w:color w:val="auto"/>
          <w:kern w:val="2"/>
          <w:sz w:val="28"/>
          <w:szCs w:val="28"/>
          <w:highlight w:val="none"/>
        </w:rPr>
      </w:pPr>
    </w:p>
    <w:p w14:paraId="34008F3B">
      <w:pPr>
        <w:pStyle w:val="2"/>
        <w:bidi w:val="0"/>
        <w:rPr>
          <w:rFonts w:hint="eastAsia" w:ascii="仿宋" w:hAnsi="仿宋" w:eastAsia="仿宋" w:cs="仿宋"/>
          <w:b/>
          <w:color w:val="auto"/>
          <w:highlight w:val="none"/>
        </w:rPr>
      </w:pPr>
      <w:bookmarkStart w:id="277" w:name="_Toc20839"/>
      <w:r>
        <w:rPr>
          <w:rFonts w:hint="eastAsia"/>
          <w:lang w:val="en-US" w:eastAsia="zh-CN"/>
        </w:rPr>
        <w:t>第六章</w:t>
      </w:r>
      <w:bookmarkStart w:id="278" w:name="_Toc8939"/>
      <w:bookmarkStart w:id="279" w:name="_Toc32653"/>
      <w:r>
        <w:rPr>
          <w:rFonts w:hint="eastAsia"/>
          <w:lang w:val="en-US" w:eastAsia="zh-CN"/>
        </w:rPr>
        <w:t xml:space="preserve"> </w:t>
      </w:r>
      <w:r>
        <w:rPr>
          <w:rFonts w:hint="eastAsia"/>
        </w:rPr>
        <w:t>投标书格式</w:t>
      </w:r>
      <w:bookmarkEnd w:id="277"/>
      <w:bookmarkEnd w:id="278"/>
      <w:bookmarkEnd w:id="279"/>
      <w:bookmarkStart w:id="280" w:name="_Toc61184635"/>
      <w:bookmarkStart w:id="281" w:name="_Toc56170392"/>
    </w:p>
    <w:p w14:paraId="27288628">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3205E5DE">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4E81F4A9">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25CD05A7">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637607F6">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54328673">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7C30CA6D">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70152EC8">
      <w:pPr>
        <w:numPr>
          <w:ilvl w:val="0"/>
          <w:numId w:val="0"/>
        </w:numPr>
        <w:spacing w:line="360" w:lineRule="atLeast"/>
        <w:ind w:leftChars="0"/>
        <w:jc w:val="center"/>
        <w:outlineLvl w:val="1"/>
        <w:rPr>
          <w:rFonts w:hint="default" w:ascii="仿宋" w:hAnsi="仿宋" w:eastAsia="仿宋" w:cs="仿宋"/>
          <w:b/>
          <w:color w:val="auto"/>
          <w:sz w:val="48"/>
          <w:szCs w:val="24"/>
          <w:highlight w:val="none"/>
          <w:lang w:val="en-US" w:eastAsia="zh-CN"/>
        </w:rPr>
      </w:pPr>
      <w:bookmarkStart w:id="282" w:name="_Toc5914"/>
      <w:bookmarkStart w:id="283" w:name="_Toc6169"/>
      <w:r>
        <w:rPr>
          <w:rFonts w:hint="eastAsia" w:ascii="仿宋" w:hAnsi="仿宋" w:eastAsia="仿宋" w:cs="仿宋"/>
          <w:b/>
          <w:color w:val="auto"/>
          <w:sz w:val="48"/>
          <w:szCs w:val="24"/>
          <w:highlight w:val="none"/>
          <w:lang w:val="en-US" w:eastAsia="zh-CN"/>
        </w:rPr>
        <w:t>封皮格式自拟</w:t>
      </w:r>
      <w:bookmarkEnd w:id="282"/>
      <w:bookmarkEnd w:id="283"/>
    </w:p>
    <w:p w14:paraId="487651E1">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2AE9C083">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6695CA1A">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0A6F241D">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3077B661">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56F5ADFE">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398EFFB4">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796C6187">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3985535C">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2DB57EA8">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692FD36F">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6B41E45C">
      <w:pPr>
        <w:numPr>
          <w:ilvl w:val="0"/>
          <w:numId w:val="0"/>
        </w:numPr>
        <w:spacing w:line="360" w:lineRule="atLeast"/>
        <w:ind w:leftChars="0"/>
        <w:jc w:val="both"/>
        <w:outlineLvl w:val="9"/>
        <w:rPr>
          <w:rFonts w:hint="eastAsia" w:ascii="仿宋" w:hAnsi="仿宋" w:eastAsia="仿宋" w:cs="仿宋"/>
          <w:b/>
          <w:color w:val="auto"/>
          <w:sz w:val="36"/>
          <w:highlight w:val="none"/>
        </w:rPr>
      </w:pPr>
    </w:p>
    <w:bookmarkEnd w:id="280"/>
    <w:bookmarkEnd w:id="281"/>
    <w:p w14:paraId="705EE6D4">
      <w:pPr>
        <w:pStyle w:val="3"/>
        <w:numPr>
          <w:ilvl w:val="0"/>
          <w:numId w:val="0"/>
        </w:numPr>
        <w:tabs>
          <w:tab w:val="clear" w:pos="720"/>
        </w:tabs>
        <w:bidi w:val="0"/>
        <w:ind w:leftChars="0"/>
        <w:rPr>
          <w:rFonts w:hint="eastAsia" w:ascii="仿宋" w:hAnsi="仿宋" w:eastAsia="仿宋" w:cs="仿宋"/>
          <w:color w:val="auto"/>
          <w:highlight w:val="none"/>
        </w:rPr>
      </w:pPr>
      <w:bookmarkStart w:id="284" w:name="_Toc10657"/>
      <w:bookmarkStart w:id="285" w:name="_Toc10464"/>
      <w:bookmarkStart w:id="286" w:name="_Toc13962"/>
      <w:bookmarkStart w:id="287" w:name="_Toc61184636"/>
      <w:bookmarkStart w:id="288" w:name="_Toc56170393"/>
      <w:r>
        <w:rPr>
          <w:rFonts w:hint="eastAsia"/>
        </w:rPr>
        <w:t>附件一、投标书</w:t>
      </w:r>
      <w:bookmarkEnd w:id="284"/>
      <w:bookmarkEnd w:id="285"/>
      <w:bookmarkEnd w:id="286"/>
      <w:bookmarkEnd w:id="287"/>
      <w:bookmarkEnd w:id="288"/>
    </w:p>
    <w:p w14:paraId="18DCC9B2">
      <w:pPr>
        <w:pStyle w:val="76"/>
        <w:spacing w:line="360" w:lineRule="auto"/>
        <w:ind w:firstLine="0" w:firstLineChars="0"/>
        <w:jc w:val="both"/>
        <w:outlineLvl w:val="9"/>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lang w:eastAsia="zh-CN"/>
        </w:rPr>
        <w:t>新疆浩瑞兴建设工程项目管理咨询有限公司</w:t>
      </w:r>
      <w:r>
        <w:rPr>
          <w:rFonts w:hint="eastAsia" w:ascii="仿宋" w:hAnsi="仿宋" w:eastAsia="仿宋" w:cs="仿宋"/>
          <w:b w:val="0"/>
          <w:color w:val="auto"/>
          <w:sz w:val="24"/>
          <w:szCs w:val="24"/>
          <w:highlight w:val="none"/>
        </w:rPr>
        <w:t>：</w:t>
      </w:r>
    </w:p>
    <w:p w14:paraId="100AB893">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我们收到你们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招标文件，经认真研究，我们决定参加投标。</w:t>
      </w:r>
    </w:p>
    <w:p w14:paraId="37BBD840">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⒈按照招标文件中的一切要求，提供投标货物、安装及技术服务，投标总价</w:t>
      </w:r>
    </w:p>
    <w:p w14:paraId="168FEAB4">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元（用阿拉伯数字书写）人民币，明细见投标产品名称数量报价表。</w:t>
      </w:r>
    </w:p>
    <w:p w14:paraId="71CF2F66">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⒉如果我们的响应文件被接受，我们将履行招标文件中规定的每一项要求，按期、按质、按量完成交货和完工任务。</w:t>
      </w:r>
    </w:p>
    <w:p w14:paraId="5DE0A89C">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⒊我们同意按招标文件的规定，本响应文件的有效期为投标截止后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w:t>
      </w:r>
    </w:p>
    <w:p w14:paraId="36A6D6DB">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⒋我们愿意提供采购人在招标文件中要求的所有资料。</w:t>
      </w:r>
    </w:p>
    <w:p w14:paraId="3301EF69">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⒌我们认为你们有选择或拒绝任何投标者成交的权力。我们理解，最低报价不是成交的唯一条件。</w:t>
      </w:r>
    </w:p>
    <w:p w14:paraId="5E461826">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⒍我们愿按合同法履行自己的全部责任。</w:t>
      </w:r>
    </w:p>
    <w:p w14:paraId="3DE2AF1D">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⒎我方愿意遵守国家有关规定及招标文件中规定的收费标准，承付成交服务费。</w:t>
      </w:r>
    </w:p>
    <w:p w14:paraId="64E8967E">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⒏该项承诺在开标后的全过程中保持有效，不作任何更改和变动。</w:t>
      </w:r>
    </w:p>
    <w:p w14:paraId="7A0CC5C3">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⒐我们同意按招标文件规定，交纳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大写：元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的投标保证金。并同意在确定最终成交供应商、发出成交通知书之后5个工作日内退还我公司的投标保证金。（如因特殊原因，在投标有效期之后确定成交供应商，本承诺依然有效。）</w:t>
      </w:r>
    </w:p>
    <w:p w14:paraId="18016FE3">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⒑综合说明：</w:t>
      </w:r>
    </w:p>
    <w:p w14:paraId="7BD94A9C">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（1）材料的详细技术参数、技术条件、技术标准、拟达到的质量标准和保险期限。</w:t>
      </w:r>
    </w:p>
    <w:p w14:paraId="3D600B9A">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（2）易损件、配件及供应方式。</w:t>
      </w:r>
    </w:p>
    <w:p w14:paraId="1EC834D8">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（3）工程安装计划、组织机构及人员安排。</w:t>
      </w:r>
    </w:p>
    <w:p w14:paraId="2DCB5224">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（5）技术服务。</w:t>
      </w:r>
    </w:p>
    <w:p w14:paraId="641D6910">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（6）运输方式。</w:t>
      </w:r>
    </w:p>
    <w:p w14:paraId="045C7075">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（7）要求项目单位提供的配合。</w:t>
      </w:r>
    </w:p>
    <w:p w14:paraId="4D258778">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（8）对招标文件内容有不同意见的偏离说明。</w:t>
      </w:r>
    </w:p>
    <w:p w14:paraId="77F8D925">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（9）其它。</w:t>
      </w:r>
    </w:p>
    <w:p w14:paraId="6C31B8B0">
      <w:pPr>
        <w:spacing w:line="360" w:lineRule="auto"/>
        <w:ind w:firstLine="560"/>
        <w:outlineLvl w:val="1"/>
        <w:rPr>
          <w:rFonts w:hint="eastAsia" w:ascii="仿宋" w:hAnsi="仿宋" w:eastAsia="仿宋" w:cs="仿宋"/>
          <w:color w:val="auto"/>
          <w:sz w:val="24"/>
          <w:szCs w:val="24"/>
          <w:highlight w:val="none"/>
        </w:rPr>
      </w:pPr>
      <w:bookmarkStart w:id="289" w:name="_Toc12507"/>
      <w:r>
        <w:rPr>
          <w:rFonts w:hint="eastAsia" w:ascii="仿宋" w:hAnsi="仿宋" w:eastAsia="仿宋" w:cs="仿宋"/>
          <w:color w:val="auto"/>
          <w:sz w:val="24"/>
          <w:szCs w:val="24"/>
          <w:highlight w:val="none"/>
        </w:rPr>
        <w:t>11.所有有关本标书的函电，请按下列地址联系：</w:t>
      </w:r>
      <w:bookmarkEnd w:id="289"/>
    </w:p>
    <w:p w14:paraId="16C33995">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       位：</w:t>
      </w:r>
    </w:p>
    <w:p w14:paraId="4376E157">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p w14:paraId="68A4E02D">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p w14:paraId="121BE2A7">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p w14:paraId="07704520">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 政 编 码：</w:t>
      </w:r>
    </w:p>
    <w:p w14:paraId="449559EF">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p w14:paraId="0DB68FCD">
      <w:pPr>
        <w:spacing w:line="360" w:lineRule="auto"/>
        <w:ind w:firstLine="560"/>
        <w:outlineLvl w:val="9"/>
        <w:rPr>
          <w:rFonts w:hint="eastAsia" w:ascii="仿宋" w:hAnsi="仿宋" w:eastAsia="仿宋" w:cs="仿宋"/>
          <w:color w:val="auto"/>
          <w:sz w:val="24"/>
          <w:szCs w:val="24"/>
          <w:highlight w:val="none"/>
        </w:rPr>
      </w:pPr>
    </w:p>
    <w:p w14:paraId="1ED420F2">
      <w:pPr>
        <w:pStyle w:val="43"/>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投标单位名称</w:t>
      </w:r>
      <w:r>
        <w:rPr>
          <w:rFonts w:hint="eastAsia" w:ascii="仿宋" w:hAnsi="仿宋" w:eastAsia="仿宋" w:cs="仿宋"/>
          <w:color w:val="auto"/>
          <w:sz w:val="24"/>
          <w:szCs w:val="24"/>
          <w:highlight w:val="none"/>
        </w:rPr>
        <w:t>：（公章）</w:t>
      </w:r>
    </w:p>
    <w:p w14:paraId="402281F9">
      <w:pPr>
        <w:pStyle w:val="43"/>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法定代表授权委托人：（签字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w:t>
      </w:r>
    </w:p>
    <w:p w14:paraId="16DC3CB2">
      <w:pPr>
        <w:pStyle w:val="43"/>
        <w:spacing w:line="360" w:lineRule="auto"/>
        <w:ind w:firstLine="1200" w:firstLineChars="5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0075E45D">
      <w:pPr>
        <w:pStyle w:val="43"/>
        <w:spacing w:line="360" w:lineRule="auto"/>
        <w:ind w:left="0" w:leftChars="0" w:firstLine="0" w:firstLineChars="0"/>
        <w:jc w:val="center"/>
        <w:outlineLvl w:val="1"/>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290" w:name="_Toc18422"/>
      <w:bookmarkStart w:id="291" w:name="_Toc56170394"/>
      <w:bookmarkStart w:id="292" w:name="_Toc28467"/>
      <w:bookmarkStart w:id="293" w:name="_Toc26466"/>
      <w:bookmarkStart w:id="294" w:name="_Toc61184637"/>
      <w:r>
        <w:rPr>
          <w:rStyle w:val="78"/>
          <w:rFonts w:hint="eastAsia"/>
        </w:rPr>
        <w:t>附件二、法定代表人资格证明书</w:t>
      </w:r>
      <w:bookmarkEnd w:id="290"/>
      <w:bookmarkEnd w:id="291"/>
      <w:bookmarkEnd w:id="292"/>
      <w:bookmarkEnd w:id="293"/>
      <w:bookmarkEnd w:id="294"/>
    </w:p>
    <w:p w14:paraId="61DD9006">
      <w:pPr>
        <w:spacing w:line="360" w:lineRule="auto"/>
        <w:outlineLvl w:val="9"/>
        <w:rPr>
          <w:rFonts w:hint="eastAsia" w:ascii="仿宋" w:hAnsi="仿宋" w:eastAsia="仿宋" w:cs="仿宋"/>
          <w:color w:val="auto"/>
          <w:szCs w:val="21"/>
          <w:highlight w:val="none"/>
        </w:rPr>
      </w:pPr>
    </w:p>
    <w:p w14:paraId="1AADFCAF">
      <w:pPr>
        <w:pStyle w:val="43"/>
        <w:spacing w:line="360" w:lineRule="auto"/>
        <w:ind w:firstLine="560"/>
        <w:outlineLvl w:val="9"/>
        <w:rPr>
          <w:rFonts w:hint="eastAsia" w:ascii="仿宋" w:hAnsi="仿宋" w:eastAsia="仿宋" w:cs="仿宋"/>
          <w:color w:val="auto"/>
          <w:sz w:val="24"/>
          <w:szCs w:val="18"/>
          <w:highlight w:val="none"/>
          <w:u w:val="single"/>
        </w:rPr>
      </w:pPr>
      <w:r>
        <w:rPr>
          <w:rFonts w:hint="eastAsia" w:ascii="仿宋" w:hAnsi="仿宋" w:eastAsia="仿宋" w:cs="仿宋"/>
          <w:color w:val="auto"/>
          <w:sz w:val="24"/>
          <w:szCs w:val="18"/>
          <w:highlight w:val="none"/>
        </w:rPr>
        <w:t>单位名称：</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w:t>
      </w:r>
    </w:p>
    <w:p w14:paraId="6F9171FB">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地    址：</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w:t>
      </w:r>
    </w:p>
    <w:p w14:paraId="4BA93DBA">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姓    名：</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性别：</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年龄：</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职务：</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w:t>
      </w:r>
    </w:p>
    <w:p w14:paraId="28312E57">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该同志系</w:t>
      </w:r>
      <w:r>
        <w:rPr>
          <w:rFonts w:hint="eastAsia" w:ascii="仿宋" w:hAnsi="仿宋" w:eastAsia="仿宋" w:cs="仿宋"/>
          <w:color w:val="auto"/>
          <w:sz w:val="24"/>
          <w:szCs w:val="18"/>
          <w:highlight w:val="none"/>
          <w:u w:val="single"/>
        </w:rPr>
        <w:t xml:space="preserve">                                  公司</w:t>
      </w:r>
      <w:r>
        <w:rPr>
          <w:rFonts w:hint="eastAsia" w:ascii="仿宋" w:hAnsi="仿宋" w:eastAsia="仿宋" w:cs="仿宋"/>
          <w:color w:val="auto"/>
          <w:sz w:val="24"/>
          <w:szCs w:val="18"/>
          <w:highlight w:val="none"/>
        </w:rPr>
        <w:t>的法定代表人。为参加本项目，签署上述的文件、进行合同谈判、签署合同和处理与之有关的一切事务。</w:t>
      </w:r>
    </w:p>
    <w:p w14:paraId="3888D328">
      <w:pPr>
        <w:pStyle w:val="43"/>
        <w:spacing w:line="360" w:lineRule="auto"/>
        <w:ind w:firstLine="560"/>
        <w:outlineLvl w:val="9"/>
        <w:rPr>
          <w:rFonts w:hint="eastAsia" w:ascii="仿宋" w:hAnsi="仿宋" w:eastAsia="仿宋" w:cs="仿宋"/>
          <w:color w:val="auto"/>
          <w:sz w:val="24"/>
          <w:szCs w:val="18"/>
          <w:highlight w:val="none"/>
        </w:rPr>
      </w:pPr>
    </w:p>
    <w:p w14:paraId="646F9E20">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特此证明</w:t>
      </w:r>
    </w:p>
    <w:p w14:paraId="4285AA4E">
      <w:pPr>
        <w:pStyle w:val="43"/>
        <w:spacing w:line="360" w:lineRule="auto"/>
        <w:ind w:firstLine="560"/>
        <w:outlineLvl w:val="9"/>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3171825</wp:posOffset>
                </wp:positionH>
                <wp:positionV relativeFrom="paragraph">
                  <wp:posOffset>191770</wp:posOffset>
                </wp:positionV>
                <wp:extent cx="2710180" cy="1793875"/>
                <wp:effectExtent l="12700" t="12700" r="20320" b="22225"/>
                <wp:wrapNone/>
                <wp:docPr id="21" name="圆角矩形 21"/>
                <wp:cNvGraphicFramePr/>
                <a:graphic xmlns:a="http://schemas.openxmlformats.org/drawingml/2006/main">
                  <a:graphicData uri="http://schemas.microsoft.com/office/word/2010/wordprocessingShape">
                    <wps:wsp>
                      <wps:cNvSpPr/>
                      <wps:spPr>
                        <a:xfrm>
                          <a:off x="0" y="0"/>
                          <a:ext cx="2710180" cy="1793875"/>
                        </a:xfrm>
                        <a:prstGeom prst="roundRect">
                          <a:avLst>
                            <a:gd name="adj" fmla="val 4035"/>
                          </a:avLst>
                        </a:prstGeom>
                        <a:noFill/>
                        <a:ln w="25400" cap="flat" cmpd="sng" algn="ctr">
                          <a:solidFill>
                            <a:srgbClr val="000000"/>
                          </a:solidFill>
                          <a:prstDash val="solid"/>
                        </a:ln>
                        <a:effectLst/>
                      </wps:spPr>
                      <wps:txbx>
                        <w:txbxContent>
                          <w:p w14:paraId="79067E75">
                            <w:pPr>
                              <w:pStyle w:val="43"/>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067A163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9.75pt;margin-top:15.1pt;height:141.25pt;width:213.4pt;z-index:251663360;v-text-anchor:middle;mso-width-relative:page;mso-height-relative:page;" filled="f" stroked="t" coordsize="21600,21600" arcsize="0.0403703703703704" o:gfxdata="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WwLJDtYAAAAKAQAA&#10;DwAAAAAAAAABACAAAAAiAAAAZHJzL2Rvd25yZXYueG1sUEsBAhQAFAAAAAgAh07iQHBWKZCNAgAA&#10;BgUAAA4AAAAAAAAAAQAgAAAAJQEAAGRycy9lMm9Eb2MueG1sUEsFBgAAAAAGAAYAWQEAACQGAAAA&#10;AA==&#10;">
                <v:fill on="f" focussize="0,0"/>
                <v:stroke weight="2pt" color="#000000" joinstyle="round"/>
                <v:imagedata o:title=""/>
                <o:lock v:ext="edit" aspectratio="f"/>
                <v:textbox>
                  <w:txbxContent>
                    <w:p w14:paraId="79067E75">
                      <w:pPr>
                        <w:pStyle w:val="43"/>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067A1631">
                      <w:pPr>
                        <w:jc w:val="center"/>
                      </w:pPr>
                    </w:p>
                  </w:txbxContent>
                </v:textbox>
              </v:round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315595</wp:posOffset>
                </wp:positionH>
                <wp:positionV relativeFrom="paragraph">
                  <wp:posOffset>191770</wp:posOffset>
                </wp:positionV>
                <wp:extent cx="2710180" cy="1793875"/>
                <wp:effectExtent l="12700" t="12700" r="20320" b="22225"/>
                <wp:wrapNone/>
                <wp:docPr id="16" name="圆角矩形 16"/>
                <wp:cNvGraphicFramePr/>
                <a:graphic xmlns:a="http://schemas.openxmlformats.org/drawingml/2006/main">
                  <a:graphicData uri="http://schemas.microsoft.com/office/word/2010/wordprocessingShape">
                    <wps:wsp>
                      <wps:cNvSpPr/>
                      <wps:spPr>
                        <a:xfrm>
                          <a:off x="1072515" y="5060315"/>
                          <a:ext cx="2710180" cy="1793875"/>
                        </a:xfrm>
                        <a:prstGeom prst="roundRect">
                          <a:avLst>
                            <a:gd name="adj" fmla="val 4035"/>
                          </a:avLst>
                        </a:prstGeom>
                        <a:noFill/>
                        <a:ln w="25400" cap="flat" cmpd="sng" algn="ctr">
                          <a:solidFill>
                            <a:srgbClr val="000000"/>
                          </a:solidFill>
                          <a:prstDash val="solid"/>
                        </a:ln>
                        <a:effectLst/>
                      </wps:spPr>
                      <wps:txbx>
                        <w:txbxContent>
                          <w:p w14:paraId="67EE5264">
                            <w:pPr>
                              <w:pStyle w:val="43"/>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018852B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85pt;margin-top:15.1pt;height:141.25pt;width:213.4pt;z-index:251662336;v-text-anchor:middle;mso-width-relative:page;mso-height-relative:page;" filled="f" stroked="t" coordsize="21600,21600" arcsize="0.0403703703703704" o:gfxdata="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livSstYAAAAJAQAADwAAAAAAAAABACAAAAAiAAAAZHJzL2Rvd25yZXYueG1sUEsBAhQAFAAA&#10;AAgAh07iQNEAMOmcAgAAEgUAAA4AAAAAAAAAAQAgAAAAJQEAAGRycy9lMm9Eb2MueG1sUEsFBgAA&#10;AAAGAAYAWQEAADMGAAAAAA==&#10;">
                <v:fill on="f" focussize="0,0"/>
                <v:stroke weight="2pt" color="#000000" joinstyle="round"/>
                <v:imagedata o:title=""/>
                <o:lock v:ext="edit" aspectratio="f"/>
                <v:textbox>
                  <w:txbxContent>
                    <w:p w14:paraId="67EE5264">
                      <w:pPr>
                        <w:pStyle w:val="43"/>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018852B5">
                      <w:pPr>
                        <w:jc w:val="center"/>
                      </w:pPr>
                    </w:p>
                  </w:txbxContent>
                </v:textbox>
              </v:roundrect>
            </w:pict>
          </mc:Fallback>
        </mc:AlternateContent>
      </w:r>
    </w:p>
    <w:p w14:paraId="3521E42E">
      <w:pPr>
        <w:pStyle w:val="43"/>
        <w:spacing w:line="360" w:lineRule="auto"/>
        <w:ind w:firstLine="560"/>
        <w:jc w:val="left"/>
        <w:outlineLvl w:val="9"/>
        <w:rPr>
          <w:rFonts w:hint="eastAsia" w:ascii="仿宋" w:hAnsi="仿宋" w:eastAsia="仿宋" w:cs="仿宋"/>
          <w:color w:val="auto"/>
          <w:highlight w:val="none"/>
        </w:rPr>
      </w:pPr>
    </w:p>
    <w:p w14:paraId="49008968">
      <w:pPr>
        <w:pStyle w:val="43"/>
        <w:spacing w:line="360" w:lineRule="auto"/>
        <w:ind w:firstLine="560"/>
        <w:outlineLvl w:val="9"/>
        <w:rPr>
          <w:rFonts w:hint="eastAsia" w:ascii="仿宋" w:hAnsi="仿宋" w:eastAsia="仿宋" w:cs="仿宋"/>
          <w:color w:val="auto"/>
          <w:highlight w:val="none"/>
        </w:rPr>
      </w:pPr>
    </w:p>
    <w:p w14:paraId="33256EF2">
      <w:pPr>
        <w:pStyle w:val="43"/>
        <w:spacing w:line="360" w:lineRule="auto"/>
        <w:ind w:firstLine="560"/>
        <w:outlineLvl w:val="9"/>
        <w:rPr>
          <w:rFonts w:hint="eastAsia" w:ascii="仿宋" w:hAnsi="仿宋" w:eastAsia="仿宋" w:cs="仿宋"/>
          <w:color w:val="auto"/>
          <w:highlight w:val="none"/>
        </w:rPr>
      </w:pPr>
    </w:p>
    <w:p w14:paraId="75944DD4">
      <w:pPr>
        <w:pStyle w:val="43"/>
        <w:spacing w:line="360" w:lineRule="auto"/>
        <w:ind w:firstLine="4200" w:firstLineChars="1500"/>
        <w:outlineLvl w:val="9"/>
        <w:rPr>
          <w:rFonts w:hint="eastAsia" w:ascii="仿宋" w:hAnsi="仿宋" w:eastAsia="仿宋" w:cs="仿宋"/>
          <w:color w:val="auto"/>
          <w:highlight w:val="none"/>
        </w:rPr>
      </w:pPr>
    </w:p>
    <w:p w14:paraId="45ED7E65">
      <w:pPr>
        <w:pStyle w:val="43"/>
        <w:spacing w:line="360" w:lineRule="auto"/>
        <w:ind w:firstLine="4200" w:firstLineChars="1500"/>
        <w:outlineLvl w:val="9"/>
        <w:rPr>
          <w:rFonts w:hint="eastAsia" w:ascii="仿宋" w:hAnsi="仿宋" w:eastAsia="仿宋" w:cs="仿宋"/>
          <w:color w:val="auto"/>
          <w:highlight w:val="none"/>
        </w:rPr>
      </w:pPr>
    </w:p>
    <w:p w14:paraId="58D8DB8A">
      <w:pPr>
        <w:pStyle w:val="43"/>
        <w:spacing w:line="360" w:lineRule="auto"/>
        <w:jc w:val="left"/>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投标单位名称</w:t>
      </w:r>
      <w:r>
        <w:rPr>
          <w:rFonts w:hint="eastAsia" w:ascii="仿宋" w:hAnsi="仿宋" w:eastAsia="仿宋" w:cs="仿宋"/>
          <w:color w:val="auto"/>
          <w:sz w:val="24"/>
          <w:szCs w:val="18"/>
          <w:highlight w:val="none"/>
        </w:rPr>
        <w:t>：（公章）</w:t>
      </w:r>
    </w:p>
    <w:p w14:paraId="58CC9F6F">
      <w:pPr>
        <w:pStyle w:val="43"/>
        <w:spacing w:line="360" w:lineRule="auto"/>
        <w:jc w:val="left"/>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法定代表人：（签字</w:t>
      </w:r>
      <w:r>
        <w:rPr>
          <w:rFonts w:hint="eastAsia" w:ascii="仿宋" w:hAnsi="仿宋" w:eastAsia="仿宋" w:cs="仿宋"/>
          <w:color w:val="auto"/>
          <w:sz w:val="24"/>
          <w:szCs w:val="18"/>
          <w:highlight w:val="none"/>
          <w:lang w:val="en-US" w:eastAsia="zh-CN"/>
        </w:rPr>
        <w:t>、盖章</w:t>
      </w:r>
      <w:r>
        <w:rPr>
          <w:rFonts w:hint="eastAsia" w:ascii="仿宋" w:hAnsi="仿宋" w:eastAsia="仿宋" w:cs="仿宋"/>
          <w:color w:val="auto"/>
          <w:sz w:val="24"/>
          <w:szCs w:val="18"/>
          <w:highlight w:val="none"/>
        </w:rPr>
        <w:t>）</w:t>
      </w:r>
    </w:p>
    <w:p w14:paraId="79E5C0F0">
      <w:pPr>
        <w:pStyle w:val="43"/>
        <w:spacing w:line="360" w:lineRule="auto"/>
        <w:ind w:firstLine="1200" w:firstLineChars="500"/>
        <w:jc w:val="left"/>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年      月     日</w:t>
      </w:r>
    </w:p>
    <w:p w14:paraId="72EDEEFC">
      <w:pPr>
        <w:pStyle w:val="43"/>
        <w:spacing w:line="360" w:lineRule="auto"/>
        <w:ind w:firstLine="3000" w:firstLineChars="15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0"/>
          <w:szCs w:val="18"/>
          <w:highlight w:val="none"/>
        </w:rPr>
        <w:br w:type="page"/>
      </w:r>
      <w:bookmarkStart w:id="295" w:name="_Toc56170395"/>
      <w:bookmarkStart w:id="296" w:name="_Toc3373"/>
      <w:bookmarkStart w:id="297" w:name="_Toc10811"/>
      <w:bookmarkStart w:id="298" w:name="_Toc61184638"/>
      <w:bookmarkStart w:id="299" w:name="_Toc18119"/>
      <w:r>
        <w:rPr>
          <w:rStyle w:val="78"/>
          <w:rFonts w:hint="eastAsia"/>
        </w:rPr>
        <w:t>附件三、法定代表人授权委托书</w:t>
      </w:r>
      <w:bookmarkEnd w:id="295"/>
      <w:bookmarkEnd w:id="296"/>
      <w:bookmarkEnd w:id="297"/>
      <w:bookmarkEnd w:id="298"/>
      <w:bookmarkEnd w:id="299"/>
    </w:p>
    <w:p w14:paraId="457DEE33">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本授权委托书声明：我</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（姓名）系</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w:t>
      </w:r>
      <w:r>
        <w:rPr>
          <w:rFonts w:hint="eastAsia" w:ascii="仿宋" w:hAnsi="仿宋" w:eastAsia="仿宋" w:cs="仿宋"/>
          <w:color w:val="auto"/>
          <w:sz w:val="24"/>
          <w:szCs w:val="18"/>
          <w:highlight w:val="none"/>
          <w:lang w:val="en-US" w:eastAsia="zh-CN"/>
        </w:rPr>
        <w:t>投标人</w:t>
      </w:r>
      <w:r>
        <w:rPr>
          <w:rFonts w:hint="eastAsia" w:ascii="仿宋" w:hAnsi="仿宋" w:eastAsia="仿宋" w:cs="仿宋"/>
          <w:color w:val="auto"/>
          <w:sz w:val="24"/>
          <w:szCs w:val="18"/>
          <w:highlight w:val="none"/>
        </w:rPr>
        <w:t>名称）的法定代表人，现授权委托</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（单位名称）的</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（姓名）为我公司签署本项目投标文件的法定代表人授权委托代理人，全权代表我单位处理本次投标的有关事宜。代理人所签署的一切有关文件，我单位均予承认。</w:t>
      </w:r>
    </w:p>
    <w:p w14:paraId="09FBB4C7">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代理人无转委托权，特此声明！</w:t>
      </w:r>
    </w:p>
    <w:p w14:paraId="073F7DE5">
      <w:pPr>
        <w:pStyle w:val="43"/>
        <w:spacing w:line="360" w:lineRule="auto"/>
        <w:ind w:firstLine="560"/>
        <w:outlineLvl w:val="9"/>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3104515</wp:posOffset>
                </wp:positionH>
                <wp:positionV relativeFrom="paragraph">
                  <wp:posOffset>38735</wp:posOffset>
                </wp:positionV>
                <wp:extent cx="2710180" cy="1588770"/>
                <wp:effectExtent l="12700" t="12700" r="20320" b="13970"/>
                <wp:wrapNone/>
                <wp:docPr id="17" name="圆角矩形 17"/>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noFill/>
                        <a:ln w="25400" cap="flat" cmpd="sng" algn="ctr">
                          <a:solidFill>
                            <a:srgbClr val="000000"/>
                          </a:solidFill>
                          <a:prstDash val="solid"/>
                        </a:ln>
                        <a:effectLst/>
                      </wps:spPr>
                      <wps:txbx>
                        <w:txbxContent>
                          <w:p w14:paraId="0B66DD42">
                            <w:pPr>
                              <w:pStyle w:val="43"/>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被授权人身份证正面</w:t>
                            </w:r>
                          </w:p>
                          <w:p w14:paraId="19DC877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4.45pt;margin-top:3.05pt;height:125.1pt;width:213.4pt;z-index:251665408;v-text-anchor:middle;mso-width-relative:page;mso-height-relative:page;" filled="f" stroked="t" coordsize="21600,21600" arcsize="0.0403703703703704" o:gfxdata="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7Xdd81gAAAAkB&#10;AAAPAAAAAAAAAAEAIAAAACIAAABkcnMvZG93bnJldi54bWxQSwECFAAUAAAACACHTuJAfOXys48C&#10;AAAGBQAADgAAAAAAAAABACAAAAAlAQAAZHJzL2Uyb0RvYy54bWxQSwUGAAAAAAYABgBZAQAAJgYA&#10;AAAA&#10;">
                <v:fill on="f" focussize="0,0"/>
                <v:stroke weight="2pt" color="#000000" joinstyle="round"/>
                <v:imagedata o:title=""/>
                <o:lock v:ext="edit" aspectratio="f"/>
                <v:textbox>
                  <w:txbxContent>
                    <w:p w14:paraId="0B66DD42">
                      <w:pPr>
                        <w:pStyle w:val="43"/>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被授权人身份证正面</w:t>
                      </w:r>
                    </w:p>
                    <w:p w14:paraId="19DC8775">
                      <w:pPr>
                        <w:jc w:val="center"/>
                      </w:pPr>
                    </w:p>
                  </w:txbxContent>
                </v:textbox>
              </v:round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248285</wp:posOffset>
                </wp:positionH>
                <wp:positionV relativeFrom="paragraph">
                  <wp:posOffset>38735</wp:posOffset>
                </wp:positionV>
                <wp:extent cx="2710180" cy="1588770"/>
                <wp:effectExtent l="12700" t="12700" r="20320" b="13970"/>
                <wp:wrapNone/>
                <wp:docPr id="18" name="圆角矩形 18"/>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noFill/>
                        <a:ln w="25400" cap="flat" cmpd="sng" algn="ctr">
                          <a:solidFill>
                            <a:srgbClr val="000000"/>
                          </a:solidFill>
                          <a:prstDash val="solid"/>
                        </a:ln>
                        <a:effectLst/>
                      </wps:spPr>
                      <wps:txbx>
                        <w:txbxContent>
                          <w:p w14:paraId="43DDD2DB">
                            <w:pPr>
                              <w:pStyle w:val="43"/>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7D8E918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55pt;margin-top:3.05pt;height:125.1pt;width:213.4pt;z-index:251664384;v-text-anchor:middle;mso-width-relative:page;mso-height-relative:page;" filled="f" stroked="t" coordsize="21600,21600" arcsize="0.0403703703703704" o:gfxdata="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gnZwl1gAAAAgB&#10;AAAPAAAAAAAAAAEAIAAAACIAAABkcnMvZG93bnJldi54bWxQSwECFAAUAAAACACHTuJANvF5A48C&#10;AAAGBQAADgAAAAAAAAABACAAAAAlAQAAZHJzL2Uyb0RvYy54bWxQSwUGAAAAAAYABgBZAQAAJgYA&#10;AAAA&#10;">
                <v:fill on="f" focussize="0,0"/>
                <v:stroke weight="2pt" color="#000000" joinstyle="round"/>
                <v:imagedata o:title=""/>
                <o:lock v:ext="edit" aspectratio="f"/>
                <v:textbox>
                  <w:txbxContent>
                    <w:p w14:paraId="43DDD2DB">
                      <w:pPr>
                        <w:pStyle w:val="43"/>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7D8E9184">
                      <w:pPr>
                        <w:jc w:val="center"/>
                      </w:pPr>
                    </w:p>
                  </w:txbxContent>
                </v:textbox>
              </v:roundrect>
            </w:pict>
          </mc:Fallback>
        </mc:AlternateContent>
      </w:r>
      <w:r>
        <w:rPr>
          <w:rFonts w:hint="eastAsia" w:ascii="仿宋" w:hAnsi="仿宋" w:eastAsia="仿宋" w:cs="仿宋"/>
          <w:color w:val="auto"/>
          <w:highlight w:val="none"/>
        </w:rPr>
        <w:t xml:space="preserve"> </w:t>
      </w:r>
    </w:p>
    <w:p w14:paraId="4098653F">
      <w:pPr>
        <w:pStyle w:val="43"/>
        <w:spacing w:line="360" w:lineRule="auto"/>
        <w:ind w:firstLine="560"/>
        <w:outlineLvl w:val="9"/>
        <w:rPr>
          <w:rFonts w:hint="eastAsia" w:ascii="仿宋" w:hAnsi="仿宋" w:eastAsia="仿宋" w:cs="仿宋"/>
          <w:color w:val="auto"/>
          <w:highlight w:val="none"/>
        </w:rPr>
      </w:pPr>
    </w:p>
    <w:p w14:paraId="087ADB67">
      <w:pPr>
        <w:pStyle w:val="43"/>
        <w:spacing w:line="360" w:lineRule="auto"/>
        <w:ind w:firstLine="560"/>
        <w:outlineLvl w:val="9"/>
        <w:rPr>
          <w:rFonts w:hint="eastAsia" w:ascii="仿宋" w:hAnsi="仿宋" w:eastAsia="仿宋" w:cs="仿宋"/>
          <w:color w:val="auto"/>
          <w:highlight w:val="none"/>
        </w:rPr>
      </w:pPr>
    </w:p>
    <w:p w14:paraId="2C065F4F">
      <w:pPr>
        <w:pStyle w:val="43"/>
        <w:spacing w:line="360" w:lineRule="auto"/>
        <w:ind w:firstLine="560"/>
        <w:outlineLvl w:val="9"/>
        <w:rPr>
          <w:rFonts w:hint="eastAsia" w:ascii="仿宋" w:hAnsi="仿宋" w:eastAsia="仿宋" w:cs="仿宋"/>
          <w:color w:val="auto"/>
          <w:highlight w:val="none"/>
        </w:rPr>
      </w:pPr>
    </w:p>
    <w:p w14:paraId="2B961D40">
      <w:pPr>
        <w:pStyle w:val="43"/>
        <w:spacing w:line="360" w:lineRule="auto"/>
        <w:ind w:firstLine="560"/>
        <w:outlineLvl w:val="9"/>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248285</wp:posOffset>
                </wp:positionH>
                <wp:positionV relativeFrom="paragraph">
                  <wp:posOffset>137160</wp:posOffset>
                </wp:positionV>
                <wp:extent cx="2710180" cy="1588770"/>
                <wp:effectExtent l="12700" t="12700" r="20320" b="13970"/>
                <wp:wrapNone/>
                <wp:docPr id="19" name="圆角矩形 19"/>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noFill/>
                        <a:ln w="25400" cap="flat" cmpd="sng" algn="ctr">
                          <a:solidFill>
                            <a:srgbClr val="000000"/>
                          </a:solidFill>
                          <a:prstDash val="solid"/>
                        </a:ln>
                        <a:effectLst/>
                      </wps:spPr>
                      <wps:txbx>
                        <w:txbxContent>
                          <w:p w14:paraId="113ACBD0">
                            <w:pPr>
                              <w:pStyle w:val="43"/>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43A2DA6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55pt;margin-top:10.8pt;height:125.1pt;width:213.4pt;z-index:251666432;v-text-anchor:middle;mso-width-relative:page;mso-height-relative:page;" filled="f" stroked="t" coordsize="21600,21600" arcsize="0.0403703703703704" o:gfxdata="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Ibjs61gAAAAkB&#10;AAAPAAAAAAAAAAEAIAAAACIAAABkcnMvZG93bnJldi54bWxQSwECFAAUAAAACACHTuJAIsLNxI8C&#10;AAAGBQAADgAAAAAAAAABACAAAAAlAQAAZHJzL2Uyb0RvYy54bWxQSwUGAAAAAAYABgBZAQAAJgYA&#10;AAAA&#10;">
                <v:fill on="f" focussize="0,0"/>
                <v:stroke weight="2pt" color="#000000" joinstyle="round"/>
                <v:imagedata o:title=""/>
                <o:lock v:ext="edit" aspectratio="f"/>
                <v:textbox>
                  <w:txbxContent>
                    <w:p w14:paraId="113ACBD0">
                      <w:pPr>
                        <w:pStyle w:val="43"/>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43A2DA6B">
                      <w:pPr>
                        <w:jc w:val="center"/>
                      </w:pPr>
                    </w:p>
                  </w:txbxContent>
                </v:textbox>
              </v:round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3104515</wp:posOffset>
                </wp:positionH>
                <wp:positionV relativeFrom="paragraph">
                  <wp:posOffset>137160</wp:posOffset>
                </wp:positionV>
                <wp:extent cx="2710180" cy="1588770"/>
                <wp:effectExtent l="12700" t="12700" r="20320" b="13970"/>
                <wp:wrapNone/>
                <wp:docPr id="20" name="圆角矩形 20"/>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noFill/>
                        <a:ln w="25400" cap="flat" cmpd="sng" algn="ctr">
                          <a:solidFill>
                            <a:srgbClr val="000000"/>
                          </a:solidFill>
                          <a:prstDash val="solid"/>
                        </a:ln>
                        <a:effectLst/>
                      </wps:spPr>
                      <wps:txbx>
                        <w:txbxContent>
                          <w:p w14:paraId="5F1D5DE4">
                            <w:pPr>
                              <w:pStyle w:val="43"/>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被授权人身份证反面</w:t>
                            </w:r>
                          </w:p>
                          <w:p w14:paraId="5E4FBC4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4.45pt;margin-top:10.8pt;height:125.1pt;width:213.4pt;z-index:251667456;v-text-anchor:middle;mso-width-relative:page;mso-height-relative:page;" filled="f" stroked="t" coordsize="21600,21600" arcsize="0.0403703703703704" o:gfxdata="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IW6DWAAAACgEA&#10;AA8AAAAAAAAAAQAgAAAAIgAAAGRycy9kb3ducmV2LnhtbFBLAQIUABQAAAAIAIdO4kAB1kqmjgIA&#10;AAYFAAAOAAAAAAAAAAEAIAAAACUBAABkcnMvZTJvRG9jLnhtbFBLBQYAAAAABgAGAFkBAAAlBgAA&#10;AAA=&#10;">
                <v:fill on="f" focussize="0,0"/>
                <v:stroke weight="2pt" color="#000000" joinstyle="round"/>
                <v:imagedata o:title=""/>
                <o:lock v:ext="edit" aspectratio="f"/>
                <v:textbox>
                  <w:txbxContent>
                    <w:p w14:paraId="5F1D5DE4">
                      <w:pPr>
                        <w:pStyle w:val="43"/>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被授权人身份证反面</w:t>
                      </w:r>
                    </w:p>
                    <w:p w14:paraId="5E4FBC4F">
                      <w:pPr>
                        <w:jc w:val="center"/>
                      </w:pPr>
                    </w:p>
                  </w:txbxContent>
                </v:textbox>
              </v:roundrect>
            </w:pict>
          </mc:Fallback>
        </mc:AlternateContent>
      </w:r>
    </w:p>
    <w:p w14:paraId="491818B2">
      <w:pPr>
        <w:pStyle w:val="43"/>
        <w:spacing w:line="360" w:lineRule="auto"/>
        <w:ind w:firstLine="560"/>
        <w:outlineLvl w:val="9"/>
        <w:rPr>
          <w:rFonts w:hint="eastAsia" w:ascii="仿宋" w:hAnsi="仿宋" w:eastAsia="仿宋" w:cs="仿宋"/>
          <w:color w:val="auto"/>
          <w:highlight w:val="none"/>
        </w:rPr>
      </w:pPr>
    </w:p>
    <w:p w14:paraId="59E548FB">
      <w:pPr>
        <w:pStyle w:val="43"/>
        <w:spacing w:line="360" w:lineRule="auto"/>
        <w:ind w:firstLine="560"/>
        <w:outlineLvl w:val="9"/>
        <w:rPr>
          <w:rFonts w:hint="eastAsia" w:ascii="仿宋" w:hAnsi="仿宋" w:eastAsia="仿宋" w:cs="仿宋"/>
          <w:color w:val="auto"/>
          <w:highlight w:val="none"/>
        </w:rPr>
      </w:pPr>
    </w:p>
    <w:p w14:paraId="446BA704">
      <w:pPr>
        <w:pStyle w:val="43"/>
        <w:spacing w:line="360" w:lineRule="auto"/>
        <w:ind w:firstLine="0" w:firstLineChars="0"/>
        <w:outlineLvl w:val="9"/>
        <w:rPr>
          <w:rFonts w:hint="eastAsia" w:ascii="仿宋" w:hAnsi="仿宋" w:eastAsia="仿宋" w:cs="仿宋"/>
          <w:color w:val="auto"/>
          <w:highlight w:val="none"/>
        </w:rPr>
      </w:pPr>
    </w:p>
    <w:p w14:paraId="24315FCE">
      <w:pPr>
        <w:pStyle w:val="43"/>
        <w:spacing w:line="360" w:lineRule="auto"/>
        <w:ind w:firstLine="0" w:firstLineChars="0"/>
        <w:outlineLvl w:val="9"/>
        <w:rPr>
          <w:rFonts w:hint="eastAsia" w:ascii="仿宋" w:hAnsi="仿宋" w:eastAsia="仿宋" w:cs="仿宋"/>
          <w:color w:val="auto"/>
          <w:highlight w:val="none"/>
        </w:rPr>
      </w:pPr>
    </w:p>
    <w:p w14:paraId="47869677">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代理人：姓名：</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性别：</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年龄：</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w:t>
      </w:r>
    </w:p>
    <w:p w14:paraId="0B7BF1AF">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身份证号码：</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职务：</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w:t>
      </w:r>
    </w:p>
    <w:p w14:paraId="0EB09E67">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投标人名称</w:t>
      </w:r>
      <w:r>
        <w:rPr>
          <w:rFonts w:hint="eastAsia" w:ascii="仿宋" w:hAnsi="仿宋" w:eastAsia="仿宋" w:cs="仿宋"/>
          <w:color w:val="auto"/>
          <w:sz w:val="24"/>
          <w:szCs w:val="18"/>
          <w:highlight w:val="none"/>
        </w:rPr>
        <w:t>：</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（盖章）</w:t>
      </w:r>
    </w:p>
    <w:p w14:paraId="6628355B">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法定代表人</w:t>
      </w:r>
      <w:r>
        <w:rPr>
          <w:rFonts w:hint="eastAsia" w:ascii="仿宋" w:hAnsi="仿宋" w:eastAsia="仿宋" w:cs="仿宋"/>
          <w:color w:val="auto"/>
          <w:sz w:val="24"/>
          <w:szCs w:val="18"/>
          <w:highlight w:val="none"/>
          <w:lang w:eastAsia="zh-CN"/>
        </w:rPr>
        <w:t>、</w:t>
      </w:r>
      <w:r>
        <w:rPr>
          <w:rFonts w:hint="eastAsia" w:ascii="仿宋" w:hAnsi="仿宋" w:eastAsia="仿宋" w:cs="仿宋"/>
          <w:color w:val="auto"/>
          <w:sz w:val="24"/>
          <w:szCs w:val="18"/>
          <w:highlight w:val="none"/>
        </w:rPr>
        <w:t>法定代表授权委托人：</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（签字</w:t>
      </w:r>
      <w:r>
        <w:rPr>
          <w:rFonts w:hint="eastAsia" w:ascii="仿宋" w:hAnsi="仿宋" w:eastAsia="仿宋" w:cs="仿宋"/>
          <w:color w:val="auto"/>
          <w:sz w:val="24"/>
          <w:szCs w:val="18"/>
          <w:highlight w:val="none"/>
          <w:lang w:val="en-US" w:eastAsia="zh-CN"/>
        </w:rPr>
        <w:t>或盖章</w:t>
      </w:r>
      <w:r>
        <w:rPr>
          <w:rFonts w:hint="eastAsia" w:ascii="仿宋" w:hAnsi="仿宋" w:eastAsia="仿宋" w:cs="仿宋"/>
          <w:color w:val="auto"/>
          <w:sz w:val="24"/>
          <w:szCs w:val="18"/>
          <w:highlight w:val="none"/>
        </w:rPr>
        <w:t>）</w:t>
      </w:r>
    </w:p>
    <w:p w14:paraId="05DAB0D6">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授权委托日期：</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年</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月</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日</w:t>
      </w:r>
    </w:p>
    <w:p w14:paraId="37D73740">
      <w:pPr>
        <w:pStyle w:val="43"/>
        <w:spacing w:line="360" w:lineRule="auto"/>
        <w:ind w:firstLine="560"/>
        <w:outlineLvl w:val="9"/>
        <w:rPr>
          <w:rFonts w:hint="eastAsia" w:ascii="仿宋" w:hAnsi="仿宋" w:eastAsia="仿宋" w:cs="仿宋"/>
          <w:color w:val="auto"/>
          <w:sz w:val="24"/>
          <w:szCs w:val="18"/>
          <w:highlight w:val="none"/>
        </w:rPr>
      </w:pPr>
    </w:p>
    <w:p w14:paraId="6823B49B">
      <w:pPr>
        <w:jc w:val="center"/>
        <w:outlineLvl w:val="1"/>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300" w:name="_Toc9301"/>
      <w:bookmarkStart w:id="301" w:name="_Toc2020"/>
      <w:bookmarkStart w:id="302" w:name="_Toc61184639"/>
      <w:bookmarkStart w:id="303" w:name="_Toc56170396"/>
      <w:bookmarkStart w:id="304" w:name="_Toc21188"/>
      <w:r>
        <w:rPr>
          <w:rStyle w:val="78"/>
          <w:rFonts w:hint="eastAsia"/>
        </w:rPr>
        <w:t>附件四、关于招标文件的声明函</w:t>
      </w:r>
      <w:bookmarkEnd w:id="300"/>
      <w:bookmarkEnd w:id="301"/>
      <w:bookmarkEnd w:id="302"/>
      <w:bookmarkEnd w:id="303"/>
      <w:bookmarkEnd w:id="304"/>
    </w:p>
    <w:p w14:paraId="62BE2A04">
      <w:pPr>
        <w:adjustRightInd w:val="0"/>
        <w:snapToGrid w:val="0"/>
        <w:spacing w:line="360" w:lineRule="auto"/>
        <w:ind w:firstLine="560" w:firstLineChars="200"/>
        <w:outlineLvl w:val="9"/>
        <w:rPr>
          <w:rFonts w:hint="eastAsia" w:ascii="仿宋" w:hAnsi="仿宋" w:eastAsia="仿宋" w:cs="仿宋"/>
          <w:color w:val="auto"/>
          <w:sz w:val="28"/>
          <w:szCs w:val="28"/>
          <w:highlight w:val="none"/>
        </w:rPr>
      </w:pPr>
    </w:p>
    <w:p w14:paraId="10EE95ED">
      <w:pPr>
        <w:pStyle w:val="43"/>
        <w:spacing w:line="360" w:lineRule="auto"/>
        <w:ind w:left="0" w:leftChars="0" w:firstLine="0" w:firstLineChars="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致：</w:t>
      </w:r>
      <w:r>
        <w:rPr>
          <w:rFonts w:hint="eastAsia" w:ascii="仿宋" w:hAnsi="仿宋" w:eastAsia="仿宋" w:cs="仿宋"/>
          <w:color w:val="auto"/>
          <w:sz w:val="24"/>
          <w:szCs w:val="18"/>
          <w:highlight w:val="none"/>
          <w:lang w:eastAsia="zh-CN"/>
        </w:rPr>
        <w:t>新疆浩瑞兴建设工程项目管理咨询有限公司</w:t>
      </w:r>
      <w:r>
        <w:rPr>
          <w:rFonts w:hint="eastAsia" w:ascii="仿宋" w:hAnsi="仿宋" w:eastAsia="仿宋" w:cs="仿宋"/>
          <w:color w:val="auto"/>
          <w:sz w:val="24"/>
          <w:szCs w:val="18"/>
          <w:highlight w:val="none"/>
        </w:rPr>
        <w:t>：</w:t>
      </w:r>
    </w:p>
    <w:p w14:paraId="18A7F5AD">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为响应你方</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年</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月</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日的</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投标邀请，下述签字人自愿参与投标，提供招标文件技术需求书中规定的</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项目，提交下述文件并声明全部说明是真实的和正确的。下述签字人将就下述文件中存在的虚假或不真实内容对采购代理机构和采购人承担法律责任。</w:t>
      </w:r>
    </w:p>
    <w:p w14:paraId="203E5EC6">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下述签字人证明本资格文件中的内容是真实的和正确的。</w:t>
      </w:r>
    </w:p>
    <w:p w14:paraId="1843C0C6">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下述签字人知道，采购人可能要求其提供进一步的资格材料并同意按采购人的要求提交。</w:t>
      </w:r>
    </w:p>
    <w:p w14:paraId="6455F945">
      <w:pPr>
        <w:pStyle w:val="43"/>
        <w:spacing w:line="360" w:lineRule="auto"/>
        <w:outlineLvl w:val="9"/>
        <w:rPr>
          <w:rFonts w:hint="eastAsia" w:ascii="仿宋" w:hAnsi="仿宋" w:eastAsia="仿宋" w:cs="仿宋"/>
          <w:color w:val="auto"/>
          <w:sz w:val="24"/>
          <w:szCs w:val="18"/>
          <w:highlight w:val="none"/>
          <w:lang w:val="en-US" w:eastAsia="zh-CN"/>
        </w:rPr>
      </w:pPr>
    </w:p>
    <w:p w14:paraId="252D9128">
      <w:pPr>
        <w:pStyle w:val="43"/>
        <w:spacing w:line="360" w:lineRule="auto"/>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投标单位名称</w:t>
      </w:r>
      <w:r>
        <w:rPr>
          <w:rFonts w:hint="eastAsia" w:ascii="仿宋" w:hAnsi="仿宋" w:eastAsia="仿宋" w:cs="仿宋"/>
          <w:color w:val="auto"/>
          <w:sz w:val="24"/>
          <w:szCs w:val="18"/>
          <w:highlight w:val="none"/>
        </w:rPr>
        <w:t>：（公章）</w:t>
      </w:r>
    </w:p>
    <w:p w14:paraId="2A610937">
      <w:pPr>
        <w:pStyle w:val="43"/>
        <w:spacing w:line="360" w:lineRule="auto"/>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法定代表人</w:t>
      </w:r>
      <w:r>
        <w:rPr>
          <w:rFonts w:hint="eastAsia" w:ascii="仿宋" w:hAnsi="仿宋" w:eastAsia="仿宋" w:cs="仿宋"/>
          <w:color w:val="auto"/>
          <w:sz w:val="24"/>
          <w:szCs w:val="18"/>
          <w:highlight w:val="none"/>
          <w:lang w:val="en-US" w:eastAsia="zh-CN"/>
        </w:rPr>
        <w:t>、</w:t>
      </w:r>
      <w:r>
        <w:rPr>
          <w:rFonts w:hint="eastAsia" w:ascii="仿宋" w:hAnsi="仿宋" w:eastAsia="仿宋" w:cs="仿宋"/>
          <w:color w:val="auto"/>
          <w:sz w:val="24"/>
          <w:szCs w:val="18"/>
          <w:highlight w:val="none"/>
        </w:rPr>
        <w:t>法定代表授权委托人：（签字</w:t>
      </w:r>
      <w:r>
        <w:rPr>
          <w:rFonts w:hint="eastAsia" w:ascii="仿宋" w:hAnsi="仿宋" w:eastAsia="仿宋" w:cs="仿宋"/>
          <w:color w:val="auto"/>
          <w:sz w:val="24"/>
          <w:szCs w:val="18"/>
          <w:highlight w:val="none"/>
          <w:lang w:val="en-US" w:eastAsia="zh-CN"/>
        </w:rPr>
        <w:t>或盖章</w:t>
      </w:r>
      <w:r>
        <w:rPr>
          <w:rFonts w:hint="eastAsia" w:ascii="仿宋" w:hAnsi="仿宋" w:eastAsia="仿宋" w:cs="仿宋"/>
          <w:color w:val="auto"/>
          <w:sz w:val="24"/>
          <w:szCs w:val="18"/>
          <w:highlight w:val="none"/>
        </w:rPr>
        <w:t>）</w:t>
      </w:r>
    </w:p>
    <w:p w14:paraId="5939EBE1">
      <w:pPr>
        <w:pStyle w:val="43"/>
        <w:spacing w:line="360" w:lineRule="auto"/>
        <w:ind w:firstLine="1200" w:firstLineChars="50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年      月     日</w:t>
      </w:r>
    </w:p>
    <w:p w14:paraId="25EFE12F">
      <w:pPr>
        <w:jc w:val="center"/>
        <w:outlineLvl w:val="1"/>
        <w:rPr>
          <w:rFonts w:hint="eastAsia" w:ascii="仿宋" w:hAnsi="仿宋" w:eastAsia="仿宋" w:cs="仿宋"/>
          <w:color w:val="auto"/>
          <w:highlight w:val="none"/>
        </w:rPr>
      </w:pPr>
      <w:r>
        <w:rPr>
          <w:rFonts w:hint="eastAsia" w:ascii="仿宋" w:hAnsi="仿宋" w:eastAsia="仿宋" w:cs="仿宋"/>
          <w:color w:val="auto"/>
          <w:sz w:val="20"/>
          <w:szCs w:val="18"/>
          <w:highlight w:val="none"/>
        </w:rPr>
        <w:br w:type="page"/>
      </w:r>
      <w:bookmarkStart w:id="305" w:name="_Toc11755"/>
      <w:bookmarkStart w:id="306" w:name="_Toc29264"/>
      <w:bookmarkStart w:id="307" w:name="_Toc61184640"/>
      <w:bookmarkStart w:id="308" w:name="_Toc56170397"/>
      <w:bookmarkStart w:id="309" w:name="_Toc5174"/>
      <w:r>
        <w:rPr>
          <w:rStyle w:val="78"/>
          <w:rFonts w:hint="eastAsia"/>
        </w:rPr>
        <w:t>附件五、诚信投标承诺书</w:t>
      </w:r>
      <w:bookmarkEnd w:id="305"/>
      <w:bookmarkEnd w:id="306"/>
      <w:bookmarkEnd w:id="307"/>
      <w:bookmarkEnd w:id="308"/>
      <w:bookmarkEnd w:id="309"/>
    </w:p>
    <w:p w14:paraId="5AE7D1D6">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本人以企业法定代表人的身份郑重承诺：</w:t>
      </w:r>
    </w:p>
    <w:p w14:paraId="47FCF52B">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一、招标文件中所提供的一切材料都是真实、有效、合法的；</w:t>
      </w:r>
    </w:p>
    <w:p w14:paraId="52D6E32B">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二、不以他人名义投标或者以其他方式弄虚作假，骗取成交；</w:t>
      </w:r>
    </w:p>
    <w:p w14:paraId="5EB9F64C">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三、不与其他供应商互相串通投标，不排挤其他供应商的公平竞争，不损害供应商的合法权益；</w:t>
      </w:r>
    </w:p>
    <w:p w14:paraId="54A0B086">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四、不与采购人或者采购代理机构串通投标，损害国家利益、社会公共利益或者他人的合法权益；</w:t>
      </w:r>
    </w:p>
    <w:p w14:paraId="17DF8F73">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五、不向采购人或者评标委员会成员行贿以牟取成交；</w:t>
      </w:r>
    </w:p>
    <w:p w14:paraId="6C153F82">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六、如在开标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457C5829">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七、遵守《中华人民共和国政府采购法》、《政府采购货物和服务招标投标管理办法》（财政部87号令）、《财政部关于加强政府采购货物和服务项目价格评审管理的通知》（财库【2007】2号文）和《政府采购非招标采购方式管理办法》（财政部74号令）的规定，保证不进行恶意投诉。</w:t>
      </w:r>
    </w:p>
    <w:p w14:paraId="3F27DC1C">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以上内容我已仔细阅读。如若违反上述承诺或形成恶意投诉，我们自愿接受以下一种或几种处罚：自动放弃成交供应商资格、限制以后投标、记入不良信用档案、没收本次投标保证金，并愿意承担由此引起的其他法律责任。</w:t>
      </w:r>
    </w:p>
    <w:p w14:paraId="2C092312">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投标单位名称</w:t>
      </w:r>
      <w:r>
        <w:rPr>
          <w:rFonts w:hint="eastAsia" w:ascii="仿宋" w:hAnsi="仿宋" w:eastAsia="仿宋" w:cs="仿宋"/>
          <w:color w:val="auto"/>
          <w:sz w:val="24"/>
          <w:szCs w:val="18"/>
          <w:highlight w:val="none"/>
        </w:rPr>
        <w:t>：（公章）</w:t>
      </w:r>
    </w:p>
    <w:p w14:paraId="2D93644C">
      <w:pPr>
        <w:pStyle w:val="43"/>
        <w:spacing w:line="360" w:lineRule="auto"/>
        <w:ind w:firstLine="560"/>
        <w:outlineLvl w:val="1"/>
        <w:rPr>
          <w:rFonts w:hint="eastAsia" w:ascii="仿宋" w:hAnsi="仿宋" w:eastAsia="仿宋" w:cs="仿宋"/>
          <w:color w:val="auto"/>
          <w:sz w:val="24"/>
          <w:szCs w:val="18"/>
          <w:highlight w:val="none"/>
        </w:rPr>
      </w:pPr>
      <w:bookmarkStart w:id="310" w:name="_Toc31981"/>
      <w:r>
        <w:rPr>
          <w:rFonts w:hint="eastAsia" w:ascii="仿宋" w:hAnsi="仿宋" w:eastAsia="仿宋" w:cs="仿宋"/>
          <w:color w:val="auto"/>
          <w:sz w:val="24"/>
          <w:szCs w:val="18"/>
          <w:highlight w:val="none"/>
        </w:rPr>
        <w:t>法定代表人</w:t>
      </w:r>
      <w:r>
        <w:rPr>
          <w:rFonts w:hint="eastAsia" w:ascii="仿宋" w:hAnsi="仿宋" w:eastAsia="仿宋" w:cs="仿宋"/>
          <w:color w:val="auto"/>
          <w:sz w:val="24"/>
          <w:szCs w:val="18"/>
          <w:highlight w:val="none"/>
          <w:lang w:val="en-US" w:eastAsia="zh-CN"/>
        </w:rPr>
        <w:t>、</w:t>
      </w:r>
      <w:r>
        <w:rPr>
          <w:rFonts w:hint="eastAsia" w:ascii="仿宋" w:hAnsi="仿宋" w:eastAsia="仿宋" w:cs="仿宋"/>
          <w:color w:val="auto"/>
          <w:sz w:val="24"/>
          <w:szCs w:val="18"/>
          <w:highlight w:val="none"/>
        </w:rPr>
        <w:t>法定代表授权委托人：（签字</w:t>
      </w:r>
      <w:r>
        <w:rPr>
          <w:rFonts w:hint="eastAsia" w:ascii="仿宋" w:hAnsi="仿宋" w:eastAsia="仿宋" w:cs="仿宋"/>
          <w:color w:val="auto"/>
          <w:sz w:val="24"/>
          <w:szCs w:val="18"/>
          <w:highlight w:val="none"/>
          <w:lang w:val="en-US" w:eastAsia="zh-CN"/>
        </w:rPr>
        <w:t>或盖章</w:t>
      </w:r>
      <w:r>
        <w:rPr>
          <w:rFonts w:hint="eastAsia" w:ascii="仿宋" w:hAnsi="仿宋" w:eastAsia="仿宋" w:cs="仿宋"/>
          <w:color w:val="auto"/>
          <w:sz w:val="24"/>
          <w:szCs w:val="18"/>
          <w:highlight w:val="none"/>
        </w:rPr>
        <w:t>）</w:t>
      </w:r>
      <w:bookmarkEnd w:id="310"/>
    </w:p>
    <w:p w14:paraId="537260C5">
      <w:pPr>
        <w:pStyle w:val="43"/>
        <w:spacing w:line="360" w:lineRule="auto"/>
        <w:ind w:firstLine="1200" w:firstLineChars="500"/>
        <w:jc w:val="both"/>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年      月     日</w:t>
      </w:r>
    </w:p>
    <w:p w14:paraId="18AEC428">
      <w:pPr>
        <w:jc w:val="center"/>
        <w:outlineLvl w:val="9"/>
        <w:rPr>
          <w:rFonts w:hint="eastAsia" w:ascii="仿宋" w:hAnsi="仿宋" w:eastAsia="仿宋" w:cs="仿宋"/>
          <w:color w:val="auto"/>
          <w:sz w:val="28"/>
          <w:szCs w:val="28"/>
          <w:highlight w:val="none"/>
        </w:rPr>
      </w:pPr>
      <w:bookmarkStart w:id="311" w:name="_Toc435087575"/>
      <w:bookmarkStart w:id="312" w:name="_Toc56170398"/>
      <w:bookmarkStart w:id="313" w:name="_Toc61184641"/>
      <w:bookmarkStart w:id="314" w:name="_Toc30642"/>
      <w:bookmarkStart w:id="315" w:name="_Toc29347"/>
    </w:p>
    <w:p w14:paraId="158AAE51">
      <w:pPr>
        <w:jc w:val="center"/>
        <w:outlineLvl w:val="9"/>
        <w:rPr>
          <w:rFonts w:hint="eastAsia" w:ascii="仿宋" w:hAnsi="仿宋" w:eastAsia="仿宋" w:cs="仿宋"/>
          <w:color w:val="auto"/>
          <w:sz w:val="28"/>
          <w:szCs w:val="28"/>
          <w:highlight w:val="none"/>
        </w:rPr>
      </w:pPr>
    </w:p>
    <w:p w14:paraId="636DD592">
      <w:pPr>
        <w:jc w:val="center"/>
        <w:outlineLvl w:val="9"/>
        <w:rPr>
          <w:rFonts w:hint="eastAsia" w:ascii="仿宋" w:hAnsi="仿宋" w:eastAsia="仿宋" w:cs="仿宋"/>
          <w:color w:val="auto"/>
          <w:sz w:val="28"/>
          <w:szCs w:val="28"/>
          <w:highlight w:val="none"/>
        </w:rPr>
      </w:pPr>
    </w:p>
    <w:p w14:paraId="35C8F051">
      <w:pPr>
        <w:jc w:val="center"/>
        <w:outlineLvl w:val="9"/>
        <w:rPr>
          <w:rFonts w:hint="eastAsia" w:ascii="仿宋" w:hAnsi="仿宋" w:eastAsia="仿宋" w:cs="仿宋"/>
          <w:color w:val="auto"/>
          <w:sz w:val="28"/>
          <w:szCs w:val="28"/>
          <w:highlight w:val="none"/>
        </w:rPr>
      </w:pPr>
    </w:p>
    <w:p w14:paraId="311B3192">
      <w:pPr>
        <w:jc w:val="center"/>
        <w:outlineLvl w:val="9"/>
        <w:rPr>
          <w:rFonts w:hint="eastAsia" w:ascii="仿宋" w:hAnsi="仿宋" w:eastAsia="仿宋" w:cs="仿宋"/>
          <w:color w:val="auto"/>
          <w:sz w:val="28"/>
          <w:szCs w:val="28"/>
          <w:highlight w:val="none"/>
        </w:rPr>
      </w:pPr>
    </w:p>
    <w:p w14:paraId="579DB84C">
      <w:pPr>
        <w:pStyle w:val="3"/>
        <w:numPr>
          <w:ilvl w:val="0"/>
          <w:numId w:val="0"/>
        </w:numPr>
        <w:tabs>
          <w:tab w:val="clear" w:pos="720"/>
        </w:tabs>
        <w:bidi w:val="0"/>
        <w:ind w:leftChars="0"/>
        <w:rPr>
          <w:rFonts w:hint="eastAsia" w:ascii="仿宋" w:hAnsi="仿宋" w:eastAsia="仿宋" w:cs="仿宋"/>
          <w:color w:val="auto"/>
          <w:szCs w:val="28"/>
          <w:highlight w:val="none"/>
        </w:rPr>
      </w:pPr>
      <w:bookmarkStart w:id="316" w:name="_Toc5394"/>
      <w:r>
        <w:rPr>
          <w:rFonts w:hint="eastAsia"/>
        </w:rPr>
        <w:t>附件</w:t>
      </w:r>
      <w:bookmarkEnd w:id="311"/>
      <w:r>
        <w:rPr>
          <w:rFonts w:hint="eastAsia"/>
        </w:rPr>
        <w:t>六、供应商反商业贿赂承诺书</w:t>
      </w:r>
      <w:bookmarkEnd w:id="312"/>
      <w:bookmarkEnd w:id="313"/>
      <w:bookmarkEnd w:id="314"/>
      <w:bookmarkEnd w:id="315"/>
      <w:bookmarkEnd w:id="316"/>
    </w:p>
    <w:p w14:paraId="7FE0F71F">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lang w:val="zh-CN"/>
        </w:rPr>
      </w:pPr>
    </w:p>
    <w:p w14:paraId="358CA77A">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none"/>
          <w:lang w:val="en-US" w:eastAsia="zh-CN"/>
        </w:rPr>
        <w:t>项目编</w:t>
      </w:r>
      <w:r>
        <w:rPr>
          <w:rFonts w:hint="eastAsia" w:ascii="仿宋" w:hAnsi="仿宋" w:eastAsia="仿宋" w:cs="仿宋"/>
          <w:color w:val="auto"/>
          <w:kern w:val="0"/>
          <w:sz w:val="24"/>
          <w:szCs w:val="24"/>
          <w:highlight w:val="none"/>
          <w:u w:val="none"/>
        </w:rPr>
        <w:t>号</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项目）招标活动中，我公司承诺如下 ：</w:t>
      </w:r>
    </w:p>
    <w:p w14:paraId="2789D97E">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1、不给予国家工作人员及其亲属各种形式的商业贿赂（包括送礼金礼品、有价证券、购物券、回扣、佣金、咨询费、劳务费、赞助费、宣传费、支付旅游费用、报销各种消费凭证、宴请、娱乐等）；</w:t>
      </w:r>
    </w:p>
    <w:p w14:paraId="4A2BDEDF">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2、不与采购人相互勾结私下协议，弄虚作假，搞假投标、陪标、串通投标，明招暗定，暗箱操作。</w:t>
      </w:r>
    </w:p>
    <w:p w14:paraId="70CC84F5">
      <w:pPr>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3、我公司法人及项目参与人员有亲戚担任业主方副科级以上领导职务时，自愿放弃此次投标权。</w:t>
      </w:r>
    </w:p>
    <w:p w14:paraId="3D0BD9A1">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如有上述行为，一经发现，我公司及项目参与人员愿意按照《政府采购法》、《招投标法》、《反不正当竞争法》的有关规定接受处罚。</w:t>
      </w:r>
    </w:p>
    <w:p w14:paraId="188E12A9">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p>
    <w:p w14:paraId="7BC4ECF6">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投标单位名称</w:t>
      </w:r>
      <w:r>
        <w:rPr>
          <w:rFonts w:hint="eastAsia" w:ascii="仿宋" w:hAnsi="仿宋" w:eastAsia="仿宋" w:cs="仿宋"/>
          <w:color w:val="auto"/>
          <w:sz w:val="24"/>
          <w:szCs w:val="18"/>
          <w:highlight w:val="none"/>
        </w:rPr>
        <w:t>：（公章）</w:t>
      </w:r>
    </w:p>
    <w:p w14:paraId="5CFCE718">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法定代表人</w:t>
      </w:r>
      <w:r>
        <w:rPr>
          <w:rFonts w:hint="eastAsia" w:ascii="仿宋" w:hAnsi="仿宋" w:eastAsia="仿宋" w:cs="仿宋"/>
          <w:color w:val="auto"/>
          <w:sz w:val="24"/>
          <w:szCs w:val="18"/>
          <w:highlight w:val="none"/>
          <w:lang w:val="en-US" w:eastAsia="zh-CN"/>
        </w:rPr>
        <w:t>、</w:t>
      </w:r>
      <w:r>
        <w:rPr>
          <w:rFonts w:hint="eastAsia" w:ascii="仿宋" w:hAnsi="仿宋" w:eastAsia="仿宋" w:cs="仿宋"/>
          <w:color w:val="auto"/>
          <w:sz w:val="24"/>
          <w:szCs w:val="18"/>
          <w:highlight w:val="none"/>
        </w:rPr>
        <w:t>法定代表授权委托人：（签字</w:t>
      </w:r>
      <w:r>
        <w:rPr>
          <w:rFonts w:hint="eastAsia" w:ascii="仿宋" w:hAnsi="仿宋" w:eastAsia="仿宋" w:cs="仿宋"/>
          <w:color w:val="auto"/>
          <w:sz w:val="24"/>
          <w:szCs w:val="18"/>
          <w:highlight w:val="none"/>
          <w:lang w:val="en-US" w:eastAsia="zh-CN"/>
        </w:rPr>
        <w:t>或盖章</w:t>
      </w:r>
      <w:r>
        <w:rPr>
          <w:rFonts w:hint="eastAsia" w:ascii="仿宋" w:hAnsi="仿宋" w:eastAsia="仿宋" w:cs="仿宋"/>
          <w:color w:val="auto"/>
          <w:sz w:val="24"/>
          <w:szCs w:val="18"/>
          <w:highlight w:val="none"/>
        </w:rPr>
        <w:t>）</w:t>
      </w:r>
    </w:p>
    <w:p w14:paraId="1D99DECB">
      <w:pPr>
        <w:pStyle w:val="43"/>
        <w:spacing w:line="360" w:lineRule="auto"/>
        <w:ind w:firstLine="1200" w:firstLineChars="500"/>
        <w:jc w:val="both"/>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年      月     日</w:t>
      </w:r>
    </w:p>
    <w:p w14:paraId="2C49D62B">
      <w:pPr>
        <w:jc w:val="center"/>
        <w:outlineLvl w:val="9"/>
        <w:rPr>
          <w:rFonts w:hint="eastAsia" w:ascii="仿宋" w:hAnsi="仿宋" w:eastAsia="仿宋" w:cs="仿宋"/>
          <w:color w:val="auto"/>
          <w:sz w:val="20"/>
          <w:szCs w:val="18"/>
          <w:highlight w:val="none"/>
        </w:rPr>
      </w:pPr>
      <w:r>
        <w:rPr>
          <w:rFonts w:hint="eastAsia" w:ascii="仿宋" w:hAnsi="仿宋" w:eastAsia="仿宋" w:cs="仿宋"/>
          <w:color w:val="auto"/>
          <w:sz w:val="20"/>
          <w:szCs w:val="18"/>
          <w:highlight w:val="none"/>
        </w:rPr>
        <w:br w:type="page"/>
      </w:r>
      <w:bookmarkStart w:id="317" w:name="_Toc5490"/>
      <w:bookmarkStart w:id="318" w:name="_Toc31315"/>
    </w:p>
    <w:p w14:paraId="4FAE1F66">
      <w:pPr>
        <w:jc w:val="center"/>
        <w:outlineLvl w:val="9"/>
        <w:rPr>
          <w:rFonts w:hint="eastAsia" w:ascii="仿宋" w:hAnsi="仿宋" w:eastAsia="仿宋" w:cs="仿宋"/>
          <w:color w:val="auto"/>
          <w:sz w:val="20"/>
          <w:szCs w:val="18"/>
          <w:highlight w:val="none"/>
        </w:rPr>
      </w:pPr>
    </w:p>
    <w:p w14:paraId="5DEC8DC3">
      <w:pPr>
        <w:pStyle w:val="3"/>
        <w:numPr>
          <w:ilvl w:val="0"/>
          <w:numId w:val="0"/>
        </w:numPr>
        <w:tabs>
          <w:tab w:val="clear" w:pos="720"/>
        </w:tabs>
        <w:bidi w:val="0"/>
        <w:ind w:leftChars="0"/>
        <w:rPr>
          <w:rFonts w:hint="eastAsia" w:ascii="仿宋" w:hAnsi="仿宋" w:eastAsia="仿宋" w:cs="仿宋"/>
          <w:color w:val="auto"/>
          <w:szCs w:val="28"/>
          <w:highlight w:val="none"/>
        </w:rPr>
      </w:pPr>
      <w:bookmarkStart w:id="319" w:name="_Toc9173"/>
      <w:r>
        <w:rPr>
          <w:rFonts w:hint="eastAsia"/>
        </w:rPr>
        <w:t>附件七、中小企业声明函（货物）</w:t>
      </w:r>
      <w:bookmarkEnd w:id="317"/>
      <w:bookmarkEnd w:id="318"/>
      <w:bookmarkEnd w:id="319"/>
    </w:p>
    <w:p w14:paraId="6EE25ED2">
      <w:pPr>
        <w:jc w:val="center"/>
        <w:outlineLvl w:val="9"/>
        <w:rPr>
          <w:rFonts w:hint="eastAsia" w:ascii="仿宋" w:hAnsi="仿宋" w:eastAsia="仿宋" w:cs="仿宋"/>
          <w:color w:val="auto"/>
          <w:sz w:val="28"/>
          <w:szCs w:val="28"/>
          <w:highlight w:val="none"/>
        </w:rPr>
      </w:pPr>
    </w:p>
    <w:p w14:paraId="39B8211E">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7BE52625">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；制造商为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50F76CDB">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；制造商为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16D9E433">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45D2F00E">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42E1FCBB">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51AC1D99">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投标单位名称</w:t>
      </w:r>
      <w:r>
        <w:rPr>
          <w:rFonts w:hint="eastAsia" w:ascii="仿宋" w:hAnsi="仿宋" w:eastAsia="仿宋" w:cs="仿宋"/>
          <w:color w:val="auto"/>
          <w:sz w:val="24"/>
          <w:szCs w:val="18"/>
          <w:highlight w:val="none"/>
        </w:rPr>
        <w:t>：（公章）</w:t>
      </w:r>
    </w:p>
    <w:p w14:paraId="5F245843">
      <w:pPr>
        <w:pStyle w:val="43"/>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 xml:space="preserve"> ……</w:t>
      </w:r>
    </w:p>
    <w:p w14:paraId="17AA59C6">
      <w:pPr>
        <w:pStyle w:val="43"/>
        <w:spacing w:line="360" w:lineRule="auto"/>
        <w:ind w:firstLine="560"/>
        <w:outlineLvl w:val="9"/>
        <w:rPr>
          <w:rFonts w:hint="default"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val="en-US" w:eastAsia="zh-CN"/>
        </w:rPr>
        <w:t xml:space="preserve">                                        </w:t>
      </w:r>
      <w:r>
        <w:rPr>
          <w:rFonts w:hint="eastAsia" w:ascii="仿宋" w:hAnsi="仿宋" w:eastAsia="仿宋" w:cs="仿宋"/>
          <w:b/>
          <w:bCs/>
          <w:color w:val="auto"/>
          <w:sz w:val="24"/>
          <w:szCs w:val="18"/>
          <w:highlight w:val="none"/>
        </w:rPr>
        <w:t xml:space="preserve"> </w:t>
      </w:r>
      <w:r>
        <w:rPr>
          <w:rFonts w:hint="eastAsia" w:ascii="仿宋" w:hAnsi="仿宋" w:eastAsia="仿宋" w:cs="仿宋"/>
          <w:color w:val="auto"/>
          <w:kern w:val="0"/>
          <w:sz w:val="24"/>
          <w:szCs w:val="24"/>
          <w:highlight w:val="none"/>
        </w:rPr>
        <w:t>年      月     日</w:t>
      </w:r>
    </w:p>
    <w:p w14:paraId="6ABA98ED">
      <w:pPr>
        <w:pStyle w:val="43"/>
        <w:spacing w:line="360" w:lineRule="auto"/>
        <w:ind w:firstLine="560"/>
        <w:outlineLvl w:val="9"/>
        <w:rPr>
          <w:rFonts w:hint="eastAsia" w:ascii="仿宋" w:hAnsi="仿宋" w:eastAsia="仿宋" w:cs="仿宋"/>
          <w:b/>
          <w:bCs/>
          <w:color w:val="auto"/>
          <w:sz w:val="24"/>
          <w:szCs w:val="18"/>
          <w:highlight w:val="none"/>
        </w:rPr>
      </w:pPr>
      <w:r>
        <w:rPr>
          <w:rFonts w:hint="eastAsia" w:ascii="仿宋" w:hAnsi="仿宋" w:eastAsia="仿宋" w:cs="仿宋"/>
          <w:b/>
          <w:bCs/>
          <w:color w:val="auto"/>
          <w:sz w:val="24"/>
          <w:szCs w:val="18"/>
          <w:highlight w:val="none"/>
        </w:rPr>
        <w:t>注：</w:t>
      </w:r>
      <w:r>
        <w:rPr>
          <w:rFonts w:hint="eastAsia" w:ascii="仿宋" w:hAnsi="仿宋" w:eastAsia="仿宋" w:cs="仿宋"/>
          <w:b/>
          <w:bCs/>
          <w:color w:val="auto"/>
          <w:sz w:val="24"/>
          <w:szCs w:val="18"/>
          <w:highlight w:val="none"/>
          <w:lang w:val="en-US" w:eastAsia="zh-CN"/>
        </w:rPr>
        <w:t>1、</w:t>
      </w:r>
      <w:r>
        <w:rPr>
          <w:rFonts w:hint="eastAsia" w:ascii="仿宋" w:hAnsi="仿宋" w:eastAsia="仿宋" w:cs="仿宋"/>
          <w:b/>
          <w:bCs/>
          <w:color w:val="auto"/>
          <w:sz w:val="24"/>
          <w:szCs w:val="18"/>
          <w:highlight w:val="none"/>
        </w:rPr>
        <w:t xml:space="preserve">以上企业，不属于大企业的分支机构，不存在控股股东为大企业的情形，也不存在与大企业的负责人为同一人的情形。 </w:t>
      </w:r>
    </w:p>
    <w:p w14:paraId="3382EC58">
      <w:pPr>
        <w:pStyle w:val="43"/>
        <w:spacing w:line="360" w:lineRule="auto"/>
        <w:ind w:firstLine="560"/>
        <w:outlineLvl w:val="9"/>
        <w:rPr>
          <w:rFonts w:hint="eastAsia" w:ascii="仿宋" w:hAnsi="仿宋" w:eastAsia="仿宋" w:cs="仿宋"/>
          <w:b/>
          <w:bCs/>
          <w:color w:val="auto"/>
          <w:sz w:val="24"/>
          <w:szCs w:val="18"/>
          <w:highlight w:val="none"/>
        </w:rPr>
      </w:pPr>
      <w:r>
        <w:rPr>
          <w:rFonts w:hint="eastAsia" w:ascii="仿宋" w:hAnsi="仿宋" w:eastAsia="仿宋" w:cs="仿宋"/>
          <w:b/>
          <w:bCs/>
          <w:color w:val="auto"/>
          <w:kern w:val="2"/>
          <w:sz w:val="24"/>
          <w:szCs w:val="18"/>
          <w:highlight w:val="none"/>
          <w:lang w:val="en-US" w:eastAsia="zh-CN" w:bidi="ar-SA"/>
        </w:rPr>
        <w:t>2、</w:t>
      </w:r>
      <w:r>
        <w:rPr>
          <w:rFonts w:hint="eastAsia" w:ascii="仿宋" w:hAnsi="仿宋" w:eastAsia="仿宋" w:cs="仿宋"/>
          <w:b/>
          <w:bCs/>
          <w:color w:val="auto"/>
          <w:sz w:val="24"/>
          <w:szCs w:val="18"/>
          <w:highlight w:val="none"/>
        </w:rPr>
        <w:t>本企业对上述声明内容的真实性负责。如有虚假，将依法承担相应责任。</w:t>
      </w:r>
    </w:p>
    <w:p w14:paraId="554214B1">
      <w:pPr>
        <w:pStyle w:val="43"/>
        <w:spacing w:line="360" w:lineRule="auto"/>
        <w:ind w:firstLine="560"/>
        <w:jc w:val="right"/>
        <w:outlineLvl w:val="9"/>
        <w:rPr>
          <w:rFonts w:hint="eastAsia" w:ascii="仿宋" w:hAnsi="仿宋" w:eastAsia="仿宋" w:cs="仿宋"/>
          <w:color w:val="auto"/>
          <w:kern w:val="0"/>
          <w:sz w:val="24"/>
          <w:szCs w:val="24"/>
          <w:highlight w:val="none"/>
        </w:rPr>
      </w:pPr>
    </w:p>
    <w:p w14:paraId="22ADB043">
      <w:pPr>
        <w:pStyle w:val="43"/>
        <w:spacing w:line="360" w:lineRule="auto"/>
        <w:ind w:firstLine="560"/>
        <w:outlineLvl w:val="9"/>
        <w:rPr>
          <w:rFonts w:hint="eastAsia" w:ascii="仿宋" w:hAnsi="仿宋" w:eastAsia="仿宋" w:cs="仿宋"/>
          <w:b/>
          <w:bCs/>
          <w:color w:val="auto"/>
          <w:sz w:val="24"/>
          <w:szCs w:val="18"/>
          <w:highlight w:val="none"/>
        </w:rPr>
      </w:pPr>
    </w:p>
    <w:p w14:paraId="1349ED31">
      <w:pPr>
        <w:pStyle w:val="43"/>
        <w:spacing w:line="360" w:lineRule="auto"/>
        <w:ind w:firstLine="560"/>
        <w:outlineLvl w:val="9"/>
        <w:rPr>
          <w:rFonts w:hint="eastAsia" w:ascii="仿宋" w:hAnsi="仿宋" w:eastAsia="仿宋" w:cs="仿宋"/>
          <w:color w:val="auto"/>
          <w:highlight w:val="none"/>
        </w:rPr>
      </w:pPr>
    </w:p>
    <w:p w14:paraId="071903F4">
      <w:pPr>
        <w:spacing w:line="360" w:lineRule="auto"/>
        <w:ind w:firstLine="622"/>
        <w:outlineLvl w:val="9"/>
        <w:rPr>
          <w:rFonts w:hint="eastAsia" w:ascii="仿宋" w:hAnsi="仿宋" w:eastAsia="仿宋" w:cs="仿宋"/>
          <w:color w:val="auto"/>
          <w:sz w:val="31"/>
          <w:highlight w:val="none"/>
        </w:rPr>
        <w:sectPr>
          <w:footerReference r:id="rId14" w:type="first"/>
          <w:footerReference r:id="rId13" w:type="default"/>
          <w:pgSz w:w="11906" w:h="16838"/>
          <w:pgMar w:top="1440" w:right="1080" w:bottom="1440" w:left="1080" w:header="851" w:footer="851" w:gutter="0"/>
          <w:pgNumType w:fmt="numberInDash"/>
          <w:cols w:space="720" w:num="1"/>
          <w:titlePg/>
          <w:docGrid w:type="linesAndChars" w:linePitch="312" w:charSpace="0"/>
        </w:sectPr>
      </w:pPr>
    </w:p>
    <w:p w14:paraId="5CDBE443">
      <w:pPr>
        <w:spacing w:line="360" w:lineRule="auto"/>
        <w:jc w:val="center"/>
        <w:outlineLvl w:val="9"/>
        <w:rPr>
          <w:rFonts w:hint="eastAsia" w:ascii="仿宋" w:hAnsi="仿宋" w:eastAsia="仿宋" w:cs="仿宋"/>
          <w:color w:val="auto"/>
          <w:sz w:val="28"/>
          <w:szCs w:val="28"/>
          <w:highlight w:val="none"/>
        </w:rPr>
      </w:pPr>
      <w:bookmarkStart w:id="320" w:name="_Toc56170399"/>
      <w:bookmarkStart w:id="321" w:name="_Toc16288"/>
      <w:bookmarkStart w:id="322" w:name="_Toc61184642"/>
      <w:bookmarkStart w:id="323" w:name="_Toc22501"/>
    </w:p>
    <w:p w14:paraId="56622CC2">
      <w:pPr>
        <w:pStyle w:val="3"/>
        <w:numPr>
          <w:ilvl w:val="0"/>
          <w:numId w:val="0"/>
        </w:numPr>
        <w:tabs>
          <w:tab w:val="clear" w:pos="720"/>
        </w:tabs>
        <w:bidi w:val="0"/>
        <w:ind w:leftChars="0"/>
        <w:rPr>
          <w:rFonts w:hint="eastAsia" w:ascii="仿宋" w:hAnsi="仿宋" w:eastAsia="仿宋" w:cs="仿宋"/>
          <w:color w:val="auto"/>
          <w:szCs w:val="24"/>
          <w:highlight w:val="none"/>
        </w:rPr>
      </w:pPr>
      <w:bookmarkStart w:id="324" w:name="_Toc32231"/>
      <w:r>
        <w:rPr>
          <w:rFonts w:hint="eastAsia"/>
        </w:rPr>
        <w:t>附件八、开标一览表</w:t>
      </w:r>
      <w:bookmarkEnd w:id="320"/>
      <w:bookmarkEnd w:id="321"/>
      <w:bookmarkEnd w:id="322"/>
      <w:bookmarkEnd w:id="323"/>
      <w:bookmarkEnd w:id="324"/>
    </w:p>
    <w:p w14:paraId="62B2C85C">
      <w:pPr>
        <w:spacing w:line="360" w:lineRule="auto"/>
        <w:ind w:firstLine="120" w:firstLineChars="50"/>
        <w:outlineLvl w:val="9"/>
        <w:rPr>
          <w:rFonts w:hint="eastAsia" w:ascii="仿宋" w:hAnsi="仿宋" w:eastAsia="仿宋" w:cs="仿宋"/>
          <w:color w:val="auto"/>
          <w:sz w:val="24"/>
          <w:szCs w:val="24"/>
          <w:highlight w:val="none"/>
        </w:rPr>
      </w:pPr>
    </w:p>
    <w:p w14:paraId="4716A7E0">
      <w:pPr>
        <w:spacing w:line="360" w:lineRule="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 xml:space="preserve">项目名称：                  </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单位：元</w:t>
      </w:r>
    </w:p>
    <w:tbl>
      <w:tblPr>
        <w:tblStyle w:val="26"/>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960"/>
        <w:gridCol w:w="944"/>
        <w:gridCol w:w="1327"/>
        <w:gridCol w:w="1874"/>
        <w:gridCol w:w="887"/>
        <w:gridCol w:w="1025"/>
        <w:gridCol w:w="1762"/>
      </w:tblGrid>
      <w:tr w14:paraId="70AA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2" w:hRule="exact"/>
          <w:jc w:val="center"/>
        </w:trPr>
        <w:tc>
          <w:tcPr>
            <w:tcW w:w="780" w:type="dxa"/>
            <w:noWrap w:val="0"/>
            <w:vAlign w:val="center"/>
          </w:tcPr>
          <w:p w14:paraId="49DB0C6A">
            <w:pPr>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60" w:type="dxa"/>
            <w:noWrap w:val="0"/>
            <w:vAlign w:val="center"/>
          </w:tcPr>
          <w:p w14:paraId="3080E2A3">
            <w:pPr>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944" w:type="dxa"/>
            <w:noWrap w:val="0"/>
            <w:vAlign w:val="center"/>
          </w:tcPr>
          <w:p w14:paraId="1A22F40D">
            <w:pPr>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规格和型号</w:t>
            </w:r>
          </w:p>
        </w:tc>
        <w:tc>
          <w:tcPr>
            <w:tcW w:w="1327" w:type="dxa"/>
            <w:noWrap w:val="0"/>
            <w:vAlign w:val="center"/>
          </w:tcPr>
          <w:p w14:paraId="519EB96B">
            <w:pPr>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874" w:type="dxa"/>
            <w:noWrap w:val="0"/>
            <w:vAlign w:val="center"/>
          </w:tcPr>
          <w:p w14:paraId="6CE8285E">
            <w:pPr>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制造商名称及国籍、地区</w:t>
            </w:r>
          </w:p>
        </w:tc>
        <w:tc>
          <w:tcPr>
            <w:tcW w:w="887" w:type="dxa"/>
            <w:noWrap w:val="0"/>
            <w:vAlign w:val="center"/>
          </w:tcPr>
          <w:p w14:paraId="34C316F5">
            <w:pPr>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025" w:type="dxa"/>
            <w:noWrap w:val="0"/>
            <w:vAlign w:val="center"/>
          </w:tcPr>
          <w:p w14:paraId="613B3F67">
            <w:pPr>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供货</w:t>
            </w:r>
            <w:r>
              <w:rPr>
                <w:rFonts w:hint="eastAsia" w:ascii="仿宋" w:hAnsi="仿宋" w:eastAsia="仿宋" w:cs="仿宋"/>
                <w:color w:val="auto"/>
                <w:sz w:val="24"/>
                <w:szCs w:val="24"/>
                <w:highlight w:val="none"/>
              </w:rPr>
              <w:t>期</w:t>
            </w:r>
          </w:p>
        </w:tc>
        <w:tc>
          <w:tcPr>
            <w:tcW w:w="1762" w:type="dxa"/>
            <w:noWrap w:val="0"/>
            <w:vAlign w:val="center"/>
          </w:tcPr>
          <w:p w14:paraId="3C12EC78">
            <w:pPr>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0DD0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3" w:hRule="atLeast"/>
          <w:jc w:val="center"/>
        </w:trPr>
        <w:tc>
          <w:tcPr>
            <w:tcW w:w="780" w:type="dxa"/>
            <w:noWrap w:val="0"/>
            <w:vAlign w:val="center"/>
          </w:tcPr>
          <w:p w14:paraId="0B43A57B">
            <w:pPr>
              <w:snapToGrid w:val="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60" w:type="dxa"/>
            <w:noWrap w:val="0"/>
            <w:vAlign w:val="center"/>
          </w:tcPr>
          <w:p w14:paraId="121D0CEF">
            <w:pPr>
              <w:snapToGrid w:val="0"/>
              <w:jc w:val="center"/>
              <w:outlineLvl w:val="9"/>
              <w:rPr>
                <w:rFonts w:hint="eastAsia" w:ascii="仿宋" w:hAnsi="仿宋" w:eastAsia="仿宋" w:cs="仿宋"/>
                <w:color w:val="auto"/>
                <w:sz w:val="24"/>
                <w:szCs w:val="24"/>
                <w:highlight w:val="none"/>
              </w:rPr>
            </w:pPr>
          </w:p>
        </w:tc>
        <w:tc>
          <w:tcPr>
            <w:tcW w:w="944" w:type="dxa"/>
            <w:noWrap w:val="0"/>
            <w:vAlign w:val="center"/>
          </w:tcPr>
          <w:p w14:paraId="2A342AA1">
            <w:pPr>
              <w:snapToGrid w:val="0"/>
              <w:jc w:val="center"/>
              <w:outlineLvl w:val="9"/>
              <w:rPr>
                <w:rFonts w:hint="eastAsia" w:ascii="仿宋" w:hAnsi="仿宋" w:eastAsia="仿宋" w:cs="仿宋"/>
                <w:color w:val="auto"/>
                <w:sz w:val="24"/>
                <w:szCs w:val="24"/>
                <w:highlight w:val="none"/>
              </w:rPr>
            </w:pPr>
          </w:p>
        </w:tc>
        <w:tc>
          <w:tcPr>
            <w:tcW w:w="1327" w:type="dxa"/>
            <w:noWrap w:val="0"/>
            <w:vAlign w:val="center"/>
          </w:tcPr>
          <w:p w14:paraId="46B22383">
            <w:pPr>
              <w:snapToGrid w:val="0"/>
              <w:jc w:val="center"/>
              <w:outlineLvl w:val="9"/>
              <w:rPr>
                <w:rFonts w:hint="eastAsia" w:ascii="仿宋" w:hAnsi="仿宋" w:eastAsia="仿宋" w:cs="仿宋"/>
                <w:color w:val="auto"/>
                <w:sz w:val="24"/>
                <w:szCs w:val="24"/>
                <w:highlight w:val="none"/>
              </w:rPr>
            </w:pPr>
          </w:p>
        </w:tc>
        <w:tc>
          <w:tcPr>
            <w:tcW w:w="1874" w:type="dxa"/>
            <w:noWrap w:val="0"/>
            <w:vAlign w:val="center"/>
          </w:tcPr>
          <w:p w14:paraId="43373E41">
            <w:pPr>
              <w:snapToGrid w:val="0"/>
              <w:jc w:val="center"/>
              <w:outlineLvl w:val="9"/>
              <w:rPr>
                <w:rFonts w:hint="eastAsia" w:ascii="仿宋" w:hAnsi="仿宋" w:eastAsia="仿宋" w:cs="仿宋"/>
                <w:color w:val="auto"/>
                <w:sz w:val="24"/>
                <w:szCs w:val="24"/>
                <w:highlight w:val="none"/>
              </w:rPr>
            </w:pPr>
          </w:p>
        </w:tc>
        <w:tc>
          <w:tcPr>
            <w:tcW w:w="887" w:type="dxa"/>
            <w:noWrap w:val="0"/>
            <w:vAlign w:val="center"/>
          </w:tcPr>
          <w:p w14:paraId="0E7DE3B0">
            <w:pPr>
              <w:snapToGrid w:val="0"/>
              <w:jc w:val="center"/>
              <w:outlineLvl w:val="9"/>
              <w:rPr>
                <w:rFonts w:hint="eastAsia" w:ascii="仿宋" w:hAnsi="仿宋" w:eastAsia="仿宋" w:cs="仿宋"/>
                <w:color w:val="auto"/>
                <w:sz w:val="24"/>
                <w:szCs w:val="24"/>
                <w:highlight w:val="none"/>
              </w:rPr>
            </w:pPr>
          </w:p>
        </w:tc>
        <w:tc>
          <w:tcPr>
            <w:tcW w:w="1025" w:type="dxa"/>
            <w:noWrap w:val="0"/>
            <w:vAlign w:val="center"/>
          </w:tcPr>
          <w:p w14:paraId="5ABBC904">
            <w:pPr>
              <w:snapToGrid w:val="0"/>
              <w:jc w:val="center"/>
              <w:outlineLvl w:val="9"/>
              <w:rPr>
                <w:rFonts w:hint="eastAsia" w:ascii="仿宋" w:hAnsi="仿宋" w:eastAsia="仿宋" w:cs="仿宋"/>
                <w:color w:val="auto"/>
                <w:sz w:val="24"/>
                <w:szCs w:val="24"/>
                <w:highlight w:val="none"/>
              </w:rPr>
            </w:pPr>
          </w:p>
        </w:tc>
        <w:tc>
          <w:tcPr>
            <w:tcW w:w="1762" w:type="dxa"/>
            <w:noWrap w:val="0"/>
            <w:vAlign w:val="center"/>
          </w:tcPr>
          <w:p w14:paraId="61487A48">
            <w:pPr>
              <w:snapToGrid w:val="0"/>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投标总价为投标分项报价的合计</w:t>
            </w:r>
          </w:p>
        </w:tc>
      </w:tr>
      <w:tr w14:paraId="45C1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3" w:hRule="atLeast"/>
          <w:jc w:val="center"/>
        </w:trPr>
        <w:tc>
          <w:tcPr>
            <w:tcW w:w="780" w:type="dxa"/>
            <w:noWrap w:val="0"/>
            <w:vAlign w:val="center"/>
          </w:tcPr>
          <w:p w14:paraId="4A448BFE">
            <w:pPr>
              <w:snapToGrid w:val="0"/>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960" w:type="dxa"/>
            <w:noWrap w:val="0"/>
            <w:vAlign w:val="center"/>
          </w:tcPr>
          <w:p w14:paraId="10306D03">
            <w:pPr>
              <w:snapToGrid w:val="0"/>
              <w:jc w:val="center"/>
              <w:outlineLvl w:val="9"/>
              <w:rPr>
                <w:rFonts w:hint="eastAsia" w:ascii="仿宋" w:hAnsi="仿宋" w:eastAsia="仿宋" w:cs="仿宋"/>
                <w:color w:val="auto"/>
                <w:sz w:val="24"/>
                <w:szCs w:val="24"/>
                <w:highlight w:val="none"/>
              </w:rPr>
            </w:pPr>
          </w:p>
        </w:tc>
        <w:tc>
          <w:tcPr>
            <w:tcW w:w="944" w:type="dxa"/>
            <w:noWrap w:val="0"/>
            <w:vAlign w:val="center"/>
          </w:tcPr>
          <w:p w14:paraId="276D9100">
            <w:pPr>
              <w:snapToGrid w:val="0"/>
              <w:jc w:val="center"/>
              <w:outlineLvl w:val="9"/>
              <w:rPr>
                <w:rFonts w:hint="eastAsia" w:ascii="仿宋" w:hAnsi="仿宋" w:eastAsia="仿宋" w:cs="仿宋"/>
                <w:color w:val="auto"/>
                <w:sz w:val="24"/>
                <w:szCs w:val="24"/>
                <w:highlight w:val="none"/>
              </w:rPr>
            </w:pPr>
          </w:p>
        </w:tc>
        <w:tc>
          <w:tcPr>
            <w:tcW w:w="1327" w:type="dxa"/>
            <w:noWrap w:val="0"/>
            <w:vAlign w:val="center"/>
          </w:tcPr>
          <w:p w14:paraId="5DC7A10A">
            <w:pPr>
              <w:snapToGrid w:val="0"/>
              <w:jc w:val="center"/>
              <w:outlineLvl w:val="9"/>
              <w:rPr>
                <w:rFonts w:hint="eastAsia" w:ascii="仿宋" w:hAnsi="仿宋" w:eastAsia="仿宋" w:cs="仿宋"/>
                <w:color w:val="auto"/>
                <w:sz w:val="24"/>
                <w:szCs w:val="24"/>
                <w:highlight w:val="none"/>
              </w:rPr>
            </w:pPr>
          </w:p>
        </w:tc>
        <w:tc>
          <w:tcPr>
            <w:tcW w:w="1874" w:type="dxa"/>
            <w:noWrap w:val="0"/>
            <w:vAlign w:val="center"/>
          </w:tcPr>
          <w:p w14:paraId="5BA4A12A">
            <w:pPr>
              <w:snapToGrid w:val="0"/>
              <w:jc w:val="center"/>
              <w:outlineLvl w:val="9"/>
              <w:rPr>
                <w:rFonts w:hint="eastAsia" w:ascii="仿宋" w:hAnsi="仿宋" w:eastAsia="仿宋" w:cs="仿宋"/>
                <w:color w:val="auto"/>
                <w:sz w:val="24"/>
                <w:szCs w:val="24"/>
                <w:highlight w:val="none"/>
              </w:rPr>
            </w:pPr>
          </w:p>
        </w:tc>
        <w:tc>
          <w:tcPr>
            <w:tcW w:w="887" w:type="dxa"/>
            <w:noWrap w:val="0"/>
            <w:vAlign w:val="center"/>
          </w:tcPr>
          <w:p w14:paraId="5E02E7C2">
            <w:pPr>
              <w:snapToGrid w:val="0"/>
              <w:jc w:val="center"/>
              <w:outlineLvl w:val="9"/>
              <w:rPr>
                <w:rFonts w:hint="eastAsia" w:ascii="仿宋" w:hAnsi="仿宋" w:eastAsia="仿宋" w:cs="仿宋"/>
                <w:color w:val="auto"/>
                <w:sz w:val="24"/>
                <w:szCs w:val="24"/>
                <w:highlight w:val="none"/>
              </w:rPr>
            </w:pPr>
          </w:p>
        </w:tc>
        <w:tc>
          <w:tcPr>
            <w:tcW w:w="1025" w:type="dxa"/>
            <w:noWrap w:val="0"/>
            <w:vAlign w:val="center"/>
          </w:tcPr>
          <w:p w14:paraId="2F568EBC">
            <w:pPr>
              <w:snapToGrid w:val="0"/>
              <w:jc w:val="center"/>
              <w:outlineLvl w:val="9"/>
              <w:rPr>
                <w:rFonts w:hint="eastAsia" w:ascii="仿宋" w:hAnsi="仿宋" w:eastAsia="仿宋" w:cs="仿宋"/>
                <w:color w:val="auto"/>
                <w:sz w:val="24"/>
                <w:szCs w:val="24"/>
                <w:highlight w:val="none"/>
              </w:rPr>
            </w:pPr>
          </w:p>
        </w:tc>
        <w:tc>
          <w:tcPr>
            <w:tcW w:w="1762" w:type="dxa"/>
            <w:noWrap w:val="0"/>
            <w:vAlign w:val="center"/>
          </w:tcPr>
          <w:p w14:paraId="7A2238B2">
            <w:pPr>
              <w:snapToGrid w:val="0"/>
              <w:jc w:val="center"/>
              <w:outlineLvl w:val="9"/>
              <w:rPr>
                <w:rFonts w:hint="eastAsia" w:ascii="仿宋" w:hAnsi="仿宋" w:eastAsia="仿宋" w:cs="仿宋"/>
                <w:color w:val="auto"/>
                <w:sz w:val="24"/>
                <w:szCs w:val="24"/>
                <w:highlight w:val="none"/>
                <w:lang w:val="en-US" w:eastAsia="zh-CN"/>
              </w:rPr>
            </w:pPr>
          </w:p>
        </w:tc>
      </w:tr>
      <w:tr w14:paraId="46D6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3" w:hRule="atLeast"/>
          <w:jc w:val="center"/>
        </w:trPr>
        <w:tc>
          <w:tcPr>
            <w:tcW w:w="780" w:type="dxa"/>
            <w:noWrap w:val="0"/>
            <w:vAlign w:val="center"/>
          </w:tcPr>
          <w:p w14:paraId="7439BDF1">
            <w:pPr>
              <w:snapToGrid w:val="0"/>
              <w:ind w:firstLine="240" w:firstLineChars="100"/>
              <w:jc w:val="both"/>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960" w:type="dxa"/>
            <w:noWrap w:val="0"/>
            <w:vAlign w:val="center"/>
          </w:tcPr>
          <w:p w14:paraId="228A90F8">
            <w:pPr>
              <w:snapToGrid w:val="0"/>
              <w:jc w:val="center"/>
              <w:outlineLvl w:val="9"/>
              <w:rPr>
                <w:rFonts w:hint="eastAsia" w:ascii="仿宋" w:hAnsi="仿宋" w:eastAsia="仿宋" w:cs="仿宋"/>
                <w:color w:val="auto"/>
                <w:sz w:val="24"/>
                <w:szCs w:val="24"/>
                <w:highlight w:val="none"/>
              </w:rPr>
            </w:pPr>
          </w:p>
        </w:tc>
        <w:tc>
          <w:tcPr>
            <w:tcW w:w="944" w:type="dxa"/>
            <w:noWrap w:val="0"/>
            <w:vAlign w:val="center"/>
          </w:tcPr>
          <w:p w14:paraId="27A5C3AE">
            <w:pPr>
              <w:snapToGrid w:val="0"/>
              <w:jc w:val="center"/>
              <w:outlineLvl w:val="9"/>
              <w:rPr>
                <w:rFonts w:hint="eastAsia" w:ascii="仿宋" w:hAnsi="仿宋" w:eastAsia="仿宋" w:cs="仿宋"/>
                <w:color w:val="auto"/>
                <w:sz w:val="24"/>
                <w:szCs w:val="24"/>
                <w:highlight w:val="none"/>
              </w:rPr>
            </w:pPr>
          </w:p>
        </w:tc>
        <w:tc>
          <w:tcPr>
            <w:tcW w:w="1327" w:type="dxa"/>
            <w:noWrap w:val="0"/>
            <w:vAlign w:val="center"/>
          </w:tcPr>
          <w:p w14:paraId="43E985D6">
            <w:pPr>
              <w:snapToGrid w:val="0"/>
              <w:jc w:val="center"/>
              <w:outlineLvl w:val="9"/>
              <w:rPr>
                <w:rFonts w:hint="eastAsia" w:ascii="仿宋" w:hAnsi="仿宋" w:eastAsia="仿宋" w:cs="仿宋"/>
                <w:color w:val="auto"/>
                <w:sz w:val="24"/>
                <w:szCs w:val="24"/>
                <w:highlight w:val="none"/>
              </w:rPr>
            </w:pPr>
          </w:p>
        </w:tc>
        <w:tc>
          <w:tcPr>
            <w:tcW w:w="1874" w:type="dxa"/>
            <w:noWrap w:val="0"/>
            <w:vAlign w:val="center"/>
          </w:tcPr>
          <w:p w14:paraId="1DB60C43">
            <w:pPr>
              <w:snapToGrid w:val="0"/>
              <w:jc w:val="center"/>
              <w:outlineLvl w:val="9"/>
              <w:rPr>
                <w:rFonts w:hint="eastAsia" w:ascii="仿宋" w:hAnsi="仿宋" w:eastAsia="仿宋" w:cs="仿宋"/>
                <w:color w:val="auto"/>
                <w:sz w:val="24"/>
                <w:szCs w:val="24"/>
                <w:highlight w:val="none"/>
              </w:rPr>
            </w:pPr>
          </w:p>
        </w:tc>
        <w:tc>
          <w:tcPr>
            <w:tcW w:w="887" w:type="dxa"/>
            <w:noWrap w:val="0"/>
            <w:vAlign w:val="center"/>
          </w:tcPr>
          <w:p w14:paraId="7122C32A">
            <w:pPr>
              <w:snapToGrid w:val="0"/>
              <w:jc w:val="center"/>
              <w:outlineLvl w:val="9"/>
              <w:rPr>
                <w:rFonts w:hint="eastAsia" w:ascii="仿宋" w:hAnsi="仿宋" w:eastAsia="仿宋" w:cs="仿宋"/>
                <w:color w:val="auto"/>
                <w:sz w:val="24"/>
                <w:szCs w:val="24"/>
                <w:highlight w:val="none"/>
              </w:rPr>
            </w:pPr>
          </w:p>
        </w:tc>
        <w:tc>
          <w:tcPr>
            <w:tcW w:w="1025" w:type="dxa"/>
            <w:noWrap w:val="0"/>
            <w:vAlign w:val="center"/>
          </w:tcPr>
          <w:p w14:paraId="35E61F23">
            <w:pPr>
              <w:snapToGrid w:val="0"/>
              <w:jc w:val="center"/>
              <w:outlineLvl w:val="9"/>
              <w:rPr>
                <w:rFonts w:hint="eastAsia" w:ascii="仿宋" w:hAnsi="仿宋" w:eastAsia="仿宋" w:cs="仿宋"/>
                <w:color w:val="auto"/>
                <w:sz w:val="24"/>
                <w:szCs w:val="24"/>
                <w:highlight w:val="none"/>
              </w:rPr>
            </w:pPr>
          </w:p>
        </w:tc>
        <w:tc>
          <w:tcPr>
            <w:tcW w:w="1762" w:type="dxa"/>
            <w:noWrap w:val="0"/>
            <w:vAlign w:val="center"/>
          </w:tcPr>
          <w:p w14:paraId="4F623775">
            <w:pPr>
              <w:snapToGrid w:val="0"/>
              <w:jc w:val="center"/>
              <w:outlineLvl w:val="9"/>
              <w:rPr>
                <w:rFonts w:hint="eastAsia" w:ascii="仿宋" w:hAnsi="仿宋" w:eastAsia="仿宋" w:cs="仿宋"/>
                <w:color w:val="auto"/>
                <w:sz w:val="24"/>
                <w:szCs w:val="24"/>
                <w:highlight w:val="none"/>
                <w:lang w:val="en-US" w:eastAsia="zh-CN"/>
              </w:rPr>
            </w:pPr>
          </w:p>
        </w:tc>
      </w:tr>
      <w:tr w14:paraId="321A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99" w:hRule="exact"/>
          <w:jc w:val="center"/>
        </w:trPr>
        <w:tc>
          <w:tcPr>
            <w:tcW w:w="1740" w:type="dxa"/>
            <w:gridSpan w:val="2"/>
            <w:noWrap w:val="0"/>
            <w:vAlign w:val="center"/>
          </w:tcPr>
          <w:p w14:paraId="6FED3727">
            <w:pPr>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投标总价</w:t>
            </w:r>
          </w:p>
        </w:tc>
        <w:tc>
          <w:tcPr>
            <w:tcW w:w="7819" w:type="dxa"/>
            <w:gridSpan w:val="6"/>
            <w:noWrap w:val="0"/>
            <w:vAlign w:val="center"/>
          </w:tcPr>
          <w:p w14:paraId="30E918F5">
            <w:pPr>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小写：                             大写：  </w:t>
            </w:r>
          </w:p>
        </w:tc>
      </w:tr>
    </w:tbl>
    <w:p w14:paraId="2B730A1E">
      <w:pPr>
        <w:spacing w:line="360" w:lineRule="auto"/>
        <w:outlineLvl w:val="9"/>
        <w:rPr>
          <w:rFonts w:hint="eastAsia" w:ascii="仿宋" w:hAnsi="仿宋" w:eastAsia="仿宋" w:cs="仿宋"/>
          <w:color w:val="auto"/>
          <w:sz w:val="24"/>
          <w:szCs w:val="18"/>
          <w:highlight w:val="none"/>
        </w:rPr>
      </w:pPr>
      <w:r>
        <w:rPr>
          <w:rFonts w:hint="eastAsia" w:ascii="仿宋" w:hAnsi="仿宋" w:eastAsia="仿宋" w:cs="仿宋"/>
          <w:bCs/>
          <w:color w:val="auto"/>
          <w:sz w:val="24"/>
          <w:szCs w:val="18"/>
          <w:highlight w:val="none"/>
        </w:rPr>
        <w:t>注：</w:t>
      </w:r>
      <w:r>
        <w:rPr>
          <w:rFonts w:hint="eastAsia" w:ascii="仿宋" w:hAnsi="仿宋" w:eastAsia="仿宋" w:cs="仿宋"/>
          <w:bCs/>
          <w:color w:val="auto"/>
          <w:sz w:val="24"/>
          <w:szCs w:val="18"/>
          <w:highlight w:val="none"/>
          <w:lang w:val="en-US" w:eastAsia="zh-CN"/>
        </w:rPr>
        <w:t>1</w:t>
      </w:r>
      <w:r>
        <w:rPr>
          <w:rFonts w:hint="eastAsia" w:ascii="仿宋" w:hAnsi="仿宋" w:eastAsia="仿宋" w:cs="仿宋"/>
          <w:color w:val="auto"/>
          <w:sz w:val="24"/>
          <w:szCs w:val="18"/>
          <w:highlight w:val="none"/>
        </w:rPr>
        <w:t>、在开标一览表中，按招标须知的规定不允许出现两种报价，否则其投标将被拒绝。</w:t>
      </w:r>
    </w:p>
    <w:p w14:paraId="427D7336">
      <w:pPr>
        <w:spacing w:line="360" w:lineRule="auto"/>
        <w:ind w:firstLine="470" w:firstLineChars="196"/>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2</w:t>
      </w:r>
      <w:r>
        <w:rPr>
          <w:rFonts w:hint="eastAsia" w:ascii="仿宋" w:hAnsi="仿宋" w:eastAsia="仿宋" w:cs="仿宋"/>
          <w:color w:val="auto"/>
          <w:sz w:val="24"/>
          <w:szCs w:val="18"/>
          <w:highlight w:val="none"/>
        </w:rPr>
        <w:t>、详细清单参照附件九自制。</w:t>
      </w:r>
    </w:p>
    <w:p w14:paraId="34203B3D">
      <w:pPr>
        <w:pStyle w:val="25"/>
        <w:rPr>
          <w:rFonts w:hint="eastAsia" w:ascii="仿宋" w:hAnsi="仿宋" w:eastAsia="仿宋" w:cs="仿宋"/>
          <w:color w:val="auto"/>
          <w:kern w:val="2"/>
          <w:sz w:val="24"/>
          <w:szCs w:val="22"/>
          <w:highlight w:val="none"/>
          <w:lang w:val="en-US" w:eastAsia="zh-CN" w:bidi="ar-SA"/>
        </w:rPr>
      </w:pPr>
      <w:r>
        <w:rPr>
          <w:rFonts w:hint="eastAsia"/>
          <w:color w:val="auto"/>
          <w:sz w:val="20"/>
          <w:szCs w:val="22"/>
          <w:highlight w:val="none"/>
          <w:lang w:val="en-US" w:eastAsia="zh-CN"/>
        </w:rPr>
        <w:t xml:space="preserve">   </w:t>
      </w:r>
      <w:r>
        <w:rPr>
          <w:rFonts w:hint="eastAsia" w:ascii="仿宋" w:hAnsi="仿宋" w:eastAsia="仿宋" w:cs="仿宋"/>
          <w:color w:val="auto"/>
          <w:kern w:val="2"/>
          <w:sz w:val="24"/>
          <w:szCs w:val="22"/>
          <w:highlight w:val="none"/>
          <w:lang w:val="en-US" w:eastAsia="zh-CN" w:bidi="ar-SA"/>
        </w:rPr>
        <w:t>3、不得缺项漏项</w:t>
      </w:r>
    </w:p>
    <w:p w14:paraId="1CD7C691">
      <w:pPr>
        <w:pStyle w:val="25"/>
        <w:rPr>
          <w:rFonts w:hint="eastAsia" w:ascii="仿宋" w:hAnsi="仿宋" w:eastAsia="仿宋" w:cs="仿宋"/>
          <w:color w:val="auto"/>
          <w:kern w:val="2"/>
          <w:sz w:val="24"/>
          <w:szCs w:val="22"/>
          <w:highlight w:val="none"/>
          <w:lang w:val="en-US" w:eastAsia="zh-CN" w:bidi="ar-SA"/>
        </w:rPr>
      </w:pPr>
    </w:p>
    <w:p w14:paraId="759B5621">
      <w:pPr>
        <w:pStyle w:val="25"/>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投标单位名称：（公章）</w:t>
      </w:r>
    </w:p>
    <w:p w14:paraId="2D34F1E5">
      <w:pPr>
        <w:pStyle w:val="25"/>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法定代表人、法定代表授权委托人：（签字或盖章）</w:t>
      </w:r>
    </w:p>
    <w:p w14:paraId="2FB0FC3E">
      <w:pPr>
        <w:pStyle w:val="25"/>
        <w:ind w:firstLine="960" w:firstLineChars="40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年      月     日</w:t>
      </w:r>
    </w:p>
    <w:p w14:paraId="43932BD9">
      <w:pPr>
        <w:jc w:val="both"/>
        <w:outlineLvl w:val="9"/>
        <w:rPr>
          <w:rFonts w:hint="eastAsia" w:ascii="仿宋" w:hAnsi="仿宋" w:eastAsia="仿宋" w:cs="仿宋"/>
          <w:bCs/>
          <w:color w:val="auto"/>
          <w:sz w:val="24"/>
          <w:szCs w:val="18"/>
          <w:highlight w:val="none"/>
        </w:rPr>
      </w:pPr>
      <w:bookmarkStart w:id="325" w:name="_Toc2236"/>
      <w:bookmarkStart w:id="326" w:name="_Toc61184643"/>
      <w:bookmarkStart w:id="327" w:name="_Toc20340"/>
      <w:bookmarkStart w:id="328" w:name="_Toc56170400"/>
    </w:p>
    <w:p w14:paraId="4EFB1CFE">
      <w:pPr>
        <w:jc w:val="both"/>
        <w:outlineLvl w:val="9"/>
        <w:rPr>
          <w:rFonts w:hint="eastAsia" w:ascii="仿宋" w:hAnsi="仿宋" w:eastAsia="仿宋" w:cs="仿宋"/>
          <w:color w:val="auto"/>
          <w:sz w:val="24"/>
          <w:szCs w:val="24"/>
          <w:highlight w:val="none"/>
        </w:rPr>
      </w:pPr>
    </w:p>
    <w:p w14:paraId="738B998E">
      <w:pPr>
        <w:jc w:val="both"/>
        <w:outlineLvl w:val="9"/>
        <w:rPr>
          <w:rFonts w:hint="eastAsia" w:ascii="仿宋" w:hAnsi="仿宋" w:eastAsia="仿宋" w:cs="仿宋"/>
          <w:color w:val="auto"/>
          <w:sz w:val="24"/>
          <w:szCs w:val="24"/>
          <w:highlight w:val="none"/>
        </w:rPr>
      </w:pPr>
    </w:p>
    <w:p w14:paraId="4054EF53">
      <w:pPr>
        <w:jc w:val="both"/>
        <w:outlineLvl w:val="9"/>
        <w:rPr>
          <w:rFonts w:hint="eastAsia" w:ascii="仿宋" w:hAnsi="仿宋" w:eastAsia="仿宋" w:cs="仿宋"/>
          <w:color w:val="auto"/>
          <w:sz w:val="24"/>
          <w:szCs w:val="24"/>
          <w:highlight w:val="none"/>
        </w:rPr>
      </w:pPr>
    </w:p>
    <w:p w14:paraId="22BB5D48">
      <w:pPr>
        <w:jc w:val="both"/>
        <w:outlineLvl w:val="9"/>
        <w:rPr>
          <w:rFonts w:hint="eastAsia" w:ascii="仿宋" w:hAnsi="仿宋" w:eastAsia="仿宋" w:cs="仿宋"/>
          <w:color w:val="auto"/>
          <w:sz w:val="24"/>
          <w:szCs w:val="24"/>
          <w:highlight w:val="none"/>
        </w:rPr>
      </w:pPr>
    </w:p>
    <w:p w14:paraId="63D7A6B3">
      <w:pPr>
        <w:jc w:val="both"/>
        <w:outlineLvl w:val="9"/>
        <w:rPr>
          <w:rFonts w:hint="eastAsia" w:ascii="仿宋" w:hAnsi="仿宋" w:eastAsia="仿宋" w:cs="仿宋"/>
          <w:color w:val="auto"/>
          <w:sz w:val="24"/>
          <w:szCs w:val="24"/>
          <w:highlight w:val="none"/>
        </w:rPr>
      </w:pPr>
    </w:p>
    <w:p w14:paraId="69824F62">
      <w:pPr>
        <w:jc w:val="both"/>
        <w:outlineLvl w:val="9"/>
        <w:rPr>
          <w:rFonts w:hint="eastAsia" w:ascii="仿宋" w:hAnsi="仿宋" w:eastAsia="仿宋" w:cs="仿宋"/>
          <w:color w:val="auto"/>
          <w:sz w:val="24"/>
          <w:szCs w:val="24"/>
          <w:highlight w:val="none"/>
        </w:rPr>
      </w:pPr>
    </w:p>
    <w:p w14:paraId="3A79F00E">
      <w:pPr>
        <w:jc w:val="center"/>
        <w:outlineLvl w:val="9"/>
        <w:rPr>
          <w:rFonts w:hint="eastAsia" w:ascii="仿宋" w:hAnsi="仿宋" w:eastAsia="仿宋" w:cs="仿宋"/>
          <w:color w:val="auto"/>
          <w:sz w:val="28"/>
          <w:szCs w:val="28"/>
          <w:highlight w:val="none"/>
        </w:rPr>
      </w:pPr>
    </w:p>
    <w:p w14:paraId="56713EE1">
      <w:pPr>
        <w:jc w:val="both"/>
        <w:outlineLvl w:val="9"/>
        <w:rPr>
          <w:rFonts w:hint="eastAsia" w:ascii="仿宋" w:hAnsi="仿宋" w:eastAsia="仿宋" w:cs="仿宋"/>
          <w:color w:val="auto"/>
          <w:sz w:val="28"/>
          <w:szCs w:val="28"/>
          <w:highlight w:val="none"/>
        </w:rPr>
      </w:pPr>
    </w:p>
    <w:p w14:paraId="1462025A">
      <w:pPr>
        <w:jc w:val="both"/>
        <w:outlineLvl w:val="9"/>
        <w:rPr>
          <w:rFonts w:hint="eastAsia" w:ascii="仿宋" w:hAnsi="仿宋" w:eastAsia="仿宋" w:cs="仿宋"/>
          <w:color w:val="auto"/>
          <w:sz w:val="28"/>
          <w:szCs w:val="28"/>
          <w:highlight w:val="none"/>
        </w:rPr>
      </w:pPr>
    </w:p>
    <w:p w14:paraId="582C10AA">
      <w:pPr>
        <w:pStyle w:val="3"/>
        <w:numPr>
          <w:ilvl w:val="0"/>
          <w:numId w:val="0"/>
        </w:numPr>
        <w:tabs>
          <w:tab w:val="clear" w:pos="720"/>
        </w:tabs>
        <w:bidi w:val="0"/>
        <w:ind w:leftChars="0"/>
        <w:rPr>
          <w:rFonts w:hint="eastAsia" w:ascii="仿宋" w:hAnsi="仿宋" w:eastAsia="仿宋" w:cs="仿宋"/>
          <w:color w:val="auto"/>
          <w:szCs w:val="28"/>
          <w:highlight w:val="none"/>
        </w:rPr>
      </w:pPr>
      <w:bookmarkStart w:id="329" w:name="_Toc5685"/>
      <w:r>
        <w:rPr>
          <w:rFonts w:hint="eastAsia"/>
        </w:rPr>
        <w:t>附件九、投标产品名称、数量、规格分项报价表</w:t>
      </w:r>
      <w:bookmarkEnd w:id="325"/>
      <w:bookmarkEnd w:id="326"/>
      <w:bookmarkEnd w:id="327"/>
      <w:bookmarkEnd w:id="328"/>
      <w:bookmarkEnd w:id="329"/>
    </w:p>
    <w:p w14:paraId="5C867D1C">
      <w:pPr>
        <w:jc w:val="both"/>
        <w:outlineLvl w:val="9"/>
        <w:rPr>
          <w:rFonts w:hint="eastAsia" w:ascii="仿宋" w:hAnsi="仿宋" w:eastAsia="仿宋" w:cs="仿宋"/>
          <w:color w:val="auto"/>
          <w:sz w:val="28"/>
          <w:szCs w:val="28"/>
          <w:highlight w:val="none"/>
        </w:rPr>
      </w:pPr>
    </w:p>
    <w:p w14:paraId="1F1825E6">
      <w:pPr>
        <w:jc w:val="both"/>
        <w:outlineLvl w:val="1"/>
        <w:rPr>
          <w:rFonts w:hint="eastAsia" w:ascii="仿宋" w:hAnsi="仿宋" w:eastAsia="仿宋" w:cs="仿宋"/>
          <w:color w:val="auto"/>
          <w:sz w:val="28"/>
          <w:szCs w:val="28"/>
          <w:highlight w:val="none"/>
        </w:rPr>
      </w:pPr>
      <w:bookmarkStart w:id="330" w:name="_Toc15554"/>
      <w:r>
        <w:rPr>
          <w:rFonts w:hint="eastAsia" w:ascii="仿宋" w:hAnsi="仿宋" w:eastAsia="仿宋" w:cs="仿宋"/>
          <w:color w:val="auto"/>
          <w:sz w:val="24"/>
          <w:szCs w:val="24"/>
          <w:highlight w:val="none"/>
        </w:rPr>
        <w:t xml:space="preserve">项目名称：                  </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bookmarkEnd w:id="330"/>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8"/>
          <w:szCs w:val="28"/>
          <w:highlight w:val="none"/>
          <w:lang w:val="en-US" w:eastAsia="zh-CN"/>
        </w:rPr>
        <w:t xml:space="preserve">              </w:t>
      </w:r>
    </w:p>
    <w:tbl>
      <w:tblPr>
        <w:tblStyle w:val="27"/>
        <w:tblW w:w="9439"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161"/>
        <w:gridCol w:w="669"/>
        <w:gridCol w:w="1080"/>
        <w:gridCol w:w="908"/>
        <w:gridCol w:w="754"/>
        <w:gridCol w:w="996"/>
        <w:gridCol w:w="775"/>
        <w:gridCol w:w="873"/>
        <w:gridCol w:w="796"/>
      </w:tblGrid>
      <w:tr w14:paraId="6F68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27" w:type="dxa"/>
            <w:noWrap w:val="0"/>
            <w:vAlign w:val="center"/>
          </w:tcPr>
          <w:p w14:paraId="1741A2E5">
            <w:pPr>
              <w:keepNext w:val="0"/>
              <w:keepLines w:val="0"/>
              <w:widowControl/>
              <w:suppressLineNumbers w:val="0"/>
              <w:jc w:val="center"/>
              <w:textAlignment w:val="center"/>
              <w:rPr>
                <w:rFonts w:hint="eastAsia" w:ascii="仿宋" w:hAnsi="仿宋" w:eastAsia="仿宋" w:cs="仿宋"/>
                <w:color w:val="auto"/>
                <w:highlight w:val="none"/>
                <w:vertAlign w:val="baseline"/>
              </w:rPr>
            </w:pPr>
            <w:r>
              <w:rPr>
                <w:rFonts w:hint="eastAsia" w:ascii="仿宋" w:hAnsi="仿宋" w:eastAsia="仿宋" w:cs="仿宋"/>
                <w:i w:val="0"/>
                <w:iCs w:val="0"/>
                <w:color w:val="auto"/>
                <w:kern w:val="0"/>
                <w:sz w:val="22"/>
                <w:szCs w:val="22"/>
                <w:highlight w:val="none"/>
                <w:u w:val="none"/>
                <w:lang w:val="en-US" w:eastAsia="zh-CN" w:bidi="ar"/>
              </w:rPr>
              <w:t>商品名称</w:t>
            </w:r>
          </w:p>
        </w:tc>
        <w:tc>
          <w:tcPr>
            <w:tcW w:w="1161" w:type="dxa"/>
            <w:noWrap w:val="0"/>
            <w:vAlign w:val="center"/>
          </w:tcPr>
          <w:p w14:paraId="7B6C8136">
            <w:pPr>
              <w:keepNext w:val="0"/>
              <w:keepLines w:val="0"/>
              <w:widowControl/>
              <w:suppressLineNumbers w:val="0"/>
              <w:jc w:val="center"/>
              <w:textAlignment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型号</w:t>
            </w:r>
          </w:p>
        </w:tc>
        <w:tc>
          <w:tcPr>
            <w:tcW w:w="669" w:type="dxa"/>
            <w:noWrap w:val="0"/>
            <w:vAlign w:val="center"/>
          </w:tcPr>
          <w:p w14:paraId="29584020">
            <w:pPr>
              <w:keepNext w:val="0"/>
              <w:keepLines w:val="0"/>
              <w:widowControl/>
              <w:suppressLineNumbers w:val="0"/>
              <w:jc w:val="center"/>
              <w:textAlignment w:val="center"/>
              <w:rPr>
                <w:rFonts w:hint="eastAsia" w:ascii="仿宋" w:hAnsi="仿宋" w:eastAsia="仿宋" w:cs="仿宋"/>
                <w:color w:val="auto"/>
                <w:highlight w:val="none"/>
                <w:vertAlign w:val="baseline"/>
              </w:rPr>
            </w:pPr>
            <w:r>
              <w:rPr>
                <w:rFonts w:hint="eastAsia" w:ascii="仿宋" w:hAnsi="仿宋" w:eastAsia="仿宋" w:cs="仿宋"/>
                <w:i w:val="0"/>
                <w:iCs w:val="0"/>
                <w:color w:val="auto"/>
                <w:kern w:val="0"/>
                <w:sz w:val="22"/>
                <w:szCs w:val="22"/>
                <w:highlight w:val="none"/>
                <w:u w:val="none"/>
                <w:lang w:val="en-US" w:eastAsia="zh-CN" w:bidi="ar"/>
              </w:rPr>
              <w:t>规格</w:t>
            </w:r>
          </w:p>
        </w:tc>
        <w:tc>
          <w:tcPr>
            <w:tcW w:w="1080" w:type="dxa"/>
            <w:noWrap w:val="0"/>
            <w:vAlign w:val="center"/>
          </w:tcPr>
          <w:p w14:paraId="564D99C7">
            <w:pPr>
              <w:keepNext w:val="0"/>
              <w:keepLines w:val="0"/>
              <w:widowControl/>
              <w:suppressLineNumbers w:val="0"/>
              <w:jc w:val="center"/>
              <w:textAlignment w:val="center"/>
              <w:rPr>
                <w:rFonts w:hint="eastAsia" w:ascii="仿宋" w:hAnsi="仿宋" w:eastAsia="仿宋" w:cs="仿宋"/>
                <w:color w:val="auto"/>
                <w:highlight w:val="none"/>
                <w:vertAlign w:val="baseline"/>
              </w:rPr>
            </w:pPr>
            <w:r>
              <w:rPr>
                <w:rFonts w:hint="eastAsia" w:ascii="仿宋" w:hAnsi="仿宋" w:eastAsia="仿宋" w:cs="仿宋"/>
                <w:i w:val="0"/>
                <w:iCs w:val="0"/>
                <w:color w:val="auto"/>
                <w:kern w:val="0"/>
                <w:sz w:val="20"/>
                <w:szCs w:val="20"/>
                <w:highlight w:val="none"/>
                <w:u w:val="none"/>
                <w:lang w:val="en-US" w:eastAsia="zh-CN" w:bidi="ar"/>
              </w:rPr>
              <w:t>产品注册证名称</w:t>
            </w:r>
          </w:p>
        </w:tc>
        <w:tc>
          <w:tcPr>
            <w:tcW w:w="908" w:type="dxa"/>
            <w:noWrap w:val="0"/>
            <w:vAlign w:val="center"/>
          </w:tcPr>
          <w:p w14:paraId="6C5C7E3D">
            <w:pPr>
              <w:keepNext w:val="0"/>
              <w:keepLines w:val="0"/>
              <w:widowControl/>
              <w:suppressLineNumbers w:val="0"/>
              <w:jc w:val="center"/>
              <w:textAlignment w:val="center"/>
              <w:rPr>
                <w:rFonts w:hint="eastAsia" w:ascii="仿宋" w:hAnsi="仿宋" w:eastAsia="仿宋" w:cs="仿宋"/>
                <w:color w:val="auto"/>
                <w:highlight w:val="none"/>
                <w:vertAlign w:val="baseline"/>
              </w:rPr>
            </w:pPr>
            <w:r>
              <w:rPr>
                <w:rFonts w:hint="eastAsia" w:ascii="仿宋" w:hAnsi="仿宋" w:eastAsia="仿宋" w:cs="仿宋"/>
                <w:i w:val="0"/>
                <w:iCs w:val="0"/>
                <w:color w:val="auto"/>
                <w:kern w:val="0"/>
                <w:sz w:val="20"/>
                <w:szCs w:val="20"/>
                <w:highlight w:val="none"/>
                <w:u w:val="none"/>
                <w:lang w:val="en-US" w:eastAsia="zh-CN" w:bidi="ar"/>
              </w:rPr>
              <w:t>产品注册证号</w:t>
            </w:r>
          </w:p>
        </w:tc>
        <w:tc>
          <w:tcPr>
            <w:tcW w:w="754" w:type="dxa"/>
            <w:noWrap w:val="0"/>
            <w:vAlign w:val="center"/>
          </w:tcPr>
          <w:p w14:paraId="74969512">
            <w:pPr>
              <w:keepNext w:val="0"/>
              <w:keepLines w:val="0"/>
              <w:widowControl/>
              <w:suppressLineNumbers w:val="0"/>
              <w:jc w:val="center"/>
              <w:textAlignment w:val="center"/>
              <w:rPr>
                <w:rFonts w:hint="eastAsia" w:ascii="仿宋" w:hAnsi="仿宋" w:eastAsia="仿宋" w:cs="仿宋"/>
                <w:color w:val="auto"/>
                <w:highlight w:val="none"/>
                <w:vertAlign w:val="baseline"/>
              </w:rPr>
            </w:pPr>
            <w:r>
              <w:rPr>
                <w:rFonts w:hint="eastAsia" w:ascii="仿宋" w:hAnsi="仿宋" w:eastAsia="仿宋" w:cs="仿宋"/>
                <w:i w:val="0"/>
                <w:iCs w:val="0"/>
                <w:color w:val="auto"/>
                <w:kern w:val="0"/>
                <w:sz w:val="20"/>
                <w:szCs w:val="20"/>
                <w:highlight w:val="none"/>
                <w:u w:val="none"/>
                <w:lang w:val="en-US" w:eastAsia="zh-CN" w:bidi="ar"/>
              </w:rPr>
              <w:t>生产厂家</w:t>
            </w:r>
          </w:p>
        </w:tc>
        <w:tc>
          <w:tcPr>
            <w:tcW w:w="996" w:type="dxa"/>
            <w:noWrap w:val="0"/>
            <w:vAlign w:val="center"/>
          </w:tcPr>
          <w:p w14:paraId="79926BE8">
            <w:pPr>
              <w:keepNext w:val="0"/>
              <w:keepLines w:val="0"/>
              <w:widowControl/>
              <w:suppressLineNumbers w:val="0"/>
              <w:jc w:val="center"/>
              <w:textAlignment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数量</w:t>
            </w:r>
          </w:p>
        </w:tc>
        <w:tc>
          <w:tcPr>
            <w:tcW w:w="775" w:type="dxa"/>
            <w:noWrap w:val="0"/>
            <w:vAlign w:val="center"/>
          </w:tcPr>
          <w:p w14:paraId="179F84E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单位</w:t>
            </w:r>
          </w:p>
        </w:tc>
        <w:tc>
          <w:tcPr>
            <w:tcW w:w="873" w:type="dxa"/>
            <w:noWrap w:val="0"/>
            <w:vAlign w:val="center"/>
          </w:tcPr>
          <w:p w14:paraId="60C18BFA">
            <w:pPr>
              <w:keepNext w:val="0"/>
              <w:keepLines w:val="0"/>
              <w:widowControl/>
              <w:suppressLineNumbers w:val="0"/>
              <w:jc w:val="center"/>
              <w:textAlignment w:val="center"/>
              <w:rPr>
                <w:rFonts w:hint="default"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单价/元</w:t>
            </w:r>
          </w:p>
        </w:tc>
        <w:tc>
          <w:tcPr>
            <w:tcW w:w="796" w:type="dxa"/>
            <w:noWrap w:val="0"/>
            <w:vAlign w:val="center"/>
          </w:tcPr>
          <w:p w14:paraId="55428313">
            <w:pPr>
              <w:keepNext w:val="0"/>
              <w:keepLines w:val="0"/>
              <w:widowControl/>
              <w:suppressLineNumbers w:val="0"/>
              <w:jc w:val="center"/>
              <w:textAlignment w:val="center"/>
              <w:rPr>
                <w:rFonts w:hint="default"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金额</w:t>
            </w:r>
          </w:p>
        </w:tc>
      </w:tr>
      <w:tr w14:paraId="2114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7" w:type="dxa"/>
            <w:noWrap w:val="0"/>
            <w:vAlign w:val="center"/>
          </w:tcPr>
          <w:p w14:paraId="609C17F8">
            <w:pPr>
              <w:keepNext w:val="0"/>
              <w:keepLines w:val="0"/>
              <w:widowControl/>
              <w:suppressLineNumbers w:val="0"/>
              <w:jc w:val="center"/>
              <w:textAlignment w:val="center"/>
              <w:rPr>
                <w:rFonts w:hint="eastAsia"/>
                <w:color w:val="auto"/>
                <w:highlight w:val="none"/>
                <w:vertAlign w:val="baseline"/>
              </w:rPr>
            </w:pPr>
          </w:p>
        </w:tc>
        <w:tc>
          <w:tcPr>
            <w:tcW w:w="1161" w:type="dxa"/>
            <w:noWrap w:val="0"/>
            <w:vAlign w:val="center"/>
          </w:tcPr>
          <w:p w14:paraId="6C48D678">
            <w:pPr>
              <w:keepNext w:val="0"/>
              <w:keepLines w:val="0"/>
              <w:widowControl/>
              <w:suppressLineNumbers w:val="0"/>
              <w:jc w:val="center"/>
              <w:textAlignment w:val="center"/>
              <w:rPr>
                <w:rFonts w:hint="eastAsia"/>
                <w:color w:val="auto"/>
                <w:highlight w:val="none"/>
                <w:vertAlign w:val="baseline"/>
              </w:rPr>
            </w:pPr>
          </w:p>
        </w:tc>
        <w:tc>
          <w:tcPr>
            <w:tcW w:w="669" w:type="dxa"/>
            <w:noWrap w:val="0"/>
            <w:vAlign w:val="center"/>
          </w:tcPr>
          <w:p w14:paraId="71A5BAEE">
            <w:pPr>
              <w:keepNext w:val="0"/>
              <w:keepLines w:val="0"/>
              <w:widowControl/>
              <w:suppressLineNumbers w:val="0"/>
              <w:jc w:val="center"/>
              <w:textAlignment w:val="center"/>
              <w:rPr>
                <w:rFonts w:hint="eastAsia"/>
                <w:color w:val="auto"/>
                <w:highlight w:val="none"/>
                <w:vertAlign w:val="baseline"/>
              </w:rPr>
            </w:pPr>
          </w:p>
        </w:tc>
        <w:tc>
          <w:tcPr>
            <w:tcW w:w="1080" w:type="dxa"/>
            <w:noWrap w:val="0"/>
            <w:vAlign w:val="center"/>
          </w:tcPr>
          <w:p w14:paraId="24C9AD3D">
            <w:pPr>
              <w:keepNext w:val="0"/>
              <w:keepLines w:val="0"/>
              <w:widowControl/>
              <w:suppressLineNumbers w:val="0"/>
              <w:jc w:val="center"/>
              <w:textAlignment w:val="center"/>
              <w:rPr>
                <w:rFonts w:hint="eastAsia"/>
                <w:color w:val="auto"/>
                <w:highlight w:val="none"/>
                <w:vertAlign w:val="baseline"/>
              </w:rPr>
            </w:pPr>
          </w:p>
        </w:tc>
        <w:tc>
          <w:tcPr>
            <w:tcW w:w="908" w:type="dxa"/>
            <w:noWrap w:val="0"/>
            <w:vAlign w:val="center"/>
          </w:tcPr>
          <w:p w14:paraId="55620283">
            <w:pPr>
              <w:keepNext w:val="0"/>
              <w:keepLines w:val="0"/>
              <w:widowControl/>
              <w:suppressLineNumbers w:val="0"/>
              <w:jc w:val="center"/>
              <w:textAlignment w:val="center"/>
              <w:rPr>
                <w:rFonts w:hint="eastAsia"/>
                <w:color w:val="auto"/>
                <w:highlight w:val="none"/>
                <w:vertAlign w:val="baseline"/>
              </w:rPr>
            </w:pPr>
          </w:p>
        </w:tc>
        <w:tc>
          <w:tcPr>
            <w:tcW w:w="754" w:type="dxa"/>
            <w:noWrap w:val="0"/>
            <w:vAlign w:val="center"/>
          </w:tcPr>
          <w:p w14:paraId="1396F506">
            <w:pPr>
              <w:keepNext w:val="0"/>
              <w:keepLines w:val="0"/>
              <w:widowControl/>
              <w:suppressLineNumbers w:val="0"/>
              <w:jc w:val="center"/>
              <w:textAlignment w:val="center"/>
              <w:rPr>
                <w:rFonts w:hint="eastAsia"/>
                <w:color w:val="auto"/>
                <w:highlight w:val="none"/>
                <w:vertAlign w:val="baseline"/>
              </w:rPr>
            </w:pPr>
          </w:p>
        </w:tc>
        <w:tc>
          <w:tcPr>
            <w:tcW w:w="996" w:type="dxa"/>
            <w:noWrap w:val="0"/>
            <w:vAlign w:val="center"/>
          </w:tcPr>
          <w:p w14:paraId="73A2CDCE">
            <w:pPr>
              <w:keepNext w:val="0"/>
              <w:keepLines w:val="0"/>
              <w:widowControl/>
              <w:suppressLineNumbers w:val="0"/>
              <w:jc w:val="center"/>
              <w:textAlignment w:val="center"/>
              <w:rPr>
                <w:rFonts w:hint="eastAsia"/>
                <w:color w:val="auto"/>
                <w:highlight w:val="none"/>
                <w:vertAlign w:val="baseline"/>
              </w:rPr>
            </w:pPr>
          </w:p>
        </w:tc>
        <w:tc>
          <w:tcPr>
            <w:tcW w:w="775" w:type="dxa"/>
            <w:noWrap w:val="0"/>
            <w:vAlign w:val="center"/>
          </w:tcPr>
          <w:p w14:paraId="66EE277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73" w:type="dxa"/>
            <w:noWrap w:val="0"/>
            <w:vAlign w:val="center"/>
          </w:tcPr>
          <w:p w14:paraId="5957F5C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796" w:type="dxa"/>
            <w:noWrap w:val="0"/>
            <w:vAlign w:val="center"/>
          </w:tcPr>
          <w:p w14:paraId="628F894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47E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7" w:type="dxa"/>
            <w:noWrap w:val="0"/>
            <w:vAlign w:val="center"/>
          </w:tcPr>
          <w:p w14:paraId="55ABC116">
            <w:pPr>
              <w:keepNext w:val="0"/>
              <w:keepLines w:val="0"/>
              <w:widowControl/>
              <w:suppressLineNumbers w:val="0"/>
              <w:jc w:val="center"/>
              <w:textAlignment w:val="center"/>
              <w:rPr>
                <w:rFonts w:hint="eastAsia"/>
                <w:color w:val="auto"/>
                <w:highlight w:val="none"/>
                <w:vertAlign w:val="baseline"/>
              </w:rPr>
            </w:pPr>
          </w:p>
        </w:tc>
        <w:tc>
          <w:tcPr>
            <w:tcW w:w="1161" w:type="dxa"/>
            <w:noWrap w:val="0"/>
            <w:vAlign w:val="center"/>
          </w:tcPr>
          <w:p w14:paraId="571FA4ED">
            <w:pPr>
              <w:keepNext w:val="0"/>
              <w:keepLines w:val="0"/>
              <w:widowControl/>
              <w:suppressLineNumbers w:val="0"/>
              <w:jc w:val="center"/>
              <w:textAlignment w:val="center"/>
              <w:rPr>
                <w:rFonts w:hint="eastAsia"/>
                <w:color w:val="auto"/>
                <w:highlight w:val="none"/>
                <w:vertAlign w:val="baseline"/>
              </w:rPr>
            </w:pPr>
          </w:p>
        </w:tc>
        <w:tc>
          <w:tcPr>
            <w:tcW w:w="669" w:type="dxa"/>
            <w:noWrap w:val="0"/>
            <w:vAlign w:val="center"/>
          </w:tcPr>
          <w:p w14:paraId="74F690DE">
            <w:pPr>
              <w:keepNext w:val="0"/>
              <w:keepLines w:val="0"/>
              <w:widowControl/>
              <w:suppressLineNumbers w:val="0"/>
              <w:jc w:val="center"/>
              <w:textAlignment w:val="center"/>
              <w:rPr>
                <w:rFonts w:hint="eastAsia"/>
                <w:color w:val="auto"/>
                <w:highlight w:val="none"/>
                <w:vertAlign w:val="baseline"/>
              </w:rPr>
            </w:pPr>
          </w:p>
        </w:tc>
        <w:tc>
          <w:tcPr>
            <w:tcW w:w="1080" w:type="dxa"/>
            <w:noWrap w:val="0"/>
            <w:vAlign w:val="center"/>
          </w:tcPr>
          <w:p w14:paraId="6C4F8855">
            <w:pPr>
              <w:keepNext w:val="0"/>
              <w:keepLines w:val="0"/>
              <w:widowControl/>
              <w:suppressLineNumbers w:val="0"/>
              <w:jc w:val="center"/>
              <w:textAlignment w:val="center"/>
              <w:rPr>
                <w:rFonts w:hint="eastAsia"/>
                <w:color w:val="auto"/>
                <w:highlight w:val="none"/>
                <w:vertAlign w:val="baseline"/>
              </w:rPr>
            </w:pPr>
          </w:p>
        </w:tc>
        <w:tc>
          <w:tcPr>
            <w:tcW w:w="908" w:type="dxa"/>
            <w:noWrap w:val="0"/>
            <w:vAlign w:val="center"/>
          </w:tcPr>
          <w:p w14:paraId="1A3F40DA">
            <w:pPr>
              <w:jc w:val="center"/>
              <w:rPr>
                <w:rFonts w:hint="eastAsia"/>
                <w:color w:val="auto"/>
                <w:highlight w:val="none"/>
                <w:vertAlign w:val="baseline"/>
              </w:rPr>
            </w:pPr>
          </w:p>
        </w:tc>
        <w:tc>
          <w:tcPr>
            <w:tcW w:w="754" w:type="dxa"/>
            <w:noWrap w:val="0"/>
            <w:vAlign w:val="center"/>
          </w:tcPr>
          <w:p w14:paraId="77FACAA7">
            <w:pPr>
              <w:keepNext w:val="0"/>
              <w:keepLines w:val="0"/>
              <w:widowControl/>
              <w:suppressLineNumbers w:val="0"/>
              <w:jc w:val="center"/>
              <w:textAlignment w:val="center"/>
              <w:rPr>
                <w:rFonts w:hint="eastAsia"/>
                <w:color w:val="auto"/>
                <w:highlight w:val="none"/>
                <w:vertAlign w:val="baseline"/>
              </w:rPr>
            </w:pPr>
          </w:p>
        </w:tc>
        <w:tc>
          <w:tcPr>
            <w:tcW w:w="996" w:type="dxa"/>
            <w:noWrap w:val="0"/>
            <w:vAlign w:val="center"/>
          </w:tcPr>
          <w:p w14:paraId="6E1177B7">
            <w:pPr>
              <w:keepNext w:val="0"/>
              <w:keepLines w:val="0"/>
              <w:widowControl/>
              <w:suppressLineNumbers w:val="0"/>
              <w:jc w:val="center"/>
              <w:textAlignment w:val="center"/>
              <w:rPr>
                <w:rFonts w:hint="eastAsia"/>
                <w:color w:val="auto"/>
                <w:highlight w:val="none"/>
                <w:vertAlign w:val="baseline"/>
              </w:rPr>
            </w:pPr>
          </w:p>
        </w:tc>
        <w:tc>
          <w:tcPr>
            <w:tcW w:w="775" w:type="dxa"/>
            <w:noWrap w:val="0"/>
            <w:vAlign w:val="center"/>
          </w:tcPr>
          <w:p w14:paraId="0DEBB2E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73" w:type="dxa"/>
            <w:noWrap w:val="0"/>
            <w:vAlign w:val="center"/>
          </w:tcPr>
          <w:p w14:paraId="2C0122A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796" w:type="dxa"/>
            <w:noWrap w:val="0"/>
            <w:vAlign w:val="center"/>
          </w:tcPr>
          <w:p w14:paraId="328ABFA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4FD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7" w:type="dxa"/>
            <w:noWrap w:val="0"/>
            <w:vAlign w:val="center"/>
          </w:tcPr>
          <w:p w14:paraId="2750B8FC">
            <w:pPr>
              <w:keepNext w:val="0"/>
              <w:keepLines w:val="0"/>
              <w:widowControl/>
              <w:suppressLineNumbers w:val="0"/>
              <w:jc w:val="center"/>
              <w:textAlignment w:val="center"/>
              <w:rPr>
                <w:rFonts w:hint="eastAsia"/>
                <w:color w:val="auto"/>
                <w:highlight w:val="none"/>
                <w:vertAlign w:val="baseline"/>
              </w:rPr>
            </w:pPr>
          </w:p>
        </w:tc>
        <w:tc>
          <w:tcPr>
            <w:tcW w:w="1161" w:type="dxa"/>
            <w:noWrap w:val="0"/>
            <w:vAlign w:val="center"/>
          </w:tcPr>
          <w:p w14:paraId="126C7754">
            <w:pPr>
              <w:keepNext w:val="0"/>
              <w:keepLines w:val="0"/>
              <w:widowControl/>
              <w:suppressLineNumbers w:val="0"/>
              <w:jc w:val="center"/>
              <w:textAlignment w:val="center"/>
              <w:rPr>
                <w:rFonts w:hint="eastAsia"/>
                <w:color w:val="auto"/>
                <w:highlight w:val="none"/>
                <w:vertAlign w:val="baseline"/>
              </w:rPr>
            </w:pPr>
          </w:p>
        </w:tc>
        <w:tc>
          <w:tcPr>
            <w:tcW w:w="669" w:type="dxa"/>
            <w:noWrap w:val="0"/>
            <w:vAlign w:val="center"/>
          </w:tcPr>
          <w:p w14:paraId="1349A748">
            <w:pPr>
              <w:keepNext w:val="0"/>
              <w:keepLines w:val="0"/>
              <w:widowControl/>
              <w:suppressLineNumbers w:val="0"/>
              <w:jc w:val="center"/>
              <w:textAlignment w:val="center"/>
              <w:rPr>
                <w:rFonts w:hint="eastAsia"/>
                <w:color w:val="auto"/>
                <w:highlight w:val="none"/>
                <w:vertAlign w:val="baseline"/>
              </w:rPr>
            </w:pPr>
          </w:p>
        </w:tc>
        <w:tc>
          <w:tcPr>
            <w:tcW w:w="1080" w:type="dxa"/>
            <w:noWrap w:val="0"/>
            <w:vAlign w:val="center"/>
          </w:tcPr>
          <w:p w14:paraId="79C0FE9D">
            <w:pPr>
              <w:keepNext w:val="0"/>
              <w:keepLines w:val="0"/>
              <w:widowControl/>
              <w:suppressLineNumbers w:val="0"/>
              <w:jc w:val="center"/>
              <w:textAlignment w:val="center"/>
              <w:rPr>
                <w:rFonts w:hint="eastAsia"/>
                <w:color w:val="auto"/>
                <w:highlight w:val="none"/>
                <w:vertAlign w:val="baseline"/>
              </w:rPr>
            </w:pPr>
          </w:p>
        </w:tc>
        <w:tc>
          <w:tcPr>
            <w:tcW w:w="908" w:type="dxa"/>
            <w:noWrap w:val="0"/>
            <w:vAlign w:val="center"/>
          </w:tcPr>
          <w:p w14:paraId="46333653">
            <w:pPr>
              <w:jc w:val="center"/>
              <w:rPr>
                <w:rFonts w:hint="eastAsia"/>
                <w:color w:val="auto"/>
                <w:highlight w:val="none"/>
                <w:vertAlign w:val="baseline"/>
              </w:rPr>
            </w:pPr>
          </w:p>
        </w:tc>
        <w:tc>
          <w:tcPr>
            <w:tcW w:w="754" w:type="dxa"/>
            <w:noWrap w:val="0"/>
            <w:vAlign w:val="center"/>
          </w:tcPr>
          <w:p w14:paraId="07566C24">
            <w:pPr>
              <w:keepNext w:val="0"/>
              <w:keepLines w:val="0"/>
              <w:widowControl/>
              <w:suppressLineNumbers w:val="0"/>
              <w:jc w:val="center"/>
              <w:textAlignment w:val="center"/>
              <w:rPr>
                <w:rFonts w:hint="eastAsia"/>
                <w:color w:val="auto"/>
                <w:highlight w:val="none"/>
                <w:vertAlign w:val="baseline"/>
              </w:rPr>
            </w:pPr>
          </w:p>
        </w:tc>
        <w:tc>
          <w:tcPr>
            <w:tcW w:w="996" w:type="dxa"/>
            <w:noWrap w:val="0"/>
            <w:vAlign w:val="center"/>
          </w:tcPr>
          <w:p w14:paraId="306CE8B2">
            <w:pPr>
              <w:keepNext w:val="0"/>
              <w:keepLines w:val="0"/>
              <w:widowControl/>
              <w:suppressLineNumbers w:val="0"/>
              <w:jc w:val="center"/>
              <w:textAlignment w:val="center"/>
              <w:rPr>
                <w:rFonts w:hint="eastAsia"/>
                <w:color w:val="auto"/>
                <w:highlight w:val="none"/>
                <w:vertAlign w:val="baseline"/>
              </w:rPr>
            </w:pPr>
          </w:p>
        </w:tc>
        <w:tc>
          <w:tcPr>
            <w:tcW w:w="775" w:type="dxa"/>
            <w:noWrap w:val="0"/>
            <w:vAlign w:val="center"/>
          </w:tcPr>
          <w:p w14:paraId="2F4055C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73" w:type="dxa"/>
            <w:noWrap w:val="0"/>
            <w:vAlign w:val="center"/>
          </w:tcPr>
          <w:p w14:paraId="3D42317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796" w:type="dxa"/>
            <w:noWrap w:val="0"/>
            <w:vAlign w:val="center"/>
          </w:tcPr>
          <w:p w14:paraId="59E8D49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041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7" w:type="dxa"/>
            <w:noWrap w:val="0"/>
            <w:vAlign w:val="center"/>
          </w:tcPr>
          <w:p w14:paraId="57F9336C">
            <w:pPr>
              <w:keepNext w:val="0"/>
              <w:keepLines w:val="0"/>
              <w:widowControl/>
              <w:suppressLineNumbers w:val="0"/>
              <w:jc w:val="center"/>
              <w:textAlignment w:val="center"/>
              <w:rPr>
                <w:rFonts w:hint="eastAsia"/>
                <w:color w:val="auto"/>
                <w:highlight w:val="none"/>
                <w:vertAlign w:val="baseline"/>
              </w:rPr>
            </w:pPr>
          </w:p>
        </w:tc>
        <w:tc>
          <w:tcPr>
            <w:tcW w:w="1161" w:type="dxa"/>
            <w:noWrap w:val="0"/>
            <w:vAlign w:val="center"/>
          </w:tcPr>
          <w:p w14:paraId="400EC8DA">
            <w:pPr>
              <w:keepNext w:val="0"/>
              <w:keepLines w:val="0"/>
              <w:widowControl/>
              <w:suppressLineNumbers w:val="0"/>
              <w:jc w:val="center"/>
              <w:textAlignment w:val="center"/>
              <w:rPr>
                <w:rFonts w:hint="eastAsia"/>
                <w:color w:val="auto"/>
                <w:highlight w:val="none"/>
                <w:vertAlign w:val="baseline"/>
              </w:rPr>
            </w:pPr>
          </w:p>
        </w:tc>
        <w:tc>
          <w:tcPr>
            <w:tcW w:w="669" w:type="dxa"/>
            <w:noWrap w:val="0"/>
            <w:vAlign w:val="center"/>
          </w:tcPr>
          <w:p w14:paraId="50CC1A5B">
            <w:pPr>
              <w:keepNext w:val="0"/>
              <w:keepLines w:val="0"/>
              <w:widowControl/>
              <w:suppressLineNumbers w:val="0"/>
              <w:jc w:val="center"/>
              <w:textAlignment w:val="center"/>
              <w:rPr>
                <w:rFonts w:hint="eastAsia"/>
                <w:color w:val="auto"/>
                <w:highlight w:val="none"/>
                <w:vertAlign w:val="baseline"/>
              </w:rPr>
            </w:pPr>
          </w:p>
        </w:tc>
        <w:tc>
          <w:tcPr>
            <w:tcW w:w="1080" w:type="dxa"/>
            <w:noWrap w:val="0"/>
            <w:vAlign w:val="center"/>
          </w:tcPr>
          <w:p w14:paraId="19C7115A">
            <w:pPr>
              <w:keepNext w:val="0"/>
              <w:keepLines w:val="0"/>
              <w:widowControl/>
              <w:suppressLineNumbers w:val="0"/>
              <w:jc w:val="center"/>
              <w:textAlignment w:val="center"/>
              <w:rPr>
                <w:rFonts w:hint="eastAsia"/>
                <w:color w:val="auto"/>
                <w:highlight w:val="none"/>
                <w:vertAlign w:val="baseline"/>
              </w:rPr>
            </w:pPr>
          </w:p>
        </w:tc>
        <w:tc>
          <w:tcPr>
            <w:tcW w:w="908" w:type="dxa"/>
            <w:noWrap w:val="0"/>
            <w:vAlign w:val="center"/>
          </w:tcPr>
          <w:p w14:paraId="1A395CDA">
            <w:pPr>
              <w:jc w:val="center"/>
              <w:rPr>
                <w:rFonts w:hint="eastAsia"/>
                <w:color w:val="auto"/>
                <w:highlight w:val="none"/>
                <w:vertAlign w:val="baseline"/>
              </w:rPr>
            </w:pPr>
          </w:p>
        </w:tc>
        <w:tc>
          <w:tcPr>
            <w:tcW w:w="754" w:type="dxa"/>
            <w:noWrap w:val="0"/>
            <w:vAlign w:val="center"/>
          </w:tcPr>
          <w:p w14:paraId="6A715D50">
            <w:pPr>
              <w:keepNext w:val="0"/>
              <w:keepLines w:val="0"/>
              <w:widowControl/>
              <w:suppressLineNumbers w:val="0"/>
              <w:jc w:val="center"/>
              <w:textAlignment w:val="center"/>
              <w:rPr>
                <w:rFonts w:hint="eastAsia"/>
                <w:color w:val="auto"/>
                <w:highlight w:val="none"/>
                <w:vertAlign w:val="baseline"/>
              </w:rPr>
            </w:pPr>
          </w:p>
        </w:tc>
        <w:tc>
          <w:tcPr>
            <w:tcW w:w="996" w:type="dxa"/>
            <w:noWrap w:val="0"/>
            <w:vAlign w:val="center"/>
          </w:tcPr>
          <w:p w14:paraId="7ABB5268">
            <w:pPr>
              <w:keepNext w:val="0"/>
              <w:keepLines w:val="0"/>
              <w:widowControl/>
              <w:suppressLineNumbers w:val="0"/>
              <w:jc w:val="center"/>
              <w:textAlignment w:val="center"/>
              <w:rPr>
                <w:rFonts w:hint="eastAsia"/>
                <w:color w:val="auto"/>
                <w:highlight w:val="none"/>
                <w:vertAlign w:val="baseline"/>
              </w:rPr>
            </w:pPr>
          </w:p>
        </w:tc>
        <w:tc>
          <w:tcPr>
            <w:tcW w:w="775" w:type="dxa"/>
            <w:noWrap w:val="0"/>
            <w:vAlign w:val="center"/>
          </w:tcPr>
          <w:p w14:paraId="35A4488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73" w:type="dxa"/>
            <w:noWrap w:val="0"/>
            <w:vAlign w:val="center"/>
          </w:tcPr>
          <w:p w14:paraId="74507E6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796" w:type="dxa"/>
            <w:noWrap w:val="0"/>
            <w:vAlign w:val="center"/>
          </w:tcPr>
          <w:p w14:paraId="4B37C55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330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7" w:type="dxa"/>
            <w:noWrap w:val="0"/>
            <w:vAlign w:val="center"/>
          </w:tcPr>
          <w:p w14:paraId="601C4BFE">
            <w:pPr>
              <w:keepNext w:val="0"/>
              <w:keepLines w:val="0"/>
              <w:widowControl/>
              <w:suppressLineNumbers w:val="0"/>
              <w:jc w:val="center"/>
              <w:textAlignment w:val="center"/>
              <w:rPr>
                <w:rFonts w:hint="eastAsia"/>
                <w:color w:val="auto"/>
                <w:highlight w:val="none"/>
                <w:vertAlign w:val="baseline"/>
              </w:rPr>
            </w:pPr>
          </w:p>
        </w:tc>
        <w:tc>
          <w:tcPr>
            <w:tcW w:w="1161" w:type="dxa"/>
            <w:noWrap w:val="0"/>
            <w:vAlign w:val="center"/>
          </w:tcPr>
          <w:p w14:paraId="45EA5465">
            <w:pPr>
              <w:keepNext w:val="0"/>
              <w:keepLines w:val="0"/>
              <w:widowControl/>
              <w:suppressLineNumbers w:val="0"/>
              <w:jc w:val="center"/>
              <w:textAlignment w:val="center"/>
              <w:rPr>
                <w:rFonts w:hint="eastAsia"/>
                <w:color w:val="auto"/>
                <w:highlight w:val="none"/>
                <w:vertAlign w:val="baseline"/>
              </w:rPr>
            </w:pPr>
          </w:p>
        </w:tc>
        <w:tc>
          <w:tcPr>
            <w:tcW w:w="669" w:type="dxa"/>
            <w:noWrap w:val="0"/>
            <w:vAlign w:val="center"/>
          </w:tcPr>
          <w:p w14:paraId="5E05F158">
            <w:pPr>
              <w:keepNext w:val="0"/>
              <w:keepLines w:val="0"/>
              <w:widowControl/>
              <w:suppressLineNumbers w:val="0"/>
              <w:jc w:val="center"/>
              <w:textAlignment w:val="center"/>
              <w:rPr>
                <w:rFonts w:hint="eastAsia"/>
                <w:color w:val="auto"/>
                <w:highlight w:val="none"/>
                <w:vertAlign w:val="baseline"/>
              </w:rPr>
            </w:pPr>
          </w:p>
        </w:tc>
        <w:tc>
          <w:tcPr>
            <w:tcW w:w="1080" w:type="dxa"/>
            <w:noWrap w:val="0"/>
            <w:vAlign w:val="center"/>
          </w:tcPr>
          <w:p w14:paraId="6033448F">
            <w:pPr>
              <w:keepNext w:val="0"/>
              <w:keepLines w:val="0"/>
              <w:widowControl/>
              <w:suppressLineNumbers w:val="0"/>
              <w:jc w:val="center"/>
              <w:textAlignment w:val="center"/>
              <w:rPr>
                <w:rFonts w:hint="eastAsia"/>
                <w:color w:val="auto"/>
                <w:highlight w:val="none"/>
                <w:vertAlign w:val="baseline"/>
              </w:rPr>
            </w:pPr>
          </w:p>
        </w:tc>
        <w:tc>
          <w:tcPr>
            <w:tcW w:w="908" w:type="dxa"/>
            <w:noWrap w:val="0"/>
            <w:vAlign w:val="center"/>
          </w:tcPr>
          <w:p w14:paraId="5496D923">
            <w:pPr>
              <w:jc w:val="center"/>
              <w:rPr>
                <w:rFonts w:hint="eastAsia"/>
                <w:color w:val="auto"/>
                <w:highlight w:val="none"/>
                <w:vertAlign w:val="baseline"/>
              </w:rPr>
            </w:pPr>
          </w:p>
        </w:tc>
        <w:tc>
          <w:tcPr>
            <w:tcW w:w="754" w:type="dxa"/>
            <w:noWrap w:val="0"/>
            <w:vAlign w:val="center"/>
          </w:tcPr>
          <w:p w14:paraId="65994487">
            <w:pPr>
              <w:keepNext w:val="0"/>
              <w:keepLines w:val="0"/>
              <w:widowControl/>
              <w:suppressLineNumbers w:val="0"/>
              <w:jc w:val="center"/>
              <w:textAlignment w:val="center"/>
              <w:rPr>
                <w:rFonts w:hint="eastAsia"/>
                <w:color w:val="auto"/>
                <w:highlight w:val="none"/>
                <w:vertAlign w:val="baseline"/>
              </w:rPr>
            </w:pPr>
          </w:p>
        </w:tc>
        <w:tc>
          <w:tcPr>
            <w:tcW w:w="996" w:type="dxa"/>
            <w:noWrap w:val="0"/>
            <w:vAlign w:val="center"/>
          </w:tcPr>
          <w:p w14:paraId="71EE2753">
            <w:pPr>
              <w:keepNext w:val="0"/>
              <w:keepLines w:val="0"/>
              <w:widowControl/>
              <w:suppressLineNumbers w:val="0"/>
              <w:jc w:val="center"/>
              <w:textAlignment w:val="center"/>
              <w:rPr>
                <w:rFonts w:hint="eastAsia"/>
                <w:color w:val="auto"/>
                <w:highlight w:val="none"/>
                <w:vertAlign w:val="baseline"/>
              </w:rPr>
            </w:pPr>
          </w:p>
        </w:tc>
        <w:tc>
          <w:tcPr>
            <w:tcW w:w="775" w:type="dxa"/>
            <w:noWrap w:val="0"/>
            <w:vAlign w:val="center"/>
          </w:tcPr>
          <w:p w14:paraId="15300B7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73" w:type="dxa"/>
            <w:noWrap w:val="0"/>
            <w:vAlign w:val="center"/>
          </w:tcPr>
          <w:p w14:paraId="004B4F3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796" w:type="dxa"/>
            <w:noWrap w:val="0"/>
            <w:vAlign w:val="center"/>
          </w:tcPr>
          <w:p w14:paraId="6A9729F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76C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7" w:type="dxa"/>
            <w:noWrap w:val="0"/>
            <w:vAlign w:val="center"/>
          </w:tcPr>
          <w:p w14:paraId="3F803DAE">
            <w:pPr>
              <w:keepNext w:val="0"/>
              <w:keepLines w:val="0"/>
              <w:widowControl/>
              <w:suppressLineNumbers w:val="0"/>
              <w:jc w:val="center"/>
              <w:textAlignment w:val="center"/>
              <w:rPr>
                <w:rFonts w:hint="eastAsia"/>
                <w:color w:val="auto"/>
                <w:highlight w:val="none"/>
                <w:vertAlign w:val="baseline"/>
              </w:rPr>
            </w:pPr>
          </w:p>
        </w:tc>
        <w:tc>
          <w:tcPr>
            <w:tcW w:w="1161" w:type="dxa"/>
            <w:noWrap w:val="0"/>
            <w:vAlign w:val="center"/>
          </w:tcPr>
          <w:p w14:paraId="7C0E802B">
            <w:pPr>
              <w:keepNext w:val="0"/>
              <w:keepLines w:val="0"/>
              <w:widowControl/>
              <w:suppressLineNumbers w:val="0"/>
              <w:jc w:val="center"/>
              <w:textAlignment w:val="center"/>
              <w:rPr>
                <w:rFonts w:hint="eastAsia"/>
                <w:color w:val="auto"/>
                <w:highlight w:val="none"/>
                <w:vertAlign w:val="baseline"/>
              </w:rPr>
            </w:pPr>
          </w:p>
        </w:tc>
        <w:tc>
          <w:tcPr>
            <w:tcW w:w="669" w:type="dxa"/>
            <w:noWrap w:val="0"/>
            <w:vAlign w:val="center"/>
          </w:tcPr>
          <w:p w14:paraId="15F81ACD">
            <w:pPr>
              <w:keepNext w:val="0"/>
              <w:keepLines w:val="0"/>
              <w:widowControl/>
              <w:suppressLineNumbers w:val="0"/>
              <w:jc w:val="center"/>
              <w:textAlignment w:val="center"/>
              <w:rPr>
                <w:rFonts w:hint="eastAsia"/>
                <w:color w:val="auto"/>
                <w:highlight w:val="none"/>
                <w:vertAlign w:val="baseline"/>
              </w:rPr>
            </w:pPr>
          </w:p>
        </w:tc>
        <w:tc>
          <w:tcPr>
            <w:tcW w:w="1080" w:type="dxa"/>
            <w:noWrap w:val="0"/>
            <w:vAlign w:val="center"/>
          </w:tcPr>
          <w:p w14:paraId="0CC0F9B4">
            <w:pPr>
              <w:keepNext w:val="0"/>
              <w:keepLines w:val="0"/>
              <w:widowControl/>
              <w:suppressLineNumbers w:val="0"/>
              <w:jc w:val="center"/>
              <w:textAlignment w:val="center"/>
              <w:rPr>
                <w:rFonts w:hint="eastAsia"/>
                <w:color w:val="auto"/>
                <w:highlight w:val="none"/>
                <w:vertAlign w:val="baseline"/>
              </w:rPr>
            </w:pPr>
          </w:p>
        </w:tc>
        <w:tc>
          <w:tcPr>
            <w:tcW w:w="908" w:type="dxa"/>
            <w:noWrap w:val="0"/>
            <w:vAlign w:val="center"/>
          </w:tcPr>
          <w:p w14:paraId="757C0E67">
            <w:pPr>
              <w:jc w:val="center"/>
              <w:rPr>
                <w:rFonts w:hint="eastAsia"/>
                <w:color w:val="auto"/>
                <w:highlight w:val="none"/>
                <w:vertAlign w:val="baseline"/>
              </w:rPr>
            </w:pPr>
          </w:p>
        </w:tc>
        <w:tc>
          <w:tcPr>
            <w:tcW w:w="754" w:type="dxa"/>
            <w:noWrap w:val="0"/>
            <w:vAlign w:val="center"/>
          </w:tcPr>
          <w:p w14:paraId="397DBE3B">
            <w:pPr>
              <w:keepNext w:val="0"/>
              <w:keepLines w:val="0"/>
              <w:widowControl/>
              <w:suppressLineNumbers w:val="0"/>
              <w:jc w:val="center"/>
              <w:textAlignment w:val="center"/>
              <w:rPr>
                <w:rFonts w:hint="eastAsia"/>
                <w:color w:val="auto"/>
                <w:highlight w:val="none"/>
                <w:vertAlign w:val="baseline"/>
              </w:rPr>
            </w:pPr>
          </w:p>
        </w:tc>
        <w:tc>
          <w:tcPr>
            <w:tcW w:w="996" w:type="dxa"/>
            <w:noWrap w:val="0"/>
            <w:vAlign w:val="center"/>
          </w:tcPr>
          <w:p w14:paraId="61E5D8D8">
            <w:pPr>
              <w:keepNext w:val="0"/>
              <w:keepLines w:val="0"/>
              <w:widowControl/>
              <w:suppressLineNumbers w:val="0"/>
              <w:jc w:val="center"/>
              <w:textAlignment w:val="center"/>
              <w:rPr>
                <w:rFonts w:hint="eastAsia"/>
                <w:color w:val="auto"/>
                <w:highlight w:val="none"/>
                <w:vertAlign w:val="baseline"/>
              </w:rPr>
            </w:pPr>
          </w:p>
        </w:tc>
        <w:tc>
          <w:tcPr>
            <w:tcW w:w="775" w:type="dxa"/>
            <w:noWrap w:val="0"/>
            <w:vAlign w:val="center"/>
          </w:tcPr>
          <w:p w14:paraId="1640B3A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73" w:type="dxa"/>
            <w:noWrap w:val="0"/>
            <w:vAlign w:val="center"/>
          </w:tcPr>
          <w:p w14:paraId="080ACDD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796" w:type="dxa"/>
            <w:noWrap w:val="0"/>
            <w:vAlign w:val="center"/>
          </w:tcPr>
          <w:p w14:paraId="59F31E0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014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7" w:type="dxa"/>
            <w:noWrap w:val="0"/>
            <w:vAlign w:val="center"/>
          </w:tcPr>
          <w:p w14:paraId="4806AFF4">
            <w:pPr>
              <w:keepNext w:val="0"/>
              <w:keepLines w:val="0"/>
              <w:widowControl/>
              <w:suppressLineNumbers w:val="0"/>
              <w:jc w:val="center"/>
              <w:textAlignment w:val="center"/>
              <w:rPr>
                <w:rFonts w:hint="eastAsia"/>
                <w:color w:val="auto"/>
                <w:highlight w:val="none"/>
                <w:vertAlign w:val="baseline"/>
              </w:rPr>
            </w:pPr>
          </w:p>
        </w:tc>
        <w:tc>
          <w:tcPr>
            <w:tcW w:w="1161" w:type="dxa"/>
            <w:noWrap w:val="0"/>
            <w:vAlign w:val="center"/>
          </w:tcPr>
          <w:p w14:paraId="6C3BC3E0">
            <w:pPr>
              <w:keepNext w:val="0"/>
              <w:keepLines w:val="0"/>
              <w:widowControl/>
              <w:suppressLineNumbers w:val="0"/>
              <w:jc w:val="center"/>
              <w:textAlignment w:val="center"/>
              <w:rPr>
                <w:rFonts w:hint="eastAsia"/>
                <w:color w:val="auto"/>
                <w:highlight w:val="none"/>
                <w:vertAlign w:val="baseline"/>
              </w:rPr>
            </w:pPr>
          </w:p>
        </w:tc>
        <w:tc>
          <w:tcPr>
            <w:tcW w:w="669" w:type="dxa"/>
            <w:noWrap w:val="0"/>
            <w:vAlign w:val="center"/>
          </w:tcPr>
          <w:p w14:paraId="504F541C">
            <w:pPr>
              <w:keepNext w:val="0"/>
              <w:keepLines w:val="0"/>
              <w:widowControl/>
              <w:suppressLineNumbers w:val="0"/>
              <w:jc w:val="center"/>
              <w:textAlignment w:val="center"/>
              <w:rPr>
                <w:rFonts w:hint="eastAsia"/>
                <w:color w:val="auto"/>
                <w:highlight w:val="none"/>
                <w:vertAlign w:val="baseline"/>
              </w:rPr>
            </w:pPr>
          </w:p>
        </w:tc>
        <w:tc>
          <w:tcPr>
            <w:tcW w:w="1080" w:type="dxa"/>
            <w:noWrap w:val="0"/>
            <w:vAlign w:val="center"/>
          </w:tcPr>
          <w:p w14:paraId="44565E3B">
            <w:pPr>
              <w:keepNext w:val="0"/>
              <w:keepLines w:val="0"/>
              <w:widowControl/>
              <w:suppressLineNumbers w:val="0"/>
              <w:jc w:val="center"/>
              <w:textAlignment w:val="center"/>
              <w:rPr>
                <w:rFonts w:hint="eastAsia"/>
                <w:color w:val="auto"/>
                <w:highlight w:val="none"/>
                <w:vertAlign w:val="baseline"/>
              </w:rPr>
            </w:pPr>
          </w:p>
        </w:tc>
        <w:tc>
          <w:tcPr>
            <w:tcW w:w="908" w:type="dxa"/>
            <w:noWrap w:val="0"/>
            <w:vAlign w:val="center"/>
          </w:tcPr>
          <w:p w14:paraId="44B111BC">
            <w:pPr>
              <w:jc w:val="center"/>
              <w:rPr>
                <w:rFonts w:hint="eastAsia"/>
                <w:color w:val="auto"/>
                <w:highlight w:val="none"/>
                <w:vertAlign w:val="baseline"/>
              </w:rPr>
            </w:pPr>
          </w:p>
        </w:tc>
        <w:tc>
          <w:tcPr>
            <w:tcW w:w="754" w:type="dxa"/>
            <w:noWrap w:val="0"/>
            <w:vAlign w:val="center"/>
          </w:tcPr>
          <w:p w14:paraId="666FBE2F">
            <w:pPr>
              <w:keepNext w:val="0"/>
              <w:keepLines w:val="0"/>
              <w:widowControl/>
              <w:suppressLineNumbers w:val="0"/>
              <w:jc w:val="center"/>
              <w:textAlignment w:val="center"/>
              <w:rPr>
                <w:rFonts w:hint="eastAsia"/>
                <w:color w:val="auto"/>
                <w:highlight w:val="none"/>
                <w:vertAlign w:val="baseline"/>
              </w:rPr>
            </w:pPr>
          </w:p>
        </w:tc>
        <w:tc>
          <w:tcPr>
            <w:tcW w:w="996" w:type="dxa"/>
            <w:noWrap w:val="0"/>
            <w:vAlign w:val="center"/>
          </w:tcPr>
          <w:p w14:paraId="15B42DEE">
            <w:pPr>
              <w:keepNext w:val="0"/>
              <w:keepLines w:val="0"/>
              <w:widowControl/>
              <w:suppressLineNumbers w:val="0"/>
              <w:jc w:val="center"/>
              <w:textAlignment w:val="center"/>
              <w:rPr>
                <w:rFonts w:hint="eastAsia"/>
                <w:color w:val="auto"/>
                <w:highlight w:val="none"/>
                <w:vertAlign w:val="baseline"/>
              </w:rPr>
            </w:pPr>
          </w:p>
        </w:tc>
        <w:tc>
          <w:tcPr>
            <w:tcW w:w="775" w:type="dxa"/>
            <w:noWrap w:val="0"/>
            <w:vAlign w:val="center"/>
          </w:tcPr>
          <w:p w14:paraId="2C40848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73" w:type="dxa"/>
            <w:noWrap w:val="0"/>
            <w:vAlign w:val="center"/>
          </w:tcPr>
          <w:p w14:paraId="6F02264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796" w:type="dxa"/>
            <w:noWrap w:val="0"/>
            <w:vAlign w:val="center"/>
          </w:tcPr>
          <w:p w14:paraId="50A2CEC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772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7" w:type="dxa"/>
            <w:noWrap w:val="0"/>
            <w:vAlign w:val="center"/>
          </w:tcPr>
          <w:p w14:paraId="2F368F41">
            <w:pPr>
              <w:keepNext w:val="0"/>
              <w:keepLines w:val="0"/>
              <w:widowControl/>
              <w:suppressLineNumbers w:val="0"/>
              <w:jc w:val="center"/>
              <w:textAlignment w:val="center"/>
              <w:rPr>
                <w:rFonts w:hint="eastAsia"/>
                <w:color w:val="auto"/>
                <w:highlight w:val="none"/>
                <w:vertAlign w:val="baseline"/>
              </w:rPr>
            </w:pPr>
          </w:p>
        </w:tc>
        <w:tc>
          <w:tcPr>
            <w:tcW w:w="1161" w:type="dxa"/>
            <w:noWrap w:val="0"/>
            <w:vAlign w:val="center"/>
          </w:tcPr>
          <w:p w14:paraId="39F1A80F">
            <w:pPr>
              <w:keepNext w:val="0"/>
              <w:keepLines w:val="0"/>
              <w:widowControl/>
              <w:suppressLineNumbers w:val="0"/>
              <w:jc w:val="center"/>
              <w:textAlignment w:val="center"/>
              <w:rPr>
                <w:rFonts w:hint="eastAsia"/>
                <w:color w:val="auto"/>
                <w:highlight w:val="none"/>
                <w:vertAlign w:val="baseline"/>
              </w:rPr>
            </w:pPr>
          </w:p>
        </w:tc>
        <w:tc>
          <w:tcPr>
            <w:tcW w:w="669" w:type="dxa"/>
            <w:noWrap w:val="0"/>
            <w:vAlign w:val="center"/>
          </w:tcPr>
          <w:p w14:paraId="723351E4">
            <w:pPr>
              <w:keepNext w:val="0"/>
              <w:keepLines w:val="0"/>
              <w:widowControl/>
              <w:suppressLineNumbers w:val="0"/>
              <w:jc w:val="center"/>
              <w:textAlignment w:val="center"/>
              <w:rPr>
                <w:rFonts w:hint="eastAsia"/>
                <w:color w:val="auto"/>
                <w:highlight w:val="none"/>
                <w:vertAlign w:val="baseline"/>
              </w:rPr>
            </w:pPr>
          </w:p>
        </w:tc>
        <w:tc>
          <w:tcPr>
            <w:tcW w:w="1080" w:type="dxa"/>
            <w:noWrap w:val="0"/>
            <w:vAlign w:val="center"/>
          </w:tcPr>
          <w:p w14:paraId="03FEAF9E">
            <w:pPr>
              <w:jc w:val="center"/>
              <w:rPr>
                <w:rFonts w:hint="eastAsia"/>
                <w:color w:val="auto"/>
                <w:highlight w:val="none"/>
                <w:vertAlign w:val="baseline"/>
              </w:rPr>
            </w:pPr>
          </w:p>
        </w:tc>
        <w:tc>
          <w:tcPr>
            <w:tcW w:w="908" w:type="dxa"/>
            <w:noWrap w:val="0"/>
            <w:vAlign w:val="center"/>
          </w:tcPr>
          <w:p w14:paraId="59A7D431">
            <w:pPr>
              <w:jc w:val="center"/>
              <w:rPr>
                <w:rFonts w:hint="eastAsia"/>
                <w:color w:val="auto"/>
                <w:highlight w:val="none"/>
                <w:vertAlign w:val="baseline"/>
              </w:rPr>
            </w:pPr>
          </w:p>
        </w:tc>
        <w:tc>
          <w:tcPr>
            <w:tcW w:w="754" w:type="dxa"/>
            <w:noWrap w:val="0"/>
            <w:vAlign w:val="center"/>
          </w:tcPr>
          <w:p w14:paraId="34529F3D">
            <w:pPr>
              <w:keepNext w:val="0"/>
              <w:keepLines w:val="0"/>
              <w:widowControl/>
              <w:suppressLineNumbers w:val="0"/>
              <w:jc w:val="center"/>
              <w:textAlignment w:val="center"/>
              <w:rPr>
                <w:rFonts w:hint="eastAsia"/>
                <w:color w:val="auto"/>
                <w:highlight w:val="none"/>
                <w:vertAlign w:val="baseline"/>
              </w:rPr>
            </w:pPr>
          </w:p>
        </w:tc>
        <w:tc>
          <w:tcPr>
            <w:tcW w:w="996" w:type="dxa"/>
            <w:noWrap w:val="0"/>
            <w:vAlign w:val="center"/>
          </w:tcPr>
          <w:p w14:paraId="4D42B838">
            <w:pPr>
              <w:keepNext w:val="0"/>
              <w:keepLines w:val="0"/>
              <w:widowControl/>
              <w:suppressLineNumbers w:val="0"/>
              <w:jc w:val="center"/>
              <w:textAlignment w:val="center"/>
              <w:rPr>
                <w:rFonts w:hint="eastAsia"/>
                <w:color w:val="auto"/>
                <w:highlight w:val="none"/>
                <w:vertAlign w:val="baseline"/>
              </w:rPr>
            </w:pPr>
          </w:p>
        </w:tc>
        <w:tc>
          <w:tcPr>
            <w:tcW w:w="775" w:type="dxa"/>
            <w:noWrap w:val="0"/>
            <w:vAlign w:val="center"/>
          </w:tcPr>
          <w:p w14:paraId="0AE5ABF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73" w:type="dxa"/>
            <w:noWrap w:val="0"/>
            <w:vAlign w:val="center"/>
          </w:tcPr>
          <w:p w14:paraId="365492E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796" w:type="dxa"/>
            <w:noWrap w:val="0"/>
            <w:vAlign w:val="center"/>
          </w:tcPr>
          <w:p w14:paraId="6BD72A6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bl>
    <w:p w14:paraId="45B2F127">
      <w:pPr>
        <w:spacing w:beforeLines="50" w:line="360" w:lineRule="auto"/>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注：1、如果按单价计算的结果与总价不一致，以单价为准修正总价。</w:t>
      </w:r>
    </w:p>
    <w:p w14:paraId="2869F53A">
      <w:pPr>
        <w:pStyle w:val="43"/>
        <w:numPr>
          <w:ilvl w:val="0"/>
          <w:numId w:val="5"/>
        </w:numPr>
        <w:spacing w:line="360" w:lineRule="auto"/>
        <w:ind w:firstLine="560"/>
        <w:outlineLvl w:val="9"/>
        <w:rPr>
          <w:rFonts w:hint="eastAsia" w:ascii="仿宋" w:hAnsi="仿宋" w:eastAsia="仿宋" w:cs="仿宋"/>
          <w:color w:val="auto"/>
          <w:kern w:val="2"/>
          <w:sz w:val="24"/>
          <w:szCs w:val="18"/>
          <w:highlight w:val="none"/>
          <w:lang w:val="en-US" w:eastAsia="zh-CN" w:bidi="ar-SA"/>
        </w:rPr>
      </w:pPr>
      <w:r>
        <w:rPr>
          <w:rFonts w:hint="eastAsia" w:ascii="仿宋" w:hAnsi="仿宋" w:eastAsia="仿宋" w:cs="仿宋"/>
          <w:color w:val="auto"/>
          <w:sz w:val="24"/>
          <w:szCs w:val="18"/>
          <w:highlight w:val="none"/>
        </w:rPr>
        <w:t>供应商须参照第</w:t>
      </w:r>
      <w:r>
        <w:rPr>
          <w:rFonts w:hint="eastAsia" w:ascii="仿宋" w:hAnsi="仿宋" w:eastAsia="仿宋" w:cs="仿宋"/>
          <w:color w:val="auto"/>
          <w:sz w:val="24"/>
          <w:szCs w:val="18"/>
          <w:highlight w:val="none"/>
          <w:lang w:val="en-US" w:eastAsia="zh-CN"/>
        </w:rPr>
        <w:t>四</w:t>
      </w:r>
      <w:r>
        <w:rPr>
          <w:rFonts w:hint="eastAsia" w:ascii="仿宋" w:hAnsi="仿宋" w:eastAsia="仿宋" w:cs="仿宋"/>
          <w:color w:val="auto"/>
          <w:sz w:val="24"/>
          <w:szCs w:val="18"/>
          <w:highlight w:val="none"/>
        </w:rPr>
        <w:t>章各包所列明的内容全部报价。如果不提供详细分项报价视为未实质性响应招标</w:t>
      </w:r>
      <w:r>
        <w:rPr>
          <w:rFonts w:hint="eastAsia" w:ascii="仿宋" w:hAnsi="仿宋" w:eastAsia="仿宋" w:cs="仿宋"/>
          <w:color w:val="auto"/>
          <w:kern w:val="2"/>
          <w:sz w:val="24"/>
          <w:szCs w:val="18"/>
          <w:highlight w:val="none"/>
          <w:lang w:val="en-US" w:eastAsia="zh-CN" w:bidi="ar-SA"/>
        </w:rPr>
        <w:t>文件。</w:t>
      </w:r>
    </w:p>
    <w:p w14:paraId="2684993A">
      <w:pPr>
        <w:pStyle w:val="43"/>
        <w:numPr>
          <w:ilvl w:val="0"/>
          <w:numId w:val="0"/>
        </w:numPr>
        <w:spacing w:line="360" w:lineRule="auto"/>
        <w:ind w:firstLine="480" w:firstLineChars="200"/>
        <w:outlineLvl w:val="1"/>
        <w:rPr>
          <w:rFonts w:hint="eastAsia" w:eastAsia="宋体"/>
          <w:color w:val="auto"/>
          <w:sz w:val="24"/>
          <w:szCs w:val="18"/>
          <w:highlight w:val="none"/>
          <w:lang w:val="en-US" w:eastAsia="zh-CN"/>
        </w:rPr>
      </w:pPr>
      <w:bookmarkStart w:id="331" w:name="_Toc5124"/>
      <w:r>
        <w:rPr>
          <w:rFonts w:hint="eastAsia" w:ascii="仿宋" w:hAnsi="仿宋" w:eastAsia="仿宋" w:cs="仿宋"/>
          <w:color w:val="auto"/>
          <w:kern w:val="2"/>
          <w:sz w:val="24"/>
          <w:szCs w:val="18"/>
          <w:highlight w:val="none"/>
          <w:lang w:val="en-US" w:eastAsia="zh-CN" w:bidi="ar-SA"/>
        </w:rPr>
        <w:t>3、不得缺项漏项</w:t>
      </w:r>
      <w:bookmarkEnd w:id="331"/>
    </w:p>
    <w:p w14:paraId="15F87BDD">
      <w:pPr>
        <w:pStyle w:val="25"/>
        <w:rPr>
          <w:rFonts w:hint="eastAsia" w:ascii="仿宋" w:hAnsi="仿宋" w:eastAsia="仿宋" w:cs="仿宋"/>
          <w:color w:val="auto"/>
          <w:kern w:val="2"/>
          <w:sz w:val="24"/>
          <w:szCs w:val="22"/>
          <w:highlight w:val="none"/>
          <w:lang w:val="en-US" w:eastAsia="zh-CN" w:bidi="ar-SA"/>
        </w:rPr>
      </w:pPr>
    </w:p>
    <w:p w14:paraId="26DACFD7">
      <w:pPr>
        <w:pStyle w:val="25"/>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投标单位名称：（公章）</w:t>
      </w:r>
    </w:p>
    <w:p w14:paraId="69DB9CD3">
      <w:pPr>
        <w:pStyle w:val="25"/>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法定代表人、法定代表授权委托人：（签字或盖章）</w:t>
      </w:r>
    </w:p>
    <w:p w14:paraId="65337701">
      <w:pPr>
        <w:pStyle w:val="25"/>
        <w:ind w:left="0" w:leftChars="0" w:firstLine="960" w:firstLineChars="400"/>
        <w:jc w:val="both"/>
        <w:rPr>
          <w:rFonts w:hint="eastAsia" w:ascii="仿宋" w:hAnsi="仿宋" w:eastAsia="仿宋" w:cs="仿宋"/>
          <w:color w:val="auto"/>
          <w:sz w:val="28"/>
          <w:szCs w:val="28"/>
          <w:highlight w:val="none"/>
        </w:rPr>
      </w:pPr>
      <w:r>
        <w:rPr>
          <w:rFonts w:hint="eastAsia" w:ascii="仿宋" w:hAnsi="仿宋" w:eastAsia="仿宋" w:cs="仿宋"/>
          <w:color w:val="auto"/>
          <w:kern w:val="2"/>
          <w:sz w:val="24"/>
          <w:szCs w:val="22"/>
          <w:highlight w:val="none"/>
          <w:lang w:val="en-US" w:eastAsia="zh-CN" w:bidi="ar-SA"/>
        </w:rPr>
        <w:t>年      月     日</w:t>
      </w:r>
      <w:bookmarkStart w:id="332" w:name="_Toc25169"/>
      <w:bookmarkStart w:id="333" w:name="_Toc61184644"/>
      <w:bookmarkStart w:id="334" w:name="_Toc27579"/>
      <w:bookmarkStart w:id="335" w:name="_Toc56170401"/>
    </w:p>
    <w:p w14:paraId="3BA2440F">
      <w:pPr>
        <w:pStyle w:val="25"/>
        <w:jc w:val="both"/>
        <w:rPr>
          <w:rFonts w:hint="eastAsia" w:ascii="仿宋" w:hAnsi="仿宋" w:eastAsia="仿宋" w:cs="仿宋"/>
          <w:color w:val="auto"/>
          <w:sz w:val="28"/>
          <w:szCs w:val="28"/>
          <w:highlight w:val="none"/>
        </w:rPr>
      </w:pPr>
    </w:p>
    <w:p w14:paraId="4FFD6F2F">
      <w:pPr>
        <w:pStyle w:val="25"/>
        <w:ind w:left="0" w:leftChars="0" w:firstLine="0" w:firstLineChars="0"/>
        <w:jc w:val="both"/>
        <w:rPr>
          <w:rFonts w:hint="eastAsia" w:ascii="仿宋" w:hAnsi="仿宋" w:eastAsia="仿宋" w:cs="仿宋"/>
          <w:color w:val="auto"/>
          <w:sz w:val="28"/>
          <w:szCs w:val="28"/>
          <w:highlight w:val="none"/>
        </w:rPr>
      </w:pPr>
    </w:p>
    <w:p w14:paraId="6AD07699">
      <w:pPr>
        <w:pStyle w:val="25"/>
        <w:ind w:left="0" w:leftChars="0" w:firstLine="0" w:firstLineChars="0"/>
        <w:jc w:val="both"/>
        <w:rPr>
          <w:rFonts w:hint="eastAsia" w:ascii="仿宋" w:hAnsi="仿宋" w:eastAsia="仿宋" w:cs="仿宋"/>
          <w:color w:val="auto"/>
          <w:sz w:val="28"/>
          <w:szCs w:val="28"/>
          <w:highlight w:val="none"/>
        </w:rPr>
      </w:pPr>
    </w:p>
    <w:p w14:paraId="5AE281E7">
      <w:pPr>
        <w:pStyle w:val="25"/>
        <w:ind w:left="0" w:leftChars="0" w:firstLine="0" w:firstLineChars="0"/>
        <w:jc w:val="both"/>
        <w:rPr>
          <w:rFonts w:hint="eastAsia" w:ascii="仿宋" w:hAnsi="仿宋" w:eastAsia="仿宋" w:cs="仿宋"/>
          <w:color w:val="auto"/>
          <w:sz w:val="28"/>
          <w:szCs w:val="28"/>
          <w:highlight w:val="none"/>
        </w:rPr>
      </w:pPr>
    </w:p>
    <w:p w14:paraId="65B20501">
      <w:pPr>
        <w:pStyle w:val="25"/>
        <w:ind w:left="0" w:leftChars="0" w:firstLine="0" w:firstLineChars="0"/>
        <w:jc w:val="both"/>
        <w:rPr>
          <w:rFonts w:hint="eastAsia" w:ascii="仿宋" w:hAnsi="仿宋" w:eastAsia="仿宋" w:cs="仿宋"/>
          <w:color w:val="auto"/>
          <w:sz w:val="28"/>
          <w:szCs w:val="28"/>
          <w:highlight w:val="none"/>
        </w:rPr>
      </w:pPr>
    </w:p>
    <w:p w14:paraId="088C2348">
      <w:pPr>
        <w:pStyle w:val="25"/>
        <w:ind w:left="0" w:leftChars="0"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ab/>
      </w:r>
      <w:bookmarkStart w:id="336" w:name="_Toc29232"/>
      <w:r>
        <w:rPr>
          <w:rStyle w:val="78"/>
          <w:rFonts w:hint="eastAsia"/>
        </w:rPr>
        <w:t>附件十、技术规格偏离表</w:t>
      </w:r>
      <w:bookmarkEnd w:id="336"/>
    </w:p>
    <w:p w14:paraId="7744E96B">
      <w:pPr>
        <w:pStyle w:val="25"/>
        <w:ind w:left="0" w:leftChars="0" w:firstLine="0" w:firstLineChars="0"/>
        <w:jc w:val="center"/>
        <w:rPr>
          <w:rFonts w:hint="eastAsia" w:ascii="仿宋" w:hAnsi="仿宋" w:eastAsia="仿宋" w:cs="仿宋"/>
          <w:color w:val="auto"/>
          <w:sz w:val="28"/>
          <w:szCs w:val="28"/>
          <w:highlight w:val="none"/>
        </w:rPr>
      </w:pPr>
    </w:p>
    <w:p w14:paraId="1215A891">
      <w:pPr>
        <w:pStyle w:val="25"/>
        <w:ind w:left="0" w:lef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项目名称：                  </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lang w:eastAsia="zh-CN"/>
        </w:rPr>
        <w:t>编号：</w:t>
      </w:r>
      <w:r>
        <w:rPr>
          <w:rFonts w:hint="eastAsia" w:ascii="仿宋" w:hAnsi="仿宋" w:eastAsia="仿宋" w:cs="仿宋"/>
          <w:color w:val="auto"/>
          <w:sz w:val="24"/>
          <w:szCs w:val="24"/>
          <w:highlight w:val="none"/>
          <w:lang w:val="en-US" w:eastAsia="zh-CN"/>
        </w:rPr>
        <w:t xml:space="preserve">               </w:t>
      </w:r>
    </w:p>
    <w:bookmarkEnd w:id="332"/>
    <w:bookmarkEnd w:id="333"/>
    <w:bookmarkEnd w:id="334"/>
    <w:bookmarkEnd w:id="335"/>
    <w:tbl>
      <w:tblPr>
        <w:tblStyle w:val="26"/>
        <w:tblpPr w:leftFromText="180" w:rightFromText="180" w:vertAnchor="text" w:horzAnchor="page" w:tblpX="1221" w:tblpY="68"/>
        <w:tblOverlap w:val="never"/>
        <w:tblW w:w="9651" w:type="dxa"/>
        <w:tblInd w:w="0" w:type="dxa"/>
        <w:tblLayout w:type="fixed"/>
        <w:tblCellMar>
          <w:top w:w="0" w:type="dxa"/>
          <w:left w:w="108" w:type="dxa"/>
          <w:bottom w:w="0" w:type="dxa"/>
          <w:right w:w="108" w:type="dxa"/>
        </w:tblCellMar>
      </w:tblPr>
      <w:tblGrid>
        <w:gridCol w:w="1561"/>
        <w:gridCol w:w="1803"/>
        <w:gridCol w:w="1405"/>
        <w:gridCol w:w="2795"/>
        <w:gridCol w:w="2087"/>
      </w:tblGrid>
      <w:tr w14:paraId="06B4D7A0">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3B7A72C0">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03" w:type="dxa"/>
            <w:tcBorders>
              <w:top w:val="single" w:color="auto" w:sz="6" w:space="0"/>
              <w:left w:val="single" w:color="auto" w:sz="6" w:space="0"/>
              <w:bottom w:val="single" w:color="auto" w:sz="6" w:space="0"/>
              <w:right w:val="single" w:color="auto" w:sz="6" w:space="0"/>
            </w:tcBorders>
            <w:noWrap w:val="0"/>
            <w:vAlign w:val="center"/>
          </w:tcPr>
          <w:p w14:paraId="179225CF">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招标规格</w:t>
            </w:r>
          </w:p>
        </w:tc>
        <w:tc>
          <w:tcPr>
            <w:tcW w:w="1405" w:type="dxa"/>
            <w:tcBorders>
              <w:top w:val="single" w:color="auto" w:sz="6" w:space="0"/>
              <w:left w:val="single" w:color="auto" w:sz="6" w:space="0"/>
              <w:bottom w:val="single" w:color="auto" w:sz="6" w:space="0"/>
              <w:right w:val="single" w:color="auto" w:sz="6" w:space="0"/>
            </w:tcBorders>
            <w:noWrap w:val="0"/>
            <w:vAlign w:val="center"/>
          </w:tcPr>
          <w:p w14:paraId="4D2512DD">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投标规格</w:t>
            </w:r>
          </w:p>
        </w:tc>
        <w:tc>
          <w:tcPr>
            <w:tcW w:w="2795" w:type="dxa"/>
            <w:tcBorders>
              <w:top w:val="single" w:color="auto" w:sz="6" w:space="0"/>
              <w:left w:val="single" w:color="auto" w:sz="6" w:space="0"/>
              <w:bottom w:val="single" w:color="auto" w:sz="6" w:space="0"/>
              <w:right w:val="single" w:color="auto" w:sz="4" w:space="0"/>
            </w:tcBorders>
            <w:noWrap w:val="0"/>
            <w:vAlign w:val="center"/>
          </w:tcPr>
          <w:p w14:paraId="5718D707">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响应/偏离</w:t>
            </w:r>
          </w:p>
        </w:tc>
        <w:tc>
          <w:tcPr>
            <w:tcW w:w="2087" w:type="dxa"/>
            <w:tcBorders>
              <w:top w:val="single" w:color="auto" w:sz="6" w:space="0"/>
              <w:left w:val="single" w:color="auto" w:sz="4" w:space="0"/>
              <w:bottom w:val="single" w:color="auto" w:sz="6" w:space="0"/>
              <w:right w:val="single" w:color="auto" w:sz="6" w:space="0"/>
            </w:tcBorders>
            <w:noWrap w:val="0"/>
            <w:vAlign w:val="center"/>
          </w:tcPr>
          <w:p w14:paraId="1B4F9395">
            <w:pPr>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w:t>
            </w:r>
          </w:p>
        </w:tc>
      </w:tr>
      <w:tr w14:paraId="3F4FD1C3">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7F969B7D">
            <w:pPr>
              <w:spacing w:line="360" w:lineRule="auto"/>
              <w:ind w:firstLine="420"/>
              <w:jc w:val="center"/>
              <w:outlineLvl w:val="9"/>
              <w:rPr>
                <w:rFonts w:hint="eastAsia" w:ascii="仿宋" w:hAnsi="仿宋" w:eastAsia="仿宋" w:cs="仿宋"/>
                <w:color w:val="auto"/>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0843A099">
            <w:pPr>
              <w:spacing w:line="360" w:lineRule="auto"/>
              <w:ind w:firstLine="420"/>
              <w:jc w:val="center"/>
              <w:outlineLvl w:val="9"/>
              <w:rPr>
                <w:rFonts w:hint="eastAsia" w:ascii="仿宋" w:hAnsi="仿宋" w:eastAsia="仿宋" w:cs="仿宋"/>
                <w:color w:val="auto"/>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68735E6C">
            <w:pPr>
              <w:spacing w:line="360" w:lineRule="auto"/>
              <w:ind w:firstLine="420"/>
              <w:jc w:val="center"/>
              <w:outlineLvl w:val="9"/>
              <w:rPr>
                <w:rFonts w:hint="eastAsia" w:ascii="仿宋" w:hAnsi="仿宋" w:eastAsia="仿宋" w:cs="仿宋"/>
                <w:color w:val="auto"/>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1B323559">
            <w:pPr>
              <w:spacing w:line="360" w:lineRule="auto"/>
              <w:ind w:firstLine="420"/>
              <w:jc w:val="center"/>
              <w:outlineLvl w:val="9"/>
              <w:rPr>
                <w:rFonts w:hint="eastAsia" w:ascii="仿宋" w:hAnsi="仿宋" w:eastAsia="仿宋" w:cs="仿宋"/>
                <w:color w:val="auto"/>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7AED0D0E">
            <w:pPr>
              <w:spacing w:line="360" w:lineRule="auto"/>
              <w:ind w:firstLine="420"/>
              <w:jc w:val="center"/>
              <w:outlineLvl w:val="9"/>
              <w:rPr>
                <w:rFonts w:hint="eastAsia" w:ascii="仿宋" w:hAnsi="仿宋" w:eastAsia="仿宋" w:cs="仿宋"/>
                <w:color w:val="auto"/>
                <w:sz w:val="24"/>
                <w:szCs w:val="24"/>
                <w:highlight w:val="none"/>
              </w:rPr>
            </w:pPr>
          </w:p>
        </w:tc>
      </w:tr>
      <w:tr w14:paraId="56D06A91">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62BCCA09">
            <w:pPr>
              <w:spacing w:line="360" w:lineRule="auto"/>
              <w:ind w:firstLine="420"/>
              <w:jc w:val="center"/>
              <w:outlineLvl w:val="9"/>
              <w:rPr>
                <w:rFonts w:hint="eastAsia" w:ascii="仿宋" w:hAnsi="仿宋" w:eastAsia="仿宋" w:cs="仿宋"/>
                <w:color w:val="auto"/>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143468A5">
            <w:pPr>
              <w:spacing w:line="360" w:lineRule="auto"/>
              <w:ind w:firstLine="420"/>
              <w:jc w:val="center"/>
              <w:outlineLvl w:val="9"/>
              <w:rPr>
                <w:rFonts w:hint="eastAsia" w:ascii="仿宋" w:hAnsi="仿宋" w:eastAsia="仿宋" w:cs="仿宋"/>
                <w:color w:val="auto"/>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080F195F">
            <w:pPr>
              <w:spacing w:line="360" w:lineRule="auto"/>
              <w:ind w:firstLine="420"/>
              <w:jc w:val="center"/>
              <w:outlineLvl w:val="9"/>
              <w:rPr>
                <w:rFonts w:hint="eastAsia" w:ascii="仿宋" w:hAnsi="仿宋" w:eastAsia="仿宋" w:cs="仿宋"/>
                <w:color w:val="auto"/>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4736D225">
            <w:pPr>
              <w:spacing w:line="360" w:lineRule="auto"/>
              <w:ind w:firstLine="420"/>
              <w:jc w:val="center"/>
              <w:outlineLvl w:val="9"/>
              <w:rPr>
                <w:rFonts w:hint="eastAsia" w:ascii="仿宋" w:hAnsi="仿宋" w:eastAsia="仿宋" w:cs="仿宋"/>
                <w:color w:val="auto"/>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56703BD0">
            <w:pPr>
              <w:spacing w:line="360" w:lineRule="auto"/>
              <w:ind w:firstLine="420"/>
              <w:jc w:val="center"/>
              <w:outlineLvl w:val="9"/>
              <w:rPr>
                <w:rFonts w:hint="eastAsia" w:ascii="仿宋" w:hAnsi="仿宋" w:eastAsia="仿宋" w:cs="仿宋"/>
                <w:color w:val="auto"/>
                <w:sz w:val="24"/>
                <w:szCs w:val="24"/>
                <w:highlight w:val="none"/>
              </w:rPr>
            </w:pPr>
          </w:p>
        </w:tc>
      </w:tr>
      <w:tr w14:paraId="5A841C1D">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125A0FB4">
            <w:pPr>
              <w:spacing w:line="360" w:lineRule="auto"/>
              <w:ind w:firstLine="420"/>
              <w:jc w:val="center"/>
              <w:outlineLvl w:val="9"/>
              <w:rPr>
                <w:rFonts w:hint="eastAsia" w:ascii="仿宋" w:hAnsi="仿宋" w:eastAsia="仿宋" w:cs="仿宋"/>
                <w:color w:val="auto"/>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4E464510">
            <w:pPr>
              <w:spacing w:line="360" w:lineRule="auto"/>
              <w:ind w:firstLine="420"/>
              <w:jc w:val="center"/>
              <w:outlineLvl w:val="9"/>
              <w:rPr>
                <w:rFonts w:hint="eastAsia" w:ascii="仿宋" w:hAnsi="仿宋" w:eastAsia="仿宋" w:cs="仿宋"/>
                <w:color w:val="auto"/>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482FAFE8">
            <w:pPr>
              <w:spacing w:line="360" w:lineRule="auto"/>
              <w:ind w:firstLine="420"/>
              <w:jc w:val="center"/>
              <w:outlineLvl w:val="9"/>
              <w:rPr>
                <w:rFonts w:hint="eastAsia" w:ascii="仿宋" w:hAnsi="仿宋" w:eastAsia="仿宋" w:cs="仿宋"/>
                <w:color w:val="auto"/>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04197EBB">
            <w:pPr>
              <w:spacing w:line="360" w:lineRule="auto"/>
              <w:ind w:firstLine="420"/>
              <w:jc w:val="center"/>
              <w:outlineLvl w:val="9"/>
              <w:rPr>
                <w:rFonts w:hint="eastAsia" w:ascii="仿宋" w:hAnsi="仿宋" w:eastAsia="仿宋" w:cs="仿宋"/>
                <w:color w:val="auto"/>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29591437">
            <w:pPr>
              <w:spacing w:line="360" w:lineRule="auto"/>
              <w:ind w:firstLine="420"/>
              <w:jc w:val="center"/>
              <w:outlineLvl w:val="9"/>
              <w:rPr>
                <w:rFonts w:hint="eastAsia" w:ascii="仿宋" w:hAnsi="仿宋" w:eastAsia="仿宋" w:cs="仿宋"/>
                <w:color w:val="auto"/>
                <w:sz w:val="24"/>
                <w:szCs w:val="24"/>
                <w:highlight w:val="none"/>
              </w:rPr>
            </w:pPr>
          </w:p>
        </w:tc>
      </w:tr>
      <w:tr w14:paraId="56A3FA99">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3B78F33F">
            <w:pPr>
              <w:spacing w:line="360" w:lineRule="auto"/>
              <w:ind w:firstLine="420"/>
              <w:jc w:val="center"/>
              <w:outlineLvl w:val="9"/>
              <w:rPr>
                <w:rFonts w:hint="eastAsia" w:ascii="仿宋" w:hAnsi="仿宋" w:eastAsia="仿宋" w:cs="仿宋"/>
                <w:color w:val="auto"/>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226503EA">
            <w:pPr>
              <w:spacing w:line="360" w:lineRule="auto"/>
              <w:ind w:firstLine="420"/>
              <w:jc w:val="center"/>
              <w:outlineLvl w:val="9"/>
              <w:rPr>
                <w:rFonts w:hint="eastAsia" w:ascii="仿宋" w:hAnsi="仿宋" w:eastAsia="仿宋" w:cs="仿宋"/>
                <w:color w:val="auto"/>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1C710E0B">
            <w:pPr>
              <w:spacing w:line="360" w:lineRule="auto"/>
              <w:ind w:firstLine="420"/>
              <w:jc w:val="center"/>
              <w:outlineLvl w:val="9"/>
              <w:rPr>
                <w:rFonts w:hint="eastAsia" w:ascii="仿宋" w:hAnsi="仿宋" w:eastAsia="仿宋" w:cs="仿宋"/>
                <w:color w:val="auto"/>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2834641B">
            <w:pPr>
              <w:spacing w:line="360" w:lineRule="auto"/>
              <w:ind w:firstLine="420"/>
              <w:jc w:val="center"/>
              <w:outlineLvl w:val="9"/>
              <w:rPr>
                <w:rFonts w:hint="eastAsia" w:ascii="仿宋" w:hAnsi="仿宋" w:eastAsia="仿宋" w:cs="仿宋"/>
                <w:color w:val="auto"/>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49B4A76F">
            <w:pPr>
              <w:spacing w:line="360" w:lineRule="auto"/>
              <w:ind w:firstLine="420"/>
              <w:jc w:val="center"/>
              <w:outlineLvl w:val="9"/>
              <w:rPr>
                <w:rFonts w:hint="eastAsia" w:ascii="仿宋" w:hAnsi="仿宋" w:eastAsia="仿宋" w:cs="仿宋"/>
                <w:color w:val="auto"/>
                <w:sz w:val="24"/>
                <w:szCs w:val="24"/>
                <w:highlight w:val="none"/>
              </w:rPr>
            </w:pPr>
          </w:p>
        </w:tc>
      </w:tr>
      <w:tr w14:paraId="0B9C130C">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10A50DD2">
            <w:pPr>
              <w:spacing w:line="360" w:lineRule="auto"/>
              <w:ind w:firstLine="420"/>
              <w:jc w:val="center"/>
              <w:outlineLvl w:val="9"/>
              <w:rPr>
                <w:rFonts w:hint="eastAsia" w:ascii="仿宋" w:hAnsi="仿宋" w:eastAsia="仿宋" w:cs="仿宋"/>
                <w:color w:val="auto"/>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74EE1438">
            <w:pPr>
              <w:spacing w:line="360" w:lineRule="auto"/>
              <w:ind w:firstLine="420"/>
              <w:jc w:val="center"/>
              <w:outlineLvl w:val="9"/>
              <w:rPr>
                <w:rFonts w:hint="eastAsia" w:ascii="仿宋" w:hAnsi="仿宋" w:eastAsia="仿宋" w:cs="仿宋"/>
                <w:color w:val="auto"/>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4BB8AFA3">
            <w:pPr>
              <w:spacing w:line="360" w:lineRule="auto"/>
              <w:ind w:firstLine="420"/>
              <w:jc w:val="center"/>
              <w:outlineLvl w:val="9"/>
              <w:rPr>
                <w:rFonts w:hint="eastAsia" w:ascii="仿宋" w:hAnsi="仿宋" w:eastAsia="仿宋" w:cs="仿宋"/>
                <w:color w:val="auto"/>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17288E23">
            <w:pPr>
              <w:spacing w:line="360" w:lineRule="auto"/>
              <w:ind w:firstLine="420"/>
              <w:jc w:val="center"/>
              <w:outlineLvl w:val="9"/>
              <w:rPr>
                <w:rFonts w:hint="eastAsia" w:ascii="仿宋" w:hAnsi="仿宋" w:eastAsia="仿宋" w:cs="仿宋"/>
                <w:color w:val="auto"/>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63994B22">
            <w:pPr>
              <w:spacing w:line="360" w:lineRule="auto"/>
              <w:ind w:firstLine="420"/>
              <w:jc w:val="center"/>
              <w:outlineLvl w:val="9"/>
              <w:rPr>
                <w:rFonts w:hint="eastAsia" w:ascii="仿宋" w:hAnsi="仿宋" w:eastAsia="仿宋" w:cs="仿宋"/>
                <w:color w:val="auto"/>
                <w:sz w:val="24"/>
                <w:szCs w:val="24"/>
                <w:highlight w:val="none"/>
              </w:rPr>
            </w:pPr>
          </w:p>
        </w:tc>
      </w:tr>
      <w:tr w14:paraId="579254B0">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5053D9CF">
            <w:pPr>
              <w:spacing w:line="360" w:lineRule="auto"/>
              <w:ind w:firstLine="420"/>
              <w:jc w:val="center"/>
              <w:outlineLvl w:val="9"/>
              <w:rPr>
                <w:rFonts w:hint="eastAsia" w:ascii="仿宋" w:hAnsi="仿宋" w:eastAsia="仿宋" w:cs="仿宋"/>
                <w:color w:val="auto"/>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76C59F63">
            <w:pPr>
              <w:spacing w:line="360" w:lineRule="auto"/>
              <w:ind w:firstLine="420"/>
              <w:jc w:val="center"/>
              <w:outlineLvl w:val="9"/>
              <w:rPr>
                <w:rFonts w:hint="eastAsia" w:ascii="仿宋" w:hAnsi="仿宋" w:eastAsia="仿宋" w:cs="仿宋"/>
                <w:color w:val="auto"/>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4702AB15">
            <w:pPr>
              <w:spacing w:line="360" w:lineRule="auto"/>
              <w:ind w:firstLine="420"/>
              <w:jc w:val="center"/>
              <w:outlineLvl w:val="9"/>
              <w:rPr>
                <w:rFonts w:hint="eastAsia" w:ascii="仿宋" w:hAnsi="仿宋" w:eastAsia="仿宋" w:cs="仿宋"/>
                <w:color w:val="auto"/>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2EF80076">
            <w:pPr>
              <w:spacing w:line="360" w:lineRule="auto"/>
              <w:ind w:firstLine="420"/>
              <w:jc w:val="center"/>
              <w:outlineLvl w:val="9"/>
              <w:rPr>
                <w:rFonts w:hint="eastAsia" w:ascii="仿宋" w:hAnsi="仿宋" w:eastAsia="仿宋" w:cs="仿宋"/>
                <w:color w:val="auto"/>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1630790A">
            <w:pPr>
              <w:spacing w:line="360" w:lineRule="auto"/>
              <w:ind w:firstLine="420"/>
              <w:jc w:val="center"/>
              <w:outlineLvl w:val="9"/>
              <w:rPr>
                <w:rFonts w:hint="eastAsia" w:ascii="仿宋" w:hAnsi="仿宋" w:eastAsia="仿宋" w:cs="仿宋"/>
                <w:color w:val="auto"/>
                <w:sz w:val="24"/>
                <w:szCs w:val="24"/>
                <w:highlight w:val="none"/>
              </w:rPr>
            </w:pPr>
          </w:p>
        </w:tc>
      </w:tr>
      <w:tr w14:paraId="30DF9301">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0456280B">
            <w:pPr>
              <w:spacing w:line="360" w:lineRule="auto"/>
              <w:ind w:firstLine="420"/>
              <w:jc w:val="center"/>
              <w:outlineLvl w:val="9"/>
              <w:rPr>
                <w:rFonts w:hint="eastAsia" w:ascii="仿宋" w:hAnsi="仿宋" w:eastAsia="仿宋" w:cs="仿宋"/>
                <w:color w:val="auto"/>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619315D4">
            <w:pPr>
              <w:spacing w:line="360" w:lineRule="auto"/>
              <w:ind w:firstLine="420"/>
              <w:jc w:val="center"/>
              <w:outlineLvl w:val="9"/>
              <w:rPr>
                <w:rFonts w:hint="eastAsia" w:ascii="仿宋" w:hAnsi="仿宋" w:eastAsia="仿宋" w:cs="仿宋"/>
                <w:color w:val="auto"/>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148D789B">
            <w:pPr>
              <w:spacing w:line="360" w:lineRule="auto"/>
              <w:ind w:firstLine="420"/>
              <w:jc w:val="center"/>
              <w:outlineLvl w:val="9"/>
              <w:rPr>
                <w:rFonts w:hint="eastAsia" w:ascii="仿宋" w:hAnsi="仿宋" w:eastAsia="仿宋" w:cs="仿宋"/>
                <w:color w:val="auto"/>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1C6FFB08">
            <w:pPr>
              <w:spacing w:line="360" w:lineRule="auto"/>
              <w:ind w:firstLine="420"/>
              <w:jc w:val="center"/>
              <w:outlineLvl w:val="9"/>
              <w:rPr>
                <w:rFonts w:hint="eastAsia" w:ascii="仿宋" w:hAnsi="仿宋" w:eastAsia="仿宋" w:cs="仿宋"/>
                <w:color w:val="auto"/>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30FB9A90">
            <w:pPr>
              <w:spacing w:line="360" w:lineRule="auto"/>
              <w:ind w:firstLine="420"/>
              <w:jc w:val="center"/>
              <w:outlineLvl w:val="9"/>
              <w:rPr>
                <w:rFonts w:hint="eastAsia" w:ascii="仿宋" w:hAnsi="仿宋" w:eastAsia="仿宋" w:cs="仿宋"/>
                <w:color w:val="auto"/>
                <w:sz w:val="24"/>
                <w:szCs w:val="24"/>
                <w:highlight w:val="none"/>
              </w:rPr>
            </w:pPr>
          </w:p>
        </w:tc>
      </w:tr>
      <w:tr w14:paraId="1340EBB8">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4DFDD124">
            <w:pPr>
              <w:spacing w:line="360" w:lineRule="auto"/>
              <w:ind w:firstLine="420"/>
              <w:jc w:val="center"/>
              <w:outlineLvl w:val="9"/>
              <w:rPr>
                <w:rFonts w:hint="eastAsia" w:ascii="仿宋" w:hAnsi="仿宋" w:eastAsia="仿宋" w:cs="仿宋"/>
                <w:color w:val="auto"/>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28032B09">
            <w:pPr>
              <w:spacing w:line="360" w:lineRule="auto"/>
              <w:ind w:firstLine="420"/>
              <w:jc w:val="center"/>
              <w:outlineLvl w:val="9"/>
              <w:rPr>
                <w:rFonts w:hint="eastAsia" w:ascii="仿宋" w:hAnsi="仿宋" w:eastAsia="仿宋" w:cs="仿宋"/>
                <w:color w:val="auto"/>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6AF6B16F">
            <w:pPr>
              <w:spacing w:line="360" w:lineRule="auto"/>
              <w:ind w:firstLine="420"/>
              <w:jc w:val="center"/>
              <w:outlineLvl w:val="9"/>
              <w:rPr>
                <w:rFonts w:hint="eastAsia" w:ascii="仿宋" w:hAnsi="仿宋" w:eastAsia="仿宋" w:cs="仿宋"/>
                <w:color w:val="auto"/>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47A41F6E">
            <w:pPr>
              <w:spacing w:line="360" w:lineRule="auto"/>
              <w:ind w:firstLine="420"/>
              <w:jc w:val="center"/>
              <w:outlineLvl w:val="9"/>
              <w:rPr>
                <w:rFonts w:hint="eastAsia" w:ascii="仿宋" w:hAnsi="仿宋" w:eastAsia="仿宋" w:cs="仿宋"/>
                <w:color w:val="auto"/>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2EBF973E">
            <w:pPr>
              <w:spacing w:line="360" w:lineRule="auto"/>
              <w:ind w:firstLine="420"/>
              <w:jc w:val="center"/>
              <w:outlineLvl w:val="9"/>
              <w:rPr>
                <w:rFonts w:hint="eastAsia" w:ascii="仿宋" w:hAnsi="仿宋" w:eastAsia="仿宋" w:cs="仿宋"/>
                <w:color w:val="auto"/>
                <w:sz w:val="24"/>
                <w:szCs w:val="24"/>
                <w:highlight w:val="none"/>
              </w:rPr>
            </w:pPr>
          </w:p>
        </w:tc>
      </w:tr>
    </w:tbl>
    <w:p w14:paraId="1FD5E7A2">
      <w:pPr>
        <w:spacing w:line="360" w:lineRule="auto"/>
        <w:outlineLvl w:val="9"/>
        <w:rPr>
          <w:rFonts w:hint="eastAsia" w:ascii="仿宋" w:hAnsi="仿宋" w:eastAsia="仿宋" w:cs="仿宋"/>
          <w:color w:val="auto"/>
          <w:sz w:val="24"/>
          <w:szCs w:val="18"/>
          <w:highlight w:val="none"/>
        </w:rPr>
      </w:pPr>
    </w:p>
    <w:p w14:paraId="4E0D60EB">
      <w:pPr>
        <w:spacing w:line="360" w:lineRule="auto"/>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供应商须对第四章所有技术参数条款逐条列明是否响应，如有偏离，须一一列明。供应商所投产品必须提供国家权威部门出具的检验报告作为其技术指标的支持资料（国家无需检测的设备可以不提供检验报告）。对未提供技术支持资料的，或参数与其提供的技术支持资料不一致的，均视为偏离。）</w:t>
      </w:r>
    </w:p>
    <w:p w14:paraId="1655CB23">
      <w:pPr>
        <w:pStyle w:val="25"/>
        <w:rPr>
          <w:rFonts w:hint="eastAsia" w:ascii="仿宋" w:hAnsi="仿宋" w:eastAsia="仿宋" w:cs="仿宋"/>
          <w:color w:val="auto"/>
          <w:kern w:val="2"/>
          <w:sz w:val="24"/>
          <w:szCs w:val="22"/>
          <w:highlight w:val="none"/>
          <w:lang w:val="en-US" w:eastAsia="zh-CN" w:bidi="ar-SA"/>
        </w:rPr>
      </w:pPr>
      <w:bookmarkStart w:id="337" w:name="_Toc56170402"/>
      <w:bookmarkStart w:id="338" w:name="_Toc11172"/>
      <w:bookmarkStart w:id="339" w:name="_Toc61184645"/>
    </w:p>
    <w:p w14:paraId="1A2939A5">
      <w:pPr>
        <w:pStyle w:val="25"/>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投标单位名称：（公章）</w:t>
      </w:r>
    </w:p>
    <w:p w14:paraId="5C4D4D9B">
      <w:pPr>
        <w:pStyle w:val="25"/>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法定代表人、法定代表授权委托人：（签字或盖章）</w:t>
      </w:r>
    </w:p>
    <w:p w14:paraId="080058D6">
      <w:pPr>
        <w:pStyle w:val="25"/>
        <w:ind w:firstLine="960" w:firstLineChars="40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年      月     日</w:t>
      </w:r>
    </w:p>
    <w:p w14:paraId="4FE4082E">
      <w:pPr>
        <w:outlineLvl w:val="9"/>
        <w:rPr>
          <w:rFonts w:hint="eastAsia" w:ascii="仿宋" w:hAnsi="仿宋" w:eastAsia="仿宋" w:cs="仿宋"/>
          <w:color w:val="auto"/>
          <w:highlight w:val="none"/>
        </w:rPr>
      </w:pPr>
    </w:p>
    <w:p w14:paraId="0393145E">
      <w:pPr>
        <w:outlineLvl w:val="9"/>
        <w:rPr>
          <w:rFonts w:hint="eastAsia" w:ascii="仿宋" w:hAnsi="仿宋" w:eastAsia="仿宋" w:cs="仿宋"/>
          <w:color w:val="auto"/>
          <w:highlight w:val="none"/>
        </w:rPr>
      </w:pPr>
    </w:p>
    <w:p w14:paraId="3EBCFE26">
      <w:pPr>
        <w:outlineLvl w:val="9"/>
        <w:rPr>
          <w:rFonts w:hint="eastAsia" w:ascii="仿宋" w:hAnsi="仿宋" w:eastAsia="仿宋" w:cs="仿宋"/>
          <w:color w:val="auto"/>
          <w:highlight w:val="none"/>
        </w:rPr>
      </w:pPr>
    </w:p>
    <w:p w14:paraId="796A6713">
      <w:pPr>
        <w:outlineLvl w:val="9"/>
        <w:rPr>
          <w:rFonts w:hint="eastAsia" w:ascii="仿宋" w:hAnsi="仿宋" w:eastAsia="仿宋" w:cs="仿宋"/>
          <w:color w:val="auto"/>
          <w:highlight w:val="none"/>
        </w:rPr>
      </w:pPr>
    </w:p>
    <w:p w14:paraId="732D07F2">
      <w:pPr>
        <w:outlineLvl w:val="9"/>
        <w:rPr>
          <w:rFonts w:hint="eastAsia" w:ascii="仿宋" w:hAnsi="仿宋" w:eastAsia="仿宋" w:cs="仿宋"/>
          <w:color w:val="auto"/>
          <w:highlight w:val="none"/>
        </w:rPr>
      </w:pPr>
    </w:p>
    <w:p w14:paraId="794FF1DD">
      <w:pPr>
        <w:outlineLvl w:val="9"/>
        <w:rPr>
          <w:rFonts w:hint="eastAsia" w:ascii="仿宋" w:hAnsi="仿宋" w:eastAsia="仿宋" w:cs="仿宋"/>
          <w:color w:val="auto"/>
          <w:highlight w:val="none"/>
        </w:rPr>
      </w:pPr>
    </w:p>
    <w:p w14:paraId="6049B1CC">
      <w:pPr>
        <w:outlineLvl w:val="9"/>
        <w:rPr>
          <w:rFonts w:hint="eastAsia" w:ascii="仿宋" w:hAnsi="仿宋" w:eastAsia="仿宋" w:cs="仿宋"/>
          <w:color w:val="auto"/>
          <w:highlight w:val="none"/>
        </w:rPr>
      </w:pPr>
    </w:p>
    <w:p w14:paraId="068BCB52">
      <w:pPr>
        <w:outlineLvl w:val="9"/>
        <w:rPr>
          <w:rFonts w:hint="eastAsia" w:ascii="仿宋" w:hAnsi="仿宋" w:eastAsia="仿宋" w:cs="仿宋"/>
          <w:color w:val="auto"/>
          <w:highlight w:val="none"/>
        </w:rPr>
      </w:pPr>
    </w:p>
    <w:p w14:paraId="7B2DCAFE">
      <w:pPr>
        <w:outlineLvl w:val="9"/>
        <w:rPr>
          <w:rFonts w:hint="eastAsia" w:ascii="仿宋" w:hAnsi="仿宋" w:eastAsia="仿宋" w:cs="仿宋"/>
          <w:color w:val="auto"/>
          <w:highlight w:val="none"/>
        </w:rPr>
      </w:pPr>
    </w:p>
    <w:p w14:paraId="60F9E473">
      <w:pPr>
        <w:outlineLvl w:val="9"/>
        <w:rPr>
          <w:rFonts w:hint="eastAsia" w:ascii="仿宋" w:hAnsi="仿宋" w:eastAsia="仿宋" w:cs="仿宋"/>
          <w:color w:val="auto"/>
          <w:highlight w:val="none"/>
        </w:rPr>
      </w:pPr>
    </w:p>
    <w:p w14:paraId="5AF38098">
      <w:pPr>
        <w:outlineLvl w:val="9"/>
        <w:rPr>
          <w:rFonts w:hint="eastAsia" w:ascii="仿宋" w:hAnsi="仿宋" w:eastAsia="仿宋" w:cs="仿宋"/>
          <w:color w:val="auto"/>
          <w:highlight w:val="none"/>
        </w:rPr>
      </w:pPr>
    </w:p>
    <w:p w14:paraId="4F39CC16">
      <w:pPr>
        <w:outlineLvl w:val="9"/>
        <w:rPr>
          <w:rFonts w:hint="eastAsia" w:ascii="仿宋" w:hAnsi="仿宋" w:eastAsia="仿宋" w:cs="仿宋"/>
          <w:color w:val="auto"/>
          <w:highlight w:val="none"/>
        </w:rPr>
      </w:pPr>
    </w:p>
    <w:p w14:paraId="3C791B2B">
      <w:pPr>
        <w:pStyle w:val="3"/>
        <w:numPr>
          <w:ilvl w:val="0"/>
          <w:numId w:val="0"/>
        </w:numPr>
        <w:tabs>
          <w:tab w:val="clear" w:pos="720"/>
        </w:tabs>
        <w:bidi w:val="0"/>
        <w:ind w:leftChars="0"/>
        <w:outlineLvl w:val="0"/>
        <w:rPr>
          <w:rFonts w:hint="eastAsia" w:ascii="仿宋" w:hAnsi="仿宋" w:eastAsia="仿宋" w:cs="仿宋"/>
          <w:color w:val="auto"/>
          <w:szCs w:val="28"/>
          <w:highlight w:val="none"/>
        </w:rPr>
      </w:pPr>
      <w:bookmarkStart w:id="340" w:name="_Toc7951"/>
      <w:bookmarkStart w:id="341" w:name="_Toc23133"/>
      <w:bookmarkStart w:id="342" w:name="_Toc7617"/>
      <w:r>
        <w:rPr>
          <w:rFonts w:hint="eastAsia"/>
        </w:rPr>
        <w:t>附件十一、商务条款偏离表</w:t>
      </w:r>
      <w:bookmarkEnd w:id="337"/>
      <w:bookmarkEnd w:id="338"/>
      <w:bookmarkEnd w:id="339"/>
      <w:bookmarkEnd w:id="340"/>
      <w:bookmarkEnd w:id="341"/>
      <w:bookmarkEnd w:id="342"/>
    </w:p>
    <w:p w14:paraId="5A3A2F7D">
      <w:pPr>
        <w:jc w:val="both"/>
        <w:outlineLvl w:val="9"/>
        <w:rPr>
          <w:rFonts w:hint="eastAsia" w:ascii="仿宋" w:hAnsi="仿宋" w:eastAsia="仿宋" w:cs="仿宋"/>
          <w:color w:val="auto"/>
          <w:sz w:val="28"/>
          <w:szCs w:val="28"/>
          <w:highlight w:val="none"/>
        </w:rPr>
      </w:pPr>
    </w:p>
    <w:p w14:paraId="1A05FFF8">
      <w:pPr>
        <w:jc w:val="both"/>
        <w:outlineLvl w:val="0"/>
        <w:rPr>
          <w:rFonts w:hint="eastAsia" w:ascii="仿宋" w:hAnsi="仿宋" w:eastAsia="仿宋" w:cs="仿宋"/>
          <w:color w:val="auto"/>
          <w:sz w:val="24"/>
          <w:szCs w:val="24"/>
          <w:highlight w:val="none"/>
        </w:rPr>
      </w:pPr>
      <w:bookmarkStart w:id="343" w:name="_Toc13056"/>
      <w:r>
        <w:rPr>
          <w:rFonts w:hint="eastAsia" w:ascii="仿宋" w:hAnsi="仿宋" w:eastAsia="仿宋" w:cs="仿宋"/>
          <w:color w:val="auto"/>
          <w:sz w:val="24"/>
          <w:szCs w:val="24"/>
          <w:highlight w:val="none"/>
        </w:rPr>
        <w:t xml:space="preserve">项目名称：                  </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bookmarkEnd w:id="343"/>
      <w:r>
        <w:rPr>
          <w:rFonts w:hint="eastAsia" w:ascii="仿宋" w:hAnsi="仿宋" w:eastAsia="仿宋" w:cs="仿宋"/>
          <w:color w:val="auto"/>
          <w:sz w:val="24"/>
          <w:szCs w:val="24"/>
          <w:highlight w:val="none"/>
          <w:lang w:val="en-US" w:eastAsia="zh-CN"/>
        </w:rPr>
        <w:t xml:space="preserve">               </w:t>
      </w:r>
    </w:p>
    <w:tbl>
      <w:tblPr>
        <w:tblStyle w:val="26"/>
        <w:tblW w:w="9614" w:type="dxa"/>
        <w:jc w:val="center"/>
        <w:tblLayout w:type="fixed"/>
        <w:tblCellMar>
          <w:top w:w="0" w:type="dxa"/>
          <w:left w:w="108" w:type="dxa"/>
          <w:bottom w:w="0" w:type="dxa"/>
          <w:right w:w="108" w:type="dxa"/>
        </w:tblCellMar>
      </w:tblPr>
      <w:tblGrid>
        <w:gridCol w:w="1316"/>
        <w:gridCol w:w="1975"/>
        <w:gridCol w:w="1722"/>
        <w:gridCol w:w="2030"/>
        <w:gridCol w:w="2571"/>
      </w:tblGrid>
      <w:tr w14:paraId="665E56C4">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15F6F24D">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75" w:type="dxa"/>
            <w:tcBorders>
              <w:top w:val="single" w:color="auto" w:sz="6" w:space="0"/>
              <w:left w:val="single" w:color="auto" w:sz="6" w:space="0"/>
              <w:bottom w:val="single" w:color="auto" w:sz="6" w:space="0"/>
              <w:right w:val="single" w:color="auto" w:sz="6" w:space="0"/>
            </w:tcBorders>
            <w:noWrap w:val="0"/>
            <w:vAlign w:val="center"/>
          </w:tcPr>
          <w:p w14:paraId="7B5875D8">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条款序号</w:t>
            </w:r>
          </w:p>
        </w:tc>
        <w:tc>
          <w:tcPr>
            <w:tcW w:w="1722" w:type="dxa"/>
            <w:tcBorders>
              <w:top w:val="single" w:color="auto" w:sz="6" w:space="0"/>
              <w:left w:val="single" w:color="auto" w:sz="6" w:space="0"/>
              <w:bottom w:val="single" w:color="auto" w:sz="6" w:space="0"/>
              <w:right w:val="single" w:color="auto" w:sz="6" w:space="0"/>
            </w:tcBorders>
            <w:noWrap w:val="0"/>
            <w:vAlign w:val="center"/>
          </w:tcPr>
          <w:p w14:paraId="30D7B48D">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招标条款</w:t>
            </w:r>
          </w:p>
        </w:tc>
        <w:tc>
          <w:tcPr>
            <w:tcW w:w="2030" w:type="dxa"/>
            <w:tcBorders>
              <w:top w:val="single" w:color="auto" w:sz="6" w:space="0"/>
              <w:left w:val="single" w:color="auto" w:sz="6" w:space="0"/>
              <w:bottom w:val="single" w:color="auto" w:sz="6" w:space="0"/>
              <w:right w:val="single" w:color="auto" w:sz="6" w:space="0"/>
            </w:tcBorders>
            <w:noWrap w:val="0"/>
            <w:vAlign w:val="center"/>
          </w:tcPr>
          <w:p w14:paraId="60FACF7B">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投标条款</w:t>
            </w:r>
          </w:p>
        </w:tc>
        <w:tc>
          <w:tcPr>
            <w:tcW w:w="2571" w:type="dxa"/>
            <w:tcBorders>
              <w:top w:val="single" w:color="auto" w:sz="6" w:space="0"/>
              <w:left w:val="single" w:color="auto" w:sz="6" w:space="0"/>
              <w:bottom w:val="single" w:color="auto" w:sz="6" w:space="0"/>
              <w:right w:val="single" w:color="auto" w:sz="6" w:space="0"/>
            </w:tcBorders>
            <w:noWrap w:val="0"/>
            <w:vAlign w:val="center"/>
          </w:tcPr>
          <w:p w14:paraId="035C97FB">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响应/偏离</w:t>
            </w:r>
          </w:p>
        </w:tc>
      </w:tr>
      <w:tr w14:paraId="0E7BDC01">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53E36612">
            <w:pPr>
              <w:spacing w:line="360" w:lineRule="auto"/>
              <w:ind w:firstLine="420"/>
              <w:jc w:val="center"/>
              <w:outlineLvl w:val="9"/>
              <w:rPr>
                <w:rFonts w:hint="eastAsia" w:ascii="仿宋" w:hAnsi="仿宋" w:eastAsia="仿宋" w:cs="仿宋"/>
                <w:color w:val="auto"/>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01501536">
            <w:pPr>
              <w:spacing w:line="360" w:lineRule="auto"/>
              <w:ind w:firstLine="420"/>
              <w:jc w:val="center"/>
              <w:outlineLvl w:val="9"/>
              <w:rPr>
                <w:rFonts w:hint="eastAsia" w:ascii="仿宋" w:hAnsi="仿宋" w:eastAsia="仿宋" w:cs="仿宋"/>
                <w:color w:val="auto"/>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28EE8B16">
            <w:pPr>
              <w:spacing w:line="360" w:lineRule="auto"/>
              <w:ind w:firstLine="420"/>
              <w:jc w:val="center"/>
              <w:outlineLvl w:val="9"/>
              <w:rPr>
                <w:rFonts w:hint="eastAsia" w:ascii="仿宋" w:hAnsi="仿宋" w:eastAsia="仿宋" w:cs="仿宋"/>
                <w:color w:val="auto"/>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13B4524F">
            <w:pPr>
              <w:spacing w:line="360" w:lineRule="auto"/>
              <w:ind w:firstLine="420"/>
              <w:jc w:val="center"/>
              <w:outlineLvl w:val="9"/>
              <w:rPr>
                <w:rFonts w:hint="eastAsia" w:ascii="仿宋" w:hAnsi="仿宋" w:eastAsia="仿宋" w:cs="仿宋"/>
                <w:color w:val="auto"/>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197A5D07">
            <w:pPr>
              <w:spacing w:line="360" w:lineRule="auto"/>
              <w:ind w:firstLine="420"/>
              <w:jc w:val="center"/>
              <w:outlineLvl w:val="9"/>
              <w:rPr>
                <w:rFonts w:hint="eastAsia" w:ascii="仿宋" w:hAnsi="仿宋" w:eastAsia="仿宋" w:cs="仿宋"/>
                <w:color w:val="auto"/>
                <w:sz w:val="24"/>
                <w:szCs w:val="24"/>
                <w:highlight w:val="none"/>
              </w:rPr>
            </w:pPr>
          </w:p>
        </w:tc>
      </w:tr>
      <w:tr w14:paraId="21CC9F24">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25671BD2">
            <w:pPr>
              <w:spacing w:line="360" w:lineRule="auto"/>
              <w:ind w:firstLine="420"/>
              <w:jc w:val="center"/>
              <w:outlineLvl w:val="9"/>
              <w:rPr>
                <w:rFonts w:hint="eastAsia" w:ascii="仿宋" w:hAnsi="仿宋" w:eastAsia="仿宋" w:cs="仿宋"/>
                <w:color w:val="auto"/>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6F20AB6B">
            <w:pPr>
              <w:spacing w:line="360" w:lineRule="auto"/>
              <w:ind w:firstLine="420"/>
              <w:jc w:val="center"/>
              <w:outlineLvl w:val="9"/>
              <w:rPr>
                <w:rFonts w:hint="eastAsia" w:ascii="仿宋" w:hAnsi="仿宋" w:eastAsia="仿宋" w:cs="仿宋"/>
                <w:color w:val="auto"/>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58F4FE3B">
            <w:pPr>
              <w:spacing w:line="360" w:lineRule="auto"/>
              <w:ind w:firstLine="420"/>
              <w:jc w:val="center"/>
              <w:outlineLvl w:val="9"/>
              <w:rPr>
                <w:rFonts w:hint="eastAsia" w:ascii="仿宋" w:hAnsi="仿宋" w:eastAsia="仿宋" w:cs="仿宋"/>
                <w:color w:val="auto"/>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53FA6926">
            <w:pPr>
              <w:spacing w:line="360" w:lineRule="auto"/>
              <w:ind w:firstLine="420"/>
              <w:jc w:val="center"/>
              <w:outlineLvl w:val="9"/>
              <w:rPr>
                <w:rFonts w:hint="eastAsia" w:ascii="仿宋" w:hAnsi="仿宋" w:eastAsia="仿宋" w:cs="仿宋"/>
                <w:color w:val="auto"/>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4FA6AD48">
            <w:pPr>
              <w:spacing w:line="360" w:lineRule="auto"/>
              <w:ind w:firstLine="420"/>
              <w:jc w:val="center"/>
              <w:outlineLvl w:val="9"/>
              <w:rPr>
                <w:rFonts w:hint="eastAsia" w:ascii="仿宋" w:hAnsi="仿宋" w:eastAsia="仿宋" w:cs="仿宋"/>
                <w:color w:val="auto"/>
                <w:sz w:val="24"/>
                <w:szCs w:val="24"/>
                <w:highlight w:val="none"/>
              </w:rPr>
            </w:pPr>
          </w:p>
        </w:tc>
      </w:tr>
      <w:tr w14:paraId="29112BA7">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1B3AC8BC">
            <w:pPr>
              <w:spacing w:line="360" w:lineRule="auto"/>
              <w:ind w:firstLine="420"/>
              <w:jc w:val="center"/>
              <w:outlineLvl w:val="9"/>
              <w:rPr>
                <w:rFonts w:hint="eastAsia" w:ascii="仿宋" w:hAnsi="仿宋" w:eastAsia="仿宋" w:cs="仿宋"/>
                <w:color w:val="auto"/>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09EEE028">
            <w:pPr>
              <w:spacing w:line="360" w:lineRule="auto"/>
              <w:ind w:firstLine="420"/>
              <w:jc w:val="center"/>
              <w:outlineLvl w:val="9"/>
              <w:rPr>
                <w:rFonts w:hint="eastAsia" w:ascii="仿宋" w:hAnsi="仿宋" w:eastAsia="仿宋" w:cs="仿宋"/>
                <w:color w:val="auto"/>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34F215CC">
            <w:pPr>
              <w:spacing w:line="360" w:lineRule="auto"/>
              <w:ind w:firstLine="420"/>
              <w:jc w:val="center"/>
              <w:outlineLvl w:val="9"/>
              <w:rPr>
                <w:rFonts w:hint="eastAsia" w:ascii="仿宋" w:hAnsi="仿宋" w:eastAsia="仿宋" w:cs="仿宋"/>
                <w:color w:val="auto"/>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1BC5874E">
            <w:pPr>
              <w:spacing w:line="360" w:lineRule="auto"/>
              <w:ind w:firstLine="420"/>
              <w:jc w:val="center"/>
              <w:outlineLvl w:val="9"/>
              <w:rPr>
                <w:rFonts w:hint="eastAsia" w:ascii="仿宋" w:hAnsi="仿宋" w:eastAsia="仿宋" w:cs="仿宋"/>
                <w:color w:val="auto"/>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52E9E881">
            <w:pPr>
              <w:spacing w:line="360" w:lineRule="auto"/>
              <w:ind w:firstLine="420"/>
              <w:jc w:val="center"/>
              <w:outlineLvl w:val="9"/>
              <w:rPr>
                <w:rFonts w:hint="eastAsia" w:ascii="仿宋" w:hAnsi="仿宋" w:eastAsia="仿宋" w:cs="仿宋"/>
                <w:color w:val="auto"/>
                <w:sz w:val="24"/>
                <w:szCs w:val="24"/>
                <w:highlight w:val="none"/>
              </w:rPr>
            </w:pPr>
          </w:p>
        </w:tc>
      </w:tr>
      <w:tr w14:paraId="2FC8D985">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418F7F5E">
            <w:pPr>
              <w:spacing w:line="360" w:lineRule="auto"/>
              <w:ind w:firstLine="420"/>
              <w:jc w:val="center"/>
              <w:outlineLvl w:val="9"/>
              <w:rPr>
                <w:rFonts w:hint="eastAsia" w:ascii="仿宋" w:hAnsi="仿宋" w:eastAsia="仿宋" w:cs="仿宋"/>
                <w:color w:val="auto"/>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0BAB5407">
            <w:pPr>
              <w:spacing w:line="360" w:lineRule="auto"/>
              <w:ind w:firstLine="420"/>
              <w:jc w:val="center"/>
              <w:outlineLvl w:val="9"/>
              <w:rPr>
                <w:rFonts w:hint="eastAsia" w:ascii="仿宋" w:hAnsi="仿宋" w:eastAsia="仿宋" w:cs="仿宋"/>
                <w:color w:val="auto"/>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05C058C4">
            <w:pPr>
              <w:spacing w:line="360" w:lineRule="auto"/>
              <w:ind w:firstLine="420"/>
              <w:jc w:val="center"/>
              <w:outlineLvl w:val="9"/>
              <w:rPr>
                <w:rFonts w:hint="eastAsia" w:ascii="仿宋" w:hAnsi="仿宋" w:eastAsia="仿宋" w:cs="仿宋"/>
                <w:color w:val="auto"/>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7A8DFCC8">
            <w:pPr>
              <w:spacing w:line="360" w:lineRule="auto"/>
              <w:ind w:firstLine="420"/>
              <w:jc w:val="center"/>
              <w:outlineLvl w:val="9"/>
              <w:rPr>
                <w:rFonts w:hint="eastAsia" w:ascii="仿宋" w:hAnsi="仿宋" w:eastAsia="仿宋" w:cs="仿宋"/>
                <w:color w:val="auto"/>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43C72C4B">
            <w:pPr>
              <w:spacing w:line="360" w:lineRule="auto"/>
              <w:ind w:firstLine="420"/>
              <w:jc w:val="center"/>
              <w:outlineLvl w:val="9"/>
              <w:rPr>
                <w:rFonts w:hint="eastAsia" w:ascii="仿宋" w:hAnsi="仿宋" w:eastAsia="仿宋" w:cs="仿宋"/>
                <w:color w:val="auto"/>
                <w:sz w:val="24"/>
                <w:szCs w:val="24"/>
                <w:highlight w:val="none"/>
              </w:rPr>
            </w:pPr>
          </w:p>
        </w:tc>
      </w:tr>
      <w:tr w14:paraId="5AC197F3">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7C21808E">
            <w:pPr>
              <w:spacing w:line="360" w:lineRule="auto"/>
              <w:ind w:firstLine="420"/>
              <w:jc w:val="center"/>
              <w:outlineLvl w:val="9"/>
              <w:rPr>
                <w:rFonts w:hint="eastAsia" w:ascii="仿宋" w:hAnsi="仿宋" w:eastAsia="仿宋" w:cs="仿宋"/>
                <w:color w:val="auto"/>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0767D728">
            <w:pPr>
              <w:spacing w:line="360" w:lineRule="auto"/>
              <w:ind w:firstLine="420"/>
              <w:jc w:val="center"/>
              <w:outlineLvl w:val="9"/>
              <w:rPr>
                <w:rFonts w:hint="eastAsia" w:ascii="仿宋" w:hAnsi="仿宋" w:eastAsia="仿宋" w:cs="仿宋"/>
                <w:color w:val="auto"/>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32910FD8">
            <w:pPr>
              <w:spacing w:line="360" w:lineRule="auto"/>
              <w:ind w:firstLine="420"/>
              <w:jc w:val="center"/>
              <w:outlineLvl w:val="9"/>
              <w:rPr>
                <w:rFonts w:hint="eastAsia" w:ascii="仿宋" w:hAnsi="仿宋" w:eastAsia="仿宋" w:cs="仿宋"/>
                <w:color w:val="auto"/>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448F3EEF">
            <w:pPr>
              <w:spacing w:line="360" w:lineRule="auto"/>
              <w:ind w:firstLine="420"/>
              <w:jc w:val="center"/>
              <w:outlineLvl w:val="9"/>
              <w:rPr>
                <w:rFonts w:hint="eastAsia" w:ascii="仿宋" w:hAnsi="仿宋" w:eastAsia="仿宋" w:cs="仿宋"/>
                <w:color w:val="auto"/>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3CDBAA16">
            <w:pPr>
              <w:spacing w:line="360" w:lineRule="auto"/>
              <w:ind w:firstLine="420"/>
              <w:jc w:val="center"/>
              <w:outlineLvl w:val="9"/>
              <w:rPr>
                <w:rFonts w:hint="eastAsia" w:ascii="仿宋" w:hAnsi="仿宋" w:eastAsia="仿宋" w:cs="仿宋"/>
                <w:color w:val="auto"/>
                <w:sz w:val="24"/>
                <w:szCs w:val="24"/>
                <w:highlight w:val="none"/>
              </w:rPr>
            </w:pPr>
          </w:p>
        </w:tc>
      </w:tr>
      <w:tr w14:paraId="12F442DF">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42B88E2A">
            <w:pPr>
              <w:spacing w:line="360" w:lineRule="auto"/>
              <w:ind w:firstLine="420"/>
              <w:jc w:val="center"/>
              <w:outlineLvl w:val="9"/>
              <w:rPr>
                <w:rFonts w:hint="eastAsia" w:ascii="仿宋" w:hAnsi="仿宋" w:eastAsia="仿宋" w:cs="仿宋"/>
                <w:color w:val="auto"/>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117A34D6">
            <w:pPr>
              <w:spacing w:line="360" w:lineRule="auto"/>
              <w:ind w:firstLine="420"/>
              <w:jc w:val="center"/>
              <w:outlineLvl w:val="9"/>
              <w:rPr>
                <w:rFonts w:hint="eastAsia" w:ascii="仿宋" w:hAnsi="仿宋" w:eastAsia="仿宋" w:cs="仿宋"/>
                <w:color w:val="auto"/>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41ADE9EB">
            <w:pPr>
              <w:spacing w:line="360" w:lineRule="auto"/>
              <w:ind w:firstLine="420"/>
              <w:jc w:val="center"/>
              <w:outlineLvl w:val="9"/>
              <w:rPr>
                <w:rFonts w:hint="eastAsia" w:ascii="仿宋" w:hAnsi="仿宋" w:eastAsia="仿宋" w:cs="仿宋"/>
                <w:color w:val="auto"/>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3D460879">
            <w:pPr>
              <w:spacing w:line="360" w:lineRule="auto"/>
              <w:ind w:firstLine="420"/>
              <w:jc w:val="center"/>
              <w:outlineLvl w:val="9"/>
              <w:rPr>
                <w:rFonts w:hint="eastAsia" w:ascii="仿宋" w:hAnsi="仿宋" w:eastAsia="仿宋" w:cs="仿宋"/>
                <w:color w:val="auto"/>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3BA24426">
            <w:pPr>
              <w:spacing w:line="360" w:lineRule="auto"/>
              <w:ind w:firstLine="420"/>
              <w:jc w:val="center"/>
              <w:outlineLvl w:val="9"/>
              <w:rPr>
                <w:rFonts w:hint="eastAsia" w:ascii="仿宋" w:hAnsi="仿宋" w:eastAsia="仿宋" w:cs="仿宋"/>
                <w:color w:val="auto"/>
                <w:sz w:val="24"/>
                <w:szCs w:val="24"/>
                <w:highlight w:val="none"/>
              </w:rPr>
            </w:pPr>
          </w:p>
        </w:tc>
      </w:tr>
      <w:tr w14:paraId="2862C8F3">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41D4CBB6">
            <w:pPr>
              <w:spacing w:line="360" w:lineRule="auto"/>
              <w:ind w:firstLine="420"/>
              <w:jc w:val="center"/>
              <w:outlineLvl w:val="9"/>
              <w:rPr>
                <w:rFonts w:hint="eastAsia" w:ascii="仿宋" w:hAnsi="仿宋" w:eastAsia="仿宋" w:cs="仿宋"/>
                <w:color w:val="auto"/>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5BA41BB8">
            <w:pPr>
              <w:spacing w:line="360" w:lineRule="auto"/>
              <w:ind w:firstLine="420"/>
              <w:jc w:val="center"/>
              <w:outlineLvl w:val="9"/>
              <w:rPr>
                <w:rFonts w:hint="eastAsia" w:ascii="仿宋" w:hAnsi="仿宋" w:eastAsia="仿宋" w:cs="仿宋"/>
                <w:color w:val="auto"/>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121B75C1">
            <w:pPr>
              <w:spacing w:line="360" w:lineRule="auto"/>
              <w:ind w:firstLine="420"/>
              <w:jc w:val="center"/>
              <w:outlineLvl w:val="9"/>
              <w:rPr>
                <w:rFonts w:hint="eastAsia" w:ascii="仿宋" w:hAnsi="仿宋" w:eastAsia="仿宋" w:cs="仿宋"/>
                <w:color w:val="auto"/>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45A8E17C">
            <w:pPr>
              <w:spacing w:line="360" w:lineRule="auto"/>
              <w:ind w:firstLine="420"/>
              <w:jc w:val="center"/>
              <w:outlineLvl w:val="9"/>
              <w:rPr>
                <w:rFonts w:hint="eastAsia" w:ascii="仿宋" w:hAnsi="仿宋" w:eastAsia="仿宋" w:cs="仿宋"/>
                <w:color w:val="auto"/>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3BD2D98E">
            <w:pPr>
              <w:spacing w:line="360" w:lineRule="auto"/>
              <w:ind w:firstLine="420"/>
              <w:jc w:val="center"/>
              <w:outlineLvl w:val="9"/>
              <w:rPr>
                <w:rFonts w:hint="eastAsia" w:ascii="仿宋" w:hAnsi="仿宋" w:eastAsia="仿宋" w:cs="仿宋"/>
                <w:color w:val="auto"/>
                <w:sz w:val="24"/>
                <w:szCs w:val="24"/>
                <w:highlight w:val="none"/>
              </w:rPr>
            </w:pPr>
          </w:p>
        </w:tc>
      </w:tr>
    </w:tbl>
    <w:p w14:paraId="0E2D1FC0">
      <w:pPr>
        <w:spacing w:line="360" w:lineRule="auto"/>
        <w:outlineLvl w:val="9"/>
        <w:rPr>
          <w:rFonts w:hint="eastAsia" w:ascii="仿宋" w:hAnsi="仿宋" w:eastAsia="仿宋" w:cs="仿宋"/>
          <w:color w:val="auto"/>
          <w:sz w:val="28"/>
          <w:highlight w:val="none"/>
        </w:rPr>
      </w:pPr>
    </w:p>
    <w:p w14:paraId="64D875BC">
      <w:pPr>
        <w:pStyle w:val="25"/>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投标单位名称：（公章）</w:t>
      </w:r>
    </w:p>
    <w:p w14:paraId="58EE9B4E">
      <w:pPr>
        <w:pStyle w:val="25"/>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法定代表人、法定代表授权委托人：（签字或盖章）</w:t>
      </w:r>
    </w:p>
    <w:p w14:paraId="2215E018">
      <w:pPr>
        <w:pStyle w:val="25"/>
        <w:ind w:firstLine="960" w:firstLineChars="40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年      月     日</w:t>
      </w:r>
    </w:p>
    <w:p w14:paraId="1403B6F9">
      <w:pPr>
        <w:jc w:val="center"/>
        <w:outlineLvl w:val="9"/>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344" w:name="_Toc5469"/>
      <w:bookmarkStart w:id="345" w:name="_Toc14660"/>
      <w:bookmarkStart w:id="346" w:name="_Toc61184646"/>
      <w:bookmarkStart w:id="347" w:name="_Toc5354"/>
      <w:bookmarkStart w:id="348" w:name="_Toc56170403"/>
    </w:p>
    <w:p w14:paraId="644EA79C">
      <w:pPr>
        <w:jc w:val="center"/>
        <w:outlineLvl w:val="9"/>
        <w:rPr>
          <w:rFonts w:hint="eastAsia" w:ascii="仿宋" w:hAnsi="仿宋" w:eastAsia="仿宋" w:cs="仿宋"/>
          <w:color w:val="auto"/>
          <w:highlight w:val="none"/>
        </w:rPr>
      </w:pPr>
    </w:p>
    <w:p w14:paraId="2D3AF4FF">
      <w:pPr>
        <w:pStyle w:val="3"/>
        <w:numPr>
          <w:ilvl w:val="0"/>
          <w:numId w:val="0"/>
        </w:numPr>
        <w:tabs>
          <w:tab w:val="clear" w:pos="720"/>
        </w:tabs>
        <w:bidi w:val="0"/>
        <w:ind w:leftChars="0"/>
        <w:outlineLvl w:val="0"/>
        <w:rPr>
          <w:rFonts w:hint="eastAsia" w:ascii="仿宋" w:hAnsi="仿宋" w:eastAsia="仿宋" w:cs="仿宋"/>
          <w:color w:val="auto"/>
          <w:szCs w:val="28"/>
          <w:highlight w:val="none"/>
        </w:rPr>
      </w:pPr>
      <w:bookmarkStart w:id="349" w:name="_Toc11485"/>
      <w:r>
        <w:rPr>
          <w:rFonts w:hint="eastAsia"/>
        </w:rPr>
        <w:t>附件十二、近三年</w:t>
      </w:r>
      <w:r>
        <w:rPr>
          <w:rFonts w:hint="eastAsia"/>
          <w:lang w:eastAsia="zh-CN"/>
        </w:rPr>
        <w:t>（</w:t>
      </w:r>
      <w:r>
        <w:rPr>
          <w:rFonts w:hint="eastAsia"/>
          <w:lang w:val="en-US" w:eastAsia="zh-CN"/>
        </w:rPr>
        <w:t>2022年1月至今</w:t>
      </w:r>
      <w:r>
        <w:rPr>
          <w:rFonts w:hint="eastAsia"/>
          <w:lang w:eastAsia="zh-CN"/>
        </w:rPr>
        <w:t>）</w:t>
      </w:r>
      <w:r>
        <w:rPr>
          <w:rFonts w:hint="eastAsia"/>
        </w:rPr>
        <w:t>销售业绩表</w:t>
      </w:r>
      <w:bookmarkEnd w:id="344"/>
      <w:bookmarkEnd w:id="345"/>
      <w:bookmarkEnd w:id="346"/>
      <w:bookmarkEnd w:id="347"/>
      <w:bookmarkEnd w:id="348"/>
      <w:bookmarkEnd w:id="349"/>
    </w:p>
    <w:p w14:paraId="694F6B3B">
      <w:pPr>
        <w:jc w:val="center"/>
        <w:outlineLvl w:val="9"/>
        <w:rPr>
          <w:rFonts w:hint="eastAsia" w:ascii="仿宋" w:hAnsi="仿宋" w:eastAsia="仿宋" w:cs="仿宋"/>
          <w:color w:val="auto"/>
          <w:sz w:val="28"/>
          <w:szCs w:val="28"/>
          <w:highlight w:val="none"/>
        </w:rPr>
      </w:pPr>
    </w:p>
    <w:tbl>
      <w:tblPr>
        <w:tblStyle w:val="26"/>
        <w:tblW w:w="9551" w:type="dxa"/>
        <w:jc w:val="center"/>
        <w:tblLayout w:type="fixed"/>
        <w:tblCellMar>
          <w:top w:w="0" w:type="dxa"/>
          <w:left w:w="108" w:type="dxa"/>
          <w:bottom w:w="0" w:type="dxa"/>
          <w:right w:w="108" w:type="dxa"/>
        </w:tblCellMar>
      </w:tblPr>
      <w:tblGrid>
        <w:gridCol w:w="2417"/>
        <w:gridCol w:w="2643"/>
        <w:gridCol w:w="1680"/>
        <w:gridCol w:w="1457"/>
        <w:gridCol w:w="1354"/>
      </w:tblGrid>
      <w:tr w14:paraId="68A1370B">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13823D40">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地区</w:t>
            </w:r>
          </w:p>
        </w:tc>
        <w:tc>
          <w:tcPr>
            <w:tcW w:w="2643" w:type="dxa"/>
            <w:tcBorders>
              <w:top w:val="single" w:color="auto" w:sz="6" w:space="0"/>
              <w:left w:val="single" w:color="auto" w:sz="6" w:space="0"/>
              <w:bottom w:val="single" w:color="auto" w:sz="6" w:space="0"/>
              <w:right w:val="single" w:color="auto" w:sz="6" w:space="0"/>
            </w:tcBorders>
            <w:noWrap w:val="0"/>
            <w:vAlign w:val="center"/>
          </w:tcPr>
          <w:p w14:paraId="6A2DE41C">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680" w:type="dxa"/>
            <w:tcBorders>
              <w:top w:val="single" w:color="auto" w:sz="6" w:space="0"/>
              <w:left w:val="single" w:color="auto" w:sz="6" w:space="0"/>
              <w:bottom w:val="single" w:color="auto" w:sz="6" w:space="0"/>
              <w:right w:val="single" w:color="auto" w:sz="6" w:space="0"/>
            </w:tcBorders>
            <w:noWrap w:val="0"/>
            <w:vAlign w:val="center"/>
          </w:tcPr>
          <w:p w14:paraId="18D3D53A">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中标内容</w:t>
            </w:r>
          </w:p>
        </w:tc>
        <w:tc>
          <w:tcPr>
            <w:tcW w:w="1457" w:type="dxa"/>
            <w:tcBorders>
              <w:top w:val="single" w:color="auto" w:sz="6" w:space="0"/>
              <w:left w:val="single" w:color="auto" w:sz="6" w:space="0"/>
              <w:bottom w:val="single" w:color="auto" w:sz="6" w:space="0"/>
              <w:right w:val="single" w:color="auto" w:sz="6" w:space="0"/>
            </w:tcBorders>
            <w:noWrap w:val="0"/>
            <w:vAlign w:val="center"/>
          </w:tcPr>
          <w:p w14:paraId="26BAF806">
            <w:pPr>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中标金额</w:t>
            </w:r>
          </w:p>
        </w:tc>
        <w:tc>
          <w:tcPr>
            <w:tcW w:w="1354" w:type="dxa"/>
            <w:tcBorders>
              <w:top w:val="single" w:color="auto" w:sz="6" w:space="0"/>
              <w:left w:val="single" w:color="auto" w:sz="6" w:space="0"/>
              <w:bottom w:val="single" w:color="auto" w:sz="6" w:space="0"/>
              <w:right w:val="single" w:color="auto" w:sz="6" w:space="0"/>
            </w:tcBorders>
            <w:noWrap w:val="0"/>
            <w:vAlign w:val="center"/>
          </w:tcPr>
          <w:p w14:paraId="14EF46B3">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 注</w:t>
            </w:r>
          </w:p>
        </w:tc>
      </w:tr>
      <w:tr w14:paraId="07209BCA">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5E5C6AC0">
            <w:pPr>
              <w:spacing w:line="360" w:lineRule="auto"/>
              <w:ind w:firstLine="420"/>
              <w:jc w:val="center"/>
              <w:outlineLvl w:val="9"/>
              <w:rPr>
                <w:rFonts w:hint="eastAsia" w:ascii="仿宋" w:hAnsi="仿宋" w:eastAsia="仿宋" w:cs="仿宋"/>
                <w:color w:val="auto"/>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3FF7D212">
            <w:pPr>
              <w:spacing w:line="360" w:lineRule="auto"/>
              <w:ind w:firstLine="420"/>
              <w:jc w:val="center"/>
              <w:outlineLvl w:val="9"/>
              <w:rPr>
                <w:rFonts w:hint="eastAsia" w:ascii="仿宋" w:hAnsi="仿宋" w:eastAsia="仿宋" w:cs="仿宋"/>
                <w:color w:val="auto"/>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53619DD5">
            <w:pPr>
              <w:spacing w:line="360" w:lineRule="auto"/>
              <w:ind w:firstLine="420"/>
              <w:jc w:val="center"/>
              <w:outlineLvl w:val="9"/>
              <w:rPr>
                <w:rFonts w:hint="eastAsia" w:ascii="仿宋" w:hAnsi="仿宋" w:eastAsia="仿宋" w:cs="仿宋"/>
                <w:color w:val="auto"/>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24F784BB">
            <w:pPr>
              <w:spacing w:line="360" w:lineRule="auto"/>
              <w:ind w:firstLine="420"/>
              <w:jc w:val="center"/>
              <w:outlineLvl w:val="9"/>
              <w:rPr>
                <w:rFonts w:hint="eastAsia" w:ascii="仿宋" w:hAnsi="仿宋" w:eastAsia="仿宋" w:cs="仿宋"/>
                <w:color w:val="auto"/>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4D26AE20">
            <w:pPr>
              <w:spacing w:line="360" w:lineRule="auto"/>
              <w:ind w:firstLine="420"/>
              <w:jc w:val="center"/>
              <w:outlineLvl w:val="9"/>
              <w:rPr>
                <w:rFonts w:hint="eastAsia" w:ascii="仿宋" w:hAnsi="仿宋" w:eastAsia="仿宋" w:cs="仿宋"/>
                <w:color w:val="auto"/>
                <w:sz w:val="24"/>
                <w:szCs w:val="24"/>
                <w:highlight w:val="none"/>
              </w:rPr>
            </w:pPr>
          </w:p>
        </w:tc>
      </w:tr>
      <w:tr w14:paraId="73673FC6">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3A08E6A0">
            <w:pPr>
              <w:spacing w:line="360" w:lineRule="auto"/>
              <w:ind w:firstLine="420"/>
              <w:jc w:val="center"/>
              <w:outlineLvl w:val="9"/>
              <w:rPr>
                <w:rFonts w:hint="eastAsia" w:ascii="仿宋" w:hAnsi="仿宋" w:eastAsia="仿宋" w:cs="仿宋"/>
                <w:color w:val="auto"/>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00CAA46A">
            <w:pPr>
              <w:spacing w:line="360" w:lineRule="auto"/>
              <w:ind w:firstLine="420"/>
              <w:jc w:val="center"/>
              <w:outlineLvl w:val="9"/>
              <w:rPr>
                <w:rFonts w:hint="eastAsia" w:ascii="仿宋" w:hAnsi="仿宋" w:eastAsia="仿宋" w:cs="仿宋"/>
                <w:color w:val="auto"/>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5459A9F0">
            <w:pPr>
              <w:spacing w:line="360" w:lineRule="auto"/>
              <w:ind w:firstLine="420"/>
              <w:jc w:val="center"/>
              <w:outlineLvl w:val="9"/>
              <w:rPr>
                <w:rFonts w:hint="eastAsia" w:ascii="仿宋" w:hAnsi="仿宋" w:eastAsia="仿宋" w:cs="仿宋"/>
                <w:color w:val="auto"/>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458691DA">
            <w:pPr>
              <w:spacing w:line="360" w:lineRule="auto"/>
              <w:ind w:firstLine="420"/>
              <w:jc w:val="center"/>
              <w:outlineLvl w:val="9"/>
              <w:rPr>
                <w:rFonts w:hint="eastAsia" w:ascii="仿宋" w:hAnsi="仿宋" w:eastAsia="仿宋" w:cs="仿宋"/>
                <w:color w:val="auto"/>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64DFE461">
            <w:pPr>
              <w:spacing w:line="360" w:lineRule="auto"/>
              <w:ind w:firstLine="420"/>
              <w:jc w:val="center"/>
              <w:outlineLvl w:val="9"/>
              <w:rPr>
                <w:rFonts w:hint="eastAsia" w:ascii="仿宋" w:hAnsi="仿宋" w:eastAsia="仿宋" w:cs="仿宋"/>
                <w:color w:val="auto"/>
                <w:sz w:val="24"/>
                <w:szCs w:val="24"/>
                <w:highlight w:val="none"/>
              </w:rPr>
            </w:pPr>
          </w:p>
        </w:tc>
      </w:tr>
      <w:tr w14:paraId="181B84AA">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67DC2ADD">
            <w:pPr>
              <w:spacing w:line="360" w:lineRule="auto"/>
              <w:ind w:firstLine="420"/>
              <w:jc w:val="center"/>
              <w:outlineLvl w:val="9"/>
              <w:rPr>
                <w:rFonts w:hint="eastAsia" w:ascii="仿宋" w:hAnsi="仿宋" w:eastAsia="仿宋" w:cs="仿宋"/>
                <w:color w:val="auto"/>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716C4DE3">
            <w:pPr>
              <w:spacing w:line="360" w:lineRule="auto"/>
              <w:ind w:firstLine="420"/>
              <w:jc w:val="center"/>
              <w:outlineLvl w:val="9"/>
              <w:rPr>
                <w:rFonts w:hint="eastAsia" w:ascii="仿宋" w:hAnsi="仿宋" w:eastAsia="仿宋" w:cs="仿宋"/>
                <w:color w:val="auto"/>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414AE95B">
            <w:pPr>
              <w:spacing w:line="360" w:lineRule="auto"/>
              <w:ind w:firstLine="420"/>
              <w:jc w:val="center"/>
              <w:outlineLvl w:val="9"/>
              <w:rPr>
                <w:rFonts w:hint="eastAsia" w:ascii="仿宋" w:hAnsi="仿宋" w:eastAsia="仿宋" w:cs="仿宋"/>
                <w:color w:val="auto"/>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3F185D1F">
            <w:pPr>
              <w:spacing w:line="360" w:lineRule="auto"/>
              <w:ind w:firstLine="420"/>
              <w:jc w:val="center"/>
              <w:outlineLvl w:val="9"/>
              <w:rPr>
                <w:rFonts w:hint="eastAsia" w:ascii="仿宋" w:hAnsi="仿宋" w:eastAsia="仿宋" w:cs="仿宋"/>
                <w:color w:val="auto"/>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18113680">
            <w:pPr>
              <w:spacing w:line="360" w:lineRule="auto"/>
              <w:ind w:firstLine="420"/>
              <w:jc w:val="center"/>
              <w:outlineLvl w:val="9"/>
              <w:rPr>
                <w:rFonts w:hint="eastAsia" w:ascii="仿宋" w:hAnsi="仿宋" w:eastAsia="仿宋" w:cs="仿宋"/>
                <w:color w:val="auto"/>
                <w:sz w:val="24"/>
                <w:szCs w:val="24"/>
                <w:highlight w:val="none"/>
              </w:rPr>
            </w:pPr>
          </w:p>
        </w:tc>
      </w:tr>
      <w:tr w14:paraId="4304A378">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5572689D">
            <w:pPr>
              <w:spacing w:line="360" w:lineRule="auto"/>
              <w:ind w:firstLine="420"/>
              <w:jc w:val="center"/>
              <w:outlineLvl w:val="9"/>
              <w:rPr>
                <w:rFonts w:hint="eastAsia" w:ascii="仿宋" w:hAnsi="仿宋" w:eastAsia="仿宋" w:cs="仿宋"/>
                <w:color w:val="auto"/>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1D656DEF">
            <w:pPr>
              <w:spacing w:line="360" w:lineRule="auto"/>
              <w:ind w:firstLine="420"/>
              <w:jc w:val="center"/>
              <w:outlineLvl w:val="9"/>
              <w:rPr>
                <w:rFonts w:hint="eastAsia" w:ascii="仿宋" w:hAnsi="仿宋" w:eastAsia="仿宋" w:cs="仿宋"/>
                <w:color w:val="auto"/>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7057734">
            <w:pPr>
              <w:spacing w:line="360" w:lineRule="auto"/>
              <w:ind w:firstLine="420"/>
              <w:jc w:val="center"/>
              <w:outlineLvl w:val="9"/>
              <w:rPr>
                <w:rFonts w:hint="eastAsia" w:ascii="仿宋" w:hAnsi="仿宋" w:eastAsia="仿宋" w:cs="仿宋"/>
                <w:color w:val="auto"/>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56061AF2">
            <w:pPr>
              <w:spacing w:line="360" w:lineRule="auto"/>
              <w:ind w:firstLine="420"/>
              <w:jc w:val="center"/>
              <w:outlineLvl w:val="9"/>
              <w:rPr>
                <w:rFonts w:hint="eastAsia" w:ascii="仿宋" w:hAnsi="仿宋" w:eastAsia="仿宋" w:cs="仿宋"/>
                <w:color w:val="auto"/>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6C755A4D">
            <w:pPr>
              <w:spacing w:line="360" w:lineRule="auto"/>
              <w:ind w:firstLine="420"/>
              <w:jc w:val="center"/>
              <w:outlineLvl w:val="9"/>
              <w:rPr>
                <w:rFonts w:hint="eastAsia" w:ascii="仿宋" w:hAnsi="仿宋" w:eastAsia="仿宋" w:cs="仿宋"/>
                <w:color w:val="auto"/>
                <w:sz w:val="24"/>
                <w:szCs w:val="24"/>
                <w:highlight w:val="none"/>
              </w:rPr>
            </w:pPr>
          </w:p>
        </w:tc>
      </w:tr>
      <w:tr w14:paraId="3BB769F8">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7AFE0538">
            <w:pPr>
              <w:spacing w:line="360" w:lineRule="auto"/>
              <w:ind w:firstLine="420"/>
              <w:jc w:val="center"/>
              <w:outlineLvl w:val="9"/>
              <w:rPr>
                <w:rFonts w:hint="eastAsia" w:ascii="仿宋" w:hAnsi="仿宋" w:eastAsia="仿宋" w:cs="仿宋"/>
                <w:color w:val="auto"/>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0A1A945E">
            <w:pPr>
              <w:spacing w:line="360" w:lineRule="auto"/>
              <w:ind w:firstLine="420"/>
              <w:jc w:val="center"/>
              <w:outlineLvl w:val="9"/>
              <w:rPr>
                <w:rFonts w:hint="eastAsia" w:ascii="仿宋" w:hAnsi="仿宋" w:eastAsia="仿宋" w:cs="仿宋"/>
                <w:color w:val="auto"/>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6E9E6E45">
            <w:pPr>
              <w:spacing w:line="360" w:lineRule="auto"/>
              <w:ind w:firstLine="420"/>
              <w:jc w:val="center"/>
              <w:outlineLvl w:val="9"/>
              <w:rPr>
                <w:rFonts w:hint="eastAsia" w:ascii="仿宋" w:hAnsi="仿宋" w:eastAsia="仿宋" w:cs="仿宋"/>
                <w:color w:val="auto"/>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5E564196">
            <w:pPr>
              <w:spacing w:line="360" w:lineRule="auto"/>
              <w:ind w:firstLine="420"/>
              <w:jc w:val="center"/>
              <w:outlineLvl w:val="9"/>
              <w:rPr>
                <w:rFonts w:hint="eastAsia" w:ascii="仿宋" w:hAnsi="仿宋" w:eastAsia="仿宋" w:cs="仿宋"/>
                <w:color w:val="auto"/>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3BEA3BCF">
            <w:pPr>
              <w:spacing w:line="360" w:lineRule="auto"/>
              <w:ind w:firstLine="420"/>
              <w:jc w:val="center"/>
              <w:outlineLvl w:val="9"/>
              <w:rPr>
                <w:rFonts w:hint="eastAsia" w:ascii="仿宋" w:hAnsi="仿宋" w:eastAsia="仿宋" w:cs="仿宋"/>
                <w:color w:val="auto"/>
                <w:sz w:val="24"/>
                <w:szCs w:val="24"/>
                <w:highlight w:val="none"/>
              </w:rPr>
            </w:pPr>
          </w:p>
        </w:tc>
      </w:tr>
      <w:tr w14:paraId="6CFC1BA5">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6013529F">
            <w:pPr>
              <w:spacing w:line="360" w:lineRule="auto"/>
              <w:ind w:firstLine="420"/>
              <w:jc w:val="center"/>
              <w:outlineLvl w:val="9"/>
              <w:rPr>
                <w:rFonts w:hint="eastAsia" w:ascii="仿宋" w:hAnsi="仿宋" w:eastAsia="仿宋" w:cs="仿宋"/>
                <w:color w:val="auto"/>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33D50436">
            <w:pPr>
              <w:spacing w:line="360" w:lineRule="auto"/>
              <w:ind w:firstLine="420"/>
              <w:jc w:val="center"/>
              <w:outlineLvl w:val="9"/>
              <w:rPr>
                <w:rFonts w:hint="eastAsia" w:ascii="仿宋" w:hAnsi="仿宋" w:eastAsia="仿宋" w:cs="仿宋"/>
                <w:color w:val="auto"/>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5D865477">
            <w:pPr>
              <w:spacing w:line="360" w:lineRule="auto"/>
              <w:ind w:firstLine="420"/>
              <w:jc w:val="center"/>
              <w:outlineLvl w:val="9"/>
              <w:rPr>
                <w:rFonts w:hint="eastAsia" w:ascii="仿宋" w:hAnsi="仿宋" w:eastAsia="仿宋" w:cs="仿宋"/>
                <w:color w:val="auto"/>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338DE36A">
            <w:pPr>
              <w:spacing w:line="360" w:lineRule="auto"/>
              <w:ind w:firstLine="420"/>
              <w:jc w:val="center"/>
              <w:outlineLvl w:val="9"/>
              <w:rPr>
                <w:rFonts w:hint="eastAsia" w:ascii="仿宋" w:hAnsi="仿宋" w:eastAsia="仿宋" w:cs="仿宋"/>
                <w:color w:val="auto"/>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110682A1">
            <w:pPr>
              <w:spacing w:line="360" w:lineRule="auto"/>
              <w:ind w:firstLine="420"/>
              <w:jc w:val="center"/>
              <w:outlineLvl w:val="9"/>
              <w:rPr>
                <w:rFonts w:hint="eastAsia" w:ascii="仿宋" w:hAnsi="仿宋" w:eastAsia="仿宋" w:cs="仿宋"/>
                <w:color w:val="auto"/>
                <w:sz w:val="24"/>
                <w:szCs w:val="24"/>
                <w:highlight w:val="none"/>
              </w:rPr>
            </w:pPr>
          </w:p>
        </w:tc>
      </w:tr>
      <w:tr w14:paraId="210C19BF">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54417BAD">
            <w:pPr>
              <w:spacing w:line="360" w:lineRule="auto"/>
              <w:ind w:firstLine="420"/>
              <w:jc w:val="center"/>
              <w:outlineLvl w:val="9"/>
              <w:rPr>
                <w:rFonts w:hint="eastAsia" w:ascii="仿宋" w:hAnsi="仿宋" w:eastAsia="仿宋" w:cs="仿宋"/>
                <w:color w:val="auto"/>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3E397F6C">
            <w:pPr>
              <w:spacing w:line="360" w:lineRule="auto"/>
              <w:ind w:firstLine="420"/>
              <w:jc w:val="center"/>
              <w:outlineLvl w:val="9"/>
              <w:rPr>
                <w:rFonts w:hint="eastAsia" w:ascii="仿宋" w:hAnsi="仿宋" w:eastAsia="仿宋" w:cs="仿宋"/>
                <w:color w:val="auto"/>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E8B834C">
            <w:pPr>
              <w:spacing w:line="360" w:lineRule="auto"/>
              <w:ind w:firstLine="420"/>
              <w:jc w:val="center"/>
              <w:outlineLvl w:val="9"/>
              <w:rPr>
                <w:rFonts w:hint="eastAsia" w:ascii="仿宋" w:hAnsi="仿宋" w:eastAsia="仿宋" w:cs="仿宋"/>
                <w:color w:val="auto"/>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4D221530">
            <w:pPr>
              <w:spacing w:line="360" w:lineRule="auto"/>
              <w:ind w:firstLine="420"/>
              <w:jc w:val="center"/>
              <w:outlineLvl w:val="9"/>
              <w:rPr>
                <w:rFonts w:hint="eastAsia" w:ascii="仿宋" w:hAnsi="仿宋" w:eastAsia="仿宋" w:cs="仿宋"/>
                <w:color w:val="auto"/>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7316A458">
            <w:pPr>
              <w:spacing w:line="360" w:lineRule="auto"/>
              <w:ind w:firstLine="420"/>
              <w:jc w:val="center"/>
              <w:outlineLvl w:val="9"/>
              <w:rPr>
                <w:rFonts w:hint="eastAsia" w:ascii="仿宋" w:hAnsi="仿宋" w:eastAsia="仿宋" w:cs="仿宋"/>
                <w:color w:val="auto"/>
                <w:sz w:val="24"/>
                <w:szCs w:val="24"/>
                <w:highlight w:val="none"/>
              </w:rPr>
            </w:pPr>
          </w:p>
        </w:tc>
      </w:tr>
      <w:tr w14:paraId="44AA8246">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7A5C43F2">
            <w:pPr>
              <w:spacing w:line="360" w:lineRule="auto"/>
              <w:ind w:firstLine="420"/>
              <w:jc w:val="center"/>
              <w:outlineLvl w:val="9"/>
              <w:rPr>
                <w:rFonts w:hint="eastAsia" w:ascii="仿宋" w:hAnsi="仿宋" w:eastAsia="仿宋" w:cs="仿宋"/>
                <w:color w:val="auto"/>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1D06C011">
            <w:pPr>
              <w:spacing w:line="360" w:lineRule="auto"/>
              <w:ind w:firstLine="420"/>
              <w:jc w:val="center"/>
              <w:outlineLvl w:val="9"/>
              <w:rPr>
                <w:rFonts w:hint="eastAsia" w:ascii="仿宋" w:hAnsi="仿宋" w:eastAsia="仿宋" w:cs="仿宋"/>
                <w:color w:val="auto"/>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39AA7A68">
            <w:pPr>
              <w:spacing w:line="360" w:lineRule="auto"/>
              <w:ind w:firstLine="420"/>
              <w:jc w:val="center"/>
              <w:outlineLvl w:val="9"/>
              <w:rPr>
                <w:rFonts w:hint="eastAsia" w:ascii="仿宋" w:hAnsi="仿宋" w:eastAsia="仿宋" w:cs="仿宋"/>
                <w:color w:val="auto"/>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01E1A53B">
            <w:pPr>
              <w:spacing w:line="360" w:lineRule="auto"/>
              <w:ind w:firstLine="420"/>
              <w:jc w:val="center"/>
              <w:outlineLvl w:val="9"/>
              <w:rPr>
                <w:rFonts w:hint="eastAsia" w:ascii="仿宋" w:hAnsi="仿宋" w:eastAsia="仿宋" w:cs="仿宋"/>
                <w:color w:val="auto"/>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0616EAAD">
            <w:pPr>
              <w:spacing w:line="360" w:lineRule="auto"/>
              <w:ind w:firstLine="420"/>
              <w:jc w:val="center"/>
              <w:outlineLvl w:val="9"/>
              <w:rPr>
                <w:rFonts w:hint="eastAsia" w:ascii="仿宋" w:hAnsi="仿宋" w:eastAsia="仿宋" w:cs="仿宋"/>
                <w:color w:val="auto"/>
                <w:sz w:val="24"/>
                <w:szCs w:val="24"/>
                <w:highlight w:val="none"/>
              </w:rPr>
            </w:pPr>
          </w:p>
        </w:tc>
      </w:tr>
    </w:tbl>
    <w:p w14:paraId="43DCFE98">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应随此表附上相关的业绩证明（以供应商提供的同类业绩证明资料如合同或者</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通知书复印件为准）。</w:t>
      </w:r>
    </w:p>
    <w:p w14:paraId="000B00EE">
      <w:pPr>
        <w:pStyle w:val="25"/>
        <w:rPr>
          <w:rFonts w:hint="eastAsia" w:ascii="仿宋" w:hAnsi="仿宋" w:eastAsia="仿宋" w:cs="仿宋"/>
          <w:color w:val="auto"/>
          <w:kern w:val="2"/>
          <w:sz w:val="24"/>
          <w:szCs w:val="22"/>
          <w:highlight w:val="none"/>
          <w:lang w:val="en-US" w:eastAsia="zh-CN" w:bidi="ar-SA"/>
        </w:rPr>
      </w:pPr>
    </w:p>
    <w:p w14:paraId="0DDA307F">
      <w:pPr>
        <w:pStyle w:val="25"/>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投标单位名称：（公章）</w:t>
      </w:r>
    </w:p>
    <w:p w14:paraId="26726592">
      <w:pPr>
        <w:pStyle w:val="25"/>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法定代表人、法定代表授权委托人：（签字或盖章）</w:t>
      </w:r>
    </w:p>
    <w:p w14:paraId="1BCB9AAA">
      <w:pPr>
        <w:pStyle w:val="25"/>
        <w:ind w:firstLine="960" w:firstLineChars="40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年      月     日</w:t>
      </w:r>
    </w:p>
    <w:p w14:paraId="4B7AE0FB">
      <w:pPr>
        <w:rPr>
          <w:rFonts w:hint="eastAsia"/>
          <w:sz w:val="20"/>
          <w:szCs w:val="18"/>
        </w:rPr>
      </w:pPr>
    </w:p>
    <w:p w14:paraId="07803A10">
      <w:pPr>
        <w:rPr>
          <w:rFonts w:hint="eastAsia"/>
          <w:sz w:val="20"/>
          <w:szCs w:val="18"/>
        </w:rPr>
      </w:pPr>
    </w:p>
    <w:p w14:paraId="35E27E61">
      <w:pPr>
        <w:rPr>
          <w:rFonts w:hint="eastAsia"/>
        </w:rPr>
      </w:pPr>
    </w:p>
    <w:p w14:paraId="12FC32B7">
      <w:pPr>
        <w:rPr>
          <w:rFonts w:hint="eastAsia"/>
        </w:rPr>
      </w:pPr>
    </w:p>
    <w:p w14:paraId="42B84011">
      <w:pPr>
        <w:rPr>
          <w:rFonts w:hint="eastAsia"/>
        </w:rPr>
      </w:pPr>
    </w:p>
    <w:p w14:paraId="4C70E482">
      <w:pPr>
        <w:rPr>
          <w:rFonts w:hint="eastAsia"/>
        </w:rPr>
      </w:pPr>
    </w:p>
    <w:p w14:paraId="5B102B59">
      <w:pPr>
        <w:rPr>
          <w:rFonts w:hint="eastAsia"/>
        </w:rPr>
      </w:pPr>
    </w:p>
    <w:p w14:paraId="6E6D78F7">
      <w:pPr>
        <w:rPr>
          <w:rFonts w:hint="eastAsia"/>
        </w:rPr>
      </w:pPr>
    </w:p>
    <w:p w14:paraId="46318D17">
      <w:pPr>
        <w:rPr>
          <w:rFonts w:hint="eastAsia"/>
        </w:rPr>
      </w:pPr>
    </w:p>
    <w:p w14:paraId="0474B266">
      <w:pPr>
        <w:rPr>
          <w:rFonts w:hint="eastAsia"/>
        </w:rPr>
      </w:pPr>
    </w:p>
    <w:p w14:paraId="60ABB6E2">
      <w:pPr>
        <w:rPr>
          <w:rFonts w:hint="eastAsia"/>
        </w:rPr>
      </w:pPr>
    </w:p>
    <w:p w14:paraId="706A92F7">
      <w:pPr>
        <w:rPr>
          <w:rFonts w:hint="eastAsia"/>
        </w:rPr>
      </w:pPr>
    </w:p>
    <w:p w14:paraId="6235B3B2">
      <w:pPr>
        <w:rPr>
          <w:rFonts w:hint="eastAsia"/>
        </w:rPr>
      </w:pPr>
    </w:p>
    <w:p w14:paraId="0AD48729">
      <w:pPr>
        <w:rPr>
          <w:rFonts w:hint="eastAsia"/>
        </w:rPr>
      </w:pPr>
    </w:p>
    <w:p w14:paraId="7A2BA4C5">
      <w:pPr>
        <w:rPr>
          <w:rFonts w:hint="eastAsia"/>
        </w:rPr>
      </w:pPr>
    </w:p>
    <w:p w14:paraId="2CC9DEF9">
      <w:pPr>
        <w:rPr>
          <w:rFonts w:hint="eastAsia"/>
        </w:rPr>
      </w:pPr>
    </w:p>
    <w:p w14:paraId="18532720">
      <w:pPr>
        <w:rPr>
          <w:rFonts w:hint="eastAsia"/>
        </w:rPr>
      </w:pPr>
    </w:p>
    <w:p w14:paraId="48412A68">
      <w:pPr>
        <w:rPr>
          <w:rFonts w:hint="eastAsia"/>
        </w:rPr>
      </w:pPr>
    </w:p>
    <w:p w14:paraId="759A4CEA">
      <w:pPr>
        <w:rPr>
          <w:rFonts w:hint="eastAsia"/>
        </w:rPr>
      </w:pPr>
    </w:p>
    <w:p w14:paraId="23C15E3C">
      <w:pPr>
        <w:rPr>
          <w:rFonts w:hint="eastAsia"/>
        </w:rPr>
      </w:pPr>
    </w:p>
    <w:p w14:paraId="06F33C29">
      <w:pPr>
        <w:rPr>
          <w:rFonts w:hint="eastAsia"/>
        </w:rPr>
      </w:pPr>
    </w:p>
    <w:p w14:paraId="3E9BE486">
      <w:pPr>
        <w:rPr>
          <w:rFonts w:hint="eastAsia"/>
        </w:rPr>
      </w:pPr>
    </w:p>
    <w:p w14:paraId="54CF5BFD">
      <w:pPr>
        <w:rPr>
          <w:rFonts w:hint="eastAsia"/>
        </w:rPr>
      </w:pPr>
    </w:p>
    <w:p w14:paraId="6E5ADC48">
      <w:pPr>
        <w:rPr>
          <w:rFonts w:hint="eastAsia" w:ascii="仿宋" w:hAnsi="仿宋" w:eastAsia="仿宋" w:cs="仿宋"/>
          <w:b/>
          <w:sz w:val="22"/>
          <w:szCs w:val="22"/>
          <w:highlight w:val="none"/>
        </w:rPr>
      </w:pPr>
      <w:bookmarkStart w:id="350" w:name="_Toc5331"/>
      <w:bookmarkStart w:id="351" w:name="_Toc20005"/>
      <w:bookmarkStart w:id="352" w:name="_Toc15499"/>
      <w:r>
        <w:rPr>
          <w:rStyle w:val="78"/>
          <w:rFonts w:hint="eastAsia"/>
          <w:sz w:val="36"/>
          <w:szCs w:val="28"/>
        </w:rPr>
        <w:t>附表：退保证金的函</w:t>
      </w:r>
      <w:bookmarkEnd w:id="350"/>
      <w:bookmarkEnd w:id="351"/>
      <w:bookmarkEnd w:id="352"/>
      <w:r>
        <w:rPr>
          <w:rFonts w:hint="eastAsia" w:ascii="仿宋" w:hAnsi="仿宋" w:eastAsia="仿宋" w:cs="仿宋"/>
          <w:b/>
          <w:sz w:val="22"/>
          <w:szCs w:val="22"/>
          <w:highlight w:val="none"/>
        </w:rPr>
        <w:t xml:space="preserve"> </w:t>
      </w:r>
    </w:p>
    <w:p w14:paraId="39DF93E0">
      <w:pPr>
        <w:spacing w:line="360" w:lineRule="auto"/>
        <w:outlineLvl w:val="9"/>
        <w:rPr>
          <w:rFonts w:hint="eastAsia" w:ascii="仿宋" w:hAnsi="仿宋" w:eastAsia="仿宋" w:cs="仿宋"/>
          <w:color w:val="000000"/>
          <w:sz w:val="24"/>
          <w:szCs w:val="24"/>
          <w:highlight w:val="none"/>
        </w:rPr>
      </w:pPr>
      <w:bookmarkStart w:id="353" w:name="_Toc9090"/>
    </w:p>
    <w:p w14:paraId="77416B7D">
      <w:pPr>
        <w:spacing w:line="360" w:lineRule="auto"/>
        <w:outlineLvl w:val="0"/>
        <w:rPr>
          <w:rFonts w:hint="eastAsia" w:ascii="仿宋" w:hAnsi="仿宋" w:eastAsia="仿宋" w:cs="仿宋"/>
          <w:color w:val="000000"/>
          <w:sz w:val="24"/>
          <w:szCs w:val="24"/>
          <w:highlight w:val="none"/>
          <w:u w:val="single"/>
          <w:lang w:eastAsia="zh-CN"/>
        </w:rPr>
      </w:pPr>
      <w:bookmarkStart w:id="354" w:name="_Toc19106"/>
      <w:r>
        <w:rPr>
          <w:rFonts w:hint="eastAsia" w:ascii="仿宋" w:hAnsi="仿宋" w:eastAsia="仿宋" w:cs="仿宋"/>
          <w:color w:val="000000"/>
          <w:sz w:val="24"/>
          <w:szCs w:val="24"/>
          <w:highlight w:val="none"/>
        </w:rPr>
        <w:t>致：</w:t>
      </w:r>
      <w:r>
        <w:rPr>
          <w:rFonts w:hint="eastAsia" w:ascii="仿宋" w:hAnsi="仿宋" w:eastAsia="仿宋" w:cs="仿宋"/>
          <w:color w:val="000000"/>
          <w:sz w:val="24"/>
          <w:szCs w:val="24"/>
          <w:highlight w:val="none"/>
          <w:u w:val="single"/>
          <w:lang w:eastAsia="zh-CN"/>
        </w:rPr>
        <w:t xml:space="preserve"> 新疆浩瑞兴建设工程项目管理咨询有限公司</w:t>
      </w:r>
      <w:bookmarkEnd w:id="353"/>
      <w:bookmarkEnd w:id="354"/>
    </w:p>
    <w:p w14:paraId="1A0A60BE">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none"/>
          <w:lang w:val="en-US" w:eastAsia="zh-CN"/>
        </w:rPr>
        <w:t>单位名称：</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none"/>
        </w:rPr>
        <w:t>参加贵方组织的，</w:t>
      </w:r>
      <w:r>
        <w:rPr>
          <w:rFonts w:hint="eastAsia" w:ascii="仿宋" w:hAnsi="仿宋" w:eastAsia="仿宋" w:cs="仿宋"/>
          <w:color w:val="000000"/>
          <w:sz w:val="24"/>
          <w:szCs w:val="24"/>
          <w:highlight w:val="none"/>
          <w:u w:val="none"/>
          <w:lang w:val="en-US" w:eastAsia="zh-CN"/>
        </w:rPr>
        <w:t>项目名称：</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招标</w:t>
      </w:r>
      <w:r>
        <w:rPr>
          <w:rFonts w:hint="eastAsia" w:ascii="仿宋" w:hAnsi="仿宋" w:eastAsia="仿宋" w:cs="仿宋"/>
          <w:color w:val="000000"/>
          <w:sz w:val="24"/>
          <w:szCs w:val="24"/>
          <w:highlight w:val="none"/>
        </w:rPr>
        <w:t>采购活动。按</w:t>
      </w:r>
      <w:r>
        <w:rPr>
          <w:rFonts w:hint="eastAsia" w:ascii="仿宋" w:hAnsi="仿宋" w:eastAsia="仿宋" w:cs="仿宋"/>
          <w:color w:val="000000"/>
          <w:sz w:val="24"/>
          <w:szCs w:val="24"/>
          <w:highlight w:val="none"/>
          <w:lang w:val="en-US" w:eastAsia="zh-CN"/>
        </w:rPr>
        <w:t>招标</w:t>
      </w:r>
      <w:r>
        <w:rPr>
          <w:rFonts w:hint="eastAsia" w:ascii="仿宋" w:hAnsi="仿宋" w:eastAsia="仿宋" w:cs="仿宋"/>
          <w:color w:val="000000"/>
          <w:sz w:val="24"/>
          <w:szCs w:val="24"/>
          <w:highlight w:val="none"/>
        </w:rPr>
        <w:t>文件的规定，已通过</w:t>
      </w:r>
      <w:r>
        <w:rPr>
          <w:rFonts w:hint="eastAsia" w:ascii="仿宋" w:hAnsi="仿宋" w:eastAsia="仿宋" w:cs="仿宋"/>
          <w:color w:val="000000"/>
          <w:sz w:val="24"/>
          <w:szCs w:val="24"/>
          <w:highlight w:val="none"/>
          <w:u w:val="single"/>
        </w:rPr>
        <w:t>银行转帐/银行汇款</w:t>
      </w:r>
      <w:r>
        <w:rPr>
          <w:rFonts w:hint="eastAsia" w:ascii="仿宋" w:hAnsi="仿宋" w:eastAsia="仿宋" w:cs="仿宋"/>
          <w:color w:val="000000"/>
          <w:sz w:val="24"/>
          <w:szCs w:val="24"/>
          <w:highlight w:val="none"/>
        </w:rPr>
        <w:t>形式缴纳人民币</w:t>
      </w:r>
    </w:p>
    <w:p w14:paraId="3EBCF3CD">
      <w:pPr>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lang w:val="en-US" w:eastAsia="zh-CN"/>
        </w:rPr>
        <w:t>大写</w:t>
      </w:r>
      <w:r>
        <w:rPr>
          <w:rFonts w:hint="eastAsia" w:ascii="仿宋" w:hAnsi="仿宋" w:eastAsia="仿宋" w:cs="仿宋"/>
          <w:color w:val="000000"/>
          <w:sz w:val="24"/>
          <w:szCs w:val="24"/>
          <w:highlight w:val="none"/>
        </w:rPr>
        <w:t>的保证金。</w:t>
      </w:r>
    </w:p>
    <w:p w14:paraId="5B4C0324">
      <w:pPr>
        <w:autoSpaceDE w:val="0"/>
        <w:autoSpaceDN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退还保证金时请按以下内容划入我方帐户。若因内容不全、错误、字迹潦草模糊导致该项目保证金未能及时退还或退还过程中发生错误，我方将承担全部责任和损失。</w:t>
      </w:r>
    </w:p>
    <w:p w14:paraId="196004B7">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 xml:space="preserve">名称： </w:t>
      </w:r>
    </w:p>
    <w:p w14:paraId="1E25BEC4">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开户银行：</w:t>
      </w:r>
    </w:p>
    <w:p w14:paraId="293A37C7">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开户银行行号：</w:t>
      </w:r>
    </w:p>
    <w:p w14:paraId="2755AEA6">
      <w:p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投标人银行帐号：                         </w:t>
      </w:r>
    </w:p>
    <w:p w14:paraId="40E22453">
      <w:pPr>
        <w:spacing w:line="360" w:lineRule="auto"/>
        <w:ind w:firstLine="480" w:firstLineChars="200"/>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lang w:val="en-US" w:eastAsia="zh-CN"/>
        </w:rPr>
        <w:t>投标人姓名：</w:t>
      </w:r>
    </w:p>
    <w:p w14:paraId="06378224">
      <w:pPr>
        <w:spacing w:line="360" w:lineRule="auto"/>
        <w:ind w:firstLine="480" w:firstLineChars="200"/>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lang w:val="en-US" w:eastAsia="zh-CN"/>
        </w:rPr>
        <w:t>投标人电话：</w:t>
      </w:r>
    </w:p>
    <w:p w14:paraId="264F31B0">
      <w:pPr>
        <w:adjustRightInd w:val="0"/>
        <w:snapToGrid w:val="0"/>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法定代表人（或法定代表人授权代表）签字：</w:t>
      </w:r>
    </w:p>
    <w:p w14:paraId="15D85624">
      <w:pPr>
        <w:adjustRightInd w:val="0"/>
        <w:snapToGrid w:val="0"/>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名称（加盖公章）：</w:t>
      </w:r>
    </w:p>
    <w:p w14:paraId="0431546C">
      <w:pPr>
        <w:adjustRightInd w:val="0"/>
        <w:snapToGrid w:val="0"/>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color w:val="000000"/>
          <w:sz w:val="24"/>
          <w:szCs w:val="24"/>
          <w:highlight w:val="none"/>
        </w:rPr>
        <w:t>日期：   年   月   日</w:t>
      </w:r>
    </w:p>
    <w:tbl>
      <w:tblPr>
        <w:tblStyle w:val="26"/>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6"/>
      </w:tblGrid>
      <w:tr w14:paraId="0171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jc w:val="center"/>
        </w:trPr>
        <w:tc>
          <w:tcPr>
            <w:tcW w:w="9596" w:type="dxa"/>
            <w:noWrap w:val="0"/>
            <w:vAlign w:val="center"/>
          </w:tcPr>
          <w:p w14:paraId="51375DA2">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（粘贴转帐或汇款的银行凭证复印件）</w:t>
            </w:r>
          </w:p>
        </w:tc>
      </w:tr>
    </w:tbl>
    <w:p w14:paraId="734920E2">
      <w:pPr>
        <w:rPr>
          <w:rFonts w:hint="eastAsia" w:ascii="仿宋" w:hAnsi="仿宋" w:eastAsia="仿宋" w:cs="仿宋"/>
          <w:b/>
          <w:sz w:val="24"/>
          <w:szCs w:val="24"/>
          <w:highlight w:val="none"/>
        </w:rPr>
      </w:pPr>
      <w:bookmarkStart w:id="355" w:name="_Toc8922"/>
      <w:bookmarkStart w:id="356" w:name="_Toc30101"/>
      <w:r>
        <w:rPr>
          <w:rFonts w:hint="eastAsia" w:ascii="仿宋" w:hAnsi="仿宋" w:eastAsia="仿宋" w:cs="仿宋"/>
          <w:b/>
          <w:bCs/>
          <w:sz w:val="24"/>
          <w:szCs w:val="24"/>
          <w:highlight w:val="none"/>
          <w:lang w:val="en-US" w:eastAsia="zh-CN"/>
        </w:rPr>
        <w:t>注：1、</w:t>
      </w:r>
      <w:r>
        <w:rPr>
          <w:rFonts w:hint="eastAsia" w:ascii="仿宋" w:hAnsi="仿宋" w:eastAsia="仿宋" w:cs="仿宋"/>
          <w:b/>
          <w:sz w:val="24"/>
          <w:szCs w:val="24"/>
          <w:highlight w:val="none"/>
        </w:rPr>
        <w:t>为方便代理机构后续退款事宜，请</w:t>
      </w:r>
      <w:r>
        <w:rPr>
          <w:rFonts w:hint="eastAsia" w:ascii="仿宋" w:hAnsi="仿宋" w:eastAsia="仿宋" w:cs="仿宋"/>
          <w:b/>
          <w:sz w:val="24"/>
          <w:szCs w:val="24"/>
          <w:highlight w:val="none"/>
          <w:lang w:eastAsia="zh-CN"/>
        </w:rPr>
        <w:t>投标人</w:t>
      </w:r>
      <w:r>
        <w:rPr>
          <w:rFonts w:hint="eastAsia" w:ascii="仿宋" w:hAnsi="仿宋" w:eastAsia="仿宋" w:cs="仿宋"/>
          <w:b/>
          <w:sz w:val="24"/>
          <w:szCs w:val="24"/>
          <w:highlight w:val="none"/>
        </w:rPr>
        <w:t>认真填写此函信息，并后附转帐或汇款的银行凭证复印件。</w:t>
      </w:r>
    </w:p>
    <w:p w14:paraId="0BBA2BB6">
      <w:pPr>
        <w:rPr>
          <w:rFonts w:hint="default" w:ascii="仿宋" w:hAnsi="仿宋" w:eastAsia="仿宋" w:cs="仿宋"/>
          <w:b/>
          <w:color w:val="auto"/>
          <w:sz w:val="36"/>
          <w:szCs w:val="36"/>
          <w:highlight w:val="none"/>
          <w:lang w:val="en-US" w:eastAsia="zh-CN"/>
        </w:rPr>
      </w:pPr>
      <w:r>
        <w:rPr>
          <w:rFonts w:hint="eastAsia" w:ascii="仿宋" w:hAnsi="仿宋" w:eastAsia="仿宋" w:cs="仿宋"/>
          <w:b/>
          <w:bCs/>
          <w:sz w:val="24"/>
          <w:szCs w:val="24"/>
          <w:highlight w:val="none"/>
          <w:lang w:val="en-US" w:eastAsia="zh-CN"/>
        </w:rPr>
        <w:t>2、此申请函无需在投标文件中提供，于开标结束后填写完整附上银行转账或汇款凭证并加盖企业公章，将扫描件发送至代理公司邮箱</w:t>
      </w:r>
      <w:bookmarkEnd w:id="355"/>
      <w:bookmarkEnd w:id="356"/>
      <w:r>
        <w:rPr>
          <w:rFonts w:hint="eastAsia" w:ascii="仿宋" w:hAnsi="仿宋" w:eastAsia="仿宋" w:cs="仿宋"/>
          <w:b/>
          <w:bCs/>
          <w:sz w:val="24"/>
          <w:szCs w:val="24"/>
          <w:highlight w:val="none"/>
          <w:lang w:val="en-US" w:eastAsia="zh-CN"/>
        </w:rPr>
        <w:t>3958774434@qq.com，如遇投标保证金问题请电话联系13899909398。</w:t>
      </w:r>
    </w:p>
    <w:sectPr>
      <w:headerReference r:id="rId15" w:type="default"/>
      <w:footerReference r:id="rId16" w:type="default"/>
      <w:pgSz w:w="11906" w:h="16838"/>
      <w:pgMar w:top="1247" w:right="1247" w:bottom="1247" w:left="1247" w:header="737" w:footer="992" w:gutter="0"/>
      <w:pgBorders>
        <w:top w:val="none" w:sz="0" w:space="0"/>
        <w:left w:val="none" w:sz="0" w:space="0"/>
        <w:bottom w:val="none" w:sz="0" w:space="0"/>
        <w:right w:val="none" w:sz="0" w:space="0"/>
      </w:pgBorders>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Noto Sans CJK JP Regular">
    <w:altName w:val="Arial"/>
    <w:panose1 w:val="000000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95EE9">
    <w:pPr>
      <w:pStyle w:val="19"/>
      <w:jc w:val="center"/>
    </w:pPr>
  </w:p>
  <w:p w14:paraId="75335E97">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DBFA5">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72DAB">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38F25">
    <w:pPr>
      <w:pStyle w:val="1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15DB5">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8815DB5">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76E70BAD">
    <w:pPr>
      <w:pStyle w:val="1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346F1">
    <w:pPr>
      <w:pStyle w:val="19"/>
      <w:jc w:val="both"/>
      <w:rPr>
        <w:rFonts w:hint="default" w:eastAsia="楷体_GB2312"/>
        <w:i/>
        <w:sz w:val="21"/>
        <w:lang w:val="en-US" w:eastAsia="zh-CN"/>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F6A6274">
                          <w:pPr>
                            <w:pStyle w:val="1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6F6A6274">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25C2820">
                          <w:pPr>
                            <w:pStyle w:val="19"/>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14:paraId="225C2820">
                    <w:pPr>
                      <w:pStyle w:val="19"/>
                      <w:rPr>
                        <w:rFonts w:hint="eastAsia" w:eastAsia="宋体"/>
                        <w:lang w:eastAsia="zh-CN"/>
                      </w:rPr>
                    </w:pP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CB137F5">
                          <w:pPr>
                            <w:pStyle w:val="19"/>
                            <w:jc w:val="center"/>
                            <w:rPr>
                              <w:rFonts w:hint="eastAsia"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CB137F5">
                    <w:pPr>
                      <w:pStyle w:val="19"/>
                      <w:jc w:val="center"/>
                      <w:rPr>
                        <w:rFonts w:hint="eastAsia" w:eastAsia="宋体"/>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10B71">
    <w:pPr>
      <w:pStyle w:val="19"/>
      <w:tabs>
        <w:tab w:val="center" w:pos="4706"/>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682FF5">
                          <w:pPr>
                            <w:pStyle w:val="19"/>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VtNH8oBAACb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cROuKXHc4sTPP3+cf/05//5O&#10;rpdZoD5AjXn3ATPT8M4PmDz7AZ2Z96CizV9kRDCO8p4u8sohEZEfrZarVYUhgbH5gvjs4XmIkN5L&#10;b0k2GhpxfkVWfvwIaUydU3I15++0MWWGxv3jQMzsYbn3scdspWE3TIR2vj0hnx5H31CHm06J+eBQ&#10;2bwlsxFnYzcbhxD1vitrlOtBuD0kbKL0liuMsFNhnFlhN+1XXorH95L18E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VtNH8oBAACbAwAADgAAAAAAAAABACAAAAAeAQAAZHJzL2Uyb0Rv&#10;Yy54bWxQSwUGAAAAAAYABgBZAQAAWgUAAAAA&#10;">
              <v:fill on="f" focussize="0,0"/>
              <v:stroke on="f"/>
              <v:imagedata o:title=""/>
              <o:lock v:ext="edit" aspectratio="f"/>
              <v:textbox inset="0mm,0mm,0mm,0mm" style="mso-fit-shape-to-text:t;">
                <w:txbxContent>
                  <w:p w14:paraId="55682FF5">
                    <w:pPr>
                      <w:pStyle w:val="19"/>
                    </w:pPr>
                    <w:r>
                      <w:fldChar w:fldCharType="begin"/>
                    </w:r>
                    <w:r>
                      <w:instrText xml:space="preserve"> PAGE  \* MERGEFORMAT </w:instrText>
                    </w:r>
                    <w:r>
                      <w:fldChar w:fldCharType="separate"/>
                    </w:r>
                    <w:r>
                      <w:t>26</w:t>
                    </w:r>
                    <w:r>
                      <w:fldChar w:fldCharType="end"/>
                    </w:r>
                  </w:p>
                </w:txbxContent>
              </v:textbox>
            </v:shape>
          </w:pict>
        </mc:Fallback>
      </mc:AlternateConten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D52B8">
    <w:pPr>
      <w:pStyle w:val="1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4381F0D">
                          <w:pPr>
                            <w:pStyle w:val="19"/>
                          </w:pPr>
                          <w:r>
                            <w:fldChar w:fldCharType="begin"/>
                          </w:r>
                          <w:r>
                            <w:instrText xml:space="preserve"> PAGE  \* MERGEFORMAT </w:instrText>
                          </w:r>
                          <w:r>
                            <w:fldChar w:fldCharType="separate"/>
                          </w:r>
                          <w:r>
                            <w:t>- 39 -</w:t>
                          </w:r>
                          <w:r>
                            <w:fldChar w:fldCharType="end"/>
                          </w:r>
                        </w:p>
                      </w:txbxContent>
                    </wps:txbx>
                    <wps:bodyPr wrap="none" lIns="0" tIns="0" rIns="0" bIns="0" upright="0">
                      <a:spAutoFit/>
                    </wps:bodyPr>
                  </wps:wsp>
                </a:graphicData>
              </a:graphic>
            </wp:anchor>
          </w:drawing>
        </mc:Choice>
        <mc:Fallback>
          <w:pict>
            <v:shape id="文本框 105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QGOVbUAQAApg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izXy6RQ76HGxHuPqXF47wbcm/ke8DIRH2Qw6YuUCMZR3/NVXzFEwtOjalVVJYY4xmYH8YvH&#10;5z5A/CCcIcloaMABZl3Z6RPEMXVOSdWsu1Na5yFqS3pEXVfv1vnFNYTo2mKRxGLsNllx2A8Ttb1r&#10;z8isxy1oqMWlp0R/tChyWpjZCLOxn42jD+rQ5Y1KrYC/PUZsJ3eZKoywU2EcX+Y5rVraj3/9nPX4&#10;e2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0BjlW1AEAAKYDAAAOAAAAAAAAAAEAIAAA&#10;ACIBAABkcnMvZTJvRG9jLnhtbFBLBQYAAAAABgAGAFkBAABoBQAAAAA=&#10;">
              <v:fill on="f" focussize="0,0"/>
              <v:stroke on="f" weight="1.25pt"/>
              <v:imagedata o:title=""/>
              <o:lock v:ext="edit" aspectratio="f"/>
              <v:textbox inset="0mm,0mm,0mm,0mm" style="mso-fit-shape-to-text:t;">
                <w:txbxContent>
                  <w:p w14:paraId="04381F0D">
                    <w:pPr>
                      <w:pStyle w:val="19"/>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A8E96">
    <w:pPr>
      <w:pStyle w:val="19"/>
      <w:tabs>
        <w:tab w:val="center" w:pos="4819"/>
        <w:tab w:val="clear" w:pos="4153"/>
      </w:tabs>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AE54A25">
                          <w:pPr>
                            <w:pStyle w:val="19"/>
                          </w:pPr>
                          <w:r>
                            <w:fldChar w:fldCharType="begin"/>
                          </w:r>
                          <w:r>
                            <w:instrText xml:space="preserve"> PAGE  \* MERGEFORMAT </w:instrText>
                          </w:r>
                          <w:r>
                            <w:fldChar w:fldCharType="separate"/>
                          </w:r>
                          <w:r>
                            <w:t>- 38 -</w:t>
                          </w:r>
                          <w:r>
                            <w:fldChar w:fldCharType="end"/>
                          </w:r>
                        </w:p>
                      </w:txbxContent>
                    </wps:txbx>
                    <wps:bodyPr wrap="none" lIns="0" tIns="0" rIns="0" bIns="0" upright="0">
                      <a:spAutoFit/>
                    </wps:bodyPr>
                  </wps:wsp>
                </a:graphicData>
              </a:graphic>
            </wp:anchor>
          </w:drawing>
        </mc:Choice>
        <mc:Fallback>
          <w:pict>
            <v:shape id="文本框 105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faImS9UBAACnAwAADgAAAAAAAAABACAA&#10;AAAiAQAAZHJzL2Uyb0RvYy54bWxQSwUGAAAAAAYABgBZAQAAaQUAAAAA&#10;">
              <v:fill on="f" focussize="0,0"/>
              <v:stroke on="f" weight="1.25pt"/>
              <v:imagedata o:title=""/>
              <o:lock v:ext="edit" aspectratio="f"/>
              <v:textbox inset="0mm,0mm,0mm,0mm" style="mso-fit-shape-to-text:t;">
                <w:txbxContent>
                  <w:p w14:paraId="6AE54A25">
                    <w:pPr>
                      <w:pStyle w:val="19"/>
                    </w:pPr>
                    <w:r>
                      <w:fldChar w:fldCharType="begin"/>
                    </w:r>
                    <w:r>
                      <w:instrText xml:space="preserve"> PAGE  \* MERGEFORMAT </w:instrText>
                    </w:r>
                    <w:r>
                      <w:fldChar w:fldCharType="separate"/>
                    </w:r>
                    <w:r>
                      <w:t>- 38 -</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C8B9DA8">
                          <w:pPr>
                            <w:pStyle w:val="19"/>
                          </w:pP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qNGE5tgBAACzAwAADgAAAAAAAAAB&#10;ACAAAAAiAQAAZHJzL2Uyb0RvYy54bWxQSwUGAAAAAAYABgBZAQAAbAUAAAAA&#10;">
              <v:fill on="f" focussize="0,0"/>
              <v:stroke on="f" weight="1.25pt"/>
              <v:imagedata o:title=""/>
              <o:lock v:ext="edit" aspectratio="f"/>
              <v:textbox inset="0mm,0mm,0mm,0mm" style="mso-fit-shape-to-text:t;">
                <w:txbxContent>
                  <w:p w14:paraId="5C8B9DA8">
                    <w:pPr>
                      <w:pStyle w:val="19"/>
                    </w:pPr>
                  </w:p>
                </w:txbxContent>
              </v:textbox>
            </v:shape>
          </w:pict>
        </mc:Fallback>
      </mc:AlternateContent>
    </w:r>
    <w:r>
      <w:rPr>
        <w:rFonts w:hint="eastAsia"/>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09464">
    <w:pPr>
      <w:pStyle w:val="19"/>
      <w:tabs>
        <w:tab w:val="center" w:pos="4706"/>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D869F3">
                          <w:pPr>
                            <w:pStyle w:val="19"/>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nuER8oBAACbAwAADgAAAAAAAAABACAAAAAeAQAAZHJzL2Uyb0Rv&#10;Yy54bWxQSwUGAAAAAAYABgBZAQAAWgUAAAAA&#10;">
              <v:fill on="f" focussize="0,0"/>
              <v:stroke on="f"/>
              <v:imagedata o:title=""/>
              <o:lock v:ext="edit" aspectratio="f"/>
              <v:textbox inset="0mm,0mm,0mm,0mm" style="mso-fit-shape-to-text:t;">
                <w:txbxContent>
                  <w:p w14:paraId="6ED869F3">
                    <w:pPr>
                      <w:pStyle w:val="19"/>
                    </w:pPr>
                    <w:r>
                      <w:fldChar w:fldCharType="begin"/>
                    </w:r>
                    <w:r>
                      <w:instrText xml:space="preserve"> PAGE  \* MERGEFORMAT </w:instrText>
                    </w:r>
                    <w:r>
                      <w:fldChar w:fldCharType="separate"/>
                    </w:r>
                    <w:r>
                      <w:t>68</w:t>
                    </w:r>
                    <w:r>
                      <w:fldChar w:fldCharType="end"/>
                    </w:r>
                  </w:p>
                </w:txbxContent>
              </v:textbox>
            </v:shape>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7A9D9">
    <w:pPr>
      <w:widowControl/>
      <w:pBdr>
        <w:bottom w:val="single" w:color="auto" w:sz="4" w:space="0"/>
      </w:pBdr>
      <w:snapToGrid w:val="0"/>
      <w:jc w:val="both"/>
    </w:pPr>
    <w:r>
      <w:rPr>
        <w:rFonts w:hint="eastAsia" w:ascii="Calibri" w:hAnsi="Calibri" w:eastAsia="宋体"/>
        <w:sz w:val="18"/>
        <w:lang w:eastAsia="zh-CN"/>
      </w:rPr>
      <w:drawing>
        <wp:inline distT="0" distB="0" distL="114300" distR="114300">
          <wp:extent cx="218440" cy="266065"/>
          <wp:effectExtent l="0" t="0" r="10160" b="8255"/>
          <wp:docPr id="8" name="图片 1" descr="浩瑞兴全称LOGO定稿透明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浩瑞兴全称LOGO定稿透明3"/>
                  <pic:cNvPicPr>
                    <a:picLocks noChangeAspect="1"/>
                  </pic:cNvPicPr>
                </pic:nvPicPr>
                <pic:blipFill>
                  <a:blip r:embed="rId1"/>
                  <a:stretch>
                    <a:fillRect/>
                  </a:stretch>
                </pic:blipFill>
                <pic:spPr>
                  <a:xfrm>
                    <a:off x="0" y="0"/>
                    <a:ext cx="218440" cy="266065"/>
                  </a:xfrm>
                  <a:prstGeom prst="rect">
                    <a:avLst/>
                  </a:prstGeom>
                  <a:noFill/>
                  <a:ln>
                    <a:noFill/>
                  </a:ln>
                </pic:spPr>
              </pic:pic>
            </a:graphicData>
          </a:graphic>
        </wp:inline>
      </w:drawing>
    </w:r>
    <w:r>
      <w:rPr>
        <w:rFonts w:hint="eastAsia" w:ascii="Calibri" w:hAnsi="Calibri" w:eastAsia="宋体"/>
        <w:sz w:val="18"/>
        <w:lang w:val="en-US" w:eastAsia="zh-CN"/>
      </w:rPr>
      <w:t xml:space="preserve">        </w:t>
    </w:r>
    <w:r>
      <w:rPr>
        <w:rFonts w:hint="eastAsia" w:eastAsia="宋体"/>
        <w:sz w:val="18"/>
        <w:lang w:val="en-US" w:eastAsia="zh-CN"/>
      </w:rPr>
      <w:t xml:space="preserve">                      </w:t>
    </w:r>
    <w:r>
      <w:rPr>
        <w:rFonts w:hint="eastAsia" w:ascii="Calibri" w:hAnsi="Calibri" w:eastAsia="宋体"/>
        <w:sz w:val="18"/>
        <w:lang w:val="en-US" w:eastAsia="zh-CN"/>
      </w:rPr>
      <w:t>新疆浩瑞兴建设工程项目管理咨询有限公司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19EA2">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A8E55">
    <w:pPr>
      <w:widowControl/>
      <w:pBdr>
        <w:bottom w:val="single" w:color="auto" w:sz="4" w:space="0"/>
      </w:pBdr>
      <w:snapToGrid w:val="0"/>
      <w:jc w:val="both"/>
    </w:pPr>
    <w:r>
      <w:rPr>
        <w:rFonts w:hint="eastAsia" w:ascii="Calibri" w:hAnsi="Calibri" w:eastAsia="宋体"/>
        <w:sz w:val="18"/>
        <w:lang w:eastAsia="zh-CN"/>
      </w:rPr>
      <w:drawing>
        <wp:inline distT="0" distB="0" distL="114300" distR="114300">
          <wp:extent cx="218440" cy="266065"/>
          <wp:effectExtent l="0" t="0" r="10160" b="8255"/>
          <wp:docPr id="24" name="图片 1" descr="浩瑞兴全称LOGO定稿透明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浩瑞兴全称LOGO定稿透明3"/>
                  <pic:cNvPicPr>
                    <a:picLocks noChangeAspect="1"/>
                  </pic:cNvPicPr>
                </pic:nvPicPr>
                <pic:blipFill>
                  <a:blip r:embed="rId1"/>
                  <a:stretch>
                    <a:fillRect/>
                  </a:stretch>
                </pic:blipFill>
                <pic:spPr>
                  <a:xfrm>
                    <a:off x="0" y="0"/>
                    <a:ext cx="218440" cy="266065"/>
                  </a:xfrm>
                  <a:prstGeom prst="rect">
                    <a:avLst/>
                  </a:prstGeom>
                  <a:noFill/>
                  <a:ln>
                    <a:noFill/>
                  </a:ln>
                </pic:spPr>
              </pic:pic>
            </a:graphicData>
          </a:graphic>
        </wp:inline>
      </w:drawing>
    </w:r>
    <w:r>
      <w:rPr>
        <w:rFonts w:hint="eastAsia" w:ascii="Calibri" w:hAnsi="Calibri" w:eastAsia="宋体"/>
        <w:sz w:val="18"/>
        <w:lang w:val="en-US" w:eastAsia="zh-CN"/>
      </w:rPr>
      <w:t xml:space="preserve">        </w:t>
    </w:r>
    <w:r>
      <w:rPr>
        <w:rFonts w:hint="eastAsia" w:eastAsia="宋体"/>
        <w:sz w:val="18"/>
        <w:lang w:val="en-US" w:eastAsia="zh-CN"/>
      </w:rPr>
      <w:t xml:space="preserve">                      </w:t>
    </w:r>
    <w:r>
      <w:rPr>
        <w:rFonts w:hint="eastAsia" w:ascii="Calibri" w:hAnsi="Calibri" w:eastAsia="宋体"/>
        <w:sz w:val="18"/>
        <w:lang w:val="en-US" w:eastAsia="zh-CN"/>
      </w:rPr>
      <w:t>新疆浩瑞兴建设工程项目管理咨询有限公司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C1D2A">
    <w:pPr>
      <w:widowControl/>
      <w:pBdr>
        <w:bottom w:val="single" w:color="auto" w:sz="4" w:space="0"/>
      </w:pBdr>
      <w:snapToGrid w:val="0"/>
      <w:jc w:val="both"/>
    </w:pPr>
    <w:r>
      <w:rPr>
        <w:rFonts w:hint="eastAsia" w:ascii="Calibri" w:hAnsi="Calibri" w:eastAsia="宋体"/>
        <w:sz w:val="18"/>
        <w:lang w:eastAsia="zh-CN"/>
      </w:rPr>
      <w:drawing>
        <wp:inline distT="0" distB="0" distL="114300" distR="114300">
          <wp:extent cx="218440" cy="266065"/>
          <wp:effectExtent l="0" t="0" r="10160" b="8255"/>
          <wp:docPr id="3" name="图片 1" descr="浩瑞兴全称LOGO定稿透明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浩瑞兴全称LOGO定稿透明3"/>
                  <pic:cNvPicPr>
                    <a:picLocks noChangeAspect="1"/>
                  </pic:cNvPicPr>
                </pic:nvPicPr>
                <pic:blipFill>
                  <a:blip r:embed="rId1"/>
                  <a:stretch>
                    <a:fillRect/>
                  </a:stretch>
                </pic:blipFill>
                <pic:spPr>
                  <a:xfrm>
                    <a:off x="0" y="0"/>
                    <a:ext cx="218440" cy="266065"/>
                  </a:xfrm>
                  <a:prstGeom prst="rect">
                    <a:avLst/>
                  </a:prstGeom>
                  <a:noFill/>
                  <a:ln>
                    <a:noFill/>
                  </a:ln>
                </pic:spPr>
              </pic:pic>
            </a:graphicData>
          </a:graphic>
        </wp:inline>
      </w:drawing>
    </w:r>
    <w:r>
      <w:rPr>
        <w:rFonts w:hint="eastAsia" w:ascii="Calibri" w:hAnsi="Calibri" w:eastAsia="宋体"/>
        <w:sz w:val="18"/>
        <w:lang w:val="en-US" w:eastAsia="zh-CN"/>
      </w:rPr>
      <w:t xml:space="preserve">        </w:t>
    </w:r>
    <w:r>
      <w:rPr>
        <w:rFonts w:hint="eastAsia" w:eastAsia="宋体"/>
        <w:sz w:val="18"/>
        <w:lang w:val="en-US" w:eastAsia="zh-CN"/>
      </w:rPr>
      <w:t xml:space="preserve">                      </w:t>
    </w:r>
    <w:r>
      <w:rPr>
        <w:rFonts w:hint="eastAsia" w:ascii="Calibri" w:hAnsi="Calibri" w:eastAsia="宋体"/>
        <w:sz w:val="18"/>
        <w:lang w:val="en-US" w:eastAsia="zh-CN"/>
      </w:rPr>
      <w:t>新疆浩瑞兴建设工程项目管理咨询有限公司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16265">
    <w:pPr>
      <w:widowControl/>
      <w:pBdr>
        <w:bottom w:val="single" w:color="auto" w:sz="4" w:space="0"/>
      </w:pBdr>
      <w:snapToGrid w:val="0"/>
      <w:jc w:val="both"/>
      <w:rPr>
        <w:sz w:val="20"/>
      </w:rPr>
    </w:pPr>
    <w:r>
      <w:rPr>
        <w:rFonts w:hint="eastAsia" w:ascii="Calibri" w:hAnsi="Calibri" w:eastAsia="宋体"/>
        <w:sz w:val="18"/>
        <w:lang w:eastAsia="zh-CN"/>
      </w:rPr>
      <w:drawing>
        <wp:inline distT="0" distB="0" distL="114300" distR="114300">
          <wp:extent cx="218440" cy="266065"/>
          <wp:effectExtent l="0" t="0" r="10160" b="8255"/>
          <wp:docPr id="9" name="图片 1" descr="浩瑞兴全称LOGO定稿透明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浩瑞兴全称LOGO定稿透明3"/>
                  <pic:cNvPicPr>
                    <a:picLocks noChangeAspect="1"/>
                  </pic:cNvPicPr>
                </pic:nvPicPr>
                <pic:blipFill>
                  <a:blip r:embed="rId1"/>
                  <a:stretch>
                    <a:fillRect/>
                  </a:stretch>
                </pic:blipFill>
                <pic:spPr>
                  <a:xfrm>
                    <a:off x="0" y="0"/>
                    <a:ext cx="218440" cy="266065"/>
                  </a:xfrm>
                  <a:prstGeom prst="rect">
                    <a:avLst/>
                  </a:prstGeom>
                  <a:noFill/>
                  <a:ln>
                    <a:noFill/>
                  </a:ln>
                </pic:spPr>
              </pic:pic>
            </a:graphicData>
          </a:graphic>
        </wp:inline>
      </w:drawing>
    </w:r>
    <w:r>
      <w:rPr>
        <w:rFonts w:hint="eastAsia" w:ascii="Calibri" w:hAnsi="Calibri" w:eastAsia="宋体"/>
        <w:sz w:val="18"/>
        <w:lang w:val="en-US" w:eastAsia="zh-CN"/>
      </w:rPr>
      <w:t xml:space="preserve">        </w:t>
    </w:r>
    <w:r>
      <w:rPr>
        <w:rFonts w:hint="eastAsia" w:eastAsia="宋体"/>
        <w:sz w:val="18"/>
        <w:lang w:val="en-US" w:eastAsia="zh-CN"/>
      </w:rPr>
      <w:t xml:space="preserve">                      </w:t>
    </w:r>
    <w:r>
      <w:rPr>
        <w:rFonts w:hint="eastAsia" w:ascii="Calibri" w:hAnsi="Calibri" w:eastAsia="宋体"/>
        <w:sz w:val="18"/>
        <w:lang w:val="en-US" w:eastAsia="zh-CN"/>
      </w:rPr>
      <w:t>新疆浩瑞兴建设工程项目管理咨询有限公司</w:t>
    </w:r>
    <w:r>
      <mc:AlternateContent>
        <mc:Choice Requires="wps">
          <w:drawing>
            <wp:anchor distT="0" distB="0" distL="114300" distR="114300" simplePos="0" relativeHeight="251659264" behindDoc="1" locked="0" layoutInCell="1" allowOverlap="1">
              <wp:simplePos x="0" y="0"/>
              <wp:positionH relativeFrom="page">
                <wp:posOffset>5108575</wp:posOffset>
              </wp:positionH>
              <wp:positionV relativeFrom="page">
                <wp:posOffset>546735</wp:posOffset>
              </wp:positionV>
              <wp:extent cx="1497965" cy="160020"/>
              <wp:effectExtent l="0" t="0" r="0" b="0"/>
              <wp:wrapNone/>
              <wp:docPr id="11" name="文本框 40"/>
              <wp:cNvGraphicFramePr/>
              <a:graphic xmlns:a="http://schemas.openxmlformats.org/drawingml/2006/main">
                <a:graphicData uri="http://schemas.microsoft.com/office/word/2010/wordprocessingShape">
                  <wps:wsp>
                    <wps:cNvSpPr txBox="1"/>
                    <wps:spPr>
                      <a:xfrm>
                        <a:off x="0" y="0"/>
                        <a:ext cx="1497965" cy="160020"/>
                      </a:xfrm>
                      <a:prstGeom prst="rect">
                        <a:avLst/>
                      </a:prstGeom>
                      <a:noFill/>
                      <a:ln>
                        <a:noFill/>
                      </a:ln>
                    </wps:spPr>
                    <wps:txbx>
                      <w:txbxContent>
                        <w:p w14:paraId="2EB16AA4"/>
                      </w:txbxContent>
                    </wps:txbx>
                    <wps:bodyPr lIns="0" tIns="0" rIns="0" bIns="0" upright="1"/>
                  </wps:wsp>
                </a:graphicData>
              </a:graphic>
            </wp:anchor>
          </w:drawing>
        </mc:Choice>
        <mc:Fallback>
          <w:pict>
            <v:shape id="文本框 40" o:spid="_x0000_s1026" o:spt="202" type="#_x0000_t202" style="position:absolute;left:0pt;margin-left:402.25pt;margin-top:43.05pt;height:12.6pt;width:117.95pt;mso-position-horizontal-relative:page;mso-position-vertical-relative:page;z-index:-251657216;mso-width-relative:page;mso-height-relative:page;" filled="f" stroked="f" coordsize="21600,21600" o:gfxdata="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cOYnLYAAAACwEAAA8AAAAAAAAAAQAgAAAAIgAAAGRycy9kb3ducmV2LnhtbFBLAQIU&#10;ABQAAAAIAIdO4kACKwbpugEAAHQDAAAOAAAAAAAAAAEAIAAAACcBAABkcnMvZTJvRG9jLnhtbFBL&#10;BQYAAAAABgAGAFkBAABTBQAAAAA=&#10;">
              <v:fill on="f" focussize="0,0"/>
              <v:stroke on="f"/>
              <v:imagedata o:title=""/>
              <o:lock v:ext="edit" aspectratio="f"/>
              <v:textbox inset="0mm,0mm,0mm,0mm">
                <w:txbxContent>
                  <w:p w14:paraId="2EB16AA4"/>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539EC"/>
    <w:multiLevelType w:val="singleLevel"/>
    <w:tmpl w:val="C36539EC"/>
    <w:lvl w:ilvl="0" w:tentative="0">
      <w:start w:val="2"/>
      <w:numFmt w:val="decimal"/>
      <w:suff w:val="nothing"/>
      <w:lvlText w:val="%1、"/>
      <w:lvlJc w:val="left"/>
    </w:lvl>
  </w:abstractNum>
  <w:abstractNum w:abstractNumId="1">
    <w:nsid w:val="F8DF2554"/>
    <w:multiLevelType w:val="singleLevel"/>
    <w:tmpl w:val="F8DF2554"/>
    <w:lvl w:ilvl="0" w:tentative="0">
      <w:start w:val="1"/>
      <w:numFmt w:val="decimal"/>
      <w:suff w:val="nothing"/>
      <w:lvlText w:val="（%1）"/>
      <w:lvlJc w:val="left"/>
    </w:lvl>
  </w:abstractNum>
  <w:abstractNum w:abstractNumId="2">
    <w:nsid w:val="00000000"/>
    <w:multiLevelType w:val="multilevel"/>
    <w:tmpl w:val="00000000"/>
    <w:lvl w:ilvl="0" w:tentative="0">
      <w:start w:val="1"/>
      <w:numFmt w:val="none"/>
      <w:suff w:val="nothing"/>
      <w:lvlText w:val=""/>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5"/>
      <w:suff w:val="nothing"/>
      <w:lvlText w:val="%3．"/>
      <w:lvlJc w:val="left"/>
      <w:pPr>
        <w:ind w:left="230" w:firstLine="400"/>
      </w:pPr>
      <w:rPr>
        <w:rFonts w:hint="eastAsia" w:ascii="宋体" w:hAnsi="宋体" w:eastAsia="宋体" w:cs="宋体"/>
      </w:rPr>
    </w:lvl>
    <w:lvl w:ilvl="3" w:tentative="0">
      <w:start w:val="1"/>
      <w:numFmt w:val="decimal"/>
      <w:suff w:val="nothing"/>
      <w:lvlText w:val="（%4）"/>
      <w:lvlJc w:val="left"/>
      <w:pPr>
        <w:ind w:left="0" w:firstLine="402"/>
      </w:pPr>
      <w:rPr>
        <w:rFonts w:hint="eastAsia" w:ascii="宋体" w:hAnsi="宋体" w:eastAsia="宋体" w:cs="宋体"/>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00000006"/>
    <w:multiLevelType w:val="singleLevel"/>
    <w:tmpl w:val="00000006"/>
    <w:lvl w:ilvl="0" w:tentative="0">
      <w:start w:val="5"/>
      <w:numFmt w:val="japaneseCounting"/>
      <w:pStyle w:val="3"/>
      <w:lvlText w:val="%1、"/>
      <w:lvlJc w:val="left"/>
      <w:pPr>
        <w:tabs>
          <w:tab w:val="left" w:pos="720"/>
        </w:tabs>
        <w:ind w:left="720" w:hanging="720"/>
      </w:pPr>
      <w:rPr>
        <w:rFonts w:hint="eastAsia"/>
        <w:lang w:val="en-US"/>
      </w:rPr>
    </w:lvl>
  </w:abstractNum>
  <w:abstractNum w:abstractNumId="4">
    <w:nsid w:val="21D4F722"/>
    <w:multiLevelType w:val="singleLevel"/>
    <w:tmpl w:val="21D4F722"/>
    <w:lvl w:ilvl="0" w:tentative="0">
      <w:start w:val="8"/>
      <w:numFmt w:val="decimal"/>
      <w:suff w:val="nothing"/>
      <w:lvlText w:val="%1、"/>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 w:name="KSO_WPS_MARK_KEY" w:val="2435ada8-4ce7-4d1a-99f7-13544671ac9e"/>
  </w:docVars>
  <w:rsids>
    <w:rsidRoot w:val="00B33FCF"/>
    <w:rsid w:val="00005687"/>
    <w:rsid w:val="0005145D"/>
    <w:rsid w:val="000B5A69"/>
    <w:rsid w:val="00105660"/>
    <w:rsid w:val="001F51B9"/>
    <w:rsid w:val="00257F15"/>
    <w:rsid w:val="00277EEF"/>
    <w:rsid w:val="0029408E"/>
    <w:rsid w:val="002F40BB"/>
    <w:rsid w:val="003C1657"/>
    <w:rsid w:val="004371A2"/>
    <w:rsid w:val="00516002"/>
    <w:rsid w:val="005246AE"/>
    <w:rsid w:val="0053564B"/>
    <w:rsid w:val="005A620E"/>
    <w:rsid w:val="00643F00"/>
    <w:rsid w:val="00647A30"/>
    <w:rsid w:val="00694E21"/>
    <w:rsid w:val="008C6C96"/>
    <w:rsid w:val="00941591"/>
    <w:rsid w:val="009E5347"/>
    <w:rsid w:val="00A56F49"/>
    <w:rsid w:val="00A97848"/>
    <w:rsid w:val="00AF2EEC"/>
    <w:rsid w:val="00B33FCF"/>
    <w:rsid w:val="00B35DF1"/>
    <w:rsid w:val="00B51EAE"/>
    <w:rsid w:val="00BA3939"/>
    <w:rsid w:val="00C243CA"/>
    <w:rsid w:val="00DB33FD"/>
    <w:rsid w:val="00F8106F"/>
    <w:rsid w:val="010C1FA6"/>
    <w:rsid w:val="010E4F6E"/>
    <w:rsid w:val="01126CBD"/>
    <w:rsid w:val="011473B7"/>
    <w:rsid w:val="012B1797"/>
    <w:rsid w:val="01401F5A"/>
    <w:rsid w:val="01464FA1"/>
    <w:rsid w:val="016043AA"/>
    <w:rsid w:val="01714865"/>
    <w:rsid w:val="017B7436"/>
    <w:rsid w:val="01A80891"/>
    <w:rsid w:val="01AC75F0"/>
    <w:rsid w:val="01B441F5"/>
    <w:rsid w:val="01B9682A"/>
    <w:rsid w:val="01D87DDF"/>
    <w:rsid w:val="02063A29"/>
    <w:rsid w:val="020B6DBB"/>
    <w:rsid w:val="020C4532"/>
    <w:rsid w:val="021A4EEB"/>
    <w:rsid w:val="022E3D7B"/>
    <w:rsid w:val="02793BD3"/>
    <w:rsid w:val="0282276F"/>
    <w:rsid w:val="02831793"/>
    <w:rsid w:val="028626D3"/>
    <w:rsid w:val="0293661D"/>
    <w:rsid w:val="02BC2072"/>
    <w:rsid w:val="02C85270"/>
    <w:rsid w:val="02CD0ADC"/>
    <w:rsid w:val="02D36DFE"/>
    <w:rsid w:val="02DA1F3A"/>
    <w:rsid w:val="02ED4364"/>
    <w:rsid w:val="02ED698C"/>
    <w:rsid w:val="03093E5A"/>
    <w:rsid w:val="03140EF9"/>
    <w:rsid w:val="031E62CB"/>
    <w:rsid w:val="032E24A6"/>
    <w:rsid w:val="03443858"/>
    <w:rsid w:val="0348176F"/>
    <w:rsid w:val="03546191"/>
    <w:rsid w:val="036363D4"/>
    <w:rsid w:val="036F5BAB"/>
    <w:rsid w:val="0370464D"/>
    <w:rsid w:val="03795BF7"/>
    <w:rsid w:val="037E083C"/>
    <w:rsid w:val="038F3967"/>
    <w:rsid w:val="03960A10"/>
    <w:rsid w:val="039E7ED7"/>
    <w:rsid w:val="03B35534"/>
    <w:rsid w:val="03B44780"/>
    <w:rsid w:val="03B5544F"/>
    <w:rsid w:val="03B60BF9"/>
    <w:rsid w:val="03C16E16"/>
    <w:rsid w:val="03C513CB"/>
    <w:rsid w:val="03D72894"/>
    <w:rsid w:val="03DA4BDD"/>
    <w:rsid w:val="03DE1278"/>
    <w:rsid w:val="03DE13B6"/>
    <w:rsid w:val="03EF34AF"/>
    <w:rsid w:val="03F139E0"/>
    <w:rsid w:val="04257DE7"/>
    <w:rsid w:val="0429128E"/>
    <w:rsid w:val="04682DD9"/>
    <w:rsid w:val="046F0D0D"/>
    <w:rsid w:val="046F4C76"/>
    <w:rsid w:val="04750F0B"/>
    <w:rsid w:val="048240FC"/>
    <w:rsid w:val="049056C1"/>
    <w:rsid w:val="04990065"/>
    <w:rsid w:val="04A70542"/>
    <w:rsid w:val="04AE367F"/>
    <w:rsid w:val="04BA0275"/>
    <w:rsid w:val="04DC18A3"/>
    <w:rsid w:val="04DC2CF9"/>
    <w:rsid w:val="04DF7408"/>
    <w:rsid w:val="04E42817"/>
    <w:rsid w:val="050C6397"/>
    <w:rsid w:val="050C73DF"/>
    <w:rsid w:val="050E411D"/>
    <w:rsid w:val="051536FE"/>
    <w:rsid w:val="051A0D14"/>
    <w:rsid w:val="05256A85"/>
    <w:rsid w:val="0545048F"/>
    <w:rsid w:val="054A15F9"/>
    <w:rsid w:val="054A792C"/>
    <w:rsid w:val="05536B20"/>
    <w:rsid w:val="05720B50"/>
    <w:rsid w:val="0596483F"/>
    <w:rsid w:val="05976801"/>
    <w:rsid w:val="05A77632"/>
    <w:rsid w:val="05CC64B2"/>
    <w:rsid w:val="05D0366B"/>
    <w:rsid w:val="05D2044D"/>
    <w:rsid w:val="05D84E57"/>
    <w:rsid w:val="05DF00DD"/>
    <w:rsid w:val="05E330F8"/>
    <w:rsid w:val="05E476A4"/>
    <w:rsid w:val="05F85F66"/>
    <w:rsid w:val="05FB28F4"/>
    <w:rsid w:val="061439B5"/>
    <w:rsid w:val="06147080"/>
    <w:rsid w:val="062C2B3E"/>
    <w:rsid w:val="064A7CEC"/>
    <w:rsid w:val="06741C40"/>
    <w:rsid w:val="067953E3"/>
    <w:rsid w:val="067B11B8"/>
    <w:rsid w:val="067B75B4"/>
    <w:rsid w:val="068D0710"/>
    <w:rsid w:val="069748DE"/>
    <w:rsid w:val="06991298"/>
    <w:rsid w:val="069C40D7"/>
    <w:rsid w:val="069D770D"/>
    <w:rsid w:val="06A212B8"/>
    <w:rsid w:val="06B01F22"/>
    <w:rsid w:val="06B973EA"/>
    <w:rsid w:val="06C86D43"/>
    <w:rsid w:val="06D545D9"/>
    <w:rsid w:val="06DF54D3"/>
    <w:rsid w:val="06E337D3"/>
    <w:rsid w:val="06E64FF9"/>
    <w:rsid w:val="06F01350"/>
    <w:rsid w:val="06F3690D"/>
    <w:rsid w:val="06FF08C0"/>
    <w:rsid w:val="07061CCF"/>
    <w:rsid w:val="072861C7"/>
    <w:rsid w:val="07287718"/>
    <w:rsid w:val="072F524A"/>
    <w:rsid w:val="07461582"/>
    <w:rsid w:val="07476DC8"/>
    <w:rsid w:val="07492181"/>
    <w:rsid w:val="078107EC"/>
    <w:rsid w:val="078E1545"/>
    <w:rsid w:val="07943000"/>
    <w:rsid w:val="07965118"/>
    <w:rsid w:val="07AD7C61"/>
    <w:rsid w:val="07C02047"/>
    <w:rsid w:val="07C909D1"/>
    <w:rsid w:val="07CF5A7C"/>
    <w:rsid w:val="07DA2B29"/>
    <w:rsid w:val="07DA3510"/>
    <w:rsid w:val="07EF46DA"/>
    <w:rsid w:val="07FA2698"/>
    <w:rsid w:val="080A5070"/>
    <w:rsid w:val="080A61EE"/>
    <w:rsid w:val="08236EB4"/>
    <w:rsid w:val="08246075"/>
    <w:rsid w:val="082C2A06"/>
    <w:rsid w:val="083B52DD"/>
    <w:rsid w:val="0852580D"/>
    <w:rsid w:val="08830D21"/>
    <w:rsid w:val="089B03BE"/>
    <w:rsid w:val="08A03B16"/>
    <w:rsid w:val="08B6737D"/>
    <w:rsid w:val="08B72EA7"/>
    <w:rsid w:val="08C5413D"/>
    <w:rsid w:val="08C6543B"/>
    <w:rsid w:val="08CE4484"/>
    <w:rsid w:val="08F52BF1"/>
    <w:rsid w:val="090807A6"/>
    <w:rsid w:val="09125C8D"/>
    <w:rsid w:val="093F534C"/>
    <w:rsid w:val="094D16B8"/>
    <w:rsid w:val="0958005D"/>
    <w:rsid w:val="09583265"/>
    <w:rsid w:val="09684744"/>
    <w:rsid w:val="096A077B"/>
    <w:rsid w:val="097E64CE"/>
    <w:rsid w:val="098C789E"/>
    <w:rsid w:val="099C2DEF"/>
    <w:rsid w:val="09B03ECA"/>
    <w:rsid w:val="09C40BA3"/>
    <w:rsid w:val="09CB0650"/>
    <w:rsid w:val="09D06537"/>
    <w:rsid w:val="09DD0FCC"/>
    <w:rsid w:val="09EE6936"/>
    <w:rsid w:val="09F91840"/>
    <w:rsid w:val="0A2324E2"/>
    <w:rsid w:val="0A242B23"/>
    <w:rsid w:val="0A252635"/>
    <w:rsid w:val="0A325488"/>
    <w:rsid w:val="0A354448"/>
    <w:rsid w:val="0A39690A"/>
    <w:rsid w:val="0A446FAB"/>
    <w:rsid w:val="0A4D383C"/>
    <w:rsid w:val="0A5556FC"/>
    <w:rsid w:val="0A560319"/>
    <w:rsid w:val="0A653211"/>
    <w:rsid w:val="0A6C33AB"/>
    <w:rsid w:val="0A6F565E"/>
    <w:rsid w:val="0A7264B5"/>
    <w:rsid w:val="0A913122"/>
    <w:rsid w:val="0AA02CB1"/>
    <w:rsid w:val="0AA105AE"/>
    <w:rsid w:val="0AB1201E"/>
    <w:rsid w:val="0ABE2142"/>
    <w:rsid w:val="0ADE6D42"/>
    <w:rsid w:val="0AE12A96"/>
    <w:rsid w:val="0B0B16BC"/>
    <w:rsid w:val="0B1315A0"/>
    <w:rsid w:val="0B2A6907"/>
    <w:rsid w:val="0B2E4F0D"/>
    <w:rsid w:val="0B472137"/>
    <w:rsid w:val="0B5E4163"/>
    <w:rsid w:val="0B6E096E"/>
    <w:rsid w:val="0B74505A"/>
    <w:rsid w:val="0B7609F6"/>
    <w:rsid w:val="0B841609"/>
    <w:rsid w:val="0BB57C1D"/>
    <w:rsid w:val="0BB90A49"/>
    <w:rsid w:val="0BEF274B"/>
    <w:rsid w:val="0BFC5617"/>
    <w:rsid w:val="0C092F94"/>
    <w:rsid w:val="0C3473C4"/>
    <w:rsid w:val="0C3763EC"/>
    <w:rsid w:val="0C4323A7"/>
    <w:rsid w:val="0C4C0314"/>
    <w:rsid w:val="0C540C95"/>
    <w:rsid w:val="0C562014"/>
    <w:rsid w:val="0C5E1E2E"/>
    <w:rsid w:val="0C5E598A"/>
    <w:rsid w:val="0C632742"/>
    <w:rsid w:val="0C6C00A7"/>
    <w:rsid w:val="0C70121E"/>
    <w:rsid w:val="0C703E24"/>
    <w:rsid w:val="0C725059"/>
    <w:rsid w:val="0C7402D3"/>
    <w:rsid w:val="0C741652"/>
    <w:rsid w:val="0C8B44B0"/>
    <w:rsid w:val="0C9E094E"/>
    <w:rsid w:val="0CA53710"/>
    <w:rsid w:val="0CBF4793"/>
    <w:rsid w:val="0CD32E5B"/>
    <w:rsid w:val="0CD97AF1"/>
    <w:rsid w:val="0CDE0871"/>
    <w:rsid w:val="0CF92154"/>
    <w:rsid w:val="0CFB767D"/>
    <w:rsid w:val="0D074A5E"/>
    <w:rsid w:val="0D0F214A"/>
    <w:rsid w:val="0D1E69B7"/>
    <w:rsid w:val="0D341E9A"/>
    <w:rsid w:val="0D384A02"/>
    <w:rsid w:val="0D4B1186"/>
    <w:rsid w:val="0D505B5E"/>
    <w:rsid w:val="0D585E8F"/>
    <w:rsid w:val="0D597DF1"/>
    <w:rsid w:val="0D5A7419"/>
    <w:rsid w:val="0D5E0E80"/>
    <w:rsid w:val="0D682F64"/>
    <w:rsid w:val="0D7A438B"/>
    <w:rsid w:val="0D8032C9"/>
    <w:rsid w:val="0D804FF9"/>
    <w:rsid w:val="0D821B4C"/>
    <w:rsid w:val="0DBD4701"/>
    <w:rsid w:val="0DC2110E"/>
    <w:rsid w:val="0DCD726B"/>
    <w:rsid w:val="0DD258A7"/>
    <w:rsid w:val="0DD8156C"/>
    <w:rsid w:val="0DDC11C0"/>
    <w:rsid w:val="0DE20BF4"/>
    <w:rsid w:val="0DE97258"/>
    <w:rsid w:val="0E142849"/>
    <w:rsid w:val="0E3036A3"/>
    <w:rsid w:val="0E323D87"/>
    <w:rsid w:val="0E3B0D83"/>
    <w:rsid w:val="0E3E544E"/>
    <w:rsid w:val="0E4079B1"/>
    <w:rsid w:val="0E635EF9"/>
    <w:rsid w:val="0E7172C2"/>
    <w:rsid w:val="0EAC0C2F"/>
    <w:rsid w:val="0EAC35AA"/>
    <w:rsid w:val="0EAF071F"/>
    <w:rsid w:val="0EAF7592"/>
    <w:rsid w:val="0EB126E9"/>
    <w:rsid w:val="0EC71F0D"/>
    <w:rsid w:val="0ECA37AB"/>
    <w:rsid w:val="0EE7435D"/>
    <w:rsid w:val="0EE809DB"/>
    <w:rsid w:val="0EF734E3"/>
    <w:rsid w:val="0EF97BEC"/>
    <w:rsid w:val="0F007FAE"/>
    <w:rsid w:val="0F1F1C72"/>
    <w:rsid w:val="0F304C7A"/>
    <w:rsid w:val="0F490E74"/>
    <w:rsid w:val="0F5C7687"/>
    <w:rsid w:val="0F704352"/>
    <w:rsid w:val="0F786A38"/>
    <w:rsid w:val="0F7A6F7F"/>
    <w:rsid w:val="0F805974"/>
    <w:rsid w:val="0F9A071B"/>
    <w:rsid w:val="0FAC664F"/>
    <w:rsid w:val="0FAD1819"/>
    <w:rsid w:val="0FB80EA5"/>
    <w:rsid w:val="0FBB3B6E"/>
    <w:rsid w:val="0FD970D9"/>
    <w:rsid w:val="0FDD2F07"/>
    <w:rsid w:val="0FF61602"/>
    <w:rsid w:val="102E3D66"/>
    <w:rsid w:val="102F7D69"/>
    <w:rsid w:val="104223A8"/>
    <w:rsid w:val="104F3B3E"/>
    <w:rsid w:val="10570905"/>
    <w:rsid w:val="10625FE6"/>
    <w:rsid w:val="106C2D6C"/>
    <w:rsid w:val="10950BCF"/>
    <w:rsid w:val="10A07A0D"/>
    <w:rsid w:val="10AE5EF1"/>
    <w:rsid w:val="10B71B0D"/>
    <w:rsid w:val="10EF74F9"/>
    <w:rsid w:val="10F644F5"/>
    <w:rsid w:val="11034D52"/>
    <w:rsid w:val="111A4EF6"/>
    <w:rsid w:val="112C7269"/>
    <w:rsid w:val="112E2417"/>
    <w:rsid w:val="11360C84"/>
    <w:rsid w:val="113E195C"/>
    <w:rsid w:val="11584658"/>
    <w:rsid w:val="115961D3"/>
    <w:rsid w:val="11614179"/>
    <w:rsid w:val="11623BDC"/>
    <w:rsid w:val="116E48C1"/>
    <w:rsid w:val="11706513"/>
    <w:rsid w:val="11764D41"/>
    <w:rsid w:val="11824537"/>
    <w:rsid w:val="11877731"/>
    <w:rsid w:val="11926AC2"/>
    <w:rsid w:val="11A11CCF"/>
    <w:rsid w:val="11AE76A2"/>
    <w:rsid w:val="11B41208"/>
    <w:rsid w:val="11BB387E"/>
    <w:rsid w:val="11BD3F4E"/>
    <w:rsid w:val="11C126F0"/>
    <w:rsid w:val="11C646FD"/>
    <w:rsid w:val="11CB5870"/>
    <w:rsid w:val="11CE2536"/>
    <w:rsid w:val="11D40818"/>
    <w:rsid w:val="11D609F3"/>
    <w:rsid w:val="11D611E3"/>
    <w:rsid w:val="11E42DD6"/>
    <w:rsid w:val="11E7526A"/>
    <w:rsid w:val="11EA5B78"/>
    <w:rsid w:val="11F667EB"/>
    <w:rsid w:val="11F75044"/>
    <w:rsid w:val="120668A8"/>
    <w:rsid w:val="120803C1"/>
    <w:rsid w:val="120E1C7E"/>
    <w:rsid w:val="12241BCA"/>
    <w:rsid w:val="1231474C"/>
    <w:rsid w:val="125057E9"/>
    <w:rsid w:val="1279351E"/>
    <w:rsid w:val="12802AFE"/>
    <w:rsid w:val="129A3494"/>
    <w:rsid w:val="12A762DD"/>
    <w:rsid w:val="12B00869"/>
    <w:rsid w:val="12B81450"/>
    <w:rsid w:val="12C05E75"/>
    <w:rsid w:val="12C13ABE"/>
    <w:rsid w:val="12D61B50"/>
    <w:rsid w:val="12E3307C"/>
    <w:rsid w:val="12EF0D61"/>
    <w:rsid w:val="1300779B"/>
    <w:rsid w:val="13044B14"/>
    <w:rsid w:val="13071CE4"/>
    <w:rsid w:val="13115CE5"/>
    <w:rsid w:val="1347361C"/>
    <w:rsid w:val="135D19FE"/>
    <w:rsid w:val="135D6163"/>
    <w:rsid w:val="13655850"/>
    <w:rsid w:val="1368432A"/>
    <w:rsid w:val="13691348"/>
    <w:rsid w:val="13693592"/>
    <w:rsid w:val="137B2C9D"/>
    <w:rsid w:val="137D7ABD"/>
    <w:rsid w:val="13857CA0"/>
    <w:rsid w:val="13A079F3"/>
    <w:rsid w:val="13BE3A24"/>
    <w:rsid w:val="13BF2143"/>
    <w:rsid w:val="13C35687"/>
    <w:rsid w:val="13D0225A"/>
    <w:rsid w:val="13E22654"/>
    <w:rsid w:val="13FF4F14"/>
    <w:rsid w:val="140A549B"/>
    <w:rsid w:val="141911AF"/>
    <w:rsid w:val="142911C6"/>
    <w:rsid w:val="142D4E9F"/>
    <w:rsid w:val="14503B11"/>
    <w:rsid w:val="14823F65"/>
    <w:rsid w:val="14824E6C"/>
    <w:rsid w:val="14865353"/>
    <w:rsid w:val="148A6663"/>
    <w:rsid w:val="148D39B2"/>
    <w:rsid w:val="1492424A"/>
    <w:rsid w:val="149643D8"/>
    <w:rsid w:val="149E40D1"/>
    <w:rsid w:val="14A16D5C"/>
    <w:rsid w:val="14C47E5D"/>
    <w:rsid w:val="14D709D0"/>
    <w:rsid w:val="14DE562A"/>
    <w:rsid w:val="14ED097E"/>
    <w:rsid w:val="1508701B"/>
    <w:rsid w:val="150A6A2B"/>
    <w:rsid w:val="1528122B"/>
    <w:rsid w:val="152A4FA3"/>
    <w:rsid w:val="153652C1"/>
    <w:rsid w:val="15491CD0"/>
    <w:rsid w:val="1570044F"/>
    <w:rsid w:val="15981F0D"/>
    <w:rsid w:val="15BF6CCE"/>
    <w:rsid w:val="15C178CE"/>
    <w:rsid w:val="15C50F74"/>
    <w:rsid w:val="15D4615C"/>
    <w:rsid w:val="15D73C55"/>
    <w:rsid w:val="15D942D4"/>
    <w:rsid w:val="15DA725F"/>
    <w:rsid w:val="15DB378C"/>
    <w:rsid w:val="15E6711C"/>
    <w:rsid w:val="1609726C"/>
    <w:rsid w:val="161354D3"/>
    <w:rsid w:val="16137FCD"/>
    <w:rsid w:val="161B4325"/>
    <w:rsid w:val="161C2B3E"/>
    <w:rsid w:val="16204E1C"/>
    <w:rsid w:val="163245F0"/>
    <w:rsid w:val="16346C07"/>
    <w:rsid w:val="16385651"/>
    <w:rsid w:val="163C4F8E"/>
    <w:rsid w:val="16483232"/>
    <w:rsid w:val="164C6F19"/>
    <w:rsid w:val="1662251B"/>
    <w:rsid w:val="167E55A7"/>
    <w:rsid w:val="16846E3B"/>
    <w:rsid w:val="168C2648"/>
    <w:rsid w:val="169B761A"/>
    <w:rsid w:val="169D46E3"/>
    <w:rsid w:val="16A72367"/>
    <w:rsid w:val="16B96610"/>
    <w:rsid w:val="16BB4430"/>
    <w:rsid w:val="16C1616F"/>
    <w:rsid w:val="16C80323"/>
    <w:rsid w:val="16D36A3E"/>
    <w:rsid w:val="16D73AFF"/>
    <w:rsid w:val="16DA2D45"/>
    <w:rsid w:val="16E11692"/>
    <w:rsid w:val="16E97010"/>
    <w:rsid w:val="16F94FE6"/>
    <w:rsid w:val="16F969DB"/>
    <w:rsid w:val="16FB3B32"/>
    <w:rsid w:val="1716413B"/>
    <w:rsid w:val="17263548"/>
    <w:rsid w:val="172E0153"/>
    <w:rsid w:val="1732493C"/>
    <w:rsid w:val="174153D6"/>
    <w:rsid w:val="174D01AA"/>
    <w:rsid w:val="174D10D5"/>
    <w:rsid w:val="175F70FA"/>
    <w:rsid w:val="176D19EF"/>
    <w:rsid w:val="176E7D81"/>
    <w:rsid w:val="17783379"/>
    <w:rsid w:val="17790AAD"/>
    <w:rsid w:val="177D60B1"/>
    <w:rsid w:val="17830C25"/>
    <w:rsid w:val="1790712A"/>
    <w:rsid w:val="179C572D"/>
    <w:rsid w:val="17A252C5"/>
    <w:rsid w:val="17A60164"/>
    <w:rsid w:val="17C660D2"/>
    <w:rsid w:val="17D34306"/>
    <w:rsid w:val="17D65848"/>
    <w:rsid w:val="17D80CE7"/>
    <w:rsid w:val="17E0356E"/>
    <w:rsid w:val="17E22F37"/>
    <w:rsid w:val="17E56F60"/>
    <w:rsid w:val="17EA3400"/>
    <w:rsid w:val="17F47084"/>
    <w:rsid w:val="181347CA"/>
    <w:rsid w:val="181461BB"/>
    <w:rsid w:val="182F6FE1"/>
    <w:rsid w:val="18357EE7"/>
    <w:rsid w:val="18502D7A"/>
    <w:rsid w:val="185D743E"/>
    <w:rsid w:val="186D3D90"/>
    <w:rsid w:val="186F52DC"/>
    <w:rsid w:val="18846756"/>
    <w:rsid w:val="188C2B28"/>
    <w:rsid w:val="189015C1"/>
    <w:rsid w:val="189270E7"/>
    <w:rsid w:val="18B2029D"/>
    <w:rsid w:val="18B54B84"/>
    <w:rsid w:val="18B708FC"/>
    <w:rsid w:val="18BC4164"/>
    <w:rsid w:val="18BD0C97"/>
    <w:rsid w:val="18BE6B28"/>
    <w:rsid w:val="18CE65B0"/>
    <w:rsid w:val="18D45952"/>
    <w:rsid w:val="18E27AE2"/>
    <w:rsid w:val="18E84F59"/>
    <w:rsid w:val="19062482"/>
    <w:rsid w:val="190B0E80"/>
    <w:rsid w:val="190D2C12"/>
    <w:rsid w:val="19177B2E"/>
    <w:rsid w:val="19434886"/>
    <w:rsid w:val="19482352"/>
    <w:rsid w:val="195653AD"/>
    <w:rsid w:val="1966743E"/>
    <w:rsid w:val="196D0F89"/>
    <w:rsid w:val="196E6F69"/>
    <w:rsid w:val="19727A69"/>
    <w:rsid w:val="197423B1"/>
    <w:rsid w:val="198A45DC"/>
    <w:rsid w:val="198D4F18"/>
    <w:rsid w:val="199061E6"/>
    <w:rsid w:val="199A605B"/>
    <w:rsid w:val="19A13A63"/>
    <w:rsid w:val="19AD5DC4"/>
    <w:rsid w:val="19B75D6A"/>
    <w:rsid w:val="19B87DFB"/>
    <w:rsid w:val="19BC1F42"/>
    <w:rsid w:val="19C31523"/>
    <w:rsid w:val="19C879D1"/>
    <w:rsid w:val="19CF7EB1"/>
    <w:rsid w:val="19E75370"/>
    <w:rsid w:val="1A1059E1"/>
    <w:rsid w:val="1A2C356C"/>
    <w:rsid w:val="1A351C1B"/>
    <w:rsid w:val="1A444411"/>
    <w:rsid w:val="1A626F8D"/>
    <w:rsid w:val="1A654388"/>
    <w:rsid w:val="1A70573A"/>
    <w:rsid w:val="1A7B3BEC"/>
    <w:rsid w:val="1A80620A"/>
    <w:rsid w:val="1A93343B"/>
    <w:rsid w:val="1A9E3465"/>
    <w:rsid w:val="1AC6751C"/>
    <w:rsid w:val="1ACC31A4"/>
    <w:rsid w:val="1ACC4E55"/>
    <w:rsid w:val="1ADA2743"/>
    <w:rsid w:val="1ADD6BFD"/>
    <w:rsid w:val="1AEF375B"/>
    <w:rsid w:val="1AF278AE"/>
    <w:rsid w:val="1AF514BC"/>
    <w:rsid w:val="1AFF22F6"/>
    <w:rsid w:val="1B040045"/>
    <w:rsid w:val="1B0E2C71"/>
    <w:rsid w:val="1B1D33EC"/>
    <w:rsid w:val="1B220677"/>
    <w:rsid w:val="1B22257E"/>
    <w:rsid w:val="1B2946C9"/>
    <w:rsid w:val="1B343C8A"/>
    <w:rsid w:val="1B354779"/>
    <w:rsid w:val="1B3C789D"/>
    <w:rsid w:val="1B4D3B04"/>
    <w:rsid w:val="1B506DE6"/>
    <w:rsid w:val="1B5B03E5"/>
    <w:rsid w:val="1B6255F7"/>
    <w:rsid w:val="1B792E66"/>
    <w:rsid w:val="1B9236E7"/>
    <w:rsid w:val="1B962398"/>
    <w:rsid w:val="1BAD5FE6"/>
    <w:rsid w:val="1BB5661F"/>
    <w:rsid w:val="1BBE346A"/>
    <w:rsid w:val="1BE35EAC"/>
    <w:rsid w:val="1BF105C9"/>
    <w:rsid w:val="1BFE2CE6"/>
    <w:rsid w:val="1C025F68"/>
    <w:rsid w:val="1C091C82"/>
    <w:rsid w:val="1C1F5136"/>
    <w:rsid w:val="1C217551"/>
    <w:rsid w:val="1C266338"/>
    <w:rsid w:val="1C3056D7"/>
    <w:rsid w:val="1C323F5B"/>
    <w:rsid w:val="1C450915"/>
    <w:rsid w:val="1C670E7D"/>
    <w:rsid w:val="1C7A652E"/>
    <w:rsid w:val="1C8C59C0"/>
    <w:rsid w:val="1C986C96"/>
    <w:rsid w:val="1CA23F30"/>
    <w:rsid w:val="1CCF15FF"/>
    <w:rsid w:val="1CE62C31"/>
    <w:rsid w:val="1CEF326C"/>
    <w:rsid w:val="1CF46BB7"/>
    <w:rsid w:val="1CF522CE"/>
    <w:rsid w:val="1CFD20DD"/>
    <w:rsid w:val="1D042C6C"/>
    <w:rsid w:val="1D1A27E0"/>
    <w:rsid w:val="1D1E2032"/>
    <w:rsid w:val="1D201B1E"/>
    <w:rsid w:val="1D252594"/>
    <w:rsid w:val="1D2A55A4"/>
    <w:rsid w:val="1D4D5CD3"/>
    <w:rsid w:val="1D4F1A4B"/>
    <w:rsid w:val="1D600CDA"/>
    <w:rsid w:val="1D64752F"/>
    <w:rsid w:val="1D6B0C8A"/>
    <w:rsid w:val="1D722723"/>
    <w:rsid w:val="1D7E04F4"/>
    <w:rsid w:val="1D8676B6"/>
    <w:rsid w:val="1DA6561E"/>
    <w:rsid w:val="1DB56C55"/>
    <w:rsid w:val="1DBC4C07"/>
    <w:rsid w:val="1DC4124D"/>
    <w:rsid w:val="1DCD2629"/>
    <w:rsid w:val="1DF301E2"/>
    <w:rsid w:val="1DF61287"/>
    <w:rsid w:val="1E0C1C5C"/>
    <w:rsid w:val="1E1C5B3A"/>
    <w:rsid w:val="1E1D0FF5"/>
    <w:rsid w:val="1E386B21"/>
    <w:rsid w:val="1E42510C"/>
    <w:rsid w:val="1E434DF1"/>
    <w:rsid w:val="1E4976CD"/>
    <w:rsid w:val="1E4E2B61"/>
    <w:rsid w:val="1E647A90"/>
    <w:rsid w:val="1E6F27A9"/>
    <w:rsid w:val="1E7352C5"/>
    <w:rsid w:val="1E7948A6"/>
    <w:rsid w:val="1E8170BF"/>
    <w:rsid w:val="1E9059FE"/>
    <w:rsid w:val="1E976769"/>
    <w:rsid w:val="1E9F1E17"/>
    <w:rsid w:val="1EA01207"/>
    <w:rsid w:val="1EA5569B"/>
    <w:rsid w:val="1EB013E0"/>
    <w:rsid w:val="1EB853CE"/>
    <w:rsid w:val="1EC40AB3"/>
    <w:rsid w:val="1ED850D3"/>
    <w:rsid w:val="1EED5A99"/>
    <w:rsid w:val="1EFF2FFD"/>
    <w:rsid w:val="1F035DC3"/>
    <w:rsid w:val="1F056E8E"/>
    <w:rsid w:val="1F0B45D9"/>
    <w:rsid w:val="1F0E361B"/>
    <w:rsid w:val="1F176598"/>
    <w:rsid w:val="1F1958F6"/>
    <w:rsid w:val="1F1C265B"/>
    <w:rsid w:val="1F1E28FB"/>
    <w:rsid w:val="1F1F68FD"/>
    <w:rsid w:val="1F233A33"/>
    <w:rsid w:val="1F244811"/>
    <w:rsid w:val="1F44590D"/>
    <w:rsid w:val="1F5F3A9B"/>
    <w:rsid w:val="1F674D8B"/>
    <w:rsid w:val="1F7C00B6"/>
    <w:rsid w:val="1F7E6617"/>
    <w:rsid w:val="1F9A0F77"/>
    <w:rsid w:val="1F9E78E5"/>
    <w:rsid w:val="1FAF4A23"/>
    <w:rsid w:val="1FC044B5"/>
    <w:rsid w:val="1FCD744D"/>
    <w:rsid w:val="1FDB75C6"/>
    <w:rsid w:val="1FDC1251"/>
    <w:rsid w:val="1FDF48E9"/>
    <w:rsid w:val="1FE3647B"/>
    <w:rsid w:val="1FFC3110"/>
    <w:rsid w:val="20023310"/>
    <w:rsid w:val="201D0F49"/>
    <w:rsid w:val="202C77A9"/>
    <w:rsid w:val="203979FB"/>
    <w:rsid w:val="205A027D"/>
    <w:rsid w:val="205B4739"/>
    <w:rsid w:val="2077762F"/>
    <w:rsid w:val="207B2B57"/>
    <w:rsid w:val="20815E9B"/>
    <w:rsid w:val="20967767"/>
    <w:rsid w:val="20C31E08"/>
    <w:rsid w:val="20EB4D21"/>
    <w:rsid w:val="20F5564C"/>
    <w:rsid w:val="20FF1092"/>
    <w:rsid w:val="21117372"/>
    <w:rsid w:val="2126078E"/>
    <w:rsid w:val="213B5E42"/>
    <w:rsid w:val="213F51AC"/>
    <w:rsid w:val="21432ED9"/>
    <w:rsid w:val="21666B3C"/>
    <w:rsid w:val="216F4B4A"/>
    <w:rsid w:val="217032BE"/>
    <w:rsid w:val="217100D8"/>
    <w:rsid w:val="21823A71"/>
    <w:rsid w:val="21856A99"/>
    <w:rsid w:val="21907578"/>
    <w:rsid w:val="21920158"/>
    <w:rsid w:val="21AA2860"/>
    <w:rsid w:val="21BA50E8"/>
    <w:rsid w:val="21DD76D3"/>
    <w:rsid w:val="21E66D85"/>
    <w:rsid w:val="21EB431D"/>
    <w:rsid w:val="21EF0F22"/>
    <w:rsid w:val="21F41A5B"/>
    <w:rsid w:val="22035C9A"/>
    <w:rsid w:val="220A5F40"/>
    <w:rsid w:val="221D6F7A"/>
    <w:rsid w:val="221E2D01"/>
    <w:rsid w:val="22252D7A"/>
    <w:rsid w:val="222D503D"/>
    <w:rsid w:val="22315F26"/>
    <w:rsid w:val="223A5F8C"/>
    <w:rsid w:val="224A1496"/>
    <w:rsid w:val="224A7FB5"/>
    <w:rsid w:val="2254334F"/>
    <w:rsid w:val="22623F0B"/>
    <w:rsid w:val="226C03F2"/>
    <w:rsid w:val="227D107F"/>
    <w:rsid w:val="227E10CD"/>
    <w:rsid w:val="22874EEB"/>
    <w:rsid w:val="228757E3"/>
    <w:rsid w:val="229D5217"/>
    <w:rsid w:val="22A47C7D"/>
    <w:rsid w:val="22A61DA8"/>
    <w:rsid w:val="22AD7AD4"/>
    <w:rsid w:val="22C5630B"/>
    <w:rsid w:val="22C80FF7"/>
    <w:rsid w:val="22C81958"/>
    <w:rsid w:val="22CB0AC0"/>
    <w:rsid w:val="22E024BA"/>
    <w:rsid w:val="22E76282"/>
    <w:rsid w:val="22E91B93"/>
    <w:rsid w:val="22FE01F4"/>
    <w:rsid w:val="23012890"/>
    <w:rsid w:val="232A7BFB"/>
    <w:rsid w:val="232D6B4F"/>
    <w:rsid w:val="233B02D5"/>
    <w:rsid w:val="23470B30"/>
    <w:rsid w:val="23524EF3"/>
    <w:rsid w:val="235544E7"/>
    <w:rsid w:val="236E24FF"/>
    <w:rsid w:val="236F51F5"/>
    <w:rsid w:val="237A354A"/>
    <w:rsid w:val="238219F7"/>
    <w:rsid w:val="23827D58"/>
    <w:rsid w:val="23832A34"/>
    <w:rsid w:val="238824DC"/>
    <w:rsid w:val="23A937E7"/>
    <w:rsid w:val="23B51AE6"/>
    <w:rsid w:val="23B62381"/>
    <w:rsid w:val="23C8671A"/>
    <w:rsid w:val="23CB477A"/>
    <w:rsid w:val="23D449AC"/>
    <w:rsid w:val="23E607E9"/>
    <w:rsid w:val="23F029AB"/>
    <w:rsid w:val="24134E54"/>
    <w:rsid w:val="241412F8"/>
    <w:rsid w:val="24213561"/>
    <w:rsid w:val="24213A15"/>
    <w:rsid w:val="242F4D00"/>
    <w:rsid w:val="24437331"/>
    <w:rsid w:val="244E3C62"/>
    <w:rsid w:val="247B17CF"/>
    <w:rsid w:val="248378D0"/>
    <w:rsid w:val="24863878"/>
    <w:rsid w:val="24876B6E"/>
    <w:rsid w:val="249609F4"/>
    <w:rsid w:val="24974735"/>
    <w:rsid w:val="249849AC"/>
    <w:rsid w:val="24A82D96"/>
    <w:rsid w:val="24BB79C6"/>
    <w:rsid w:val="24D41C68"/>
    <w:rsid w:val="24D45411"/>
    <w:rsid w:val="24D61F26"/>
    <w:rsid w:val="24D82326"/>
    <w:rsid w:val="24DF409A"/>
    <w:rsid w:val="24F83DDA"/>
    <w:rsid w:val="24FB7D9C"/>
    <w:rsid w:val="24FD6356"/>
    <w:rsid w:val="24FE78B3"/>
    <w:rsid w:val="2502190C"/>
    <w:rsid w:val="250F5342"/>
    <w:rsid w:val="251530F7"/>
    <w:rsid w:val="25163E64"/>
    <w:rsid w:val="25291735"/>
    <w:rsid w:val="2545309F"/>
    <w:rsid w:val="254A0D4A"/>
    <w:rsid w:val="254A75FE"/>
    <w:rsid w:val="255D5E93"/>
    <w:rsid w:val="256C36E2"/>
    <w:rsid w:val="256D6150"/>
    <w:rsid w:val="257F55B3"/>
    <w:rsid w:val="2589331D"/>
    <w:rsid w:val="25905A4D"/>
    <w:rsid w:val="259D721E"/>
    <w:rsid w:val="25C35F45"/>
    <w:rsid w:val="25C50A6C"/>
    <w:rsid w:val="25C84DEC"/>
    <w:rsid w:val="25DF6DB0"/>
    <w:rsid w:val="25F02A7D"/>
    <w:rsid w:val="25F242C2"/>
    <w:rsid w:val="25F84043"/>
    <w:rsid w:val="261A1FFB"/>
    <w:rsid w:val="262228F2"/>
    <w:rsid w:val="26244F27"/>
    <w:rsid w:val="2629265F"/>
    <w:rsid w:val="263F4EE7"/>
    <w:rsid w:val="26423D72"/>
    <w:rsid w:val="26492DAF"/>
    <w:rsid w:val="26505083"/>
    <w:rsid w:val="26585194"/>
    <w:rsid w:val="265E0AD1"/>
    <w:rsid w:val="265F7261"/>
    <w:rsid w:val="267C4F33"/>
    <w:rsid w:val="26835AC5"/>
    <w:rsid w:val="268F3A45"/>
    <w:rsid w:val="26A41201"/>
    <w:rsid w:val="26A413AC"/>
    <w:rsid w:val="26B869BB"/>
    <w:rsid w:val="26C21C0A"/>
    <w:rsid w:val="26CB1A16"/>
    <w:rsid w:val="26CB3A6A"/>
    <w:rsid w:val="26D44D6F"/>
    <w:rsid w:val="26EE331A"/>
    <w:rsid w:val="26F804E2"/>
    <w:rsid w:val="27200D9F"/>
    <w:rsid w:val="272643F5"/>
    <w:rsid w:val="27331C3F"/>
    <w:rsid w:val="27554665"/>
    <w:rsid w:val="27625DAF"/>
    <w:rsid w:val="27704518"/>
    <w:rsid w:val="27860590"/>
    <w:rsid w:val="279369D8"/>
    <w:rsid w:val="27960276"/>
    <w:rsid w:val="27AB3D22"/>
    <w:rsid w:val="27B819EA"/>
    <w:rsid w:val="27BD5803"/>
    <w:rsid w:val="27C2106B"/>
    <w:rsid w:val="27C31026"/>
    <w:rsid w:val="27CE3528"/>
    <w:rsid w:val="27F32EFE"/>
    <w:rsid w:val="27F54A64"/>
    <w:rsid w:val="280478D6"/>
    <w:rsid w:val="280B6C2A"/>
    <w:rsid w:val="280F42E0"/>
    <w:rsid w:val="2836046C"/>
    <w:rsid w:val="28467842"/>
    <w:rsid w:val="28697739"/>
    <w:rsid w:val="286D547B"/>
    <w:rsid w:val="286D7418"/>
    <w:rsid w:val="287F519B"/>
    <w:rsid w:val="288325A9"/>
    <w:rsid w:val="288B3D93"/>
    <w:rsid w:val="289446E5"/>
    <w:rsid w:val="289643B9"/>
    <w:rsid w:val="289F2B7B"/>
    <w:rsid w:val="28AB7D51"/>
    <w:rsid w:val="28C4718C"/>
    <w:rsid w:val="28CF308D"/>
    <w:rsid w:val="28D42E04"/>
    <w:rsid w:val="28E60D8A"/>
    <w:rsid w:val="28F6721F"/>
    <w:rsid w:val="28FF2B36"/>
    <w:rsid w:val="29057239"/>
    <w:rsid w:val="29057462"/>
    <w:rsid w:val="29077F94"/>
    <w:rsid w:val="291E0C87"/>
    <w:rsid w:val="291E6D7E"/>
    <w:rsid w:val="292D18AD"/>
    <w:rsid w:val="29696E8A"/>
    <w:rsid w:val="298320F6"/>
    <w:rsid w:val="299F718C"/>
    <w:rsid w:val="29A0362E"/>
    <w:rsid w:val="29A053DC"/>
    <w:rsid w:val="29B844D4"/>
    <w:rsid w:val="29DC5FA6"/>
    <w:rsid w:val="29E17264"/>
    <w:rsid w:val="29F17DC2"/>
    <w:rsid w:val="29F25B16"/>
    <w:rsid w:val="2A044097"/>
    <w:rsid w:val="2A110088"/>
    <w:rsid w:val="2A16084C"/>
    <w:rsid w:val="2A17569E"/>
    <w:rsid w:val="2A5C04BB"/>
    <w:rsid w:val="2A5E151F"/>
    <w:rsid w:val="2A647270"/>
    <w:rsid w:val="2A6603D4"/>
    <w:rsid w:val="2A7D127A"/>
    <w:rsid w:val="2A86226A"/>
    <w:rsid w:val="2A866CC1"/>
    <w:rsid w:val="2AC6197D"/>
    <w:rsid w:val="2B0A5203"/>
    <w:rsid w:val="2B2838DB"/>
    <w:rsid w:val="2B2D50B5"/>
    <w:rsid w:val="2B397896"/>
    <w:rsid w:val="2B4F37FA"/>
    <w:rsid w:val="2B565E14"/>
    <w:rsid w:val="2B5E554F"/>
    <w:rsid w:val="2B6451D6"/>
    <w:rsid w:val="2BA41D4A"/>
    <w:rsid w:val="2BAD316E"/>
    <w:rsid w:val="2BC66346"/>
    <w:rsid w:val="2BC83723"/>
    <w:rsid w:val="2BC865FB"/>
    <w:rsid w:val="2BD1187D"/>
    <w:rsid w:val="2BD80CC3"/>
    <w:rsid w:val="2BEC66B7"/>
    <w:rsid w:val="2BEE03F9"/>
    <w:rsid w:val="2BFA055B"/>
    <w:rsid w:val="2BFF6A52"/>
    <w:rsid w:val="2C0D2E41"/>
    <w:rsid w:val="2C1A2F40"/>
    <w:rsid w:val="2C3B03BE"/>
    <w:rsid w:val="2C4B41E1"/>
    <w:rsid w:val="2C4B5AD3"/>
    <w:rsid w:val="2C5C10EE"/>
    <w:rsid w:val="2C6770AE"/>
    <w:rsid w:val="2C7E5C9B"/>
    <w:rsid w:val="2C81079F"/>
    <w:rsid w:val="2C8C2749"/>
    <w:rsid w:val="2C9F197B"/>
    <w:rsid w:val="2CB071CE"/>
    <w:rsid w:val="2CC8567F"/>
    <w:rsid w:val="2CCB451E"/>
    <w:rsid w:val="2CD20EAA"/>
    <w:rsid w:val="2CE1301F"/>
    <w:rsid w:val="2CE15153"/>
    <w:rsid w:val="2CF12DC2"/>
    <w:rsid w:val="2CFB12A7"/>
    <w:rsid w:val="2D0068BE"/>
    <w:rsid w:val="2D035EC4"/>
    <w:rsid w:val="2D4A600C"/>
    <w:rsid w:val="2D5854A9"/>
    <w:rsid w:val="2D5B69E0"/>
    <w:rsid w:val="2D616C31"/>
    <w:rsid w:val="2D7026EA"/>
    <w:rsid w:val="2D820BF8"/>
    <w:rsid w:val="2D8C197D"/>
    <w:rsid w:val="2D8F23BE"/>
    <w:rsid w:val="2DA24C7F"/>
    <w:rsid w:val="2DAA2A5D"/>
    <w:rsid w:val="2DCA2704"/>
    <w:rsid w:val="2DCD1381"/>
    <w:rsid w:val="2E0702C6"/>
    <w:rsid w:val="2E3B3926"/>
    <w:rsid w:val="2E4013FB"/>
    <w:rsid w:val="2E547B60"/>
    <w:rsid w:val="2E5C5D76"/>
    <w:rsid w:val="2E646AAA"/>
    <w:rsid w:val="2E68188E"/>
    <w:rsid w:val="2E942876"/>
    <w:rsid w:val="2E9E5762"/>
    <w:rsid w:val="2EA72D69"/>
    <w:rsid w:val="2EAA0879"/>
    <w:rsid w:val="2EAB69B7"/>
    <w:rsid w:val="2EAC0CBA"/>
    <w:rsid w:val="2EAD143F"/>
    <w:rsid w:val="2EBF05E6"/>
    <w:rsid w:val="2EC46404"/>
    <w:rsid w:val="2EE20FFB"/>
    <w:rsid w:val="2EE8586C"/>
    <w:rsid w:val="2EF41309"/>
    <w:rsid w:val="2EF44200"/>
    <w:rsid w:val="2F170942"/>
    <w:rsid w:val="2F183BDE"/>
    <w:rsid w:val="2F1C3757"/>
    <w:rsid w:val="2F325C99"/>
    <w:rsid w:val="2F4A02C4"/>
    <w:rsid w:val="2F621CE7"/>
    <w:rsid w:val="2F724E55"/>
    <w:rsid w:val="2F760689"/>
    <w:rsid w:val="2F8135BA"/>
    <w:rsid w:val="2F835584"/>
    <w:rsid w:val="2F87540D"/>
    <w:rsid w:val="2F991656"/>
    <w:rsid w:val="2FC85D49"/>
    <w:rsid w:val="2FD22A27"/>
    <w:rsid w:val="2FD92D9A"/>
    <w:rsid w:val="2FE66EC4"/>
    <w:rsid w:val="30055F99"/>
    <w:rsid w:val="300812D7"/>
    <w:rsid w:val="30142680"/>
    <w:rsid w:val="301D3A65"/>
    <w:rsid w:val="303552B1"/>
    <w:rsid w:val="303B1131"/>
    <w:rsid w:val="303B5E5F"/>
    <w:rsid w:val="3040528A"/>
    <w:rsid w:val="304271ED"/>
    <w:rsid w:val="30442F65"/>
    <w:rsid w:val="30444D13"/>
    <w:rsid w:val="30461BED"/>
    <w:rsid w:val="30502924"/>
    <w:rsid w:val="305B205D"/>
    <w:rsid w:val="30651969"/>
    <w:rsid w:val="30701D29"/>
    <w:rsid w:val="3077659E"/>
    <w:rsid w:val="30795930"/>
    <w:rsid w:val="307E78DA"/>
    <w:rsid w:val="30824265"/>
    <w:rsid w:val="30901A97"/>
    <w:rsid w:val="30914BEF"/>
    <w:rsid w:val="309E6CCE"/>
    <w:rsid w:val="309F005E"/>
    <w:rsid w:val="30B05F05"/>
    <w:rsid w:val="30B94EAD"/>
    <w:rsid w:val="30BF083E"/>
    <w:rsid w:val="30BF7564"/>
    <w:rsid w:val="30C53344"/>
    <w:rsid w:val="30CD3EC7"/>
    <w:rsid w:val="30D12EDD"/>
    <w:rsid w:val="30DB6CFA"/>
    <w:rsid w:val="30FA2064"/>
    <w:rsid w:val="31017E02"/>
    <w:rsid w:val="310B54FA"/>
    <w:rsid w:val="31102E48"/>
    <w:rsid w:val="313E5C07"/>
    <w:rsid w:val="31464EE7"/>
    <w:rsid w:val="314A2BBB"/>
    <w:rsid w:val="315216B2"/>
    <w:rsid w:val="31550CDF"/>
    <w:rsid w:val="31566DD9"/>
    <w:rsid w:val="3185553E"/>
    <w:rsid w:val="3188410D"/>
    <w:rsid w:val="318F6462"/>
    <w:rsid w:val="3199487B"/>
    <w:rsid w:val="31BB139D"/>
    <w:rsid w:val="31BD45DA"/>
    <w:rsid w:val="31D16A7B"/>
    <w:rsid w:val="31D54840"/>
    <w:rsid w:val="31DC302E"/>
    <w:rsid w:val="31DE5D4D"/>
    <w:rsid w:val="31DF5ACE"/>
    <w:rsid w:val="31E1726C"/>
    <w:rsid w:val="31F369F1"/>
    <w:rsid w:val="31FE343D"/>
    <w:rsid w:val="321848B4"/>
    <w:rsid w:val="321F5917"/>
    <w:rsid w:val="3220355E"/>
    <w:rsid w:val="32242EB3"/>
    <w:rsid w:val="32250B75"/>
    <w:rsid w:val="32261BFF"/>
    <w:rsid w:val="323A443F"/>
    <w:rsid w:val="324731DE"/>
    <w:rsid w:val="3251626A"/>
    <w:rsid w:val="326F471C"/>
    <w:rsid w:val="32754B20"/>
    <w:rsid w:val="327D6262"/>
    <w:rsid w:val="328134B9"/>
    <w:rsid w:val="328224B2"/>
    <w:rsid w:val="32825603"/>
    <w:rsid w:val="3284589B"/>
    <w:rsid w:val="32890CE1"/>
    <w:rsid w:val="32891103"/>
    <w:rsid w:val="328A12C2"/>
    <w:rsid w:val="328D1382"/>
    <w:rsid w:val="32905306"/>
    <w:rsid w:val="3292753F"/>
    <w:rsid w:val="32A36A1D"/>
    <w:rsid w:val="32B67A1F"/>
    <w:rsid w:val="32BC6941"/>
    <w:rsid w:val="32BD2B5B"/>
    <w:rsid w:val="32BE4EA1"/>
    <w:rsid w:val="32C14AD8"/>
    <w:rsid w:val="32D35F6B"/>
    <w:rsid w:val="32E35381"/>
    <w:rsid w:val="32ED445C"/>
    <w:rsid w:val="33151A83"/>
    <w:rsid w:val="3316266A"/>
    <w:rsid w:val="332B21BB"/>
    <w:rsid w:val="332F173A"/>
    <w:rsid w:val="33353039"/>
    <w:rsid w:val="333E3FEA"/>
    <w:rsid w:val="333F17C2"/>
    <w:rsid w:val="334B0542"/>
    <w:rsid w:val="334B6BC3"/>
    <w:rsid w:val="335846BB"/>
    <w:rsid w:val="33615BDC"/>
    <w:rsid w:val="3364052A"/>
    <w:rsid w:val="336E3E55"/>
    <w:rsid w:val="337644E0"/>
    <w:rsid w:val="339C4E66"/>
    <w:rsid w:val="339C7559"/>
    <w:rsid w:val="339E00E8"/>
    <w:rsid w:val="33A40DC1"/>
    <w:rsid w:val="33AC2B3C"/>
    <w:rsid w:val="33B92FD9"/>
    <w:rsid w:val="33BA709B"/>
    <w:rsid w:val="33CB7CED"/>
    <w:rsid w:val="33CE75AC"/>
    <w:rsid w:val="33DD7A02"/>
    <w:rsid w:val="33ED19F6"/>
    <w:rsid w:val="33ED2CF5"/>
    <w:rsid w:val="33F10A33"/>
    <w:rsid w:val="33F86541"/>
    <w:rsid w:val="33F97BC3"/>
    <w:rsid w:val="340C4E4E"/>
    <w:rsid w:val="34110615"/>
    <w:rsid w:val="341B3FDD"/>
    <w:rsid w:val="342B5F2F"/>
    <w:rsid w:val="343432F1"/>
    <w:rsid w:val="343444DD"/>
    <w:rsid w:val="34431149"/>
    <w:rsid w:val="34606176"/>
    <w:rsid w:val="3462283F"/>
    <w:rsid w:val="347436ED"/>
    <w:rsid w:val="34842CC6"/>
    <w:rsid w:val="34AD46D8"/>
    <w:rsid w:val="34AF49B0"/>
    <w:rsid w:val="34B07F64"/>
    <w:rsid w:val="34BE2EEF"/>
    <w:rsid w:val="34C03937"/>
    <w:rsid w:val="34CF4080"/>
    <w:rsid w:val="34D640C1"/>
    <w:rsid w:val="34DB19BE"/>
    <w:rsid w:val="34DC6C11"/>
    <w:rsid w:val="34E00D83"/>
    <w:rsid w:val="34E72721"/>
    <w:rsid w:val="34F57E20"/>
    <w:rsid w:val="34F63043"/>
    <w:rsid w:val="34FA3BF3"/>
    <w:rsid w:val="34FE5559"/>
    <w:rsid w:val="351F6701"/>
    <w:rsid w:val="35276A45"/>
    <w:rsid w:val="3529097C"/>
    <w:rsid w:val="353510CF"/>
    <w:rsid w:val="353D61D5"/>
    <w:rsid w:val="353D6D7C"/>
    <w:rsid w:val="353E35D3"/>
    <w:rsid w:val="35473A19"/>
    <w:rsid w:val="35475E3D"/>
    <w:rsid w:val="35522A26"/>
    <w:rsid w:val="35586B6B"/>
    <w:rsid w:val="355A28E3"/>
    <w:rsid w:val="355D0B7B"/>
    <w:rsid w:val="35643762"/>
    <w:rsid w:val="35696FCA"/>
    <w:rsid w:val="357146AE"/>
    <w:rsid w:val="3571645F"/>
    <w:rsid w:val="357A2F85"/>
    <w:rsid w:val="3589141A"/>
    <w:rsid w:val="359141B7"/>
    <w:rsid w:val="359B6503"/>
    <w:rsid w:val="35A25C2E"/>
    <w:rsid w:val="35AA425A"/>
    <w:rsid w:val="35B61730"/>
    <w:rsid w:val="35C122FF"/>
    <w:rsid w:val="35C81F43"/>
    <w:rsid w:val="35CF3B70"/>
    <w:rsid w:val="35DB00AA"/>
    <w:rsid w:val="35DB7F95"/>
    <w:rsid w:val="35F06E69"/>
    <w:rsid w:val="35F26FC0"/>
    <w:rsid w:val="35FA2EC2"/>
    <w:rsid w:val="35FE3BB6"/>
    <w:rsid w:val="36046279"/>
    <w:rsid w:val="360B5752"/>
    <w:rsid w:val="361C3F1F"/>
    <w:rsid w:val="36345633"/>
    <w:rsid w:val="363922E8"/>
    <w:rsid w:val="363A2CC5"/>
    <w:rsid w:val="36445538"/>
    <w:rsid w:val="36493761"/>
    <w:rsid w:val="364C7F00"/>
    <w:rsid w:val="36500566"/>
    <w:rsid w:val="365354C0"/>
    <w:rsid w:val="36561089"/>
    <w:rsid w:val="365B671B"/>
    <w:rsid w:val="36620E30"/>
    <w:rsid w:val="3670458B"/>
    <w:rsid w:val="36972EAA"/>
    <w:rsid w:val="36AE738B"/>
    <w:rsid w:val="36BA7453"/>
    <w:rsid w:val="36C2233B"/>
    <w:rsid w:val="36C6531C"/>
    <w:rsid w:val="36D04F5D"/>
    <w:rsid w:val="36D13079"/>
    <w:rsid w:val="36D3756E"/>
    <w:rsid w:val="36F33E54"/>
    <w:rsid w:val="36FC21D8"/>
    <w:rsid w:val="371153EF"/>
    <w:rsid w:val="371B2C9B"/>
    <w:rsid w:val="371F3698"/>
    <w:rsid w:val="37457A33"/>
    <w:rsid w:val="37503412"/>
    <w:rsid w:val="3756578C"/>
    <w:rsid w:val="375D2B5F"/>
    <w:rsid w:val="376B365F"/>
    <w:rsid w:val="37727331"/>
    <w:rsid w:val="37785D02"/>
    <w:rsid w:val="377F7650"/>
    <w:rsid w:val="37991F65"/>
    <w:rsid w:val="379A6D81"/>
    <w:rsid w:val="37AC0606"/>
    <w:rsid w:val="37B24C58"/>
    <w:rsid w:val="37B31E12"/>
    <w:rsid w:val="37B940DA"/>
    <w:rsid w:val="37B96691"/>
    <w:rsid w:val="37C979C0"/>
    <w:rsid w:val="37CB7AC8"/>
    <w:rsid w:val="37D11380"/>
    <w:rsid w:val="37EA43F2"/>
    <w:rsid w:val="38171BB0"/>
    <w:rsid w:val="38525F96"/>
    <w:rsid w:val="386734CE"/>
    <w:rsid w:val="38854250"/>
    <w:rsid w:val="38B16705"/>
    <w:rsid w:val="38C874CC"/>
    <w:rsid w:val="38CA2ACC"/>
    <w:rsid w:val="38CF11A6"/>
    <w:rsid w:val="38D45CA1"/>
    <w:rsid w:val="38D6109A"/>
    <w:rsid w:val="38D617D9"/>
    <w:rsid w:val="38D94D40"/>
    <w:rsid w:val="38E506FD"/>
    <w:rsid w:val="38ED3D1E"/>
    <w:rsid w:val="38F35A4A"/>
    <w:rsid w:val="390019F4"/>
    <w:rsid w:val="39103A0C"/>
    <w:rsid w:val="39137B15"/>
    <w:rsid w:val="391536F1"/>
    <w:rsid w:val="391D25A6"/>
    <w:rsid w:val="392274DB"/>
    <w:rsid w:val="392D43DA"/>
    <w:rsid w:val="392E60E0"/>
    <w:rsid w:val="393E36F6"/>
    <w:rsid w:val="39415BBA"/>
    <w:rsid w:val="39557F74"/>
    <w:rsid w:val="39565AB7"/>
    <w:rsid w:val="396A40A2"/>
    <w:rsid w:val="397303B7"/>
    <w:rsid w:val="39740E72"/>
    <w:rsid w:val="397A7847"/>
    <w:rsid w:val="397F1401"/>
    <w:rsid w:val="398E607F"/>
    <w:rsid w:val="39AB195F"/>
    <w:rsid w:val="39B14D04"/>
    <w:rsid w:val="39C9432E"/>
    <w:rsid w:val="39D1773D"/>
    <w:rsid w:val="39D528A9"/>
    <w:rsid w:val="39D76BF8"/>
    <w:rsid w:val="39F05DE2"/>
    <w:rsid w:val="39F07CBA"/>
    <w:rsid w:val="39F95CB2"/>
    <w:rsid w:val="39FE1325"/>
    <w:rsid w:val="3A0458FB"/>
    <w:rsid w:val="3A09044A"/>
    <w:rsid w:val="3A1514CF"/>
    <w:rsid w:val="3A157721"/>
    <w:rsid w:val="3A2A58BC"/>
    <w:rsid w:val="3A3B3C26"/>
    <w:rsid w:val="3A487835"/>
    <w:rsid w:val="3A494D2C"/>
    <w:rsid w:val="3A4C55B6"/>
    <w:rsid w:val="3A596F10"/>
    <w:rsid w:val="3A5A625F"/>
    <w:rsid w:val="3A6C1955"/>
    <w:rsid w:val="3A777B7F"/>
    <w:rsid w:val="3A7A3F47"/>
    <w:rsid w:val="3A7C49FE"/>
    <w:rsid w:val="3A8350B0"/>
    <w:rsid w:val="3A881CA1"/>
    <w:rsid w:val="3A8C79E3"/>
    <w:rsid w:val="3A8D72B7"/>
    <w:rsid w:val="3A96260F"/>
    <w:rsid w:val="3AA840F1"/>
    <w:rsid w:val="3AAD0B3E"/>
    <w:rsid w:val="3AAF1923"/>
    <w:rsid w:val="3ABF2460"/>
    <w:rsid w:val="3AE96BE3"/>
    <w:rsid w:val="3AF70BD4"/>
    <w:rsid w:val="3B196D9D"/>
    <w:rsid w:val="3B22722E"/>
    <w:rsid w:val="3B3B4338"/>
    <w:rsid w:val="3B3B6C20"/>
    <w:rsid w:val="3B49558D"/>
    <w:rsid w:val="3B5F4515"/>
    <w:rsid w:val="3B616C54"/>
    <w:rsid w:val="3B7B2A18"/>
    <w:rsid w:val="3B7F4508"/>
    <w:rsid w:val="3B810333"/>
    <w:rsid w:val="3B894595"/>
    <w:rsid w:val="3B9A1C8B"/>
    <w:rsid w:val="3BA32397"/>
    <w:rsid w:val="3BA82A38"/>
    <w:rsid w:val="3BB3424F"/>
    <w:rsid w:val="3BBC679D"/>
    <w:rsid w:val="3BBD1E1E"/>
    <w:rsid w:val="3BC535E3"/>
    <w:rsid w:val="3BD3758D"/>
    <w:rsid w:val="3BE86E9B"/>
    <w:rsid w:val="3BEF3EA6"/>
    <w:rsid w:val="3BF67F5B"/>
    <w:rsid w:val="3BFB1157"/>
    <w:rsid w:val="3BFC46F4"/>
    <w:rsid w:val="3C08753D"/>
    <w:rsid w:val="3C1C4B03"/>
    <w:rsid w:val="3C30741E"/>
    <w:rsid w:val="3C40613A"/>
    <w:rsid w:val="3C482FA7"/>
    <w:rsid w:val="3C4A077F"/>
    <w:rsid w:val="3C5502A8"/>
    <w:rsid w:val="3C62038E"/>
    <w:rsid w:val="3C7C65DE"/>
    <w:rsid w:val="3C865BAB"/>
    <w:rsid w:val="3C8D408B"/>
    <w:rsid w:val="3C8F7897"/>
    <w:rsid w:val="3C952AFF"/>
    <w:rsid w:val="3CD3337D"/>
    <w:rsid w:val="3CE3282A"/>
    <w:rsid w:val="3CEB4407"/>
    <w:rsid w:val="3CF8338A"/>
    <w:rsid w:val="3CFA61E4"/>
    <w:rsid w:val="3D0073B9"/>
    <w:rsid w:val="3D023351"/>
    <w:rsid w:val="3D0D3376"/>
    <w:rsid w:val="3D1E4B3E"/>
    <w:rsid w:val="3D221808"/>
    <w:rsid w:val="3D257C7B"/>
    <w:rsid w:val="3D2C4762"/>
    <w:rsid w:val="3D3A1978"/>
    <w:rsid w:val="3D3D3216"/>
    <w:rsid w:val="3D40019D"/>
    <w:rsid w:val="3D533C89"/>
    <w:rsid w:val="3D54568C"/>
    <w:rsid w:val="3D622C7D"/>
    <w:rsid w:val="3D753B78"/>
    <w:rsid w:val="3D806AD7"/>
    <w:rsid w:val="3D81633A"/>
    <w:rsid w:val="3D836B33"/>
    <w:rsid w:val="3D8C6481"/>
    <w:rsid w:val="3D98044D"/>
    <w:rsid w:val="3DB2604D"/>
    <w:rsid w:val="3DB44D42"/>
    <w:rsid w:val="3DD93044"/>
    <w:rsid w:val="3DE511B8"/>
    <w:rsid w:val="3DE548B0"/>
    <w:rsid w:val="3DE82C81"/>
    <w:rsid w:val="3E0B50C2"/>
    <w:rsid w:val="3E1A5306"/>
    <w:rsid w:val="3E232233"/>
    <w:rsid w:val="3E433FDF"/>
    <w:rsid w:val="3E4B70D0"/>
    <w:rsid w:val="3E4F4374"/>
    <w:rsid w:val="3E502AD5"/>
    <w:rsid w:val="3E5076A3"/>
    <w:rsid w:val="3E54672B"/>
    <w:rsid w:val="3E7008ED"/>
    <w:rsid w:val="3E7136DB"/>
    <w:rsid w:val="3E727F34"/>
    <w:rsid w:val="3E734148"/>
    <w:rsid w:val="3E7911A6"/>
    <w:rsid w:val="3E9606B8"/>
    <w:rsid w:val="3EA339B9"/>
    <w:rsid w:val="3EA52A31"/>
    <w:rsid w:val="3EA863CC"/>
    <w:rsid w:val="3EAE28D5"/>
    <w:rsid w:val="3EAF7B29"/>
    <w:rsid w:val="3ECC02BA"/>
    <w:rsid w:val="3EE94E7C"/>
    <w:rsid w:val="3F0C10F2"/>
    <w:rsid w:val="3F0D7302"/>
    <w:rsid w:val="3F2A77CA"/>
    <w:rsid w:val="3F2C3F5A"/>
    <w:rsid w:val="3F400787"/>
    <w:rsid w:val="3F457155"/>
    <w:rsid w:val="3F523D8A"/>
    <w:rsid w:val="3F572C80"/>
    <w:rsid w:val="3F687191"/>
    <w:rsid w:val="3F7C2099"/>
    <w:rsid w:val="3F85124A"/>
    <w:rsid w:val="3F991334"/>
    <w:rsid w:val="3FA800DD"/>
    <w:rsid w:val="3FA85EFA"/>
    <w:rsid w:val="3FAE3F57"/>
    <w:rsid w:val="3FBE0D44"/>
    <w:rsid w:val="3FCF6E09"/>
    <w:rsid w:val="3FD03890"/>
    <w:rsid w:val="3FE67119"/>
    <w:rsid w:val="3FF03BAC"/>
    <w:rsid w:val="3FF82BD1"/>
    <w:rsid w:val="3FFA23A7"/>
    <w:rsid w:val="400277B2"/>
    <w:rsid w:val="40094C95"/>
    <w:rsid w:val="40370DD2"/>
    <w:rsid w:val="403A2AE6"/>
    <w:rsid w:val="404153C3"/>
    <w:rsid w:val="4044539E"/>
    <w:rsid w:val="404F396D"/>
    <w:rsid w:val="405A7C3B"/>
    <w:rsid w:val="405B760C"/>
    <w:rsid w:val="405D2C75"/>
    <w:rsid w:val="40662A84"/>
    <w:rsid w:val="40696622"/>
    <w:rsid w:val="406A5DD3"/>
    <w:rsid w:val="40723FA7"/>
    <w:rsid w:val="40910005"/>
    <w:rsid w:val="40963724"/>
    <w:rsid w:val="40AD1675"/>
    <w:rsid w:val="40AD3A13"/>
    <w:rsid w:val="40C14CA7"/>
    <w:rsid w:val="40C744EA"/>
    <w:rsid w:val="40D62E84"/>
    <w:rsid w:val="40E9181F"/>
    <w:rsid w:val="40EA7211"/>
    <w:rsid w:val="40F5223C"/>
    <w:rsid w:val="40FB003B"/>
    <w:rsid w:val="4129779A"/>
    <w:rsid w:val="41327662"/>
    <w:rsid w:val="413606A8"/>
    <w:rsid w:val="414A7CB0"/>
    <w:rsid w:val="41596CF1"/>
    <w:rsid w:val="416738FB"/>
    <w:rsid w:val="417A5A09"/>
    <w:rsid w:val="417A6101"/>
    <w:rsid w:val="417D62D7"/>
    <w:rsid w:val="417E7959"/>
    <w:rsid w:val="41831414"/>
    <w:rsid w:val="418A7E6C"/>
    <w:rsid w:val="418B0655"/>
    <w:rsid w:val="418C5433"/>
    <w:rsid w:val="418E2292"/>
    <w:rsid w:val="419453CF"/>
    <w:rsid w:val="41970AE1"/>
    <w:rsid w:val="419E64B2"/>
    <w:rsid w:val="41A055EF"/>
    <w:rsid w:val="41BD2796"/>
    <w:rsid w:val="41C336D4"/>
    <w:rsid w:val="41C73BAC"/>
    <w:rsid w:val="41CA2B9F"/>
    <w:rsid w:val="421E72F9"/>
    <w:rsid w:val="42241D5C"/>
    <w:rsid w:val="42276C60"/>
    <w:rsid w:val="422C4181"/>
    <w:rsid w:val="4234714F"/>
    <w:rsid w:val="423952F0"/>
    <w:rsid w:val="42396C91"/>
    <w:rsid w:val="423C5C2A"/>
    <w:rsid w:val="42514E4A"/>
    <w:rsid w:val="425855C4"/>
    <w:rsid w:val="425925B4"/>
    <w:rsid w:val="426017B5"/>
    <w:rsid w:val="42651B17"/>
    <w:rsid w:val="42843CDD"/>
    <w:rsid w:val="42945242"/>
    <w:rsid w:val="42BB7A3C"/>
    <w:rsid w:val="42BE3A83"/>
    <w:rsid w:val="42CE16D7"/>
    <w:rsid w:val="42D124A1"/>
    <w:rsid w:val="42D44DEC"/>
    <w:rsid w:val="42D52931"/>
    <w:rsid w:val="42D77BC6"/>
    <w:rsid w:val="42DC50A6"/>
    <w:rsid w:val="42E013F1"/>
    <w:rsid w:val="42E303BC"/>
    <w:rsid w:val="42F566B6"/>
    <w:rsid w:val="432B4318"/>
    <w:rsid w:val="43380DAB"/>
    <w:rsid w:val="434E0EDC"/>
    <w:rsid w:val="434E5283"/>
    <w:rsid w:val="43593564"/>
    <w:rsid w:val="436153DF"/>
    <w:rsid w:val="437D0408"/>
    <w:rsid w:val="4383394D"/>
    <w:rsid w:val="438429EF"/>
    <w:rsid w:val="43A542BD"/>
    <w:rsid w:val="43BA350D"/>
    <w:rsid w:val="43C42D1B"/>
    <w:rsid w:val="43D07BB0"/>
    <w:rsid w:val="43E546EF"/>
    <w:rsid w:val="43E71B31"/>
    <w:rsid w:val="43EB0251"/>
    <w:rsid w:val="43F403A7"/>
    <w:rsid w:val="44062222"/>
    <w:rsid w:val="441A1710"/>
    <w:rsid w:val="441C3243"/>
    <w:rsid w:val="442B2E6D"/>
    <w:rsid w:val="44420B3E"/>
    <w:rsid w:val="44420ED2"/>
    <w:rsid w:val="444A4A73"/>
    <w:rsid w:val="44507CD3"/>
    <w:rsid w:val="44534A8F"/>
    <w:rsid w:val="44621422"/>
    <w:rsid w:val="44631E4B"/>
    <w:rsid w:val="44650C44"/>
    <w:rsid w:val="446612A5"/>
    <w:rsid w:val="446A55A5"/>
    <w:rsid w:val="448B0D0B"/>
    <w:rsid w:val="448D4A83"/>
    <w:rsid w:val="449A6F98"/>
    <w:rsid w:val="449C422B"/>
    <w:rsid w:val="44A11D3B"/>
    <w:rsid w:val="44A55272"/>
    <w:rsid w:val="44B25897"/>
    <w:rsid w:val="44C657D6"/>
    <w:rsid w:val="44C91E6A"/>
    <w:rsid w:val="44DB75C1"/>
    <w:rsid w:val="44DF0C3C"/>
    <w:rsid w:val="44EA6974"/>
    <w:rsid w:val="44F33A56"/>
    <w:rsid w:val="44FA71E3"/>
    <w:rsid w:val="45033634"/>
    <w:rsid w:val="45080DD4"/>
    <w:rsid w:val="451900C5"/>
    <w:rsid w:val="455A64D9"/>
    <w:rsid w:val="456A3D78"/>
    <w:rsid w:val="456C1CF2"/>
    <w:rsid w:val="459E4A6E"/>
    <w:rsid w:val="45B31AA5"/>
    <w:rsid w:val="45B95404"/>
    <w:rsid w:val="45D24718"/>
    <w:rsid w:val="45D70B5F"/>
    <w:rsid w:val="45E618D3"/>
    <w:rsid w:val="45EE1096"/>
    <w:rsid w:val="45FC48D8"/>
    <w:rsid w:val="46015802"/>
    <w:rsid w:val="461A4DE6"/>
    <w:rsid w:val="46262867"/>
    <w:rsid w:val="462F27CF"/>
    <w:rsid w:val="46306561"/>
    <w:rsid w:val="46386C71"/>
    <w:rsid w:val="463A68C1"/>
    <w:rsid w:val="464002AC"/>
    <w:rsid w:val="464B4747"/>
    <w:rsid w:val="46621F15"/>
    <w:rsid w:val="46724679"/>
    <w:rsid w:val="468147C3"/>
    <w:rsid w:val="469C3108"/>
    <w:rsid w:val="46B439B7"/>
    <w:rsid w:val="46B92D40"/>
    <w:rsid w:val="46BD0F24"/>
    <w:rsid w:val="46CF74B1"/>
    <w:rsid w:val="46D13D7B"/>
    <w:rsid w:val="46DD20CB"/>
    <w:rsid w:val="46E91D19"/>
    <w:rsid w:val="46ED3865"/>
    <w:rsid w:val="46F81F5C"/>
    <w:rsid w:val="46FC5DD2"/>
    <w:rsid w:val="47024DD5"/>
    <w:rsid w:val="472A7D38"/>
    <w:rsid w:val="472C6B5D"/>
    <w:rsid w:val="473C453F"/>
    <w:rsid w:val="474B13D4"/>
    <w:rsid w:val="474D4056"/>
    <w:rsid w:val="47510CCB"/>
    <w:rsid w:val="47514196"/>
    <w:rsid w:val="475755D1"/>
    <w:rsid w:val="476F3AEC"/>
    <w:rsid w:val="477F563C"/>
    <w:rsid w:val="47910BDB"/>
    <w:rsid w:val="47977538"/>
    <w:rsid w:val="47A11BCB"/>
    <w:rsid w:val="47AA04C8"/>
    <w:rsid w:val="47B148C9"/>
    <w:rsid w:val="47B577BB"/>
    <w:rsid w:val="47C938BB"/>
    <w:rsid w:val="47E95D5B"/>
    <w:rsid w:val="47F24BFD"/>
    <w:rsid w:val="47F35180"/>
    <w:rsid w:val="47FE278F"/>
    <w:rsid w:val="480662C1"/>
    <w:rsid w:val="481903DC"/>
    <w:rsid w:val="481C472E"/>
    <w:rsid w:val="48234B72"/>
    <w:rsid w:val="48256D81"/>
    <w:rsid w:val="48333DD2"/>
    <w:rsid w:val="48345216"/>
    <w:rsid w:val="483A29F9"/>
    <w:rsid w:val="48401E0D"/>
    <w:rsid w:val="48457FC9"/>
    <w:rsid w:val="48464466"/>
    <w:rsid w:val="4847319B"/>
    <w:rsid w:val="484D2511"/>
    <w:rsid w:val="484D44F4"/>
    <w:rsid w:val="48527E8F"/>
    <w:rsid w:val="485445AD"/>
    <w:rsid w:val="48575883"/>
    <w:rsid w:val="485C76C9"/>
    <w:rsid w:val="485E04E5"/>
    <w:rsid w:val="4879128B"/>
    <w:rsid w:val="488839CA"/>
    <w:rsid w:val="48900989"/>
    <w:rsid w:val="48933FC7"/>
    <w:rsid w:val="489702E7"/>
    <w:rsid w:val="489906A4"/>
    <w:rsid w:val="48AE32F4"/>
    <w:rsid w:val="48B9545A"/>
    <w:rsid w:val="48C22822"/>
    <w:rsid w:val="48C23D32"/>
    <w:rsid w:val="48D47AC2"/>
    <w:rsid w:val="48E1745B"/>
    <w:rsid w:val="48F254CD"/>
    <w:rsid w:val="48F60C21"/>
    <w:rsid w:val="49092250"/>
    <w:rsid w:val="49115557"/>
    <w:rsid w:val="491237A9"/>
    <w:rsid w:val="491A02E4"/>
    <w:rsid w:val="4924274A"/>
    <w:rsid w:val="49322532"/>
    <w:rsid w:val="4937254E"/>
    <w:rsid w:val="494659F6"/>
    <w:rsid w:val="494B0A69"/>
    <w:rsid w:val="49642A6C"/>
    <w:rsid w:val="4966156F"/>
    <w:rsid w:val="496A55A2"/>
    <w:rsid w:val="496E1DF1"/>
    <w:rsid w:val="497647A5"/>
    <w:rsid w:val="497A71F5"/>
    <w:rsid w:val="49837DDA"/>
    <w:rsid w:val="498C2802"/>
    <w:rsid w:val="49956188"/>
    <w:rsid w:val="49BA0414"/>
    <w:rsid w:val="49BC2F88"/>
    <w:rsid w:val="49C52A99"/>
    <w:rsid w:val="49CC5D95"/>
    <w:rsid w:val="49CF78B1"/>
    <w:rsid w:val="49E05655"/>
    <w:rsid w:val="49EB676E"/>
    <w:rsid w:val="49ED0373"/>
    <w:rsid w:val="49EF3AEA"/>
    <w:rsid w:val="49EF5235"/>
    <w:rsid w:val="49F1623B"/>
    <w:rsid w:val="4A094B89"/>
    <w:rsid w:val="4A1C2405"/>
    <w:rsid w:val="4A1C41B3"/>
    <w:rsid w:val="4A2770A9"/>
    <w:rsid w:val="4A283B30"/>
    <w:rsid w:val="4A563B69"/>
    <w:rsid w:val="4A58222E"/>
    <w:rsid w:val="4A5B0858"/>
    <w:rsid w:val="4A6242BC"/>
    <w:rsid w:val="4A630034"/>
    <w:rsid w:val="4A691009"/>
    <w:rsid w:val="4A6E0EB3"/>
    <w:rsid w:val="4A7A3BB1"/>
    <w:rsid w:val="4A7E6C1C"/>
    <w:rsid w:val="4A7F4846"/>
    <w:rsid w:val="4A7F6FCE"/>
    <w:rsid w:val="4A857C0B"/>
    <w:rsid w:val="4A865922"/>
    <w:rsid w:val="4A9B42A2"/>
    <w:rsid w:val="4AA347E2"/>
    <w:rsid w:val="4AA47BDB"/>
    <w:rsid w:val="4AB368C6"/>
    <w:rsid w:val="4AB7068F"/>
    <w:rsid w:val="4AB80380"/>
    <w:rsid w:val="4ABE37E4"/>
    <w:rsid w:val="4AC00FE3"/>
    <w:rsid w:val="4AC9433B"/>
    <w:rsid w:val="4ACC2273"/>
    <w:rsid w:val="4AD049E6"/>
    <w:rsid w:val="4ADA7857"/>
    <w:rsid w:val="4ADD1B0C"/>
    <w:rsid w:val="4AEF5DA4"/>
    <w:rsid w:val="4AF229C2"/>
    <w:rsid w:val="4AFC0A5E"/>
    <w:rsid w:val="4AFF598D"/>
    <w:rsid w:val="4B011EE9"/>
    <w:rsid w:val="4B012F86"/>
    <w:rsid w:val="4B044A52"/>
    <w:rsid w:val="4B054C48"/>
    <w:rsid w:val="4B0A55C1"/>
    <w:rsid w:val="4B2D1605"/>
    <w:rsid w:val="4B3B7696"/>
    <w:rsid w:val="4B3C41ED"/>
    <w:rsid w:val="4B443A69"/>
    <w:rsid w:val="4B4A72CD"/>
    <w:rsid w:val="4B4A7FA9"/>
    <w:rsid w:val="4B527ADB"/>
    <w:rsid w:val="4B5A212D"/>
    <w:rsid w:val="4B644D30"/>
    <w:rsid w:val="4B692C5A"/>
    <w:rsid w:val="4B737427"/>
    <w:rsid w:val="4B7A7AAE"/>
    <w:rsid w:val="4B981ADA"/>
    <w:rsid w:val="4BA724C8"/>
    <w:rsid w:val="4BA83F51"/>
    <w:rsid w:val="4BB52B12"/>
    <w:rsid w:val="4BD016F9"/>
    <w:rsid w:val="4BD034A7"/>
    <w:rsid w:val="4BD54102"/>
    <w:rsid w:val="4BEA4569"/>
    <w:rsid w:val="4BF316F9"/>
    <w:rsid w:val="4C12487C"/>
    <w:rsid w:val="4C2D60C9"/>
    <w:rsid w:val="4C474817"/>
    <w:rsid w:val="4C4D3F31"/>
    <w:rsid w:val="4C561BFF"/>
    <w:rsid w:val="4C5B79C8"/>
    <w:rsid w:val="4C6039A3"/>
    <w:rsid w:val="4C6170B7"/>
    <w:rsid w:val="4C6A38FC"/>
    <w:rsid w:val="4C885B30"/>
    <w:rsid w:val="4C8F59FE"/>
    <w:rsid w:val="4C960664"/>
    <w:rsid w:val="4C963FED"/>
    <w:rsid w:val="4CA15BBF"/>
    <w:rsid w:val="4CAC5CAC"/>
    <w:rsid w:val="4CCF375F"/>
    <w:rsid w:val="4CD81C9A"/>
    <w:rsid w:val="4CEE0A45"/>
    <w:rsid w:val="4D01701D"/>
    <w:rsid w:val="4D07739D"/>
    <w:rsid w:val="4D0C7A78"/>
    <w:rsid w:val="4D0E022A"/>
    <w:rsid w:val="4D195AB2"/>
    <w:rsid w:val="4D245ED4"/>
    <w:rsid w:val="4D2836B4"/>
    <w:rsid w:val="4D321AF0"/>
    <w:rsid w:val="4D5D1613"/>
    <w:rsid w:val="4D5F2D35"/>
    <w:rsid w:val="4D63099C"/>
    <w:rsid w:val="4D6B3488"/>
    <w:rsid w:val="4D6E5660"/>
    <w:rsid w:val="4D91424C"/>
    <w:rsid w:val="4DB91727"/>
    <w:rsid w:val="4DBC59B0"/>
    <w:rsid w:val="4DC92710"/>
    <w:rsid w:val="4DCE4D06"/>
    <w:rsid w:val="4DD0778F"/>
    <w:rsid w:val="4DD51249"/>
    <w:rsid w:val="4DD74E5D"/>
    <w:rsid w:val="4E002684"/>
    <w:rsid w:val="4E0833CC"/>
    <w:rsid w:val="4E0C6778"/>
    <w:rsid w:val="4E0F420A"/>
    <w:rsid w:val="4E1B497E"/>
    <w:rsid w:val="4E1F24C4"/>
    <w:rsid w:val="4E2520E8"/>
    <w:rsid w:val="4E2568A5"/>
    <w:rsid w:val="4E4602E8"/>
    <w:rsid w:val="4E4B67A7"/>
    <w:rsid w:val="4E5403C0"/>
    <w:rsid w:val="4E760650"/>
    <w:rsid w:val="4E7F1CC2"/>
    <w:rsid w:val="4E915384"/>
    <w:rsid w:val="4E976BA1"/>
    <w:rsid w:val="4E9B7216"/>
    <w:rsid w:val="4E9D3C3D"/>
    <w:rsid w:val="4EA34EA3"/>
    <w:rsid w:val="4EA975AC"/>
    <w:rsid w:val="4EB40E5E"/>
    <w:rsid w:val="4EB73860"/>
    <w:rsid w:val="4EC63378"/>
    <w:rsid w:val="4EE64797"/>
    <w:rsid w:val="4EF65C8D"/>
    <w:rsid w:val="4F0C76FA"/>
    <w:rsid w:val="4F145077"/>
    <w:rsid w:val="4F1B54D1"/>
    <w:rsid w:val="4F2850F6"/>
    <w:rsid w:val="4F4837ED"/>
    <w:rsid w:val="4F4A06D7"/>
    <w:rsid w:val="4F5543EF"/>
    <w:rsid w:val="4F594457"/>
    <w:rsid w:val="4F6B3C13"/>
    <w:rsid w:val="4F722367"/>
    <w:rsid w:val="4F766C8C"/>
    <w:rsid w:val="4F794596"/>
    <w:rsid w:val="4F9C6574"/>
    <w:rsid w:val="4F9E6CCC"/>
    <w:rsid w:val="4FA24FBC"/>
    <w:rsid w:val="4FAC304E"/>
    <w:rsid w:val="4FAD75CC"/>
    <w:rsid w:val="4FBA57C5"/>
    <w:rsid w:val="4FDB0268"/>
    <w:rsid w:val="4FDC241B"/>
    <w:rsid w:val="4FDD5C6D"/>
    <w:rsid w:val="4FED2FE0"/>
    <w:rsid w:val="50154311"/>
    <w:rsid w:val="503262C7"/>
    <w:rsid w:val="504D0492"/>
    <w:rsid w:val="505C1973"/>
    <w:rsid w:val="508B0928"/>
    <w:rsid w:val="50923421"/>
    <w:rsid w:val="509727E6"/>
    <w:rsid w:val="509752E1"/>
    <w:rsid w:val="509D5E96"/>
    <w:rsid w:val="509E1DC6"/>
    <w:rsid w:val="50A04144"/>
    <w:rsid w:val="50B374B6"/>
    <w:rsid w:val="50B83CD8"/>
    <w:rsid w:val="50B9275C"/>
    <w:rsid w:val="50B94813"/>
    <w:rsid w:val="50BB0F81"/>
    <w:rsid w:val="50D00648"/>
    <w:rsid w:val="50DC5316"/>
    <w:rsid w:val="50DE6AD0"/>
    <w:rsid w:val="50E437C6"/>
    <w:rsid w:val="50F93FF4"/>
    <w:rsid w:val="510A33F1"/>
    <w:rsid w:val="510A5FD3"/>
    <w:rsid w:val="510D5631"/>
    <w:rsid w:val="510F05CE"/>
    <w:rsid w:val="51110B93"/>
    <w:rsid w:val="51132FF6"/>
    <w:rsid w:val="51186881"/>
    <w:rsid w:val="51295B34"/>
    <w:rsid w:val="512A5408"/>
    <w:rsid w:val="513D15DF"/>
    <w:rsid w:val="51404BD9"/>
    <w:rsid w:val="51421703"/>
    <w:rsid w:val="51422751"/>
    <w:rsid w:val="514922BC"/>
    <w:rsid w:val="514C1822"/>
    <w:rsid w:val="514C402F"/>
    <w:rsid w:val="514F52EA"/>
    <w:rsid w:val="51793912"/>
    <w:rsid w:val="5187285A"/>
    <w:rsid w:val="51957526"/>
    <w:rsid w:val="51A46F68"/>
    <w:rsid w:val="51B15B29"/>
    <w:rsid w:val="51B954BA"/>
    <w:rsid w:val="51BF1FF4"/>
    <w:rsid w:val="51C72A13"/>
    <w:rsid w:val="51C81A83"/>
    <w:rsid w:val="51C97963"/>
    <w:rsid w:val="51D96C51"/>
    <w:rsid w:val="51DB2056"/>
    <w:rsid w:val="51E35879"/>
    <w:rsid w:val="51E97071"/>
    <w:rsid w:val="51F0681A"/>
    <w:rsid w:val="520D1C16"/>
    <w:rsid w:val="522B79D6"/>
    <w:rsid w:val="522E286C"/>
    <w:rsid w:val="524F3A33"/>
    <w:rsid w:val="52523649"/>
    <w:rsid w:val="525C6D5F"/>
    <w:rsid w:val="525F1D91"/>
    <w:rsid w:val="526F651E"/>
    <w:rsid w:val="52935C69"/>
    <w:rsid w:val="529E7106"/>
    <w:rsid w:val="52A94DE1"/>
    <w:rsid w:val="52BA0D25"/>
    <w:rsid w:val="52BC4786"/>
    <w:rsid w:val="52D00024"/>
    <w:rsid w:val="52D42126"/>
    <w:rsid w:val="52E15F9A"/>
    <w:rsid w:val="52E262FD"/>
    <w:rsid w:val="52E2690C"/>
    <w:rsid w:val="52E83C02"/>
    <w:rsid w:val="52E8662F"/>
    <w:rsid w:val="52EE32FE"/>
    <w:rsid w:val="52FE2600"/>
    <w:rsid w:val="52FF3890"/>
    <w:rsid w:val="53026D00"/>
    <w:rsid w:val="530C74BB"/>
    <w:rsid w:val="5323653E"/>
    <w:rsid w:val="53307E13"/>
    <w:rsid w:val="533213DA"/>
    <w:rsid w:val="53395DD6"/>
    <w:rsid w:val="536270DB"/>
    <w:rsid w:val="53650979"/>
    <w:rsid w:val="53673400"/>
    <w:rsid w:val="536E0619"/>
    <w:rsid w:val="53745902"/>
    <w:rsid w:val="537873F9"/>
    <w:rsid w:val="537875B5"/>
    <w:rsid w:val="53803A05"/>
    <w:rsid w:val="539372EA"/>
    <w:rsid w:val="53963229"/>
    <w:rsid w:val="53A349DA"/>
    <w:rsid w:val="53AE0572"/>
    <w:rsid w:val="53B358E3"/>
    <w:rsid w:val="53D2112D"/>
    <w:rsid w:val="53D855EF"/>
    <w:rsid w:val="53E94CA4"/>
    <w:rsid w:val="53ED4C56"/>
    <w:rsid w:val="53F07155"/>
    <w:rsid w:val="53FB7509"/>
    <w:rsid w:val="541512AE"/>
    <w:rsid w:val="541C678F"/>
    <w:rsid w:val="5452183E"/>
    <w:rsid w:val="5454752F"/>
    <w:rsid w:val="54605CB9"/>
    <w:rsid w:val="548823F9"/>
    <w:rsid w:val="54972DB4"/>
    <w:rsid w:val="549B5255"/>
    <w:rsid w:val="54A83678"/>
    <w:rsid w:val="54B25668"/>
    <w:rsid w:val="54BF374C"/>
    <w:rsid w:val="54C66523"/>
    <w:rsid w:val="54C85664"/>
    <w:rsid w:val="54CE1C10"/>
    <w:rsid w:val="54CF22C7"/>
    <w:rsid w:val="54D1579F"/>
    <w:rsid w:val="54DB0D4D"/>
    <w:rsid w:val="54F33C44"/>
    <w:rsid w:val="54F46459"/>
    <w:rsid w:val="54F77E7C"/>
    <w:rsid w:val="550A168B"/>
    <w:rsid w:val="553B7BE4"/>
    <w:rsid w:val="553B7DE4"/>
    <w:rsid w:val="55447D3E"/>
    <w:rsid w:val="556E6732"/>
    <w:rsid w:val="556F4202"/>
    <w:rsid w:val="557443F4"/>
    <w:rsid w:val="558275C0"/>
    <w:rsid w:val="5587107B"/>
    <w:rsid w:val="55873655"/>
    <w:rsid w:val="558E225D"/>
    <w:rsid w:val="55986DE4"/>
    <w:rsid w:val="559B5926"/>
    <w:rsid w:val="559B68D4"/>
    <w:rsid w:val="55A76578"/>
    <w:rsid w:val="55B377FA"/>
    <w:rsid w:val="55CE2FE1"/>
    <w:rsid w:val="55DB13C7"/>
    <w:rsid w:val="55F63850"/>
    <w:rsid w:val="561F12B3"/>
    <w:rsid w:val="561F1E01"/>
    <w:rsid w:val="56300339"/>
    <w:rsid w:val="56312D95"/>
    <w:rsid w:val="563301AD"/>
    <w:rsid w:val="56421976"/>
    <w:rsid w:val="565F4EB3"/>
    <w:rsid w:val="566273F2"/>
    <w:rsid w:val="56632CCF"/>
    <w:rsid w:val="56677D97"/>
    <w:rsid w:val="566B4EA7"/>
    <w:rsid w:val="56792E7D"/>
    <w:rsid w:val="567C639F"/>
    <w:rsid w:val="56835CE6"/>
    <w:rsid w:val="56B023EA"/>
    <w:rsid w:val="56B04601"/>
    <w:rsid w:val="56DD28E7"/>
    <w:rsid w:val="56EC4BEB"/>
    <w:rsid w:val="56F110B1"/>
    <w:rsid w:val="56F50AD8"/>
    <w:rsid w:val="57000F31"/>
    <w:rsid w:val="570D735E"/>
    <w:rsid w:val="571075C9"/>
    <w:rsid w:val="57133D85"/>
    <w:rsid w:val="572052E3"/>
    <w:rsid w:val="57256629"/>
    <w:rsid w:val="5730619A"/>
    <w:rsid w:val="573C5E95"/>
    <w:rsid w:val="573D4DBA"/>
    <w:rsid w:val="5740532A"/>
    <w:rsid w:val="574153AB"/>
    <w:rsid w:val="575651A9"/>
    <w:rsid w:val="575B6E08"/>
    <w:rsid w:val="576B5326"/>
    <w:rsid w:val="576F68EC"/>
    <w:rsid w:val="578168B7"/>
    <w:rsid w:val="578751B4"/>
    <w:rsid w:val="57A50E53"/>
    <w:rsid w:val="57A56B64"/>
    <w:rsid w:val="57AB3143"/>
    <w:rsid w:val="57AC6290"/>
    <w:rsid w:val="57C53231"/>
    <w:rsid w:val="57E324C4"/>
    <w:rsid w:val="57E75E01"/>
    <w:rsid w:val="57ED2EAB"/>
    <w:rsid w:val="57F042D6"/>
    <w:rsid w:val="57F137A8"/>
    <w:rsid w:val="57FC4B45"/>
    <w:rsid w:val="57FD6FAD"/>
    <w:rsid w:val="5801378A"/>
    <w:rsid w:val="5818420C"/>
    <w:rsid w:val="581C4BE1"/>
    <w:rsid w:val="581F4F4E"/>
    <w:rsid w:val="5822496A"/>
    <w:rsid w:val="5825107D"/>
    <w:rsid w:val="582901C7"/>
    <w:rsid w:val="58377CE9"/>
    <w:rsid w:val="583D41D7"/>
    <w:rsid w:val="58520727"/>
    <w:rsid w:val="58533496"/>
    <w:rsid w:val="585A1B1D"/>
    <w:rsid w:val="58721932"/>
    <w:rsid w:val="587B3A58"/>
    <w:rsid w:val="587D25C3"/>
    <w:rsid w:val="58823D7B"/>
    <w:rsid w:val="58850E97"/>
    <w:rsid w:val="58851CF7"/>
    <w:rsid w:val="588B0DA2"/>
    <w:rsid w:val="589333DC"/>
    <w:rsid w:val="58B00410"/>
    <w:rsid w:val="58B77ED3"/>
    <w:rsid w:val="58BE1257"/>
    <w:rsid w:val="58D77C23"/>
    <w:rsid w:val="58DC7930"/>
    <w:rsid w:val="58E9604D"/>
    <w:rsid w:val="58ED3AF8"/>
    <w:rsid w:val="58EE1E1D"/>
    <w:rsid w:val="58F5279F"/>
    <w:rsid w:val="58FD7B2E"/>
    <w:rsid w:val="59074BBB"/>
    <w:rsid w:val="59080725"/>
    <w:rsid w:val="592E26EE"/>
    <w:rsid w:val="59343EB5"/>
    <w:rsid w:val="59362CE7"/>
    <w:rsid w:val="593D4189"/>
    <w:rsid w:val="59502250"/>
    <w:rsid w:val="595101BD"/>
    <w:rsid w:val="59575208"/>
    <w:rsid w:val="5960380D"/>
    <w:rsid w:val="597035FD"/>
    <w:rsid w:val="59723731"/>
    <w:rsid w:val="597D4C6F"/>
    <w:rsid w:val="5990298C"/>
    <w:rsid w:val="59917297"/>
    <w:rsid w:val="599651FE"/>
    <w:rsid w:val="59A432AA"/>
    <w:rsid w:val="59AA4177"/>
    <w:rsid w:val="59B01EB1"/>
    <w:rsid w:val="59B12B6A"/>
    <w:rsid w:val="59B50CBF"/>
    <w:rsid w:val="59C2771C"/>
    <w:rsid w:val="59C6381C"/>
    <w:rsid w:val="59C83E8D"/>
    <w:rsid w:val="59D126A3"/>
    <w:rsid w:val="59D14FBA"/>
    <w:rsid w:val="59DD502F"/>
    <w:rsid w:val="59DE0686"/>
    <w:rsid w:val="59DF2A7F"/>
    <w:rsid w:val="59F019A5"/>
    <w:rsid w:val="59FE6BD2"/>
    <w:rsid w:val="5A040C46"/>
    <w:rsid w:val="5A131A1A"/>
    <w:rsid w:val="5A3E00A8"/>
    <w:rsid w:val="5A515056"/>
    <w:rsid w:val="5A7F5673"/>
    <w:rsid w:val="5AA449A3"/>
    <w:rsid w:val="5AAA2C64"/>
    <w:rsid w:val="5AB26BF3"/>
    <w:rsid w:val="5AB47241"/>
    <w:rsid w:val="5AC60C79"/>
    <w:rsid w:val="5AC941AF"/>
    <w:rsid w:val="5AD82A9B"/>
    <w:rsid w:val="5AE667B2"/>
    <w:rsid w:val="5AFE1DDF"/>
    <w:rsid w:val="5B096A1C"/>
    <w:rsid w:val="5B212432"/>
    <w:rsid w:val="5B4436AB"/>
    <w:rsid w:val="5B461090"/>
    <w:rsid w:val="5B503CBD"/>
    <w:rsid w:val="5B546059"/>
    <w:rsid w:val="5B7D20B7"/>
    <w:rsid w:val="5BB33C52"/>
    <w:rsid w:val="5BB94E8F"/>
    <w:rsid w:val="5BC33ADC"/>
    <w:rsid w:val="5BC76459"/>
    <w:rsid w:val="5BCA53B6"/>
    <w:rsid w:val="5BDF1302"/>
    <w:rsid w:val="5BE4452A"/>
    <w:rsid w:val="5BEC109C"/>
    <w:rsid w:val="5BED0911"/>
    <w:rsid w:val="5C096A9D"/>
    <w:rsid w:val="5C1141B0"/>
    <w:rsid w:val="5C1155D7"/>
    <w:rsid w:val="5C1B5839"/>
    <w:rsid w:val="5C4A4E28"/>
    <w:rsid w:val="5C5B0B5F"/>
    <w:rsid w:val="5C5B1B87"/>
    <w:rsid w:val="5C5B79CB"/>
    <w:rsid w:val="5C657C3C"/>
    <w:rsid w:val="5C6E1733"/>
    <w:rsid w:val="5C77653D"/>
    <w:rsid w:val="5C782B42"/>
    <w:rsid w:val="5C820016"/>
    <w:rsid w:val="5C83341C"/>
    <w:rsid w:val="5C9440D6"/>
    <w:rsid w:val="5C997AD2"/>
    <w:rsid w:val="5CA44D99"/>
    <w:rsid w:val="5CCD14A2"/>
    <w:rsid w:val="5CD027EB"/>
    <w:rsid w:val="5CE66C36"/>
    <w:rsid w:val="5CF337FF"/>
    <w:rsid w:val="5D086F45"/>
    <w:rsid w:val="5D197A91"/>
    <w:rsid w:val="5D206FB1"/>
    <w:rsid w:val="5D25273E"/>
    <w:rsid w:val="5D2918B7"/>
    <w:rsid w:val="5D2F4FBA"/>
    <w:rsid w:val="5D5D2F39"/>
    <w:rsid w:val="5D742E34"/>
    <w:rsid w:val="5D750113"/>
    <w:rsid w:val="5D79737D"/>
    <w:rsid w:val="5D7A3273"/>
    <w:rsid w:val="5D8B4D95"/>
    <w:rsid w:val="5DA6152D"/>
    <w:rsid w:val="5DA855E7"/>
    <w:rsid w:val="5DA8677D"/>
    <w:rsid w:val="5DD44580"/>
    <w:rsid w:val="5DE74DAC"/>
    <w:rsid w:val="5DEE3BA9"/>
    <w:rsid w:val="5E004331"/>
    <w:rsid w:val="5E066834"/>
    <w:rsid w:val="5E0A6A3E"/>
    <w:rsid w:val="5E15070A"/>
    <w:rsid w:val="5E194C14"/>
    <w:rsid w:val="5E257683"/>
    <w:rsid w:val="5E2B4ABA"/>
    <w:rsid w:val="5E433DA3"/>
    <w:rsid w:val="5E4643D2"/>
    <w:rsid w:val="5E522903"/>
    <w:rsid w:val="5E5835B4"/>
    <w:rsid w:val="5E5E4943"/>
    <w:rsid w:val="5E5F0DE7"/>
    <w:rsid w:val="5E64524F"/>
    <w:rsid w:val="5E6518A1"/>
    <w:rsid w:val="5E6B51AC"/>
    <w:rsid w:val="5E6F461B"/>
    <w:rsid w:val="5EAB30B8"/>
    <w:rsid w:val="5EB62CFC"/>
    <w:rsid w:val="5EBE4B51"/>
    <w:rsid w:val="5ED263FB"/>
    <w:rsid w:val="5EDF4DC3"/>
    <w:rsid w:val="5EE92056"/>
    <w:rsid w:val="5EF45132"/>
    <w:rsid w:val="5EF57055"/>
    <w:rsid w:val="5F0B5699"/>
    <w:rsid w:val="5F0E4646"/>
    <w:rsid w:val="5F1073B8"/>
    <w:rsid w:val="5F1D6B8D"/>
    <w:rsid w:val="5F1E4D57"/>
    <w:rsid w:val="5F296CFF"/>
    <w:rsid w:val="5F372364"/>
    <w:rsid w:val="5F387096"/>
    <w:rsid w:val="5F685A79"/>
    <w:rsid w:val="5F795ED8"/>
    <w:rsid w:val="5F7B1D66"/>
    <w:rsid w:val="5F7E34EF"/>
    <w:rsid w:val="5F864151"/>
    <w:rsid w:val="5F8A1E93"/>
    <w:rsid w:val="5FA43FC6"/>
    <w:rsid w:val="5FB46F10"/>
    <w:rsid w:val="5FBC5111"/>
    <w:rsid w:val="5FC02949"/>
    <w:rsid w:val="5FCA04E2"/>
    <w:rsid w:val="5FEC0303"/>
    <w:rsid w:val="5FEC52C1"/>
    <w:rsid w:val="60114363"/>
    <w:rsid w:val="60145C01"/>
    <w:rsid w:val="60205E6D"/>
    <w:rsid w:val="602E39ED"/>
    <w:rsid w:val="603D4EDA"/>
    <w:rsid w:val="603F140E"/>
    <w:rsid w:val="60472984"/>
    <w:rsid w:val="60641899"/>
    <w:rsid w:val="60654728"/>
    <w:rsid w:val="60684E91"/>
    <w:rsid w:val="609F5230"/>
    <w:rsid w:val="60A0625E"/>
    <w:rsid w:val="60BD1F41"/>
    <w:rsid w:val="60CC489E"/>
    <w:rsid w:val="60E152F4"/>
    <w:rsid w:val="60F379AF"/>
    <w:rsid w:val="60F84A28"/>
    <w:rsid w:val="60FA6BA5"/>
    <w:rsid w:val="6109443E"/>
    <w:rsid w:val="61247DC5"/>
    <w:rsid w:val="61324473"/>
    <w:rsid w:val="6139328A"/>
    <w:rsid w:val="613B40D8"/>
    <w:rsid w:val="615565E3"/>
    <w:rsid w:val="616672E8"/>
    <w:rsid w:val="616C244A"/>
    <w:rsid w:val="617B5216"/>
    <w:rsid w:val="618D7A19"/>
    <w:rsid w:val="619B7808"/>
    <w:rsid w:val="61A06D65"/>
    <w:rsid w:val="61A22D98"/>
    <w:rsid w:val="61B44E9B"/>
    <w:rsid w:val="61BE4076"/>
    <w:rsid w:val="61C251FB"/>
    <w:rsid w:val="61D147BD"/>
    <w:rsid w:val="61D45648"/>
    <w:rsid w:val="61DE5B9C"/>
    <w:rsid w:val="61DF7D1A"/>
    <w:rsid w:val="620D4663"/>
    <w:rsid w:val="621822C6"/>
    <w:rsid w:val="621B7B30"/>
    <w:rsid w:val="6223212B"/>
    <w:rsid w:val="62235BF2"/>
    <w:rsid w:val="622D6B06"/>
    <w:rsid w:val="622F70D2"/>
    <w:rsid w:val="623E2EFD"/>
    <w:rsid w:val="62445596"/>
    <w:rsid w:val="624A5CB4"/>
    <w:rsid w:val="624B1673"/>
    <w:rsid w:val="624B51DE"/>
    <w:rsid w:val="624E603C"/>
    <w:rsid w:val="625C4C24"/>
    <w:rsid w:val="626A6293"/>
    <w:rsid w:val="626C3CBE"/>
    <w:rsid w:val="62802B50"/>
    <w:rsid w:val="62832BCA"/>
    <w:rsid w:val="62A12E72"/>
    <w:rsid w:val="62A26E13"/>
    <w:rsid w:val="62B674A5"/>
    <w:rsid w:val="62C62C12"/>
    <w:rsid w:val="62D23CD5"/>
    <w:rsid w:val="62D578C9"/>
    <w:rsid w:val="62DD052C"/>
    <w:rsid w:val="62E55633"/>
    <w:rsid w:val="631901CC"/>
    <w:rsid w:val="631D391A"/>
    <w:rsid w:val="6320666B"/>
    <w:rsid w:val="633971C4"/>
    <w:rsid w:val="634636F1"/>
    <w:rsid w:val="634E768E"/>
    <w:rsid w:val="634F4921"/>
    <w:rsid w:val="6352658E"/>
    <w:rsid w:val="6355591F"/>
    <w:rsid w:val="63585E05"/>
    <w:rsid w:val="636325F0"/>
    <w:rsid w:val="637A3FCD"/>
    <w:rsid w:val="637F36E5"/>
    <w:rsid w:val="6385354E"/>
    <w:rsid w:val="639D0A91"/>
    <w:rsid w:val="63AC7EFE"/>
    <w:rsid w:val="63B76FCF"/>
    <w:rsid w:val="63C2266D"/>
    <w:rsid w:val="63D925CE"/>
    <w:rsid w:val="63DC07E4"/>
    <w:rsid w:val="63E610B5"/>
    <w:rsid w:val="63EC378A"/>
    <w:rsid w:val="64012C1C"/>
    <w:rsid w:val="64095351"/>
    <w:rsid w:val="641372F7"/>
    <w:rsid w:val="642A47A2"/>
    <w:rsid w:val="64333F00"/>
    <w:rsid w:val="64350992"/>
    <w:rsid w:val="64365F40"/>
    <w:rsid w:val="64385065"/>
    <w:rsid w:val="643E4FFA"/>
    <w:rsid w:val="645124D4"/>
    <w:rsid w:val="646C2B5C"/>
    <w:rsid w:val="646F78AA"/>
    <w:rsid w:val="64806BA6"/>
    <w:rsid w:val="64847F68"/>
    <w:rsid w:val="64850008"/>
    <w:rsid w:val="648A19C7"/>
    <w:rsid w:val="648C5FB4"/>
    <w:rsid w:val="64975ADF"/>
    <w:rsid w:val="64A135B4"/>
    <w:rsid w:val="64B654D9"/>
    <w:rsid w:val="64CF20F6"/>
    <w:rsid w:val="64E262CE"/>
    <w:rsid w:val="64E536C8"/>
    <w:rsid w:val="64FB066D"/>
    <w:rsid w:val="65031DA0"/>
    <w:rsid w:val="65075D34"/>
    <w:rsid w:val="6508277B"/>
    <w:rsid w:val="65200A2B"/>
    <w:rsid w:val="65217654"/>
    <w:rsid w:val="65254584"/>
    <w:rsid w:val="652B03E1"/>
    <w:rsid w:val="65343070"/>
    <w:rsid w:val="65387C9C"/>
    <w:rsid w:val="65640A91"/>
    <w:rsid w:val="65685C3F"/>
    <w:rsid w:val="656A7049"/>
    <w:rsid w:val="65896749"/>
    <w:rsid w:val="659562A4"/>
    <w:rsid w:val="65A417D5"/>
    <w:rsid w:val="65AF1446"/>
    <w:rsid w:val="65D17ECF"/>
    <w:rsid w:val="65E40485"/>
    <w:rsid w:val="65E47A8E"/>
    <w:rsid w:val="65F247A0"/>
    <w:rsid w:val="65F67CDA"/>
    <w:rsid w:val="66231EF4"/>
    <w:rsid w:val="662E4881"/>
    <w:rsid w:val="66456B14"/>
    <w:rsid w:val="664D0717"/>
    <w:rsid w:val="664F3129"/>
    <w:rsid w:val="66513C44"/>
    <w:rsid w:val="6666109A"/>
    <w:rsid w:val="66820B15"/>
    <w:rsid w:val="668B68B4"/>
    <w:rsid w:val="668C5E9D"/>
    <w:rsid w:val="66974873"/>
    <w:rsid w:val="66A01F9C"/>
    <w:rsid w:val="66A650D9"/>
    <w:rsid w:val="66B4752E"/>
    <w:rsid w:val="66D55ED2"/>
    <w:rsid w:val="66DB1226"/>
    <w:rsid w:val="66DD0267"/>
    <w:rsid w:val="66E8228D"/>
    <w:rsid w:val="66E97853"/>
    <w:rsid w:val="66EA76BB"/>
    <w:rsid w:val="66FD73EF"/>
    <w:rsid w:val="66FE6AB6"/>
    <w:rsid w:val="66FF4908"/>
    <w:rsid w:val="67165E07"/>
    <w:rsid w:val="67253585"/>
    <w:rsid w:val="672D3654"/>
    <w:rsid w:val="674A70DF"/>
    <w:rsid w:val="675C2576"/>
    <w:rsid w:val="675D60DF"/>
    <w:rsid w:val="676364EF"/>
    <w:rsid w:val="67642FCA"/>
    <w:rsid w:val="6773320D"/>
    <w:rsid w:val="67962590"/>
    <w:rsid w:val="679C1682"/>
    <w:rsid w:val="67B24DCD"/>
    <w:rsid w:val="67B51A77"/>
    <w:rsid w:val="67CD2617"/>
    <w:rsid w:val="67CF1F03"/>
    <w:rsid w:val="67D20D1D"/>
    <w:rsid w:val="67E35F03"/>
    <w:rsid w:val="67F329A4"/>
    <w:rsid w:val="67F6781D"/>
    <w:rsid w:val="680C5285"/>
    <w:rsid w:val="681A5D7E"/>
    <w:rsid w:val="68247685"/>
    <w:rsid w:val="68260DD0"/>
    <w:rsid w:val="68350A00"/>
    <w:rsid w:val="6837248C"/>
    <w:rsid w:val="684604DB"/>
    <w:rsid w:val="6856432F"/>
    <w:rsid w:val="68642D8E"/>
    <w:rsid w:val="687C06D8"/>
    <w:rsid w:val="687F0337"/>
    <w:rsid w:val="688C3A50"/>
    <w:rsid w:val="68AF03B2"/>
    <w:rsid w:val="68BB3B77"/>
    <w:rsid w:val="68C71B27"/>
    <w:rsid w:val="68C82E1D"/>
    <w:rsid w:val="68CB18F9"/>
    <w:rsid w:val="68D11560"/>
    <w:rsid w:val="68D762A5"/>
    <w:rsid w:val="68D76E86"/>
    <w:rsid w:val="68EA0CDB"/>
    <w:rsid w:val="68ED6FEF"/>
    <w:rsid w:val="692065FB"/>
    <w:rsid w:val="692477B1"/>
    <w:rsid w:val="69252C2D"/>
    <w:rsid w:val="692B0A53"/>
    <w:rsid w:val="692C5D69"/>
    <w:rsid w:val="693F3D5D"/>
    <w:rsid w:val="69450BD9"/>
    <w:rsid w:val="694658D6"/>
    <w:rsid w:val="694F7031"/>
    <w:rsid w:val="69570CF1"/>
    <w:rsid w:val="69591C34"/>
    <w:rsid w:val="698B4888"/>
    <w:rsid w:val="698D4890"/>
    <w:rsid w:val="698E432E"/>
    <w:rsid w:val="699A2E3D"/>
    <w:rsid w:val="69A24495"/>
    <w:rsid w:val="69AC0ADC"/>
    <w:rsid w:val="69AD70E6"/>
    <w:rsid w:val="69B07B37"/>
    <w:rsid w:val="69B25C51"/>
    <w:rsid w:val="69B809F8"/>
    <w:rsid w:val="69B83AA1"/>
    <w:rsid w:val="69BB70ED"/>
    <w:rsid w:val="69CD0AAF"/>
    <w:rsid w:val="69ED3251"/>
    <w:rsid w:val="69EF55DF"/>
    <w:rsid w:val="69FC1BE0"/>
    <w:rsid w:val="69FF347E"/>
    <w:rsid w:val="6A2922A9"/>
    <w:rsid w:val="6A3C022E"/>
    <w:rsid w:val="6A3D741E"/>
    <w:rsid w:val="6A520CEE"/>
    <w:rsid w:val="6A5C4D8F"/>
    <w:rsid w:val="6A625270"/>
    <w:rsid w:val="6A7A67C6"/>
    <w:rsid w:val="6A883473"/>
    <w:rsid w:val="6AB342FC"/>
    <w:rsid w:val="6AB71FCC"/>
    <w:rsid w:val="6ABC7352"/>
    <w:rsid w:val="6ACD0EA7"/>
    <w:rsid w:val="6ACF4DF6"/>
    <w:rsid w:val="6AD05DA7"/>
    <w:rsid w:val="6AE1483C"/>
    <w:rsid w:val="6AE713F3"/>
    <w:rsid w:val="6B182A49"/>
    <w:rsid w:val="6B1E4AE8"/>
    <w:rsid w:val="6B380BB3"/>
    <w:rsid w:val="6B3E32D7"/>
    <w:rsid w:val="6B4A18B9"/>
    <w:rsid w:val="6B511AB7"/>
    <w:rsid w:val="6B6C069F"/>
    <w:rsid w:val="6B762F6F"/>
    <w:rsid w:val="6B7D52A4"/>
    <w:rsid w:val="6B835FF4"/>
    <w:rsid w:val="6B9B6FB4"/>
    <w:rsid w:val="6BAB4565"/>
    <w:rsid w:val="6BB57E92"/>
    <w:rsid w:val="6BB96046"/>
    <w:rsid w:val="6BBA728B"/>
    <w:rsid w:val="6BDF70C3"/>
    <w:rsid w:val="6BE07C1E"/>
    <w:rsid w:val="6BFE2CBE"/>
    <w:rsid w:val="6BFF15B9"/>
    <w:rsid w:val="6C12061C"/>
    <w:rsid w:val="6C141C3C"/>
    <w:rsid w:val="6C1C0BC2"/>
    <w:rsid w:val="6C1D44E0"/>
    <w:rsid w:val="6C263872"/>
    <w:rsid w:val="6C2703B4"/>
    <w:rsid w:val="6C28484D"/>
    <w:rsid w:val="6C3066D5"/>
    <w:rsid w:val="6C3143EF"/>
    <w:rsid w:val="6C405FB2"/>
    <w:rsid w:val="6C674ADD"/>
    <w:rsid w:val="6C6B28B9"/>
    <w:rsid w:val="6C6D7F2B"/>
    <w:rsid w:val="6C727F37"/>
    <w:rsid w:val="6C787C4F"/>
    <w:rsid w:val="6C823EF2"/>
    <w:rsid w:val="6CAC27E7"/>
    <w:rsid w:val="6CBB6C3D"/>
    <w:rsid w:val="6CC12C6C"/>
    <w:rsid w:val="6CD1527E"/>
    <w:rsid w:val="6CD314CA"/>
    <w:rsid w:val="6CD72490"/>
    <w:rsid w:val="6CDF31BB"/>
    <w:rsid w:val="6CE4528E"/>
    <w:rsid w:val="6CE70134"/>
    <w:rsid w:val="6CE81552"/>
    <w:rsid w:val="6CF3513B"/>
    <w:rsid w:val="6CFC6279"/>
    <w:rsid w:val="6D0E5E3B"/>
    <w:rsid w:val="6D100C92"/>
    <w:rsid w:val="6D1B5B49"/>
    <w:rsid w:val="6D1F7E35"/>
    <w:rsid w:val="6D323B6A"/>
    <w:rsid w:val="6D3276C6"/>
    <w:rsid w:val="6D6A6664"/>
    <w:rsid w:val="6D6D7B31"/>
    <w:rsid w:val="6D701077"/>
    <w:rsid w:val="6D77157D"/>
    <w:rsid w:val="6D7D3037"/>
    <w:rsid w:val="6D7F7D40"/>
    <w:rsid w:val="6D9004D7"/>
    <w:rsid w:val="6D907236"/>
    <w:rsid w:val="6DA32372"/>
    <w:rsid w:val="6DA37718"/>
    <w:rsid w:val="6DA71E62"/>
    <w:rsid w:val="6DC522E8"/>
    <w:rsid w:val="6DC76158"/>
    <w:rsid w:val="6DCC5C42"/>
    <w:rsid w:val="6DCE7454"/>
    <w:rsid w:val="6DD448B5"/>
    <w:rsid w:val="6DF57C3C"/>
    <w:rsid w:val="6E014168"/>
    <w:rsid w:val="6E1B1018"/>
    <w:rsid w:val="6E2D29FA"/>
    <w:rsid w:val="6E4B5340"/>
    <w:rsid w:val="6E5E15E6"/>
    <w:rsid w:val="6E61047A"/>
    <w:rsid w:val="6E7376FC"/>
    <w:rsid w:val="6E7B4909"/>
    <w:rsid w:val="6EA02DBF"/>
    <w:rsid w:val="6EA51672"/>
    <w:rsid w:val="6EA64A5D"/>
    <w:rsid w:val="6EAC1704"/>
    <w:rsid w:val="6EB71FB9"/>
    <w:rsid w:val="6EB81E4D"/>
    <w:rsid w:val="6EC4736D"/>
    <w:rsid w:val="6ED053E9"/>
    <w:rsid w:val="6ED70A7B"/>
    <w:rsid w:val="6EDE7B06"/>
    <w:rsid w:val="6EE07B10"/>
    <w:rsid w:val="6EE60CD6"/>
    <w:rsid w:val="6EF72976"/>
    <w:rsid w:val="6EF820C6"/>
    <w:rsid w:val="6F023EDA"/>
    <w:rsid w:val="6F08090C"/>
    <w:rsid w:val="6F10015F"/>
    <w:rsid w:val="6F140B01"/>
    <w:rsid w:val="6F143527"/>
    <w:rsid w:val="6F347AB4"/>
    <w:rsid w:val="6F41123E"/>
    <w:rsid w:val="6F4B4BFB"/>
    <w:rsid w:val="6F67705C"/>
    <w:rsid w:val="6F7B6C59"/>
    <w:rsid w:val="6F892CB6"/>
    <w:rsid w:val="6F946416"/>
    <w:rsid w:val="6FA02883"/>
    <w:rsid w:val="6FBB24A9"/>
    <w:rsid w:val="6FC550EA"/>
    <w:rsid w:val="6FEA24DA"/>
    <w:rsid w:val="6FF17E57"/>
    <w:rsid w:val="70057314"/>
    <w:rsid w:val="70074E3A"/>
    <w:rsid w:val="700C209B"/>
    <w:rsid w:val="701240E1"/>
    <w:rsid w:val="701B3328"/>
    <w:rsid w:val="70333E81"/>
    <w:rsid w:val="70424365"/>
    <w:rsid w:val="70527555"/>
    <w:rsid w:val="70551C22"/>
    <w:rsid w:val="707A1AB0"/>
    <w:rsid w:val="707B2AB7"/>
    <w:rsid w:val="70862CF2"/>
    <w:rsid w:val="708F632B"/>
    <w:rsid w:val="709E39D0"/>
    <w:rsid w:val="70B1389B"/>
    <w:rsid w:val="70C46C52"/>
    <w:rsid w:val="70D64C91"/>
    <w:rsid w:val="70E847A7"/>
    <w:rsid w:val="70EF2967"/>
    <w:rsid w:val="70F917D0"/>
    <w:rsid w:val="71107D1F"/>
    <w:rsid w:val="7118479E"/>
    <w:rsid w:val="712371BB"/>
    <w:rsid w:val="71287E50"/>
    <w:rsid w:val="712A5284"/>
    <w:rsid w:val="712C6E41"/>
    <w:rsid w:val="713752AB"/>
    <w:rsid w:val="71375D1E"/>
    <w:rsid w:val="71674430"/>
    <w:rsid w:val="716C3313"/>
    <w:rsid w:val="716C573D"/>
    <w:rsid w:val="718B1AF6"/>
    <w:rsid w:val="71A0201F"/>
    <w:rsid w:val="71A1355B"/>
    <w:rsid w:val="71A54F3B"/>
    <w:rsid w:val="71AF56D0"/>
    <w:rsid w:val="71BF52D3"/>
    <w:rsid w:val="71C5483C"/>
    <w:rsid w:val="71D7083C"/>
    <w:rsid w:val="71DE2000"/>
    <w:rsid w:val="71E12FD8"/>
    <w:rsid w:val="71E36043"/>
    <w:rsid w:val="71ED7492"/>
    <w:rsid w:val="71FD4747"/>
    <w:rsid w:val="72007D93"/>
    <w:rsid w:val="72092A3A"/>
    <w:rsid w:val="7209603F"/>
    <w:rsid w:val="720A29C0"/>
    <w:rsid w:val="722D3F7D"/>
    <w:rsid w:val="723932A5"/>
    <w:rsid w:val="724265FE"/>
    <w:rsid w:val="724815A7"/>
    <w:rsid w:val="72535DEA"/>
    <w:rsid w:val="725A1876"/>
    <w:rsid w:val="72710028"/>
    <w:rsid w:val="727147ED"/>
    <w:rsid w:val="72727A7E"/>
    <w:rsid w:val="727A6797"/>
    <w:rsid w:val="727B6F09"/>
    <w:rsid w:val="728A7E19"/>
    <w:rsid w:val="728B27F6"/>
    <w:rsid w:val="728E072E"/>
    <w:rsid w:val="729130E1"/>
    <w:rsid w:val="72962CBF"/>
    <w:rsid w:val="729B0BD4"/>
    <w:rsid w:val="72BD2E4A"/>
    <w:rsid w:val="72C205DC"/>
    <w:rsid w:val="72CB37E7"/>
    <w:rsid w:val="72E72D01"/>
    <w:rsid w:val="72EA65E3"/>
    <w:rsid w:val="73035F77"/>
    <w:rsid w:val="73083527"/>
    <w:rsid w:val="731C3EFD"/>
    <w:rsid w:val="731D4975"/>
    <w:rsid w:val="731F06ED"/>
    <w:rsid w:val="731F693F"/>
    <w:rsid w:val="73241157"/>
    <w:rsid w:val="733046A8"/>
    <w:rsid w:val="734142C1"/>
    <w:rsid w:val="7353536B"/>
    <w:rsid w:val="73581DDB"/>
    <w:rsid w:val="736E6FD1"/>
    <w:rsid w:val="737958D7"/>
    <w:rsid w:val="73970283"/>
    <w:rsid w:val="73AD5087"/>
    <w:rsid w:val="73BD1C89"/>
    <w:rsid w:val="73C72B42"/>
    <w:rsid w:val="73D2546D"/>
    <w:rsid w:val="73D27916"/>
    <w:rsid w:val="73DB6DCB"/>
    <w:rsid w:val="73EE0B9D"/>
    <w:rsid w:val="73FB1C8F"/>
    <w:rsid w:val="74082F2F"/>
    <w:rsid w:val="740908BC"/>
    <w:rsid w:val="741A2753"/>
    <w:rsid w:val="743943E9"/>
    <w:rsid w:val="743C1A12"/>
    <w:rsid w:val="74440FFA"/>
    <w:rsid w:val="744517A3"/>
    <w:rsid w:val="74543A55"/>
    <w:rsid w:val="745919DD"/>
    <w:rsid w:val="7463285B"/>
    <w:rsid w:val="746C6A6F"/>
    <w:rsid w:val="7472484C"/>
    <w:rsid w:val="747412E5"/>
    <w:rsid w:val="74797710"/>
    <w:rsid w:val="748A775B"/>
    <w:rsid w:val="74956EB9"/>
    <w:rsid w:val="74984209"/>
    <w:rsid w:val="74AA0DFC"/>
    <w:rsid w:val="74AE4F09"/>
    <w:rsid w:val="74B73872"/>
    <w:rsid w:val="74BD364F"/>
    <w:rsid w:val="74C44D9A"/>
    <w:rsid w:val="74C56FF3"/>
    <w:rsid w:val="74E00BA2"/>
    <w:rsid w:val="74E71EFD"/>
    <w:rsid w:val="74ED03A4"/>
    <w:rsid w:val="74FF07D6"/>
    <w:rsid w:val="750B0244"/>
    <w:rsid w:val="75111BC1"/>
    <w:rsid w:val="751853F4"/>
    <w:rsid w:val="751C03F0"/>
    <w:rsid w:val="75287D2D"/>
    <w:rsid w:val="753078FC"/>
    <w:rsid w:val="754B4113"/>
    <w:rsid w:val="75523015"/>
    <w:rsid w:val="75693EA1"/>
    <w:rsid w:val="75696984"/>
    <w:rsid w:val="75750A98"/>
    <w:rsid w:val="758332C4"/>
    <w:rsid w:val="75A27476"/>
    <w:rsid w:val="75AA4838"/>
    <w:rsid w:val="75AF53F1"/>
    <w:rsid w:val="75D92177"/>
    <w:rsid w:val="75DA08FB"/>
    <w:rsid w:val="75DE0B11"/>
    <w:rsid w:val="75E81BB2"/>
    <w:rsid w:val="75F01FF5"/>
    <w:rsid w:val="75F220E9"/>
    <w:rsid w:val="75F86525"/>
    <w:rsid w:val="75FB47C4"/>
    <w:rsid w:val="75FF3F53"/>
    <w:rsid w:val="76095C9B"/>
    <w:rsid w:val="760D1082"/>
    <w:rsid w:val="760E742B"/>
    <w:rsid w:val="761620A0"/>
    <w:rsid w:val="76165CF8"/>
    <w:rsid w:val="761B6535"/>
    <w:rsid w:val="76271E3C"/>
    <w:rsid w:val="7632192B"/>
    <w:rsid w:val="763455AF"/>
    <w:rsid w:val="76407146"/>
    <w:rsid w:val="76491771"/>
    <w:rsid w:val="765B10A7"/>
    <w:rsid w:val="76774F8F"/>
    <w:rsid w:val="76AC4ECF"/>
    <w:rsid w:val="76BD44A5"/>
    <w:rsid w:val="76C57490"/>
    <w:rsid w:val="76C61426"/>
    <w:rsid w:val="76D36C39"/>
    <w:rsid w:val="76D94F6C"/>
    <w:rsid w:val="76DF1BCC"/>
    <w:rsid w:val="76FD6AAD"/>
    <w:rsid w:val="76FF2D0F"/>
    <w:rsid w:val="77056E0B"/>
    <w:rsid w:val="770C1974"/>
    <w:rsid w:val="770F2826"/>
    <w:rsid w:val="772B467B"/>
    <w:rsid w:val="7734678B"/>
    <w:rsid w:val="773470DE"/>
    <w:rsid w:val="7735713F"/>
    <w:rsid w:val="773D58DC"/>
    <w:rsid w:val="77436E8C"/>
    <w:rsid w:val="7744436F"/>
    <w:rsid w:val="77472CDD"/>
    <w:rsid w:val="7771703D"/>
    <w:rsid w:val="77A17922"/>
    <w:rsid w:val="77A65777"/>
    <w:rsid w:val="77B24817"/>
    <w:rsid w:val="77B25DA1"/>
    <w:rsid w:val="77B41060"/>
    <w:rsid w:val="77B8724A"/>
    <w:rsid w:val="77BD13BC"/>
    <w:rsid w:val="77C81353"/>
    <w:rsid w:val="77CC3AD2"/>
    <w:rsid w:val="77CC60B9"/>
    <w:rsid w:val="77CD0AAC"/>
    <w:rsid w:val="77ED4606"/>
    <w:rsid w:val="77FA4D51"/>
    <w:rsid w:val="77FD7BF3"/>
    <w:rsid w:val="78187313"/>
    <w:rsid w:val="782567A5"/>
    <w:rsid w:val="7829361E"/>
    <w:rsid w:val="782E1AD6"/>
    <w:rsid w:val="78346A82"/>
    <w:rsid w:val="78347732"/>
    <w:rsid w:val="78457416"/>
    <w:rsid w:val="785275A7"/>
    <w:rsid w:val="785908D6"/>
    <w:rsid w:val="787136A7"/>
    <w:rsid w:val="788F1E71"/>
    <w:rsid w:val="789A3D30"/>
    <w:rsid w:val="789D458E"/>
    <w:rsid w:val="78A05E2C"/>
    <w:rsid w:val="78A7540C"/>
    <w:rsid w:val="78B33DB1"/>
    <w:rsid w:val="78B503A8"/>
    <w:rsid w:val="78C74988"/>
    <w:rsid w:val="78F02FBE"/>
    <w:rsid w:val="79021DE9"/>
    <w:rsid w:val="791653E2"/>
    <w:rsid w:val="792B305D"/>
    <w:rsid w:val="792E20A2"/>
    <w:rsid w:val="79501600"/>
    <w:rsid w:val="7960437D"/>
    <w:rsid w:val="796920A1"/>
    <w:rsid w:val="797B41A3"/>
    <w:rsid w:val="797D43BF"/>
    <w:rsid w:val="797E1BE9"/>
    <w:rsid w:val="79834BEA"/>
    <w:rsid w:val="79863274"/>
    <w:rsid w:val="79951F03"/>
    <w:rsid w:val="799B1F89"/>
    <w:rsid w:val="79A70B53"/>
    <w:rsid w:val="79A851F6"/>
    <w:rsid w:val="79D160E5"/>
    <w:rsid w:val="79D2073C"/>
    <w:rsid w:val="79DA5AB8"/>
    <w:rsid w:val="79E13B35"/>
    <w:rsid w:val="79E341AF"/>
    <w:rsid w:val="79F25261"/>
    <w:rsid w:val="79FB18B6"/>
    <w:rsid w:val="79FE105C"/>
    <w:rsid w:val="7A0B6D16"/>
    <w:rsid w:val="7A1328EC"/>
    <w:rsid w:val="7A1B6529"/>
    <w:rsid w:val="7A3500AD"/>
    <w:rsid w:val="7A3507F6"/>
    <w:rsid w:val="7A7D7AE8"/>
    <w:rsid w:val="7A856D10"/>
    <w:rsid w:val="7A8C0FAD"/>
    <w:rsid w:val="7A912060"/>
    <w:rsid w:val="7A9C4EA9"/>
    <w:rsid w:val="7A9F443F"/>
    <w:rsid w:val="7AA02113"/>
    <w:rsid w:val="7ACE2898"/>
    <w:rsid w:val="7AD0671B"/>
    <w:rsid w:val="7AD41DBD"/>
    <w:rsid w:val="7AF46D4D"/>
    <w:rsid w:val="7B076241"/>
    <w:rsid w:val="7B0B4988"/>
    <w:rsid w:val="7B234A9A"/>
    <w:rsid w:val="7B2F4C29"/>
    <w:rsid w:val="7B4B066B"/>
    <w:rsid w:val="7B50411F"/>
    <w:rsid w:val="7B504299"/>
    <w:rsid w:val="7B5178B1"/>
    <w:rsid w:val="7B5D3D4B"/>
    <w:rsid w:val="7B607AF4"/>
    <w:rsid w:val="7B6F236E"/>
    <w:rsid w:val="7B797B87"/>
    <w:rsid w:val="7B7A0BB6"/>
    <w:rsid w:val="7B7C1067"/>
    <w:rsid w:val="7B906D30"/>
    <w:rsid w:val="7B910D22"/>
    <w:rsid w:val="7BA54094"/>
    <w:rsid w:val="7BA63759"/>
    <w:rsid w:val="7BB53B08"/>
    <w:rsid w:val="7BB552E2"/>
    <w:rsid w:val="7BC04950"/>
    <w:rsid w:val="7BC171B5"/>
    <w:rsid w:val="7BC22849"/>
    <w:rsid w:val="7BD922CE"/>
    <w:rsid w:val="7BE0331E"/>
    <w:rsid w:val="7BEB1AB4"/>
    <w:rsid w:val="7BF075E5"/>
    <w:rsid w:val="7C1659C1"/>
    <w:rsid w:val="7C172EF2"/>
    <w:rsid w:val="7C1A5EF5"/>
    <w:rsid w:val="7C2C445F"/>
    <w:rsid w:val="7C3454B9"/>
    <w:rsid w:val="7C3779AE"/>
    <w:rsid w:val="7C3918FE"/>
    <w:rsid w:val="7C50112E"/>
    <w:rsid w:val="7C712105"/>
    <w:rsid w:val="7C73514F"/>
    <w:rsid w:val="7C7E46D6"/>
    <w:rsid w:val="7C8F47DE"/>
    <w:rsid w:val="7C943EFA"/>
    <w:rsid w:val="7CA55770"/>
    <w:rsid w:val="7CB63E70"/>
    <w:rsid w:val="7CBA5B4F"/>
    <w:rsid w:val="7CE3464A"/>
    <w:rsid w:val="7CE639E0"/>
    <w:rsid w:val="7CEA3B1A"/>
    <w:rsid w:val="7D052242"/>
    <w:rsid w:val="7D0A79EC"/>
    <w:rsid w:val="7D0E5F7B"/>
    <w:rsid w:val="7D1231F4"/>
    <w:rsid w:val="7D1851C3"/>
    <w:rsid w:val="7D3261E6"/>
    <w:rsid w:val="7D466A29"/>
    <w:rsid w:val="7D492360"/>
    <w:rsid w:val="7D613AB1"/>
    <w:rsid w:val="7D69172C"/>
    <w:rsid w:val="7D6F1362"/>
    <w:rsid w:val="7D7259C4"/>
    <w:rsid w:val="7D7304D0"/>
    <w:rsid w:val="7D891584"/>
    <w:rsid w:val="7D8B70AB"/>
    <w:rsid w:val="7D910439"/>
    <w:rsid w:val="7D920C00"/>
    <w:rsid w:val="7DA93CDC"/>
    <w:rsid w:val="7DBB3082"/>
    <w:rsid w:val="7DBC050C"/>
    <w:rsid w:val="7DC73E5B"/>
    <w:rsid w:val="7DCC5037"/>
    <w:rsid w:val="7DCD6536"/>
    <w:rsid w:val="7DEE3196"/>
    <w:rsid w:val="7DF02B7B"/>
    <w:rsid w:val="7DF07F25"/>
    <w:rsid w:val="7DF32EA2"/>
    <w:rsid w:val="7DFE10C5"/>
    <w:rsid w:val="7E2B6198"/>
    <w:rsid w:val="7E2F4A21"/>
    <w:rsid w:val="7E2F5812"/>
    <w:rsid w:val="7E5E47BF"/>
    <w:rsid w:val="7E645A60"/>
    <w:rsid w:val="7E6808EC"/>
    <w:rsid w:val="7E704F93"/>
    <w:rsid w:val="7E706B85"/>
    <w:rsid w:val="7E7358D0"/>
    <w:rsid w:val="7E803E75"/>
    <w:rsid w:val="7E850F3F"/>
    <w:rsid w:val="7E9D38A8"/>
    <w:rsid w:val="7EB75C7D"/>
    <w:rsid w:val="7EB77A2B"/>
    <w:rsid w:val="7EB85585"/>
    <w:rsid w:val="7EBC0762"/>
    <w:rsid w:val="7EC97A7B"/>
    <w:rsid w:val="7ED4670F"/>
    <w:rsid w:val="7EEC5322"/>
    <w:rsid w:val="7EEE58DE"/>
    <w:rsid w:val="7F1B14C6"/>
    <w:rsid w:val="7F4B7742"/>
    <w:rsid w:val="7F594D87"/>
    <w:rsid w:val="7F5D0386"/>
    <w:rsid w:val="7F88549A"/>
    <w:rsid w:val="7F886D70"/>
    <w:rsid w:val="7F8F70F1"/>
    <w:rsid w:val="7F9A331C"/>
    <w:rsid w:val="7F9D30C5"/>
    <w:rsid w:val="7F9D4E73"/>
    <w:rsid w:val="7FA06711"/>
    <w:rsid w:val="7FA57BC9"/>
    <w:rsid w:val="7FC66816"/>
    <w:rsid w:val="7FE976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9" w:semiHidden="0" w:name="heading 4" w:locked="1"/>
    <w:lsdException w:qFormat="1" w:uiPriority="9"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autoRedefine/>
    <w:qFormat/>
    <w:uiPriority w:val="99"/>
    <w:pPr>
      <w:keepNext/>
      <w:keepLines/>
      <w:spacing w:before="20" w:after="20" w:line="360" w:lineRule="auto"/>
      <w:jc w:val="center"/>
      <w:outlineLvl w:val="0"/>
    </w:pPr>
    <w:rPr>
      <w:rFonts w:ascii="Times New Roman" w:hAnsi="Times New Roman" w:eastAsia="仿宋"/>
      <w:b/>
      <w:bCs/>
      <w:kern w:val="44"/>
      <w:sz w:val="36"/>
      <w:szCs w:val="44"/>
    </w:rPr>
  </w:style>
  <w:style w:type="paragraph" w:styleId="3">
    <w:name w:val="heading 2"/>
    <w:basedOn w:val="4"/>
    <w:next w:val="1"/>
    <w:link w:val="78"/>
    <w:autoRedefine/>
    <w:qFormat/>
    <w:locked/>
    <w:uiPriority w:val="0"/>
    <w:pPr>
      <w:keepNext/>
      <w:keepLines/>
      <w:numPr>
        <w:ilvl w:val="0"/>
        <w:numId w:val="1"/>
      </w:numPr>
      <w:spacing w:beforeLines="0" w:afterLines="0" w:line="500" w:lineRule="exact"/>
      <w:ind w:left="0" w:firstLine="0" w:firstLineChars="0"/>
      <w:jc w:val="center"/>
      <w:outlineLvl w:val="1"/>
    </w:pPr>
    <w:rPr>
      <w:rFonts w:ascii="Arial" w:hAnsi="Arial" w:eastAsia="仿宋"/>
      <w:b/>
      <w:sz w:val="32"/>
    </w:rPr>
  </w:style>
  <w:style w:type="paragraph" w:styleId="5">
    <w:name w:val="heading 3"/>
    <w:basedOn w:val="1"/>
    <w:next w:val="1"/>
    <w:autoRedefine/>
    <w:qFormat/>
    <w:locked/>
    <w:uiPriority w:val="0"/>
    <w:pPr>
      <w:keepNext/>
      <w:keepLines/>
      <w:numPr>
        <w:ilvl w:val="2"/>
        <w:numId w:val="2"/>
      </w:numPr>
      <w:spacing w:before="20" w:beforeAutospacing="0" w:after="20" w:afterAutospacing="0" w:line="240" w:lineRule="auto"/>
      <w:ind w:left="0" w:firstLine="400"/>
      <w:jc w:val="left"/>
      <w:outlineLvl w:val="2"/>
    </w:pPr>
    <w:rPr>
      <w:rFonts w:ascii="Times New Roman" w:hAnsi="Times New Roman" w:eastAsia="微软雅黑" w:cs="微软雅黑"/>
      <w:b/>
      <w:bCs/>
      <w:color w:val="000000"/>
      <w:sz w:val="30"/>
      <w:szCs w:val="30"/>
      <w:u w:val="single" w:color="FF0000"/>
    </w:rPr>
  </w:style>
  <w:style w:type="paragraph" w:styleId="6">
    <w:name w:val="heading 4"/>
    <w:basedOn w:val="1"/>
    <w:next w:val="1"/>
    <w:autoRedefine/>
    <w:unhideWhenUsed/>
    <w:qFormat/>
    <w:locked/>
    <w:uiPriority w:val="9"/>
    <w:pPr>
      <w:keepNext/>
      <w:keepLines/>
      <w:outlineLvl w:val="3"/>
    </w:pPr>
    <w:rPr>
      <w:rFonts w:eastAsia="宋体" w:asciiTheme="majorHAnsi" w:hAnsiTheme="majorHAnsi" w:cstheme="majorBidi"/>
      <w:b/>
      <w:bCs/>
      <w:szCs w:val="28"/>
    </w:rPr>
  </w:style>
  <w:style w:type="paragraph" w:styleId="7">
    <w:name w:val="heading 5"/>
    <w:basedOn w:val="1"/>
    <w:next w:val="1"/>
    <w:autoRedefine/>
    <w:unhideWhenUsed/>
    <w:qFormat/>
    <w:locked/>
    <w:uiPriority w:val="9"/>
    <w:pPr>
      <w:keepNext/>
      <w:keepLines/>
      <w:outlineLvl w:val="4"/>
    </w:pPr>
    <w:rPr>
      <w:rFonts w:eastAsia="宋体"/>
      <w:b/>
      <w:bCs/>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0"/>
    <w:pPr>
      <w:ind w:firstLine="420" w:firstLineChars="200"/>
    </w:pPr>
  </w:style>
  <w:style w:type="paragraph" w:styleId="8">
    <w:name w:val="List 3"/>
    <w:basedOn w:val="1"/>
    <w:autoRedefine/>
    <w:qFormat/>
    <w:uiPriority w:val="99"/>
    <w:pPr>
      <w:ind w:left="100" w:leftChars="400" w:hanging="200" w:hangingChars="200"/>
    </w:pPr>
  </w:style>
  <w:style w:type="paragraph" w:styleId="9">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10">
    <w:name w:val="annotation text"/>
    <w:basedOn w:val="1"/>
    <w:autoRedefine/>
    <w:qFormat/>
    <w:uiPriority w:val="0"/>
    <w:rPr>
      <w:sz w:val="20"/>
    </w:rPr>
  </w:style>
  <w:style w:type="paragraph" w:styleId="11">
    <w:name w:val="index 6"/>
    <w:basedOn w:val="1"/>
    <w:next w:val="1"/>
    <w:autoRedefine/>
    <w:qFormat/>
    <w:uiPriority w:val="99"/>
    <w:pPr>
      <w:ind w:left="2100"/>
    </w:pPr>
  </w:style>
  <w:style w:type="paragraph" w:styleId="12">
    <w:name w:val="Body Text"/>
    <w:basedOn w:val="1"/>
    <w:next w:val="13"/>
    <w:link w:val="39"/>
    <w:autoRedefine/>
    <w:qFormat/>
    <w:uiPriority w:val="99"/>
    <w:pPr>
      <w:spacing w:after="120"/>
    </w:pPr>
    <w:rPr>
      <w:kern w:val="0"/>
      <w:sz w:val="20"/>
    </w:rPr>
  </w:style>
  <w:style w:type="paragraph" w:styleId="13">
    <w:name w:val="Date"/>
    <w:basedOn w:val="1"/>
    <w:next w:val="1"/>
    <w:autoRedefine/>
    <w:qFormat/>
    <w:uiPriority w:val="0"/>
    <w:pPr>
      <w:ind w:left="100" w:leftChars="2500"/>
    </w:pPr>
    <w:rPr>
      <w:color w:val="000000"/>
      <w:kern w:val="0"/>
      <w:sz w:val="28"/>
    </w:rPr>
  </w:style>
  <w:style w:type="paragraph" w:styleId="14">
    <w:name w:val="Body Text Indent"/>
    <w:basedOn w:val="1"/>
    <w:next w:val="15"/>
    <w:autoRedefine/>
    <w:qFormat/>
    <w:uiPriority w:val="0"/>
    <w:pPr>
      <w:spacing w:after="120"/>
      <w:ind w:left="420" w:leftChars="200"/>
    </w:pPr>
    <w:rPr>
      <w:kern w:val="0"/>
      <w:sz w:val="20"/>
    </w:rPr>
  </w:style>
  <w:style w:type="paragraph" w:styleId="15">
    <w:name w:val="Body Text First Indent 2"/>
    <w:basedOn w:val="14"/>
    <w:next w:val="1"/>
    <w:autoRedefine/>
    <w:qFormat/>
    <w:uiPriority w:val="0"/>
    <w:pPr>
      <w:spacing w:after="120"/>
      <w:ind w:firstLine="480" w:firstLineChars="200"/>
    </w:pPr>
    <w:rPr>
      <w:lang w:val="zh-CN"/>
    </w:rPr>
  </w:style>
  <w:style w:type="paragraph" w:styleId="16">
    <w:name w:val="Plain Text"/>
    <w:basedOn w:val="1"/>
    <w:next w:val="1"/>
    <w:link w:val="40"/>
    <w:autoRedefine/>
    <w:qFormat/>
    <w:uiPriority w:val="99"/>
    <w:pPr>
      <w:widowControl/>
      <w:spacing w:before="100" w:beforeAutospacing="1" w:after="100" w:afterAutospacing="1"/>
      <w:jc w:val="left"/>
    </w:pPr>
    <w:rPr>
      <w:rFonts w:ascii="宋体" w:hAnsi="宋体"/>
      <w:kern w:val="0"/>
      <w:sz w:val="24"/>
    </w:rPr>
  </w:style>
  <w:style w:type="paragraph" w:styleId="17">
    <w:name w:val="Body Text Indent 2"/>
    <w:basedOn w:val="1"/>
    <w:autoRedefine/>
    <w:qFormat/>
    <w:uiPriority w:val="0"/>
    <w:pPr>
      <w:spacing w:after="120" w:afterLines="0" w:line="480" w:lineRule="auto"/>
      <w:ind w:left="420" w:leftChars="200"/>
    </w:pPr>
    <w:rPr>
      <w:rFonts w:ascii="Times New Roman" w:hAnsi="Times New Roman" w:eastAsia="宋体" w:cs="Times New Roman"/>
    </w:rPr>
  </w:style>
  <w:style w:type="paragraph" w:styleId="18">
    <w:name w:val="Balloon Text"/>
    <w:basedOn w:val="1"/>
    <w:link w:val="48"/>
    <w:autoRedefine/>
    <w:semiHidden/>
    <w:qFormat/>
    <w:uiPriority w:val="99"/>
    <w:rPr>
      <w:sz w:val="18"/>
      <w:szCs w:val="18"/>
    </w:rPr>
  </w:style>
  <w:style w:type="paragraph" w:styleId="19">
    <w:name w:val="footer"/>
    <w:basedOn w:val="1"/>
    <w:link w:val="41"/>
    <w:autoRedefine/>
    <w:qFormat/>
    <w:uiPriority w:val="99"/>
    <w:pPr>
      <w:tabs>
        <w:tab w:val="center" w:pos="4153"/>
        <w:tab w:val="right" w:pos="8306"/>
      </w:tabs>
      <w:snapToGrid w:val="0"/>
      <w:jc w:val="left"/>
    </w:pPr>
    <w:rPr>
      <w:rFonts w:ascii="Calibri" w:hAnsi="Calibri"/>
      <w:kern w:val="0"/>
      <w:sz w:val="18"/>
      <w:szCs w:val="18"/>
    </w:rPr>
  </w:style>
  <w:style w:type="paragraph" w:styleId="20">
    <w:name w:val="header"/>
    <w:basedOn w:val="1"/>
    <w:link w:val="4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footnote text"/>
    <w:basedOn w:val="1"/>
    <w:next w:val="12"/>
    <w:link w:val="38"/>
    <w:autoRedefine/>
    <w:qFormat/>
    <w:uiPriority w:val="99"/>
    <w:pPr>
      <w:snapToGrid w:val="0"/>
      <w:jc w:val="left"/>
    </w:pPr>
    <w:rPr>
      <w:sz w:val="18"/>
    </w:rPr>
  </w:style>
  <w:style w:type="paragraph" w:styleId="2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23">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24">
    <w:name w:val="Title"/>
    <w:basedOn w:val="1"/>
    <w:next w:val="1"/>
    <w:autoRedefine/>
    <w:qFormat/>
    <w:locked/>
    <w:uiPriority w:val="0"/>
    <w:pPr>
      <w:jc w:val="both"/>
    </w:pPr>
    <w:rPr>
      <w:rFonts w:ascii="宋体" w:hAnsi="宋体"/>
      <w:sz w:val="44"/>
    </w:rPr>
  </w:style>
  <w:style w:type="paragraph" w:styleId="25">
    <w:name w:val="Body Text First Indent"/>
    <w:basedOn w:val="12"/>
    <w:autoRedefine/>
    <w:qFormat/>
    <w:uiPriority w:val="0"/>
    <w:pPr>
      <w:ind w:firstLine="420" w:firstLineChars="100"/>
    </w:pPr>
  </w:style>
  <w:style w:type="table" w:styleId="27">
    <w:name w:val="Table Grid"/>
    <w:basedOn w:val="2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99"/>
    <w:rPr>
      <w:rFonts w:ascii="Times New Roman" w:hAnsi="Times New Roman" w:eastAsia="宋体" w:cs="Times New Roman"/>
      <w:b/>
    </w:rPr>
  </w:style>
  <w:style w:type="character" w:styleId="30">
    <w:name w:val="HTML Sample"/>
    <w:basedOn w:val="28"/>
    <w:autoRedefine/>
    <w:semiHidden/>
    <w:unhideWhenUsed/>
    <w:qFormat/>
    <w:uiPriority w:val="99"/>
    <w:rPr>
      <w:rFonts w:ascii="Courier New" w:hAnsi="Courier New"/>
    </w:rPr>
  </w:style>
  <w:style w:type="paragraph" w:customStyle="1" w:styleId="31">
    <w:name w:val="_Style 2"/>
    <w:basedOn w:val="1"/>
    <w:qFormat/>
    <w:uiPriority w:val="99"/>
    <w:pPr>
      <w:ind w:firstLine="420" w:firstLineChars="200"/>
    </w:pPr>
    <w:rPr>
      <w:szCs w:val="24"/>
    </w:rPr>
  </w:style>
  <w:style w:type="paragraph" w:customStyle="1" w:styleId="32">
    <w:name w:val="文档正文"/>
    <w:basedOn w:val="9"/>
    <w:autoRedefine/>
    <w:qFormat/>
    <w:uiPriority w:val="99"/>
    <w:pPr>
      <w:widowControl w:val="0"/>
      <w:tabs>
        <w:tab w:val="left" w:pos="737"/>
      </w:tabs>
      <w:adjustRightInd w:val="0"/>
      <w:spacing w:line="312" w:lineRule="atLeast"/>
      <w:ind w:firstLine="567"/>
      <w:jc w:val="both"/>
      <w:textAlignment w:val="baseline"/>
    </w:pPr>
    <w:rPr>
      <w:rFonts w:ascii="长城仿宋" w:hAnsi="Times New Roman" w:eastAsia="长城仿宋" w:cs="Times New Roman"/>
      <w:sz w:val="28"/>
      <w:szCs w:val="24"/>
    </w:rPr>
  </w:style>
  <w:style w:type="paragraph" w:customStyle="1" w:styleId="33">
    <w:name w:val="Default"/>
    <w:basedOn w:val="24"/>
    <w:next w:val="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一级条标题"/>
    <w:basedOn w:val="35"/>
    <w:next w:val="36"/>
    <w:autoRedefine/>
    <w:qFormat/>
    <w:uiPriority w:val="99"/>
    <w:pPr>
      <w:spacing w:line="240" w:lineRule="auto"/>
      <w:ind w:left="420"/>
      <w:outlineLvl w:val="2"/>
    </w:pPr>
  </w:style>
  <w:style w:type="paragraph" w:customStyle="1" w:styleId="35">
    <w:name w:val="章标题"/>
    <w:next w:val="1"/>
    <w:autoRedefine/>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36">
    <w:name w:val="段"/>
    <w:next w:val="1"/>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37">
    <w:name w:val="标题 1 Char"/>
    <w:link w:val="2"/>
    <w:autoRedefine/>
    <w:qFormat/>
    <w:uiPriority w:val="9"/>
    <w:rPr>
      <w:rFonts w:ascii="Times New Roman" w:hAnsi="Times New Roman" w:eastAsia="仿宋"/>
      <w:b/>
      <w:bCs/>
      <w:kern w:val="44"/>
      <w:sz w:val="36"/>
      <w:szCs w:val="44"/>
    </w:rPr>
  </w:style>
  <w:style w:type="character" w:customStyle="1" w:styleId="38">
    <w:name w:val="脚注文本 Char"/>
    <w:link w:val="21"/>
    <w:autoRedefine/>
    <w:semiHidden/>
    <w:qFormat/>
    <w:uiPriority w:val="99"/>
    <w:rPr>
      <w:sz w:val="18"/>
      <w:szCs w:val="18"/>
    </w:rPr>
  </w:style>
  <w:style w:type="character" w:customStyle="1" w:styleId="39">
    <w:name w:val="正文文本 Char"/>
    <w:link w:val="12"/>
    <w:autoRedefine/>
    <w:semiHidden/>
    <w:qFormat/>
    <w:uiPriority w:val="99"/>
    <w:rPr>
      <w:szCs w:val="24"/>
    </w:rPr>
  </w:style>
  <w:style w:type="character" w:customStyle="1" w:styleId="40">
    <w:name w:val="纯文本 Char"/>
    <w:link w:val="16"/>
    <w:autoRedefine/>
    <w:semiHidden/>
    <w:qFormat/>
    <w:uiPriority w:val="99"/>
    <w:rPr>
      <w:rFonts w:ascii="宋体" w:hAnsi="Courier New" w:cs="Courier New"/>
      <w:szCs w:val="21"/>
    </w:rPr>
  </w:style>
  <w:style w:type="character" w:customStyle="1" w:styleId="41">
    <w:name w:val="页脚 Char"/>
    <w:link w:val="19"/>
    <w:autoRedefine/>
    <w:semiHidden/>
    <w:qFormat/>
    <w:uiPriority w:val="99"/>
    <w:rPr>
      <w:sz w:val="18"/>
      <w:szCs w:val="18"/>
    </w:rPr>
  </w:style>
  <w:style w:type="character" w:customStyle="1" w:styleId="42">
    <w:name w:val="页眉 Char"/>
    <w:link w:val="20"/>
    <w:autoRedefine/>
    <w:semiHidden/>
    <w:qFormat/>
    <w:uiPriority w:val="99"/>
    <w:rPr>
      <w:sz w:val="18"/>
      <w:szCs w:val="18"/>
    </w:rPr>
  </w:style>
  <w:style w:type="paragraph" w:customStyle="1" w:styleId="43">
    <w:name w:val="5）标书正文 首行缩进2字符"/>
    <w:basedOn w:val="1"/>
    <w:autoRedefine/>
    <w:qFormat/>
    <w:uiPriority w:val="99"/>
    <w:pPr>
      <w:spacing w:line="480" w:lineRule="exact"/>
      <w:ind w:firstLine="200" w:firstLineChars="200"/>
    </w:pPr>
    <w:rPr>
      <w:rFonts w:ascii="仿宋_GB2312" w:eastAsia="仿宋_GB2312"/>
      <w:sz w:val="28"/>
    </w:rPr>
  </w:style>
  <w:style w:type="paragraph" w:customStyle="1" w:styleId="44">
    <w:name w:val="WPS Plain"/>
    <w:autoRedefine/>
    <w:qFormat/>
    <w:uiPriority w:val="99"/>
    <w:rPr>
      <w:rFonts w:ascii="Times New Roman" w:hAnsi="Times New Roman" w:eastAsia="宋体" w:cs="Times New Roman"/>
      <w:lang w:val="en-US" w:eastAsia="zh-CN" w:bidi="ar-SA"/>
    </w:rPr>
  </w:style>
  <w:style w:type="paragraph" w:customStyle="1" w:styleId="45">
    <w:name w:val="List Paragraph1"/>
    <w:basedOn w:val="1"/>
    <w:autoRedefine/>
    <w:qFormat/>
    <w:uiPriority w:val="99"/>
    <w:pPr>
      <w:ind w:firstLine="420" w:firstLineChars="200"/>
    </w:pPr>
    <w:rPr>
      <w:rFonts w:ascii="Calibri" w:hAnsi="Calibri"/>
      <w:szCs w:val="22"/>
    </w:rPr>
  </w:style>
  <w:style w:type="paragraph" w:customStyle="1" w:styleId="46">
    <w:name w:val="È¡ÀÊ¡ÎÄ¡À¾"/>
    <w:basedOn w:val="1"/>
    <w:autoRedefine/>
    <w:qFormat/>
    <w:uiPriority w:val="99"/>
    <w:pPr>
      <w:overflowPunct w:val="0"/>
      <w:autoSpaceDE w:val="0"/>
      <w:autoSpaceDN w:val="0"/>
      <w:textAlignment w:val="baseline"/>
    </w:pPr>
    <w:rPr>
      <w:sz w:val="24"/>
      <w:szCs w:val="20"/>
    </w:rPr>
  </w:style>
  <w:style w:type="paragraph" w:customStyle="1" w:styleId="47">
    <w:name w:val="缺省文本"/>
    <w:autoRedefine/>
    <w:qFormat/>
    <w:uiPriority w:val="99"/>
    <w:pPr>
      <w:widowControl w:val="0"/>
      <w:autoSpaceDE w:val="0"/>
      <w:autoSpaceDN w:val="0"/>
      <w:adjustRightInd w:val="0"/>
    </w:pPr>
    <w:rPr>
      <w:rFonts w:ascii="Times New Roman" w:hAnsi="Times New Roman" w:eastAsia="宋体" w:cs="Times New Roman"/>
      <w:color w:val="000000"/>
      <w:szCs w:val="24"/>
      <w:lang w:val="en-US" w:eastAsia="zh-CN" w:bidi="ar-SA"/>
    </w:rPr>
  </w:style>
  <w:style w:type="character" w:customStyle="1" w:styleId="48">
    <w:name w:val="批注框文本 Char"/>
    <w:link w:val="18"/>
    <w:autoRedefine/>
    <w:semiHidden/>
    <w:qFormat/>
    <w:uiPriority w:val="99"/>
    <w:rPr>
      <w:sz w:val="0"/>
      <w:szCs w:val="0"/>
    </w:rPr>
  </w:style>
  <w:style w:type="paragraph" w:customStyle="1" w:styleId="49">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Heading 11"/>
    <w:basedOn w:val="1"/>
    <w:autoRedefine/>
    <w:qFormat/>
    <w:uiPriority w:val="99"/>
    <w:pPr>
      <w:widowControl/>
      <w:spacing w:line="276" w:lineRule="auto"/>
      <w:ind w:left="119" w:leftChars="50"/>
      <w:jc w:val="center"/>
      <w:outlineLvl w:val="1"/>
    </w:pPr>
    <w:rPr>
      <w:rFonts w:ascii="Noto Sans CJK JP Regular" w:hAnsi="Noto Sans CJK JP Regular" w:eastAsia="宋体" w:cs="Noto Sans CJK JP Regular"/>
      <w:kern w:val="0"/>
      <w:sz w:val="32"/>
      <w:szCs w:val="32"/>
      <w:lang w:val="zh-CN"/>
    </w:rPr>
  </w:style>
  <w:style w:type="paragraph" w:customStyle="1" w:styleId="51">
    <w:name w:val="Table Paragraph"/>
    <w:basedOn w:val="1"/>
    <w:autoRedefine/>
    <w:qFormat/>
    <w:uiPriority w:val="99"/>
    <w:pPr>
      <w:widowControl/>
      <w:spacing w:line="276" w:lineRule="auto"/>
      <w:ind w:left="50" w:leftChars="50"/>
      <w:jc w:val="left"/>
    </w:pPr>
    <w:rPr>
      <w:rFonts w:ascii="Noto Sans CJK JP Regular" w:hAnsi="Noto Sans CJK JP Regular" w:eastAsia="宋体" w:cs="Noto Sans CJK JP Regular"/>
      <w:kern w:val="0"/>
      <w:sz w:val="22"/>
      <w:lang w:val="zh-CN"/>
    </w:rPr>
  </w:style>
  <w:style w:type="paragraph" w:customStyle="1" w:styleId="52">
    <w:name w:val="Default Tex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53">
    <w:name w:val="列出段落1"/>
    <w:basedOn w:val="1"/>
    <w:autoRedefine/>
    <w:qFormat/>
    <w:uiPriority w:val="0"/>
    <w:pPr>
      <w:ind w:firstLine="420" w:firstLineChars="200"/>
    </w:pPr>
    <w:rPr>
      <w:rFonts w:ascii="Calibri" w:hAnsi="Calibri" w:eastAsia="宋体" w:cs="Times New Roman"/>
      <w:szCs w:val="22"/>
    </w:rPr>
  </w:style>
  <w:style w:type="paragraph" w:customStyle="1" w:styleId="54">
    <w:name w:val="列表段落1"/>
    <w:basedOn w:val="1"/>
    <w:autoRedefine/>
    <w:qFormat/>
    <w:uiPriority w:val="34"/>
    <w:pPr>
      <w:ind w:firstLine="420" w:firstLineChars="200"/>
    </w:pPr>
  </w:style>
  <w:style w:type="paragraph" w:customStyle="1" w:styleId="55">
    <w:name w:val="正文缩进1"/>
    <w:basedOn w:val="1"/>
    <w:autoRedefine/>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56">
    <w:name w:val="索引 11"/>
    <w:basedOn w:val="1"/>
    <w:next w:val="1"/>
    <w:autoRedefine/>
    <w:qFormat/>
    <w:uiPriority w:val="0"/>
    <w:pPr>
      <w:spacing w:line="360" w:lineRule="auto"/>
    </w:pPr>
    <w:rPr>
      <w:rFonts w:ascii="仿宋_GB2312" w:hAnsi="Calibri" w:eastAsia="仿宋_GB2312" w:cs="Times New Roman"/>
      <w:sz w:val="24"/>
      <w:szCs w:val="20"/>
    </w:rPr>
  </w:style>
  <w:style w:type="paragraph" w:customStyle="1" w:styleId="57">
    <w:name w:val="纯文本1"/>
    <w:basedOn w:val="1"/>
    <w:autoRedefine/>
    <w:qFormat/>
    <w:uiPriority w:val="0"/>
    <w:rPr>
      <w:rFonts w:ascii="宋体" w:hAnsi="Courier New" w:eastAsia="宋体" w:cs="Times New Roman"/>
      <w:szCs w:val="22"/>
    </w:rPr>
  </w:style>
  <w:style w:type="paragraph" w:customStyle="1" w:styleId="58">
    <w:name w:val="样式111111111111"/>
    <w:basedOn w:val="1"/>
    <w:autoRedefine/>
    <w:qFormat/>
    <w:uiPriority w:val="0"/>
    <w:pPr>
      <w:keepNext/>
      <w:spacing w:line="600" w:lineRule="exact"/>
    </w:pPr>
    <w:rPr>
      <w:rFonts w:ascii="等线" w:hAnsi="等线" w:eastAsia="微软雅黑"/>
      <w:color w:val="000000"/>
    </w:rPr>
  </w:style>
  <w:style w:type="paragraph" w:customStyle="1" w:styleId="59">
    <w:name w:val="列出段落2"/>
    <w:basedOn w:val="1"/>
    <w:autoRedefine/>
    <w:qFormat/>
    <w:uiPriority w:val="99"/>
    <w:pPr>
      <w:ind w:firstLine="420" w:firstLineChars="200"/>
    </w:pPr>
    <w:rPr>
      <w:rFonts w:ascii="Calibri" w:hAnsi="Calibri"/>
      <w:sz w:val="21"/>
      <w:szCs w:val="20"/>
    </w:rPr>
  </w:style>
  <w:style w:type="paragraph" w:customStyle="1" w:styleId="60">
    <w:name w:val="列出段落3"/>
    <w:basedOn w:val="1"/>
    <w:autoRedefine/>
    <w:qFormat/>
    <w:uiPriority w:val="0"/>
    <w:pPr>
      <w:widowControl w:val="0"/>
      <w:ind w:firstLine="420" w:firstLineChars="200"/>
      <w:jc w:val="both"/>
    </w:pPr>
    <w:rPr>
      <w:rFonts w:ascii="Calibri" w:hAnsi="Calibri"/>
      <w:kern w:val="2"/>
      <w:sz w:val="21"/>
    </w:rPr>
  </w:style>
  <w:style w:type="paragraph" w:styleId="61">
    <w:name w:val="No Spacing"/>
    <w:autoRedefine/>
    <w:qFormat/>
    <w:uiPriority w:val="1"/>
    <w:pPr>
      <w:widowControl w:val="0"/>
      <w:jc w:val="both"/>
    </w:pPr>
    <w:rPr>
      <w:rFonts w:ascii="Times New Roman" w:hAnsi="Times New Roman" w:eastAsia="宋体" w:cs="Times New Roman"/>
      <w:lang w:val="en-US" w:eastAsia="zh-CN" w:bidi="ar-SA"/>
    </w:rPr>
  </w:style>
  <w:style w:type="character" w:customStyle="1" w:styleId="62">
    <w:name w:val="font11"/>
    <w:basedOn w:val="28"/>
    <w:autoRedefine/>
    <w:qFormat/>
    <w:uiPriority w:val="0"/>
    <w:rPr>
      <w:rFonts w:hint="eastAsia" w:ascii="宋体" w:hAnsi="宋体" w:eastAsia="宋体" w:cs="宋体"/>
      <w:color w:val="FF0000"/>
      <w:sz w:val="24"/>
      <w:szCs w:val="24"/>
      <w:u w:val="none"/>
    </w:rPr>
  </w:style>
  <w:style w:type="character" w:customStyle="1" w:styleId="63">
    <w:name w:val="font01"/>
    <w:basedOn w:val="28"/>
    <w:autoRedefine/>
    <w:qFormat/>
    <w:uiPriority w:val="0"/>
    <w:rPr>
      <w:rFonts w:hint="eastAsia" w:ascii="宋体" w:hAnsi="宋体" w:eastAsia="宋体" w:cs="宋体"/>
      <w:color w:val="000000"/>
      <w:sz w:val="24"/>
      <w:szCs w:val="24"/>
      <w:u w:val="none"/>
    </w:rPr>
  </w:style>
  <w:style w:type="character" w:customStyle="1" w:styleId="64">
    <w:name w:val="font71"/>
    <w:basedOn w:val="28"/>
    <w:autoRedefine/>
    <w:qFormat/>
    <w:uiPriority w:val="0"/>
    <w:rPr>
      <w:rFonts w:hint="eastAsia" w:ascii="宋体" w:hAnsi="宋体" w:eastAsia="宋体" w:cs="宋体"/>
      <w:color w:val="000000"/>
      <w:sz w:val="22"/>
      <w:szCs w:val="22"/>
      <w:u w:val="none"/>
    </w:rPr>
  </w:style>
  <w:style w:type="character" w:customStyle="1" w:styleId="65">
    <w:name w:val="font41"/>
    <w:basedOn w:val="28"/>
    <w:autoRedefine/>
    <w:qFormat/>
    <w:uiPriority w:val="0"/>
    <w:rPr>
      <w:rFonts w:hint="eastAsia" w:ascii="宋体" w:hAnsi="宋体" w:eastAsia="宋体" w:cs="宋体"/>
      <w:color w:val="2034F6"/>
      <w:sz w:val="22"/>
      <w:szCs w:val="22"/>
      <w:u w:val="none"/>
    </w:rPr>
  </w:style>
  <w:style w:type="character" w:customStyle="1" w:styleId="66">
    <w:name w:val="font81"/>
    <w:basedOn w:val="28"/>
    <w:autoRedefine/>
    <w:qFormat/>
    <w:uiPriority w:val="0"/>
    <w:rPr>
      <w:rFonts w:hint="eastAsia" w:ascii="宋体" w:hAnsi="宋体" w:eastAsia="宋体" w:cs="宋体"/>
      <w:color w:val="FF0000"/>
      <w:sz w:val="22"/>
      <w:szCs w:val="22"/>
      <w:u w:val="none"/>
    </w:rPr>
  </w:style>
  <w:style w:type="character" w:customStyle="1" w:styleId="67">
    <w:name w:val="font91"/>
    <w:basedOn w:val="28"/>
    <w:autoRedefine/>
    <w:qFormat/>
    <w:uiPriority w:val="0"/>
    <w:rPr>
      <w:rFonts w:hint="eastAsia" w:ascii="宋体" w:hAnsi="宋体" w:eastAsia="宋体" w:cs="宋体"/>
      <w:color w:val="1849FE"/>
      <w:sz w:val="22"/>
      <w:szCs w:val="22"/>
      <w:u w:val="none"/>
    </w:rPr>
  </w:style>
  <w:style w:type="character" w:customStyle="1" w:styleId="68">
    <w:name w:val="font61"/>
    <w:basedOn w:val="28"/>
    <w:autoRedefine/>
    <w:qFormat/>
    <w:uiPriority w:val="0"/>
    <w:rPr>
      <w:rFonts w:hint="eastAsia" w:ascii="宋体" w:hAnsi="宋体" w:eastAsia="宋体" w:cs="宋体"/>
      <w:color w:val="000000"/>
      <w:sz w:val="16"/>
      <w:szCs w:val="16"/>
      <w:u w:val="none"/>
    </w:rPr>
  </w:style>
  <w:style w:type="character" w:customStyle="1" w:styleId="69">
    <w:name w:val="font101"/>
    <w:basedOn w:val="28"/>
    <w:autoRedefine/>
    <w:qFormat/>
    <w:uiPriority w:val="0"/>
    <w:rPr>
      <w:rFonts w:hint="eastAsia" w:ascii="宋体" w:hAnsi="宋体" w:eastAsia="宋体" w:cs="宋体"/>
      <w:color w:val="FF0000"/>
      <w:sz w:val="16"/>
      <w:szCs w:val="16"/>
      <w:u w:val="none"/>
    </w:rPr>
  </w:style>
  <w:style w:type="paragraph" w:customStyle="1" w:styleId="70">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71">
    <w:name w:val="BodyText"/>
    <w:basedOn w:val="1"/>
    <w:autoRedefine/>
    <w:qFormat/>
    <w:uiPriority w:val="0"/>
    <w:pPr>
      <w:spacing w:after="120"/>
    </w:pPr>
    <w:rPr>
      <w:rFonts w:ascii="Calibri" w:hAnsi="Calibri"/>
    </w:rPr>
  </w:style>
  <w:style w:type="paragraph" w:customStyle="1" w:styleId="72">
    <w:name w:val="Plain Text"/>
    <w:basedOn w:val="1"/>
    <w:autoRedefine/>
    <w:qFormat/>
    <w:uiPriority w:val="0"/>
    <w:pPr>
      <w:adjustRightInd w:val="0"/>
      <w:textAlignment w:val="baseline"/>
    </w:pPr>
    <w:rPr>
      <w:rFonts w:ascii="宋体"/>
      <w:kern w:val="0"/>
      <w:sz w:val="28"/>
    </w:rPr>
  </w:style>
  <w:style w:type="character" w:customStyle="1" w:styleId="73">
    <w:name w:val="title"/>
    <w:basedOn w:val="28"/>
    <w:autoRedefine/>
    <w:qFormat/>
    <w:uiPriority w:val="0"/>
  </w:style>
  <w:style w:type="character" w:customStyle="1" w:styleId="74">
    <w:name w:val="Anrede1IhrZeichen"/>
    <w:autoRedefine/>
    <w:qFormat/>
    <w:uiPriority w:val="0"/>
    <w:rPr>
      <w:rFonts w:ascii="Arial" w:hAnsi="Arial"/>
      <w:sz w:val="20"/>
    </w:rPr>
  </w:style>
  <w:style w:type="paragraph" w:customStyle="1" w:styleId="75">
    <w:name w:val="WPSOffice手动目录 1"/>
    <w:autoRedefine/>
    <w:qFormat/>
    <w:uiPriority w:val="0"/>
    <w:pPr>
      <w:ind w:leftChars="0"/>
    </w:pPr>
    <w:rPr>
      <w:rFonts w:ascii="Times New Roman" w:hAnsi="Times New Roman" w:eastAsia="宋体" w:cs="Times New Roman"/>
      <w:sz w:val="20"/>
      <w:szCs w:val="20"/>
    </w:rPr>
  </w:style>
  <w:style w:type="paragraph" w:customStyle="1" w:styleId="76">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7">
    <w:name w:val="p0"/>
    <w:basedOn w:val="1"/>
    <w:qFormat/>
    <w:uiPriority w:val="0"/>
    <w:pPr>
      <w:widowControl/>
    </w:pPr>
    <w:rPr>
      <w:rFonts w:hint="eastAsia" w:ascii="宋体" w:hAnsi="宋体" w:eastAsia="宋体" w:cs="Times New Roman"/>
      <w:sz w:val="21"/>
    </w:rPr>
  </w:style>
  <w:style w:type="character" w:customStyle="1" w:styleId="78">
    <w:name w:val="标题 2 Char"/>
    <w:link w:val="3"/>
    <w:qFormat/>
    <w:uiPriority w:val="0"/>
    <w:rPr>
      <w:rFonts w:ascii="Arial" w:hAnsi="Arial" w:eastAsia="仿宋"/>
      <w:b/>
      <w:sz w:val="32"/>
    </w:rPr>
  </w:style>
  <w:style w:type="paragraph" w:customStyle="1" w:styleId="7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6302</Words>
  <Characters>7104</Characters>
  <Lines>158</Lines>
  <Paragraphs>44</Paragraphs>
  <TotalTime>3</TotalTime>
  <ScaleCrop>false</ScaleCrop>
  <LinksUpToDate>false</LinksUpToDate>
  <CharactersWithSpaces>7323</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贺</cp:lastModifiedBy>
  <cp:lastPrinted>2023-06-12T10:57:00Z</cp:lastPrinted>
  <dcterms:modified xsi:type="dcterms:W3CDTF">2025-02-11T05:02:24Z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ECBF0BE0CD4A4994B9E23B050F10004C_13</vt:lpwstr>
  </property>
  <property fmtid="{D5CDD505-2E9C-101B-9397-08002B2CF9AE}" pid="4" name="KSOTemplateDocerSaveRecord">
    <vt:lpwstr>eyJoZGlkIjoiMDljYzUzMWQ4OWI0YzBkYjYzMDRhZTY5ZjZkYmFmYTgiLCJ1c2VySWQiOiIyODk0MzY2MjUifQ==</vt:lpwstr>
  </property>
</Properties>
</file>