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38171B0">
      <w:pPr>
        <w:tabs>
          <w:tab w:val="left" w:pos="4620"/>
        </w:tabs>
        <w:snapToGrid w:val="0"/>
        <w:spacing w:line="240" w:lineRule="atLeast"/>
        <w:jc w:val="center"/>
        <w:textAlignment w:val="baseline"/>
        <w:outlineLvl w:val="9"/>
        <w:rPr>
          <w:rFonts w:ascii="微软雅黑" w:hAnsi="微软雅黑" w:eastAsia="微软雅黑" w:cs="微软雅黑"/>
          <w:b/>
          <w:color w:val="auto"/>
          <w:sz w:val="44"/>
          <w:szCs w:val="44"/>
        </w:rPr>
      </w:pPr>
    </w:p>
    <w:p w14:paraId="676732FC">
      <w:pPr>
        <w:pStyle w:val="36"/>
        <w:ind w:firstLine="480"/>
        <w:outlineLvl w:val="9"/>
        <w:rPr>
          <w:rFonts w:ascii="微软雅黑" w:hAnsi="微软雅黑" w:eastAsia="微软雅黑" w:cs="微软雅黑"/>
          <w:color w:val="auto"/>
        </w:rPr>
      </w:pPr>
    </w:p>
    <w:p w14:paraId="0E83D987">
      <w:pPr>
        <w:pStyle w:val="35"/>
      </w:pPr>
    </w:p>
    <w:p w14:paraId="7997C3D2">
      <w:pPr>
        <w:outlineLvl w:val="9"/>
        <w:rPr>
          <w:color w:val="auto"/>
        </w:rPr>
      </w:pPr>
    </w:p>
    <w:p w14:paraId="28FD7DD9">
      <w:pPr>
        <w:outlineLvl w:val="9"/>
        <w:rPr>
          <w:color w:val="auto"/>
        </w:rPr>
      </w:pPr>
    </w:p>
    <w:p w14:paraId="2AA6648C">
      <w:pPr>
        <w:snapToGrid w:val="0"/>
        <w:spacing w:line="240" w:lineRule="atLeast"/>
        <w:jc w:val="center"/>
        <w:textAlignment w:val="baseline"/>
        <w:rPr>
          <w:rFonts w:hint="eastAsia" w:ascii="微软雅黑" w:hAnsi="微软雅黑" w:eastAsia="微软雅黑" w:cs="微软雅黑"/>
          <w:b/>
          <w:color w:val="auto"/>
          <w:sz w:val="44"/>
          <w:szCs w:val="44"/>
          <w:lang w:val="en-US" w:eastAsia="zh-CN"/>
        </w:rPr>
      </w:pPr>
      <w:r>
        <w:rPr>
          <w:rFonts w:hint="eastAsia" w:ascii="微软雅黑" w:hAnsi="微软雅黑" w:eastAsia="微软雅黑" w:cs="微软雅黑"/>
          <w:b/>
          <w:color w:val="auto"/>
          <w:sz w:val="44"/>
          <w:szCs w:val="44"/>
          <w:lang w:val="en-US" w:eastAsia="zh-CN"/>
        </w:rPr>
        <w:t>岳普湖县民政局政府购买2025年社会救助事务性服务项目</w:t>
      </w:r>
    </w:p>
    <w:p w14:paraId="76B648F4">
      <w:pPr>
        <w:snapToGrid w:val="0"/>
        <w:spacing w:line="240" w:lineRule="atLeast"/>
        <w:jc w:val="center"/>
        <w:textAlignment w:val="baseline"/>
        <w:rPr>
          <w:rFonts w:hint="eastAsia" w:ascii="微软雅黑" w:hAnsi="微软雅黑" w:eastAsia="微软雅黑" w:cs="微软雅黑"/>
          <w:b/>
          <w:color w:val="auto"/>
          <w:sz w:val="28"/>
          <w:szCs w:val="28"/>
          <w:lang w:val="en-US" w:eastAsia="zh-CN"/>
        </w:rPr>
      </w:pPr>
      <w:r>
        <w:rPr>
          <w:rFonts w:hint="eastAsia" w:ascii="微软雅黑" w:hAnsi="微软雅黑" w:eastAsia="微软雅黑" w:cs="微软雅黑"/>
          <w:b/>
          <w:color w:val="auto"/>
          <w:sz w:val="28"/>
          <w:szCs w:val="28"/>
          <w:lang w:val="en-US" w:eastAsia="zh-CN"/>
        </w:rPr>
        <w:t>(</w:t>
      </w:r>
      <w:r>
        <w:rPr>
          <w:rFonts w:hint="eastAsia" w:ascii="微软雅黑" w:hAnsi="微软雅黑" w:eastAsia="微软雅黑" w:cs="微软雅黑"/>
          <w:b/>
          <w:color w:val="auto"/>
          <w:sz w:val="28"/>
          <w:szCs w:val="28"/>
        </w:rPr>
        <w:t>项目编号：</w:t>
      </w:r>
      <w:r>
        <w:rPr>
          <w:rFonts w:hint="eastAsia" w:ascii="微软雅黑" w:hAnsi="微软雅黑" w:eastAsia="微软雅黑" w:cs="微软雅黑"/>
          <w:b/>
          <w:color w:val="auto"/>
          <w:sz w:val="28"/>
          <w:szCs w:val="28"/>
          <w:lang w:val="en-US" w:eastAsia="zh-CN"/>
        </w:rPr>
        <w:t>QXJ(CS)2025-04号)</w:t>
      </w:r>
    </w:p>
    <w:p w14:paraId="48965AAA">
      <w:pPr>
        <w:snapToGrid w:val="0"/>
        <w:spacing w:line="240" w:lineRule="atLeast"/>
        <w:jc w:val="center"/>
        <w:textAlignment w:val="baseline"/>
        <w:rPr>
          <w:rFonts w:hint="eastAsia" w:ascii="微软雅黑" w:hAnsi="微软雅黑" w:eastAsia="微软雅黑" w:cs="微软雅黑"/>
          <w:b/>
          <w:color w:val="auto"/>
          <w:sz w:val="28"/>
          <w:szCs w:val="28"/>
          <w:lang w:val="en-US" w:eastAsia="zh-CN"/>
        </w:rPr>
      </w:pPr>
    </w:p>
    <w:p w14:paraId="6F910890">
      <w:pPr>
        <w:snapToGrid w:val="0"/>
        <w:spacing w:line="240" w:lineRule="atLeast"/>
        <w:jc w:val="center"/>
        <w:textAlignment w:val="baseline"/>
        <w:rPr>
          <w:rFonts w:ascii="微软雅黑" w:hAnsi="微软雅黑" w:eastAsia="微软雅黑" w:cs="微软雅黑"/>
          <w:b/>
          <w:color w:val="auto"/>
          <w:sz w:val="44"/>
          <w:szCs w:val="44"/>
        </w:rPr>
      </w:pPr>
      <w:r>
        <w:rPr>
          <w:rFonts w:hint="eastAsia" w:ascii="微软雅黑" w:hAnsi="微软雅黑" w:eastAsia="微软雅黑" w:cs="微软雅黑"/>
          <w:b/>
          <w:color w:val="auto"/>
          <w:sz w:val="44"/>
          <w:szCs w:val="44"/>
        </w:rPr>
        <w:t>磋 商 文 件</w:t>
      </w:r>
    </w:p>
    <w:p w14:paraId="67507BF9">
      <w:pPr>
        <w:pStyle w:val="26"/>
        <w:textAlignment w:val="baseline"/>
        <w:rPr>
          <w:rFonts w:ascii="微软雅黑" w:hAnsi="微软雅黑" w:eastAsia="微软雅黑" w:cs="微软雅黑"/>
          <w:color w:val="auto"/>
        </w:rPr>
      </w:pPr>
    </w:p>
    <w:p w14:paraId="2DC2EE0D">
      <w:pPr>
        <w:pStyle w:val="26"/>
        <w:textAlignment w:val="baseline"/>
        <w:rPr>
          <w:rFonts w:ascii="微软雅黑" w:hAnsi="微软雅黑" w:eastAsia="微软雅黑" w:cs="微软雅黑"/>
          <w:color w:val="auto"/>
        </w:rPr>
      </w:pPr>
    </w:p>
    <w:p w14:paraId="7527C9B5">
      <w:pPr>
        <w:snapToGrid w:val="0"/>
        <w:spacing w:line="500" w:lineRule="exact"/>
        <w:textAlignment w:val="baseline"/>
        <w:rPr>
          <w:rFonts w:ascii="微软雅黑" w:hAnsi="微软雅黑" w:eastAsia="微软雅黑" w:cs="微软雅黑"/>
          <w:b/>
          <w:color w:val="auto"/>
          <w:sz w:val="28"/>
          <w:szCs w:val="28"/>
        </w:rPr>
      </w:pPr>
    </w:p>
    <w:p w14:paraId="7352FED7">
      <w:pPr>
        <w:outlineLvl w:val="9"/>
        <w:rPr>
          <w:rFonts w:ascii="微软雅黑" w:hAnsi="微软雅黑" w:eastAsia="微软雅黑" w:cs="微软雅黑"/>
          <w:b/>
          <w:color w:val="auto"/>
          <w:sz w:val="28"/>
          <w:szCs w:val="28"/>
        </w:rPr>
      </w:pPr>
    </w:p>
    <w:p w14:paraId="2C5F1BE0">
      <w:pPr>
        <w:snapToGrid w:val="0"/>
        <w:spacing w:line="240" w:lineRule="atLeast"/>
        <w:jc w:val="left"/>
        <w:textAlignment w:val="baseline"/>
        <w:rPr>
          <w:rFonts w:hint="eastAsia" w:ascii="微软雅黑" w:hAnsi="微软雅黑" w:eastAsia="微软雅黑" w:cs="微软雅黑"/>
          <w:b/>
          <w:color w:val="auto"/>
          <w:sz w:val="28"/>
          <w:szCs w:val="28"/>
          <w:lang w:val="en-US" w:eastAsia="zh-CN"/>
        </w:rPr>
      </w:pPr>
    </w:p>
    <w:p w14:paraId="66F7622C">
      <w:pPr>
        <w:snapToGrid w:val="0"/>
        <w:spacing w:line="240" w:lineRule="atLeast"/>
        <w:jc w:val="left"/>
        <w:textAlignment w:val="baseline"/>
        <w:rPr>
          <w:rFonts w:hint="eastAsia" w:ascii="微软雅黑" w:hAnsi="微软雅黑" w:eastAsia="微软雅黑" w:cs="微软雅黑"/>
          <w:b/>
          <w:color w:val="auto"/>
          <w:sz w:val="28"/>
          <w:szCs w:val="28"/>
          <w:lang w:val="en-US" w:eastAsia="zh-CN"/>
        </w:rPr>
      </w:pPr>
    </w:p>
    <w:p w14:paraId="4AF10ED1">
      <w:pPr>
        <w:snapToGrid w:val="0"/>
        <w:spacing w:line="240" w:lineRule="atLeast"/>
        <w:jc w:val="left"/>
        <w:textAlignment w:val="baseline"/>
        <w:rPr>
          <w:rFonts w:hint="eastAsia" w:ascii="微软雅黑" w:hAnsi="微软雅黑" w:eastAsia="微软雅黑" w:cs="微软雅黑"/>
          <w:b/>
          <w:color w:val="auto"/>
          <w:sz w:val="28"/>
          <w:szCs w:val="28"/>
          <w:lang w:val="en-US" w:eastAsia="zh-CN"/>
        </w:rPr>
      </w:pPr>
      <w:r>
        <w:rPr>
          <w:rFonts w:hint="eastAsia" w:ascii="微软雅黑" w:hAnsi="微软雅黑" w:eastAsia="微软雅黑" w:cs="微软雅黑"/>
          <w:b/>
          <w:color w:val="auto"/>
          <w:sz w:val="28"/>
          <w:szCs w:val="28"/>
          <w:lang w:val="en-US" w:eastAsia="zh-CN"/>
        </w:rPr>
        <w:t>采 购 人：岳普湖县民政局</w:t>
      </w:r>
    </w:p>
    <w:p w14:paraId="78CB32C7">
      <w:pPr>
        <w:snapToGrid w:val="0"/>
        <w:spacing w:line="240" w:lineRule="atLeast"/>
        <w:jc w:val="left"/>
        <w:textAlignment w:val="baseline"/>
        <w:rPr>
          <w:rFonts w:hint="eastAsia" w:ascii="微软雅黑" w:hAnsi="微软雅黑" w:eastAsia="微软雅黑" w:cs="微软雅黑"/>
          <w:b/>
          <w:color w:val="auto"/>
          <w:sz w:val="28"/>
          <w:szCs w:val="28"/>
          <w:lang w:val="en-US" w:eastAsia="zh-CN"/>
        </w:rPr>
      </w:pPr>
    </w:p>
    <w:p w14:paraId="0DB2BECB">
      <w:pPr>
        <w:snapToGrid w:val="0"/>
        <w:spacing w:line="240" w:lineRule="atLeast"/>
        <w:jc w:val="left"/>
        <w:textAlignment w:val="baseline"/>
        <w:rPr>
          <w:rFonts w:hint="eastAsia" w:ascii="微软雅黑" w:hAnsi="微软雅黑" w:eastAsia="微软雅黑" w:cs="微软雅黑"/>
          <w:b/>
          <w:color w:val="auto"/>
          <w:sz w:val="28"/>
          <w:szCs w:val="28"/>
          <w:lang w:val="en-US" w:eastAsia="zh-CN"/>
        </w:rPr>
      </w:pPr>
      <w:r>
        <w:rPr>
          <w:rFonts w:hint="eastAsia" w:ascii="微软雅黑" w:hAnsi="微软雅黑" w:eastAsia="微软雅黑" w:cs="微软雅黑"/>
          <w:b/>
          <w:color w:val="auto"/>
          <w:sz w:val="28"/>
          <w:szCs w:val="28"/>
          <w:lang w:val="en-US" w:eastAsia="zh-CN"/>
        </w:rPr>
        <w:t>采购机构：新疆乾行健招标有限公司</w:t>
      </w:r>
    </w:p>
    <w:p w14:paraId="4628ACA3">
      <w:pPr>
        <w:pStyle w:val="36"/>
        <w:snapToGrid w:val="0"/>
        <w:textAlignment w:val="baseline"/>
        <w:rPr>
          <w:rFonts w:ascii="微软雅黑" w:hAnsi="微软雅黑" w:eastAsia="微软雅黑" w:cs="微软雅黑"/>
          <w:color w:val="auto"/>
          <w:sz w:val="21"/>
        </w:rPr>
      </w:pPr>
    </w:p>
    <w:p w14:paraId="5E33D91A">
      <w:pPr>
        <w:snapToGrid w:val="0"/>
        <w:spacing w:line="240" w:lineRule="atLeast"/>
        <w:jc w:val="both"/>
        <w:textAlignment w:val="baseline"/>
        <w:rPr>
          <w:rFonts w:hint="eastAsia" w:ascii="微软雅黑" w:hAnsi="微软雅黑" w:eastAsia="微软雅黑" w:cs="微软雅黑"/>
          <w:b/>
          <w:color w:val="auto"/>
          <w:sz w:val="28"/>
          <w:szCs w:val="28"/>
        </w:rPr>
      </w:pPr>
    </w:p>
    <w:p w14:paraId="0563C62E">
      <w:pPr>
        <w:snapToGrid w:val="0"/>
        <w:spacing w:line="240" w:lineRule="atLeast"/>
        <w:jc w:val="center"/>
        <w:textAlignment w:val="baseline"/>
        <w:rPr>
          <w:rFonts w:hint="eastAsia" w:ascii="微软雅黑" w:hAnsi="微软雅黑" w:eastAsia="微软雅黑" w:cs="微软雅黑"/>
          <w:b/>
          <w:color w:val="auto"/>
          <w:sz w:val="28"/>
          <w:szCs w:val="28"/>
        </w:rPr>
      </w:pPr>
    </w:p>
    <w:p w14:paraId="648CBFCA">
      <w:pPr>
        <w:snapToGrid w:val="0"/>
        <w:spacing w:line="240" w:lineRule="atLeast"/>
        <w:jc w:val="center"/>
        <w:textAlignment w:val="baseline"/>
        <w:rPr>
          <w:rFonts w:ascii="微软雅黑" w:hAnsi="微软雅黑" w:eastAsia="微软雅黑" w:cs="微软雅黑"/>
          <w:b/>
          <w:color w:val="auto"/>
          <w:sz w:val="28"/>
          <w:szCs w:val="28"/>
        </w:rPr>
      </w:pPr>
      <w:r>
        <w:rPr>
          <w:rFonts w:hint="eastAsia" w:ascii="微软雅黑" w:hAnsi="微软雅黑" w:eastAsia="微软雅黑" w:cs="微软雅黑"/>
          <w:b/>
          <w:color w:val="auto"/>
          <w:sz w:val="28"/>
          <w:szCs w:val="28"/>
        </w:rPr>
        <w:t>日期： 202</w:t>
      </w:r>
      <w:r>
        <w:rPr>
          <w:rFonts w:hint="eastAsia" w:ascii="微软雅黑" w:hAnsi="微软雅黑" w:eastAsia="微软雅黑" w:cs="微软雅黑"/>
          <w:b/>
          <w:color w:val="auto"/>
          <w:sz w:val="28"/>
          <w:szCs w:val="28"/>
          <w:lang w:val="en-US" w:eastAsia="zh-CN"/>
        </w:rPr>
        <w:t>5</w:t>
      </w:r>
      <w:r>
        <w:rPr>
          <w:rFonts w:hint="eastAsia" w:ascii="微软雅黑" w:hAnsi="微软雅黑" w:eastAsia="微软雅黑" w:cs="微软雅黑"/>
          <w:b/>
          <w:color w:val="auto"/>
          <w:sz w:val="28"/>
          <w:szCs w:val="28"/>
        </w:rPr>
        <w:t>年</w:t>
      </w:r>
      <w:r>
        <w:rPr>
          <w:rFonts w:hint="eastAsia" w:ascii="微软雅黑" w:hAnsi="微软雅黑" w:eastAsia="微软雅黑" w:cs="微软雅黑"/>
          <w:b/>
          <w:color w:val="auto"/>
          <w:sz w:val="28"/>
          <w:szCs w:val="28"/>
          <w:lang w:val="en-US" w:eastAsia="zh-CN"/>
        </w:rPr>
        <w:t>3</w:t>
      </w:r>
      <w:r>
        <w:rPr>
          <w:rFonts w:hint="eastAsia" w:ascii="微软雅黑" w:hAnsi="微软雅黑" w:eastAsia="微软雅黑" w:cs="微软雅黑"/>
          <w:b/>
          <w:color w:val="auto"/>
          <w:sz w:val="28"/>
          <w:szCs w:val="28"/>
        </w:rPr>
        <w:t>月</w:t>
      </w:r>
    </w:p>
    <w:p w14:paraId="4D53D01E">
      <w:pPr>
        <w:snapToGrid w:val="0"/>
        <w:spacing w:line="240" w:lineRule="atLeast"/>
        <w:ind w:left="1079" w:leftChars="257" w:hanging="540"/>
        <w:jc w:val="center"/>
        <w:textAlignment w:val="baseline"/>
        <w:rPr>
          <w:rFonts w:ascii="微软雅黑" w:hAnsi="微软雅黑" w:eastAsia="微软雅黑" w:cs="微软雅黑"/>
          <w:b/>
          <w:color w:val="auto"/>
          <w:sz w:val="32"/>
        </w:rPr>
        <w:sectPr>
          <w:headerReference r:id="rId3" w:type="default"/>
          <w:pgSz w:w="11906" w:h="16838"/>
          <w:pgMar w:top="1440" w:right="1797" w:bottom="1440" w:left="1797" w:header="851" w:footer="992" w:gutter="0"/>
          <w:pgNumType w:fmt="decimal" w:start="1"/>
          <w:cols w:space="720" w:num="1"/>
          <w:docGrid w:type="linesAndChars" w:linePitch="312" w:charSpace="0"/>
        </w:sectPr>
      </w:pPr>
    </w:p>
    <w:p w14:paraId="0E07D167">
      <w:pPr>
        <w:snapToGrid w:val="0"/>
        <w:spacing w:line="400" w:lineRule="exact"/>
        <w:ind w:left="1080" w:leftChars="257" w:hanging="540"/>
        <w:jc w:val="center"/>
        <w:textAlignment w:val="baseline"/>
        <w:rPr>
          <w:rFonts w:ascii="微软雅黑" w:hAnsi="微软雅黑" w:eastAsia="微软雅黑" w:cs="微软雅黑"/>
          <w:b/>
          <w:color w:val="auto"/>
          <w:sz w:val="40"/>
          <w:szCs w:val="40"/>
        </w:rPr>
      </w:pPr>
      <w:r>
        <w:rPr>
          <w:rFonts w:hint="eastAsia" w:ascii="微软雅黑" w:hAnsi="微软雅黑" w:eastAsia="微软雅黑" w:cs="微软雅黑"/>
          <w:b/>
          <w:color w:val="auto"/>
          <w:sz w:val="40"/>
          <w:szCs w:val="40"/>
        </w:rPr>
        <w:t>目  录</w:t>
      </w:r>
    </w:p>
    <w:p w14:paraId="01EA4600">
      <w:pPr>
        <w:pStyle w:val="15"/>
        <w:tabs>
          <w:tab w:val="right" w:leader="dot" w:pos="9745"/>
          <w:tab w:val="clear" w:pos="1260"/>
          <w:tab w:val="clear" w:pos="8630"/>
        </w:tabs>
      </w:pPr>
      <w:r>
        <w:rPr>
          <w:rFonts w:hint="eastAsia" w:ascii="微软雅黑" w:hAnsi="微软雅黑" w:eastAsia="微软雅黑" w:cs="微软雅黑"/>
          <w:color w:val="auto"/>
          <w:kern w:val="0"/>
          <w:sz w:val="24"/>
        </w:rPr>
        <w:fldChar w:fldCharType="begin"/>
      </w:r>
      <w:r>
        <w:rPr>
          <w:rFonts w:hint="eastAsia" w:ascii="微软雅黑" w:hAnsi="微软雅黑" w:eastAsia="微软雅黑" w:cs="微软雅黑"/>
          <w:color w:val="auto"/>
          <w:kern w:val="0"/>
          <w:sz w:val="24"/>
        </w:rPr>
        <w:instrText xml:space="preserve"> TOC \o "1-3" \h \z \u </w:instrText>
      </w:r>
      <w:r>
        <w:rPr>
          <w:rFonts w:hint="eastAsia" w:ascii="微软雅黑" w:hAnsi="微软雅黑" w:eastAsia="微软雅黑" w:cs="微软雅黑"/>
          <w:color w:val="auto"/>
          <w:kern w:val="0"/>
          <w:sz w:val="24"/>
        </w:rPr>
        <w:fldChar w:fldCharType="separate"/>
      </w:r>
    </w:p>
    <w:p w14:paraId="5AC57C6C">
      <w:pPr>
        <w:pStyle w:val="24"/>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_Toc14891 </w:instrText>
      </w:r>
      <w:r>
        <w:rPr>
          <w:rFonts w:hint="eastAsia" w:ascii="微软雅黑" w:hAnsi="微软雅黑" w:eastAsia="微软雅黑" w:cs="微软雅黑"/>
          <w:kern w:val="0"/>
        </w:rPr>
        <w:fldChar w:fldCharType="separate"/>
      </w:r>
      <w:r>
        <w:rPr>
          <w:rFonts w:hint="eastAsia" w:ascii="微软雅黑" w:hAnsi="微软雅黑" w:eastAsia="微软雅黑" w:cs="微软雅黑"/>
          <w:kern w:val="0"/>
          <w:szCs w:val="24"/>
        </w:rPr>
        <w:t xml:space="preserve">第1章  </w:t>
      </w:r>
      <w:r>
        <w:rPr>
          <w:rFonts w:hint="eastAsia" w:ascii="微软雅黑" w:hAnsi="微软雅黑" w:eastAsia="微软雅黑" w:cs="微软雅黑"/>
          <w:szCs w:val="32"/>
        </w:rPr>
        <w:t>供应商须知</w:t>
      </w:r>
      <w:r>
        <w:tab/>
      </w:r>
      <w:r>
        <w:fldChar w:fldCharType="begin"/>
      </w:r>
      <w:r>
        <w:instrText xml:space="preserve"> PAGEREF _Toc14891 \h </w:instrText>
      </w:r>
      <w:r>
        <w:fldChar w:fldCharType="separate"/>
      </w:r>
      <w:r>
        <w:t>3</w:t>
      </w:r>
      <w:r>
        <w:fldChar w:fldCharType="end"/>
      </w:r>
      <w:r>
        <w:rPr>
          <w:rFonts w:hint="eastAsia" w:ascii="微软雅黑" w:hAnsi="微软雅黑" w:eastAsia="微软雅黑" w:cs="微软雅黑"/>
          <w:color w:val="auto"/>
          <w:kern w:val="0"/>
        </w:rPr>
        <w:fldChar w:fldCharType="end"/>
      </w:r>
    </w:p>
    <w:p w14:paraId="6964375B">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_Toc1807 </w:instrText>
      </w:r>
      <w:r>
        <w:rPr>
          <w:rFonts w:hint="eastAsia" w:ascii="微软雅黑" w:hAnsi="微软雅黑" w:eastAsia="微软雅黑" w:cs="微软雅黑"/>
          <w:kern w:val="0"/>
        </w:rPr>
        <w:fldChar w:fldCharType="separate"/>
      </w:r>
      <w:r>
        <w:rPr>
          <w:rFonts w:hint="eastAsia" w:ascii="微软雅黑" w:hAnsi="微软雅黑" w:eastAsia="微软雅黑" w:cs="微软雅黑"/>
          <w:szCs w:val="24"/>
        </w:rPr>
        <w:t>一   总 则</w:t>
      </w:r>
      <w:r>
        <w:tab/>
      </w:r>
      <w:r>
        <w:fldChar w:fldCharType="begin"/>
      </w:r>
      <w:r>
        <w:instrText xml:space="preserve"> PAGEREF _Toc1807 \h </w:instrText>
      </w:r>
      <w:r>
        <w:fldChar w:fldCharType="separate"/>
      </w:r>
      <w:r>
        <w:t>3</w:t>
      </w:r>
      <w:r>
        <w:fldChar w:fldCharType="end"/>
      </w:r>
      <w:r>
        <w:rPr>
          <w:rFonts w:hint="eastAsia" w:ascii="微软雅黑" w:hAnsi="微软雅黑" w:eastAsia="微软雅黑" w:cs="微软雅黑"/>
          <w:color w:val="auto"/>
          <w:kern w:val="0"/>
        </w:rPr>
        <w:fldChar w:fldCharType="end"/>
      </w:r>
    </w:p>
    <w:p w14:paraId="1B89188B">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_Toc30505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1.采购人、采购代理机构及供应商</w:t>
      </w:r>
      <w:r>
        <w:tab/>
      </w:r>
      <w:r>
        <w:fldChar w:fldCharType="begin"/>
      </w:r>
      <w:r>
        <w:instrText xml:space="preserve"> PAGEREF _Toc30505 \h </w:instrText>
      </w:r>
      <w:r>
        <w:fldChar w:fldCharType="separate"/>
      </w:r>
      <w:r>
        <w:t>3</w:t>
      </w:r>
      <w:r>
        <w:fldChar w:fldCharType="end"/>
      </w:r>
      <w:r>
        <w:rPr>
          <w:rFonts w:hint="eastAsia" w:ascii="微软雅黑" w:hAnsi="微软雅黑" w:eastAsia="微软雅黑" w:cs="微软雅黑"/>
          <w:color w:val="auto"/>
          <w:kern w:val="0"/>
        </w:rPr>
        <w:fldChar w:fldCharType="end"/>
      </w:r>
    </w:p>
    <w:p w14:paraId="483E69BA">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_Toc21689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2.资金来源</w:t>
      </w:r>
      <w:r>
        <w:tab/>
      </w:r>
      <w:r>
        <w:fldChar w:fldCharType="begin"/>
      </w:r>
      <w:r>
        <w:instrText xml:space="preserve"> PAGEREF _Toc21689 \h </w:instrText>
      </w:r>
      <w:r>
        <w:fldChar w:fldCharType="separate"/>
      </w:r>
      <w:r>
        <w:t>4</w:t>
      </w:r>
      <w:r>
        <w:fldChar w:fldCharType="end"/>
      </w:r>
      <w:r>
        <w:rPr>
          <w:rFonts w:hint="eastAsia" w:ascii="微软雅黑" w:hAnsi="微软雅黑" w:eastAsia="微软雅黑" w:cs="微软雅黑"/>
          <w:color w:val="auto"/>
          <w:kern w:val="0"/>
        </w:rPr>
        <w:fldChar w:fldCharType="end"/>
      </w:r>
    </w:p>
    <w:p w14:paraId="728A8164">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_Toc23526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3.磋商费用</w:t>
      </w:r>
      <w:r>
        <w:tab/>
      </w:r>
      <w:r>
        <w:fldChar w:fldCharType="begin"/>
      </w:r>
      <w:r>
        <w:instrText xml:space="preserve"> PAGEREF _Toc23526 \h </w:instrText>
      </w:r>
      <w:r>
        <w:fldChar w:fldCharType="separate"/>
      </w:r>
      <w:r>
        <w:t>4</w:t>
      </w:r>
      <w:r>
        <w:fldChar w:fldCharType="end"/>
      </w:r>
      <w:r>
        <w:rPr>
          <w:rFonts w:hint="eastAsia" w:ascii="微软雅黑" w:hAnsi="微软雅黑" w:eastAsia="微软雅黑" w:cs="微软雅黑"/>
          <w:color w:val="auto"/>
          <w:kern w:val="0"/>
        </w:rPr>
        <w:fldChar w:fldCharType="end"/>
      </w:r>
    </w:p>
    <w:p w14:paraId="20CE6205">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_Toc10872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4.适用法律</w:t>
      </w:r>
      <w:r>
        <w:tab/>
      </w:r>
      <w:r>
        <w:fldChar w:fldCharType="begin"/>
      </w:r>
      <w:r>
        <w:instrText xml:space="preserve"> PAGEREF _Toc10872 \h </w:instrText>
      </w:r>
      <w:r>
        <w:fldChar w:fldCharType="separate"/>
      </w:r>
      <w:r>
        <w:t>4</w:t>
      </w:r>
      <w:r>
        <w:fldChar w:fldCharType="end"/>
      </w:r>
      <w:r>
        <w:rPr>
          <w:rFonts w:hint="eastAsia" w:ascii="微软雅黑" w:hAnsi="微软雅黑" w:eastAsia="微软雅黑" w:cs="微软雅黑"/>
          <w:color w:val="auto"/>
          <w:kern w:val="0"/>
        </w:rPr>
        <w:fldChar w:fldCharType="end"/>
      </w:r>
    </w:p>
    <w:p w14:paraId="31686436">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_Toc1896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二   磋商文件</w:t>
      </w:r>
      <w:r>
        <w:tab/>
      </w:r>
      <w:r>
        <w:fldChar w:fldCharType="begin"/>
      </w:r>
      <w:r>
        <w:instrText xml:space="preserve"> PAGEREF _Toc1896 \h </w:instrText>
      </w:r>
      <w:r>
        <w:fldChar w:fldCharType="separate"/>
      </w:r>
      <w:r>
        <w:t>4</w:t>
      </w:r>
      <w:r>
        <w:fldChar w:fldCharType="end"/>
      </w:r>
      <w:r>
        <w:rPr>
          <w:rFonts w:hint="eastAsia" w:ascii="微软雅黑" w:hAnsi="微软雅黑" w:eastAsia="微软雅黑" w:cs="微软雅黑"/>
          <w:color w:val="auto"/>
          <w:kern w:val="0"/>
        </w:rPr>
        <w:fldChar w:fldCharType="end"/>
      </w:r>
    </w:p>
    <w:p w14:paraId="21B9D46B">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_Toc30675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5.磋商文件构成</w:t>
      </w:r>
      <w:r>
        <w:tab/>
      </w:r>
      <w:r>
        <w:fldChar w:fldCharType="begin"/>
      </w:r>
      <w:r>
        <w:instrText xml:space="preserve"> PAGEREF _Toc30675 \h </w:instrText>
      </w:r>
      <w:r>
        <w:fldChar w:fldCharType="separate"/>
      </w:r>
      <w:r>
        <w:t>4</w:t>
      </w:r>
      <w:r>
        <w:fldChar w:fldCharType="end"/>
      </w:r>
      <w:r>
        <w:rPr>
          <w:rFonts w:hint="eastAsia" w:ascii="微软雅黑" w:hAnsi="微软雅黑" w:eastAsia="微软雅黑" w:cs="微软雅黑"/>
          <w:color w:val="auto"/>
          <w:kern w:val="0"/>
        </w:rPr>
        <w:fldChar w:fldCharType="end"/>
      </w:r>
    </w:p>
    <w:p w14:paraId="234446DF">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_Toc11598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6.磋商文件的澄清与修改</w:t>
      </w:r>
      <w:r>
        <w:tab/>
      </w:r>
      <w:r>
        <w:fldChar w:fldCharType="begin"/>
      </w:r>
      <w:r>
        <w:instrText xml:space="preserve"> PAGEREF _Toc11598 \h </w:instrText>
      </w:r>
      <w:r>
        <w:fldChar w:fldCharType="separate"/>
      </w:r>
      <w:r>
        <w:t>5</w:t>
      </w:r>
      <w:r>
        <w:fldChar w:fldCharType="end"/>
      </w:r>
      <w:r>
        <w:rPr>
          <w:rFonts w:hint="eastAsia" w:ascii="微软雅黑" w:hAnsi="微软雅黑" w:eastAsia="微软雅黑" w:cs="微软雅黑"/>
          <w:color w:val="auto"/>
          <w:kern w:val="0"/>
        </w:rPr>
        <w:fldChar w:fldCharType="end"/>
      </w:r>
    </w:p>
    <w:p w14:paraId="29F48F09">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_Toc25437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7.响应文件递交截止时间的顺延</w:t>
      </w:r>
      <w:r>
        <w:tab/>
      </w:r>
      <w:r>
        <w:fldChar w:fldCharType="begin"/>
      </w:r>
      <w:r>
        <w:instrText xml:space="preserve"> PAGEREF _Toc25437 \h </w:instrText>
      </w:r>
      <w:r>
        <w:fldChar w:fldCharType="separate"/>
      </w:r>
      <w:r>
        <w:t>5</w:t>
      </w:r>
      <w:r>
        <w:fldChar w:fldCharType="end"/>
      </w:r>
      <w:r>
        <w:rPr>
          <w:rFonts w:hint="eastAsia" w:ascii="微软雅黑" w:hAnsi="微软雅黑" w:eastAsia="微软雅黑" w:cs="微软雅黑"/>
          <w:color w:val="auto"/>
          <w:kern w:val="0"/>
        </w:rPr>
        <w:fldChar w:fldCharType="end"/>
      </w:r>
    </w:p>
    <w:p w14:paraId="27B9B702">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_Toc15778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三   响应文件的编制</w:t>
      </w:r>
      <w:r>
        <w:tab/>
      </w:r>
      <w:r>
        <w:fldChar w:fldCharType="begin"/>
      </w:r>
      <w:r>
        <w:instrText xml:space="preserve"> PAGEREF _Toc15778 \h </w:instrText>
      </w:r>
      <w:r>
        <w:fldChar w:fldCharType="separate"/>
      </w:r>
      <w:r>
        <w:t>5</w:t>
      </w:r>
      <w:r>
        <w:fldChar w:fldCharType="end"/>
      </w:r>
      <w:r>
        <w:rPr>
          <w:rFonts w:hint="eastAsia" w:ascii="微软雅黑" w:hAnsi="微软雅黑" w:eastAsia="微软雅黑" w:cs="微软雅黑"/>
          <w:color w:val="auto"/>
          <w:kern w:val="0"/>
        </w:rPr>
        <w:fldChar w:fldCharType="end"/>
      </w:r>
    </w:p>
    <w:p w14:paraId="0AC6DE31">
      <w:pPr>
        <w:pStyle w:val="15"/>
        <w:tabs>
          <w:tab w:val="right" w:pos="2800"/>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_Toc31147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8.</w:t>
      </w:r>
      <w:r>
        <w:rPr>
          <w:rFonts w:hint="eastAsia" w:ascii="微软雅黑" w:hAnsi="微软雅黑" w:eastAsia="微软雅黑" w:cs="微软雅黑"/>
        </w:rPr>
        <w:tab/>
      </w:r>
      <w:r>
        <w:rPr>
          <w:rFonts w:hint="eastAsia" w:ascii="微软雅黑" w:hAnsi="微软雅黑" w:eastAsia="微软雅黑" w:cs="微软雅黑"/>
        </w:rPr>
        <w:t>磋商范围及响应文件成交准和计量单位的使用</w:t>
      </w:r>
      <w:r>
        <w:tab/>
      </w:r>
      <w:r>
        <w:fldChar w:fldCharType="begin"/>
      </w:r>
      <w:r>
        <w:instrText xml:space="preserve"> PAGEREF _Toc31147 \h </w:instrText>
      </w:r>
      <w:r>
        <w:fldChar w:fldCharType="separate"/>
      </w:r>
      <w:r>
        <w:t>5</w:t>
      </w:r>
      <w:r>
        <w:fldChar w:fldCharType="end"/>
      </w:r>
      <w:r>
        <w:rPr>
          <w:rFonts w:hint="eastAsia" w:ascii="微软雅黑" w:hAnsi="微软雅黑" w:eastAsia="微软雅黑" w:cs="微软雅黑"/>
          <w:color w:val="auto"/>
          <w:kern w:val="0"/>
        </w:rPr>
        <w:fldChar w:fldCharType="end"/>
      </w:r>
    </w:p>
    <w:p w14:paraId="605D0E43">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_Toc25716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9.响应文件构成</w:t>
      </w:r>
      <w:r>
        <w:tab/>
      </w:r>
      <w:r>
        <w:fldChar w:fldCharType="begin"/>
      </w:r>
      <w:r>
        <w:instrText xml:space="preserve"> PAGEREF _Toc25716 \h </w:instrText>
      </w:r>
      <w:r>
        <w:fldChar w:fldCharType="separate"/>
      </w:r>
      <w:r>
        <w:t>5</w:t>
      </w:r>
      <w:r>
        <w:fldChar w:fldCharType="end"/>
      </w:r>
      <w:r>
        <w:rPr>
          <w:rFonts w:hint="eastAsia" w:ascii="微软雅黑" w:hAnsi="微软雅黑" w:eastAsia="微软雅黑" w:cs="微软雅黑"/>
          <w:color w:val="auto"/>
          <w:kern w:val="0"/>
        </w:rPr>
        <w:fldChar w:fldCharType="end"/>
      </w:r>
    </w:p>
    <w:p w14:paraId="080DE4CB">
      <w:pPr>
        <w:pStyle w:val="15"/>
        <w:tabs>
          <w:tab w:val="right" w:pos="2800"/>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_Toc2331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10.</w:t>
      </w:r>
      <w:r>
        <w:rPr>
          <w:rFonts w:hint="eastAsia" w:ascii="微软雅黑" w:hAnsi="微软雅黑" w:eastAsia="微软雅黑" w:cs="微软雅黑"/>
        </w:rPr>
        <w:tab/>
      </w:r>
      <w:r>
        <w:rPr>
          <w:rFonts w:hint="eastAsia" w:ascii="微软雅黑" w:hAnsi="微软雅黑" w:eastAsia="微软雅黑" w:cs="微软雅黑"/>
          <w:highlight w:val="none"/>
        </w:rPr>
        <w:t>证明</w:t>
      </w:r>
      <w:r>
        <w:rPr>
          <w:rFonts w:hint="eastAsia" w:ascii="微软雅黑" w:hAnsi="微软雅黑" w:eastAsia="微软雅黑" w:cs="微软雅黑"/>
          <w:highlight w:val="none"/>
          <w:lang w:val="en-US" w:eastAsia="zh-CN"/>
        </w:rPr>
        <w:t>磋商</w:t>
      </w:r>
      <w:r>
        <w:rPr>
          <w:rFonts w:hint="eastAsia" w:ascii="微软雅黑" w:hAnsi="微软雅黑" w:eastAsia="微软雅黑" w:cs="微软雅黑"/>
          <w:highlight w:val="none"/>
        </w:rPr>
        <w:t>的合格性和符合</w:t>
      </w:r>
      <w:r>
        <w:rPr>
          <w:rFonts w:hint="eastAsia" w:ascii="微软雅黑" w:hAnsi="微软雅黑" w:eastAsia="微软雅黑" w:cs="微软雅黑"/>
          <w:highlight w:val="none"/>
          <w:lang w:eastAsia="zh-CN"/>
        </w:rPr>
        <w:t>磋商文件</w:t>
      </w:r>
      <w:r>
        <w:rPr>
          <w:rFonts w:hint="eastAsia" w:ascii="微软雅黑" w:hAnsi="微软雅黑" w:eastAsia="微软雅黑" w:cs="微软雅黑"/>
          <w:highlight w:val="none"/>
        </w:rPr>
        <w:t>规定的技术文件</w:t>
      </w:r>
      <w:r>
        <w:tab/>
      </w:r>
      <w:r>
        <w:fldChar w:fldCharType="begin"/>
      </w:r>
      <w:r>
        <w:instrText xml:space="preserve"> PAGEREF _Toc2331 \h </w:instrText>
      </w:r>
      <w:r>
        <w:fldChar w:fldCharType="separate"/>
      </w:r>
      <w:r>
        <w:t>5</w:t>
      </w:r>
      <w:r>
        <w:fldChar w:fldCharType="end"/>
      </w:r>
      <w:r>
        <w:rPr>
          <w:rFonts w:hint="eastAsia" w:ascii="微软雅黑" w:hAnsi="微软雅黑" w:eastAsia="微软雅黑" w:cs="微软雅黑"/>
          <w:color w:val="auto"/>
          <w:kern w:val="0"/>
        </w:rPr>
        <w:fldChar w:fldCharType="end"/>
      </w:r>
    </w:p>
    <w:p w14:paraId="7EEA4C25">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_Toc26384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11.磋商报价</w:t>
      </w:r>
      <w:r>
        <w:tab/>
      </w:r>
      <w:r>
        <w:fldChar w:fldCharType="begin"/>
      </w:r>
      <w:r>
        <w:instrText xml:space="preserve"> PAGEREF _Toc26384 \h </w:instrText>
      </w:r>
      <w:r>
        <w:fldChar w:fldCharType="separate"/>
      </w:r>
      <w:r>
        <w:t>6</w:t>
      </w:r>
      <w:r>
        <w:fldChar w:fldCharType="end"/>
      </w:r>
      <w:r>
        <w:rPr>
          <w:rFonts w:hint="eastAsia" w:ascii="微软雅黑" w:hAnsi="微软雅黑" w:eastAsia="微软雅黑" w:cs="微软雅黑"/>
          <w:color w:val="auto"/>
          <w:kern w:val="0"/>
        </w:rPr>
        <w:fldChar w:fldCharType="end"/>
      </w:r>
    </w:p>
    <w:p w14:paraId="11377183">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_Toc14499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12.磋商保证金</w:t>
      </w:r>
      <w:r>
        <w:tab/>
      </w:r>
      <w:r>
        <w:fldChar w:fldCharType="begin"/>
      </w:r>
      <w:r>
        <w:instrText xml:space="preserve"> PAGEREF _Toc14499 \h </w:instrText>
      </w:r>
      <w:r>
        <w:fldChar w:fldCharType="separate"/>
      </w:r>
      <w:r>
        <w:t>6</w:t>
      </w:r>
      <w:r>
        <w:fldChar w:fldCharType="end"/>
      </w:r>
      <w:r>
        <w:rPr>
          <w:rFonts w:hint="eastAsia" w:ascii="微软雅黑" w:hAnsi="微软雅黑" w:eastAsia="微软雅黑" w:cs="微软雅黑"/>
          <w:color w:val="auto"/>
          <w:kern w:val="0"/>
        </w:rPr>
        <w:fldChar w:fldCharType="end"/>
      </w:r>
    </w:p>
    <w:p w14:paraId="7A4F8B2F">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_Toc21509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13.磋商有效期</w:t>
      </w:r>
      <w:r>
        <w:tab/>
      </w:r>
      <w:r>
        <w:fldChar w:fldCharType="begin"/>
      </w:r>
      <w:r>
        <w:instrText xml:space="preserve"> PAGEREF _Toc21509 \h </w:instrText>
      </w:r>
      <w:r>
        <w:fldChar w:fldCharType="separate"/>
      </w:r>
      <w:r>
        <w:t>7</w:t>
      </w:r>
      <w:r>
        <w:fldChar w:fldCharType="end"/>
      </w:r>
      <w:r>
        <w:rPr>
          <w:rFonts w:hint="eastAsia" w:ascii="微软雅黑" w:hAnsi="微软雅黑" w:eastAsia="微软雅黑" w:cs="微软雅黑"/>
          <w:color w:val="auto"/>
          <w:kern w:val="0"/>
        </w:rPr>
        <w:fldChar w:fldCharType="end"/>
      </w:r>
    </w:p>
    <w:p w14:paraId="4B62777B">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_Toc6718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14.响应文件的签署及规定</w:t>
      </w:r>
      <w:r>
        <w:tab/>
      </w:r>
      <w:r>
        <w:fldChar w:fldCharType="begin"/>
      </w:r>
      <w:r>
        <w:instrText xml:space="preserve"> PAGEREF _Toc6718 \h </w:instrText>
      </w:r>
      <w:r>
        <w:fldChar w:fldCharType="separate"/>
      </w:r>
      <w:r>
        <w:t>7</w:t>
      </w:r>
      <w:r>
        <w:fldChar w:fldCharType="end"/>
      </w:r>
      <w:r>
        <w:rPr>
          <w:rFonts w:hint="eastAsia" w:ascii="微软雅黑" w:hAnsi="微软雅黑" w:eastAsia="微软雅黑" w:cs="微软雅黑"/>
          <w:color w:val="auto"/>
          <w:kern w:val="0"/>
        </w:rPr>
        <w:fldChar w:fldCharType="end"/>
      </w:r>
    </w:p>
    <w:p w14:paraId="044882D9">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_Toc25699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四   响应文件的递交</w:t>
      </w:r>
      <w:r>
        <w:tab/>
      </w:r>
      <w:r>
        <w:fldChar w:fldCharType="begin"/>
      </w:r>
      <w:r>
        <w:instrText xml:space="preserve"> PAGEREF _Toc25699 \h </w:instrText>
      </w:r>
      <w:r>
        <w:fldChar w:fldCharType="separate"/>
      </w:r>
      <w:r>
        <w:t>7</w:t>
      </w:r>
      <w:r>
        <w:fldChar w:fldCharType="end"/>
      </w:r>
      <w:r>
        <w:rPr>
          <w:rFonts w:hint="eastAsia" w:ascii="微软雅黑" w:hAnsi="微软雅黑" w:eastAsia="微软雅黑" w:cs="微软雅黑"/>
          <w:color w:val="auto"/>
          <w:kern w:val="0"/>
        </w:rPr>
        <w:fldChar w:fldCharType="end"/>
      </w:r>
    </w:p>
    <w:p w14:paraId="179FE4DC">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_Toc15803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15.响应文件的</w:t>
      </w:r>
      <w:r>
        <w:rPr>
          <w:rFonts w:hint="eastAsia" w:ascii="微软雅黑" w:hAnsi="微软雅黑" w:eastAsia="微软雅黑" w:cs="微软雅黑"/>
          <w:lang w:eastAsia="zh-CN"/>
        </w:rPr>
        <w:t>上传</w:t>
      </w:r>
      <w:r>
        <w:rPr>
          <w:rFonts w:hint="eastAsia" w:ascii="微软雅黑" w:hAnsi="微软雅黑" w:eastAsia="微软雅黑" w:cs="微软雅黑"/>
        </w:rPr>
        <w:t>和标记</w:t>
      </w:r>
      <w:r>
        <w:rPr>
          <w:rFonts w:hint="eastAsia" w:ascii="微软雅黑" w:hAnsi="微软雅黑" w:eastAsia="微软雅黑" w:cs="微软雅黑"/>
          <w:lang w:eastAsia="zh-CN"/>
        </w:rPr>
        <w:t>（</w:t>
      </w:r>
      <w:r>
        <w:rPr>
          <w:rFonts w:hint="eastAsia" w:ascii="微软雅黑" w:hAnsi="微软雅黑" w:eastAsia="微软雅黑" w:cs="微软雅黑"/>
          <w:lang w:val="en-US" w:eastAsia="zh-CN"/>
        </w:rPr>
        <w:t>全面电子化</w:t>
      </w:r>
      <w:r>
        <w:rPr>
          <w:rFonts w:hint="eastAsia" w:ascii="微软雅黑" w:hAnsi="微软雅黑" w:eastAsia="微软雅黑" w:cs="微软雅黑"/>
          <w:lang w:eastAsia="zh-CN"/>
        </w:rPr>
        <w:t>）</w:t>
      </w:r>
      <w:r>
        <w:tab/>
      </w:r>
      <w:r>
        <w:fldChar w:fldCharType="begin"/>
      </w:r>
      <w:r>
        <w:instrText xml:space="preserve"> PAGEREF _Toc15803 \h </w:instrText>
      </w:r>
      <w:r>
        <w:fldChar w:fldCharType="separate"/>
      </w:r>
      <w:r>
        <w:t>7</w:t>
      </w:r>
      <w:r>
        <w:fldChar w:fldCharType="end"/>
      </w:r>
      <w:r>
        <w:rPr>
          <w:rFonts w:hint="eastAsia" w:ascii="微软雅黑" w:hAnsi="微软雅黑" w:eastAsia="微软雅黑" w:cs="微软雅黑"/>
          <w:color w:val="auto"/>
          <w:kern w:val="0"/>
        </w:rPr>
        <w:fldChar w:fldCharType="end"/>
      </w:r>
    </w:p>
    <w:p w14:paraId="6AFFB217">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_Toc8141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16.磋商截止</w:t>
      </w:r>
      <w:r>
        <w:tab/>
      </w:r>
      <w:r>
        <w:fldChar w:fldCharType="begin"/>
      </w:r>
      <w:r>
        <w:instrText xml:space="preserve"> PAGEREF _Toc8141 \h </w:instrText>
      </w:r>
      <w:r>
        <w:fldChar w:fldCharType="separate"/>
      </w:r>
      <w:r>
        <w:t>8</w:t>
      </w:r>
      <w:r>
        <w:fldChar w:fldCharType="end"/>
      </w:r>
      <w:r>
        <w:rPr>
          <w:rFonts w:hint="eastAsia" w:ascii="微软雅黑" w:hAnsi="微软雅黑" w:eastAsia="微软雅黑" w:cs="微软雅黑"/>
          <w:color w:val="auto"/>
          <w:kern w:val="0"/>
        </w:rPr>
        <w:fldChar w:fldCharType="end"/>
      </w:r>
    </w:p>
    <w:p w14:paraId="746EE5DF">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_Toc12018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17.响应文件的接收、修改与撤回</w:t>
      </w:r>
      <w:r>
        <w:tab/>
      </w:r>
      <w:r>
        <w:fldChar w:fldCharType="begin"/>
      </w:r>
      <w:r>
        <w:instrText xml:space="preserve"> PAGEREF _Toc12018 \h </w:instrText>
      </w:r>
      <w:r>
        <w:fldChar w:fldCharType="separate"/>
      </w:r>
      <w:r>
        <w:t>8</w:t>
      </w:r>
      <w:r>
        <w:fldChar w:fldCharType="end"/>
      </w:r>
      <w:r>
        <w:rPr>
          <w:rFonts w:hint="eastAsia" w:ascii="微软雅黑" w:hAnsi="微软雅黑" w:eastAsia="微软雅黑" w:cs="微软雅黑"/>
          <w:color w:val="auto"/>
          <w:kern w:val="0"/>
        </w:rPr>
        <w:fldChar w:fldCharType="end"/>
      </w:r>
    </w:p>
    <w:p w14:paraId="1876C1C0">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_Toc8802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五   磋商开启及评审</w:t>
      </w:r>
      <w:r>
        <w:tab/>
      </w:r>
      <w:r>
        <w:fldChar w:fldCharType="begin"/>
      </w:r>
      <w:r>
        <w:instrText xml:space="preserve"> PAGEREF _Toc8802 \h </w:instrText>
      </w:r>
      <w:r>
        <w:fldChar w:fldCharType="separate"/>
      </w:r>
      <w:r>
        <w:t>8</w:t>
      </w:r>
      <w:r>
        <w:fldChar w:fldCharType="end"/>
      </w:r>
      <w:r>
        <w:rPr>
          <w:rFonts w:hint="eastAsia" w:ascii="微软雅黑" w:hAnsi="微软雅黑" w:eastAsia="微软雅黑" w:cs="微软雅黑"/>
          <w:color w:val="auto"/>
          <w:kern w:val="0"/>
        </w:rPr>
        <w:fldChar w:fldCharType="end"/>
      </w:r>
    </w:p>
    <w:p w14:paraId="6A873E88">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_Toc25258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18.磋商开启</w:t>
      </w:r>
      <w:r>
        <w:tab/>
      </w:r>
      <w:r>
        <w:fldChar w:fldCharType="begin"/>
      </w:r>
      <w:r>
        <w:instrText xml:space="preserve"> PAGEREF _Toc25258 \h </w:instrText>
      </w:r>
      <w:r>
        <w:fldChar w:fldCharType="separate"/>
      </w:r>
      <w:r>
        <w:t>8</w:t>
      </w:r>
      <w:r>
        <w:fldChar w:fldCharType="end"/>
      </w:r>
      <w:r>
        <w:rPr>
          <w:rFonts w:hint="eastAsia" w:ascii="微软雅黑" w:hAnsi="微软雅黑" w:eastAsia="微软雅黑" w:cs="微软雅黑"/>
          <w:color w:val="auto"/>
          <w:kern w:val="0"/>
        </w:rPr>
        <w:fldChar w:fldCharType="end"/>
      </w:r>
    </w:p>
    <w:p w14:paraId="495330F0">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_Toc6779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19.资格审查及组建磋商小组</w:t>
      </w:r>
      <w:r>
        <w:tab/>
      </w:r>
      <w:r>
        <w:fldChar w:fldCharType="begin"/>
      </w:r>
      <w:r>
        <w:instrText xml:space="preserve"> PAGEREF _Toc6779 \h </w:instrText>
      </w:r>
      <w:r>
        <w:fldChar w:fldCharType="separate"/>
      </w:r>
      <w:r>
        <w:t>8</w:t>
      </w:r>
      <w:r>
        <w:fldChar w:fldCharType="end"/>
      </w:r>
      <w:r>
        <w:rPr>
          <w:rFonts w:hint="eastAsia" w:ascii="微软雅黑" w:hAnsi="微软雅黑" w:eastAsia="微软雅黑" w:cs="微软雅黑"/>
          <w:color w:val="auto"/>
          <w:kern w:val="0"/>
        </w:rPr>
        <w:fldChar w:fldCharType="end"/>
      </w:r>
    </w:p>
    <w:p w14:paraId="52997435">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_Toc28603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20.响应文件的符合性审查与澄清</w:t>
      </w:r>
      <w:r>
        <w:tab/>
      </w:r>
      <w:r>
        <w:fldChar w:fldCharType="begin"/>
      </w:r>
      <w:r>
        <w:instrText xml:space="preserve"> PAGEREF _Toc28603 \h </w:instrText>
      </w:r>
      <w:r>
        <w:fldChar w:fldCharType="separate"/>
      </w:r>
      <w:r>
        <w:t>10</w:t>
      </w:r>
      <w:r>
        <w:fldChar w:fldCharType="end"/>
      </w:r>
      <w:r>
        <w:rPr>
          <w:rFonts w:hint="eastAsia" w:ascii="微软雅黑" w:hAnsi="微软雅黑" w:eastAsia="微软雅黑" w:cs="微软雅黑"/>
          <w:color w:val="auto"/>
          <w:kern w:val="0"/>
        </w:rPr>
        <w:fldChar w:fldCharType="end"/>
      </w:r>
    </w:p>
    <w:p w14:paraId="717322B2">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_Toc7726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21.响应偏离</w:t>
      </w:r>
      <w:r>
        <w:tab/>
      </w:r>
      <w:r>
        <w:fldChar w:fldCharType="begin"/>
      </w:r>
      <w:r>
        <w:instrText xml:space="preserve"> PAGEREF _Toc7726 \h </w:instrText>
      </w:r>
      <w:r>
        <w:fldChar w:fldCharType="separate"/>
      </w:r>
      <w:r>
        <w:t>10</w:t>
      </w:r>
      <w:r>
        <w:fldChar w:fldCharType="end"/>
      </w:r>
      <w:r>
        <w:rPr>
          <w:rFonts w:hint="eastAsia" w:ascii="微软雅黑" w:hAnsi="微软雅黑" w:eastAsia="微软雅黑" w:cs="微软雅黑"/>
          <w:color w:val="auto"/>
          <w:kern w:val="0"/>
        </w:rPr>
        <w:fldChar w:fldCharType="end"/>
      </w:r>
    </w:p>
    <w:p w14:paraId="6B8DA554">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_Toc12452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22.响应无效</w:t>
      </w:r>
      <w:r>
        <w:tab/>
      </w:r>
      <w:r>
        <w:fldChar w:fldCharType="begin"/>
      </w:r>
      <w:r>
        <w:instrText xml:space="preserve"> PAGEREF _Toc12452 \h </w:instrText>
      </w:r>
      <w:r>
        <w:fldChar w:fldCharType="separate"/>
      </w:r>
      <w:r>
        <w:t>10</w:t>
      </w:r>
      <w:r>
        <w:fldChar w:fldCharType="end"/>
      </w:r>
      <w:r>
        <w:rPr>
          <w:rFonts w:hint="eastAsia" w:ascii="微软雅黑" w:hAnsi="微软雅黑" w:eastAsia="微软雅黑" w:cs="微软雅黑"/>
          <w:color w:val="auto"/>
          <w:kern w:val="0"/>
        </w:rPr>
        <w:fldChar w:fldCharType="end"/>
      </w:r>
    </w:p>
    <w:p w14:paraId="0090E7C5">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_Toc25702 </w:instrText>
      </w:r>
      <w:r>
        <w:rPr>
          <w:rFonts w:hint="eastAsia" w:ascii="微软雅黑" w:hAnsi="微软雅黑" w:eastAsia="微软雅黑" w:cs="微软雅黑"/>
          <w:kern w:val="0"/>
        </w:rPr>
        <w:fldChar w:fldCharType="separate"/>
      </w:r>
      <w:r>
        <w:rPr>
          <w:rFonts w:hint="eastAsia" w:ascii="微软雅黑" w:hAnsi="微软雅黑" w:eastAsia="微软雅黑" w:cs="微软雅黑"/>
          <w:bCs/>
        </w:rPr>
        <w:t>23.比较与评价</w:t>
      </w:r>
      <w:r>
        <w:tab/>
      </w:r>
      <w:r>
        <w:fldChar w:fldCharType="begin"/>
      </w:r>
      <w:r>
        <w:instrText xml:space="preserve"> PAGEREF _Toc25702 \h </w:instrText>
      </w:r>
      <w:r>
        <w:fldChar w:fldCharType="separate"/>
      </w:r>
      <w:r>
        <w:t>11</w:t>
      </w:r>
      <w:r>
        <w:fldChar w:fldCharType="end"/>
      </w:r>
      <w:r>
        <w:rPr>
          <w:rFonts w:hint="eastAsia" w:ascii="微软雅黑" w:hAnsi="微软雅黑" w:eastAsia="微软雅黑" w:cs="微软雅黑"/>
          <w:color w:val="auto"/>
          <w:kern w:val="0"/>
        </w:rPr>
        <w:fldChar w:fldCharType="end"/>
      </w:r>
    </w:p>
    <w:p w14:paraId="4CA6E143">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_Toc20128 </w:instrText>
      </w:r>
      <w:r>
        <w:rPr>
          <w:rFonts w:hint="eastAsia" w:ascii="微软雅黑" w:hAnsi="微软雅黑" w:eastAsia="微软雅黑" w:cs="微软雅黑"/>
          <w:kern w:val="0"/>
        </w:rPr>
        <w:fldChar w:fldCharType="separate"/>
      </w:r>
      <w:r>
        <w:rPr>
          <w:rFonts w:hint="eastAsia" w:ascii="微软雅黑" w:hAnsi="微软雅黑" w:eastAsia="微软雅黑" w:cs="微软雅黑"/>
          <w:bCs w:val="0"/>
          <w:kern w:val="2"/>
          <w:szCs w:val="24"/>
        </w:rPr>
        <w:t>24.废标</w:t>
      </w:r>
      <w:r>
        <w:tab/>
      </w:r>
      <w:r>
        <w:fldChar w:fldCharType="begin"/>
      </w:r>
      <w:r>
        <w:instrText xml:space="preserve"> PAGEREF _Toc20128 \h </w:instrText>
      </w:r>
      <w:r>
        <w:fldChar w:fldCharType="separate"/>
      </w:r>
      <w:r>
        <w:t>12</w:t>
      </w:r>
      <w:r>
        <w:fldChar w:fldCharType="end"/>
      </w:r>
      <w:r>
        <w:rPr>
          <w:rFonts w:hint="eastAsia" w:ascii="微软雅黑" w:hAnsi="微软雅黑" w:eastAsia="微软雅黑" w:cs="微软雅黑"/>
          <w:color w:val="auto"/>
          <w:kern w:val="0"/>
        </w:rPr>
        <w:fldChar w:fldCharType="end"/>
      </w:r>
    </w:p>
    <w:p w14:paraId="1249B19F">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_Toc27296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25.保密原则</w:t>
      </w:r>
      <w:r>
        <w:tab/>
      </w:r>
      <w:r>
        <w:fldChar w:fldCharType="begin"/>
      </w:r>
      <w:r>
        <w:instrText xml:space="preserve"> PAGEREF _Toc27296 \h </w:instrText>
      </w:r>
      <w:r>
        <w:fldChar w:fldCharType="separate"/>
      </w:r>
      <w:r>
        <w:t>12</w:t>
      </w:r>
      <w:r>
        <w:fldChar w:fldCharType="end"/>
      </w:r>
      <w:r>
        <w:rPr>
          <w:rFonts w:hint="eastAsia" w:ascii="微软雅黑" w:hAnsi="微软雅黑" w:eastAsia="微软雅黑" w:cs="微软雅黑"/>
          <w:color w:val="auto"/>
          <w:kern w:val="0"/>
        </w:rPr>
        <w:fldChar w:fldCharType="end"/>
      </w:r>
    </w:p>
    <w:p w14:paraId="7D8D3983">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_Toc1290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六   确定成交</w:t>
      </w:r>
      <w:r>
        <w:tab/>
      </w:r>
      <w:r>
        <w:fldChar w:fldCharType="begin"/>
      </w:r>
      <w:r>
        <w:instrText xml:space="preserve"> PAGEREF _Toc1290 \h </w:instrText>
      </w:r>
      <w:r>
        <w:fldChar w:fldCharType="separate"/>
      </w:r>
      <w:r>
        <w:t>12</w:t>
      </w:r>
      <w:r>
        <w:fldChar w:fldCharType="end"/>
      </w:r>
      <w:r>
        <w:rPr>
          <w:rFonts w:hint="eastAsia" w:ascii="微软雅黑" w:hAnsi="微软雅黑" w:eastAsia="微软雅黑" w:cs="微软雅黑"/>
          <w:color w:val="auto"/>
          <w:kern w:val="0"/>
        </w:rPr>
        <w:fldChar w:fldCharType="end"/>
      </w:r>
    </w:p>
    <w:p w14:paraId="3E1A2AC0">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_Toc12096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26.成交候选人的确定原则及标准</w:t>
      </w:r>
      <w:r>
        <w:tab/>
      </w:r>
      <w:r>
        <w:fldChar w:fldCharType="begin"/>
      </w:r>
      <w:r>
        <w:instrText xml:space="preserve"> PAGEREF _Toc12096 \h </w:instrText>
      </w:r>
      <w:r>
        <w:fldChar w:fldCharType="separate"/>
      </w:r>
      <w:r>
        <w:t>12</w:t>
      </w:r>
      <w:r>
        <w:fldChar w:fldCharType="end"/>
      </w:r>
      <w:r>
        <w:rPr>
          <w:rFonts w:hint="eastAsia" w:ascii="微软雅黑" w:hAnsi="微软雅黑" w:eastAsia="微软雅黑" w:cs="微软雅黑"/>
          <w:color w:val="auto"/>
          <w:kern w:val="0"/>
        </w:rPr>
        <w:fldChar w:fldCharType="end"/>
      </w:r>
    </w:p>
    <w:p w14:paraId="09E8F76E">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_Toc13875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27.确定成交候选人和成交人</w:t>
      </w:r>
      <w:r>
        <w:tab/>
      </w:r>
      <w:r>
        <w:fldChar w:fldCharType="begin"/>
      </w:r>
      <w:r>
        <w:instrText xml:space="preserve"> PAGEREF _Toc13875 \h </w:instrText>
      </w:r>
      <w:r>
        <w:fldChar w:fldCharType="separate"/>
      </w:r>
      <w:r>
        <w:t>13</w:t>
      </w:r>
      <w:r>
        <w:fldChar w:fldCharType="end"/>
      </w:r>
      <w:r>
        <w:rPr>
          <w:rFonts w:hint="eastAsia" w:ascii="微软雅黑" w:hAnsi="微软雅黑" w:eastAsia="微软雅黑" w:cs="微软雅黑"/>
          <w:color w:val="auto"/>
          <w:kern w:val="0"/>
        </w:rPr>
        <w:fldChar w:fldCharType="end"/>
      </w:r>
    </w:p>
    <w:p w14:paraId="5CD232B2">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_Toc31435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28.采购任务取消</w:t>
      </w:r>
      <w:r>
        <w:tab/>
      </w:r>
      <w:r>
        <w:fldChar w:fldCharType="begin"/>
      </w:r>
      <w:r>
        <w:instrText xml:space="preserve"> PAGEREF _Toc31435 \h </w:instrText>
      </w:r>
      <w:r>
        <w:fldChar w:fldCharType="separate"/>
      </w:r>
      <w:r>
        <w:t>13</w:t>
      </w:r>
      <w:r>
        <w:fldChar w:fldCharType="end"/>
      </w:r>
      <w:r>
        <w:rPr>
          <w:rFonts w:hint="eastAsia" w:ascii="微软雅黑" w:hAnsi="微软雅黑" w:eastAsia="微软雅黑" w:cs="微软雅黑"/>
          <w:color w:val="auto"/>
          <w:kern w:val="0"/>
        </w:rPr>
        <w:fldChar w:fldCharType="end"/>
      </w:r>
    </w:p>
    <w:p w14:paraId="1582F0CA">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_Toc8733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29.成交通知书和采购结果通知书</w:t>
      </w:r>
      <w:r>
        <w:tab/>
      </w:r>
      <w:r>
        <w:fldChar w:fldCharType="begin"/>
      </w:r>
      <w:r>
        <w:instrText xml:space="preserve"> PAGEREF _Toc8733 \h </w:instrText>
      </w:r>
      <w:r>
        <w:fldChar w:fldCharType="separate"/>
      </w:r>
      <w:r>
        <w:t>13</w:t>
      </w:r>
      <w:r>
        <w:fldChar w:fldCharType="end"/>
      </w:r>
      <w:r>
        <w:rPr>
          <w:rFonts w:hint="eastAsia" w:ascii="微软雅黑" w:hAnsi="微软雅黑" w:eastAsia="微软雅黑" w:cs="微软雅黑"/>
          <w:color w:val="auto"/>
          <w:kern w:val="0"/>
        </w:rPr>
        <w:fldChar w:fldCharType="end"/>
      </w:r>
    </w:p>
    <w:p w14:paraId="2966CAE8">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_Toc2181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30.签订合同</w:t>
      </w:r>
      <w:r>
        <w:tab/>
      </w:r>
      <w:r>
        <w:fldChar w:fldCharType="begin"/>
      </w:r>
      <w:r>
        <w:instrText xml:space="preserve"> PAGEREF _Toc2181 \h </w:instrText>
      </w:r>
      <w:r>
        <w:fldChar w:fldCharType="separate"/>
      </w:r>
      <w:r>
        <w:t>13</w:t>
      </w:r>
      <w:r>
        <w:fldChar w:fldCharType="end"/>
      </w:r>
      <w:r>
        <w:rPr>
          <w:rFonts w:hint="eastAsia" w:ascii="微软雅黑" w:hAnsi="微软雅黑" w:eastAsia="微软雅黑" w:cs="微软雅黑"/>
          <w:color w:val="auto"/>
          <w:kern w:val="0"/>
        </w:rPr>
        <w:fldChar w:fldCharType="end"/>
      </w:r>
    </w:p>
    <w:p w14:paraId="6526DEB3">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_Toc19746 </w:instrText>
      </w:r>
      <w:r>
        <w:rPr>
          <w:rFonts w:hint="eastAsia" w:ascii="微软雅黑" w:hAnsi="微软雅黑" w:eastAsia="微软雅黑" w:cs="微软雅黑"/>
          <w:kern w:val="0"/>
        </w:rPr>
        <w:fldChar w:fldCharType="separate"/>
      </w:r>
      <w:r>
        <w:rPr>
          <w:rFonts w:hint="eastAsia" w:ascii="微软雅黑" w:hAnsi="微软雅黑" w:eastAsia="微软雅黑" w:cs="微软雅黑"/>
          <w:szCs w:val="22"/>
          <w:highlight w:val="none"/>
        </w:rPr>
        <w:t>31.履约保证金</w:t>
      </w:r>
      <w:r>
        <w:tab/>
      </w:r>
      <w:r>
        <w:fldChar w:fldCharType="begin"/>
      </w:r>
      <w:r>
        <w:instrText xml:space="preserve"> PAGEREF _Toc19746 \h </w:instrText>
      </w:r>
      <w:r>
        <w:fldChar w:fldCharType="separate"/>
      </w:r>
      <w:r>
        <w:t>13</w:t>
      </w:r>
      <w:r>
        <w:fldChar w:fldCharType="end"/>
      </w:r>
      <w:r>
        <w:rPr>
          <w:rFonts w:hint="eastAsia" w:ascii="微软雅黑" w:hAnsi="微软雅黑" w:eastAsia="微软雅黑" w:cs="微软雅黑"/>
          <w:color w:val="auto"/>
          <w:kern w:val="0"/>
        </w:rPr>
        <w:fldChar w:fldCharType="end"/>
      </w:r>
    </w:p>
    <w:p w14:paraId="340AF4DE">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_Toc12542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3</w:t>
      </w:r>
      <w:r>
        <w:rPr>
          <w:rFonts w:hint="eastAsia" w:ascii="微软雅黑" w:hAnsi="微软雅黑" w:eastAsia="微软雅黑" w:cs="微软雅黑"/>
          <w:lang w:val="en-US" w:eastAsia="zh-CN"/>
        </w:rPr>
        <w:t>2</w:t>
      </w:r>
      <w:r>
        <w:rPr>
          <w:rFonts w:hint="eastAsia" w:ascii="微软雅黑" w:hAnsi="微软雅黑" w:eastAsia="微软雅黑" w:cs="微软雅黑"/>
        </w:rPr>
        <w:t>.成交服务费</w:t>
      </w:r>
      <w:r>
        <w:tab/>
      </w:r>
      <w:r>
        <w:fldChar w:fldCharType="begin"/>
      </w:r>
      <w:r>
        <w:instrText xml:space="preserve"> PAGEREF _Toc12542 \h </w:instrText>
      </w:r>
      <w:r>
        <w:fldChar w:fldCharType="separate"/>
      </w:r>
      <w:r>
        <w:t>13</w:t>
      </w:r>
      <w:r>
        <w:fldChar w:fldCharType="end"/>
      </w:r>
      <w:r>
        <w:rPr>
          <w:rFonts w:hint="eastAsia" w:ascii="微软雅黑" w:hAnsi="微软雅黑" w:eastAsia="微软雅黑" w:cs="微软雅黑"/>
          <w:color w:val="auto"/>
          <w:kern w:val="0"/>
        </w:rPr>
        <w:fldChar w:fldCharType="end"/>
      </w:r>
    </w:p>
    <w:p w14:paraId="14DA62DD">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_Toc25794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3</w:t>
      </w:r>
      <w:r>
        <w:rPr>
          <w:rFonts w:hint="eastAsia" w:ascii="微软雅黑" w:hAnsi="微软雅黑" w:eastAsia="微软雅黑" w:cs="微软雅黑"/>
          <w:lang w:val="en-US" w:eastAsia="zh-CN"/>
        </w:rPr>
        <w:t>3</w:t>
      </w:r>
      <w:r>
        <w:rPr>
          <w:rFonts w:hint="eastAsia" w:ascii="微软雅黑" w:hAnsi="微软雅黑" w:eastAsia="微软雅黑" w:cs="微软雅黑"/>
        </w:rPr>
        <w:t>.政府采购信用担保</w:t>
      </w:r>
      <w:r>
        <w:tab/>
      </w:r>
      <w:r>
        <w:fldChar w:fldCharType="begin"/>
      </w:r>
      <w:r>
        <w:instrText xml:space="preserve"> PAGEREF _Toc25794 \h </w:instrText>
      </w:r>
      <w:r>
        <w:fldChar w:fldCharType="separate"/>
      </w:r>
      <w:r>
        <w:t>14</w:t>
      </w:r>
      <w:r>
        <w:fldChar w:fldCharType="end"/>
      </w:r>
      <w:r>
        <w:rPr>
          <w:rFonts w:hint="eastAsia" w:ascii="微软雅黑" w:hAnsi="微软雅黑" w:eastAsia="微软雅黑" w:cs="微软雅黑"/>
          <w:color w:val="auto"/>
          <w:kern w:val="0"/>
        </w:rPr>
        <w:fldChar w:fldCharType="end"/>
      </w:r>
    </w:p>
    <w:p w14:paraId="0B4451BC">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_Toc3611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3</w:t>
      </w:r>
      <w:r>
        <w:rPr>
          <w:rFonts w:hint="eastAsia" w:ascii="微软雅黑" w:hAnsi="微软雅黑" w:eastAsia="微软雅黑" w:cs="微软雅黑"/>
          <w:lang w:val="en-US" w:eastAsia="zh-CN"/>
        </w:rPr>
        <w:t>4</w:t>
      </w:r>
      <w:r>
        <w:rPr>
          <w:rFonts w:hint="eastAsia" w:ascii="微软雅黑" w:hAnsi="微软雅黑" w:eastAsia="微软雅黑" w:cs="微软雅黑"/>
        </w:rPr>
        <w:t>.廉洁自律规定</w:t>
      </w:r>
      <w:r>
        <w:tab/>
      </w:r>
      <w:r>
        <w:fldChar w:fldCharType="begin"/>
      </w:r>
      <w:r>
        <w:instrText xml:space="preserve"> PAGEREF _Toc3611 \h </w:instrText>
      </w:r>
      <w:r>
        <w:fldChar w:fldCharType="separate"/>
      </w:r>
      <w:r>
        <w:t>14</w:t>
      </w:r>
      <w:r>
        <w:fldChar w:fldCharType="end"/>
      </w:r>
      <w:r>
        <w:rPr>
          <w:rFonts w:hint="eastAsia" w:ascii="微软雅黑" w:hAnsi="微软雅黑" w:eastAsia="微软雅黑" w:cs="微软雅黑"/>
          <w:color w:val="auto"/>
          <w:kern w:val="0"/>
        </w:rPr>
        <w:fldChar w:fldCharType="end"/>
      </w:r>
    </w:p>
    <w:p w14:paraId="25A3C45A">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_Toc23568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3</w:t>
      </w:r>
      <w:r>
        <w:rPr>
          <w:rFonts w:hint="eastAsia" w:ascii="微软雅黑" w:hAnsi="微软雅黑" w:eastAsia="微软雅黑" w:cs="微软雅黑"/>
          <w:lang w:val="en-US" w:eastAsia="zh-CN"/>
        </w:rPr>
        <w:t>5</w:t>
      </w:r>
      <w:r>
        <w:rPr>
          <w:rFonts w:hint="eastAsia" w:ascii="微软雅黑" w:hAnsi="微软雅黑" w:eastAsia="微软雅黑" w:cs="微软雅黑"/>
        </w:rPr>
        <w:t>.人员回避</w:t>
      </w:r>
      <w:r>
        <w:tab/>
      </w:r>
      <w:r>
        <w:fldChar w:fldCharType="begin"/>
      </w:r>
      <w:r>
        <w:instrText xml:space="preserve"> PAGEREF _Toc23568 \h </w:instrText>
      </w:r>
      <w:r>
        <w:fldChar w:fldCharType="separate"/>
      </w:r>
      <w:r>
        <w:t>14</w:t>
      </w:r>
      <w:r>
        <w:fldChar w:fldCharType="end"/>
      </w:r>
      <w:r>
        <w:rPr>
          <w:rFonts w:hint="eastAsia" w:ascii="微软雅黑" w:hAnsi="微软雅黑" w:eastAsia="微软雅黑" w:cs="微软雅黑"/>
          <w:color w:val="auto"/>
          <w:kern w:val="0"/>
        </w:rPr>
        <w:fldChar w:fldCharType="end"/>
      </w:r>
    </w:p>
    <w:p w14:paraId="488580C1">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_Toc3168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3</w:t>
      </w:r>
      <w:r>
        <w:rPr>
          <w:rFonts w:hint="eastAsia" w:ascii="微软雅黑" w:hAnsi="微软雅黑" w:eastAsia="微软雅黑" w:cs="微软雅黑"/>
          <w:lang w:val="en-US" w:eastAsia="zh-CN"/>
        </w:rPr>
        <w:t>6</w:t>
      </w:r>
      <w:r>
        <w:rPr>
          <w:rFonts w:hint="eastAsia" w:ascii="微软雅黑" w:hAnsi="微软雅黑" w:eastAsia="微软雅黑" w:cs="微软雅黑"/>
        </w:rPr>
        <w:t>.质疑与接收</w:t>
      </w:r>
      <w:r>
        <w:tab/>
      </w:r>
      <w:r>
        <w:fldChar w:fldCharType="begin"/>
      </w:r>
      <w:r>
        <w:instrText xml:space="preserve"> PAGEREF _Toc3168 \h </w:instrText>
      </w:r>
      <w:r>
        <w:fldChar w:fldCharType="separate"/>
      </w:r>
      <w:r>
        <w:t>14</w:t>
      </w:r>
      <w:r>
        <w:fldChar w:fldCharType="end"/>
      </w:r>
      <w:r>
        <w:rPr>
          <w:rFonts w:hint="eastAsia" w:ascii="微软雅黑" w:hAnsi="微软雅黑" w:eastAsia="微软雅黑" w:cs="微软雅黑"/>
          <w:color w:val="auto"/>
          <w:kern w:val="0"/>
        </w:rPr>
        <w:fldChar w:fldCharType="end"/>
      </w:r>
    </w:p>
    <w:p w14:paraId="4BF16E02">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_Toc1108 </w:instrText>
      </w:r>
      <w:r>
        <w:rPr>
          <w:rFonts w:hint="eastAsia" w:ascii="微软雅黑" w:hAnsi="微软雅黑" w:eastAsia="微软雅黑" w:cs="微软雅黑"/>
          <w:kern w:val="0"/>
        </w:rPr>
        <w:fldChar w:fldCharType="separate"/>
      </w:r>
      <w:r>
        <w:rPr>
          <w:rFonts w:hint="eastAsia" w:ascii="微软雅黑" w:hAnsi="微软雅黑" w:eastAsia="微软雅黑" w:cs="微软雅黑"/>
          <w:bCs/>
        </w:rPr>
        <w:t>质疑函范本</w:t>
      </w:r>
      <w:r>
        <w:tab/>
      </w:r>
      <w:r>
        <w:fldChar w:fldCharType="begin"/>
      </w:r>
      <w:r>
        <w:instrText xml:space="preserve"> PAGEREF _Toc1108 \h </w:instrText>
      </w:r>
      <w:r>
        <w:fldChar w:fldCharType="separate"/>
      </w:r>
      <w:r>
        <w:t>16</w:t>
      </w:r>
      <w:r>
        <w:fldChar w:fldCharType="end"/>
      </w:r>
      <w:r>
        <w:rPr>
          <w:rFonts w:hint="eastAsia" w:ascii="微软雅黑" w:hAnsi="微软雅黑" w:eastAsia="微软雅黑" w:cs="微软雅黑"/>
          <w:color w:val="auto"/>
          <w:kern w:val="0"/>
        </w:rPr>
        <w:fldChar w:fldCharType="end"/>
      </w:r>
    </w:p>
    <w:p w14:paraId="4A33F4C2">
      <w:pPr>
        <w:pStyle w:val="24"/>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_Toc15232 </w:instrText>
      </w:r>
      <w:r>
        <w:rPr>
          <w:rFonts w:hint="eastAsia" w:ascii="微软雅黑" w:hAnsi="微软雅黑" w:eastAsia="微软雅黑" w:cs="微软雅黑"/>
          <w:kern w:val="0"/>
        </w:rPr>
        <w:fldChar w:fldCharType="separate"/>
      </w:r>
      <w:r>
        <w:rPr>
          <w:rFonts w:hint="eastAsia" w:ascii="微软雅黑" w:hAnsi="微软雅黑" w:eastAsia="微软雅黑" w:cs="微软雅黑"/>
          <w:szCs w:val="24"/>
        </w:rPr>
        <w:t>第2章 响应文件格式</w:t>
      </w:r>
      <w:r>
        <w:tab/>
      </w:r>
      <w:r>
        <w:fldChar w:fldCharType="begin"/>
      </w:r>
      <w:r>
        <w:instrText xml:space="preserve"> PAGEREF _Toc15232 \h </w:instrText>
      </w:r>
      <w:r>
        <w:fldChar w:fldCharType="separate"/>
      </w:r>
      <w:r>
        <w:t>18</w:t>
      </w:r>
      <w:r>
        <w:fldChar w:fldCharType="end"/>
      </w:r>
      <w:r>
        <w:rPr>
          <w:rFonts w:hint="eastAsia" w:ascii="微软雅黑" w:hAnsi="微软雅黑" w:eastAsia="微软雅黑" w:cs="微软雅黑"/>
          <w:color w:val="auto"/>
          <w:kern w:val="0"/>
        </w:rPr>
        <w:fldChar w:fldCharType="end"/>
      </w:r>
    </w:p>
    <w:p w14:paraId="4C166D7E">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_Toc19411 </w:instrText>
      </w:r>
      <w:r>
        <w:rPr>
          <w:rFonts w:hint="eastAsia" w:ascii="微软雅黑" w:hAnsi="微软雅黑" w:eastAsia="微软雅黑" w:cs="微软雅黑"/>
          <w:kern w:val="0"/>
        </w:rPr>
        <w:fldChar w:fldCharType="separate"/>
      </w:r>
      <w:r>
        <w:rPr>
          <w:rFonts w:hint="eastAsia" w:ascii="微软雅黑" w:hAnsi="微软雅黑" w:eastAsia="微软雅黑" w:cs="微软雅黑"/>
          <w:szCs w:val="24"/>
        </w:rPr>
        <w:t>第一部分 磋商开启一览表及资格证明文件</w:t>
      </w:r>
      <w:r>
        <w:tab/>
      </w:r>
      <w:r>
        <w:fldChar w:fldCharType="begin"/>
      </w:r>
      <w:r>
        <w:instrText xml:space="preserve"> PAGEREF _Toc19411 \h </w:instrText>
      </w:r>
      <w:r>
        <w:fldChar w:fldCharType="separate"/>
      </w:r>
      <w:r>
        <w:t>18</w:t>
      </w:r>
      <w:r>
        <w:fldChar w:fldCharType="end"/>
      </w:r>
      <w:r>
        <w:rPr>
          <w:rFonts w:hint="eastAsia" w:ascii="微软雅黑" w:hAnsi="微软雅黑" w:eastAsia="微软雅黑" w:cs="微软雅黑"/>
          <w:color w:val="auto"/>
          <w:kern w:val="0"/>
        </w:rPr>
        <w:fldChar w:fldCharType="end"/>
      </w:r>
    </w:p>
    <w:p w14:paraId="62986878">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_Toc132 </w:instrText>
      </w:r>
      <w:r>
        <w:rPr>
          <w:rFonts w:hint="eastAsia" w:ascii="微软雅黑" w:hAnsi="微软雅黑" w:eastAsia="微软雅黑" w:cs="微软雅黑"/>
          <w:kern w:val="0"/>
        </w:rPr>
        <w:fldChar w:fldCharType="separate"/>
      </w:r>
      <w:r>
        <w:rPr>
          <w:rFonts w:hint="eastAsia" w:ascii="微软雅黑" w:hAnsi="微软雅黑" w:eastAsia="微软雅黑" w:cs="微软雅黑"/>
          <w:szCs w:val="24"/>
        </w:rPr>
        <w:t>1、磋商报价一览表</w:t>
      </w:r>
      <w:r>
        <w:tab/>
      </w:r>
      <w:r>
        <w:fldChar w:fldCharType="begin"/>
      </w:r>
      <w:r>
        <w:instrText xml:space="preserve"> PAGEREF _Toc132 \h </w:instrText>
      </w:r>
      <w:r>
        <w:fldChar w:fldCharType="separate"/>
      </w:r>
      <w:r>
        <w:t>19</w:t>
      </w:r>
      <w:r>
        <w:fldChar w:fldCharType="end"/>
      </w:r>
      <w:r>
        <w:rPr>
          <w:rFonts w:hint="eastAsia" w:ascii="微软雅黑" w:hAnsi="微软雅黑" w:eastAsia="微软雅黑" w:cs="微软雅黑"/>
          <w:color w:val="auto"/>
          <w:kern w:val="0"/>
        </w:rPr>
        <w:fldChar w:fldCharType="end"/>
      </w:r>
    </w:p>
    <w:p w14:paraId="380BBF11">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_Toc23528 </w:instrText>
      </w:r>
      <w:r>
        <w:rPr>
          <w:rFonts w:hint="eastAsia" w:ascii="微软雅黑" w:hAnsi="微软雅黑" w:eastAsia="微软雅黑" w:cs="微软雅黑"/>
          <w:kern w:val="0"/>
        </w:rPr>
        <w:fldChar w:fldCharType="separate"/>
      </w:r>
      <w:r>
        <w:rPr>
          <w:rFonts w:hint="eastAsia" w:ascii="微软雅黑" w:hAnsi="微软雅黑" w:eastAsia="微软雅黑" w:cs="微软雅黑"/>
          <w:bCs/>
          <w:highlight w:val="none"/>
        </w:rPr>
        <w:t>2  符合《中华人民共和国政府采购法》第二十二条的规定</w:t>
      </w:r>
      <w:r>
        <w:tab/>
      </w:r>
      <w:r>
        <w:fldChar w:fldCharType="begin"/>
      </w:r>
      <w:r>
        <w:instrText xml:space="preserve"> PAGEREF _Toc23528 \h </w:instrText>
      </w:r>
      <w:r>
        <w:fldChar w:fldCharType="separate"/>
      </w:r>
      <w:r>
        <w:t>20</w:t>
      </w:r>
      <w:r>
        <w:fldChar w:fldCharType="end"/>
      </w:r>
      <w:r>
        <w:rPr>
          <w:rFonts w:hint="eastAsia" w:ascii="微软雅黑" w:hAnsi="微软雅黑" w:eastAsia="微软雅黑" w:cs="微软雅黑"/>
          <w:color w:val="auto"/>
          <w:kern w:val="0"/>
        </w:rPr>
        <w:fldChar w:fldCharType="end"/>
      </w:r>
    </w:p>
    <w:p w14:paraId="5605D225">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_Toc7682 </w:instrText>
      </w:r>
      <w:r>
        <w:rPr>
          <w:rFonts w:hint="eastAsia" w:ascii="微软雅黑" w:hAnsi="微软雅黑" w:eastAsia="微软雅黑" w:cs="微软雅黑"/>
          <w:kern w:val="0"/>
        </w:rPr>
        <w:fldChar w:fldCharType="separate"/>
      </w:r>
      <w:r>
        <w:rPr>
          <w:rFonts w:hint="eastAsia" w:ascii="微软雅黑" w:hAnsi="微软雅黑" w:eastAsia="微软雅黑" w:cs="微软雅黑"/>
          <w:kern w:val="0"/>
          <w:lang w:val="en-US" w:eastAsia="zh-CN"/>
        </w:rPr>
        <w:t>3</w:t>
      </w:r>
      <w:r>
        <w:rPr>
          <w:rFonts w:hint="eastAsia" w:ascii="微软雅黑" w:hAnsi="微软雅黑" w:eastAsia="微软雅黑" w:cs="微软雅黑"/>
          <w:kern w:val="0"/>
        </w:rPr>
        <w:t>、缴纳磋商保证金有效凭证；</w:t>
      </w:r>
      <w:r>
        <w:tab/>
      </w:r>
      <w:r>
        <w:fldChar w:fldCharType="begin"/>
      </w:r>
      <w:r>
        <w:instrText xml:space="preserve"> PAGEREF _Toc7682 \h </w:instrText>
      </w:r>
      <w:r>
        <w:fldChar w:fldCharType="separate"/>
      </w:r>
      <w:r>
        <w:t>24</w:t>
      </w:r>
      <w:r>
        <w:fldChar w:fldCharType="end"/>
      </w:r>
      <w:r>
        <w:rPr>
          <w:rFonts w:hint="eastAsia" w:ascii="微软雅黑" w:hAnsi="微软雅黑" w:eastAsia="微软雅黑" w:cs="微软雅黑"/>
          <w:color w:val="auto"/>
          <w:kern w:val="0"/>
        </w:rPr>
        <w:fldChar w:fldCharType="end"/>
      </w:r>
    </w:p>
    <w:p w14:paraId="3A92DD11">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_Toc22738 </w:instrText>
      </w:r>
      <w:r>
        <w:rPr>
          <w:rFonts w:hint="eastAsia" w:ascii="微软雅黑" w:hAnsi="微软雅黑" w:eastAsia="微软雅黑" w:cs="微软雅黑"/>
          <w:kern w:val="0"/>
        </w:rPr>
        <w:fldChar w:fldCharType="separate"/>
      </w:r>
      <w:r>
        <w:rPr>
          <w:rFonts w:hint="eastAsia" w:ascii="微软雅黑" w:hAnsi="微软雅黑" w:eastAsia="微软雅黑" w:cs="微软雅黑"/>
          <w:szCs w:val="24"/>
        </w:rPr>
        <w:t>第二部分  商务及技术文件</w:t>
      </w:r>
      <w:r>
        <w:tab/>
      </w:r>
      <w:r>
        <w:fldChar w:fldCharType="begin"/>
      </w:r>
      <w:r>
        <w:instrText xml:space="preserve"> PAGEREF _Toc22738 \h </w:instrText>
      </w:r>
      <w:r>
        <w:fldChar w:fldCharType="separate"/>
      </w:r>
      <w:r>
        <w:t>25</w:t>
      </w:r>
      <w:r>
        <w:fldChar w:fldCharType="end"/>
      </w:r>
      <w:r>
        <w:rPr>
          <w:rFonts w:hint="eastAsia" w:ascii="微软雅黑" w:hAnsi="微软雅黑" w:eastAsia="微软雅黑" w:cs="微软雅黑"/>
          <w:color w:val="auto"/>
          <w:kern w:val="0"/>
        </w:rPr>
        <w:fldChar w:fldCharType="end"/>
      </w:r>
    </w:p>
    <w:p w14:paraId="41AFB4EB">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_Toc27453 </w:instrText>
      </w:r>
      <w:r>
        <w:rPr>
          <w:rFonts w:hint="eastAsia" w:ascii="微软雅黑" w:hAnsi="微软雅黑" w:eastAsia="微软雅黑" w:cs="微软雅黑"/>
          <w:kern w:val="0"/>
        </w:rPr>
        <w:fldChar w:fldCharType="separate"/>
      </w:r>
      <w:r>
        <w:rPr>
          <w:rFonts w:hint="eastAsia" w:ascii="微软雅黑" w:hAnsi="微软雅黑" w:eastAsia="微软雅黑" w:cs="微软雅黑"/>
          <w:szCs w:val="24"/>
        </w:rPr>
        <w:t>1 、磋商书</w:t>
      </w:r>
      <w:r>
        <w:tab/>
      </w:r>
      <w:r>
        <w:fldChar w:fldCharType="begin"/>
      </w:r>
      <w:r>
        <w:instrText xml:space="preserve"> PAGEREF _Toc27453 \h </w:instrText>
      </w:r>
      <w:r>
        <w:fldChar w:fldCharType="separate"/>
      </w:r>
      <w:r>
        <w:t>26</w:t>
      </w:r>
      <w:r>
        <w:fldChar w:fldCharType="end"/>
      </w:r>
      <w:r>
        <w:rPr>
          <w:rFonts w:hint="eastAsia" w:ascii="微软雅黑" w:hAnsi="微软雅黑" w:eastAsia="微软雅黑" w:cs="微软雅黑"/>
          <w:color w:val="auto"/>
          <w:kern w:val="0"/>
        </w:rPr>
        <w:fldChar w:fldCharType="end"/>
      </w:r>
    </w:p>
    <w:p w14:paraId="6D91699E">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_Toc22742 </w:instrText>
      </w:r>
      <w:r>
        <w:rPr>
          <w:rFonts w:hint="eastAsia" w:ascii="微软雅黑" w:hAnsi="微软雅黑" w:eastAsia="微软雅黑" w:cs="微软雅黑"/>
          <w:kern w:val="0"/>
        </w:rPr>
        <w:fldChar w:fldCharType="separate"/>
      </w:r>
      <w:r>
        <w:rPr>
          <w:rFonts w:hint="eastAsia" w:ascii="微软雅黑" w:hAnsi="微软雅黑" w:eastAsia="微软雅黑" w:cs="微软雅黑"/>
          <w:szCs w:val="24"/>
        </w:rPr>
        <w:t>2 、</w:t>
      </w:r>
      <w:r>
        <w:rPr>
          <w:rFonts w:hint="eastAsia" w:ascii="微软雅黑" w:hAnsi="微软雅黑" w:eastAsia="微软雅黑" w:cs="微软雅黑"/>
          <w:bCs/>
          <w:szCs w:val="24"/>
        </w:rPr>
        <w:t>磋商分项报价表</w:t>
      </w:r>
      <w:r>
        <w:tab/>
      </w:r>
      <w:r>
        <w:fldChar w:fldCharType="begin"/>
      </w:r>
      <w:r>
        <w:instrText xml:space="preserve"> PAGEREF _Toc22742 \h </w:instrText>
      </w:r>
      <w:r>
        <w:fldChar w:fldCharType="separate"/>
      </w:r>
      <w:r>
        <w:t>27</w:t>
      </w:r>
      <w:r>
        <w:fldChar w:fldCharType="end"/>
      </w:r>
      <w:r>
        <w:rPr>
          <w:rFonts w:hint="eastAsia" w:ascii="微软雅黑" w:hAnsi="微软雅黑" w:eastAsia="微软雅黑" w:cs="微软雅黑"/>
          <w:color w:val="auto"/>
          <w:kern w:val="0"/>
        </w:rPr>
        <w:fldChar w:fldCharType="end"/>
      </w:r>
    </w:p>
    <w:p w14:paraId="529FDFC4">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_Toc6446 </w:instrText>
      </w:r>
      <w:r>
        <w:rPr>
          <w:rFonts w:hint="eastAsia" w:ascii="微软雅黑" w:hAnsi="微软雅黑" w:eastAsia="微软雅黑" w:cs="微软雅黑"/>
          <w:kern w:val="0"/>
        </w:rPr>
        <w:fldChar w:fldCharType="separate"/>
      </w:r>
      <w:r>
        <w:rPr>
          <w:rFonts w:hint="eastAsia" w:ascii="微软雅黑" w:hAnsi="微软雅黑" w:eastAsia="微软雅黑" w:cs="微软雅黑"/>
          <w:kern w:val="0"/>
        </w:rPr>
        <w:t>3、服务说明一览表</w:t>
      </w:r>
      <w:r>
        <w:tab/>
      </w:r>
      <w:r>
        <w:fldChar w:fldCharType="begin"/>
      </w:r>
      <w:r>
        <w:instrText xml:space="preserve"> PAGEREF _Toc6446 \h </w:instrText>
      </w:r>
      <w:r>
        <w:fldChar w:fldCharType="separate"/>
      </w:r>
      <w:r>
        <w:t>28</w:t>
      </w:r>
      <w:r>
        <w:fldChar w:fldCharType="end"/>
      </w:r>
      <w:r>
        <w:rPr>
          <w:rFonts w:hint="eastAsia" w:ascii="微软雅黑" w:hAnsi="微软雅黑" w:eastAsia="微软雅黑" w:cs="微软雅黑"/>
          <w:color w:val="auto"/>
          <w:kern w:val="0"/>
        </w:rPr>
        <w:fldChar w:fldCharType="end"/>
      </w:r>
    </w:p>
    <w:p w14:paraId="342C7FA2">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_Toc5553 </w:instrText>
      </w:r>
      <w:r>
        <w:rPr>
          <w:rFonts w:hint="eastAsia" w:ascii="微软雅黑" w:hAnsi="微软雅黑" w:eastAsia="微软雅黑" w:cs="微软雅黑"/>
          <w:kern w:val="0"/>
        </w:rPr>
        <w:fldChar w:fldCharType="separate"/>
      </w:r>
      <w:r>
        <w:rPr>
          <w:rFonts w:hint="eastAsia" w:ascii="微软雅黑" w:hAnsi="微软雅黑" w:eastAsia="微软雅黑" w:cs="微软雅黑"/>
          <w:bCs/>
          <w:szCs w:val="24"/>
          <w:lang w:val="en-US" w:eastAsia="zh-CN"/>
        </w:rPr>
        <w:t>4、</w:t>
      </w:r>
      <w:r>
        <w:rPr>
          <w:rFonts w:hint="eastAsia" w:ascii="微软雅黑" w:hAnsi="微软雅黑" w:eastAsia="微软雅黑" w:cs="微软雅黑"/>
          <w:bCs/>
          <w:szCs w:val="24"/>
        </w:rPr>
        <w:t>商务条款偏离表</w:t>
      </w:r>
      <w:r>
        <w:tab/>
      </w:r>
      <w:r>
        <w:fldChar w:fldCharType="begin"/>
      </w:r>
      <w:r>
        <w:instrText xml:space="preserve"> PAGEREF _Toc5553 \h </w:instrText>
      </w:r>
      <w:r>
        <w:fldChar w:fldCharType="separate"/>
      </w:r>
      <w:r>
        <w:t>29</w:t>
      </w:r>
      <w:r>
        <w:fldChar w:fldCharType="end"/>
      </w:r>
      <w:r>
        <w:rPr>
          <w:rFonts w:hint="eastAsia" w:ascii="微软雅黑" w:hAnsi="微软雅黑" w:eastAsia="微软雅黑" w:cs="微软雅黑"/>
          <w:color w:val="auto"/>
          <w:kern w:val="0"/>
        </w:rPr>
        <w:fldChar w:fldCharType="end"/>
      </w:r>
    </w:p>
    <w:p w14:paraId="43917B65">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_Toc7348 </w:instrText>
      </w:r>
      <w:r>
        <w:rPr>
          <w:rFonts w:hint="eastAsia" w:ascii="微软雅黑" w:hAnsi="微软雅黑" w:eastAsia="微软雅黑" w:cs="微软雅黑"/>
          <w:kern w:val="0"/>
        </w:rPr>
        <w:fldChar w:fldCharType="separate"/>
      </w:r>
      <w:r>
        <w:rPr>
          <w:rFonts w:hint="eastAsia" w:ascii="微软雅黑" w:hAnsi="微软雅黑" w:eastAsia="微软雅黑" w:cs="微软雅黑"/>
          <w:bCs w:val="0"/>
          <w:lang w:val="en-US"/>
        </w:rPr>
        <w:t>5、</w:t>
      </w:r>
      <w:r>
        <w:rPr>
          <w:rFonts w:hint="eastAsia" w:ascii="微软雅黑" w:hAnsi="微软雅黑" w:eastAsia="微软雅黑" w:cs="微软雅黑"/>
          <w:bCs w:val="0"/>
        </w:rPr>
        <w:t>中小企业声明函（服务）</w:t>
      </w:r>
      <w:r>
        <w:tab/>
      </w:r>
      <w:r>
        <w:fldChar w:fldCharType="begin"/>
      </w:r>
      <w:r>
        <w:instrText xml:space="preserve"> PAGEREF _Toc7348 \h </w:instrText>
      </w:r>
      <w:r>
        <w:fldChar w:fldCharType="separate"/>
      </w:r>
      <w:r>
        <w:t>30</w:t>
      </w:r>
      <w:r>
        <w:fldChar w:fldCharType="end"/>
      </w:r>
      <w:r>
        <w:rPr>
          <w:rFonts w:hint="eastAsia" w:ascii="微软雅黑" w:hAnsi="微软雅黑" w:eastAsia="微软雅黑" w:cs="微软雅黑"/>
          <w:color w:val="auto"/>
          <w:kern w:val="0"/>
        </w:rPr>
        <w:fldChar w:fldCharType="end"/>
      </w:r>
    </w:p>
    <w:p w14:paraId="3B663EED">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_Toc12917 </w:instrText>
      </w:r>
      <w:r>
        <w:rPr>
          <w:rFonts w:hint="eastAsia" w:ascii="微软雅黑" w:hAnsi="微软雅黑" w:eastAsia="微软雅黑" w:cs="微软雅黑"/>
          <w:kern w:val="0"/>
        </w:rPr>
        <w:fldChar w:fldCharType="separate"/>
      </w:r>
      <w:r>
        <w:rPr>
          <w:rFonts w:hint="eastAsia" w:ascii="微软雅黑" w:hAnsi="微软雅黑" w:eastAsia="微软雅黑" w:cs="微软雅黑"/>
          <w:bCs/>
          <w:lang w:val="en-US" w:eastAsia="zh-CN"/>
        </w:rPr>
        <w:t>6、</w:t>
      </w:r>
      <w:r>
        <w:rPr>
          <w:rFonts w:hint="eastAsia" w:ascii="微软雅黑" w:hAnsi="微软雅黑" w:eastAsia="微软雅黑" w:cs="微软雅黑"/>
          <w:bCs/>
        </w:rPr>
        <w:t>残疾人福利性单位声明函</w:t>
      </w:r>
      <w:r>
        <w:tab/>
      </w:r>
      <w:r>
        <w:fldChar w:fldCharType="begin"/>
      </w:r>
      <w:r>
        <w:instrText xml:space="preserve"> PAGEREF _Toc12917 \h </w:instrText>
      </w:r>
      <w:r>
        <w:fldChar w:fldCharType="separate"/>
      </w:r>
      <w:r>
        <w:t>34</w:t>
      </w:r>
      <w:r>
        <w:fldChar w:fldCharType="end"/>
      </w:r>
      <w:r>
        <w:rPr>
          <w:rFonts w:hint="eastAsia" w:ascii="微软雅黑" w:hAnsi="微软雅黑" w:eastAsia="微软雅黑" w:cs="微软雅黑"/>
          <w:color w:val="auto"/>
          <w:kern w:val="0"/>
        </w:rPr>
        <w:fldChar w:fldCharType="end"/>
      </w:r>
    </w:p>
    <w:p w14:paraId="604B4706">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_Toc20362 </w:instrText>
      </w:r>
      <w:r>
        <w:rPr>
          <w:rFonts w:hint="eastAsia" w:ascii="微软雅黑" w:hAnsi="微软雅黑" w:eastAsia="微软雅黑" w:cs="微软雅黑"/>
          <w:kern w:val="0"/>
        </w:rPr>
        <w:fldChar w:fldCharType="separate"/>
      </w:r>
      <w:r>
        <w:rPr>
          <w:rFonts w:hint="eastAsia" w:ascii="微软雅黑" w:hAnsi="微软雅黑" w:eastAsia="微软雅黑" w:cs="微软雅黑"/>
          <w:bCs/>
          <w:kern w:val="2"/>
          <w:szCs w:val="21"/>
          <w:lang w:val="en-US" w:eastAsia="zh-CN"/>
        </w:rPr>
        <w:t>7、</w:t>
      </w:r>
      <w:r>
        <w:rPr>
          <w:rFonts w:hint="eastAsia" w:ascii="微软雅黑" w:hAnsi="微软雅黑" w:eastAsia="微软雅黑" w:cs="微软雅黑"/>
          <w:bCs/>
          <w:kern w:val="2"/>
          <w:szCs w:val="21"/>
        </w:rPr>
        <w:t>供应商关联单位的说明</w:t>
      </w:r>
      <w:r>
        <w:tab/>
      </w:r>
      <w:r>
        <w:fldChar w:fldCharType="begin"/>
      </w:r>
      <w:r>
        <w:instrText xml:space="preserve"> PAGEREF _Toc20362 \h </w:instrText>
      </w:r>
      <w:r>
        <w:fldChar w:fldCharType="separate"/>
      </w:r>
      <w:r>
        <w:t>35</w:t>
      </w:r>
      <w:r>
        <w:fldChar w:fldCharType="end"/>
      </w:r>
      <w:r>
        <w:rPr>
          <w:rFonts w:hint="eastAsia" w:ascii="微软雅黑" w:hAnsi="微软雅黑" w:eastAsia="微软雅黑" w:cs="微软雅黑"/>
          <w:color w:val="auto"/>
          <w:kern w:val="0"/>
        </w:rPr>
        <w:fldChar w:fldCharType="end"/>
      </w:r>
    </w:p>
    <w:p w14:paraId="299E8D45">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_Toc305 </w:instrText>
      </w:r>
      <w:r>
        <w:rPr>
          <w:rFonts w:hint="eastAsia" w:ascii="微软雅黑" w:hAnsi="微软雅黑" w:eastAsia="微软雅黑" w:cs="微软雅黑"/>
          <w:kern w:val="0"/>
        </w:rPr>
        <w:fldChar w:fldCharType="separate"/>
      </w:r>
      <w:r>
        <w:rPr>
          <w:rFonts w:hint="eastAsia" w:ascii="微软雅黑" w:hAnsi="微软雅黑" w:eastAsia="微软雅黑" w:cs="微软雅黑"/>
          <w:bCs/>
          <w:kern w:val="2"/>
          <w:szCs w:val="21"/>
          <w:lang w:val="en-US" w:eastAsia="zh-CN"/>
        </w:rPr>
        <w:t>8、</w:t>
      </w:r>
      <w:r>
        <w:rPr>
          <w:rFonts w:hint="eastAsia" w:ascii="微软雅黑" w:hAnsi="微软雅黑" w:eastAsia="微软雅黑" w:cs="微软雅黑"/>
          <w:bCs/>
          <w:kern w:val="2"/>
          <w:szCs w:val="21"/>
        </w:rPr>
        <w:t>供应商可提供有利于投标的其他资格证明材料</w:t>
      </w:r>
      <w:r>
        <w:tab/>
      </w:r>
      <w:r>
        <w:fldChar w:fldCharType="begin"/>
      </w:r>
      <w:r>
        <w:instrText xml:space="preserve"> PAGEREF _Toc305 \h </w:instrText>
      </w:r>
      <w:r>
        <w:fldChar w:fldCharType="separate"/>
      </w:r>
      <w:r>
        <w:t>35</w:t>
      </w:r>
      <w:r>
        <w:fldChar w:fldCharType="end"/>
      </w:r>
      <w:r>
        <w:rPr>
          <w:rFonts w:hint="eastAsia" w:ascii="微软雅黑" w:hAnsi="微软雅黑" w:eastAsia="微软雅黑" w:cs="微软雅黑"/>
          <w:color w:val="auto"/>
          <w:kern w:val="0"/>
        </w:rPr>
        <w:fldChar w:fldCharType="end"/>
      </w:r>
    </w:p>
    <w:p w14:paraId="4C6F2578">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_Toc9655 </w:instrText>
      </w:r>
      <w:r>
        <w:rPr>
          <w:rFonts w:hint="eastAsia" w:ascii="微软雅黑" w:hAnsi="微软雅黑" w:eastAsia="微软雅黑" w:cs="微软雅黑"/>
          <w:kern w:val="0"/>
        </w:rPr>
        <w:fldChar w:fldCharType="separate"/>
      </w:r>
      <w:r>
        <w:rPr>
          <w:rFonts w:hint="eastAsia" w:ascii="微软雅黑" w:hAnsi="微软雅黑" w:eastAsia="微软雅黑" w:cs="微软雅黑"/>
          <w:kern w:val="0"/>
          <w:szCs w:val="20"/>
          <w:lang w:val="en-US" w:eastAsia="zh-CN"/>
        </w:rPr>
        <w:t>9</w:t>
      </w:r>
      <w:r>
        <w:rPr>
          <w:rFonts w:hint="eastAsia" w:ascii="微软雅黑" w:hAnsi="微软雅黑" w:eastAsia="微软雅黑" w:cs="微软雅黑"/>
          <w:kern w:val="0"/>
          <w:szCs w:val="20"/>
        </w:rPr>
        <w:t>、响应文件格式范本</w:t>
      </w:r>
      <w:r>
        <w:tab/>
      </w:r>
      <w:r>
        <w:fldChar w:fldCharType="begin"/>
      </w:r>
      <w:r>
        <w:instrText xml:space="preserve"> PAGEREF _Toc9655 \h </w:instrText>
      </w:r>
      <w:r>
        <w:fldChar w:fldCharType="separate"/>
      </w:r>
      <w:r>
        <w:t>36</w:t>
      </w:r>
      <w:r>
        <w:fldChar w:fldCharType="end"/>
      </w:r>
      <w:r>
        <w:rPr>
          <w:rFonts w:hint="eastAsia" w:ascii="微软雅黑" w:hAnsi="微软雅黑" w:eastAsia="微软雅黑" w:cs="微软雅黑"/>
          <w:color w:val="auto"/>
          <w:kern w:val="0"/>
        </w:rPr>
        <w:fldChar w:fldCharType="end"/>
      </w:r>
    </w:p>
    <w:p w14:paraId="04D987A5">
      <w:pPr>
        <w:pStyle w:val="24"/>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_Toc20261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第3章 磋商邀请</w:t>
      </w:r>
      <w:r>
        <w:tab/>
      </w:r>
      <w:r>
        <w:fldChar w:fldCharType="begin"/>
      </w:r>
      <w:r>
        <w:instrText xml:space="preserve"> PAGEREF _Toc20261 \h </w:instrText>
      </w:r>
      <w:r>
        <w:fldChar w:fldCharType="separate"/>
      </w:r>
      <w:r>
        <w:t>38</w:t>
      </w:r>
      <w:r>
        <w:fldChar w:fldCharType="end"/>
      </w:r>
      <w:r>
        <w:rPr>
          <w:rFonts w:hint="eastAsia" w:ascii="微软雅黑" w:hAnsi="微软雅黑" w:eastAsia="微软雅黑" w:cs="微软雅黑"/>
          <w:color w:val="auto"/>
          <w:kern w:val="0"/>
        </w:rPr>
        <w:fldChar w:fldCharType="end"/>
      </w:r>
    </w:p>
    <w:p w14:paraId="251566D8">
      <w:pPr>
        <w:pStyle w:val="24"/>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_Toc903 </w:instrText>
      </w:r>
      <w:r>
        <w:rPr>
          <w:rFonts w:hint="eastAsia" w:ascii="微软雅黑" w:hAnsi="微软雅黑" w:eastAsia="微软雅黑" w:cs="微软雅黑"/>
          <w:kern w:val="0"/>
        </w:rPr>
        <w:fldChar w:fldCharType="separate"/>
      </w:r>
      <w:r>
        <w:rPr>
          <w:rFonts w:hint="eastAsia" w:ascii="微软雅黑" w:hAnsi="微软雅黑" w:eastAsia="微软雅黑" w:cs="微软雅黑"/>
          <w:szCs w:val="32"/>
        </w:rPr>
        <w:t>第4章  供应商须知资料表</w:t>
      </w:r>
      <w:r>
        <w:tab/>
      </w:r>
      <w:r>
        <w:fldChar w:fldCharType="begin"/>
      </w:r>
      <w:r>
        <w:instrText xml:space="preserve"> PAGEREF _Toc903 \h </w:instrText>
      </w:r>
      <w:r>
        <w:fldChar w:fldCharType="separate"/>
      </w:r>
      <w:r>
        <w:t>42</w:t>
      </w:r>
      <w:r>
        <w:fldChar w:fldCharType="end"/>
      </w:r>
      <w:r>
        <w:rPr>
          <w:rFonts w:hint="eastAsia" w:ascii="微软雅黑" w:hAnsi="微软雅黑" w:eastAsia="微软雅黑" w:cs="微软雅黑"/>
          <w:color w:val="auto"/>
          <w:kern w:val="0"/>
        </w:rPr>
        <w:fldChar w:fldCharType="end"/>
      </w:r>
    </w:p>
    <w:p w14:paraId="4FE44295">
      <w:pPr>
        <w:pStyle w:val="24"/>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_Toc13137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第5章</w:t>
      </w:r>
      <w:r>
        <w:rPr>
          <w:rFonts w:hint="eastAsia" w:ascii="微软雅黑" w:hAnsi="微软雅黑" w:eastAsia="微软雅黑" w:cs="微软雅黑"/>
          <w:lang w:val="en-US" w:eastAsia="zh-CN"/>
        </w:rPr>
        <w:t xml:space="preserve">  </w:t>
      </w:r>
      <w:r>
        <w:rPr>
          <w:rFonts w:hint="eastAsia" w:ascii="微软雅黑" w:hAnsi="微软雅黑" w:eastAsia="微软雅黑" w:cs="微软雅黑"/>
        </w:rPr>
        <w:t>服务内容及项目需求</w:t>
      </w:r>
      <w:r>
        <w:tab/>
      </w:r>
      <w:r>
        <w:fldChar w:fldCharType="begin"/>
      </w:r>
      <w:r>
        <w:instrText xml:space="preserve"> PAGEREF _Toc13137 \h </w:instrText>
      </w:r>
      <w:r>
        <w:fldChar w:fldCharType="separate"/>
      </w:r>
      <w:r>
        <w:t>47</w:t>
      </w:r>
      <w:r>
        <w:fldChar w:fldCharType="end"/>
      </w:r>
      <w:r>
        <w:rPr>
          <w:rFonts w:hint="eastAsia" w:ascii="微软雅黑" w:hAnsi="微软雅黑" w:eastAsia="微软雅黑" w:cs="微软雅黑"/>
          <w:color w:val="auto"/>
          <w:kern w:val="0"/>
        </w:rPr>
        <w:fldChar w:fldCharType="end"/>
      </w:r>
    </w:p>
    <w:p w14:paraId="750759AD">
      <w:pPr>
        <w:pStyle w:val="24"/>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_Toc24660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第6章 评审方法和标准</w:t>
      </w:r>
      <w:r>
        <w:tab/>
      </w:r>
      <w:r>
        <w:fldChar w:fldCharType="begin"/>
      </w:r>
      <w:r>
        <w:instrText xml:space="preserve"> PAGEREF _Toc24660 \h </w:instrText>
      </w:r>
      <w:r>
        <w:fldChar w:fldCharType="separate"/>
      </w:r>
      <w:r>
        <w:t>55</w:t>
      </w:r>
      <w:r>
        <w:fldChar w:fldCharType="end"/>
      </w:r>
      <w:r>
        <w:rPr>
          <w:rFonts w:hint="eastAsia" w:ascii="微软雅黑" w:hAnsi="微软雅黑" w:eastAsia="微软雅黑" w:cs="微软雅黑"/>
          <w:color w:val="auto"/>
          <w:kern w:val="0"/>
        </w:rPr>
        <w:fldChar w:fldCharType="end"/>
      </w:r>
    </w:p>
    <w:p w14:paraId="7650F63C">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_Toc31379 </w:instrText>
      </w:r>
      <w:r>
        <w:rPr>
          <w:rFonts w:hint="eastAsia" w:ascii="微软雅黑" w:hAnsi="微软雅黑" w:eastAsia="微软雅黑" w:cs="微软雅黑"/>
          <w:kern w:val="0"/>
        </w:rPr>
        <w:fldChar w:fldCharType="separate"/>
      </w:r>
      <w:r>
        <w:rPr>
          <w:rFonts w:hint="eastAsia" w:ascii="微软雅黑" w:hAnsi="微软雅黑" w:eastAsia="微软雅黑" w:cs="微软雅黑"/>
          <w:bCs/>
        </w:rPr>
        <w:t>初步评审—资格性审查表</w:t>
      </w:r>
      <w:r>
        <w:tab/>
      </w:r>
      <w:r>
        <w:fldChar w:fldCharType="begin"/>
      </w:r>
      <w:r>
        <w:instrText xml:space="preserve"> PAGEREF _Toc31379 \h </w:instrText>
      </w:r>
      <w:r>
        <w:fldChar w:fldCharType="separate"/>
      </w:r>
      <w:r>
        <w:t>64</w:t>
      </w:r>
      <w:r>
        <w:fldChar w:fldCharType="end"/>
      </w:r>
      <w:r>
        <w:rPr>
          <w:rFonts w:hint="eastAsia" w:ascii="微软雅黑" w:hAnsi="微软雅黑" w:eastAsia="微软雅黑" w:cs="微软雅黑"/>
          <w:color w:val="auto"/>
          <w:kern w:val="0"/>
        </w:rPr>
        <w:fldChar w:fldCharType="end"/>
      </w:r>
    </w:p>
    <w:p w14:paraId="58FA6160">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_Toc1201 </w:instrText>
      </w:r>
      <w:r>
        <w:rPr>
          <w:rFonts w:hint="eastAsia" w:ascii="微软雅黑" w:hAnsi="微软雅黑" w:eastAsia="微软雅黑" w:cs="微软雅黑"/>
          <w:kern w:val="0"/>
        </w:rPr>
        <w:fldChar w:fldCharType="separate"/>
      </w:r>
      <w:r>
        <w:rPr>
          <w:rFonts w:hint="eastAsia" w:ascii="微软雅黑" w:hAnsi="微软雅黑" w:eastAsia="微软雅黑" w:cs="微软雅黑"/>
          <w:szCs w:val="28"/>
        </w:rPr>
        <w:t>初步评审—符合性审查表</w:t>
      </w:r>
      <w:r>
        <w:tab/>
      </w:r>
      <w:r>
        <w:fldChar w:fldCharType="begin"/>
      </w:r>
      <w:r>
        <w:instrText xml:space="preserve"> PAGEREF _Toc1201 \h </w:instrText>
      </w:r>
      <w:r>
        <w:fldChar w:fldCharType="separate"/>
      </w:r>
      <w:r>
        <w:t>65</w:t>
      </w:r>
      <w:r>
        <w:fldChar w:fldCharType="end"/>
      </w:r>
      <w:r>
        <w:rPr>
          <w:rFonts w:hint="eastAsia" w:ascii="微软雅黑" w:hAnsi="微软雅黑" w:eastAsia="微软雅黑" w:cs="微软雅黑"/>
          <w:color w:val="auto"/>
          <w:kern w:val="0"/>
        </w:rPr>
        <w:fldChar w:fldCharType="end"/>
      </w:r>
    </w:p>
    <w:p w14:paraId="5E3A5BCB">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_Toc26042 </w:instrText>
      </w:r>
      <w:r>
        <w:rPr>
          <w:rFonts w:hint="eastAsia" w:ascii="微软雅黑" w:hAnsi="微软雅黑" w:eastAsia="微软雅黑" w:cs="微软雅黑"/>
          <w:kern w:val="0"/>
        </w:rPr>
        <w:fldChar w:fldCharType="separate"/>
      </w:r>
      <w:r>
        <w:rPr>
          <w:rFonts w:hint="eastAsia" w:ascii="微软雅黑" w:hAnsi="微软雅黑" w:eastAsia="微软雅黑" w:cs="微软雅黑"/>
          <w:szCs w:val="28"/>
        </w:rPr>
        <w:t>综合评分表</w:t>
      </w:r>
      <w:r>
        <w:tab/>
      </w:r>
      <w:r>
        <w:fldChar w:fldCharType="begin"/>
      </w:r>
      <w:r>
        <w:instrText xml:space="preserve"> PAGEREF _Toc26042 \h </w:instrText>
      </w:r>
      <w:r>
        <w:fldChar w:fldCharType="separate"/>
      </w:r>
      <w:r>
        <w:t>68</w:t>
      </w:r>
      <w:r>
        <w:fldChar w:fldCharType="end"/>
      </w:r>
      <w:r>
        <w:rPr>
          <w:rFonts w:hint="eastAsia" w:ascii="微软雅黑" w:hAnsi="微软雅黑" w:eastAsia="微软雅黑" w:cs="微软雅黑"/>
          <w:color w:val="auto"/>
          <w:kern w:val="0"/>
        </w:rPr>
        <w:fldChar w:fldCharType="end"/>
      </w:r>
    </w:p>
    <w:p w14:paraId="26BA0AA5">
      <w:pPr>
        <w:pStyle w:val="24"/>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_Toc26279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第7章  政府采购合同</w:t>
      </w:r>
      <w:r>
        <w:tab/>
      </w:r>
      <w:r>
        <w:fldChar w:fldCharType="begin"/>
      </w:r>
      <w:r>
        <w:instrText xml:space="preserve"> PAGEREF _Toc26279 \h </w:instrText>
      </w:r>
      <w:r>
        <w:fldChar w:fldCharType="separate"/>
      </w:r>
      <w:r>
        <w:t>71</w:t>
      </w:r>
      <w:r>
        <w:fldChar w:fldCharType="end"/>
      </w:r>
      <w:r>
        <w:rPr>
          <w:rFonts w:hint="eastAsia" w:ascii="微软雅黑" w:hAnsi="微软雅黑" w:eastAsia="微软雅黑" w:cs="微软雅黑"/>
          <w:color w:val="auto"/>
          <w:kern w:val="0"/>
        </w:rPr>
        <w:fldChar w:fldCharType="end"/>
      </w:r>
    </w:p>
    <w:p w14:paraId="6A1E385D">
      <w:pPr>
        <w:pStyle w:val="24"/>
        <w:tabs>
          <w:tab w:val="right" w:leader="dot" w:pos="9745"/>
        </w:tabs>
      </w:pPr>
    </w:p>
    <w:p w14:paraId="075C3ED6">
      <w:pPr>
        <w:pStyle w:val="24"/>
        <w:tabs>
          <w:tab w:val="right" w:leader="dot" w:pos="9745"/>
        </w:tabs>
      </w:pPr>
    </w:p>
    <w:p w14:paraId="43CF8892">
      <w:pPr>
        <w:pStyle w:val="24"/>
        <w:tabs>
          <w:tab w:val="right" w:leader="dot" w:pos="9745"/>
        </w:tabs>
      </w:pPr>
    </w:p>
    <w:p w14:paraId="3EE34B37">
      <w:pPr>
        <w:tabs>
          <w:tab w:val="left" w:pos="0"/>
        </w:tabs>
        <w:snapToGrid w:val="0"/>
        <w:spacing w:line="360" w:lineRule="exact"/>
        <w:textAlignment w:val="baseline"/>
        <w:rPr>
          <w:rFonts w:ascii="微软雅黑" w:hAnsi="微软雅黑" w:eastAsia="微软雅黑" w:cs="微软雅黑"/>
          <w:color w:val="auto"/>
          <w:kern w:val="0"/>
        </w:rPr>
      </w:pPr>
      <w:r>
        <w:rPr>
          <w:rFonts w:hint="eastAsia" w:ascii="微软雅黑" w:hAnsi="微软雅黑" w:eastAsia="微软雅黑" w:cs="微软雅黑"/>
          <w:color w:val="auto"/>
          <w:kern w:val="0"/>
        </w:rPr>
        <w:fldChar w:fldCharType="end"/>
      </w:r>
      <w:bookmarkStart w:id="0" w:name="_Toc518923059"/>
      <w:bookmarkStart w:id="1" w:name="_Toc10715352"/>
      <w:bookmarkStart w:id="2" w:name="_Toc1462"/>
    </w:p>
    <w:p w14:paraId="2ED7D4A8">
      <w:pPr>
        <w:pStyle w:val="7"/>
        <w:rPr>
          <w:rFonts w:ascii="微软雅黑" w:hAnsi="微软雅黑" w:eastAsia="微软雅黑" w:cs="微软雅黑"/>
          <w:color w:val="auto"/>
          <w:szCs w:val="24"/>
        </w:rPr>
      </w:pPr>
      <w:bookmarkStart w:id="1159" w:name="_GoBack"/>
      <w:bookmarkEnd w:id="1159"/>
    </w:p>
    <w:p w14:paraId="7EB90D1F">
      <w:pPr>
        <w:rPr>
          <w:rFonts w:ascii="微软雅黑" w:hAnsi="微软雅黑" w:eastAsia="微软雅黑" w:cs="微软雅黑"/>
          <w:color w:val="auto"/>
          <w:szCs w:val="24"/>
        </w:rPr>
      </w:pPr>
      <w:r>
        <w:rPr>
          <w:rFonts w:ascii="微软雅黑" w:hAnsi="微软雅黑" w:eastAsia="微软雅黑" w:cs="微软雅黑"/>
          <w:color w:val="auto"/>
          <w:szCs w:val="24"/>
        </w:rPr>
        <w:br w:type="page"/>
      </w:r>
    </w:p>
    <w:p w14:paraId="62B10D15">
      <w:pPr>
        <w:pStyle w:val="3"/>
        <w:tabs>
          <w:tab w:val="left" w:pos="0"/>
        </w:tabs>
        <w:snapToGrid w:val="0"/>
        <w:spacing w:before="0" w:after="0" w:line="360" w:lineRule="auto"/>
        <w:textAlignment w:val="baseline"/>
        <w:rPr>
          <w:rFonts w:ascii="微软雅黑" w:hAnsi="微软雅黑" w:eastAsia="微软雅黑" w:cs="微软雅黑"/>
          <w:color w:val="auto"/>
          <w:sz w:val="24"/>
        </w:rPr>
      </w:pPr>
      <w:bookmarkStart w:id="3" w:name="_Toc14891"/>
      <w:r>
        <w:rPr>
          <w:rFonts w:hint="eastAsia" w:ascii="微软雅黑" w:hAnsi="微软雅黑" w:eastAsia="微软雅黑" w:cs="微软雅黑"/>
          <w:color w:val="auto"/>
          <w:kern w:val="0"/>
          <w:szCs w:val="24"/>
        </w:rPr>
        <w:t xml:space="preserve">第1章  </w:t>
      </w:r>
      <w:r>
        <w:rPr>
          <w:rFonts w:hint="eastAsia" w:ascii="微软雅黑" w:hAnsi="微软雅黑" w:eastAsia="微软雅黑" w:cs="微软雅黑"/>
          <w:color w:val="auto"/>
          <w:szCs w:val="32"/>
        </w:rPr>
        <w:t>供应商须知</w:t>
      </w:r>
      <w:bookmarkEnd w:id="0"/>
      <w:bookmarkEnd w:id="1"/>
      <w:bookmarkEnd w:id="2"/>
      <w:bookmarkEnd w:id="3"/>
    </w:p>
    <w:p w14:paraId="1DD126A0">
      <w:pPr>
        <w:pStyle w:val="4"/>
        <w:snapToGrid w:val="0"/>
        <w:spacing w:before="0" w:line="240" w:lineRule="atLeast"/>
        <w:ind w:left="1080" w:leftChars="257" w:hanging="540"/>
        <w:textAlignment w:val="baseline"/>
        <w:rPr>
          <w:rFonts w:hint="eastAsia" w:ascii="微软雅黑" w:hAnsi="微软雅黑" w:eastAsia="微软雅黑" w:cs="微软雅黑"/>
          <w:color w:val="auto"/>
          <w:sz w:val="24"/>
          <w:szCs w:val="24"/>
        </w:rPr>
      </w:pPr>
      <w:bookmarkStart w:id="4" w:name="_Toc515647757"/>
      <w:bookmarkStart w:id="5" w:name="_Toc216582805"/>
      <w:bookmarkStart w:id="6" w:name="_Toc520356143"/>
      <w:bookmarkStart w:id="7" w:name="_Toc1807"/>
      <w:bookmarkStart w:id="8" w:name="_Toc21215"/>
      <w:bookmarkStart w:id="9" w:name="_Toc21015"/>
      <w:r>
        <w:rPr>
          <w:rFonts w:hint="eastAsia" w:ascii="微软雅黑" w:hAnsi="微软雅黑" w:eastAsia="微软雅黑" w:cs="微软雅黑"/>
          <w:color w:val="auto"/>
          <w:sz w:val="24"/>
          <w:szCs w:val="24"/>
        </w:rPr>
        <w:t xml:space="preserve">一   </w:t>
      </w:r>
      <w:bookmarkEnd w:id="4"/>
      <w:bookmarkEnd w:id="5"/>
      <w:bookmarkEnd w:id="6"/>
      <w:r>
        <w:rPr>
          <w:rFonts w:hint="eastAsia" w:ascii="微软雅黑" w:hAnsi="微软雅黑" w:eastAsia="微软雅黑" w:cs="微软雅黑"/>
          <w:color w:val="auto"/>
          <w:sz w:val="24"/>
          <w:szCs w:val="24"/>
        </w:rPr>
        <w:t>总 则</w:t>
      </w:r>
      <w:bookmarkEnd w:id="7"/>
      <w:bookmarkEnd w:id="8"/>
      <w:bookmarkEnd w:id="9"/>
    </w:p>
    <w:p w14:paraId="212BA2D6">
      <w:pPr>
        <w:pStyle w:val="2"/>
        <w:spacing w:before="0" w:after="0" w:line="400" w:lineRule="exact"/>
        <w:rPr>
          <w:rFonts w:hint="eastAsia" w:ascii="微软雅黑" w:hAnsi="微软雅黑" w:eastAsia="微软雅黑" w:cs="微软雅黑"/>
          <w:color w:val="auto"/>
          <w:u w:val="none"/>
        </w:rPr>
      </w:pPr>
      <w:bookmarkStart w:id="10" w:name="_Toc520356144"/>
      <w:bookmarkStart w:id="11" w:name="_Toc12013"/>
      <w:bookmarkStart w:id="12" w:name="_Toc518923061"/>
      <w:bookmarkStart w:id="13" w:name="_Toc11513"/>
      <w:bookmarkStart w:id="14" w:name="_Toc30505"/>
      <w:bookmarkStart w:id="15" w:name="_Toc16905_WPSOffice_Level2"/>
      <w:bookmarkStart w:id="16" w:name="_Toc25825"/>
      <w:bookmarkStart w:id="17" w:name="_Toc4676_WPSOffice_Level2"/>
      <w:bookmarkStart w:id="18" w:name="_Toc11939"/>
      <w:bookmarkStart w:id="19" w:name="_Toc520356165"/>
      <w:bookmarkStart w:id="20" w:name="_Toc5428"/>
      <w:bookmarkStart w:id="21" w:name="_Toc515647780"/>
      <w:bookmarkStart w:id="22" w:name="_Toc21372"/>
      <w:bookmarkStart w:id="23" w:name="_Toc19296"/>
      <w:bookmarkStart w:id="24" w:name="_Toc5402"/>
      <w:bookmarkStart w:id="25" w:name="_Toc18057"/>
      <w:bookmarkStart w:id="26" w:name="_Toc28768"/>
      <w:bookmarkStart w:id="27" w:name="_Toc5768"/>
      <w:bookmarkStart w:id="28" w:name="_Toc6401"/>
      <w:bookmarkStart w:id="29" w:name="_Toc14954"/>
      <w:bookmarkStart w:id="30" w:name="_Toc9240"/>
      <w:bookmarkStart w:id="31" w:name="_Toc18658"/>
      <w:r>
        <w:rPr>
          <w:rFonts w:hint="eastAsia" w:ascii="微软雅黑" w:hAnsi="微软雅黑" w:eastAsia="微软雅黑" w:cs="微软雅黑"/>
          <w:color w:val="auto"/>
          <w:u w:val="none"/>
        </w:rPr>
        <w:t>1.采购人、采购代理机构及</w:t>
      </w:r>
      <w:bookmarkEnd w:id="10"/>
      <w:bookmarkEnd w:id="11"/>
      <w:bookmarkEnd w:id="12"/>
      <w:r>
        <w:rPr>
          <w:rFonts w:hint="eastAsia" w:ascii="微软雅黑" w:hAnsi="微软雅黑" w:eastAsia="微软雅黑" w:cs="微软雅黑"/>
          <w:color w:val="auto"/>
          <w:u w:val="none"/>
        </w:rPr>
        <w:t>供应商</w:t>
      </w:r>
      <w:bookmarkEnd w:id="13"/>
      <w:bookmarkEnd w:id="14"/>
      <w:bookmarkEnd w:id="15"/>
      <w:bookmarkEnd w:id="16"/>
      <w:bookmarkEnd w:id="17"/>
      <w:bookmarkEnd w:id="18"/>
    </w:p>
    <w:p w14:paraId="6E5F600C">
      <w:pPr>
        <w:numPr>
          <w:ilvl w:val="1"/>
          <w:numId w:val="2"/>
        </w:numPr>
        <w:tabs>
          <w:tab w:val="left" w:pos="0"/>
          <w:tab w:val="clear" w:pos="900"/>
        </w:tabs>
        <w:spacing w:line="400" w:lineRule="exact"/>
        <w:ind w:hanging="898"/>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xml:space="preserve">    采购人：是指依法开展政府采购活动的国家机关、事业单位、团体组织</w:t>
      </w:r>
      <w:r>
        <w:rPr>
          <w:rFonts w:hint="eastAsia" w:ascii="微软雅黑" w:hAnsi="微软雅黑" w:eastAsia="微软雅黑" w:cs="微软雅黑"/>
          <w:color w:val="auto"/>
          <w:sz w:val="24"/>
          <w:lang w:eastAsia="zh-CN"/>
        </w:rPr>
        <w:t>。</w:t>
      </w:r>
      <w:r>
        <w:rPr>
          <w:rFonts w:hint="eastAsia" w:ascii="微软雅黑" w:hAnsi="微软雅黑" w:eastAsia="微软雅黑" w:cs="微软雅黑"/>
          <w:color w:val="auto"/>
          <w:sz w:val="24"/>
        </w:rPr>
        <w:t>本项目的采购人见</w:t>
      </w:r>
      <w:r>
        <w:rPr>
          <w:rFonts w:hint="eastAsia" w:ascii="微软雅黑" w:hAnsi="微软雅黑" w:eastAsia="微软雅黑" w:cs="微软雅黑"/>
          <w:color w:val="auto"/>
          <w:sz w:val="24"/>
          <w:u w:val="single"/>
        </w:rPr>
        <w:t>供应商须知资料表</w:t>
      </w:r>
      <w:r>
        <w:rPr>
          <w:rFonts w:hint="eastAsia" w:ascii="微软雅黑" w:hAnsi="微软雅黑" w:eastAsia="微软雅黑" w:cs="微软雅黑"/>
          <w:color w:val="auto"/>
          <w:sz w:val="24"/>
        </w:rPr>
        <w:t>。</w:t>
      </w:r>
    </w:p>
    <w:p w14:paraId="6C029BFE">
      <w:pPr>
        <w:numPr>
          <w:ilvl w:val="1"/>
          <w:numId w:val="2"/>
        </w:numPr>
        <w:tabs>
          <w:tab w:val="left" w:pos="0"/>
          <w:tab w:val="clear" w:pos="900"/>
        </w:tabs>
        <w:spacing w:line="400" w:lineRule="exact"/>
        <w:ind w:hanging="898"/>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xml:space="preserve">    采购代理机构：是指集中采购机构或从事采购代理业务的社会中介机构。本项目的采购代理机构见</w:t>
      </w:r>
      <w:r>
        <w:rPr>
          <w:rFonts w:hint="eastAsia" w:ascii="微软雅黑" w:hAnsi="微软雅黑" w:eastAsia="微软雅黑" w:cs="微软雅黑"/>
          <w:color w:val="auto"/>
          <w:sz w:val="24"/>
          <w:u w:val="single"/>
        </w:rPr>
        <w:t>供应商须知资料表</w:t>
      </w:r>
      <w:r>
        <w:rPr>
          <w:rFonts w:hint="eastAsia" w:ascii="微软雅黑" w:hAnsi="微软雅黑" w:eastAsia="微软雅黑" w:cs="微软雅黑"/>
          <w:color w:val="auto"/>
          <w:sz w:val="24"/>
        </w:rPr>
        <w:t>。</w:t>
      </w:r>
    </w:p>
    <w:p w14:paraId="3B153518">
      <w:pPr>
        <w:numPr>
          <w:ilvl w:val="1"/>
          <w:numId w:val="2"/>
        </w:numPr>
        <w:spacing w:line="400" w:lineRule="exact"/>
        <w:ind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供应商：是指向采购人提供货物、工程或者服务的法人、非法人组织或者自然人。本项目的供应商须满足以下条件：</w:t>
      </w:r>
    </w:p>
    <w:p w14:paraId="16D552ED">
      <w:pPr>
        <w:spacing w:line="400" w:lineRule="exact"/>
        <w:ind w:left="850" w:hanging="849" w:hangingChars="354"/>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1.3.1</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在中华人民共和国境内注册，能够独立承担民事责任，有生产或供应能力的本国供应商。</w:t>
      </w:r>
    </w:p>
    <w:p w14:paraId="5F2990F7">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1.3.2  具备《中华人民共和国政府采购法》第二十二条关于供应商条件的规定，遵守本项目采购人本级和上级财政部门政府采购的有关规定。</w:t>
      </w:r>
    </w:p>
    <w:p w14:paraId="56C7B5DC">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1.3.3   以采购代理机构认可的方式获得了本项目的磋商文件。</w:t>
      </w:r>
    </w:p>
    <w:p w14:paraId="703AD8E6">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1.3.4   符合</w:t>
      </w:r>
      <w:r>
        <w:rPr>
          <w:rFonts w:hint="eastAsia" w:ascii="微软雅黑" w:hAnsi="微软雅黑" w:eastAsia="微软雅黑" w:cs="微软雅黑"/>
          <w:color w:val="auto"/>
          <w:sz w:val="24"/>
          <w:u w:val="single"/>
        </w:rPr>
        <w:t>供应商须知资料表</w:t>
      </w:r>
      <w:r>
        <w:rPr>
          <w:rFonts w:hint="eastAsia" w:ascii="微软雅黑" w:hAnsi="微软雅黑" w:eastAsia="微软雅黑" w:cs="微软雅黑"/>
          <w:color w:val="auto"/>
          <w:sz w:val="24"/>
        </w:rPr>
        <w:t>中规定的其他要求。</w:t>
      </w:r>
    </w:p>
    <w:p w14:paraId="5E395E64">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1.3.5   若</w:t>
      </w:r>
      <w:r>
        <w:rPr>
          <w:rFonts w:hint="eastAsia" w:ascii="微软雅黑" w:hAnsi="微软雅黑" w:eastAsia="微软雅黑" w:cs="微软雅黑"/>
          <w:color w:val="auto"/>
          <w:sz w:val="24"/>
          <w:u w:val="single"/>
        </w:rPr>
        <w:t>供应商须知资料表</w:t>
      </w:r>
      <w:r>
        <w:rPr>
          <w:rFonts w:hint="eastAsia" w:ascii="微软雅黑" w:hAnsi="微软雅黑" w:eastAsia="微软雅黑" w:cs="微软雅黑"/>
          <w:color w:val="auto"/>
          <w:sz w:val="24"/>
        </w:rPr>
        <w:t>中写明专门面向中小企业采购的，如供应商为非中小企业，其磋商将被认定为磋商无效。</w:t>
      </w:r>
    </w:p>
    <w:p w14:paraId="2407B9DF">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1.4     如</w:t>
      </w:r>
      <w:r>
        <w:rPr>
          <w:rFonts w:hint="eastAsia" w:ascii="微软雅黑" w:hAnsi="微软雅黑" w:eastAsia="微软雅黑" w:cs="微软雅黑"/>
          <w:color w:val="auto"/>
          <w:sz w:val="24"/>
          <w:u w:val="single"/>
        </w:rPr>
        <w:t>供应商须知资料表</w:t>
      </w:r>
      <w:r>
        <w:rPr>
          <w:rFonts w:hint="eastAsia" w:ascii="微软雅黑" w:hAnsi="微软雅黑" w:eastAsia="微软雅黑" w:cs="微软雅黑"/>
          <w:color w:val="auto"/>
          <w:sz w:val="24"/>
        </w:rPr>
        <w:t>中允许联合体磋商，对联合体规定如下：</w:t>
      </w:r>
    </w:p>
    <w:p w14:paraId="6944DCFC">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1.4.1   两个以上供应商可以组成一个磋商联合体，以一个供应商的身份磋商。</w:t>
      </w:r>
    </w:p>
    <w:p w14:paraId="79C5FB14">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1.4.2   联合体各方均应符合《中华人民共和国政府采购法》第二十二条规定的条件。</w:t>
      </w:r>
    </w:p>
    <w:p w14:paraId="5B6CC9AA">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1.4.3   采购人根据采购项目对供应商的特殊要求，联合体中至少应当有一方符合相关规定。</w:t>
      </w:r>
    </w:p>
    <w:p w14:paraId="438A21AE">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1.4.4   联合体各方应签订共同磋商协议，明确约定联合体各方承担的工作和相应的责任，并将共同磋商协议连同响应文件一并提交招标采购单位。</w:t>
      </w:r>
    </w:p>
    <w:p w14:paraId="3220FC83">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1.4.5   大中型企业、其他自然人、法人或者非法人组织与小型、微型企业组成联合体共同参加磋商，共同磋商协议中应写明小型、微型企业的协议合同金额占到共同磋商协议磋商总金额的比例。</w:t>
      </w:r>
    </w:p>
    <w:p w14:paraId="12B89232">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1.4.6  联合体中有同类资质的供应商按照联合体分工承担相同工作的，按照资质等级较低的供应商确定资质等级。</w:t>
      </w:r>
    </w:p>
    <w:p w14:paraId="620BEA6A">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1.4.7  以联合体形式参加政府采购活动的，联合体各方不得再单独参加或者与其他供应商另外组成联合体参加本项目磋商，否则相关磋商将被认定为磋商无效。</w:t>
      </w:r>
    </w:p>
    <w:p w14:paraId="44EE874A">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1.4.8   对联合体磋商的其他资格要求见</w:t>
      </w:r>
      <w:r>
        <w:rPr>
          <w:rFonts w:hint="eastAsia" w:ascii="微软雅黑" w:hAnsi="微软雅黑" w:eastAsia="微软雅黑" w:cs="微软雅黑"/>
          <w:color w:val="auto"/>
          <w:sz w:val="24"/>
          <w:u w:val="single"/>
        </w:rPr>
        <w:t>供应商须知资料表</w:t>
      </w:r>
      <w:r>
        <w:rPr>
          <w:rFonts w:hint="eastAsia" w:ascii="微软雅黑" w:hAnsi="微软雅黑" w:eastAsia="微软雅黑" w:cs="微软雅黑"/>
          <w:color w:val="auto"/>
          <w:sz w:val="24"/>
        </w:rPr>
        <w:t>。</w:t>
      </w:r>
    </w:p>
    <w:p w14:paraId="45B07932">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1.5    单位负责人为同一人或者存在直接控股、管理关系的不同供应商，其相关磋商将被认定为磋商无效。</w:t>
      </w:r>
    </w:p>
    <w:p w14:paraId="4186B944">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1.6    为本项目提供过整体设计、规范编制或者项目管理、监理、检测等服务的供应商，不得再参加本项目上述服务以外的其他采购活动。否则其磋商将被认定为磋商无效。</w:t>
      </w:r>
    </w:p>
    <w:p w14:paraId="41297834">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1.7</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供应商在磋商过程中不得向采购人提供或给予影响其正常决策行为的任何有价值物品或服务。一经发现，其磋商将被认定为磋商无效。</w:t>
      </w:r>
    </w:p>
    <w:p w14:paraId="7A6F693C">
      <w:pPr>
        <w:pStyle w:val="2"/>
        <w:spacing w:before="0" w:after="0" w:line="400" w:lineRule="exact"/>
        <w:rPr>
          <w:rFonts w:hint="eastAsia" w:ascii="微软雅黑" w:hAnsi="微软雅黑" w:eastAsia="微软雅黑" w:cs="微软雅黑"/>
          <w:color w:val="auto"/>
          <w:u w:val="none"/>
        </w:rPr>
      </w:pPr>
      <w:bookmarkStart w:id="32" w:name="_Toc237"/>
      <w:bookmarkStart w:id="33" w:name="_Toc11482_WPSOffice_Level2"/>
      <w:bookmarkStart w:id="34" w:name="_Toc21689"/>
      <w:bookmarkStart w:id="35" w:name="_Toc20477"/>
      <w:bookmarkStart w:id="36" w:name="_Toc518923062"/>
      <w:bookmarkStart w:id="37" w:name="_Toc2517"/>
      <w:bookmarkStart w:id="38" w:name="_Toc2643"/>
      <w:bookmarkStart w:id="39" w:name="_Toc11813_WPSOffice_Level2"/>
      <w:r>
        <w:rPr>
          <w:rFonts w:hint="eastAsia" w:ascii="微软雅黑" w:hAnsi="微软雅黑" w:eastAsia="微软雅黑" w:cs="微软雅黑"/>
          <w:color w:val="auto"/>
          <w:u w:val="none"/>
        </w:rPr>
        <w:t>2.资金来源</w:t>
      </w:r>
      <w:bookmarkEnd w:id="32"/>
      <w:bookmarkEnd w:id="33"/>
      <w:bookmarkEnd w:id="34"/>
      <w:bookmarkEnd w:id="35"/>
      <w:bookmarkEnd w:id="36"/>
      <w:bookmarkEnd w:id="37"/>
      <w:bookmarkEnd w:id="38"/>
      <w:bookmarkEnd w:id="39"/>
    </w:p>
    <w:p w14:paraId="78BAE5D7">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2.1</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本项目的采购人已获得足以支付本次招标后所签订的合同项下的资金（包括财政性资金和本项目采购中无法与财政性资金分割的非财政性资金）。</w:t>
      </w:r>
    </w:p>
    <w:p w14:paraId="317CC399">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2.2    项目预算金额</w:t>
      </w:r>
      <w:r>
        <w:rPr>
          <w:rFonts w:hint="eastAsia" w:ascii="微软雅黑" w:hAnsi="微软雅黑" w:eastAsia="微软雅黑" w:cs="微软雅黑"/>
          <w:color w:val="auto"/>
          <w:sz w:val="24"/>
          <w:u w:val="single"/>
        </w:rPr>
        <w:t>见供应商须知资料表</w:t>
      </w:r>
      <w:r>
        <w:rPr>
          <w:rFonts w:hint="eastAsia" w:ascii="微软雅黑" w:hAnsi="微软雅黑" w:eastAsia="微软雅黑" w:cs="微软雅黑"/>
          <w:color w:val="auto"/>
          <w:sz w:val="24"/>
        </w:rPr>
        <w:t>。</w:t>
      </w:r>
    </w:p>
    <w:p w14:paraId="1188C614">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2.3    供应商报价超过磋商文件规定的预算金额，其报价将被认定为无效。</w:t>
      </w:r>
    </w:p>
    <w:p w14:paraId="1780D07A">
      <w:pPr>
        <w:pStyle w:val="2"/>
        <w:spacing w:before="0" w:after="0" w:line="400" w:lineRule="exact"/>
        <w:rPr>
          <w:rFonts w:hint="eastAsia" w:ascii="微软雅黑" w:hAnsi="微软雅黑" w:eastAsia="微软雅黑" w:cs="微软雅黑"/>
          <w:color w:val="auto"/>
          <w:u w:val="none"/>
        </w:rPr>
      </w:pPr>
      <w:bookmarkStart w:id="40" w:name="_Toc8946_WPSOffice_Level2"/>
      <w:bookmarkStart w:id="41" w:name="_Toc18464"/>
      <w:bookmarkStart w:id="42" w:name="_Toc518923063"/>
      <w:bookmarkStart w:id="43" w:name="_Toc8601_WPSOffice_Level2"/>
      <w:bookmarkStart w:id="44" w:name="_Toc4219"/>
      <w:bookmarkStart w:id="45" w:name="_Toc20276"/>
      <w:bookmarkStart w:id="46" w:name="_Toc28166"/>
      <w:bookmarkStart w:id="47" w:name="_Toc520356145"/>
      <w:bookmarkStart w:id="48" w:name="_Toc23526"/>
      <w:r>
        <w:rPr>
          <w:rFonts w:hint="eastAsia" w:ascii="微软雅黑" w:hAnsi="微软雅黑" w:eastAsia="微软雅黑" w:cs="微软雅黑"/>
          <w:color w:val="auto"/>
          <w:u w:val="none"/>
        </w:rPr>
        <w:t>3.磋商费用</w:t>
      </w:r>
      <w:bookmarkEnd w:id="40"/>
      <w:bookmarkEnd w:id="41"/>
      <w:bookmarkEnd w:id="42"/>
      <w:bookmarkEnd w:id="43"/>
      <w:bookmarkEnd w:id="44"/>
      <w:bookmarkEnd w:id="45"/>
      <w:bookmarkEnd w:id="46"/>
      <w:bookmarkEnd w:id="47"/>
      <w:bookmarkEnd w:id="48"/>
    </w:p>
    <w:p w14:paraId="1C1C755A">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不论磋商的结果如何，供应商应承担所有与准备和参加磋商有关的费用。</w:t>
      </w:r>
    </w:p>
    <w:p w14:paraId="5357387A">
      <w:pPr>
        <w:pStyle w:val="2"/>
        <w:spacing w:before="0" w:after="0" w:line="400" w:lineRule="exact"/>
        <w:rPr>
          <w:rFonts w:hint="eastAsia" w:ascii="微软雅黑" w:hAnsi="微软雅黑" w:eastAsia="微软雅黑" w:cs="微软雅黑"/>
          <w:color w:val="auto"/>
          <w:u w:val="none"/>
        </w:rPr>
      </w:pPr>
      <w:bookmarkStart w:id="49" w:name="_Toc12375"/>
      <w:bookmarkStart w:id="50" w:name="_Toc1523_WPSOffice_Level2"/>
      <w:bookmarkStart w:id="51" w:name="_Toc8368_WPSOffice_Level2"/>
      <w:bookmarkStart w:id="52" w:name="_Toc9239"/>
      <w:bookmarkStart w:id="53" w:name="_Toc10872"/>
      <w:bookmarkStart w:id="54" w:name="_Toc518923064"/>
      <w:bookmarkStart w:id="55" w:name="_Toc22788"/>
      <w:bookmarkStart w:id="56" w:name="_Toc32365"/>
      <w:r>
        <w:rPr>
          <w:rFonts w:hint="eastAsia" w:ascii="微软雅黑" w:hAnsi="微软雅黑" w:eastAsia="微软雅黑" w:cs="微软雅黑"/>
          <w:color w:val="auto"/>
          <w:u w:val="none"/>
        </w:rPr>
        <w:t>4.适用法律</w:t>
      </w:r>
      <w:bookmarkEnd w:id="49"/>
      <w:bookmarkEnd w:id="50"/>
      <w:bookmarkEnd w:id="51"/>
      <w:bookmarkEnd w:id="52"/>
      <w:bookmarkEnd w:id="53"/>
      <w:bookmarkEnd w:id="54"/>
      <w:bookmarkEnd w:id="55"/>
      <w:bookmarkEnd w:id="56"/>
    </w:p>
    <w:p w14:paraId="275B6956">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xml:space="preserve">       </w:t>
      </w:r>
      <w:r>
        <w:rPr>
          <w:rFonts w:hint="eastAsia" w:ascii="微软雅黑" w:hAnsi="微软雅黑" w:eastAsia="微软雅黑" w:cs="微软雅黑"/>
          <w:color w:val="auto"/>
          <w:sz w:val="24"/>
          <w:highlight w:val="none"/>
        </w:rPr>
        <w:t>本项目采购人、采购代理机构、</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w:t>
      </w:r>
      <w:r>
        <w:rPr>
          <w:rFonts w:hint="eastAsia" w:ascii="微软雅黑" w:hAnsi="微软雅黑" w:eastAsia="微软雅黑" w:cs="微软雅黑"/>
          <w:color w:val="auto"/>
          <w:sz w:val="24"/>
          <w:highlight w:val="none"/>
          <w:lang w:eastAsia="zh-CN"/>
        </w:rPr>
        <w:t>磋商小组</w:t>
      </w:r>
      <w:r>
        <w:rPr>
          <w:rFonts w:hint="eastAsia" w:ascii="微软雅黑" w:hAnsi="微软雅黑" w:eastAsia="微软雅黑" w:cs="微软雅黑"/>
          <w:color w:val="auto"/>
          <w:sz w:val="24"/>
          <w:highlight w:val="none"/>
        </w:rPr>
        <w:t>的相关行为均受《中华人民共和国政府采购法》、《中华人民共和国政府采购法实施条例》</w:t>
      </w:r>
      <w:r>
        <w:rPr>
          <w:rFonts w:hint="eastAsia" w:ascii="微软雅黑" w:hAnsi="微软雅黑" w:eastAsia="微软雅黑" w:cs="微软雅黑"/>
          <w:color w:val="auto"/>
          <w:sz w:val="24"/>
          <w:highlight w:val="none"/>
          <w:lang w:eastAsia="zh-CN"/>
        </w:rPr>
        <w:t>、《政府采购竞争性磋商采购方式管理暂行办法》</w:t>
      </w:r>
      <w:r>
        <w:rPr>
          <w:rFonts w:hint="eastAsia" w:ascii="微软雅黑" w:hAnsi="微软雅黑" w:eastAsia="微软雅黑" w:cs="微软雅黑"/>
          <w:color w:val="auto"/>
          <w:sz w:val="24"/>
          <w:highlight w:val="none"/>
        </w:rPr>
        <w:t>及本项目本级和上级财政部门政府采购有关规定的约束，其权利受到上述法律法规的保护。</w:t>
      </w:r>
    </w:p>
    <w:p w14:paraId="01F2AF76">
      <w:pPr>
        <w:pStyle w:val="4"/>
        <w:spacing w:before="0" w:line="400" w:lineRule="exact"/>
        <w:ind w:left="1080" w:leftChars="257" w:hanging="540"/>
        <w:rPr>
          <w:rFonts w:hint="eastAsia" w:ascii="微软雅黑" w:hAnsi="微软雅黑" w:eastAsia="微软雅黑" w:cs="微软雅黑"/>
          <w:color w:val="auto"/>
        </w:rPr>
      </w:pPr>
      <w:bookmarkStart w:id="57" w:name="_Toc520356146"/>
      <w:bookmarkStart w:id="58" w:name="_Toc518923065"/>
      <w:bookmarkStart w:id="59" w:name="_Toc216582806"/>
      <w:bookmarkStart w:id="60" w:name="_Toc809"/>
      <w:bookmarkStart w:id="61" w:name="_Toc889"/>
      <w:bookmarkStart w:id="62" w:name="_Toc20318"/>
      <w:bookmarkStart w:id="63" w:name="_Toc10894_WPSOffice_Level1"/>
      <w:bookmarkStart w:id="64" w:name="_Toc24427"/>
      <w:bookmarkStart w:id="65" w:name="_Toc13552"/>
      <w:bookmarkStart w:id="66" w:name="_Toc10715354"/>
      <w:bookmarkStart w:id="67" w:name="_Toc1896"/>
      <w:r>
        <w:rPr>
          <w:rFonts w:hint="eastAsia" w:ascii="微软雅黑" w:hAnsi="微软雅黑" w:eastAsia="微软雅黑" w:cs="微软雅黑"/>
          <w:color w:val="auto"/>
          <w:sz w:val="28"/>
        </w:rPr>
        <w:t xml:space="preserve">二   </w:t>
      </w:r>
      <w:bookmarkEnd w:id="57"/>
      <w:bookmarkEnd w:id="58"/>
      <w:bookmarkEnd w:id="59"/>
      <w:bookmarkEnd w:id="60"/>
      <w:r>
        <w:rPr>
          <w:rFonts w:hint="eastAsia" w:ascii="微软雅黑" w:hAnsi="微软雅黑" w:eastAsia="微软雅黑" w:cs="微软雅黑"/>
          <w:color w:val="auto"/>
          <w:sz w:val="28"/>
        </w:rPr>
        <w:t>磋商文件</w:t>
      </w:r>
      <w:bookmarkEnd w:id="61"/>
      <w:bookmarkEnd w:id="62"/>
      <w:bookmarkEnd w:id="63"/>
      <w:bookmarkEnd w:id="64"/>
      <w:bookmarkEnd w:id="65"/>
      <w:bookmarkEnd w:id="66"/>
      <w:bookmarkEnd w:id="67"/>
    </w:p>
    <w:p w14:paraId="57E232AA">
      <w:pPr>
        <w:pStyle w:val="2"/>
        <w:spacing w:before="0" w:after="0" w:line="400" w:lineRule="exact"/>
        <w:rPr>
          <w:rFonts w:hint="eastAsia" w:ascii="微软雅黑" w:hAnsi="微软雅黑" w:eastAsia="微软雅黑" w:cs="微软雅黑"/>
          <w:color w:val="auto"/>
          <w:u w:val="none"/>
        </w:rPr>
      </w:pPr>
      <w:bookmarkStart w:id="68" w:name="_Toc518923066"/>
      <w:bookmarkStart w:id="69" w:name="_Toc15303_WPSOffice_Level2"/>
      <w:bookmarkStart w:id="70" w:name="_Toc22990"/>
      <w:bookmarkStart w:id="71" w:name="_Toc15218_WPSOffice_Level2"/>
      <w:bookmarkStart w:id="72" w:name="_Toc17055"/>
      <w:bookmarkStart w:id="73" w:name="_Toc30675"/>
      <w:bookmarkStart w:id="74" w:name="_Toc520356147"/>
      <w:bookmarkStart w:id="75" w:name="_Toc32393"/>
      <w:bookmarkStart w:id="76" w:name="_Toc4166"/>
      <w:r>
        <w:rPr>
          <w:rFonts w:hint="eastAsia" w:ascii="微软雅黑" w:hAnsi="微软雅黑" w:eastAsia="微软雅黑" w:cs="微软雅黑"/>
          <w:color w:val="auto"/>
          <w:u w:val="none"/>
        </w:rPr>
        <w:t>5.磋商文件构成</w:t>
      </w:r>
      <w:bookmarkEnd w:id="68"/>
      <w:bookmarkEnd w:id="69"/>
      <w:bookmarkEnd w:id="70"/>
      <w:bookmarkEnd w:id="71"/>
      <w:bookmarkEnd w:id="72"/>
      <w:bookmarkEnd w:id="73"/>
      <w:bookmarkEnd w:id="74"/>
      <w:bookmarkEnd w:id="75"/>
      <w:bookmarkEnd w:id="76"/>
    </w:p>
    <w:p w14:paraId="19BC8D48">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5.1</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磋商文件分为三册共7章，内容如下：</w:t>
      </w:r>
    </w:p>
    <w:p w14:paraId="4AF6991B">
      <w:pPr>
        <w:spacing w:line="400" w:lineRule="exact"/>
        <w:ind w:left="1079" w:leftChars="428" w:hanging="180" w:hangingChars="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第一册</w:t>
      </w:r>
    </w:p>
    <w:p w14:paraId="21E060AF">
      <w:pPr>
        <w:numPr>
          <w:ilvl w:val="0"/>
          <w:numId w:val="3"/>
        </w:numPr>
        <w:spacing w:line="400" w:lineRule="exact"/>
        <w:ind w:left="1081" w:leftChars="429" w:hanging="180"/>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xml:space="preserve">  供应商须知</w:t>
      </w:r>
    </w:p>
    <w:p w14:paraId="6EEE6A54">
      <w:pPr>
        <w:numPr>
          <w:ilvl w:val="0"/>
          <w:numId w:val="3"/>
        </w:numPr>
        <w:spacing w:line="400" w:lineRule="exact"/>
        <w:ind w:left="1081" w:leftChars="429" w:hanging="180"/>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响应文件格式</w:t>
      </w:r>
    </w:p>
    <w:p w14:paraId="4EF4E07B">
      <w:pPr>
        <w:spacing w:line="400" w:lineRule="exact"/>
        <w:ind w:left="1081" w:leftChars="429" w:hanging="180"/>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第二册</w:t>
      </w:r>
    </w:p>
    <w:p w14:paraId="59B62C59">
      <w:pPr>
        <w:numPr>
          <w:ilvl w:val="0"/>
          <w:numId w:val="3"/>
        </w:numPr>
        <w:spacing w:line="400" w:lineRule="exact"/>
        <w:ind w:left="1081" w:leftChars="429" w:hanging="180"/>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xml:space="preserve"> 磋商邀请 </w:t>
      </w:r>
    </w:p>
    <w:p w14:paraId="36F63853">
      <w:pPr>
        <w:numPr>
          <w:ilvl w:val="0"/>
          <w:numId w:val="3"/>
        </w:numPr>
        <w:spacing w:line="400" w:lineRule="exact"/>
        <w:ind w:left="1081" w:leftChars="429" w:hanging="180"/>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xml:space="preserve"> 供应商须知资料表</w:t>
      </w:r>
    </w:p>
    <w:p w14:paraId="5592406B">
      <w:pPr>
        <w:numPr>
          <w:ilvl w:val="0"/>
          <w:numId w:val="3"/>
        </w:numPr>
        <w:spacing w:line="400" w:lineRule="exact"/>
        <w:ind w:left="1081" w:leftChars="429" w:hanging="180"/>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xml:space="preserve"> 服务</w:t>
      </w:r>
      <w:r>
        <w:rPr>
          <w:rFonts w:hint="eastAsia" w:ascii="微软雅黑" w:hAnsi="微软雅黑" w:eastAsia="微软雅黑" w:cs="微软雅黑"/>
          <w:color w:val="auto"/>
          <w:sz w:val="24"/>
          <w:lang w:eastAsia="zh-CN"/>
        </w:rPr>
        <w:t>内容及项目要求</w:t>
      </w:r>
    </w:p>
    <w:p w14:paraId="712931DA">
      <w:pPr>
        <w:numPr>
          <w:ilvl w:val="0"/>
          <w:numId w:val="3"/>
        </w:numPr>
        <w:spacing w:line="400" w:lineRule="exact"/>
        <w:ind w:left="1081" w:leftChars="429" w:hanging="180"/>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xml:space="preserve"> 评审方法和标准</w:t>
      </w:r>
    </w:p>
    <w:p w14:paraId="1400732E">
      <w:pPr>
        <w:spacing w:line="400" w:lineRule="exact"/>
        <w:ind w:left="901"/>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第三册</w:t>
      </w:r>
    </w:p>
    <w:p w14:paraId="0B5BBDC7">
      <w:pPr>
        <w:numPr>
          <w:ilvl w:val="0"/>
          <w:numId w:val="3"/>
        </w:numPr>
        <w:spacing w:line="400" w:lineRule="exact"/>
        <w:ind w:left="1081" w:leftChars="429" w:hanging="180"/>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政府采购合同格式</w:t>
      </w:r>
    </w:p>
    <w:p w14:paraId="03E45D24">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5.2</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如本文件的前后内容不一致，以最后描述为准。</w:t>
      </w:r>
    </w:p>
    <w:p w14:paraId="2A26B12C">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5.3    供应商应认真阅读磋商文件所有的事项、格式、条款和技术规范等。如供应商没有按照磋商文件要求提交全部资料，或者响应文件没有对磋商文件在各方面都做出实质性响应，可能导致其磋商被认定为磋商无效。</w:t>
      </w:r>
    </w:p>
    <w:p w14:paraId="3A0F474C">
      <w:pPr>
        <w:pStyle w:val="2"/>
        <w:spacing w:before="0" w:after="0" w:line="400" w:lineRule="exact"/>
        <w:rPr>
          <w:rFonts w:hint="eastAsia" w:ascii="微软雅黑" w:hAnsi="微软雅黑" w:eastAsia="微软雅黑" w:cs="微软雅黑"/>
          <w:b w:val="0"/>
          <w:color w:val="auto"/>
          <w:u w:val="none"/>
        </w:rPr>
      </w:pPr>
      <w:bookmarkStart w:id="77" w:name="_Toc520356148"/>
      <w:bookmarkStart w:id="78" w:name="_Toc20413"/>
      <w:bookmarkStart w:id="79" w:name="_Toc518923067"/>
      <w:bookmarkStart w:id="80" w:name="_Toc10956"/>
      <w:bookmarkStart w:id="81" w:name="_Toc27880"/>
      <w:bookmarkStart w:id="82" w:name="_Toc90_WPSOffice_Level2"/>
      <w:bookmarkStart w:id="83" w:name="_Toc11598"/>
      <w:bookmarkStart w:id="84" w:name="_Toc21314"/>
      <w:bookmarkStart w:id="85" w:name="_Toc29081_WPSOffice_Level2"/>
      <w:r>
        <w:rPr>
          <w:rFonts w:hint="eastAsia" w:ascii="微软雅黑" w:hAnsi="微软雅黑" w:eastAsia="微软雅黑" w:cs="微软雅黑"/>
          <w:color w:val="auto"/>
          <w:u w:val="none"/>
        </w:rPr>
        <w:t>6.磋商文件的澄清</w:t>
      </w:r>
      <w:bookmarkEnd w:id="77"/>
      <w:r>
        <w:rPr>
          <w:rFonts w:hint="eastAsia" w:ascii="微软雅黑" w:hAnsi="微软雅黑" w:eastAsia="微软雅黑" w:cs="微软雅黑"/>
          <w:color w:val="auto"/>
          <w:u w:val="none"/>
        </w:rPr>
        <w:t>与修改</w:t>
      </w:r>
      <w:bookmarkEnd w:id="78"/>
      <w:bookmarkEnd w:id="79"/>
      <w:bookmarkEnd w:id="80"/>
      <w:bookmarkEnd w:id="81"/>
      <w:bookmarkEnd w:id="82"/>
      <w:bookmarkEnd w:id="83"/>
      <w:bookmarkEnd w:id="84"/>
      <w:bookmarkEnd w:id="85"/>
    </w:p>
    <w:p w14:paraId="4FCEBF0F">
      <w:pPr>
        <w:pStyle w:val="7"/>
        <w:spacing w:line="400" w:lineRule="exact"/>
        <w:ind w:left="840" w:hanging="840" w:hangingChars="350"/>
        <w:rPr>
          <w:rFonts w:hint="eastAsia" w:ascii="微软雅黑" w:hAnsi="微软雅黑" w:eastAsia="微软雅黑" w:cs="微软雅黑"/>
          <w:color w:val="auto"/>
          <w:szCs w:val="24"/>
        </w:rPr>
      </w:pPr>
      <w:r>
        <w:rPr>
          <w:rFonts w:hint="eastAsia" w:ascii="微软雅黑" w:hAnsi="微软雅黑" w:eastAsia="微软雅黑" w:cs="微软雅黑"/>
          <w:color w:val="auto"/>
          <w:szCs w:val="24"/>
        </w:rPr>
        <w:t>6.1    为了保证对磋商文件的澄清和修改满足法律的时限要求，</w:t>
      </w:r>
      <w:bookmarkStart w:id="86" w:name="_Ref467378678"/>
      <w:bookmarkStart w:id="87" w:name="_Toc520356149"/>
      <w:r>
        <w:rPr>
          <w:rFonts w:hint="eastAsia" w:ascii="微软雅黑" w:hAnsi="微软雅黑" w:eastAsia="微软雅黑" w:cs="微软雅黑"/>
          <w:color w:val="auto"/>
          <w:szCs w:val="24"/>
        </w:rPr>
        <w:t>提交首次响应文件截止之日前，采购人、采购代理机构或者磋商小组可以对已发出的磋商文件进行必要的澄清或者修改，澄清或者修改的内容作为磋商文件的组成部分。澄清或者修改的内容可能影响响应文件编制的，采购人、采购代理机构应当在提交首次响应文件截止时间至少5日前，以书面形式通知所有获取磋商文件的供应商；不足5日的，采购人、采购代理机构应当顺延提交首次响应文件截止时间。</w:t>
      </w:r>
    </w:p>
    <w:p w14:paraId="63681FCC">
      <w:pPr>
        <w:pStyle w:val="7"/>
        <w:spacing w:line="400" w:lineRule="exact"/>
        <w:ind w:left="840" w:hanging="840" w:hangingChars="350"/>
        <w:rPr>
          <w:rFonts w:hint="eastAsia" w:ascii="微软雅黑" w:hAnsi="微软雅黑" w:eastAsia="微软雅黑" w:cs="微软雅黑"/>
          <w:color w:val="auto"/>
          <w:szCs w:val="24"/>
        </w:rPr>
      </w:pPr>
      <w:r>
        <w:rPr>
          <w:rFonts w:hint="eastAsia" w:ascii="微软雅黑" w:hAnsi="微软雅黑" w:eastAsia="微软雅黑" w:cs="微软雅黑"/>
          <w:color w:val="auto"/>
          <w:szCs w:val="24"/>
        </w:rPr>
        <w:t>6.2</w:t>
      </w:r>
      <w:r>
        <w:rPr>
          <w:rFonts w:hint="eastAsia" w:ascii="微软雅黑" w:hAnsi="微软雅黑" w:eastAsia="微软雅黑" w:cs="微软雅黑"/>
          <w:color w:val="auto"/>
          <w:szCs w:val="24"/>
        </w:rPr>
        <w:tab/>
      </w:r>
      <w:r>
        <w:rPr>
          <w:rFonts w:hint="eastAsia" w:ascii="微软雅黑" w:hAnsi="微软雅黑" w:eastAsia="微软雅黑" w:cs="微软雅黑"/>
          <w:color w:val="auto"/>
          <w:szCs w:val="24"/>
        </w:rPr>
        <w:t>采购人可主动地或在解答供应商提出的澄清问题时对磋商文件澄清或修改。采购代理机构将以发布澄清（更正）公告的方式，澄清或修改磋商文件，澄清或修改内容作为磋商文件的组成部分。</w:t>
      </w:r>
    </w:p>
    <w:p w14:paraId="3AD86E03">
      <w:pPr>
        <w:pStyle w:val="7"/>
        <w:spacing w:line="400" w:lineRule="exact"/>
        <w:ind w:left="840" w:hanging="840" w:hangingChars="350"/>
        <w:rPr>
          <w:rFonts w:hint="eastAsia" w:ascii="微软雅黑" w:hAnsi="微软雅黑" w:eastAsia="微软雅黑" w:cs="微软雅黑"/>
          <w:color w:val="auto"/>
          <w:szCs w:val="24"/>
        </w:rPr>
      </w:pPr>
      <w:r>
        <w:rPr>
          <w:rFonts w:hint="eastAsia" w:ascii="微软雅黑" w:hAnsi="微软雅黑" w:eastAsia="微软雅黑" w:cs="微软雅黑"/>
          <w:color w:val="auto"/>
          <w:szCs w:val="24"/>
        </w:rPr>
        <w:t>6.3</w:t>
      </w:r>
      <w:r>
        <w:rPr>
          <w:rFonts w:hint="eastAsia" w:ascii="微软雅黑" w:hAnsi="微软雅黑" w:eastAsia="微软雅黑" w:cs="微软雅黑"/>
          <w:color w:val="auto"/>
          <w:szCs w:val="24"/>
        </w:rPr>
        <w:tab/>
      </w:r>
      <w:r>
        <w:rPr>
          <w:rFonts w:hint="eastAsia" w:ascii="微软雅黑" w:hAnsi="微软雅黑" w:eastAsia="微软雅黑" w:cs="微软雅黑"/>
          <w:color w:val="auto"/>
          <w:szCs w:val="24"/>
        </w:rPr>
        <w:t>澄清或者修改的内容可能影响响应文件编制的，采购代理机构将以书面形式通知所有购买磋商文件的潜在供应商，并对其具有约束力。供应商在收到上述通知后，应及时向采购代理机构回函确认。</w:t>
      </w:r>
    </w:p>
    <w:p w14:paraId="6711333F">
      <w:pPr>
        <w:pStyle w:val="2"/>
        <w:tabs>
          <w:tab w:val="left" w:pos="900"/>
        </w:tabs>
        <w:spacing w:before="0" w:after="0" w:line="400" w:lineRule="exact"/>
        <w:rPr>
          <w:rFonts w:hint="eastAsia" w:ascii="微软雅黑" w:hAnsi="微软雅黑" w:eastAsia="微软雅黑" w:cs="微软雅黑"/>
          <w:color w:val="auto"/>
          <w:u w:val="none"/>
        </w:rPr>
      </w:pPr>
      <w:bookmarkStart w:id="88" w:name="_Toc31699_WPSOffice_Level2"/>
      <w:bookmarkStart w:id="89" w:name="_Toc10260"/>
      <w:bookmarkStart w:id="90" w:name="_Toc10965"/>
      <w:bookmarkStart w:id="91" w:name="_Toc9694_WPSOffice_Level2"/>
      <w:bookmarkStart w:id="92" w:name="_Toc10994"/>
      <w:bookmarkStart w:id="93" w:name="_Toc25437"/>
      <w:bookmarkStart w:id="94" w:name="_Toc2158"/>
      <w:bookmarkStart w:id="95" w:name="_Toc518923068"/>
      <w:r>
        <w:rPr>
          <w:rFonts w:hint="eastAsia" w:ascii="微软雅黑" w:hAnsi="微软雅黑" w:eastAsia="微软雅黑" w:cs="微软雅黑"/>
          <w:color w:val="auto"/>
          <w:u w:val="none"/>
        </w:rPr>
        <w:t>7</w:t>
      </w:r>
      <w:bookmarkEnd w:id="86"/>
      <w:bookmarkEnd w:id="87"/>
      <w:r>
        <w:rPr>
          <w:rFonts w:hint="eastAsia" w:ascii="微软雅黑" w:hAnsi="微软雅黑" w:eastAsia="微软雅黑" w:cs="微软雅黑"/>
          <w:color w:val="auto"/>
          <w:u w:val="none"/>
        </w:rPr>
        <w:t>.响应文件递交截止时间的顺延</w:t>
      </w:r>
      <w:bookmarkEnd w:id="88"/>
      <w:bookmarkEnd w:id="89"/>
      <w:bookmarkEnd w:id="90"/>
      <w:bookmarkEnd w:id="91"/>
      <w:bookmarkEnd w:id="92"/>
      <w:bookmarkEnd w:id="93"/>
      <w:bookmarkEnd w:id="94"/>
      <w:bookmarkEnd w:id="95"/>
    </w:p>
    <w:p w14:paraId="7CAA818C">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为使供应商准备磋商时有足够的时间对磋商文件的澄清或者修改部分进行研究，采购人将依法决定是否顺延响应文件递交截止时间。</w:t>
      </w:r>
    </w:p>
    <w:p w14:paraId="55D95C5C">
      <w:pPr>
        <w:pStyle w:val="4"/>
        <w:tabs>
          <w:tab w:val="left" w:pos="900"/>
        </w:tabs>
        <w:spacing w:before="0" w:line="400" w:lineRule="exact"/>
        <w:ind w:left="1080" w:leftChars="257" w:hanging="540"/>
        <w:rPr>
          <w:rFonts w:hint="eastAsia" w:ascii="微软雅黑" w:hAnsi="微软雅黑" w:eastAsia="微软雅黑" w:cs="微软雅黑"/>
          <w:color w:val="auto"/>
        </w:rPr>
      </w:pPr>
      <w:bookmarkStart w:id="96" w:name="_Toc516367020"/>
      <w:bookmarkStart w:id="97" w:name="_Toc4436_WPSOffice_Level1"/>
      <w:bookmarkStart w:id="98" w:name="_Toc10715355"/>
      <w:bookmarkStart w:id="99" w:name="_Toc22312"/>
      <w:bookmarkStart w:id="100" w:name="_Toc18370"/>
      <w:bookmarkStart w:id="101" w:name="_Toc22504"/>
      <w:bookmarkStart w:id="102" w:name="_Toc15778"/>
      <w:bookmarkStart w:id="103" w:name="_Toc520356150"/>
      <w:bookmarkStart w:id="104" w:name="_Toc25389"/>
      <w:bookmarkStart w:id="105" w:name="_Toc216582807"/>
      <w:bookmarkStart w:id="106" w:name="_Toc518923069"/>
      <w:r>
        <w:rPr>
          <w:rFonts w:hint="eastAsia" w:ascii="微软雅黑" w:hAnsi="微软雅黑" w:eastAsia="微软雅黑" w:cs="微软雅黑"/>
          <w:color w:val="auto"/>
          <w:sz w:val="28"/>
        </w:rPr>
        <w:t xml:space="preserve">三   </w:t>
      </w:r>
      <w:bookmarkEnd w:id="96"/>
      <w:r>
        <w:rPr>
          <w:rFonts w:hint="eastAsia" w:ascii="微软雅黑" w:hAnsi="微软雅黑" w:eastAsia="微软雅黑" w:cs="微软雅黑"/>
          <w:color w:val="auto"/>
          <w:sz w:val="28"/>
        </w:rPr>
        <w:t>响应文件的编制</w:t>
      </w:r>
      <w:bookmarkEnd w:id="97"/>
      <w:bookmarkEnd w:id="98"/>
      <w:bookmarkEnd w:id="99"/>
      <w:bookmarkEnd w:id="100"/>
      <w:bookmarkEnd w:id="101"/>
      <w:bookmarkEnd w:id="102"/>
      <w:bookmarkEnd w:id="103"/>
      <w:bookmarkEnd w:id="104"/>
      <w:bookmarkEnd w:id="105"/>
      <w:bookmarkEnd w:id="106"/>
    </w:p>
    <w:p w14:paraId="44BA3C4C">
      <w:pPr>
        <w:pStyle w:val="2"/>
        <w:tabs>
          <w:tab w:val="left" w:pos="900"/>
        </w:tabs>
        <w:spacing w:before="0" w:after="0" w:line="400" w:lineRule="exact"/>
        <w:rPr>
          <w:rFonts w:hint="eastAsia" w:ascii="微软雅黑" w:hAnsi="微软雅黑" w:eastAsia="微软雅黑" w:cs="微软雅黑"/>
          <w:color w:val="auto"/>
          <w:u w:val="none"/>
        </w:rPr>
      </w:pPr>
      <w:bookmarkStart w:id="107" w:name="_Toc4350"/>
      <w:bookmarkStart w:id="108" w:name="_Toc20686_WPSOffice_Level2"/>
      <w:bookmarkStart w:id="109" w:name="_Toc516367021"/>
      <w:bookmarkStart w:id="110" w:name="_Toc520356151"/>
      <w:bookmarkStart w:id="111" w:name="_Toc31355"/>
      <w:bookmarkStart w:id="112" w:name="_Toc6728"/>
      <w:bookmarkStart w:id="113" w:name="_Toc13590_WPSOffice_Level2"/>
      <w:bookmarkStart w:id="114" w:name="_Toc518923070"/>
      <w:bookmarkStart w:id="115" w:name="_Toc31147"/>
      <w:bookmarkStart w:id="116" w:name="_Toc30152"/>
      <w:r>
        <w:rPr>
          <w:rFonts w:hint="eastAsia" w:ascii="微软雅黑" w:hAnsi="微软雅黑" w:eastAsia="微软雅黑" w:cs="微软雅黑"/>
          <w:color w:val="auto"/>
          <w:u w:val="none"/>
        </w:rPr>
        <w:t>8.</w:t>
      </w:r>
      <w:r>
        <w:rPr>
          <w:rFonts w:hint="eastAsia" w:ascii="微软雅黑" w:hAnsi="微软雅黑" w:eastAsia="微软雅黑" w:cs="微软雅黑"/>
          <w:color w:val="auto"/>
          <w:u w:val="none"/>
        </w:rPr>
        <w:tab/>
      </w:r>
      <w:r>
        <w:rPr>
          <w:rFonts w:hint="eastAsia" w:ascii="微软雅黑" w:hAnsi="微软雅黑" w:eastAsia="微软雅黑" w:cs="微软雅黑"/>
          <w:color w:val="auto"/>
          <w:u w:val="none"/>
        </w:rPr>
        <w:t>磋商范围及响应文件成交准和计量单位的使用</w:t>
      </w:r>
      <w:bookmarkEnd w:id="107"/>
      <w:bookmarkEnd w:id="108"/>
      <w:bookmarkEnd w:id="109"/>
      <w:bookmarkEnd w:id="110"/>
      <w:bookmarkEnd w:id="111"/>
      <w:bookmarkEnd w:id="112"/>
      <w:bookmarkEnd w:id="113"/>
      <w:bookmarkEnd w:id="114"/>
      <w:bookmarkEnd w:id="115"/>
      <w:bookmarkEnd w:id="116"/>
    </w:p>
    <w:p w14:paraId="656012CB">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8.1</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项目有分包的，供应商可对磋商文件其中一个或几个分包进行磋商，除非在</w:t>
      </w:r>
      <w:r>
        <w:rPr>
          <w:rFonts w:hint="eastAsia" w:ascii="微软雅黑" w:hAnsi="微软雅黑" w:eastAsia="微软雅黑" w:cs="微软雅黑"/>
          <w:color w:val="auto"/>
          <w:sz w:val="24"/>
          <w:u w:val="single"/>
        </w:rPr>
        <w:t>供应商须知资料表</w:t>
      </w:r>
      <w:r>
        <w:rPr>
          <w:rFonts w:hint="eastAsia" w:ascii="微软雅黑" w:hAnsi="微软雅黑" w:eastAsia="微软雅黑" w:cs="微软雅黑"/>
          <w:color w:val="auto"/>
          <w:sz w:val="24"/>
        </w:rPr>
        <w:t>中另有规定。</w:t>
      </w:r>
    </w:p>
    <w:p w14:paraId="5A96DE9D">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8.2    供应商应当对所投分包磋商文件中“服务需求”所列的所有服务内容进行磋商，如仅响应分包中的部分内容，其磋商将被认定为磋商无效。</w:t>
      </w:r>
    </w:p>
    <w:p w14:paraId="44FE056A">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xml:space="preserve">8.3     </w:t>
      </w:r>
      <w:r>
        <w:rPr>
          <w:rFonts w:hint="eastAsia" w:ascii="微软雅黑" w:hAnsi="微软雅黑" w:eastAsia="微软雅黑" w:cs="微软雅黑"/>
          <w:color w:val="auto"/>
          <w:sz w:val="24"/>
          <w:highlight w:val="none"/>
        </w:rPr>
        <w:t>除</w:t>
      </w:r>
      <w:r>
        <w:rPr>
          <w:rFonts w:hint="eastAsia" w:ascii="微软雅黑" w:hAnsi="微软雅黑" w:eastAsia="微软雅黑" w:cs="微软雅黑"/>
          <w:color w:val="auto"/>
          <w:sz w:val="24"/>
          <w:highlight w:val="none"/>
          <w:lang w:eastAsia="zh-CN"/>
        </w:rPr>
        <w:t>磋商文件</w:t>
      </w:r>
      <w:r>
        <w:rPr>
          <w:rFonts w:hint="eastAsia" w:ascii="微软雅黑" w:hAnsi="微软雅黑" w:eastAsia="微软雅黑" w:cs="微软雅黑"/>
          <w:color w:val="auto"/>
          <w:sz w:val="24"/>
          <w:highlight w:val="none"/>
        </w:rPr>
        <w:t>中有特殊要求外，</w:t>
      </w:r>
      <w:r>
        <w:rPr>
          <w:rFonts w:hint="eastAsia" w:ascii="微软雅黑" w:hAnsi="微软雅黑" w:eastAsia="微软雅黑" w:cs="微软雅黑"/>
          <w:color w:val="auto"/>
          <w:sz w:val="24"/>
          <w:highlight w:val="none"/>
          <w:lang w:eastAsia="zh-CN"/>
        </w:rPr>
        <w:t>响应文件</w:t>
      </w:r>
      <w:r>
        <w:rPr>
          <w:rFonts w:hint="eastAsia" w:ascii="微软雅黑" w:hAnsi="微软雅黑" w:eastAsia="微软雅黑" w:cs="微软雅黑"/>
          <w:color w:val="auto"/>
          <w:sz w:val="24"/>
          <w:highlight w:val="none"/>
        </w:rPr>
        <w:t>中所使用的计量单位，应采用中华人民共和国法定计量单位。</w:t>
      </w:r>
    </w:p>
    <w:p w14:paraId="222814F1">
      <w:pPr>
        <w:pStyle w:val="2"/>
        <w:tabs>
          <w:tab w:val="left" w:pos="900"/>
        </w:tabs>
        <w:spacing w:before="0" w:after="0" w:line="400" w:lineRule="exact"/>
        <w:rPr>
          <w:rFonts w:hint="eastAsia" w:ascii="微软雅黑" w:hAnsi="微软雅黑" w:eastAsia="微软雅黑" w:cs="微软雅黑"/>
          <w:color w:val="auto"/>
          <w:u w:val="none"/>
        </w:rPr>
      </w:pPr>
      <w:bookmarkStart w:id="117" w:name="_Ref467306195"/>
      <w:bookmarkStart w:id="118" w:name="_Toc516367022"/>
      <w:bookmarkStart w:id="119" w:name="_Ref467306676"/>
      <w:bookmarkStart w:id="120" w:name="_Toc3145"/>
      <w:bookmarkStart w:id="121" w:name="_Toc25716"/>
      <w:bookmarkStart w:id="122" w:name="_Toc22633"/>
      <w:bookmarkStart w:id="123" w:name="_Toc518923071"/>
      <w:bookmarkStart w:id="124" w:name="_Toc15487"/>
      <w:bookmarkStart w:id="125" w:name="_Toc31935_WPSOffice_Level2"/>
      <w:bookmarkStart w:id="126" w:name="_Toc28019"/>
      <w:bookmarkStart w:id="127" w:name="_Toc28579_WPSOffice_Level2"/>
      <w:bookmarkStart w:id="128" w:name="_Toc520356152"/>
      <w:r>
        <w:rPr>
          <w:rFonts w:hint="eastAsia" w:ascii="微软雅黑" w:hAnsi="微软雅黑" w:eastAsia="微软雅黑" w:cs="微软雅黑"/>
          <w:color w:val="auto"/>
          <w:u w:val="none"/>
        </w:rPr>
        <w:t>9.</w:t>
      </w:r>
      <w:bookmarkEnd w:id="117"/>
      <w:bookmarkEnd w:id="118"/>
      <w:bookmarkEnd w:id="119"/>
      <w:r>
        <w:rPr>
          <w:rFonts w:hint="eastAsia" w:ascii="微软雅黑" w:hAnsi="微软雅黑" w:eastAsia="微软雅黑" w:cs="微软雅黑"/>
          <w:color w:val="auto"/>
          <w:u w:val="none"/>
        </w:rPr>
        <w:t>响应文件构成</w:t>
      </w:r>
      <w:bookmarkEnd w:id="120"/>
      <w:bookmarkEnd w:id="121"/>
      <w:bookmarkEnd w:id="122"/>
      <w:bookmarkEnd w:id="123"/>
      <w:bookmarkEnd w:id="124"/>
      <w:bookmarkEnd w:id="125"/>
      <w:bookmarkEnd w:id="126"/>
      <w:bookmarkEnd w:id="127"/>
      <w:bookmarkEnd w:id="128"/>
    </w:p>
    <w:p w14:paraId="63AA1124">
      <w:pPr>
        <w:tabs>
          <w:tab w:val="left" w:pos="900"/>
          <w:tab w:val="left" w:pos="5580"/>
        </w:tabs>
        <w:spacing w:line="400" w:lineRule="exact"/>
        <w:ind w:left="960" w:hanging="960" w:hangingChars="400"/>
        <w:jc w:val="left"/>
        <w:rPr>
          <w:rFonts w:hint="eastAsia" w:ascii="微软雅黑" w:hAnsi="微软雅黑" w:eastAsia="微软雅黑" w:cs="微软雅黑"/>
          <w:b/>
          <w:bCs/>
          <w:color w:val="auto"/>
          <w:kern w:val="0"/>
          <w:sz w:val="24"/>
          <w:szCs w:val="20"/>
          <w:u w:val="single"/>
        </w:rPr>
      </w:pPr>
      <w:bookmarkStart w:id="129" w:name="_Ref467052588"/>
      <w:r>
        <w:rPr>
          <w:rFonts w:hint="eastAsia" w:ascii="微软雅黑" w:hAnsi="微软雅黑" w:eastAsia="微软雅黑" w:cs="微软雅黑"/>
          <w:color w:val="auto"/>
          <w:sz w:val="24"/>
        </w:rPr>
        <w:t xml:space="preserve">9.1     </w:t>
      </w:r>
      <w:bookmarkEnd w:id="129"/>
      <w:r>
        <w:rPr>
          <w:rFonts w:hint="eastAsia" w:ascii="微软雅黑" w:hAnsi="微软雅黑" w:eastAsia="微软雅黑" w:cs="微软雅黑"/>
          <w:b/>
          <w:bCs/>
          <w:color w:val="auto"/>
          <w:sz w:val="24"/>
          <w:u w:val="single"/>
        </w:rPr>
        <w:t>供应商应完整地按</w:t>
      </w:r>
      <w:r>
        <w:rPr>
          <w:rFonts w:hint="eastAsia" w:ascii="微软雅黑" w:hAnsi="微软雅黑" w:eastAsia="微软雅黑" w:cs="微软雅黑"/>
          <w:b/>
          <w:bCs/>
          <w:color w:val="auto"/>
          <w:sz w:val="24"/>
          <w:u w:val="single"/>
          <w:lang w:eastAsia="zh-CN"/>
        </w:rPr>
        <w:t>磋商文件</w:t>
      </w:r>
      <w:r>
        <w:rPr>
          <w:rFonts w:hint="eastAsia" w:ascii="微软雅黑" w:hAnsi="微软雅黑" w:eastAsia="微软雅黑" w:cs="微软雅黑"/>
          <w:b/>
          <w:bCs/>
          <w:color w:val="auto"/>
          <w:sz w:val="24"/>
          <w:u w:val="single"/>
        </w:rPr>
        <w:t>提供的</w:t>
      </w:r>
      <w:r>
        <w:rPr>
          <w:rFonts w:hint="eastAsia" w:ascii="微软雅黑" w:hAnsi="微软雅黑" w:eastAsia="微软雅黑" w:cs="微软雅黑"/>
          <w:b/>
          <w:bCs/>
          <w:color w:val="auto"/>
          <w:sz w:val="24"/>
          <w:u w:val="single"/>
          <w:lang w:eastAsia="zh-CN"/>
        </w:rPr>
        <w:t>响应文件</w:t>
      </w:r>
      <w:r>
        <w:rPr>
          <w:rFonts w:hint="eastAsia" w:ascii="微软雅黑" w:hAnsi="微软雅黑" w:eastAsia="微软雅黑" w:cs="微软雅黑"/>
          <w:b/>
          <w:bCs/>
          <w:color w:val="auto"/>
          <w:sz w:val="24"/>
          <w:u w:val="single"/>
        </w:rPr>
        <w:t>格式及要求编写</w:t>
      </w:r>
      <w:r>
        <w:rPr>
          <w:rFonts w:hint="eastAsia" w:ascii="微软雅黑" w:hAnsi="微软雅黑" w:eastAsia="微软雅黑" w:cs="微软雅黑"/>
          <w:b/>
          <w:bCs/>
          <w:color w:val="auto"/>
          <w:sz w:val="24"/>
          <w:u w:val="single"/>
          <w:lang w:eastAsia="zh-CN"/>
        </w:rPr>
        <w:t>响应文件</w:t>
      </w:r>
      <w:r>
        <w:rPr>
          <w:rFonts w:hint="eastAsia" w:ascii="微软雅黑" w:hAnsi="微软雅黑" w:eastAsia="微软雅黑" w:cs="微软雅黑"/>
          <w:b/>
          <w:bCs/>
          <w:color w:val="auto"/>
          <w:sz w:val="24"/>
          <w:u w:val="single"/>
        </w:rPr>
        <w:t>，根据平台关联点上传对应佐证资料，</w:t>
      </w:r>
      <w:r>
        <w:rPr>
          <w:rFonts w:hint="eastAsia" w:ascii="微软雅黑" w:hAnsi="微软雅黑" w:eastAsia="微软雅黑" w:cs="微软雅黑"/>
          <w:b/>
          <w:bCs/>
          <w:color w:val="auto"/>
          <w:sz w:val="24"/>
          <w:u w:val="single"/>
          <w:lang w:eastAsia="zh-CN"/>
        </w:rPr>
        <w:t>响应文件</w:t>
      </w:r>
      <w:r>
        <w:rPr>
          <w:rFonts w:hint="eastAsia" w:ascii="微软雅黑" w:hAnsi="微软雅黑" w:eastAsia="微软雅黑" w:cs="微软雅黑"/>
          <w:b/>
          <w:bCs/>
          <w:color w:val="auto"/>
          <w:sz w:val="24"/>
          <w:u w:val="single"/>
        </w:rPr>
        <w:t>应包括“</w:t>
      </w:r>
      <w:r>
        <w:rPr>
          <w:rFonts w:hint="eastAsia" w:ascii="微软雅黑" w:hAnsi="微软雅黑" w:eastAsia="微软雅黑" w:cs="微软雅黑"/>
          <w:b/>
          <w:bCs/>
          <w:color w:val="auto"/>
          <w:sz w:val="24"/>
          <w:u w:val="single"/>
          <w:lang w:eastAsia="zh-CN"/>
        </w:rPr>
        <w:t>磋商一览表</w:t>
      </w:r>
      <w:r>
        <w:rPr>
          <w:rFonts w:hint="eastAsia" w:ascii="微软雅黑" w:hAnsi="微软雅黑" w:eastAsia="微软雅黑" w:cs="微软雅黑"/>
          <w:b/>
          <w:bCs/>
          <w:color w:val="auto"/>
          <w:sz w:val="24"/>
          <w:u w:val="single"/>
        </w:rPr>
        <w:t>及资格证明文件”和“商务及技术文件”两部分，两部分合并成完整一册</w:t>
      </w:r>
      <w:r>
        <w:rPr>
          <w:rFonts w:hint="eastAsia" w:ascii="微软雅黑" w:hAnsi="微软雅黑" w:eastAsia="微软雅黑" w:cs="微软雅黑"/>
          <w:b/>
          <w:bCs/>
          <w:color w:val="auto"/>
          <w:sz w:val="24"/>
          <w:u w:val="single"/>
          <w:lang w:val="en-US" w:eastAsia="zh-CN"/>
        </w:rPr>
        <w:t>经CA证书加密后上传提交</w:t>
      </w:r>
      <w:r>
        <w:rPr>
          <w:rFonts w:hint="eastAsia" w:ascii="微软雅黑" w:hAnsi="微软雅黑" w:eastAsia="微软雅黑" w:cs="微软雅黑"/>
          <w:b/>
          <w:bCs/>
          <w:color w:val="auto"/>
          <w:sz w:val="24"/>
          <w:u w:val="single"/>
        </w:rPr>
        <w:t>至政采云平台</w:t>
      </w:r>
      <w:r>
        <w:rPr>
          <w:rFonts w:hint="eastAsia" w:ascii="微软雅黑" w:hAnsi="微软雅黑" w:eastAsia="微软雅黑" w:cs="微软雅黑"/>
          <w:b/>
          <w:bCs/>
          <w:color w:val="auto"/>
          <w:sz w:val="24"/>
          <w:u w:val="single"/>
          <w:lang w:val="en-US" w:eastAsia="zh-CN"/>
        </w:rPr>
        <w:t>（严格按照政采云电子投标流程制作并上传电子响应文件）。</w:t>
      </w:r>
    </w:p>
    <w:p w14:paraId="7A8957EA">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9.2    上述文件应按照磋商文件规定的格式填写、签署和盖章。</w:t>
      </w:r>
    </w:p>
    <w:p w14:paraId="0534E3F1">
      <w:pPr>
        <w:pStyle w:val="2"/>
        <w:tabs>
          <w:tab w:val="left" w:pos="900"/>
        </w:tabs>
        <w:spacing w:before="0" w:after="0" w:line="400" w:lineRule="exact"/>
        <w:rPr>
          <w:rFonts w:hint="eastAsia" w:ascii="微软雅黑" w:hAnsi="微软雅黑" w:eastAsia="微软雅黑" w:cs="微软雅黑"/>
          <w:color w:val="auto"/>
          <w:u w:val="none"/>
        </w:rPr>
      </w:pPr>
      <w:bookmarkStart w:id="130" w:name="_Toc28671"/>
      <w:bookmarkStart w:id="131" w:name="_Toc516367023"/>
      <w:bookmarkStart w:id="132" w:name="_Toc518923072"/>
      <w:bookmarkStart w:id="133" w:name="_Toc520356153"/>
      <w:bookmarkStart w:id="134" w:name="_Toc508185920"/>
      <w:bookmarkStart w:id="135" w:name="_Toc26104"/>
      <w:bookmarkStart w:id="136" w:name="_Toc10751_WPSOffice_Level2"/>
      <w:bookmarkStart w:id="137" w:name="_Toc2671"/>
      <w:bookmarkStart w:id="138" w:name="_Toc5768_WPSOffice_Level2"/>
      <w:bookmarkStart w:id="139" w:name="_Toc25744"/>
      <w:bookmarkStart w:id="140" w:name="_Toc2331"/>
      <w:bookmarkStart w:id="141" w:name="_Toc520356155"/>
      <w:r>
        <w:rPr>
          <w:rFonts w:hint="eastAsia" w:ascii="微软雅黑" w:hAnsi="微软雅黑" w:eastAsia="微软雅黑" w:cs="微软雅黑"/>
          <w:color w:val="auto"/>
          <w:u w:val="none"/>
        </w:rPr>
        <w:t>10.</w:t>
      </w:r>
      <w:r>
        <w:rPr>
          <w:rFonts w:hint="eastAsia" w:ascii="微软雅黑" w:hAnsi="微软雅黑" w:eastAsia="微软雅黑" w:cs="微软雅黑"/>
          <w:color w:val="auto"/>
          <w:u w:val="none"/>
        </w:rPr>
        <w:tab/>
      </w:r>
      <w:bookmarkEnd w:id="130"/>
      <w:bookmarkEnd w:id="131"/>
      <w:bookmarkEnd w:id="132"/>
      <w:bookmarkEnd w:id="133"/>
      <w:bookmarkEnd w:id="134"/>
      <w:bookmarkEnd w:id="135"/>
      <w:bookmarkEnd w:id="136"/>
      <w:bookmarkEnd w:id="137"/>
      <w:bookmarkEnd w:id="138"/>
      <w:bookmarkEnd w:id="139"/>
      <w:r>
        <w:rPr>
          <w:rFonts w:hint="eastAsia" w:ascii="微软雅黑" w:hAnsi="微软雅黑" w:eastAsia="微软雅黑" w:cs="微软雅黑"/>
          <w:color w:val="auto"/>
          <w:highlight w:val="none"/>
          <w:u w:val="none"/>
        </w:rPr>
        <w:t>证明</w:t>
      </w:r>
      <w:r>
        <w:rPr>
          <w:rFonts w:hint="eastAsia" w:ascii="微软雅黑" w:hAnsi="微软雅黑" w:eastAsia="微软雅黑" w:cs="微软雅黑"/>
          <w:color w:val="auto"/>
          <w:highlight w:val="none"/>
          <w:u w:val="none"/>
          <w:lang w:val="en-US" w:eastAsia="zh-CN"/>
        </w:rPr>
        <w:t>磋商</w:t>
      </w:r>
      <w:r>
        <w:rPr>
          <w:rFonts w:hint="eastAsia" w:ascii="微软雅黑" w:hAnsi="微软雅黑" w:eastAsia="微软雅黑" w:cs="微软雅黑"/>
          <w:color w:val="auto"/>
          <w:highlight w:val="none"/>
          <w:u w:val="none"/>
        </w:rPr>
        <w:t>的合格性和符合</w:t>
      </w:r>
      <w:r>
        <w:rPr>
          <w:rFonts w:hint="eastAsia" w:ascii="微软雅黑" w:hAnsi="微软雅黑" w:eastAsia="微软雅黑" w:cs="微软雅黑"/>
          <w:color w:val="auto"/>
          <w:highlight w:val="none"/>
          <w:u w:val="none"/>
          <w:lang w:eastAsia="zh-CN"/>
        </w:rPr>
        <w:t>磋商文件</w:t>
      </w:r>
      <w:r>
        <w:rPr>
          <w:rFonts w:hint="eastAsia" w:ascii="微软雅黑" w:hAnsi="微软雅黑" w:eastAsia="微软雅黑" w:cs="微软雅黑"/>
          <w:color w:val="auto"/>
          <w:highlight w:val="none"/>
          <w:u w:val="none"/>
        </w:rPr>
        <w:t>规定的技术文件</w:t>
      </w:r>
      <w:bookmarkEnd w:id="140"/>
    </w:p>
    <w:p w14:paraId="5BB6F939">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10.1</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供应商应提交证明文件，证明其磋商内容符合磋商文件规定。该证明文件是响应文件的一部分。</w:t>
      </w:r>
    </w:p>
    <w:p w14:paraId="0B58026F">
      <w:pPr>
        <w:spacing w:line="400" w:lineRule="exact"/>
        <w:ind w:left="900" w:hanging="900" w:hangingChars="375"/>
        <w:rPr>
          <w:rFonts w:hint="eastAsia" w:ascii="微软雅黑" w:hAnsi="微软雅黑" w:eastAsia="微软雅黑" w:cs="微软雅黑"/>
          <w:color w:val="auto"/>
          <w:sz w:val="24"/>
        </w:rPr>
      </w:pPr>
      <w:bookmarkStart w:id="142" w:name="_Ref467306244"/>
      <w:r>
        <w:rPr>
          <w:rFonts w:hint="eastAsia" w:ascii="微软雅黑" w:hAnsi="微软雅黑" w:eastAsia="微软雅黑" w:cs="微软雅黑"/>
          <w:color w:val="auto"/>
          <w:sz w:val="24"/>
        </w:rPr>
        <w:t>10.2</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上款所述的证明文件，可以是文字资料、图纸和数据</w:t>
      </w:r>
      <w:bookmarkEnd w:id="142"/>
      <w:r>
        <w:rPr>
          <w:rFonts w:hint="eastAsia" w:ascii="微软雅黑" w:hAnsi="微软雅黑" w:eastAsia="微软雅黑" w:cs="微软雅黑"/>
          <w:color w:val="auto"/>
          <w:sz w:val="24"/>
        </w:rPr>
        <w:t>。</w:t>
      </w:r>
    </w:p>
    <w:p w14:paraId="75C7AD5A">
      <w:pPr>
        <w:pStyle w:val="2"/>
        <w:spacing w:before="0" w:after="0" w:line="400" w:lineRule="exact"/>
        <w:rPr>
          <w:rFonts w:hint="eastAsia" w:ascii="微软雅黑" w:hAnsi="微软雅黑" w:eastAsia="微软雅黑" w:cs="微软雅黑"/>
          <w:color w:val="auto"/>
          <w:u w:val="none"/>
        </w:rPr>
      </w:pPr>
      <w:bookmarkStart w:id="143" w:name="_Toc518923073"/>
      <w:bookmarkStart w:id="144" w:name="_Toc8529"/>
      <w:bookmarkStart w:id="145" w:name="_Toc16161"/>
      <w:bookmarkStart w:id="146" w:name="_Toc26384"/>
      <w:bookmarkStart w:id="147" w:name="_Toc31272"/>
      <w:bookmarkStart w:id="148" w:name="_Toc15335_WPSOffice_Level2"/>
      <w:bookmarkStart w:id="149" w:name="_Toc24379"/>
      <w:bookmarkStart w:id="150" w:name="_Toc32368_WPSOffice_Level2"/>
      <w:r>
        <w:rPr>
          <w:rFonts w:hint="eastAsia" w:ascii="微软雅黑" w:hAnsi="微软雅黑" w:eastAsia="微软雅黑" w:cs="微软雅黑"/>
          <w:color w:val="auto"/>
          <w:u w:val="none"/>
        </w:rPr>
        <w:t>11.</w:t>
      </w:r>
      <w:bookmarkEnd w:id="141"/>
      <w:bookmarkEnd w:id="143"/>
      <w:bookmarkEnd w:id="144"/>
      <w:r>
        <w:rPr>
          <w:rFonts w:hint="eastAsia" w:ascii="微软雅黑" w:hAnsi="微软雅黑" w:eastAsia="微软雅黑" w:cs="微软雅黑"/>
          <w:color w:val="auto"/>
          <w:u w:val="none"/>
        </w:rPr>
        <w:t>磋商报价</w:t>
      </w:r>
      <w:bookmarkEnd w:id="145"/>
      <w:bookmarkEnd w:id="146"/>
      <w:bookmarkEnd w:id="147"/>
      <w:bookmarkEnd w:id="148"/>
      <w:bookmarkEnd w:id="149"/>
      <w:bookmarkEnd w:id="150"/>
    </w:p>
    <w:p w14:paraId="0D1F5A98">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11.1</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所有响应文件均以人民币报价。供应商的磋商报价应遵守《中华人民共和国价格法》。同时，根据《中华人民共和国政府采购法》第二条的规定，为保证公平竞争，如有主体磋商标的的赠与行为，其磋商将被认定为磋商无效。</w:t>
      </w:r>
    </w:p>
    <w:p w14:paraId="44C5ED62">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11.2</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highlight w:val="none"/>
        </w:rPr>
        <w:t>供应商应在标的分项报价表上标明分项服务的价格（如适用）和总价，并由法定代表人或其委托代理人签署。</w:t>
      </w:r>
    </w:p>
    <w:p w14:paraId="745271C3">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11.3</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采购人不接受具有附加条件的报价。</w:t>
      </w:r>
    </w:p>
    <w:p w14:paraId="4718DAEF">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11.4</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供应商所报的各分项磋商报价在合同履行过程中是固定不变的，不得以任何理由予以变更。任何包含价格调整要求的磋商，将被认定为磋商无效。</w:t>
      </w:r>
    </w:p>
    <w:p w14:paraId="3ECE0015">
      <w:pPr>
        <w:spacing w:line="400" w:lineRule="exact"/>
        <w:ind w:left="900" w:hanging="900" w:hangingChars="375"/>
        <w:rPr>
          <w:rFonts w:hint="eastAsia" w:ascii="微软雅黑" w:hAnsi="微软雅黑" w:eastAsia="微软雅黑" w:cs="微软雅黑"/>
          <w:b/>
          <w:bCs/>
          <w:color w:val="auto"/>
          <w:sz w:val="24"/>
          <w:u w:val="single"/>
        </w:rPr>
      </w:pPr>
      <w:r>
        <w:rPr>
          <w:rFonts w:hint="eastAsia" w:ascii="微软雅黑" w:hAnsi="微软雅黑" w:eastAsia="微软雅黑" w:cs="微软雅黑"/>
          <w:color w:val="auto"/>
          <w:sz w:val="24"/>
        </w:rPr>
        <w:t xml:space="preserve">11.5   </w:t>
      </w:r>
      <w:r>
        <w:rPr>
          <w:rFonts w:hint="eastAsia" w:ascii="微软雅黑" w:hAnsi="微软雅黑" w:eastAsia="微软雅黑" w:cs="微软雅黑"/>
          <w:b/>
          <w:bCs/>
          <w:color w:val="auto"/>
          <w:sz w:val="24"/>
          <w:u w:val="single"/>
        </w:rPr>
        <w:t>竞争性磋商共有两次报价，二次报价为最终报价，磋商小组所有成员集中与单一供应商分别进行磋商，并给予所有参加磋商的供应商平等的磋商机会， 磋商小组要求所有实质性响应的供应商在规定时间内提交最后报价，最后报价是供应商响应文件的有效组成部分，经磋商确定最终采购需求和提交最后报价的供应商后，由磋商小组采用综合评分法对提交最后报价的供应商的响应文件和最后报价进行综合评分。磋商小组应当从质量和服务均能满足采购文件实质性响应要求的供应商中，按照综合评分由高到低的顺序提出成交候选人，并编写评审报告，将结果通知所有参加磋商的未成交的供应商；</w:t>
      </w:r>
    </w:p>
    <w:p w14:paraId="3C75E520">
      <w:pPr>
        <w:pStyle w:val="2"/>
        <w:spacing w:before="0" w:after="0" w:line="400" w:lineRule="exact"/>
        <w:rPr>
          <w:rFonts w:hint="eastAsia" w:ascii="微软雅黑" w:hAnsi="微软雅黑" w:eastAsia="微软雅黑" w:cs="微软雅黑"/>
          <w:color w:val="auto"/>
          <w:u w:val="none"/>
        </w:rPr>
      </w:pPr>
      <w:bookmarkStart w:id="151" w:name="_Toc518923074"/>
      <w:bookmarkStart w:id="152" w:name="_Ref467306513"/>
      <w:bookmarkStart w:id="153" w:name="_Toc520356156"/>
      <w:bookmarkStart w:id="154" w:name="_Toc16199"/>
      <w:bookmarkStart w:id="155" w:name="_Toc21273"/>
      <w:bookmarkStart w:id="156" w:name="_Toc14499"/>
      <w:bookmarkStart w:id="157" w:name="_Toc3595"/>
      <w:bookmarkStart w:id="158" w:name="_Toc7940"/>
      <w:bookmarkStart w:id="159" w:name="_Toc24125_WPSOffice_Level2"/>
      <w:bookmarkStart w:id="160" w:name="_Toc25748_WPSOffice_Level2"/>
      <w:r>
        <w:rPr>
          <w:rFonts w:hint="eastAsia" w:ascii="微软雅黑" w:hAnsi="微软雅黑" w:eastAsia="微软雅黑" w:cs="微软雅黑"/>
          <w:color w:val="auto"/>
          <w:u w:val="none"/>
        </w:rPr>
        <w:t>12.</w:t>
      </w:r>
      <w:bookmarkEnd w:id="151"/>
      <w:bookmarkEnd w:id="152"/>
      <w:bookmarkEnd w:id="153"/>
      <w:bookmarkEnd w:id="154"/>
      <w:r>
        <w:rPr>
          <w:rFonts w:hint="eastAsia" w:ascii="微软雅黑" w:hAnsi="微软雅黑" w:eastAsia="微软雅黑" w:cs="微软雅黑"/>
          <w:color w:val="auto"/>
          <w:u w:val="none"/>
        </w:rPr>
        <w:t>磋商保证金</w:t>
      </w:r>
      <w:bookmarkEnd w:id="155"/>
      <w:bookmarkEnd w:id="156"/>
      <w:bookmarkEnd w:id="157"/>
      <w:bookmarkEnd w:id="158"/>
      <w:bookmarkEnd w:id="159"/>
      <w:bookmarkEnd w:id="160"/>
    </w:p>
    <w:p w14:paraId="763EC2B1">
      <w:pPr>
        <w:spacing w:line="400" w:lineRule="exact"/>
        <w:ind w:left="900" w:hanging="900" w:hangingChars="375"/>
        <w:rPr>
          <w:rFonts w:hint="eastAsia" w:ascii="微软雅黑" w:hAnsi="微软雅黑" w:eastAsia="微软雅黑" w:cs="微软雅黑"/>
          <w:color w:val="auto"/>
          <w:sz w:val="24"/>
        </w:rPr>
      </w:pPr>
      <w:bookmarkStart w:id="161" w:name="_Ref467306302"/>
      <w:r>
        <w:rPr>
          <w:rFonts w:hint="eastAsia" w:ascii="微软雅黑" w:hAnsi="微软雅黑" w:eastAsia="微软雅黑" w:cs="微软雅黑"/>
          <w:color w:val="auto"/>
          <w:sz w:val="24"/>
        </w:rPr>
        <w:t>12.1</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供应商应提交</w:t>
      </w:r>
      <w:r>
        <w:rPr>
          <w:rFonts w:hint="eastAsia" w:ascii="微软雅黑" w:hAnsi="微软雅黑" w:eastAsia="微软雅黑" w:cs="微软雅黑"/>
          <w:color w:val="auto"/>
          <w:sz w:val="24"/>
          <w:u w:val="single"/>
        </w:rPr>
        <w:t>供应商须知资料表</w:t>
      </w:r>
      <w:r>
        <w:rPr>
          <w:rFonts w:hint="eastAsia" w:ascii="微软雅黑" w:hAnsi="微软雅黑" w:eastAsia="微软雅黑" w:cs="微软雅黑"/>
          <w:color w:val="auto"/>
          <w:sz w:val="24"/>
        </w:rPr>
        <w:t>中规定的</w:t>
      </w:r>
      <w:bookmarkEnd w:id="161"/>
      <w:r>
        <w:rPr>
          <w:rFonts w:hint="eastAsia" w:ascii="微软雅黑" w:hAnsi="微软雅黑" w:eastAsia="微软雅黑" w:cs="微软雅黑"/>
          <w:color w:val="auto"/>
          <w:sz w:val="24"/>
        </w:rPr>
        <w:t>磋商保证金，并作为其磋商的一部分。</w:t>
      </w:r>
    </w:p>
    <w:p w14:paraId="6895627B">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12.2</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供应商存在下列情形的，磋商保证金不予退还：</w:t>
      </w:r>
    </w:p>
    <w:p w14:paraId="044ABE7E">
      <w:pPr>
        <w:spacing w:line="400" w:lineRule="exact"/>
        <w:ind w:left="1752" w:leftChars="400" w:hanging="912" w:hangingChars="380"/>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（1）在磋商有效期内，撤销磋商的；</w:t>
      </w:r>
    </w:p>
    <w:p w14:paraId="0784EB2D">
      <w:pPr>
        <w:pStyle w:val="16"/>
        <w:tabs>
          <w:tab w:val="left" w:pos="2240"/>
        </w:tabs>
        <w:spacing w:line="400" w:lineRule="exact"/>
        <w:ind w:left="1079" w:leftChars="371" w:hanging="300" w:hangingChars="12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（2）成交后不按本须知第30条的规定与采购人签订合同的；</w:t>
      </w:r>
    </w:p>
    <w:p w14:paraId="1A03AA49">
      <w:pPr>
        <w:pStyle w:val="16"/>
        <w:tabs>
          <w:tab w:val="left" w:pos="2240"/>
        </w:tabs>
        <w:spacing w:line="400" w:lineRule="exact"/>
        <w:ind w:left="1079" w:leftChars="371" w:hanging="300" w:hangingChars="12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（3）成交后不按本须知第31条的规定缴纳成交服务费的；</w:t>
      </w:r>
      <w:bookmarkStart w:id="162" w:name="_Ref467306336"/>
    </w:p>
    <w:p w14:paraId="69266F99">
      <w:pPr>
        <w:pStyle w:val="16"/>
        <w:tabs>
          <w:tab w:val="left" w:pos="2240"/>
        </w:tabs>
        <w:spacing w:line="400" w:lineRule="exact"/>
        <w:ind w:left="1079" w:leftChars="371" w:hanging="300" w:hangingChars="1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（4）</w:t>
      </w:r>
      <w:r>
        <w:rPr>
          <w:rFonts w:hint="eastAsia" w:ascii="微软雅黑" w:hAnsi="微软雅黑" w:eastAsia="微软雅黑" w:cs="微软雅黑"/>
          <w:color w:val="auto"/>
          <w:sz w:val="24"/>
          <w:highlight w:val="none"/>
          <w:lang w:val="en-US" w:eastAsia="zh-CN"/>
        </w:rPr>
        <w:t>成交</w:t>
      </w:r>
      <w:r>
        <w:rPr>
          <w:rFonts w:hint="eastAsia" w:ascii="微软雅黑" w:hAnsi="微软雅黑" w:eastAsia="微软雅黑" w:cs="微软雅黑"/>
          <w:color w:val="auto"/>
          <w:sz w:val="24"/>
          <w:highlight w:val="none"/>
        </w:rPr>
        <w:t>后不按本须知第32条的规定缴纳</w:t>
      </w:r>
      <w:r>
        <w:rPr>
          <w:rFonts w:hint="eastAsia" w:ascii="微软雅黑" w:hAnsi="微软雅黑" w:eastAsia="微软雅黑" w:cs="微软雅黑"/>
          <w:color w:val="auto"/>
          <w:sz w:val="24"/>
          <w:highlight w:val="none"/>
          <w:lang w:eastAsia="zh-CN"/>
        </w:rPr>
        <w:t>成交服务费</w:t>
      </w:r>
      <w:r>
        <w:rPr>
          <w:rFonts w:hint="eastAsia" w:ascii="微软雅黑" w:hAnsi="微软雅黑" w:eastAsia="微软雅黑" w:cs="微软雅黑"/>
          <w:color w:val="auto"/>
          <w:sz w:val="24"/>
          <w:highlight w:val="none"/>
        </w:rPr>
        <w:t>的；</w:t>
      </w:r>
    </w:p>
    <w:p w14:paraId="605EB9ED">
      <w:pPr>
        <w:pStyle w:val="16"/>
        <w:tabs>
          <w:tab w:val="left" w:pos="2240"/>
        </w:tabs>
        <w:spacing w:line="400" w:lineRule="exact"/>
        <w:ind w:left="1079" w:leftChars="371" w:hanging="300" w:hangingChars="1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（5）存在其他违法违规行为的。</w:t>
      </w:r>
    </w:p>
    <w:p w14:paraId="2B914F9A">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12.3</w:t>
      </w:r>
      <w:r>
        <w:rPr>
          <w:rFonts w:hint="eastAsia" w:ascii="微软雅黑" w:hAnsi="微软雅黑" w:eastAsia="微软雅黑" w:cs="微软雅黑"/>
          <w:color w:val="auto"/>
          <w:sz w:val="24"/>
        </w:rPr>
        <w:tab/>
      </w:r>
      <w:bookmarkEnd w:id="162"/>
      <w:r>
        <w:rPr>
          <w:rFonts w:hint="eastAsia" w:ascii="微软雅黑" w:hAnsi="微软雅黑" w:eastAsia="微软雅黑" w:cs="微软雅黑"/>
          <w:color w:val="auto"/>
          <w:sz w:val="24"/>
        </w:rPr>
        <w:t>政府采购信用担保试点范围内的项目，接受符合财政部门规定的政府采购磋商担保函原件。</w:t>
      </w:r>
    </w:p>
    <w:p w14:paraId="4DDAA753">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12.4</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供应商未按本须知第12.1和12.3条规定提交磋商保证金的，其磋商资格将被认定为</w:t>
      </w:r>
      <w:r>
        <w:rPr>
          <w:rFonts w:hint="eastAsia" w:ascii="微软雅黑" w:hAnsi="微软雅黑" w:eastAsia="微软雅黑" w:cs="微软雅黑"/>
          <w:b/>
          <w:color w:val="auto"/>
          <w:sz w:val="24"/>
        </w:rPr>
        <w:t>无效</w:t>
      </w:r>
      <w:r>
        <w:rPr>
          <w:rFonts w:hint="eastAsia" w:ascii="微软雅黑" w:hAnsi="微软雅黑" w:eastAsia="微软雅黑" w:cs="微软雅黑"/>
          <w:color w:val="auto"/>
          <w:sz w:val="24"/>
        </w:rPr>
        <w:t>。</w:t>
      </w:r>
    </w:p>
    <w:p w14:paraId="28282263">
      <w:pPr>
        <w:spacing w:line="400" w:lineRule="exac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12.4.1  采用电汇形式的，一般可以实时入账；</w:t>
      </w:r>
    </w:p>
    <w:p w14:paraId="6298BD8E">
      <w:pPr>
        <w:spacing w:line="400" w:lineRule="exact"/>
        <w:ind w:left="960" w:hanging="960" w:hangingChars="400"/>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12.4.2  采用支票形式的，供应商则应充分考虑支票入账时间，以确保磋商保证金能按时进入指定账户。根据银行信息交换和付款时间，支票从递交至实际入账一般需要4-5个工作日。如供应商未及时提交支票或支票不符合银行委托收款要求（如污损、折叠、胶装等），导致磋商保证金不能按时进入指定账户的，将按照磋商文件的第22.2条相关规定处理。</w:t>
      </w:r>
    </w:p>
    <w:p w14:paraId="5CFC6D39">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12.5    联合体磋商的，可以由联合体中的一方或者共同提交磋商保证金。以一方名义提交磋商保证金的，对联合体各方均具有约束力。</w:t>
      </w:r>
    </w:p>
    <w:p w14:paraId="28C880AB">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12.6</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 xml:space="preserve"> </w:t>
      </w:r>
      <w:r>
        <w:rPr>
          <w:rFonts w:hint="eastAsia" w:ascii="微软雅黑" w:hAnsi="微软雅黑" w:eastAsia="微软雅黑" w:cs="微软雅黑"/>
          <w:b/>
          <w:color w:val="auto"/>
          <w:sz w:val="24"/>
        </w:rPr>
        <w:t>磋商保证金的退还</w:t>
      </w:r>
    </w:p>
    <w:p w14:paraId="313B8F5B">
      <w:pPr>
        <w:spacing w:line="400" w:lineRule="exact"/>
        <w:ind w:left="1020" w:hanging="1020" w:hangingChars="42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xml:space="preserve">12.6.1  </w:t>
      </w:r>
      <w:r>
        <w:rPr>
          <w:rFonts w:hint="eastAsia" w:ascii="微软雅黑" w:hAnsi="微软雅黑" w:eastAsia="微软雅黑" w:cs="微软雅黑"/>
          <w:b/>
          <w:color w:val="auto"/>
          <w:sz w:val="24"/>
        </w:rPr>
        <w:t>成交人应在与采购人签订合同之日起5个工作日内，及时联系保证金收受机构办理磋商保证金无息退还手续。</w:t>
      </w:r>
    </w:p>
    <w:p w14:paraId="0F6B88DF">
      <w:pPr>
        <w:spacing w:line="400" w:lineRule="exact"/>
        <w:ind w:left="1020" w:hanging="1020" w:hangingChars="42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12.6.2  未成交供应商的磋商保证金将在成交通知书发出之日暨成交结果公告公布之日起5个工作日内无息退还。供应商及时联系保证金收受机构办理退还磋商保证金手续。</w:t>
      </w:r>
      <w:bookmarkStart w:id="163" w:name="_Toc518923075"/>
    </w:p>
    <w:p w14:paraId="05700E7E">
      <w:pPr>
        <w:spacing w:line="400" w:lineRule="exact"/>
        <w:ind w:left="893" w:hanging="892" w:hangingChars="425"/>
        <w:rPr>
          <w:rFonts w:hint="eastAsia" w:ascii="微软雅黑" w:hAnsi="微软雅黑" w:eastAsia="微软雅黑" w:cs="微软雅黑"/>
          <w:bCs/>
          <w:color w:val="auto"/>
        </w:rPr>
      </w:pPr>
      <w:r>
        <w:rPr>
          <w:rFonts w:hint="eastAsia" w:ascii="微软雅黑" w:hAnsi="微软雅黑" w:eastAsia="微软雅黑" w:cs="微软雅黑"/>
          <w:bCs/>
          <w:color w:val="auto"/>
        </w:rPr>
        <w:t xml:space="preserve">12.6.3  </w:t>
      </w:r>
      <w:r>
        <w:rPr>
          <w:rFonts w:hint="eastAsia" w:ascii="微软雅黑" w:hAnsi="微软雅黑" w:eastAsia="微软雅黑" w:cs="微软雅黑"/>
          <w:color w:val="auto"/>
          <w:sz w:val="24"/>
        </w:rPr>
        <w:t>政府采购磋商担保函不予退回。</w:t>
      </w:r>
      <w:bookmarkEnd w:id="163"/>
    </w:p>
    <w:p w14:paraId="610A47AD">
      <w:pPr>
        <w:spacing w:line="400" w:lineRule="exact"/>
        <w:ind w:left="960" w:hanging="960" w:hangingChars="400"/>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12.7   因供应商自身原因导致无法及时退还的，采购人或采购代理机构将不承担相应责任。</w:t>
      </w:r>
    </w:p>
    <w:p w14:paraId="3FFC025A">
      <w:pPr>
        <w:pStyle w:val="2"/>
        <w:spacing w:before="0" w:after="0" w:line="400" w:lineRule="exact"/>
        <w:rPr>
          <w:rFonts w:hint="eastAsia" w:ascii="微软雅黑" w:hAnsi="微软雅黑" w:eastAsia="微软雅黑" w:cs="微软雅黑"/>
          <w:color w:val="auto"/>
          <w:u w:val="none"/>
        </w:rPr>
      </w:pPr>
      <w:bookmarkStart w:id="164" w:name="_Toc20355"/>
      <w:bookmarkStart w:id="165" w:name="_Toc520356157"/>
      <w:bookmarkStart w:id="166" w:name="_Toc518923076"/>
      <w:bookmarkStart w:id="167" w:name="_Toc21509"/>
      <w:bookmarkStart w:id="168" w:name="_Toc1149"/>
      <w:bookmarkStart w:id="169" w:name="_Toc16901"/>
      <w:bookmarkStart w:id="170" w:name="_Toc11106_WPSOffice_Level2"/>
      <w:bookmarkStart w:id="171" w:name="_Toc4716_WPSOffice_Level2"/>
      <w:r>
        <w:rPr>
          <w:rFonts w:hint="eastAsia" w:ascii="微软雅黑" w:hAnsi="微软雅黑" w:eastAsia="微软雅黑" w:cs="微软雅黑"/>
          <w:color w:val="auto"/>
          <w:u w:val="none"/>
        </w:rPr>
        <w:t>13.</w:t>
      </w:r>
      <w:bookmarkEnd w:id="164"/>
      <w:bookmarkEnd w:id="165"/>
      <w:bookmarkEnd w:id="166"/>
      <w:r>
        <w:rPr>
          <w:rFonts w:hint="eastAsia" w:ascii="微软雅黑" w:hAnsi="微软雅黑" w:eastAsia="微软雅黑" w:cs="微软雅黑"/>
          <w:color w:val="auto"/>
          <w:u w:val="none"/>
        </w:rPr>
        <w:t>磋商有效期</w:t>
      </w:r>
      <w:bookmarkEnd w:id="167"/>
      <w:bookmarkEnd w:id="168"/>
      <w:bookmarkEnd w:id="169"/>
      <w:bookmarkEnd w:id="170"/>
      <w:bookmarkEnd w:id="171"/>
    </w:p>
    <w:p w14:paraId="3210A27D">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13.1</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磋商应在</w:t>
      </w:r>
      <w:r>
        <w:rPr>
          <w:rFonts w:hint="eastAsia" w:ascii="微软雅黑" w:hAnsi="微软雅黑" w:eastAsia="微软雅黑" w:cs="微软雅黑"/>
          <w:color w:val="auto"/>
          <w:sz w:val="24"/>
          <w:u w:val="single"/>
        </w:rPr>
        <w:t>供应商须知资料表</w:t>
      </w:r>
      <w:r>
        <w:rPr>
          <w:rFonts w:hint="eastAsia" w:ascii="微软雅黑" w:hAnsi="微软雅黑" w:eastAsia="微软雅黑" w:cs="微软雅黑"/>
          <w:color w:val="auto"/>
          <w:sz w:val="24"/>
        </w:rPr>
        <w:t>中规定时间内保持有效。磋商有效期不满足要求的响应，其磋商资格将被认定为</w:t>
      </w:r>
      <w:r>
        <w:rPr>
          <w:rFonts w:hint="eastAsia" w:ascii="微软雅黑" w:hAnsi="微软雅黑" w:eastAsia="微软雅黑" w:cs="微软雅黑"/>
          <w:b/>
          <w:color w:val="auto"/>
          <w:sz w:val="24"/>
        </w:rPr>
        <w:t>无效</w:t>
      </w:r>
      <w:r>
        <w:rPr>
          <w:rFonts w:hint="eastAsia" w:ascii="微软雅黑" w:hAnsi="微软雅黑" w:eastAsia="微软雅黑" w:cs="微软雅黑"/>
          <w:color w:val="auto"/>
          <w:sz w:val="24"/>
        </w:rPr>
        <w:t>。</w:t>
      </w:r>
    </w:p>
    <w:p w14:paraId="3D249FB9">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13.2</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为保证有充分时间签订合同，采购人或采购代理机构可根据实际情况，在原磋商有效期截止之前，要求供应商延长响应文件的有效期。接受该要求的供应商将不会被要求和允许修正其磋商，且本须知中有关磋商保证金的要求须在延长的有效期内继续有效。供应商可以拒绝延长磋商有效期的要求，其磋商保证金将及时按规定无息退还。上述要求和答复都应以书面形式提交。</w:t>
      </w:r>
    </w:p>
    <w:p w14:paraId="0CFBA823">
      <w:pPr>
        <w:pStyle w:val="2"/>
        <w:spacing w:before="0" w:after="0" w:line="400" w:lineRule="exact"/>
        <w:rPr>
          <w:rFonts w:hint="eastAsia" w:ascii="微软雅黑" w:hAnsi="微软雅黑" w:eastAsia="微软雅黑" w:cs="微软雅黑"/>
          <w:color w:val="auto"/>
          <w:u w:val="none"/>
        </w:rPr>
      </w:pPr>
      <w:bookmarkStart w:id="172" w:name="_Toc520356158"/>
      <w:bookmarkStart w:id="173" w:name="_Toc31308_WPSOffice_Level2"/>
      <w:bookmarkStart w:id="174" w:name="_Toc24713"/>
      <w:bookmarkStart w:id="175" w:name="_Toc6718"/>
      <w:bookmarkStart w:id="176" w:name="_Toc518923077"/>
      <w:bookmarkStart w:id="177" w:name="_Toc10232"/>
      <w:bookmarkStart w:id="178" w:name="_Toc26406"/>
      <w:bookmarkStart w:id="179" w:name="_Toc27303"/>
      <w:bookmarkStart w:id="180" w:name="_Toc13034_WPSOffice_Level2"/>
      <w:r>
        <w:rPr>
          <w:rFonts w:hint="eastAsia" w:ascii="微软雅黑" w:hAnsi="微软雅黑" w:eastAsia="微软雅黑" w:cs="微软雅黑"/>
          <w:color w:val="auto"/>
          <w:u w:val="none"/>
        </w:rPr>
        <w:t>14.响应文件的签署</w:t>
      </w:r>
      <w:bookmarkEnd w:id="172"/>
      <w:r>
        <w:rPr>
          <w:rFonts w:hint="eastAsia" w:ascii="微软雅黑" w:hAnsi="微软雅黑" w:eastAsia="微软雅黑" w:cs="微软雅黑"/>
          <w:color w:val="auto"/>
          <w:u w:val="none"/>
        </w:rPr>
        <w:t>及规定</w:t>
      </w:r>
      <w:bookmarkEnd w:id="173"/>
      <w:bookmarkEnd w:id="174"/>
      <w:bookmarkEnd w:id="175"/>
      <w:bookmarkEnd w:id="176"/>
      <w:bookmarkEnd w:id="177"/>
      <w:bookmarkEnd w:id="178"/>
      <w:bookmarkEnd w:id="179"/>
      <w:bookmarkEnd w:id="180"/>
    </w:p>
    <w:p w14:paraId="553C1C0C">
      <w:pPr>
        <w:spacing w:line="36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14.1</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highlight w:val="none"/>
        </w:rPr>
        <w:t>供应商应按供应商须知资料表中的规定，准备和</w:t>
      </w:r>
      <w:r>
        <w:rPr>
          <w:rFonts w:hint="eastAsia" w:ascii="微软雅黑" w:hAnsi="微软雅黑" w:eastAsia="微软雅黑" w:cs="微软雅黑"/>
          <w:color w:val="auto"/>
          <w:sz w:val="24"/>
          <w:highlight w:val="none"/>
          <w:lang w:val="en-US" w:eastAsia="zh-CN"/>
        </w:rPr>
        <w:t>上传</w:t>
      </w:r>
      <w:r>
        <w:rPr>
          <w:rFonts w:hint="eastAsia" w:ascii="微软雅黑" w:hAnsi="微软雅黑" w:eastAsia="微软雅黑" w:cs="微软雅黑"/>
          <w:color w:val="auto"/>
          <w:sz w:val="24"/>
          <w:highlight w:val="none"/>
          <w:lang w:eastAsia="zh-CN"/>
        </w:rPr>
        <w:t>响应文件</w:t>
      </w:r>
      <w:r>
        <w:rPr>
          <w:rFonts w:hint="eastAsia" w:ascii="微软雅黑" w:hAnsi="微软雅黑" w:eastAsia="微软雅黑" w:cs="微软雅黑"/>
          <w:color w:val="auto"/>
          <w:sz w:val="24"/>
        </w:rPr>
        <w:t>。</w:t>
      </w:r>
    </w:p>
    <w:p w14:paraId="5E4D0ED7">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14.2</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lang w:eastAsia="zh-CN"/>
        </w:rPr>
        <w:t>响应文件</w:t>
      </w:r>
      <w:r>
        <w:rPr>
          <w:rFonts w:hint="eastAsia" w:ascii="微软雅黑" w:hAnsi="微软雅黑" w:eastAsia="微软雅黑" w:cs="微软雅黑"/>
          <w:color w:val="auto"/>
          <w:sz w:val="24"/>
        </w:rPr>
        <w:t>由供应商的法定代表人或经其正式委托代理人按</w:t>
      </w:r>
      <w:r>
        <w:rPr>
          <w:rFonts w:hint="eastAsia" w:ascii="微软雅黑" w:hAnsi="微软雅黑" w:eastAsia="微软雅黑" w:cs="微软雅黑"/>
          <w:color w:val="auto"/>
          <w:sz w:val="24"/>
          <w:lang w:eastAsia="zh-CN"/>
        </w:rPr>
        <w:t>磋商文件</w:t>
      </w:r>
      <w:r>
        <w:rPr>
          <w:rFonts w:hint="eastAsia" w:ascii="微软雅黑" w:hAnsi="微软雅黑" w:eastAsia="微软雅黑" w:cs="微软雅黑"/>
          <w:color w:val="auto"/>
          <w:sz w:val="24"/>
        </w:rPr>
        <w:t>规定在</w:t>
      </w:r>
      <w:r>
        <w:rPr>
          <w:rFonts w:hint="eastAsia" w:ascii="微软雅黑" w:hAnsi="微软雅黑" w:eastAsia="微软雅黑" w:cs="微软雅黑"/>
          <w:color w:val="auto"/>
          <w:sz w:val="24"/>
          <w:lang w:eastAsia="zh-CN"/>
        </w:rPr>
        <w:t>响应文件</w:t>
      </w:r>
      <w:r>
        <w:rPr>
          <w:rFonts w:hint="eastAsia" w:ascii="微软雅黑" w:hAnsi="微软雅黑" w:eastAsia="微软雅黑" w:cs="微软雅黑"/>
          <w:color w:val="auto"/>
          <w:sz w:val="24"/>
        </w:rPr>
        <w:t>上签字或盖章并加盖单位印章。委托代理人须有书面的“法定代表人授权委托书”，并将其附在</w:t>
      </w:r>
      <w:r>
        <w:rPr>
          <w:rFonts w:hint="eastAsia" w:ascii="微软雅黑" w:hAnsi="微软雅黑" w:eastAsia="微软雅黑" w:cs="微软雅黑"/>
          <w:color w:val="auto"/>
          <w:sz w:val="24"/>
          <w:lang w:eastAsia="zh-CN"/>
        </w:rPr>
        <w:t>响应文件</w:t>
      </w:r>
      <w:r>
        <w:rPr>
          <w:rFonts w:hint="eastAsia" w:ascii="微软雅黑" w:hAnsi="微软雅黑" w:eastAsia="微软雅黑" w:cs="微软雅黑"/>
          <w:color w:val="auto"/>
          <w:sz w:val="24"/>
        </w:rPr>
        <w:t>中。如对</w:t>
      </w:r>
      <w:r>
        <w:rPr>
          <w:rFonts w:hint="eastAsia" w:ascii="微软雅黑" w:hAnsi="微软雅黑" w:eastAsia="微软雅黑" w:cs="微软雅黑"/>
          <w:color w:val="auto"/>
          <w:sz w:val="24"/>
          <w:lang w:eastAsia="zh-CN"/>
        </w:rPr>
        <w:t>响应文件</w:t>
      </w:r>
      <w:r>
        <w:rPr>
          <w:rFonts w:hint="eastAsia" w:ascii="微软雅黑" w:hAnsi="微软雅黑" w:eastAsia="微软雅黑" w:cs="微软雅黑"/>
          <w:color w:val="auto"/>
          <w:sz w:val="24"/>
        </w:rPr>
        <w:t>进行了修改，则应由供应商的法定代表人或其委托代理人在每一修改处签字。</w:t>
      </w:r>
    </w:p>
    <w:p w14:paraId="1638282D">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14.3    响应文件因字迹潦草、表达不清所引起的后果由供应商负责。</w:t>
      </w:r>
    </w:p>
    <w:p w14:paraId="3134D5DF">
      <w:pPr>
        <w:pStyle w:val="4"/>
        <w:spacing w:before="0" w:line="400" w:lineRule="exact"/>
        <w:ind w:left="1080" w:leftChars="257" w:hanging="540"/>
        <w:rPr>
          <w:rFonts w:hint="eastAsia" w:ascii="微软雅黑" w:hAnsi="微软雅黑" w:eastAsia="微软雅黑" w:cs="微软雅黑"/>
          <w:color w:val="auto"/>
        </w:rPr>
      </w:pPr>
      <w:bookmarkStart w:id="181" w:name="_Toc1132"/>
      <w:bookmarkStart w:id="182" w:name="_Toc22303"/>
      <w:bookmarkStart w:id="183" w:name="_Toc23730"/>
      <w:bookmarkStart w:id="184" w:name="_Toc10715356"/>
      <w:bookmarkStart w:id="185" w:name="_Toc216582808"/>
      <w:bookmarkStart w:id="186" w:name="_Toc11544"/>
      <w:bookmarkStart w:id="187" w:name="_Toc518923078"/>
      <w:bookmarkStart w:id="188" w:name="_Toc13622"/>
      <w:bookmarkStart w:id="189" w:name="_Toc30674_WPSOffice_Level1"/>
      <w:bookmarkStart w:id="190" w:name="_Toc520356159"/>
      <w:bookmarkStart w:id="191" w:name="_Toc25699"/>
      <w:r>
        <w:rPr>
          <w:rFonts w:hint="eastAsia" w:ascii="微软雅黑" w:hAnsi="微软雅黑" w:eastAsia="微软雅黑" w:cs="微软雅黑"/>
          <w:color w:val="auto"/>
          <w:sz w:val="24"/>
        </w:rPr>
        <w:t>四   响应文件的递交</w:t>
      </w:r>
      <w:bookmarkEnd w:id="181"/>
      <w:bookmarkEnd w:id="182"/>
      <w:bookmarkEnd w:id="183"/>
      <w:bookmarkEnd w:id="184"/>
      <w:bookmarkEnd w:id="185"/>
      <w:bookmarkEnd w:id="186"/>
      <w:bookmarkEnd w:id="187"/>
      <w:bookmarkEnd w:id="188"/>
      <w:bookmarkEnd w:id="189"/>
      <w:bookmarkEnd w:id="190"/>
      <w:bookmarkEnd w:id="191"/>
    </w:p>
    <w:p w14:paraId="35F3E13D">
      <w:pPr>
        <w:pStyle w:val="2"/>
        <w:spacing w:before="0" w:after="0" w:line="400" w:lineRule="exact"/>
        <w:rPr>
          <w:rFonts w:hint="eastAsia" w:ascii="微软雅黑" w:hAnsi="微软雅黑" w:eastAsia="微软雅黑" w:cs="微软雅黑"/>
          <w:color w:val="auto"/>
          <w:u w:val="none"/>
        </w:rPr>
      </w:pPr>
      <w:bookmarkStart w:id="192" w:name="_Toc6943"/>
      <w:bookmarkStart w:id="193" w:name="_Toc520356160"/>
      <w:bookmarkStart w:id="194" w:name="_Toc4317"/>
      <w:bookmarkStart w:id="195" w:name="_Toc13247"/>
      <w:bookmarkStart w:id="196" w:name="_Toc518923079"/>
      <w:bookmarkStart w:id="197" w:name="_Toc24004_WPSOffice_Level2"/>
      <w:bookmarkStart w:id="198" w:name="_Toc22654_WPSOffice_Level2"/>
      <w:bookmarkStart w:id="199" w:name="_Toc2082"/>
      <w:bookmarkStart w:id="200" w:name="_Toc15803"/>
      <w:r>
        <w:rPr>
          <w:rFonts w:hint="eastAsia" w:ascii="微软雅黑" w:hAnsi="微软雅黑" w:eastAsia="微软雅黑" w:cs="微软雅黑"/>
          <w:color w:val="auto"/>
          <w:u w:val="none"/>
        </w:rPr>
        <w:t>15.响应文件的</w:t>
      </w:r>
      <w:r>
        <w:rPr>
          <w:rFonts w:hint="eastAsia" w:ascii="微软雅黑" w:hAnsi="微软雅黑" w:eastAsia="微软雅黑" w:cs="微软雅黑"/>
          <w:color w:val="auto"/>
          <w:u w:val="none"/>
          <w:lang w:eastAsia="zh-CN"/>
        </w:rPr>
        <w:t>上传</w:t>
      </w:r>
      <w:r>
        <w:rPr>
          <w:rFonts w:hint="eastAsia" w:ascii="微软雅黑" w:hAnsi="微软雅黑" w:eastAsia="微软雅黑" w:cs="微软雅黑"/>
          <w:color w:val="auto"/>
          <w:u w:val="none"/>
        </w:rPr>
        <w:t>和标记</w:t>
      </w:r>
      <w:bookmarkEnd w:id="192"/>
      <w:bookmarkEnd w:id="193"/>
      <w:bookmarkEnd w:id="194"/>
      <w:bookmarkEnd w:id="195"/>
      <w:bookmarkEnd w:id="196"/>
      <w:bookmarkEnd w:id="197"/>
      <w:bookmarkEnd w:id="198"/>
      <w:bookmarkEnd w:id="199"/>
      <w:r>
        <w:rPr>
          <w:rFonts w:hint="eastAsia" w:ascii="微软雅黑" w:hAnsi="微软雅黑" w:eastAsia="微软雅黑" w:cs="微软雅黑"/>
          <w:color w:val="auto"/>
          <w:u w:val="none"/>
          <w:lang w:eastAsia="zh-CN"/>
        </w:rPr>
        <w:t>（</w:t>
      </w:r>
      <w:r>
        <w:rPr>
          <w:rFonts w:hint="eastAsia" w:ascii="微软雅黑" w:hAnsi="微软雅黑" w:eastAsia="微软雅黑" w:cs="微软雅黑"/>
          <w:color w:val="auto"/>
          <w:u w:val="none"/>
          <w:lang w:val="en-US" w:eastAsia="zh-CN"/>
        </w:rPr>
        <w:t>全面电子化</w:t>
      </w:r>
      <w:r>
        <w:rPr>
          <w:rFonts w:hint="eastAsia" w:ascii="微软雅黑" w:hAnsi="微软雅黑" w:eastAsia="微软雅黑" w:cs="微软雅黑"/>
          <w:color w:val="auto"/>
          <w:u w:val="none"/>
          <w:lang w:eastAsia="zh-CN"/>
        </w:rPr>
        <w:t>）</w:t>
      </w:r>
      <w:bookmarkEnd w:id="200"/>
    </w:p>
    <w:p w14:paraId="0B946C1D">
      <w:pPr>
        <w:spacing w:line="400" w:lineRule="exact"/>
        <w:ind w:left="900" w:hanging="900" w:hangingChars="375"/>
        <w:jc w:val="left"/>
        <w:rPr>
          <w:rFonts w:hint="eastAsia" w:ascii="微软雅黑" w:hAnsi="微软雅黑" w:eastAsia="微软雅黑" w:cs="微软雅黑"/>
          <w:b/>
          <w:bCs/>
          <w:color w:val="auto"/>
          <w:sz w:val="24"/>
          <w:u w:val="single"/>
          <w:lang w:val="en-US" w:eastAsia="zh-CN"/>
        </w:rPr>
      </w:pPr>
      <w:r>
        <w:rPr>
          <w:rFonts w:hint="eastAsia" w:ascii="微软雅黑" w:hAnsi="微软雅黑" w:eastAsia="微软雅黑" w:cs="微软雅黑"/>
          <w:color w:val="auto"/>
          <w:sz w:val="24"/>
        </w:rPr>
        <w:t xml:space="preserve">15.1   </w:t>
      </w:r>
      <w:r>
        <w:rPr>
          <w:rFonts w:hint="eastAsia" w:ascii="微软雅黑" w:hAnsi="微软雅黑" w:eastAsia="微软雅黑" w:cs="微软雅黑"/>
          <w:b/>
          <w:bCs/>
          <w:color w:val="auto"/>
          <w:sz w:val="24"/>
          <w:u w:val="single"/>
        </w:rPr>
        <w:t>为方便</w:t>
      </w:r>
      <w:r>
        <w:rPr>
          <w:rFonts w:hint="eastAsia" w:ascii="微软雅黑" w:hAnsi="微软雅黑" w:eastAsia="微软雅黑" w:cs="微软雅黑"/>
          <w:b/>
          <w:bCs/>
          <w:color w:val="auto"/>
          <w:sz w:val="24"/>
          <w:u w:val="single"/>
          <w:lang w:val="en-US" w:eastAsia="zh-CN"/>
        </w:rPr>
        <w:t>评审</w:t>
      </w:r>
      <w:r>
        <w:rPr>
          <w:rFonts w:hint="eastAsia" w:ascii="微软雅黑" w:hAnsi="微软雅黑" w:eastAsia="微软雅黑" w:cs="微软雅黑"/>
          <w:b/>
          <w:bCs/>
          <w:color w:val="auto"/>
          <w:sz w:val="24"/>
          <w:u w:val="single"/>
        </w:rPr>
        <w:t>及进行资格审查，供应商应完整地按</w:t>
      </w:r>
      <w:r>
        <w:rPr>
          <w:rFonts w:hint="eastAsia" w:ascii="微软雅黑" w:hAnsi="微软雅黑" w:eastAsia="微软雅黑" w:cs="微软雅黑"/>
          <w:b/>
          <w:bCs/>
          <w:color w:val="auto"/>
          <w:sz w:val="24"/>
          <w:u w:val="single"/>
          <w:lang w:eastAsia="zh-CN"/>
        </w:rPr>
        <w:t>磋商文件</w:t>
      </w:r>
      <w:r>
        <w:rPr>
          <w:rFonts w:hint="eastAsia" w:ascii="微软雅黑" w:hAnsi="微软雅黑" w:eastAsia="微软雅黑" w:cs="微软雅黑"/>
          <w:b/>
          <w:bCs/>
          <w:color w:val="auto"/>
          <w:sz w:val="24"/>
          <w:u w:val="single"/>
        </w:rPr>
        <w:t>提供的</w:t>
      </w:r>
      <w:r>
        <w:rPr>
          <w:rFonts w:hint="eastAsia" w:ascii="微软雅黑" w:hAnsi="微软雅黑" w:eastAsia="微软雅黑" w:cs="微软雅黑"/>
          <w:b/>
          <w:bCs/>
          <w:color w:val="auto"/>
          <w:sz w:val="24"/>
          <w:u w:val="single"/>
          <w:lang w:eastAsia="zh-CN"/>
        </w:rPr>
        <w:t>响应文件</w:t>
      </w:r>
      <w:r>
        <w:rPr>
          <w:rFonts w:hint="eastAsia" w:ascii="微软雅黑" w:hAnsi="微软雅黑" w:eastAsia="微软雅黑" w:cs="微软雅黑"/>
          <w:b/>
          <w:bCs/>
          <w:color w:val="auto"/>
          <w:sz w:val="24"/>
          <w:u w:val="single"/>
        </w:rPr>
        <w:t>格式及要求编写</w:t>
      </w:r>
      <w:r>
        <w:rPr>
          <w:rFonts w:hint="eastAsia" w:ascii="微软雅黑" w:hAnsi="微软雅黑" w:eastAsia="微软雅黑" w:cs="微软雅黑"/>
          <w:b/>
          <w:bCs/>
          <w:color w:val="auto"/>
          <w:sz w:val="24"/>
          <w:u w:val="single"/>
          <w:lang w:eastAsia="zh-CN"/>
        </w:rPr>
        <w:t>响应文件</w:t>
      </w:r>
      <w:r>
        <w:rPr>
          <w:rFonts w:hint="eastAsia" w:ascii="微软雅黑" w:hAnsi="微软雅黑" w:eastAsia="微软雅黑" w:cs="微软雅黑"/>
          <w:b/>
          <w:bCs/>
          <w:color w:val="auto"/>
          <w:sz w:val="24"/>
          <w:u w:val="single"/>
        </w:rPr>
        <w:t>，根据平台关联点上传对应佐证资料，</w:t>
      </w:r>
      <w:r>
        <w:rPr>
          <w:rFonts w:hint="eastAsia" w:ascii="微软雅黑" w:hAnsi="微软雅黑" w:eastAsia="微软雅黑" w:cs="微软雅黑"/>
          <w:b/>
          <w:bCs/>
          <w:color w:val="auto"/>
          <w:sz w:val="24"/>
          <w:u w:val="single"/>
          <w:lang w:eastAsia="zh-CN"/>
        </w:rPr>
        <w:t>响应文件</w:t>
      </w:r>
      <w:r>
        <w:rPr>
          <w:rFonts w:hint="eastAsia" w:ascii="微软雅黑" w:hAnsi="微软雅黑" w:eastAsia="微软雅黑" w:cs="微软雅黑"/>
          <w:b/>
          <w:bCs/>
          <w:color w:val="auto"/>
          <w:sz w:val="24"/>
          <w:u w:val="single"/>
        </w:rPr>
        <w:t>应包括“</w:t>
      </w:r>
      <w:r>
        <w:rPr>
          <w:rFonts w:hint="eastAsia" w:ascii="微软雅黑" w:hAnsi="微软雅黑" w:eastAsia="微软雅黑" w:cs="微软雅黑"/>
          <w:b/>
          <w:bCs/>
          <w:color w:val="auto"/>
          <w:sz w:val="24"/>
          <w:u w:val="single"/>
          <w:lang w:eastAsia="zh-CN"/>
        </w:rPr>
        <w:t>磋商一览表</w:t>
      </w:r>
      <w:r>
        <w:rPr>
          <w:rFonts w:hint="eastAsia" w:ascii="微软雅黑" w:hAnsi="微软雅黑" w:eastAsia="微软雅黑" w:cs="微软雅黑"/>
          <w:b/>
          <w:bCs/>
          <w:color w:val="auto"/>
          <w:sz w:val="24"/>
          <w:u w:val="single"/>
        </w:rPr>
        <w:t>及资格证明文件”和“商务及技术文件”两部分，两部分合并成完整一册</w:t>
      </w:r>
      <w:r>
        <w:rPr>
          <w:rFonts w:hint="eastAsia" w:ascii="微软雅黑" w:hAnsi="微软雅黑" w:eastAsia="微软雅黑" w:cs="微软雅黑"/>
          <w:b/>
          <w:bCs/>
          <w:color w:val="auto"/>
          <w:sz w:val="24"/>
          <w:u w:val="single"/>
          <w:lang w:val="en-US" w:eastAsia="zh-CN"/>
        </w:rPr>
        <w:t>经CA证书加密后上传提交</w:t>
      </w:r>
      <w:r>
        <w:rPr>
          <w:rFonts w:hint="eastAsia" w:ascii="微软雅黑" w:hAnsi="微软雅黑" w:eastAsia="微软雅黑" w:cs="微软雅黑"/>
          <w:b/>
          <w:bCs/>
          <w:color w:val="auto"/>
          <w:sz w:val="24"/>
          <w:u w:val="single"/>
        </w:rPr>
        <w:t>至政采云平台</w:t>
      </w:r>
      <w:r>
        <w:rPr>
          <w:rFonts w:hint="eastAsia" w:ascii="微软雅黑" w:hAnsi="微软雅黑" w:eastAsia="微软雅黑" w:cs="微软雅黑"/>
          <w:b/>
          <w:bCs/>
          <w:color w:val="auto"/>
          <w:sz w:val="24"/>
          <w:u w:val="single"/>
          <w:lang w:eastAsia="zh-CN"/>
        </w:rPr>
        <w:t>，</w:t>
      </w:r>
      <w:r>
        <w:rPr>
          <w:rFonts w:hint="eastAsia" w:ascii="微软雅黑" w:hAnsi="微软雅黑" w:eastAsia="微软雅黑" w:cs="微软雅黑"/>
          <w:b/>
          <w:bCs/>
          <w:color w:val="auto"/>
          <w:sz w:val="24"/>
          <w:u w:val="single"/>
          <w:lang w:val="en-US" w:eastAsia="zh-CN"/>
        </w:rPr>
        <w:t>任何单位或个人均无法在投标截止时间(即投标时间)之前查看或篡改，不存在泄密风险。（严格按照政采云电子投标流程制作并上传电子响应文件）。</w:t>
      </w:r>
    </w:p>
    <w:p w14:paraId="35FBE244">
      <w:pPr>
        <w:spacing w:line="360" w:lineRule="exact"/>
        <w:rPr>
          <w:rFonts w:ascii="微软雅黑" w:hAnsi="微软雅黑" w:eastAsia="微软雅黑" w:cs="微软雅黑"/>
          <w:color w:val="auto"/>
          <w:sz w:val="24"/>
          <w:highlight w:val="none"/>
        </w:rPr>
      </w:pPr>
      <w:r>
        <w:rPr>
          <w:rFonts w:hint="eastAsia" w:ascii="微软雅黑" w:hAnsi="微软雅黑" w:eastAsia="微软雅黑" w:cs="微软雅黑"/>
          <w:b w:val="0"/>
          <w:bCs w:val="0"/>
          <w:color w:val="auto"/>
          <w:sz w:val="24"/>
          <w:u w:val="none"/>
          <w:lang w:val="en-US" w:eastAsia="zh-CN"/>
        </w:rPr>
        <w:t xml:space="preserve">15.2    </w:t>
      </w:r>
      <w:r>
        <w:rPr>
          <w:rFonts w:hint="eastAsia" w:ascii="微软雅黑" w:hAnsi="微软雅黑" w:eastAsia="微软雅黑" w:cs="微软雅黑"/>
          <w:color w:val="auto"/>
          <w:sz w:val="24"/>
          <w:highlight w:val="none"/>
        </w:rPr>
        <w:t>如果供应商未按上述要求标记</w:t>
      </w:r>
      <w:r>
        <w:rPr>
          <w:rFonts w:hint="eastAsia" w:ascii="微软雅黑" w:hAnsi="微软雅黑" w:eastAsia="微软雅黑" w:cs="微软雅黑"/>
          <w:color w:val="auto"/>
          <w:sz w:val="24"/>
          <w:highlight w:val="none"/>
          <w:lang w:eastAsia="zh-CN"/>
        </w:rPr>
        <w:t>上传响应文件</w:t>
      </w:r>
      <w:r>
        <w:rPr>
          <w:rFonts w:hint="eastAsia" w:ascii="微软雅黑" w:hAnsi="微软雅黑" w:eastAsia="微软雅黑" w:cs="微软雅黑"/>
          <w:color w:val="auto"/>
          <w:sz w:val="24"/>
          <w:highlight w:val="none"/>
        </w:rPr>
        <w:t>的，将承担相应的后果。</w:t>
      </w:r>
    </w:p>
    <w:p w14:paraId="1C66EB13">
      <w:pPr>
        <w:pStyle w:val="36"/>
        <w:rPr>
          <w:rFonts w:hint="default"/>
          <w:color w:val="auto"/>
          <w:lang w:val="en-US" w:eastAsia="zh-CN"/>
        </w:rPr>
      </w:pPr>
    </w:p>
    <w:p w14:paraId="7E3D5D38">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15.</w:t>
      </w:r>
      <w:r>
        <w:rPr>
          <w:rFonts w:hint="eastAsia" w:ascii="微软雅黑" w:hAnsi="微软雅黑" w:eastAsia="微软雅黑" w:cs="微软雅黑"/>
          <w:color w:val="auto"/>
          <w:sz w:val="24"/>
          <w:lang w:val="en-US" w:eastAsia="zh-CN"/>
        </w:rPr>
        <w:t>3</w:t>
      </w:r>
      <w:r>
        <w:rPr>
          <w:rFonts w:hint="eastAsia" w:ascii="微软雅黑" w:hAnsi="微软雅黑" w:eastAsia="微软雅黑" w:cs="微软雅黑"/>
          <w:color w:val="auto"/>
          <w:sz w:val="24"/>
        </w:rPr>
        <w:t xml:space="preserve">  </w:t>
      </w:r>
      <w:r>
        <w:rPr>
          <w:rFonts w:hint="eastAsia" w:ascii="微软雅黑" w:hAnsi="微软雅黑" w:eastAsia="微软雅黑" w:cs="微软雅黑"/>
          <w:color w:val="auto"/>
          <w:sz w:val="24"/>
          <w:lang w:eastAsia="zh-CN"/>
        </w:rPr>
        <w:t>成交公告发布后，成交</w:t>
      </w:r>
      <w:r>
        <w:rPr>
          <w:rFonts w:hint="eastAsia" w:ascii="微软雅黑" w:hAnsi="微软雅黑" w:eastAsia="微软雅黑" w:cs="微软雅黑"/>
          <w:color w:val="auto"/>
          <w:sz w:val="24"/>
        </w:rPr>
        <w:t>供应商</w:t>
      </w:r>
      <w:r>
        <w:rPr>
          <w:rFonts w:hint="eastAsia" w:ascii="微软雅黑" w:hAnsi="微软雅黑" w:eastAsia="微软雅黑" w:cs="微软雅黑"/>
          <w:color w:val="auto"/>
          <w:sz w:val="24"/>
          <w:lang w:eastAsia="zh-CN"/>
        </w:rPr>
        <w:t>须提交纸质版响应文件，响应文件</w:t>
      </w:r>
      <w:r>
        <w:rPr>
          <w:rFonts w:hint="eastAsia" w:ascii="微软雅黑" w:hAnsi="微软雅黑" w:eastAsia="微软雅黑" w:cs="微软雅黑"/>
          <w:color w:val="auto"/>
          <w:sz w:val="24"/>
        </w:rPr>
        <w:t>第一部分和第二部分的内容合并装订成一册提交，并在封皮正面标明“</w:t>
      </w:r>
      <w:r>
        <w:rPr>
          <w:rFonts w:hint="eastAsia" w:ascii="微软雅黑" w:hAnsi="微软雅黑" w:eastAsia="微软雅黑" w:cs="微软雅黑"/>
          <w:color w:val="auto"/>
          <w:sz w:val="24"/>
          <w:lang w:eastAsia="zh-CN"/>
        </w:rPr>
        <w:t>响应文件</w:t>
      </w:r>
      <w:r>
        <w:rPr>
          <w:rFonts w:hint="eastAsia" w:ascii="微软雅黑" w:hAnsi="微软雅黑" w:eastAsia="微软雅黑" w:cs="微软雅黑"/>
          <w:color w:val="auto"/>
          <w:sz w:val="24"/>
        </w:rPr>
        <w:t>”字样。</w:t>
      </w:r>
    </w:p>
    <w:p w14:paraId="1277C085">
      <w:pPr>
        <w:pStyle w:val="2"/>
        <w:spacing w:before="0" w:after="0" w:line="400" w:lineRule="exact"/>
        <w:rPr>
          <w:rFonts w:hint="eastAsia" w:ascii="微软雅黑" w:hAnsi="微软雅黑" w:eastAsia="微软雅黑" w:cs="微软雅黑"/>
          <w:color w:val="auto"/>
          <w:u w:val="none"/>
          <w:lang w:eastAsia="zh-CN"/>
        </w:rPr>
      </w:pPr>
      <w:bookmarkStart w:id="201" w:name="_Toc25787"/>
      <w:bookmarkStart w:id="202" w:name="_Toc2845"/>
      <w:bookmarkStart w:id="203" w:name="_Toc24593"/>
      <w:bookmarkStart w:id="204" w:name="_Toc518923080"/>
      <w:bookmarkStart w:id="205" w:name="_Toc8141"/>
      <w:bookmarkStart w:id="206" w:name="_Toc13450"/>
      <w:bookmarkStart w:id="207" w:name="_Toc14358_WPSOffice_Level2"/>
      <w:bookmarkStart w:id="208" w:name="_Toc178_WPSOffice_Level2"/>
      <w:bookmarkStart w:id="209" w:name="_Toc520356161"/>
      <w:r>
        <w:rPr>
          <w:rFonts w:hint="eastAsia" w:ascii="微软雅黑" w:hAnsi="微软雅黑" w:eastAsia="微软雅黑" w:cs="微软雅黑"/>
          <w:color w:val="auto"/>
          <w:u w:val="none"/>
        </w:rPr>
        <w:t>16.磋商截止</w:t>
      </w:r>
      <w:bookmarkEnd w:id="201"/>
      <w:bookmarkEnd w:id="202"/>
      <w:bookmarkEnd w:id="203"/>
      <w:bookmarkEnd w:id="204"/>
      <w:bookmarkEnd w:id="205"/>
      <w:bookmarkEnd w:id="206"/>
      <w:bookmarkEnd w:id="207"/>
      <w:bookmarkEnd w:id="208"/>
      <w:bookmarkEnd w:id="209"/>
    </w:p>
    <w:p w14:paraId="569FA470">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16.1</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供应商应在供应商须知资料表中规定的截止时间前，将响应文件上传到磋商公告中规定的地点。</w:t>
      </w:r>
    </w:p>
    <w:p w14:paraId="4B2859E1">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16.2</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采购人和采购代理机构有权按本须知的规定，延迟磋商截止时间。在此情况下，采购人、采购代理机构和供应商受磋商截止时间制约的所有权利和义务均应延长至新的截止时间。</w:t>
      </w:r>
    </w:p>
    <w:p w14:paraId="64206713">
      <w:pPr>
        <w:pStyle w:val="96"/>
        <w:ind w:left="0" w:leftChars="0" w:firstLine="0" w:firstLineChars="0"/>
        <w:rPr>
          <w:rFonts w:hint="eastAsia" w:ascii="微软雅黑" w:hAnsi="微软雅黑" w:eastAsia="微软雅黑" w:cs="微软雅黑"/>
          <w:color w:val="auto"/>
          <w:lang w:val="en-US" w:eastAsia="zh-CN"/>
        </w:rPr>
      </w:pPr>
      <w:r>
        <w:rPr>
          <w:rFonts w:hint="eastAsia" w:ascii="微软雅黑" w:hAnsi="微软雅黑" w:eastAsia="微软雅黑" w:cs="微软雅黑"/>
          <w:color w:val="auto"/>
          <w:sz w:val="24"/>
          <w:lang w:val="en-US" w:eastAsia="zh-CN"/>
        </w:rPr>
        <w:t>16.3   采购人和采购代理机构将拒绝接收在磋商截止时间后上传的响应文件。</w:t>
      </w:r>
    </w:p>
    <w:p w14:paraId="74E931C3">
      <w:pPr>
        <w:pStyle w:val="2"/>
        <w:spacing w:before="0" w:after="0" w:line="400" w:lineRule="exact"/>
        <w:rPr>
          <w:rFonts w:hint="eastAsia" w:ascii="微软雅黑" w:hAnsi="微软雅黑" w:eastAsia="微软雅黑" w:cs="微软雅黑"/>
          <w:color w:val="auto"/>
          <w:u w:val="none"/>
        </w:rPr>
      </w:pPr>
      <w:bookmarkStart w:id="210" w:name="_Toc829"/>
      <w:bookmarkStart w:id="211" w:name="_Toc5249"/>
      <w:bookmarkStart w:id="212" w:name="_Toc17985_WPSOffice_Level2"/>
      <w:bookmarkStart w:id="213" w:name="_Toc12018"/>
      <w:bookmarkStart w:id="214" w:name="_Toc18193"/>
      <w:bookmarkStart w:id="215" w:name="_Toc26522_WPSOffice_Level2"/>
      <w:bookmarkStart w:id="216" w:name="_Toc518923081"/>
      <w:bookmarkStart w:id="217" w:name="_Toc520356162"/>
      <w:bookmarkStart w:id="218" w:name="_Toc13921"/>
      <w:r>
        <w:rPr>
          <w:rFonts w:hint="eastAsia" w:ascii="微软雅黑" w:hAnsi="微软雅黑" w:eastAsia="微软雅黑" w:cs="微软雅黑"/>
          <w:color w:val="auto"/>
          <w:u w:val="none"/>
        </w:rPr>
        <w:t>17.响应文件的接收、修改与撤回</w:t>
      </w:r>
      <w:bookmarkEnd w:id="210"/>
      <w:bookmarkEnd w:id="211"/>
      <w:bookmarkEnd w:id="212"/>
      <w:bookmarkEnd w:id="213"/>
      <w:bookmarkEnd w:id="214"/>
      <w:bookmarkEnd w:id="215"/>
      <w:bookmarkEnd w:id="216"/>
      <w:bookmarkEnd w:id="217"/>
      <w:bookmarkEnd w:id="218"/>
    </w:p>
    <w:p w14:paraId="2984332E">
      <w:pPr>
        <w:spacing w:line="400" w:lineRule="exact"/>
        <w:ind w:left="900" w:hanging="900" w:hangingChars="375"/>
        <w:rPr>
          <w:rFonts w:hint="eastAsia" w:ascii="微软雅黑" w:hAnsi="微软雅黑" w:eastAsia="微软雅黑" w:cs="微软雅黑"/>
          <w:b/>
          <w:color w:val="auto"/>
        </w:rPr>
      </w:pPr>
      <w:r>
        <w:rPr>
          <w:rFonts w:hint="eastAsia" w:ascii="微软雅黑" w:hAnsi="微软雅黑" w:eastAsia="微软雅黑" w:cs="微软雅黑"/>
          <w:color w:val="auto"/>
          <w:sz w:val="24"/>
        </w:rPr>
        <w:t>17.1   在磋商截止时间后上传的响应文件的，采购人和采购代理机构将拒绝接收。</w:t>
      </w:r>
    </w:p>
    <w:p w14:paraId="757865CD">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17.2</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上传响应文件以后，如果供应商要进行修改或撤回磋商，供应商对响应文件的修改或撤回通知应按本须知规定编制、标记。</w:t>
      </w:r>
    </w:p>
    <w:p w14:paraId="6F86071E">
      <w:pPr>
        <w:pStyle w:val="96"/>
        <w:ind w:firstLine="720" w:firstLineChars="300"/>
        <w:rPr>
          <w:rFonts w:hint="eastAsia" w:ascii="微软雅黑" w:hAnsi="微软雅黑" w:eastAsia="微软雅黑" w:cs="微软雅黑"/>
          <w:color w:val="auto"/>
        </w:rPr>
      </w:pPr>
      <w:r>
        <w:rPr>
          <w:rFonts w:hint="eastAsia" w:ascii="微软雅黑" w:hAnsi="微软雅黑" w:eastAsia="微软雅黑" w:cs="微软雅黑"/>
          <w:color w:val="auto"/>
          <w:kern w:val="2"/>
          <w:sz w:val="24"/>
          <w:szCs w:val="24"/>
          <w:lang w:val="en-US" w:eastAsia="zh-CN" w:bidi="ar-SA"/>
        </w:rPr>
        <w:t>采购人和采购代理机构将予以接收，并视为响应文件的组成部分。</w:t>
      </w:r>
    </w:p>
    <w:p w14:paraId="2279424E">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17.3   在磋商截止期之后，采购人和采购代理机构不接受供应商主动对其响应文件做任何修改。</w:t>
      </w:r>
    </w:p>
    <w:p w14:paraId="2C85C3B6">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17.4</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采购人和采购代理机构对所接收响应文件概不退回。</w:t>
      </w:r>
    </w:p>
    <w:p w14:paraId="32861D5C">
      <w:pPr>
        <w:pStyle w:val="4"/>
        <w:spacing w:before="0" w:line="400" w:lineRule="exact"/>
        <w:ind w:left="1080" w:leftChars="257" w:hanging="540"/>
        <w:rPr>
          <w:rFonts w:hint="eastAsia" w:ascii="微软雅黑" w:hAnsi="微软雅黑" w:eastAsia="微软雅黑" w:cs="微软雅黑"/>
          <w:color w:val="auto"/>
        </w:rPr>
      </w:pPr>
      <w:bookmarkStart w:id="219" w:name="_Toc216582809"/>
      <w:bookmarkStart w:id="220" w:name="_Toc10257"/>
      <w:bookmarkStart w:id="221" w:name="_Toc520356163"/>
      <w:bookmarkStart w:id="222" w:name="_Toc518923082"/>
      <w:bookmarkStart w:id="223" w:name="_Toc6601_WPSOffice_Level1"/>
      <w:bookmarkStart w:id="224" w:name="_Toc193"/>
      <w:bookmarkStart w:id="225" w:name="_Toc8802"/>
      <w:bookmarkStart w:id="226" w:name="_Toc15790"/>
      <w:bookmarkStart w:id="227" w:name="_Toc1762"/>
      <w:bookmarkStart w:id="228" w:name="_Toc10715357"/>
      <w:r>
        <w:rPr>
          <w:rFonts w:hint="eastAsia" w:ascii="微软雅黑" w:hAnsi="微软雅黑" w:eastAsia="微软雅黑" w:cs="微软雅黑"/>
          <w:color w:val="auto"/>
          <w:sz w:val="24"/>
        </w:rPr>
        <w:t>五   磋商开启及</w:t>
      </w:r>
      <w:bookmarkEnd w:id="219"/>
      <w:bookmarkEnd w:id="220"/>
      <w:bookmarkEnd w:id="221"/>
      <w:bookmarkEnd w:id="222"/>
      <w:r>
        <w:rPr>
          <w:rFonts w:hint="eastAsia" w:ascii="微软雅黑" w:hAnsi="微软雅黑" w:eastAsia="微软雅黑" w:cs="微软雅黑"/>
          <w:color w:val="auto"/>
          <w:sz w:val="24"/>
        </w:rPr>
        <w:t>评审</w:t>
      </w:r>
      <w:bookmarkEnd w:id="223"/>
      <w:bookmarkEnd w:id="224"/>
      <w:bookmarkEnd w:id="225"/>
      <w:bookmarkEnd w:id="226"/>
      <w:bookmarkEnd w:id="227"/>
      <w:bookmarkEnd w:id="228"/>
    </w:p>
    <w:p w14:paraId="64E66A07">
      <w:pPr>
        <w:pStyle w:val="2"/>
        <w:spacing w:before="0" w:after="0" w:line="400" w:lineRule="exact"/>
        <w:rPr>
          <w:rFonts w:hint="eastAsia" w:ascii="微软雅黑" w:hAnsi="微软雅黑" w:eastAsia="微软雅黑" w:cs="微软雅黑"/>
          <w:color w:val="auto"/>
          <w:u w:val="none"/>
        </w:rPr>
      </w:pPr>
      <w:bookmarkStart w:id="229" w:name="_Toc518923083"/>
      <w:bookmarkStart w:id="230" w:name="_Toc8653"/>
      <w:bookmarkStart w:id="231" w:name="_Toc520356164"/>
      <w:bookmarkStart w:id="232" w:name="_Toc32308_WPSOffice_Level2"/>
      <w:bookmarkStart w:id="233" w:name="_Toc29729"/>
      <w:bookmarkStart w:id="234" w:name="_Toc21639"/>
      <w:bookmarkStart w:id="235" w:name="_Toc25258"/>
      <w:bookmarkStart w:id="236" w:name="_Toc6831"/>
      <w:bookmarkStart w:id="237" w:name="_Toc13011_WPSOffice_Level2"/>
      <w:r>
        <w:rPr>
          <w:rFonts w:hint="eastAsia" w:ascii="微软雅黑" w:hAnsi="微软雅黑" w:eastAsia="微软雅黑" w:cs="微软雅黑"/>
          <w:color w:val="auto"/>
          <w:u w:val="none"/>
        </w:rPr>
        <w:t>18.</w:t>
      </w:r>
      <w:bookmarkEnd w:id="229"/>
      <w:bookmarkEnd w:id="230"/>
      <w:bookmarkEnd w:id="231"/>
      <w:r>
        <w:rPr>
          <w:rFonts w:hint="eastAsia" w:ascii="微软雅黑" w:hAnsi="微软雅黑" w:eastAsia="微软雅黑" w:cs="微软雅黑"/>
          <w:color w:val="auto"/>
          <w:u w:val="none"/>
        </w:rPr>
        <w:t>磋商开启</w:t>
      </w:r>
      <w:bookmarkEnd w:id="232"/>
      <w:bookmarkEnd w:id="233"/>
      <w:bookmarkEnd w:id="234"/>
      <w:bookmarkEnd w:id="235"/>
      <w:bookmarkEnd w:id="236"/>
      <w:bookmarkEnd w:id="237"/>
    </w:p>
    <w:p w14:paraId="53B77486">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18.1</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采购人和采购代理机构将按</w:t>
      </w:r>
      <w:r>
        <w:rPr>
          <w:rFonts w:hint="eastAsia" w:ascii="微软雅黑" w:hAnsi="微软雅黑" w:eastAsia="微软雅黑" w:cs="微软雅黑"/>
          <w:color w:val="auto"/>
          <w:sz w:val="24"/>
          <w:u w:val="single"/>
        </w:rPr>
        <w:t>供应商须知资料表</w:t>
      </w:r>
      <w:r>
        <w:rPr>
          <w:rFonts w:hint="eastAsia" w:ascii="微软雅黑" w:hAnsi="微软雅黑" w:eastAsia="微软雅黑" w:cs="微软雅黑"/>
          <w:color w:val="auto"/>
          <w:sz w:val="24"/>
        </w:rPr>
        <w:t xml:space="preserve">中规定的磋商开启时间和地点组织公开磋商开启并邀请所有供应商代表参加。  </w:t>
      </w:r>
    </w:p>
    <w:p w14:paraId="7A41B87F">
      <w:pPr>
        <w:spacing w:line="400" w:lineRule="exact"/>
        <w:ind w:left="960" w:hanging="960" w:hangingChars="400"/>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18.2    供应商按照须知资料表中规定的开标时间和地点，在规定时间内上传响应文件。</w:t>
      </w:r>
    </w:p>
    <w:p w14:paraId="3F9D0D00">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18.3    采购代理机构在规定时间内度响应文件进行解密，时长为 30 分钟。</w:t>
      </w:r>
    </w:p>
    <w:p w14:paraId="3EE5854F">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18.4    由采购代理机构开启开标记录，须供应商在政采云平台对报价进行签字确认。</w:t>
      </w:r>
    </w:p>
    <w:p w14:paraId="7D69D3AD">
      <w:pPr>
        <w:pStyle w:val="2"/>
        <w:snapToGrid w:val="0"/>
        <w:spacing w:before="0" w:after="0" w:line="380" w:lineRule="exact"/>
        <w:textAlignment w:val="baseline"/>
        <w:rPr>
          <w:rFonts w:ascii="微软雅黑" w:hAnsi="微软雅黑" w:eastAsia="微软雅黑" w:cs="微软雅黑"/>
          <w:color w:val="auto"/>
          <w:u w:color="000000"/>
        </w:rPr>
      </w:pPr>
      <w:bookmarkStart w:id="238" w:name="_Toc6779"/>
      <w:bookmarkStart w:id="239" w:name="_Toc11051"/>
      <w:r>
        <w:rPr>
          <w:rFonts w:hint="eastAsia" w:ascii="微软雅黑" w:hAnsi="微软雅黑" w:eastAsia="微软雅黑" w:cs="微软雅黑"/>
          <w:color w:val="auto"/>
          <w:u w:color="000000"/>
        </w:rPr>
        <w:t>19.</w:t>
      </w:r>
      <w:bookmarkEnd w:id="19"/>
      <w:r>
        <w:rPr>
          <w:rFonts w:hint="eastAsia" w:ascii="微软雅黑" w:hAnsi="微软雅黑" w:eastAsia="微软雅黑" w:cs="微软雅黑"/>
          <w:color w:val="auto"/>
          <w:u w:color="000000"/>
        </w:rPr>
        <w:t>资格审查及组建</w:t>
      </w:r>
      <w:bookmarkEnd w:id="20"/>
      <w:bookmarkEnd w:id="21"/>
      <w:bookmarkEnd w:id="22"/>
      <w:bookmarkEnd w:id="23"/>
      <w:r>
        <w:rPr>
          <w:rFonts w:hint="eastAsia" w:ascii="微软雅黑" w:hAnsi="微软雅黑" w:eastAsia="微软雅黑" w:cs="微软雅黑"/>
          <w:color w:val="auto"/>
          <w:u w:color="000000"/>
        </w:rPr>
        <w:t>磋商小组</w:t>
      </w:r>
      <w:bookmarkEnd w:id="24"/>
      <w:bookmarkEnd w:id="25"/>
      <w:bookmarkEnd w:id="26"/>
      <w:bookmarkEnd w:id="27"/>
      <w:bookmarkEnd w:id="28"/>
      <w:bookmarkEnd w:id="29"/>
      <w:bookmarkEnd w:id="30"/>
      <w:bookmarkEnd w:id="31"/>
      <w:bookmarkEnd w:id="238"/>
      <w:bookmarkEnd w:id="239"/>
    </w:p>
    <w:p w14:paraId="0DFCED1A">
      <w:pPr>
        <w:snapToGrid w:val="0"/>
        <w:spacing w:line="380" w:lineRule="exact"/>
        <w:ind w:left="960" w:hanging="960" w:hangingChars="400"/>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19.1    采购人或采购代理机构依据法律法规和磋商文件中规定的内容，对供应商资格进行审查，未通过资格审查的供应商不进入评标。</w:t>
      </w:r>
    </w:p>
    <w:p w14:paraId="2D1D7982">
      <w:pPr>
        <w:snapToGrid w:val="0"/>
        <w:spacing w:line="380" w:lineRule="exact"/>
        <w:ind w:left="734" w:hanging="734" w:hangingChars="306"/>
        <w:textAlignment w:val="baseline"/>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xml:space="preserve">        </w:t>
      </w:r>
      <w:r>
        <w:rPr>
          <w:rFonts w:hint="eastAsia" w:ascii="微软雅黑" w:hAnsi="微软雅黑" w:eastAsia="微软雅黑" w:cs="微软雅黑"/>
          <w:b/>
          <w:bCs/>
          <w:color w:val="auto"/>
          <w:sz w:val="24"/>
          <w:lang w:val="en-US" w:eastAsia="zh-CN"/>
        </w:rPr>
        <w:t>合格供应商资格要求</w:t>
      </w:r>
      <w:r>
        <w:rPr>
          <w:rFonts w:hint="eastAsia" w:ascii="微软雅黑" w:hAnsi="微软雅黑" w:eastAsia="微软雅黑" w:cs="微软雅黑"/>
          <w:b/>
          <w:bCs/>
          <w:color w:val="auto"/>
          <w:sz w:val="24"/>
        </w:rPr>
        <w:t>：</w:t>
      </w:r>
    </w:p>
    <w:p w14:paraId="6BB9CB9D">
      <w:pPr>
        <w:snapToGrid w:val="0"/>
        <w:spacing w:line="380" w:lineRule="exact"/>
        <w:ind w:left="958" w:leftChars="456" w:firstLine="233" w:firstLineChars="97"/>
        <w:textAlignment w:val="baseline"/>
        <w:rPr>
          <w:rFonts w:hint="eastAsia" w:ascii="微软雅黑" w:hAnsi="微软雅黑" w:eastAsia="微软雅黑" w:cs="微软雅黑"/>
          <w:b/>
          <w:bCs/>
          <w:color w:val="auto"/>
          <w:sz w:val="24"/>
          <w:lang w:val="en-US" w:eastAsia="zh-CN"/>
        </w:rPr>
      </w:pPr>
      <w:r>
        <w:rPr>
          <w:rFonts w:hint="eastAsia" w:ascii="微软雅黑" w:hAnsi="微软雅黑" w:eastAsia="微软雅黑" w:cs="微软雅黑"/>
          <w:b/>
          <w:bCs/>
          <w:color w:val="auto"/>
          <w:sz w:val="24"/>
          <w:lang w:val="en-US" w:eastAsia="zh-CN"/>
        </w:rPr>
        <w:t>1、满足《中华人民共和国政府采购法》第二十二条规定；</w:t>
      </w:r>
    </w:p>
    <w:p w14:paraId="765CBECD">
      <w:pPr>
        <w:pStyle w:val="26"/>
        <w:keepNext w:val="0"/>
        <w:keepLines w:val="0"/>
        <w:pageBreakBefore w:val="0"/>
        <w:widowControl w:val="0"/>
        <w:kinsoku/>
        <w:wordWrap/>
        <w:overflowPunct/>
        <w:topLinePunct w:val="0"/>
        <w:autoSpaceDE/>
        <w:autoSpaceDN/>
        <w:bidi w:val="0"/>
        <w:adjustRightInd/>
        <w:snapToGrid w:val="0"/>
        <w:ind w:left="1050" w:leftChars="500" w:firstLine="0" w:firstLineChars="0"/>
        <w:textAlignment w:val="auto"/>
        <w:rPr>
          <w:rFonts w:hint="eastAsia" w:ascii="微软雅黑" w:hAnsi="微软雅黑" w:eastAsia="微软雅黑" w:cs="微软雅黑"/>
          <w:b/>
          <w:bCs/>
          <w:color w:val="auto"/>
          <w:sz w:val="24"/>
          <w:lang w:val="en-US" w:eastAsia="zh-CN"/>
        </w:rPr>
      </w:pPr>
      <w:r>
        <w:rPr>
          <w:rFonts w:hint="eastAsia" w:ascii="微软雅黑" w:hAnsi="微软雅黑" w:eastAsia="微软雅黑" w:cs="微软雅黑"/>
          <w:b/>
          <w:bCs/>
          <w:color w:val="auto"/>
          <w:sz w:val="24"/>
          <w:lang w:val="en-US" w:eastAsia="zh-CN"/>
        </w:rPr>
        <w:t>①具有独立承担民事责任的能力；（投标时，提供在中华人民共和国境内注册的法人或其他组织的营业执照或事业单位法人证书或社会团体法人登记证书）</w:t>
      </w:r>
    </w:p>
    <w:p w14:paraId="665A1A6F">
      <w:pPr>
        <w:pStyle w:val="26"/>
        <w:keepNext w:val="0"/>
        <w:keepLines w:val="0"/>
        <w:pageBreakBefore w:val="0"/>
        <w:widowControl w:val="0"/>
        <w:kinsoku/>
        <w:wordWrap/>
        <w:overflowPunct/>
        <w:topLinePunct w:val="0"/>
        <w:autoSpaceDE/>
        <w:autoSpaceDN/>
        <w:bidi w:val="0"/>
        <w:adjustRightInd/>
        <w:snapToGrid w:val="0"/>
        <w:ind w:left="1050" w:leftChars="500" w:firstLine="0" w:firstLineChars="0"/>
        <w:textAlignment w:val="auto"/>
        <w:rPr>
          <w:rFonts w:hint="eastAsia" w:ascii="微软雅黑" w:hAnsi="微软雅黑" w:eastAsia="微软雅黑" w:cs="微软雅黑"/>
          <w:b/>
          <w:bCs/>
          <w:color w:val="auto"/>
          <w:sz w:val="24"/>
          <w:lang w:val="en-US" w:eastAsia="zh-CN"/>
        </w:rPr>
      </w:pPr>
      <w:r>
        <w:rPr>
          <w:rFonts w:hint="eastAsia" w:ascii="微软雅黑" w:hAnsi="微软雅黑" w:eastAsia="微软雅黑" w:cs="微软雅黑"/>
          <w:b/>
          <w:bCs/>
          <w:color w:val="auto"/>
          <w:sz w:val="24"/>
          <w:lang w:val="en-US" w:eastAsia="zh-CN"/>
        </w:rPr>
        <w:t>②提供法定代表人资格证明及授权书、被授权人身份证；(法定代表人投标需提供法定代表人身份证)；</w:t>
      </w:r>
    </w:p>
    <w:p w14:paraId="5A6DF5AF">
      <w:pPr>
        <w:pStyle w:val="26"/>
        <w:keepNext w:val="0"/>
        <w:keepLines w:val="0"/>
        <w:pageBreakBefore w:val="0"/>
        <w:widowControl w:val="0"/>
        <w:kinsoku/>
        <w:wordWrap/>
        <w:overflowPunct/>
        <w:topLinePunct w:val="0"/>
        <w:autoSpaceDE/>
        <w:autoSpaceDN/>
        <w:bidi w:val="0"/>
        <w:adjustRightInd/>
        <w:snapToGrid w:val="0"/>
        <w:ind w:left="1050" w:leftChars="500" w:firstLine="0" w:firstLineChars="0"/>
        <w:textAlignment w:val="auto"/>
        <w:rPr>
          <w:rFonts w:hint="eastAsia" w:ascii="微软雅黑" w:hAnsi="微软雅黑" w:eastAsia="微软雅黑" w:cs="微软雅黑"/>
          <w:b/>
          <w:bCs/>
          <w:color w:val="auto"/>
          <w:sz w:val="24"/>
          <w:lang w:val="en-US" w:eastAsia="zh-CN"/>
        </w:rPr>
      </w:pPr>
      <w:r>
        <w:rPr>
          <w:rFonts w:hint="eastAsia" w:ascii="微软雅黑" w:hAnsi="微软雅黑" w:eastAsia="微软雅黑" w:cs="微软雅黑"/>
          <w:b/>
          <w:bCs/>
          <w:color w:val="auto"/>
          <w:sz w:val="24"/>
          <w:lang w:val="en-US" w:eastAsia="zh-CN"/>
        </w:rPr>
        <w:t>③本单位依法缴纳的近3个月内任意一个月的社会保险的凭据（新成立公司提供相关证明文件）；</w:t>
      </w:r>
    </w:p>
    <w:p w14:paraId="2DD58C4E">
      <w:pPr>
        <w:pStyle w:val="26"/>
        <w:keepNext w:val="0"/>
        <w:keepLines w:val="0"/>
        <w:pageBreakBefore w:val="0"/>
        <w:widowControl w:val="0"/>
        <w:kinsoku/>
        <w:wordWrap/>
        <w:overflowPunct/>
        <w:topLinePunct w:val="0"/>
        <w:autoSpaceDE/>
        <w:autoSpaceDN/>
        <w:bidi w:val="0"/>
        <w:adjustRightInd/>
        <w:snapToGrid w:val="0"/>
        <w:ind w:left="1050" w:leftChars="500" w:firstLine="0" w:firstLineChars="0"/>
        <w:textAlignment w:val="auto"/>
        <w:rPr>
          <w:rFonts w:hint="eastAsia" w:ascii="微软雅黑" w:hAnsi="微软雅黑" w:eastAsia="微软雅黑" w:cs="微软雅黑"/>
          <w:b/>
          <w:bCs/>
          <w:color w:val="auto"/>
          <w:sz w:val="24"/>
          <w:lang w:val="en-US" w:eastAsia="zh-CN"/>
        </w:rPr>
      </w:pPr>
      <w:r>
        <w:rPr>
          <w:rFonts w:hint="eastAsia" w:ascii="微软雅黑" w:hAnsi="微软雅黑" w:eastAsia="微软雅黑" w:cs="微软雅黑"/>
          <w:b/>
          <w:bCs/>
          <w:color w:val="auto"/>
          <w:sz w:val="24"/>
          <w:lang w:val="en-US" w:eastAsia="zh-CN"/>
        </w:rPr>
        <w:t>④税务部门出具的近3个月内任意一个月的完税证明（依法免缴的应提供依法免缴的相关证明文件或零申报报表）；</w:t>
      </w:r>
    </w:p>
    <w:p w14:paraId="0672F40F">
      <w:pPr>
        <w:pStyle w:val="26"/>
        <w:keepNext w:val="0"/>
        <w:keepLines w:val="0"/>
        <w:pageBreakBefore w:val="0"/>
        <w:widowControl w:val="0"/>
        <w:kinsoku/>
        <w:wordWrap/>
        <w:overflowPunct/>
        <w:topLinePunct w:val="0"/>
        <w:autoSpaceDE/>
        <w:autoSpaceDN/>
        <w:bidi w:val="0"/>
        <w:adjustRightInd/>
        <w:snapToGrid w:val="0"/>
        <w:ind w:left="1050" w:leftChars="500" w:firstLine="0" w:firstLineChars="0"/>
        <w:textAlignment w:val="auto"/>
        <w:rPr>
          <w:rFonts w:hint="eastAsia" w:ascii="微软雅黑" w:hAnsi="微软雅黑" w:eastAsia="微软雅黑" w:cs="微软雅黑"/>
          <w:b/>
          <w:bCs/>
          <w:color w:val="auto"/>
          <w:sz w:val="24"/>
          <w:lang w:val="en-US" w:eastAsia="zh-CN"/>
        </w:rPr>
      </w:pPr>
      <w:r>
        <w:rPr>
          <w:rFonts w:hint="eastAsia" w:ascii="微软雅黑" w:hAnsi="微软雅黑" w:eastAsia="微软雅黑" w:cs="微软雅黑"/>
          <w:b/>
          <w:bCs/>
          <w:color w:val="auto"/>
          <w:sz w:val="24"/>
          <w:lang w:val="en-US" w:eastAsia="zh-CN"/>
        </w:rPr>
        <w:t>⑤提供近两年任意一年完整的财务审计报告或近一个月的银行资信证明；</w:t>
      </w:r>
    </w:p>
    <w:p w14:paraId="6518D84F">
      <w:pPr>
        <w:pStyle w:val="26"/>
        <w:keepNext w:val="0"/>
        <w:keepLines w:val="0"/>
        <w:pageBreakBefore w:val="0"/>
        <w:widowControl w:val="0"/>
        <w:kinsoku/>
        <w:wordWrap/>
        <w:overflowPunct/>
        <w:topLinePunct w:val="0"/>
        <w:autoSpaceDE/>
        <w:autoSpaceDN/>
        <w:bidi w:val="0"/>
        <w:adjustRightInd/>
        <w:snapToGrid w:val="0"/>
        <w:ind w:left="1050" w:leftChars="500" w:firstLine="0" w:firstLineChars="0"/>
        <w:textAlignment w:val="auto"/>
        <w:rPr>
          <w:rFonts w:hint="eastAsia" w:ascii="微软雅黑" w:hAnsi="微软雅黑" w:eastAsia="微软雅黑" w:cs="微软雅黑"/>
          <w:b/>
          <w:bCs/>
          <w:color w:val="auto"/>
          <w:sz w:val="24"/>
          <w:lang w:val="en-US" w:eastAsia="zh-CN"/>
        </w:rPr>
      </w:pPr>
      <w:r>
        <w:rPr>
          <w:rFonts w:hint="eastAsia" w:ascii="微软雅黑" w:hAnsi="微软雅黑" w:eastAsia="微软雅黑" w:cs="微软雅黑"/>
          <w:b/>
          <w:bCs/>
          <w:color w:val="auto"/>
          <w:sz w:val="24"/>
          <w:lang w:val="en-US" w:eastAsia="zh-CN"/>
        </w:rPr>
        <w:t>⑥参与政府采购活动前3年内未被列入失信、重大税收违法案件、财政部门禁止参加政府采购活动的承诺书；</w:t>
      </w:r>
    </w:p>
    <w:p w14:paraId="5C9E260C">
      <w:pPr>
        <w:pStyle w:val="26"/>
        <w:keepNext w:val="0"/>
        <w:keepLines w:val="0"/>
        <w:pageBreakBefore w:val="0"/>
        <w:widowControl w:val="0"/>
        <w:kinsoku/>
        <w:wordWrap/>
        <w:overflowPunct/>
        <w:topLinePunct w:val="0"/>
        <w:autoSpaceDE/>
        <w:autoSpaceDN/>
        <w:bidi w:val="0"/>
        <w:adjustRightInd/>
        <w:snapToGrid w:val="0"/>
        <w:ind w:left="1050" w:leftChars="500" w:firstLine="0" w:firstLineChars="0"/>
        <w:textAlignment w:val="auto"/>
        <w:rPr>
          <w:rFonts w:hint="eastAsia" w:ascii="微软雅黑" w:hAnsi="微软雅黑" w:eastAsia="微软雅黑" w:cs="微软雅黑"/>
          <w:b/>
          <w:bCs/>
          <w:color w:val="auto"/>
          <w:sz w:val="24"/>
          <w:lang w:val="en-US" w:eastAsia="zh-CN"/>
        </w:rPr>
      </w:pPr>
      <w:r>
        <w:rPr>
          <w:rFonts w:hint="eastAsia" w:ascii="微软雅黑" w:hAnsi="微软雅黑" w:eastAsia="微软雅黑" w:cs="微软雅黑"/>
          <w:b/>
          <w:bCs/>
          <w:color w:val="auto"/>
          <w:sz w:val="24"/>
          <w:lang w:val="en-US" w:eastAsia="zh-CN"/>
        </w:rPr>
        <w:t>⑦提供针对本次项目的反商业贿赂承诺书；</w:t>
      </w:r>
    </w:p>
    <w:p w14:paraId="36467381">
      <w:pPr>
        <w:pStyle w:val="26"/>
        <w:keepNext w:val="0"/>
        <w:keepLines w:val="0"/>
        <w:pageBreakBefore w:val="0"/>
        <w:widowControl w:val="0"/>
        <w:kinsoku/>
        <w:wordWrap/>
        <w:overflowPunct/>
        <w:topLinePunct w:val="0"/>
        <w:autoSpaceDE/>
        <w:autoSpaceDN/>
        <w:bidi w:val="0"/>
        <w:adjustRightInd/>
        <w:snapToGrid w:val="0"/>
        <w:ind w:left="1050" w:leftChars="500" w:firstLine="0" w:firstLineChars="0"/>
        <w:textAlignment w:val="auto"/>
        <w:rPr>
          <w:rFonts w:hint="eastAsia" w:ascii="微软雅黑" w:hAnsi="微软雅黑" w:eastAsia="微软雅黑" w:cs="微软雅黑"/>
          <w:b/>
          <w:bCs/>
          <w:color w:val="auto"/>
          <w:sz w:val="24"/>
          <w:lang w:val="en-US" w:eastAsia="zh-CN"/>
        </w:rPr>
      </w:pPr>
      <w:r>
        <w:rPr>
          <w:rFonts w:hint="eastAsia" w:ascii="微软雅黑" w:hAnsi="微软雅黑" w:eastAsia="微软雅黑" w:cs="微软雅黑"/>
          <w:b/>
          <w:bCs/>
          <w:color w:val="auto"/>
          <w:sz w:val="24"/>
          <w:lang w:val="en-US" w:eastAsia="zh-CN"/>
        </w:rPr>
        <w:t>⑧根据《政府采购领域“整顿市场秩序、建设法规体系、促进产业发展”三年行动方案（2024—2026年）》的通知，凡拟参加本次采购项目的供应商，必须为未被列入“信用中国”网站(www.creditchina.gov.cn)（失信被执行人名单、重大税收违法失信主体名单）、中国政府采购网(www.ccgp.gov.cn)（政府采购严重违法失信行为记录名单），国家企业公示信息系统（www.gsxt.gov.cn）（经营异常名录、严重违法失信名单）,（须提供查询记录截图并加盖公章）；</w:t>
      </w:r>
    </w:p>
    <w:p w14:paraId="6724B97D">
      <w:pPr>
        <w:snapToGrid w:val="0"/>
        <w:spacing w:line="380" w:lineRule="exact"/>
        <w:ind w:left="725" w:leftChars="342" w:hanging="7" w:hangingChars="3"/>
        <w:textAlignment w:val="baseline"/>
        <w:rPr>
          <w:rFonts w:hint="eastAsia" w:ascii="微软雅黑" w:hAnsi="微软雅黑" w:eastAsia="微软雅黑" w:cs="微软雅黑"/>
          <w:b/>
          <w:bCs/>
          <w:color w:val="auto"/>
          <w:sz w:val="24"/>
        </w:rPr>
      </w:pPr>
      <w:r>
        <w:rPr>
          <w:rFonts w:hint="eastAsia" w:ascii="微软雅黑" w:hAnsi="微软雅黑" w:eastAsia="微软雅黑" w:cs="微软雅黑"/>
          <w:b/>
          <w:bCs/>
          <w:color w:val="auto"/>
          <w:sz w:val="24"/>
          <w:lang w:val="en-US" w:eastAsia="zh-CN"/>
        </w:rPr>
        <w:t>2、磋商保证金有效凭证</w:t>
      </w:r>
      <w:r>
        <w:rPr>
          <w:rFonts w:hint="eastAsia" w:ascii="微软雅黑" w:hAnsi="微软雅黑" w:eastAsia="微软雅黑" w:cs="微软雅黑"/>
          <w:b/>
          <w:bCs/>
          <w:color w:val="auto"/>
          <w:sz w:val="24"/>
        </w:rPr>
        <w:t>。</w:t>
      </w:r>
    </w:p>
    <w:p w14:paraId="7AF46D4E">
      <w:pPr>
        <w:snapToGrid w:val="0"/>
        <w:spacing w:line="380" w:lineRule="exact"/>
        <w:ind w:left="725" w:leftChars="342" w:hanging="7" w:hangingChars="3"/>
        <w:textAlignment w:val="baseline"/>
        <w:rPr>
          <w:rFonts w:hint="eastAsia" w:ascii="微软雅黑" w:hAnsi="微软雅黑" w:eastAsia="微软雅黑" w:cs="微软雅黑"/>
          <w:b/>
          <w:bCs/>
          <w:color w:val="auto"/>
          <w:sz w:val="24"/>
          <w:lang w:val="en-US" w:eastAsia="zh-CN"/>
        </w:rPr>
      </w:pPr>
      <w:r>
        <w:rPr>
          <w:rFonts w:hint="eastAsia" w:ascii="微软雅黑" w:hAnsi="微软雅黑" w:eastAsia="微软雅黑" w:cs="微软雅黑"/>
          <w:b/>
          <w:bCs/>
          <w:color w:val="auto"/>
          <w:sz w:val="24"/>
          <w:lang w:val="en-US" w:eastAsia="zh-CN"/>
        </w:rPr>
        <w:t>提示：1、完税证明中“税种”非养老保险、医疗保险、失业保险、工伤保险和生育保险。请各供应商注意！</w:t>
      </w:r>
    </w:p>
    <w:p w14:paraId="4F48837D">
      <w:pPr>
        <w:numPr>
          <w:ilvl w:val="0"/>
          <w:numId w:val="4"/>
        </w:numPr>
        <w:snapToGrid w:val="0"/>
        <w:spacing w:line="380" w:lineRule="exact"/>
        <w:ind w:left="725" w:leftChars="342" w:hanging="7" w:hangingChars="3"/>
        <w:textAlignment w:val="baseline"/>
        <w:rPr>
          <w:rFonts w:hint="eastAsia" w:ascii="微软雅黑" w:hAnsi="微软雅黑" w:eastAsia="微软雅黑" w:cs="微软雅黑"/>
          <w:b/>
          <w:bCs/>
          <w:color w:val="auto"/>
          <w:sz w:val="24"/>
          <w:lang w:val="en-US" w:eastAsia="zh-CN"/>
        </w:rPr>
      </w:pPr>
      <w:r>
        <w:rPr>
          <w:rFonts w:hint="eastAsia" w:ascii="微软雅黑" w:hAnsi="微软雅黑" w:eastAsia="微软雅黑" w:cs="微软雅黑"/>
          <w:b/>
          <w:bCs/>
          <w:color w:val="auto"/>
          <w:sz w:val="24"/>
          <w:lang w:val="en-US" w:eastAsia="zh-CN"/>
        </w:rPr>
        <w:t>未通过资格审查的供应商不进入评标；通过资格审查的供应商少于不足三家的，不得评标。</w:t>
      </w:r>
    </w:p>
    <w:p w14:paraId="78B08BD0">
      <w:pPr>
        <w:numPr>
          <w:ilvl w:val="0"/>
          <w:numId w:val="0"/>
        </w:numPr>
        <w:snapToGrid w:val="0"/>
        <w:spacing w:line="380" w:lineRule="exact"/>
        <w:ind w:leftChars="339"/>
        <w:textAlignment w:val="baseline"/>
        <w:rPr>
          <w:rFonts w:hint="default" w:ascii="微软雅黑" w:hAnsi="微软雅黑" w:eastAsia="微软雅黑" w:cs="微软雅黑"/>
          <w:b/>
          <w:bCs/>
          <w:color w:val="auto"/>
          <w:sz w:val="24"/>
          <w:lang w:val="en-US" w:eastAsia="zh-CN"/>
        </w:rPr>
      </w:pPr>
      <w:r>
        <w:rPr>
          <w:rFonts w:hint="eastAsia" w:ascii="微软雅黑" w:hAnsi="微软雅黑" w:eastAsia="微软雅黑" w:cs="微软雅黑"/>
          <w:b/>
          <w:bCs/>
          <w:color w:val="auto"/>
          <w:sz w:val="24"/>
          <w:lang w:val="en-US" w:eastAsia="zh-CN"/>
        </w:rPr>
        <w:t>3、上述资质能够通过官方网络查证的，均视为合格供应商。</w:t>
      </w:r>
    </w:p>
    <w:p w14:paraId="4DD3B8C7">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19.2    采购人或采购代理机构将在磋商开启前1个工作日至磋商截止后1小时的期间内查询供应商的信用记录。供应商存在不良信用记录的，其磋商将被认定为磋商无效。</w:t>
      </w:r>
    </w:p>
    <w:p w14:paraId="53B70694">
      <w:pPr>
        <w:spacing w:line="400" w:lineRule="exact"/>
        <w:ind w:left="857" w:leftChars="2" w:hanging="853"/>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19.2.1  不良信用记录指：在“信用中国”网站（ www.creditchina.gov.cn） 被列入失信被执行人、重大税收违法案件当事人名单</w:t>
      </w:r>
      <w:r>
        <w:rPr>
          <w:rFonts w:hint="eastAsia" w:ascii="微软雅黑" w:hAnsi="微软雅黑" w:eastAsia="微软雅黑" w:cs="微软雅黑"/>
          <w:color w:val="auto"/>
          <w:sz w:val="24"/>
          <w:lang w:eastAsia="zh-CN"/>
        </w:rPr>
        <w:t>，</w:t>
      </w:r>
      <w:r>
        <w:rPr>
          <w:rFonts w:hint="eastAsia" w:ascii="微软雅黑" w:hAnsi="微软雅黑" w:eastAsia="微软雅黑" w:cs="微软雅黑"/>
          <w:color w:val="auto"/>
          <w:sz w:val="24"/>
        </w:rPr>
        <w:t>中国政府采购网（http://www.ccgp.gov.cn/search/cr/）严重违法失信行为记录名单的（尚在处罚期内的）</w:t>
      </w:r>
      <w:r>
        <w:rPr>
          <w:rFonts w:hint="eastAsia" w:ascii="微软雅黑" w:hAnsi="微软雅黑" w:eastAsia="微软雅黑" w:cs="微软雅黑"/>
          <w:color w:val="auto"/>
          <w:sz w:val="24"/>
          <w:lang w:eastAsia="zh-CN"/>
        </w:rPr>
        <w:t>，国家企业公司信息系统</w:t>
      </w:r>
      <w:r>
        <w:rPr>
          <w:rFonts w:hint="eastAsia" w:ascii="微软雅黑" w:hAnsi="微软雅黑" w:eastAsia="微软雅黑" w:cs="微软雅黑"/>
          <w:color w:val="auto"/>
          <w:sz w:val="24"/>
          <w:lang w:val="en-US" w:eastAsia="zh-CN"/>
        </w:rPr>
        <w:t>（www.gsxt.gov.cn）（经营异常名录、严重违法失信名单）的</w:t>
      </w:r>
      <w:r>
        <w:rPr>
          <w:rFonts w:hint="eastAsia" w:ascii="微软雅黑" w:hAnsi="微软雅黑" w:eastAsia="微软雅黑" w:cs="微软雅黑"/>
          <w:color w:val="auto"/>
          <w:sz w:val="24"/>
        </w:rPr>
        <w:t>将拒绝其参加本次招标活动</w:t>
      </w:r>
      <w:r>
        <w:rPr>
          <w:rFonts w:hint="eastAsia" w:ascii="微软雅黑" w:hAnsi="微软雅黑" w:eastAsia="微软雅黑" w:cs="微软雅黑"/>
          <w:color w:val="auto"/>
          <w:sz w:val="24"/>
          <w:lang w:val="en-US" w:eastAsia="zh-CN"/>
        </w:rPr>
        <w:t>，</w:t>
      </w:r>
      <w:r>
        <w:rPr>
          <w:rFonts w:hint="eastAsia" w:ascii="微软雅黑" w:hAnsi="微软雅黑" w:eastAsia="微软雅黑" w:cs="微软雅黑"/>
          <w:color w:val="auto"/>
          <w:sz w:val="24"/>
        </w:rPr>
        <w:t>以及存在《中华人民共和国政府采购法实施条例》第十九条规定的行政处罚记录。以联合体形式参加磋商的，联合体任何成员存在以上不良信用记录的，联合体磋商将被认定为磋商无效。</w:t>
      </w:r>
    </w:p>
    <w:p w14:paraId="5DE01EE2">
      <w:pPr>
        <w:pStyle w:val="7"/>
        <w:spacing w:line="400" w:lineRule="exact"/>
        <w:ind w:left="850" w:hanging="849" w:hangingChars="354"/>
        <w:jc w:val="both"/>
        <w:rPr>
          <w:rFonts w:hint="eastAsia" w:ascii="微软雅黑" w:hAnsi="微软雅黑" w:eastAsia="微软雅黑" w:cs="微软雅黑"/>
          <w:color w:val="auto"/>
        </w:rPr>
      </w:pPr>
      <w:r>
        <w:rPr>
          <w:rFonts w:hint="eastAsia" w:ascii="微软雅黑" w:hAnsi="微软雅黑" w:eastAsia="微软雅黑" w:cs="微软雅黑"/>
          <w:color w:val="auto"/>
        </w:rPr>
        <w:t>19.2.2 查询及记录方式：采购人或采购代理机构经办人将查询网页打印、签字并存档备查。供应商不良信用记录以采购人或采购代理机构查询结果为准。</w:t>
      </w:r>
      <w:r>
        <w:rPr>
          <w:rFonts w:hint="eastAsia" w:ascii="微软雅黑" w:hAnsi="微软雅黑" w:eastAsia="微软雅黑" w:cs="微软雅黑"/>
          <w:b/>
          <w:bCs/>
          <w:color w:val="auto"/>
        </w:rPr>
        <w:t>在本磋商文件规定的查询时间之后，网站信息发生的任何变更均不再作为评审依据。供应商自行提供的与网站信息不一致的其他证明材料亦不作为资格审查的依据。</w:t>
      </w:r>
    </w:p>
    <w:p w14:paraId="5517148F">
      <w:pPr>
        <w:spacing w:line="400" w:lineRule="exact"/>
        <w:ind w:left="850" w:hanging="850" w:hangingChars="354"/>
        <w:rPr>
          <w:rFonts w:hint="eastAsia" w:ascii="微软雅黑" w:hAnsi="微软雅黑" w:eastAsia="微软雅黑" w:cs="微软雅黑"/>
          <w:b/>
          <w:bCs/>
          <w:color w:val="auto"/>
          <w:sz w:val="24"/>
        </w:rPr>
      </w:pPr>
      <w:r>
        <w:rPr>
          <w:rFonts w:hint="eastAsia" w:ascii="微软雅黑" w:hAnsi="微软雅黑" w:eastAsia="微软雅黑" w:cs="微软雅黑"/>
          <w:b/>
          <w:bCs/>
          <w:color w:val="auto"/>
          <w:sz w:val="24"/>
        </w:rPr>
        <w:t xml:space="preserve">19.3   </w:t>
      </w:r>
      <w:bookmarkStart w:id="240" w:name="_Toc520356166"/>
      <w:r>
        <w:rPr>
          <w:rFonts w:hint="eastAsia" w:ascii="微软雅黑" w:hAnsi="微软雅黑" w:eastAsia="微软雅黑" w:cs="微软雅黑"/>
          <w:b/>
          <w:bCs/>
          <w:color w:val="auto"/>
          <w:sz w:val="24"/>
        </w:rPr>
        <w:t>按照《中华人民共和国政府采购法》、《中华人民共和国政府采购法实施条例》、《政府采购货物和服务招标投标管理办法》财政部令第87号及本项目本级和上级财政部门的有关规定依法在政采云平台上自行抽取</w:t>
      </w:r>
      <w:r>
        <w:rPr>
          <w:rFonts w:hint="eastAsia" w:ascii="微软雅黑" w:hAnsi="微软雅黑" w:eastAsia="微软雅黑" w:cs="微软雅黑"/>
          <w:b/>
          <w:bCs/>
          <w:color w:val="auto"/>
          <w:sz w:val="24"/>
          <w:lang w:val="en-US" w:eastAsia="zh-CN"/>
        </w:rPr>
        <w:t>3</w:t>
      </w:r>
      <w:r>
        <w:rPr>
          <w:rFonts w:hint="eastAsia" w:ascii="微软雅黑" w:hAnsi="微软雅黑" w:eastAsia="微软雅黑" w:cs="微软雅黑"/>
          <w:b/>
          <w:bCs/>
          <w:color w:val="auto"/>
          <w:sz w:val="24"/>
        </w:rPr>
        <w:t>名</w:t>
      </w:r>
      <w:r>
        <w:rPr>
          <w:rFonts w:hint="eastAsia" w:ascii="微软雅黑" w:hAnsi="微软雅黑" w:eastAsia="微软雅黑" w:cs="微软雅黑"/>
          <w:b/>
          <w:bCs/>
          <w:color w:val="auto"/>
          <w:sz w:val="24"/>
          <w:lang w:val="en-US" w:eastAsia="zh-CN"/>
        </w:rPr>
        <w:t>专家</w:t>
      </w:r>
      <w:r>
        <w:rPr>
          <w:rFonts w:hint="eastAsia" w:ascii="微软雅黑" w:hAnsi="微软雅黑" w:eastAsia="微软雅黑" w:cs="微软雅黑"/>
          <w:b/>
          <w:bCs/>
          <w:color w:val="auto"/>
          <w:sz w:val="24"/>
        </w:rPr>
        <w:t>，组成</w:t>
      </w:r>
      <w:r>
        <w:rPr>
          <w:rFonts w:hint="eastAsia" w:ascii="微软雅黑" w:hAnsi="微软雅黑" w:eastAsia="微软雅黑" w:cs="微软雅黑"/>
          <w:b/>
          <w:bCs/>
          <w:color w:val="auto"/>
          <w:sz w:val="24"/>
          <w:lang w:eastAsia="zh-CN"/>
        </w:rPr>
        <w:t>磋商小组</w:t>
      </w:r>
      <w:r>
        <w:rPr>
          <w:rFonts w:hint="eastAsia" w:ascii="微软雅黑" w:hAnsi="微软雅黑" w:eastAsia="微软雅黑" w:cs="微软雅黑"/>
          <w:b/>
          <w:bCs/>
          <w:color w:val="auto"/>
          <w:sz w:val="24"/>
        </w:rPr>
        <w:t>负责评标工作</w:t>
      </w:r>
    </w:p>
    <w:p w14:paraId="55CFCC95">
      <w:pPr>
        <w:pStyle w:val="2"/>
        <w:spacing w:before="0" w:after="0" w:line="400" w:lineRule="exact"/>
        <w:rPr>
          <w:rFonts w:hint="eastAsia" w:ascii="微软雅黑" w:hAnsi="微软雅黑" w:eastAsia="微软雅黑" w:cs="微软雅黑"/>
          <w:b w:val="0"/>
          <w:bCs/>
          <w:color w:val="auto"/>
          <w:bdr w:val="single" w:color="auto" w:sz="4" w:space="0"/>
        </w:rPr>
      </w:pPr>
      <w:bookmarkStart w:id="241" w:name="_Toc19610"/>
      <w:bookmarkStart w:id="242" w:name="_Toc11751"/>
      <w:bookmarkStart w:id="243" w:name="_Toc20937"/>
      <w:bookmarkStart w:id="244" w:name="_Toc31689_WPSOffice_Level2"/>
      <w:bookmarkStart w:id="245" w:name="_Toc6842"/>
      <w:bookmarkStart w:id="246" w:name="_Toc28603"/>
      <w:bookmarkStart w:id="247" w:name="_Toc17843_WPSOffice_Level2"/>
      <w:bookmarkStart w:id="248" w:name="_Toc518923085"/>
      <w:r>
        <w:rPr>
          <w:rFonts w:hint="eastAsia" w:ascii="微软雅黑" w:hAnsi="微软雅黑" w:eastAsia="微软雅黑" w:cs="微软雅黑"/>
          <w:color w:val="auto"/>
          <w:u w:val="none"/>
        </w:rPr>
        <w:t>20.响应文件的</w:t>
      </w:r>
      <w:bookmarkEnd w:id="240"/>
      <w:r>
        <w:rPr>
          <w:rFonts w:hint="eastAsia" w:ascii="微软雅黑" w:hAnsi="微软雅黑" w:eastAsia="微软雅黑" w:cs="微软雅黑"/>
          <w:color w:val="auto"/>
          <w:u w:val="none"/>
        </w:rPr>
        <w:t>符合性审查与澄清</w:t>
      </w:r>
      <w:bookmarkEnd w:id="241"/>
      <w:bookmarkEnd w:id="242"/>
      <w:bookmarkEnd w:id="243"/>
      <w:bookmarkEnd w:id="244"/>
      <w:bookmarkEnd w:id="245"/>
      <w:bookmarkEnd w:id="246"/>
      <w:bookmarkEnd w:id="247"/>
      <w:bookmarkEnd w:id="248"/>
    </w:p>
    <w:p w14:paraId="35DF6536">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20.1   符合性审查是指依据磋商文件的规定，从响应文件的有效性和完整性对磋商文件的响应程度进行审查，以确定是否对磋商文件的实质性要求做出响应。</w:t>
      </w:r>
      <w:bookmarkStart w:id="249" w:name="_Hlt522424701"/>
      <w:bookmarkEnd w:id="249"/>
      <w:bookmarkStart w:id="250" w:name="_Toc520356167"/>
    </w:p>
    <w:p w14:paraId="6210DFE9">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20.2</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响应文件的澄清</w:t>
      </w:r>
    </w:p>
    <w:p w14:paraId="3061384A">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20.2.1  在评审期间，磋商小组将以书面方式要求供应商对其响应文件中含义不明确、对同类问题表述不一致或者有明显文字和计算错误的内容，以及磋商小组认为供应商的报价明显低于其他通过符合性检查供应商的报价，有可能影响履约的情况作必要的澄清、说明或补正。供应商澄清、说明或补正。应在磋商小组规定的时间内以书面方式进行，并不得超出响应文件范围或者改变响应文件的实质性内容。</w:t>
      </w:r>
    </w:p>
    <w:p w14:paraId="197623B6">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20.2.2  供应商的澄清、说明或补正将作为响应文件的一部分。</w:t>
      </w:r>
    </w:p>
    <w:p w14:paraId="68E564AA">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20.3   响应文件报价出现前后不一致的，按照下列规定修正：</w:t>
      </w:r>
    </w:p>
    <w:p w14:paraId="500C966F">
      <w:pPr>
        <w:spacing w:line="400" w:lineRule="exact"/>
        <w:ind w:left="1020" w:hanging="1020" w:hangingChars="42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（一）响应文件中磋商开启报价一览表（报价表）内容与响应文件中相应内容不一致的，以磋商开启报价一览表（报价表）为准；</w:t>
      </w:r>
    </w:p>
    <w:p w14:paraId="5BEDD68C">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（二）大写金额和小写金额不一致的，以大写金额为准；</w:t>
      </w:r>
    </w:p>
    <w:p w14:paraId="5891DE62">
      <w:pPr>
        <w:spacing w:line="400" w:lineRule="exact"/>
        <w:ind w:left="1020" w:hanging="1020" w:hangingChars="42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（三）单价金额小数点或者百分比有明显错位的，以磋商开启报价一览表的总价为准，并修改单价；</w:t>
      </w:r>
    </w:p>
    <w:p w14:paraId="1E28A7F2">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（四）总价金额与按单价汇总金额不一致的，以单价金额计算结果为准。</w:t>
      </w:r>
    </w:p>
    <w:p w14:paraId="4201149D">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同时出现两种以上不一致的，按照前款规定的顺序修正。修正后的报价按照第20.2条的规定经供应商确认后产生约束力，供应商不确认的，将被认定为磋商无效。对不同文字文本响应文件的解释发生异议的，以中文文本为准。</w:t>
      </w:r>
    </w:p>
    <w:p w14:paraId="2BEEB738">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20.4   供应商为提供服务所伴随磋商的产品如被列入财政部与国家主管部门颁发的节能产品目录或环境标志产品目录或无线局域网产品目录，应提供相关证明，在评审时予以优先采购，具体优先采购办法见第6章评审方法和标准。</w:t>
      </w:r>
    </w:p>
    <w:p w14:paraId="3D163B9B">
      <w:pPr>
        <w:pStyle w:val="2"/>
        <w:spacing w:before="0" w:after="0" w:line="400" w:lineRule="exact"/>
        <w:rPr>
          <w:rFonts w:hint="eastAsia" w:ascii="微软雅黑" w:hAnsi="微软雅黑" w:eastAsia="微软雅黑" w:cs="微软雅黑"/>
          <w:color w:val="auto"/>
          <w:u w:val="none"/>
        </w:rPr>
      </w:pPr>
      <w:bookmarkStart w:id="251" w:name="_Toc8603"/>
      <w:bookmarkStart w:id="252" w:name="_Toc7726"/>
      <w:bookmarkStart w:id="253" w:name="_Toc6346_WPSOffice_Level2"/>
      <w:bookmarkStart w:id="254" w:name="_Toc13592"/>
      <w:bookmarkStart w:id="255" w:name="_Toc32038"/>
      <w:bookmarkStart w:id="256" w:name="_Toc26452_WPSOffice_Level2"/>
      <w:bookmarkStart w:id="257" w:name="_Toc518923086"/>
      <w:bookmarkStart w:id="258" w:name="_Toc1249"/>
      <w:r>
        <w:rPr>
          <w:rFonts w:hint="eastAsia" w:ascii="微软雅黑" w:hAnsi="微软雅黑" w:eastAsia="微软雅黑" w:cs="微软雅黑"/>
          <w:color w:val="auto"/>
          <w:u w:val="none"/>
        </w:rPr>
        <w:t>21.响应偏离</w:t>
      </w:r>
      <w:bookmarkEnd w:id="251"/>
      <w:bookmarkEnd w:id="252"/>
      <w:bookmarkEnd w:id="253"/>
      <w:bookmarkEnd w:id="254"/>
      <w:bookmarkEnd w:id="255"/>
      <w:bookmarkEnd w:id="256"/>
      <w:bookmarkEnd w:id="257"/>
      <w:bookmarkEnd w:id="258"/>
    </w:p>
    <w:p w14:paraId="558E69D5">
      <w:pPr>
        <w:spacing w:line="400" w:lineRule="exact"/>
        <w:ind w:left="848" w:leftChars="99" w:hanging="640" w:hangingChars="267"/>
        <w:rPr>
          <w:rFonts w:hint="eastAsia" w:ascii="微软雅黑" w:hAnsi="微软雅黑" w:eastAsia="微软雅黑" w:cs="微软雅黑"/>
          <w:color w:val="auto"/>
          <w:sz w:val="24"/>
          <w:lang w:eastAsia="zh-CN"/>
        </w:rPr>
      </w:pPr>
      <w:r>
        <w:rPr>
          <w:rFonts w:hint="eastAsia" w:ascii="微软雅黑" w:hAnsi="微软雅黑" w:eastAsia="微软雅黑" w:cs="微软雅黑"/>
          <w:color w:val="auto"/>
          <w:sz w:val="24"/>
        </w:rPr>
        <w:t xml:space="preserve">    磋商小组可以接受响应文件中不构成实质性偏离的不正规或不一致</w:t>
      </w:r>
      <w:r>
        <w:rPr>
          <w:rFonts w:hint="eastAsia" w:ascii="微软雅黑" w:hAnsi="微软雅黑" w:eastAsia="微软雅黑" w:cs="微软雅黑"/>
          <w:color w:val="auto"/>
          <w:sz w:val="24"/>
          <w:highlight w:val="none"/>
          <w:lang w:eastAsia="zh-CN"/>
        </w:rPr>
        <w:t>。</w:t>
      </w:r>
    </w:p>
    <w:p w14:paraId="666BD67C">
      <w:pPr>
        <w:pStyle w:val="2"/>
        <w:spacing w:before="0" w:after="0" w:line="400" w:lineRule="exact"/>
        <w:rPr>
          <w:rFonts w:hint="eastAsia" w:ascii="微软雅黑" w:hAnsi="微软雅黑" w:eastAsia="微软雅黑" w:cs="微软雅黑"/>
          <w:color w:val="auto"/>
          <w:u w:val="none"/>
        </w:rPr>
      </w:pPr>
      <w:bookmarkStart w:id="259" w:name="_Toc518923087"/>
      <w:bookmarkStart w:id="260" w:name="_Toc5777"/>
      <w:bookmarkStart w:id="261" w:name="_Toc12452"/>
      <w:bookmarkStart w:id="262" w:name="_Toc12082"/>
      <w:bookmarkStart w:id="263" w:name="_Toc24099"/>
      <w:bookmarkStart w:id="264" w:name="_Toc11645_WPSOffice_Level2"/>
      <w:bookmarkStart w:id="265" w:name="_Toc25236_WPSOffice_Level2"/>
      <w:bookmarkStart w:id="266" w:name="_Toc25255"/>
      <w:r>
        <w:rPr>
          <w:rFonts w:hint="eastAsia" w:ascii="微软雅黑" w:hAnsi="微软雅黑" w:eastAsia="微软雅黑" w:cs="微软雅黑"/>
          <w:color w:val="auto"/>
          <w:u w:val="none"/>
        </w:rPr>
        <w:t>22.响应无效</w:t>
      </w:r>
      <w:bookmarkEnd w:id="259"/>
      <w:bookmarkEnd w:id="260"/>
      <w:bookmarkEnd w:id="261"/>
      <w:bookmarkEnd w:id="262"/>
      <w:bookmarkEnd w:id="263"/>
      <w:bookmarkEnd w:id="264"/>
      <w:bookmarkEnd w:id="265"/>
      <w:bookmarkEnd w:id="266"/>
    </w:p>
    <w:p w14:paraId="7969B27E">
      <w:pPr>
        <w:spacing w:line="400" w:lineRule="exact"/>
        <w:ind w:left="852" w:leftChars="-23"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22.1   在比较与评价之前，根据本须知的规定，磋商小组要审查每份响应文件是否实质上响应了磋商文件的要求。实质上响应的响应文件应该是与磋商文件要求的全部条款、条件和规格相符，没有重大偏离的响应。对关键条款的偏离，将被认定为无效。供应商不得通过修正或撤销不符合要求的偏离从而使其磋商成为实质上响应。</w:t>
      </w:r>
    </w:p>
    <w:p w14:paraId="1906A779">
      <w:pPr>
        <w:spacing w:line="400" w:lineRule="exact"/>
        <w:ind w:left="792" w:leftChars="377"/>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磋商小组决定磋商的响应性只根据磋商文件要求、响应文件内容及财政主管部门指定相关信息发布媒体。</w:t>
      </w:r>
    </w:p>
    <w:p w14:paraId="523E9FA8">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xml:space="preserve">22.2   </w:t>
      </w:r>
      <w:r>
        <w:rPr>
          <w:rFonts w:hint="eastAsia" w:ascii="微软雅黑" w:hAnsi="微软雅黑" w:eastAsia="微软雅黑" w:cs="微软雅黑"/>
          <w:b/>
          <w:bCs/>
          <w:color w:val="auto"/>
          <w:sz w:val="24"/>
        </w:rPr>
        <w:t>如发现下列情况之一的，其磋商将被认定为无效：（</w:t>
      </w:r>
      <w:r>
        <w:rPr>
          <w:rFonts w:hint="eastAsia" w:ascii="微软雅黑" w:hAnsi="微软雅黑" w:eastAsia="微软雅黑" w:cs="微软雅黑"/>
          <w:b/>
          <w:color w:val="auto"/>
          <w:sz w:val="24"/>
        </w:rPr>
        <w:t>以下情形应当在磋商文件中规定，并以醒目的方式标明</w:t>
      </w:r>
      <w:r>
        <w:rPr>
          <w:rFonts w:hint="eastAsia" w:ascii="微软雅黑" w:hAnsi="微软雅黑" w:eastAsia="微软雅黑" w:cs="微软雅黑"/>
          <w:color w:val="auto"/>
          <w:sz w:val="24"/>
        </w:rPr>
        <w:t>）</w:t>
      </w:r>
    </w:p>
    <w:p w14:paraId="31DDF3F1">
      <w:pPr>
        <w:numPr>
          <w:ilvl w:val="0"/>
          <w:numId w:val="5"/>
        </w:numPr>
        <w:spacing w:line="400" w:lineRule="exact"/>
        <w:ind w:left="1081" w:leftChars="429" w:hanging="180"/>
        <w:rPr>
          <w:rFonts w:hint="eastAsia" w:ascii="微软雅黑" w:hAnsi="微软雅黑" w:eastAsia="微软雅黑" w:cs="微软雅黑"/>
          <w:b/>
          <w:bCs/>
          <w:color w:val="auto"/>
          <w:sz w:val="24"/>
        </w:rPr>
      </w:pPr>
      <w:r>
        <w:rPr>
          <w:rFonts w:hint="eastAsia" w:ascii="微软雅黑" w:hAnsi="微软雅黑" w:eastAsia="微软雅黑" w:cs="微软雅黑"/>
          <w:b/>
          <w:bCs/>
          <w:color w:val="auto"/>
          <w:sz w:val="24"/>
        </w:rPr>
        <w:t>未按磋商文件规定的形式和金额提交磋商保证金的；</w:t>
      </w:r>
    </w:p>
    <w:p w14:paraId="6C38056B">
      <w:pPr>
        <w:numPr>
          <w:ilvl w:val="0"/>
          <w:numId w:val="5"/>
        </w:numPr>
        <w:spacing w:line="400" w:lineRule="exact"/>
        <w:ind w:left="1081" w:leftChars="429" w:hanging="180"/>
        <w:rPr>
          <w:rFonts w:hint="eastAsia" w:ascii="微软雅黑" w:hAnsi="微软雅黑" w:eastAsia="微软雅黑" w:cs="微软雅黑"/>
          <w:b/>
          <w:bCs/>
          <w:color w:val="auto"/>
          <w:sz w:val="24"/>
        </w:rPr>
      </w:pPr>
      <w:r>
        <w:rPr>
          <w:rFonts w:hint="eastAsia" w:ascii="微软雅黑" w:hAnsi="微软雅黑" w:eastAsia="微软雅黑" w:cs="微软雅黑"/>
          <w:b/>
          <w:bCs/>
          <w:color w:val="auto"/>
          <w:sz w:val="24"/>
        </w:rPr>
        <w:t>未按照磋商文件规定要求签署、盖章的；</w:t>
      </w:r>
    </w:p>
    <w:p w14:paraId="17DDFBF8">
      <w:pPr>
        <w:numPr>
          <w:ilvl w:val="0"/>
          <w:numId w:val="5"/>
        </w:numPr>
        <w:spacing w:line="400" w:lineRule="exact"/>
        <w:ind w:left="1081" w:leftChars="429" w:hanging="180"/>
        <w:rPr>
          <w:rFonts w:hint="eastAsia" w:ascii="微软雅黑" w:hAnsi="微软雅黑" w:eastAsia="微软雅黑" w:cs="微软雅黑"/>
          <w:b/>
          <w:bCs/>
          <w:color w:val="auto"/>
          <w:sz w:val="24"/>
        </w:rPr>
      </w:pPr>
      <w:r>
        <w:rPr>
          <w:rFonts w:hint="eastAsia" w:ascii="微软雅黑" w:hAnsi="微软雅黑" w:eastAsia="微软雅黑" w:cs="微软雅黑"/>
          <w:b/>
          <w:bCs/>
          <w:color w:val="auto"/>
          <w:sz w:val="24"/>
        </w:rPr>
        <w:t>未满足磋商文件中技术条款的实质性要求；</w:t>
      </w:r>
    </w:p>
    <w:p w14:paraId="59DF1F65">
      <w:pPr>
        <w:numPr>
          <w:ilvl w:val="0"/>
          <w:numId w:val="5"/>
        </w:numPr>
        <w:spacing w:line="400" w:lineRule="exact"/>
        <w:ind w:left="1081" w:leftChars="429" w:hanging="180"/>
        <w:rPr>
          <w:rFonts w:hint="eastAsia" w:ascii="微软雅黑" w:hAnsi="微软雅黑" w:eastAsia="微软雅黑" w:cs="微软雅黑"/>
          <w:b/>
          <w:bCs/>
          <w:color w:val="auto"/>
          <w:sz w:val="24"/>
        </w:rPr>
      </w:pPr>
      <w:r>
        <w:rPr>
          <w:rFonts w:hint="eastAsia" w:ascii="微软雅黑" w:hAnsi="微软雅黑" w:eastAsia="微软雅黑" w:cs="微软雅黑"/>
          <w:b/>
          <w:bCs/>
          <w:color w:val="auto"/>
          <w:sz w:val="24"/>
        </w:rPr>
        <w:t>与其他供应商串通参加磋商或者与采购人串通参加磋商；</w:t>
      </w:r>
    </w:p>
    <w:p w14:paraId="30C0B05A">
      <w:pPr>
        <w:numPr>
          <w:ilvl w:val="0"/>
          <w:numId w:val="5"/>
        </w:numPr>
        <w:spacing w:line="400" w:lineRule="exact"/>
        <w:ind w:left="1081" w:leftChars="429" w:hanging="180"/>
        <w:rPr>
          <w:rFonts w:hint="eastAsia" w:ascii="微软雅黑" w:hAnsi="微软雅黑" w:eastAsia="微软雅黑" w:cs="微软雅黑"/>
          <w:b/>
          <w:bCs/>
          <w:color w:val="auto"/>
          <w:sz w:val="24"/>
        </w:rPr>
      </w:pPr>
      <w:r>
        <w:rPr>
          <w:rFonts w:hint="eastAsia" w:ascii="微软雅黑" w:hAnsi="微软雅黑" w:eastAsia="微软雅黑" w:cs="微软雅黑"/>
          <w:b/>
          <w:bCs/>
          <w:color w:val="auto"/>
          <w:sz w:val="24"/>
        </w:rPr>
        <w:t>属于磋商文件规定的其他磋商无效情形；</w:t>
      </w:r>
    </w:p>
    <w:p w14:paraId="1E7A30BB">
      <w:pPr>
        <w:numPr>
          <w:ilvl w:val="0"/>
          <w:numId w:val="5"/>
        </w:numPr>
        <w:spacing w:line="400" w:lineRule="exact"/>
        <w:ind w:left="1081" w:leftChars="429" w:hanging="180"/>
        <w:rPr>
          <w:rFonts w:hint="eastAsia" w:ascii="微软雅黑" w:hAnsi="微软雅黑" w:eastAsia="微软雅黑" w:cs="微软雅黑"/>
          <w:b/>
          <w:bCs/>
          <w:color w:val="auto"/>
          <w:sz w:val="24"/>
        </w:rPr>
      </w:pPr>
      <w:r>
        <w:rPr>
          <w:rFonts w:hint="eastAsia" w:ascii="微软雅黑" w:hAnsi="微软雅黑" w:eastAsia="微软雅黑" w:cs="微软雅黑"/>
          <w:b/>
          <w:bCs/>
          <w:color w:val="auto"/>
          <w:sz w:val="24"/>
        </w:rPr>
        <w:t>磋商小组认为供应商的报价明显低于其他通过符合性检查供</w:t>
      </w:r>
    </w:p>
    <w:p w14:paraId="7FC67F56">
      <w:pPr>
        <w:spacing w:line="400" w:lineRule="exact"/>
        <w:ind w:left="958" w:leftChars="456"/>
        <w:rPr>
          <w:rFonts w:hint="eastAsia" w:ascii="微软雅黑" w:hAnsi="微软雅黑" w:eastAsia="微软雅黑" w:cs="微软雅黑"/>
          <w:b/>
          <w:bCs/>
          <w:color w:val="auto"/>
          <w:sz w:val="24"/>
        </w:rPr>
      </w:pPr>
      <w:r>
        <w:rPr>
          <w:rFonts w:hint="eastAsia" w:ascii="微软雅黑" w:hAnsi="微软雅黑" w:eastAsia="微软雅黑" w:cs="微软雅黑"/>
          <w:b/>
          <w:bCs/>
          <w:color w:val="auto"/>
          <w:sz w:val="24"/>
        </w:rPr>
        <w:t>应商的报价，有可能影响履约的，且供应商未按照规定证明其报价合理性的；</w:t>
      </w:r>
    </w:p>
    <w:p w14:paraId="702144BD">
      <w:pPr>
        <w:numPr>
          <w:ilvl w:val="0"/>
          <w:numId w:val="5"/>
        </w:numPr>
        <w:spacing w:line="400" w:lineRule="exact"/>
        <w:ind w:left="1081" w:leftChars="429" w:hanging="180"/>
        <w:rPr>
          <w:rFonts w:hint="eastAsia" w:ascii="微软雅黑" w:hAnsi="微软雅黑" w:eastAsia="微软雅黑" w:cs="微软雅黑"/>
          <w:b/>
          <w:bCs/>
          <w:color w:val="auto"/>
          <w:sz w:val="24"/>
        </w:rPr>
      </w:pPr>
      <w:r>
        <w:rPr>
          <w:rFonts w:hint="eastAsia" w:ascii="微软雅黑" w:hAnsi="微软雅黑" w:eastAsia="微软雅黑" w:cs="微软雅黑"/>
          <w:b/>
          <w:bCs/>
          <w:color w:val="auto"/>
          <w:sz w:val="24"/>
        </w:rPr>
        <w:t>响应文件含有采购人不能接受的附加条件的；</w:t>
      </w:r>
    </w:p>
    <w:p w14:paraId="6A311198">
      <w:pPr>
        <w:numPr>
          <w:ilvl w:val="0"/>
          <w:numId w:val="5"/>
        </w:numPr>
        <w:tabs>
          <w:tab w:val="left" w:pos="0"/>
        </w:tabs>
        <w:spacing w:line="400" w:lineRule="exact"/>
        <w:ind w:left="1081" w:leftChars="429" w:hanging="180"/>
        <w:rPr>
          <w:rFonts w:hint="eastAsia" w:ascii="微软雅黑" w:hAnsi="微软雅黑" w:eastAsia="微软雅黑" w:cs="微软雅黑"/>
          <w:b/>
          <w:bCs/>
          <w:color w:val="auto"/>
          <w:sz w:val="24"/>
        </w:rPr>
      </w:pPr>
      <w:r>
        <w:rPr>
          <w:rFonts w:hint="eastAsia" w:ascii="微软雅黑" w:hAnsi="微软雅黑" w:eastAsia="微软雅黑" w:cs="微软雅黑"/>
          <w:b/>
          <w:bCs/>
          <w:color w:val="auto"/>
          <w:sz w:val="24"/>
        </w:rPr>
        <w:t>不符合法规和磋商文件中规定的其他实质性要求的。</w:t>
      </w:r>
    </w:p>
    <w:p w14:paraId="7325CBE6">
      <w:pPr>
        <w:spacing w:line="400" w:lineRule="exact"/>
        <w:outlineLvl w:val="2"/>
        <w:rPr>
          <w:rFonts w:hint="eastAsia" w:ascii="微软雅黑" w:hAnsi="微软雅黑" w:eastAsia="微软雅黑" w:cs="微软雅黑"/>
          <w:b/>
          <w:bCs/>
          <w:color w:val="auto"/>
          <w:sz w:val="24"/>
        </w:rPr>
      </w:pPr>
      <w:bookmarkStart w:id="267" w:name="_Toc20835"/>
      <w:bookmarkStart w:id="268" w:name="_Toc4029"/>
      <w:bookmarkStart w:id="269" w:name="_Toc14330_WPSOffice_Level2"/>
      <w:bookmarkStart w:id="270" w:name="_Toc518923088"/>
      <w:bookmarkStart w:id="271" w:name="_Toc8550"/>
      <w:bookmarkStart w:id="272" w:name="_Toc8816"/>
      <w:bookmarkStart w:id="273" w:name="_Toc25702"/>
      <w:bookmarkStart w:id="274" w:name="_Toc22743_WPSOffice_Level2"/>
      <w:r>
        <w:rPr>
          <w:rFonts w:hint="eastAsia" w:ascii="微软雅黑" w:hAnsi="微软雅黑" w:eastAsia="微软雅黑" w:cs="微软雅黑"/>
          <w:b/>
          <w:bCs/>
          <w:color w:val="auto"/>
          <w:sz w:val="24"/>
        </w:rPr>
        <w:t>23</w:t>
      </w:r>
      <w:bookmarkEnd w:id="250"/>
      <w:r>
        <w:rPr>
          <w:rFonts w:hint="eastAsia" w:ascii="微软雅黑" w:hAnsi="微软雅黑" w:eastAsia="微软雅黑" w:cs="微软雅黑"/>
          <w:b/>
          <w:bCs/>
          <w:color w:val="auto"/>
          <w:sz w:val="24"/>
        </w:rPr>
        <w:t>.比较与评价</w:t>
      </w:r>
      <w:bookmarkEnd w:id="267"/>
      <w:bookmarkEnd w:id="268"/>
      <w:bookmarkEnd w:id="269"/>
      <w:bookmarkEnd w:id="270"/>
      <w:bookmarkEnd w:id="271"/>
      <w:bookmarkEnd w:id="272"/>
      <w:bookmarkEnd w:id="273"/>
      <w:bookmarkEnd w:id="274"/>
    </w:p>
    <w:p w14:paraId="05AD9CDD">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23.1   经符合性审查合格的响应文件，磋商小组将根据磋商文件确定的评审方法和标准，对其技术部分和商务部分作进一步的比较和评价。</w:t>
      </w:r>
    </w:p>
    <w:p w14:paraId="4E96CC6F">
      <w:pPr>
        <w:pStyle w:val="26"/>
        <w:spacing w:line="400" w:lineRule="exact"/>
        <w:ind w:left="718" w:leftChars="342" w:firstLine="118" w:firstLineChars="49"/>
        <w:rPr>
          <w:rFonts w:hint="eastAsia" w:ascii="微软雅黑" w:hAnsi="微软雅黑" w:eastAsia="微软雅黑" w:cs="微软雅黑"/>
          <w:b/>
          <w:bCs/>
          <w:color w:val="auto"/>
          <w:sz w:val="24"/>
          <w:u w:val="single"/>
        </w:rPr>
      </w:pPr>
      <w:r>
        <w:rPr>
          <w:rFonts w:hint="eastAsia" w:ascii="微软雅黑" w:hAnsi="微软雅黑" w:eastAsia="微软雅黑" w:cs="微软雅黑"/>
          <w:b/>
          <w:bCs/>
          <w:color w:val="auto"/>
          <w:sz w:val="24"/>
          <w:u w:val="single"/>
        </w:rPr>
        <w:t>竞争性磋商共有两次报价，二次报价为最终报价，磋商小组所有成员集中与单一供应商分别进行磋商，并给予所有参加磋商的供应商平等的磋商机会， 磋商小组要求所有实质性响应的供应商在规定时间内提交最后报价，最后报价是供应商响应文件的有效组成部分，经磋商确定最终采购需求和提交最后报价的供应商后，由磋商小组采用综合评分法对提交最后报价的供应商的响应文件和最后报价进行综合评分。磋商小组各成员应当独立对每个有效响应的文件进行评价打分，汇总每个供应商每项评分因素的得分。磋商小组应当从质量和服务均能满足采购文件实质性响应要求的供应商中，按照综合评分由高到低的顺序提出成交候选人，并编写评审报告，将结果通知所有参加磋商的未成交的供应商；</w:t>
      </w:r>
    </w:p>
    <w:p w14:paraId="68F2375B">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23.2   评审严格按照磋商文件的要求和条件进行。根据实际情况，在</w:t>
      </w:r>
      <w:r>
        <w:rPr>
          <w:rFonts w:hint="eastAsia" w:ascii="微软雅黑" w:hAnsi="微软雅黑" w:eastAsia="微软雅黑" w:cs="微软雅黑"/>
          <w:color w:val="auto"/>
          <w:sz w:val="24"/>
          <w:u w:val="single"/>
        </w:rPr>
        <w:t>供应商须知资料表</w:t>
      </w:r>
      <w:r>
        <w:rPr>
          <w:rFonts w:hint="eastAsia" w:ascii="微软雅黑" w:hAnsi="微软雅黑" w:eastAsia="微软雅黑" w:cs="微软雅黑"/>
          <w:color w:val="auto"/>
          <w:sz w:val="24"/>
        </w:rPr>
        <w:t>中规定采用下列一种评审方法，详细评审标准见磋商文件第六章：</w:t>
      </w:r>
    </w:p>
    <w:p w14:paraId="4692C9D3">
      <w:pPr>
        <w:pStyle w:val="16"/>
        <w:spacing w:line="400" w:lineRule="exact"/>
        <w:ind w:left="958" w:leftChars="456" w:firstLine="33" w:firstLineChars="14"/>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综合评分法，是指响应文件满足磋商文件全部实质性要求，且按照评审因素的量化指标评审得分最高的供应商为成交候选人的评审方法。</w:t>
      </w:r>
    </w:p>
    <w:p w14:paraId="4A6B07DA">
      <w:pPr>
        <w:pStyle w:val="16"/>
        <w:spacing w:line="400" w:lineRule="exact"/>
        <w:ind w:left="958" w:leftChars="456" w:firstLine="34" w:firstLineChars="14"/>
        <w:rPr>
          <w:rFonts w:hint="eastAsia" w:ascii="微软雅黑" w:hAnsi="微软雅黑" w:eastAsia="微软雅黑" w:cs="微软雅黑"/>
          <w:b/>
          <w:bCs/>
          <w:color w:val="auto"/>
          <w:sz w:val="24"/>
          <w:szCs w:val="24"/>
        </w:rPr>
      </w:pPr>
      <w:r>
        <w:rPr>
          <w:rFonts w:hint="eastAsia" w:ascii="微软雅黑" w:hAnsi="微软雅黑" w:eastAsia="微软雅黑" w:cs="微软雅黑"/>
          <w:b/>
          <w:bCs/>
          <w:color w:val="auto"/>
          <w:sz w:val="24"/>
          <w:szCs w:val="24"/>
        </w:rPr>
        <w:t>本项目采用采购方式：竞争性磋商</w:t>
      </w:r>
    </w:p>
    <w:p w14:paraId="4116D011">
      <w:pPr>
        <w:pStyle w:val="16"/>
        <w:spacing w:line="400" w:lineRule="exact"/>
        <w:ind w:left="958" w:leftChars="456" w:firstLine="34" w:firstLineChars="14"/>
        <w:rPr>
          <w:rFonts w:hint="default" w:ascii="微软雅黑" w:hAnsi="微软雅黑" w:eastAsia="微软雅黑" w:cs="微软雅黑"/>
          <w:b/>
          <w:bCs/>
          <w:color w:val="auto"/>
          <w:sz w:val="24"/>
          <w:szCs w:val="24"/>
          <w:lang w:val="en-US" w:eastAsia="zh-CN"/>
        </w:rPr>
      </w:pPr>
      <w:r>
        <w:rPr>
          <w:rFonts w:hint="eastAsia" w:ascii="微软雅黑" w:hAnsi="微软雅黑" w:eastAsia="微软雅黑" w:cs="微软雅黑"/>
          <w:b/>
          <w:bCs/>
          <w:color w:val="auto"/>
          <w:sz w:val="24"/>
          <w:szCs w:val="24"/>
        </w:rPr>
        <w:t>评分方法：综合评分法</w:t>
      </w:r>
      <w:r>
        <w:rPr>
          <w:rFonts w:hint="eastAsia" w:ascii="微软雅黑" w:hAnsi="微软雅黑" w:eastAsia="微软雅黑" w:cs="微软雅黑"/>
          <w:b/>
          <w:bCs/>
          <w:color w:val="auto"/>
          <w:sz w:val="24"/>
          <w:szCs w:val="24"/>
          <w:lang w:val="en-US" w:eastAsia="zh-CN"/>
        </w:rPr>
        <w:t xml:space="preserve">。 </w:t>
      </w:r>
    </w:p>
    <w:p w14:paraId="7F228F6E">
      <w:pPr>
        <w:pStyle w:val="16"/>
        <w:pageBreakBefore w:val="0"/>
        <w:kinsoku/>
        <w:wordWrap/>
        <w:overflowPunct/>
        <w:topLinePunct w:val="0"/>
        <w:bidi w:val="0"/>
        <w:spacing w:line="480" w:lineRule="exact"/>
        <w:ind w:left="900" w:hanging="900" w:hangingChars="375"/>
        <w:rPr>
          <w:rFonts w:hint="eastAsia" w:ascii="微软雅黑" w:hAnsi="微软雅黑" w:eastAsia="微软雅黑" w:cs="微软雅黑"/>
          <w:b/>
          <w:bCs/>
          <w:color w:val="auto"/>
          <w:sz w:val="24"/>
          <w:szCs w:val="24"/>
        </w:rPr>
      </w:pPr>
      <w:bookmarkStart w:id="275" w:name="_Toc520356168"/>
      <w:bookmarkStart w:id="276" w:name="_Toc518923089"/>
      <w:bookmarkStart w:id="277" w:name="_Toc5823"/>
      <w:bookmarkStart w:id="278" w:name="_Toc21686_WPSOffice_Level2"/>
      <w:bookmarkStart w:id="279" w:name="_Toc27560_WPSOffice_Level2"/>
      <w:r>
        <w:rPr>
          <w:rFonts w:hint="eastAsia" w:ascii="微软雅黑" w:hAnsi="微软雅黑" w:eastAsia="微软雅黑" w:cs="微软雅黑"/>
          <w:b/>
          <w:bCs/>
          <w:color w:val="auto"/>
          <w:sz w:val="24"/>
          <w:szCs w:val="24"/>
        </w:rPr>
        <w:t xml:space="preserve">23.3   </w:t>
      </w:r>
      <w:r>
        <w:rPr>
          <w:rFonts w:hint="eastAsia" w:ascii="微软雅黑" w:hAnsi="微软雅黑" w:eastAsia="微软雅黑" w:cs="微软雅黑"/>
          <w:b/>
          <w:bCs/>
          <w:color w:val="auto"/>
          <w:kern w:val="2"/>
          <w:sz w:val="24"/>
          <w:szCs w:val="24"/>
          <w:highlight w:val="none"/>
          <w:lang w:val="en-US" w:eastAsia="zh-CN" w:bidi="ar-SA"/>
        </w:rPr>
        <w:t>根据《政府采购促进中小企业发展管理办法》（财库﹝2020﹞46 号）</w:t>
      </w:r>
      <w:r>
        <w:rPr>
          <w:rFonts w:hint="eastAsia" w:ascii="微软雅黑" w:hAnsi="微软雅黑" w:eastAsia="微软雅黑" w:cs="微软雅黑"/>
          <w:b/>
          <w:bCs/>
          <w:color w:val="auto"/>
          <w:sz w:val="24"/>
          <w:szCs w:val="24"/>
          <w:lang w:eastAsia="zh-CN"/>
        </w:rPr>
        <w:t>、《</w:t>
      </w:r>
      <w:r>
        <w:rPr>
          <w:rFonts w:hint="eastAsia" w:ascii="微软雅黑" w:hAnsi="微软雅黑" w:eastAsia="微软雅黑" w:cs="微软雅黑"/>
          <w:b/>
          <w:bCs/>
          <w:color w:val="auto"/>
          <w:sz w:val="24"/>
          <w:szCs w:val="24"/>
          <w:lang w:val="en-US" w:eastAsia="zh-CN"/>
        </w:rPr>
        <w:t>关于落实好政府采购支持中小企业发展的通知</w:t>
      </w:r>
      <w:r>
        <w:rPr>
          <w:rFonts w:hint="eastAsia" w:ascii="微软雅黑" w:hAnsi="微软雅黑" w:eastAsia="微软雅黑" w:cs="微软雅黑"/>
          <w:b/>
          <w:bCs/>
          <w:color w:val="auto"/>
          <w:sz w:val="24"/>
          <w:szCs w:val="24"/>
          <w:lang w:eastAsia="zh-CN"/>
        </w:rPr>
        <w:t>》（</w:t>
      </w:r>
      <w:r>
        <w:rPr>
          <w:rFonts w:hint="eastAsia" w:ascii="微软雅黑" w:hAnsi="微软雅黑" w:eastAsia="微软雅黑" w:cs="微软雅黑"/>
          <w:b/>
          <w:bCs/>
          <w:color w:val="auto"/>
          <w:sz w:val="24"/>
          <w:szCs w:val="24"/>
        </w:rPr>
        <w:t>新财购 〔2022〕22号</w:t>
      </w:r>
      <w:r>
        <w:rPr>
          <w:rFonts w:hint="eastAsia" w:ascii="微软雅黑" w:hAnsi="微软雅黑" w:eastAsia="微软雅黑" w:cs="微软雅黑"/>
          <w:b/>
          <w:bCs/>
          <w:color w:val="auto"/>
          <w:sz w:val="24"/>
          <w:szCs w:val="24"/>
          <w:lang w:eastAsia="zh-CN"/>
        </w:rPr>
        <w:t>）</w:t>
      </w:r>
      <w:r>
        <w:rPr>
          <w:rFonts w:hint="eastAsia" w:ascii="微软雅黑" w:hAnsi="微软雅黑" w:eastAsia="微软雅黑" w:cs="微软雅黑"/>
          <w:b/>
          <w:bCs/>
          <w:color w:val="auto"/>
          <w:sz w:val="24"/>
          <w:szCs w:val="24"/>
        </w:rPr>
        <w:t>、《财政部司法部关于政府采购支持监狱企业发展有关问 题 的通知》（财库〔2014〕68号）和《三部门联合发布关于促进残疾人就业政府采购政策的通知》（财库〔2017〕141号）的规定，其中小型、微型及小微企业在</w:t>
      </w:r>
      <w:r>
        <w:rPr>
          <w:rFonts w:hint="eastAsia" w:ascii="微软雅黑" w:hAnsi="微软雅黑" w:eastAsia="微软雅黑" w:cs="微软雅黑"/>
          <w:b/>
          <w:bCs/>
          <w:color w:val="auto"/>
          <w:sz w:val="24"/>
          <w:szCs w:val="24"/>
          <w:lang w:eastAsia="zh-CN"/>
        </w:rPr>
        <w:t>响应文件</w:t>
      </w:r>
      <w:r>
        <w:rPr>
          <w:rFonts w:hint="eastAsia" w:ascii="微软雅黑" w:hAnsi="微软雅黑" w:eastAsia="微软雅黑" w:cs="微软雅黑"/>
          <w:b/>
          <w:bCs/>
          <w:color w:val="auto"/>
          <w:sz w:val="24"/>
          <w:szCs w:val="24"/>
        </w:rPr>
        <w:t>中提交了《中小企业声明函》、《残疾人福利性单位声明函》或省级以上监狱管理局、戒毒管理局（含新疆生产建设兵团）出具的属于监狱企业的证明文件的供应商，其报价扣除</w:t>
      </w:r>
      <w:bookmarkStart w:id="280" w:name="OLE_LINK3"/>
      <w:r>
        <w:rPr>
          <w:rFonts w:hint="eastAsia" w:ascii="微软雅黑" w:hAnsi="微软雅黑" w:eastAsia="微软雅黑" w:cs="微软雅黑"/>
          <w:b/>
          <w:bCs/>
          <w:color w:val="auto"/>
          <w:sz w:val="24"/>
          <w:szCs w:val="24"/>
          <w:u w:val="single"/>
        </w:rPr>
        <w:t xml:space="preserve">  10  </w:t>
      </w:r>
      <w:bookmarkEnd w:id="280"/>
      <w:r>
        <w:rPr>
          <w:rFonts w:hint="eastAsia" w:ascii="微软雅黑" w:hAnsi="微软雅黑" w:eastAsia="微软雅黑" w:cs="微软雅黑"/>
          <w:b/>
          <w:bCs/>
          <w:color w:val="auto"/>
          <w:sz w:val="24"/>
          <w:szCs w:val="24"/>
        </w:rPr>
        <w:t>%后参与评审。对于同时属于小型、微型及小微企业、监狱企业或残疾人福利性单位的，不重复进行报价扣除。具体办法详见</w:t>
      </w:r>
      <w:r>
        <w:rPr>
          <w:rFonts w:hint="eastAsia" w:ascii="微软雅黑" w:hAnsi="微软雅黑" w:eastAsia="微软雅黑" w:cs="微软雅黑"/>
          <w:b/>
          <w:bCs/>
          <w:color w:val="auto"/>
          <w:sz w:val="24"/>
          <w:szCs w:val="24"/>
          <w:lang w:eastAsia="zh-CN"/>
        </w:rPr>
        <w:t>磋商文件</w:t>
      </w:r>
      <w:r>
        <w:rPr>
          <w:rFonts w:hint="eastAsia" w:ascii="微软雅黑" w:hAnsi="微软雅黑" w:eastAsia="微软雅黑" w:cs="微软雅黑"/>
          <w:b/>
          <w:bCs/>
          <w:color w:val="auto"/>
          <w:sz w:val="24"/>
          <w:szCs w:val="24"/>
        </w:rPr>
        <w:t>第6章。</w:t>
      </w:r>
    </w:p>
    <w:p w14:paraId="4441C546">
      <w:pPr>
        <w:pStyle w:val="16"/>
        <w:pageBreakBefore w:val="0"/>
        <w:kinsoku/>
        <w:wordWrap/>
        <w:overflowPunct/>
        <w:topLinePunct w:val="0"/>
        <w:bidi w:val="0"/>
        <w:spacing w:line="480" w:lineRule="exact"/>
        <w:ind w:left="900" w:hanging="900" w:hangingChars="375"/>
        <w:rPr>
          <w:rFonts w:hint="eastAsia" w:ascii="微软雅黑" w:hAnsi="微软雅黑" w:eastAsia="微软雅黑" w:cs="微软雅黑"/>
          <w:color w:val="auto"/>
        </w:rPr>
      </w:pPr>
      <w:r>
        <w:rPr>
          <w:rFonts w:hint="eastAsia" w:ascii="微软雅黑" w:hAnsi="微软雅黑" w:eastAsia="微软雅黑" w:cs="微软雅黑"/>
          <w:b/>
          <w:bCs/>
          <w:color w:val="auto"/>
          <w:sz w:val="24"/>
          <w:szCs w:val="24"/>
          <w:lang w:val="en-US" w:eastAsia="zh-CN"/>
        </w:rPr>
        <w:t xml:space="preserve">23.4   </w:t>
      </w:r>
      <w:r>
        <w:rPr>
          <w:rFonts w:hint="eastAsia" w:ascii="微软雅黑" w:hAnsi="微软雅黑" w:eastAsia="微软雅黑" w:cs="微软雅黑"/>
          <w:b/>
          <w:bCs/>
          <w:color w:val="auto"/>
          <w:kern w:val="2"/>
          <w:sz w:val="24"/>
          <w:szCs w:val="24"/>
          <w:highlight w:val="none"/>
          <w:lang w:val="en-US" w:eastAsia="zh-CN" w:bidi="ar-SA"/>
        </w:rPr>
        <w:t>根据《政府采购促进中小企业发展管理办法》（财库[2022】19号）</w:t>
      </w:r>
      <w:r>
        <w:rPr>
          <w:rFonts w:hint="eastAsia" w:ascii="微软雅黑" w:hAnsi="微软雅黑" w:eastAsia="微软雅黑" w:cs="微软雅黑"/>
          <w:b/>
          <w:bCs/>
          <w:color w:val="auto"/>
          <w:sz w:val="24"/>
          <w:szCs w:val="24"/>
          <w:lang w:eastAsia="zh-CN"/>
        </w:rPr>
        <w:t>、《</w:t>
      </w:r>
      <w:r>
        <w:rPr>
          <w:rFonts w:hint="eastAsia" w:ascii="微软雅黑" w:hAnsi="微软雅黑" w:eastAsia="微软雅黑" w:cs="微软雅黑"/>
          <w:b/>
          <w:bCs/>
          <w:color w:val="auto"/>
          <w:sz w:val="24"/>
          <w:szCs w:val="24"/>
          <w:lang w:val="en-US" w:eastAsia="zh-CN"/>
        </w:rPr>
        <w:t>关于落实好政府采购支持中小企业发展的通知</w:t>
      </w:r>
      <w:r>
        <w:rPr>
          <w:rFonts w:hint="eastAsia" w:ascii="微软雅黑" w:hAnsi="微软雅黑" w:eastAsia="微软雅黑" w:cs="微软雅黑"/>
          <w:b/>
          <w:bCs/>
          <w:color w:val="auto"/>
          <w:sz w:val="24"/>
          <w:szCs w:val="24"/>
          <w:lang w:eastAsia="zh-CN"/>
        </w:rPr>
        <w:t>》（新财购 〔2022〕22号）</w:t>
      </w:r>
      <w:r>
        <w:rPr>
          <w:rFonts w:hint="eastAsia" w:ascii="微软雅黑" w:hAnsi="微软雅黑" w:eastAsia="微软雅黑" w:cs="微软雅黑"/>
          <w:b/>
          <w:bCs/>
          <w:color w:val="auto"/>
          <w:sz w:val="24"/>
          <w:szCs w:val="24"/>
          <w:lang w:val="en-US" w:eastAsia="zh-CN"/>
        </w:rPr>
        <w:t>，所采购产品需符合国家节能环保要求。结合本项目具体情况，根据财政部的相关规定符合政府采购促进中小企业发展政策的供应商为小、微型企业，产品有环境标志认证证书或节能标志认证证书的依据规定给予评标优惠。监狱企业及残疾人福利性单位视同小型、微型企业，享受预留份额、评标中价格扣除等政府采购促进中小企业发展的政府采购政策。</w:t>
      </w:r>
      <w:r>
        <w:rPr>
          <w:rFonts w:hint="eastAsia" w:ascii="微软雅黑" w:hAnsi="微软雅黑" w:eastAsia="微软雅黑" w:cs="微软雅黑"/>
          <w:color w:val="auto"/>
          <w:sz w:val="24"/>
          <w:szCs w:val="24"/>
          <w:lang w:val="en-US" w:eastAsia="zh-CN"/>
        </w:rPr>
        <w:t>  </w:t>
      </w:r>
    </w:p>
    <w:p w14:paraId="3C517BC3">
      <w:pPr>
        <w:pStyle w:val="2"/>
        <w:spacing w:before="0" w:after="0" w:line="400" w:lineRule="exact"/>
        <w:rPr>
          <w:rFonts w:hint="eastAsia" w:ascii="微软雅黑" w:hAnsi="微软雅黑" w:eastAsia="微软雅黑" w:cs="微软雅黑"/>
          <w:b/>
          <w:bCs w:val="0"/>
          <w:color w:val="auto"/>
          <w:kern w:val="2"/>
          <w:szCs w:val="24"/>
          <w:u w:val="none"/>
        </w:rPr>
      </w:pPr>
      <w:bookmarkStart w:id="281" w:name="_Toc20128"/>
      <w:bookmarkStart w:id="282" w:name="_Toc12880"/>
      <w:bookmarkStart w:id="283" w:name="_Toc14321"/>
      <w:r>
        <w:rPr>
          <w:rFonts w:hint="eastAsia" w:ascii="微软雅黑" w:hAnsi="微软雅黑" w:eastAsia="微软雅黑" w:cs="微软雅黑"/>
          <w:b/>
          <w:bCs w:val="0"/>
          <w:color w:val="auto"/>
          <w:kern w:val="2"/>
          <w:szCs w:val="24"/>
          <w:u w:val="none"/>
        </w:rPr>
        <w:t>24</w:t>
      </w:r>
      <w:bookmarkEnd w:id="275"/>
      <w:r>
        <w:rPr>
          <w:rFonts w:hint="eastAsia" w:ascii="微软雅黑" w:hAnsi="微软雅黑" w:eastAsia="微软雅黑" w:cs="微软雅黑"/>
          <w:b/>
          <w:bCs w:val="0"/>
          <w:color w:val="auto"/>
          <w:kern w:val="2"/>
          <w:szCs w:val="24"/>
          <w:u w:val="none"/>
        </w:rPr>
        <w:t>.废标</w:t>
      </w:r>
      <w:bookmarkEnd w:id="276"/>
      <w:bookmarkEnd w:id="277"/>
      <w:bookmarkEnd w:id="278"/>
      <w:bookmarkEnd w:id="279"/>
      <w:bookmarkEnd w:id="281"/>
      <w:bookmarkEnd w:id="282"/>
      <w:bookmarkEnd w:id="283"/>
    </w:p>
    <w:p w14:paraId="5E19A8A7">
      <w:pPr>
        <w:pStyle w:val="16"/>
        <w:spacing w:line="400" w:lineRule="exact"/>
        <w:ind w:left="840" w:leftChars="400"/>
        <w:rPr>
          <w:rFonts w:hint="eastAsia" w:ascii="微软雅黑" w:hAnsi="微软雅黑" w:eastAsia="微软雅黑" w:cs="微软雅黑"/>
          <w:b/>
          <w:bCs w:val="0"/>
          <w:color w:val="auto"/>
          <w:sz w:val="24"/>
          <w:szCs w:val="24"/>
        </w:rPr>
      </w:pPr>
      <w:r>
        <w:rPr>
          <w:rFonts w:hint="eastAsia" w:ascii="微软雅黑" w:hAnsi="微软雅黑" w:eastAsia="微软雅黑" w:cs="微软雅黑"/>
          <w:b/>
          <w:bCs w:val="0"/>
          <w:color w:val="auto"/>
          <w:sz w:val="24"/>
          <w:szCs w:val="24"/>
        </w:rPr>
        <w:t xml:space="preserve">出现下列情形之一，将导致项目废标： </w:t>
      </w:r>
    </w:p>
    <w:p w14:paraId="5996ACB3">
      <w:pPr>
        <w:pStyle w:val="16"/>
        <w:spacing w:line="400" w:lineRule="exact"/>
        <w:ind w:left="840" w:leftChars="400"/>
        <w:rPr>
          <w:rFonts w:hint="eastAsia" w:ascii="微软雅黑" w:hAnsi="微软雅黑" w:eastAsia="微软雅黑" w:cs="微软雅黑"/>
          <w:b/>
          <w:bCs w:val="0"/>
          <w:color w:val="auto"/>
          <w:sz w:val="24"/>
          <w:szCs w:val="24"/>
        </w:rPr>
      </w:pPr>
      <w:r>
        <w:rPr>
          <w:rFonts w:hint="eastAsia" w:ascii="微软雅黑" w:hAnsi="微软雅黑" w:eastAsia="微软雅黑" w:cs="微软雅黑"/>
          <w:b/>
          <w:bCs w:val="0"/>
          <w:color w:val="auto"/>
          <w:sz w:val="24"/>
          <w:szCs w:val="24"/>
        </w:rPr>
        <w:t>（1）符合专业条件的供应商或者对磋商文件做实质性响应的供应商不足三家；</w:t>
      </w:r>
    </w:p>
    <w:p w14:paraId="6013FACF">
      <w:pPr>
        <w:pStyle w:val="16"/>
        <w:spacing w:line="400" w:lineRule="exact"/>
        <w:ind w:left="840" w:leftChars="400"/>
        <w:rPr>
          <w:rFonts w:hint="eastAsia" w:ascii="微软雅黑" w:hAnsi="微软雅黑" w:eastAsia="微软雅黑" w:cs="微软雅黑"/>
          <w:b/>
          <w:bCs w:val="0"/>
          <w:color w:val="auto"/>
          <w:sz w:val="24"/>
          <w:szCs w:val="24"/>
        </w:rPr>
      </w:pPr>
      <w:r>
        <w:rPr>
          <w:rFonts w:hint="eastAsia" w:ascii="微软雅黑" w:hAnsi="微软雅黑" w:eastAsia="微软雅黑" w:cs="微软雅黑"/>
          <w:b/>
          <w:bCs w:val="0"/>
          <w:color w:val="auto"/>
          <w:sz w:val="24"/>
          <w:szCs w:val="24"/>
        </w:rPr>
        <w:t>（2）出现影响采购公正的违法、违规行为的；</w:t>
      </w:r>
    </w:p>
    <w:p w14:paraId="2096DADE">
      <w:pPr>
        <w:pStyle w:val="16"/>
        <w:spacing w:line="400" w:lineRule="exact"/>
        <w:ind w:left="840" w:leftChars="400"/>
        <w:rPr>
          <w:rFonts w:hint="eastAsia" w:ascii="微软雅黑" w:hAnsi="微软雅黑" w:eastAsia="微软雅黑" w:cs="微软雅黑"/>
          <w:b/>
          <w:bCs w:val="0"/>
          <w:color w:val="auto"/>
          <w:sz w:val="24"/>
          <w:szCs w:val="24"/>
        </w:rPr>
      </w:pPr>
      <w:r>
        <w:rPr>
          <w:rFonts w:hint="eastAsia" w:ascii="微软雅黑" w:hAnsi="微软雅黑" w:eastAsia="微软雅黑" w:cs="微软雅黑"/>
          <w:b/>
          <w:bCs w:val="0"/>
          <w:color w:val="auto"/>
          <w:sz w:val="24"/>
          <w:szCs w:val="24"/>
        </w:rPr>
        <w:t>（3）供应商的报价均超过了采购预算，采购人不能支付的；</w:t>
      </w:r>
    </w:p>
    <w:p w14:paraId="5BC74A6E">
      <w:pPr>
        <w:pStyle w:val="16"/>
        <w:spacing w:line="400" w:lineRule="exact"/>
        <w:ind w:left="840" w:leftChars="400"/>
        <w:rPr>
          <w:rFonts w:hint="eastAsia" w:ascii="微软雅黑" w:hAnsi="微软雅黑" w:eastAsia="微软雅黑" w:cs="微软雅黑"/>
          <w:b/>
          <w:bCs w:val="0"/>
          <w:color w:val="auto"/>
          <w:sz w:val="24"/>
        </w:rPr>
      </w:pPr>
      <w:r>
        <w:rPr>
          <w:rFonts w:hint="eastAsia" w:ascii="微软雅黑" w:hAnsi="微软雅黑" w:eastAsia="微软雅黑" w:cs="微软雅黑"/>
          <w:b/>
          <w:bCs w:val="0"/>
          <w:color w:val="auto"/>
          <w:sz w:val="24"/>
          <w:szCs w:val="24"/>
        </w:rPr>
        <w:t xml:space="preserve">（4）因重大变故，采购任务取消的。 </w:t>
      </w:r>
      <w:r>
        <w:rPr>
          <w:rFonts w:hint="eastAsia" w:ascii="微软雅黑" w:hAnsi="微软雅黑" w:eastAsia="微软雅黑" w:cs="微软雅黑"/>
          <w:b/>
          <w:bCs w:val="0"/>
          <w:color w:val="auto"/>
          <w:sz w:val="24"/>
        </w:rPr>
        <w:t xml:space="preserve">  </w:t>
      </w:r>
    </w:p>
    <w:p w14:paraId="16AC5AB4">
      <w:pPr>
        <w:pStyle w:val="2"/>
        <w:pageBreakBefore w:val="0"/>
        <w:widowControl w:val="0"/>
        <w:kinsoku/>
        <w:wordWrap/>
        <w:overflowPunct/>
        <w:topLinePunct w:val="0"/>
        <w:bidi w:val="0"/>
        <w:snapToGrid/>
        <w:spacing w:before="0" w:after="0" w:line="460" w:lineRule="exact"/>
        <w:ind w:left="0" w:leftChars="0"/>
        <w:textAlignment w:val="auto"/>
        <w:rPr>
          <w:rFonts w:hint="eastAsia" w:ascii="微软雅黑" w:hAnsi="微软雅黑" w:eastAsia="微软雅黑" w:cs="微软雅黑"/>
          <w:color w:val="auto"/>
          <w:u w:val="none"/>
        </w:rPr>
      </w:pPr>
      <w:bookmarkStart w:id="284" w:name="_Toc23660"/>
      <w:bookmarkStart w:id="285" w:name="_Toc4205_WPSOffice_Level2"/>
      <w:bookmarkStart w:id="286" w:name="_Toc2459"/>
      <w:bookmarkStart w:id="287" w:name="_Toc6204"/>
      <w:bookmarkStart w:id="288" w:name="_Toc17751"/>
      <w:bookmarkStart w:id="289" w:name="_Toc27296"/>
      <w:bookmarkStart w:id="290" w:name="_Toc16649_WPSOffice_Level2"/>
      <w:bookmarkStart w:id="291" w:name="_Toc518923090"/>
      <w:bookmarkStart w:id="292" w:name="_Toc520356169"/>
      <w:r>
        <w:rPr>
          <w:rFonts w:hint="eastAsia" w:ascii="微软雅黑" w:hAnsi="微软雅黑" w:eastAsia="微软雅黑" w:cs="微软雅黑"/>
          <w:color w:val="auto"/>
          <w:u w:val="none"/>
        </w:rPr>
        <w:t>25.保密原则</w:t>
      </w:r>
      <w:bookmarkEnd w:id="284"/>
      <w:bookmarkEnd w:id="285"/>
      <w:bookmarkEnd w:id="286"/>
      <w:bookmarkEnd w:id="287"/>
      <w:bookmarkEnd w:id="288"/>
      <w:bookmarkEnd w:id="289"/>
      <w:bookmarkEnd w:id="290"/>
      <w:bookmarkEnd w:id="291"/>
    </w:p>
    <w:p w14:paraId="45161F10">
      <w:pPr>
        <w:pageBreakBefore w:val="0"/>
        <w:widowControl w:val="0"/>
        <w:kinsoku/>
        <w:wordWrap/>
        <w:overflowPunct/>
        <w:topLinePunct w:val="0"/>
        <w:bidi w:val="0"/>
        <w:snapToGrid/>
        <w:spacing w:line="460" w:lineRule="exact"/>
        <w:ind w:left="0" w:leftChars="0"/>
        <w:textAlignment w:val="auto"/>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25.1</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评审将在严格保密的情况下进行。</w:t>
      </w:r>
    </w:p>
    <w:p w14:paraId="422A3740">
      <w:pPr>
        <w:pageBreakBefore w:val="0"/>
        <w:widowControl w:val="0"/>
        <w:kinsoku/>
        <w:wordWrap/>
        <w:overflowPunct/>
        <w:topLinePunct w:val="0"/>
        <w:bidi w:val="0"/>
        <w:snapToGrid/>
        <w:spacing w:line="460" w:lineRule="exact"/>
        <w:ind w:left="840" w:leftChars="0" w:hanging="840" w:hangingChars="350"/>
        <w:textAlignment w:val="auto"/>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25.2</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政府采购评审专家应当遵守评审工作纪律，不得泄露评审文件、评审情况和评审中获悉的商业秘密。</w:t>
      </w:r>
    </w:p>
    <w:p w14:paraId="65A3DA08">
      <w:pPr>
        <w:pStyle w:val="4"/>
        <w:pageBreakBefore w:val="0"/>
        <w:widowControl w:val="0"/>
        <w:kinsoku/>
        <w:wordWrap/>
        <w:overflowPunct/>
        <w:topLinePunct w:val="0"/>
        <w:bidi w:val="0"/>
        <w:snapToGrid/>
        <w:spacing w:before="0" w:line="460" w:lineRule="exact"/>
        <w:ind w:left="0" w:leftChars="0" w:hanging="540"/>
        <w:textAlignment w:val="auto"/>
        <w:rPr>
          <w:rFonts w:hint="eastAsia" w:ascii="微软雅黑" w:hAnsi="微软雅黑" w:eastAsia="微软雅黑" w:cs="微软雅黑"/>
          <w:color w:val="auto"/>
        </w:rPr>
      </w:pPr>
      <w:bookmarkStart w:id="293" w:name="_Toc216582810"/>
      <w:bookmarkStart w:id="294" w:name="_Toc518923091"/>
      <w:bookmarkStart w:id="295" w:name="_Toc10964"/>
      <w:bookmarkStart w:id="296" w:name="_Toc4193_WPSOffice_Level1"/>
      <w:bookmarkStart w:id="297" w:name="_Toc26937"/>
      <w:bookmarkStart w:id="298" w:name="_Toc1290"/>
      <w:bookmarkStart w:id="299" w:name="_Toc1539"/>
      <w:bookmarkStart w:id="300" w:name="_Toc12023"/>
      <w:bookmarkStart w:id="301" w:name="_Toc10715358"/>
      <w:r>
        <w:rPr>
          <w:rFonts w:hint="eastAsia" w:ascii="微软雅黑" w:hAnsi="微软雅黑" w:eastAsia="微软雅黑" w:cs="微软雅黑"/>
          <w:color w:val="auto"/>
          <w:sz w:val="24"/>
        </w:rPr>
        <w:t xml:space="preserve">六   </w:t>
      </w:r>
      <w:bookmarkEnd w:id="292"/>
      <w:r>
        <w:rPr>
          <w:rFonts w:hint="eastAsia" w:ascii="微软雅黑" w:hAnsi="微软雅黑" w:eastAsia="微软雅黑" w:cs="微软雅黑"/>
          <w:color w:val="auto"/>
          <w:sz w:val="24"/>
        </w:rPr>
        <w:t>确定</w:t>
      </w:r>
      <w:bookmarkEnd w:id="293"/>
      <w:bookmarkEnd w:id="294"/>
      <w:bookmarkEnd w:id="295"/>
      <w:r>
        <w:rPr>
          <w:rFonts w:hint="eastAsia" w:ascii="微软雅黑" w:hAnsi="微软雅黑" w:eastAsia="微软雅黑" w:cs="微软雅黑"/>
          <w:color w:val="auto"/>
          <w:sz w:val="24"/>
        </w:rPr>
        <w:t>成交</w:t>
      </w:r>
      <w:bookmarkEnd w:id="296"/>
      <w:bookmarkEnd w:id="297"/>
      <w:bookmarkEnd w:id="298"/>
      <w:bookmarkEnd w:id="299"/>
      <w:bookmarkEnd w:id="300"/>
      <w:bookmarkEnd w:id="301"/>
    </w:p>
    <w:p w14:paraId="700F1565">
      <w:pPr>
        <w:pStyle w:val="2"/>
        <w:pageBreakBefore w:val="0"/>
        <w:widowControl w:val="0"/>
        <w:kinsoku/>
        <w:wordWrap/>
        <w:overflowPunct/>
        <w:topLinePunct w:val="0"/>
        <w:bidi w:val="0"/>
        <w:snapToGrid/>
        <w:spacing w:before="0" w:after="0" w:line="460" w:lineRule="exact"/>
        <w:ind w:left="0" w:leftChars="0"/>
        <w:textAlignment w:val="auto"/>
        <w:rPr>
          <w:rFonts w:hint="eastAsia" w:ascii="微软雅黑" w:hAnsi="微软雅黑" w:eastAsia="微软雅黑" w:cs="微软雅黑"/>
          <w:color w:val="auto"/>
          <w:u w:val="none"/>
        </w:rPr>
      </w:pPr>
      <w:bookmarkStart w:id="302" w:name="_Toc32578"/>
      <w:bookmarkStart w:id="303" w:name="_Toc12096"/>
      <w:bookmarkStart w:id="304" w:name="_Toc520356170"/>
      <w:bookmarkStart w:id="305" w:name="_Toc4749_WPSOffice_Level2"/>
      <w:bookmarkStart w:id="306" w:name="_Toc20251"/>
      <w:bookmarkStart w:id="307" w:name="_Ref467307010"/>
      <w:bookmarkStart w:id="308" w:name="_Toc31921_WPSOffice_Level2"/>
      <w:bookmarkStart w:id="309" w:name="_Toc19969"/>
      <w:bookmarkStart w:id="310" w:name="_Toc20904"/>
      <w:bookmarkStart w:id="311" w:name="_Toc518923092"/>
      <w:r>
        <w:rPr>
          <w:rFonts w:hint="eastAsia" w:ascii="微软雅黑" w:hAnsi="微软雅黑" w:eastAsia="微软雅黑" w:cs="微软雅黑"/>
          <w:color w:val="auto"/>
          <w:u w:val="none"/>
        </w:rPr>
        <w:t>26.成交候选人的确定原则及标准</w:t>
      </w:r>
      <w:bookmarkEnd w:id="302"/>
      <w:bookmarkEnd w:id="303"/>
      <w:bookmarkEnd w:id="304"/>
      <w:bookmarkEnd w:id="305"/>
      <w:bookmarkEnd w:id="306"/>
      <w:bookmarkEnd w:id="307"/>
      <w:bookmarkEnd w:id="308"/>
      <w:bookmarkEnd w:id="309"/>
      <w:bookmarkEnd w:id="310"/>
      <w:bookmarkEnd w:id="311"/>
    </w:p>
    <w:p w14:paraId="74783708">
      <w:pPr>
        <w:pageBreakBefore w:val="0"/>
        <w:widowControl w:val="0"/>
        <w:kinsoku/>
        <w:wordWrap/>
        <w:overflowPunct/>
        <w:topLinePunct w:val="0"/>
        <w:bidi w:val="0"/>
        <w:snapToGrid/>
        <w:spacing w:line="460" w:lineRule="exact"/>
        <w:ind w:left="900" w:leftChars="0" w:hanging="900" w:hangingChars="375"/>
        <w:textAlignment w:val="auto"/>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除第28条规定外，对实质上响应磋商文件的供应商按下列方法进行排序，确定成交候选人：</w:t>
      </w:r>
      <w:bookmarkStart w:id="312" w:name="_Toc520356171"/>
      <w:bookmarkStart w:id="313" w:name="_Toc3689_WPSOffice_Level2"/>
      <w:bookmarkStart w:id="314" w:name="_Toc518923093"/>
      <w:bookmarkStart w:id="315" w:name="_Toc2420_WPSOffice_Level2"/>
      <w:bookmarkStart w:id="316" w:name="_Toc10555"/>
      <w:bookmarkStart w:id="317" w:name="_Toc5355"/>
    </w:p>
    <w:p w14:paraId="6E6C949A">
      <w:pPr>
        <w:spacing w:line="360" w:lineRule="exact"/>
        <w:ind w:firstLine="720" w:firstLineChars="3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（1）采用最低评标价法的，除了算术修正和落实政府采购政策需进行的价格扣除外，不对</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的</w:t>
      </w:r>
      <w:r>
        <w:rPr>
          <w:rFonts w:hint="eastAsia" w:ascii="微软雅黑" w:hAnsi="微软雅黑" w:eastAsia="微软雅黑" w:cs="微软雅黑"/>
          <w:color w:val="auto"/>
          <w:sz w:val="24"/>
          <w:highlight w:val="none"/>
          <w:lang w:val="en-US" w:eastAsia="zh-CN"/>
        </w:rPr>
        <w:t>磋商</w:t>
      </w:r>
      <w:r>
        <w:rPr>
          <w:rFonts w:hint="eastAsia" w:ascii="微软雅黑" w:hAnsi="微软雅黑" w:eastAsia="微软雅黑" w:cs="微软雅黑"/>
          <w:color w:val="auto"/>
          <w:sz w:val="24"/>
          <w:highlight w:val="none"/>
        </w:rPr>
        <w:t>价格进行任何调整。评标结果按修正和扣除后的</w:t>
      </w:r>
      <w:r>
        <w:rPr>
          <w:rFonts w:hint="eastAsia" w:ascii="微软雅黑" w:hAnsi="微软雅黑" w:eastAsia="微软雅黑" w:cs="微软雅黑"/>
          <w:color w:val="auto"/>
          <w:sz w:val="24"/>
          <w:highlight w:val="none"/>
          <w:lang w:val="en-US" w:eastAsia="zh-CN"/>
        </w:rPr>
        <w:t>磋商</w:t>
      </w:r>
      <w:r>
        <w:rPr>
          <w:rFonts w:hint="eastAsia" w:ascii="微软雅黑" w:hAnsi="微软雅黑" w:eastAsia="微软雅黑" w:cs="微软雅黑"/>
          <w:color w:val="auto"/>
          <w:sz w:val="24"/>
          <w:highlight w:val="none"/>
        </w:rPr>
        <w:t>报价由低到高顺序排列。报价相同的处理方式详见</w:t>
      </w:r>
      <w:r>
        <w:rPr>
          <w:rFonts w:hint="eastAsia" w:ascii="微软雅黑" w:hAnsi="微软雅黑" w:eastAsia="微软雅黑" w:cs="微软雅黑"/>
          <w:color w:val="auto"/>
          <w:sz w:val="24"/>
          <w:highlight w:val="none"/>
          <w:lang w:eastAsia="zh-CN"/>
        </w:rPr>
        <w:t>磋商文件</w:t>
      </w:r>
      <w:r>
        <w:rPr>
          <w:rFonts w:hint="eastAsia" w:ascii="微软雅黑" w:hAnsi="微软雅黑" w:eastAsia="微软雅黑" w:cs="微软雅黑"/>
          <w:color w:val="auto"/>
          <w:sz w:val="24"/>
          <w:highlight w:val="none"/>
        </w:rPr>
        <w:t>第6章。</w:t>
      </w:r>
    </w:p>
    <w:p w14:paraId="573892C4">
      <w:pPr>
        <w:spacing w:line="360" w:lineRule="exact"/>
        <w:ind w:firstLine="720" w:firstLineChars="3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（2）采用综合评分法的，评标结果按评审后得分由高到低顺序排列。得分相同的，按修正和扣除后的</w:t>
      </w:r>
      <w:r>
        <w:rPr>
          <w:rFonts w:hint="eastAsia" w:ascii="微软雅黑" w:hAnsi="微软雅黑" w:eastAsia="微软雅黑" w:cs="微软雅黑"/>
          <w:color w:val="auto"/>
          <w:sz w:val="24"/>
          <w:highlight w:val="none"/>
          <w:lang w:val="en-US" w:eastAsia="zh-CN"/>
        </w:rPr>
        <w:t>磋商</w:t>
      </w:r>
      <w:r>
        <w:rPr>
          <w:rFonts w:hint="eastAsia" w:ascii="微软雅黑" w:hAnsi="微软雅黑" w:eastAsia="微软雅黑" w:cs="微软雅黑"/>
          <w:color w:val="auto"/>
          <w:sz w:val="24"/>
          <w:highlight w:val="none"/>
        </w:rPr>
        <w:t>报价由低到高顺序排列。得分与</w:t>
      </w:r>
      <w:r>
        <w:rPr>
          <w:rFonts w:hint="eastAsia" w:ascii="微软雅黑" w:hAnsi="微软雅黑" w:eastAsia="微软雅黑" w:cs="微软雅黑"/>
          <w:color w:val="auto"/>
          <w:sz w:val="24"/>
          <w:highlight w:val="none"/>
          <w:lang w:val="en-US" w:eastAsia="zh-CN"/>
        </w:rPr>
        <w:t>磋商</w:t>
      </w:r>
      <w:r>
        <w:rPr>
          <w:rFonts w:hint="eastAsia" w:ascii="微软雅黑" w:hAnsi="微软雅黑" w:eastAsia="微软雅黑" w:cs="微软雅黑"/>
          <w:color w:val="auto"/>
          <w:sz w:val="24"/>
          <w:highlight w:val="none"/>
        </w:rPr>
        <w:t>报价均相同的处理方式详见</w:t>
      </w:r>
      <w:r>
        <w:rPr>
          <w:rFonts w:hint="eastAsia" w:ascii="微软雅黑" w:hAnsi="微软雅黑" w:eastAsia="微软雅黑" w:cs="微软雅黑"/>
          <w:color w:val="auto"/>
          <w:sz w:val="24"/>
          <w:highlight w:val="none"/>
          <w:lang w:eastAsia="zh-CN"/>
        </w:rPr>
        <w:t>磋商文件</w:t>
      </w:r>
      <w:r>
        <w:rPr>
          <w:rFonts w:hint="eastAsia" w:ascii="微软雅黑" w:hAnsi="微软雅黑" w:eastAsia="微软雅黑" w:cs="微软雅黑"/>
          <w:color w:val="auto"/>
          <w:sz w:val="24"/>
          <w:highlight w:val="none"/>
        </w:rPr>
        <w:t>第6章。</w:t>
      </w:r>
    </w:p>
    <w:p w14:paraId="68BB6D73">
      <w:pPr>
        <w:pStyle w:val="36"/>
        <w:rPr>
          <w:rFonts w:hint="eastAsia"/>
          <w:color w:val="auto"/>
        </w:rPr>
      </w:pPr>
    </w:p>
    <w:p w14:paraId="09C2A3AB">
      <w:pPr>
        <w:pageBreakBefore w:val="0"/>
        <w:widowControl w:val="0"/>
        <w:kinsoku/>
        <w:wordWrap/>
        <w:overflowPunct/>
        <w:topLinePunct w:val="0"/>
        <w:bidi w:val="0"/>
        <w:snapToGrid/>
        <w:spacing w:line="460" w:lineRule="exact"/>
        <w:ind w:left="718" w:leftChars="342" w:firstLine="60" w:firstLineChars="25"/>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b/>
          <w:bCs/>
          <w:color w:val="auto"/>
          <w:sz w:val="24"/>
          <w:lang w:eastAsia="zh-CN"/>
        </w:rPr>
        <w:t>本项目</w:t>
      </w:r>
      <w:r>
        <w:rPr>
          <w:rFonts w:hint="eastAsia" w:ascii="微软雅黑" w:hAnsi="微软雅黑" w:eastAsia="微软雅黑" w:cs="微软雅黑"/>
          <w:b/>
          <w:bCs/>
          <w:color w:val="auto"/>
          <w:sz w:val="24"/>
        </w:rPr>
        <w:t>采用</w:t>
      </w:r>
      <w:r>
        <w:rPr>
          <w:rFonts w:hint="eastAsia" w:ascii="微软雅黑" w:hAnsi="微软雅黑" w:eastAsia="微软雅黑" w:cs="微软雅黑"/>
          <w:b/>
          <w:bCs/>
          <w:color w:val="auto"/>
          <w:sz w:val="24"/>
          <w:lang w:eastAsia="zh-CN"/>
        </w:rPr>
        <w:t>：</w:t>
      </w:r>
      <w:r>
        <w:rPr>
          <w:rFonts w:hint="eastAsia" w:ascii="微软雅黑" w:hAnsi="微软雅黑" w:eastAsia="微软雅黑" w:cs="微软雅黑"/>
          <w:b/>
          <w:bCs/>
          <w:color w:val="auto"/>
          <w:sz w:val="24"/>
        </w:rPr>
        <w:t>综合评分法</w:t>
      </w:r>
    </w:p>
    <w:p w14:paraId="42088BA0">
      <w:pPr>
        <w:pStyle w:val="2"/>
        <w:pageBreakBefore w:val="0"/>
        <w:widowControl w:val="0"/>
        <w:kinsoku/>
        <w:wordWrap/>
        <w:overflowPunct/>
        <w:topLinePunct w:val="0"/>
        <w:bidi w:val="0"/>
        <w:snapToGrid/>
        <w:spacing w:before="0" w:after="0" w:line="460" w:lineRule="exact"/>
        <w:ind w:left="0" w:leftChars="0"/>
        <w:textAlignment w:val="auto"/>
        <w:rPr>
          <w:rFonts w:hint="eastAsia" w:ascii="微软雅黑" w:hAnsi="微软雅黑" w:eastAsia="微软雅黑" w:cs="微软雅黑"/>
          <w:color w:val="auto"/>
          <w:u w:val="none"/>
        </w:rPr>
      </w:pPr>
      <w:bookmarkStart w:id="318" w:name="_Toc28488"/>
      <w:bookmarkStart w:id="319" w:name="_Toc495"/>
      <w:bookmarkStart w:id="320" w:name="_Toc13875"/>
      <w:r>
        <w:rPr>
          <w:rFonts w:hint="eastAsia" w:ascii="微软雅黑" w:hAnsi="微软雅黑" w:eastAsia="微软雅黑" w:cs="微软雅黑"/>
          <w:color w:val="auto"/>
          <w:u w:val="none"/>
        </w:rPr>
        <w:t>27</w:t>
      </w:r>
      <w:bookmarkEnd w:id="312"/>
      <w:r>
        <w:rPr>
          <w:rFonts w:hint="eastAsia" w:ascii="微软雅黑" w:hAnsi="微软雅黑" w:eastAsia="微软雅黑" w:cs="微软雅黑"/>
          <w:color w:val="auto"/>
          <w:u w:val="none"/>
        </w:rPr>
        <w:t>.确定成交候选人和成交人</w:t>
      </w:r>
      <w:bookmarkEnd w:id="313"/>
      <w:bookmarkEnd w:id="314"/>
      <w:bookmarkEnd w:id="315"/>
      <w:bookmarkEnd w:id="316"/>
      <w:bookmarkEnd w:id="317"/>
      <w:bookmarkEnd w:id="318"/>
      <w:bookmarkEnd w:id="319"/>
      <w:bookmarkEnd w:id="320"/>
    </w:p>
    <w:p w14:paraId="02452211">
      <w:pPr>
        <w:pageBreakBefore w:val="0"/>
        <w:widowControl w:val="0"/>
        <w:kinsoku/>
        <w:wordWrap/>
        <w:overflowPunct/>
        <w:topLinePunct w:val="0"/>
        <w:bidi w:val="0"/>
        <w:snapToGrid/>
        <w:spacing w:line="460" w:lineRule="exact"/>
        <w:ind w:left="900" w:leftChars="0" w:hanging="900" w:hangingChars="375"/>
        <w:textAlignment w:val="auto"/>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磋商小组将根据评审标准，按</w:t>
      </w:r>
      <w:r>
        <w:rPr>
          <w:rFonts w:hint="eastAsia" w:ascii="微软雅黑" w:hAnsi="微软雅黑" w:eastAsia="微软雅黑" w:cs="微软雅黑"/>
          <w:color w:val="auto"/>
          <w:sz w:val="24"/>
          <w:u w:val="single"/>
        </w:rPr>
        <w:t>供应商须知资料表中</w:t>
      </w:r>
      <w:r>
        <w:rPr>
          <w:rFonts w:hint="eastAsia" w:ascii="微软雅黑" w:hAnsi="微软雅黑" w:eastAsia="微软雅黑" w:cs="微软雅黑"/>
          <w:color w:val="auto"/>
          <w:sz w:val="24"/>
        </w:rPr>
        <w:t>规定数量推荐成交候选人；</w:t>
      </w:r>
      <w:r>
        <w:rPr>
          <w:rFonts w:hint="eastAsia" w:ascii="微软雅黑" w:hAnsi="微软雅黑" w:eastAsia="微软雅黑" w:cs="微软雅黑"/>
          <w:b/>
          <w:bCs/>
          <w:color w:val="auto"/>
          <w:sz w:val="24"/>
          <w:u w:val="single"/>
        </w:rPr>
        <w:t>磋商小组应当根据综合评分情况，按照评审得分由高到低顺序推荐成交候选供应商</w:t>
      </w:r>
      <w:r>
        <w:rPr>
          <w:rFonts w:hint="eastAsia" w:ascii="微软雅黑" w:hAnsi="微软雅黑" w:eastAsia="微软雅黑" w:cs="微软雅黑"/>
          <w:color w:val="auto"/>
          <w:sz w:val="24"/>
        </w:rPr>
        <w:t>或根据采购人的委托，直接确定成交人。</w:t>
      </w:r>
    </w:p>
    <w:p w14:paraId="6A272384">
      <w:pPr>
        <w:pStyle w:val="2"/>
        <w:pageBreakBefore w:val="0"/>
        <w:widowControl w:val="0"/>
        <w:tabs>
          <w:tab w:val="left" w:pos="900"/>
        </w:tabs>
        <w:kinsoku/>
        <w:wordWrap/>
        <w:overflowPunct/>
        <w:topLinePunct w:val="0"/>
        <w:bidi w:val="0"/>
        <w:snapToGrid/>
        <w:spacing w:before="0" w:after="0" w:line="460" w:lineRule="exact"/>
        <w:ind w:left="0" w:leftChars="0"/>
        <w:textAlignment w:val="auto"/>
        <w:rPr>
          <w:rFonts w:hint="eastAsia" w:ascii="微软雅黑" w:hAnsi="微软雅黑" w:eastAsia="微软雅黑" w:cs="微软雅黑"/>
          <w:color w:val="auto"/>
          <w:u w:val="none"/>
        </w:rPr>
      </w:pPr>
      <w:bookmarkStart w:id="321" w:name="_Ref467306874"/>
      <w:bookmarkStart w:id="322" w:name="_Toc520356173"/>
      <w:bookmarkStart w:id="323" w:name="_Toc11003"/>
      <w:bookmarkStart w:id="324" w:name="_Toc620_WPSOffice_Level2"/>
      <w:bookmarkStart w:id="325" w:name="_Toc518923094"/>
      <w:bookmarkStart w:id="326" w:name="_Toc22544"/>
      <w:bookmarkStart w:id="327" w:name="_Toc17336_WPSOffice_Level2"/>
      <w:bookmarkStart w:id="328" w:name="_Toc9209"/>
      <w:bookmarkStart w:id="329" w:name="_Toc17138"/>
      <w:bookmarkStart w:id="330" w:name="_Toc31435"/>
      <w:r>
        <w:rPr>
          <w:rFonts w:hint="eastAsia" w:ascii="微软雅黑" w:hAnsi="微软雅黑" w:eastAsia="微软雅黑" w:cs="微软雅黑"/>
          <w:color w:val="auto"/>
          <w:u w:val="none"/>
        </w:rPr>
        <w:t>28</w:t>
      </w:r>
      <w:bookmarkEnd w:id="321"/>
      <w:bookmarkEnd w:id="322"/>
      <w:r>
        <w:rPr>
          <w:rFonts w:hint="eastAsia" w:ascii="微软雅黑" w:hAnsi="微软雅黑" w:eastAsia="微软雅黑" w:cs="微软雅黑"/>
          <w:color w:val="auto"/>
          <w:u w:val="none"/>
        </w:rPr>
        <w:t>.采购任务取消</w:t>
      </w:r>
      <w:bookmarkEnd w:id="323"/>
      <w:bookmarkEnd w:id="324"/>
      <w:bookmarkEnd w:id="325"/>
      <w:bookmarkEnd w:id="326"/>
      <w:bookmarkEnd w:id="327"/>
      <w:bookmarkEnd w:id="328"/>
      <w:bookmarkEnd w:id="329"/>
      <w:bookmarkEnd w:id="330"/>
    </w:p>
    <w:p w14:paraId="20F20F9B">
      <w:pPr>
        <w:pageBreakBefore w:val="0"/>
        <w:widowControl w:val="0"/>
        <w:kinsoku/>
        <w:wordWrap/>
        <w:overflowPunct/>
        <w:topLinePunct w:val="0"/>
        <w:bidi w:val="0"/>
        <w:snapToGrid/>
        <w:spacing w:line="460" w:lineRule="exact"/>
        <w:ind w:left="900" w:leftChars="0" w:hanging="900" w:hangingChars="375"/>
        <w:textAlignment w:val="auto"/>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因重大变故采购任务取消时，采购人有权拒绝任何供应商成交，且对受影响的供应商不承担任何责任。</w:t>
      </w:r>
      <w:bookmarkStart w:id="331" w:name="_Toc520356174"/>
    </w:p>
    <w:p w14:paraId="1189A50D">
      <w:pPr>
        <w:pStyle w:val="2"/>
        <w:pageBreakBefore w:val="0"/>
        <w:widowControl w:val="0"/>
        <w:kinsoku/>
        <w:wordWrap/>
        <w:overflowPunct/>
        <w:topLinePunct w:val="0"/>
        <w:bidi w:val="0"/>
        <w:snapToGrid/>
        <w:spacing w:before="0" w:after="0" w:line="460" w:lineRule="exact"/>
        <w:ind w:left="0" w:leftChars="0"/>
        <w:textAlignment w:val="auto"/>
        <w:rPr>
          <w:rFonts w:hint="eastAsia" w:ascii="微软雅黑" w:hAnsi="微软雅黑" w:eastAsia="微软雅黑" w:cs="微软雅黑"/>
          <w:color w:val="auto"/>
          <w:u w:val="none"/>
        </w:rPr>
      </w:pPr>
      <w:bookmarkStart w:id="332" w:name="_Toc518923095"/>
      <w:bookmarkStart w:id="333" w:name="_Toc18072"/>
      <w:bookmarkStart w:id="334" w:name="_Toc7273_WPSOffice_Level2"/>
      <w:bookmarkStart w:id="335" w:name="_Toc8733"/>
      <w:bookmarkStart w:id="336" w:name="_Toc22810_WPSOffice_Level2"/>
      <w:bookmarkStart w:id="337" w:name="_Toc5757"/>
      <w:bookmarkStart w:id="338" w:name="_Toc4588"/>
      <w:bookmarkStart w:id="339" w:name="_Toc22288"/>
      <w:r>
        <w:rPr>
          <w:rFonts w:hint="eastAsia" w:ascii="微软雅黑" w:hAnsi="微软雅黑" w:eastAsia="微软雅黑" w:cs="微软雅黑"/>
          <w:color w:val="auto"/>
          <w:u w:val="none"/>
        </w:rPr>
        <w:t>29.成交通知书</w:t>
      </w:r>
      <w:bookmarkEnd w:id="331"/>
      <w:r>
        <w:rPr>
          <w:rFonts w:hint="eastAsia" w:ascii="微软雅黑" w:hAnsi="微软雅黑" w:eastAsia="微软雅黑" w:cs="微软雅黑"/>
          <w:color w:val="auto"/>
          <w:u w:val="none"/>
        </w:rPr>
        <w:t>和采购结果通知书</w:t>
      </w:r>
      <w:bookmarkEnd w:id="332"/>
      <w:bookmarkEnd w:id="333"/>
      <w:bookmarkEnd w:id="334"/>
      <w:bookmarkEnd w:id="335"/>
      <w:bookmarkEnd w:id="336"/>
      <w:bookmarkEnd w:id="337"/>
      <w:bookmarkEnd w:id="338"/>
      <w:bookmarkEnd w:id="339"/>
    </w:p>
    <w:p w14:paraId="3A7BC0D4">
      <w:pPr>
        <w:pageBreakBefore w:val="0"/>
        <w:widowControl w:val="0"/>
        <w:kinsoku/>
        <w:wordWrap/>
        <w:overflowPunct/>
        <w:topLinePunct w:val="0"/>
        <w:bidi w:val="0"/>
        <w:snapToGrid/>
        <w:spacing w:line="460" w:lineRule="exact"/>
        <w:ind w:left="900" w:leftChars="0" w:hanging="900" w:hangingChars="375"/>
        <w:textAlignment w:val="auto"/>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29.1</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在磋商有效期内，成交人确定后，采购人或者采购代理机构发布成交公告，同时以书面形式向成交人发出成交通知书；</w:t>
      </w:r>
    </w:p>
    <w:p w14:paraId="038DE605">
      <w:pPr>
        <w:pageBreakBefore w:val="0"/>
        <w:widowControl w:val="0"/>
        <w:kinsoku/>
        <w:wordWrap/>
        <w:overflowPunct/>
        <w:topLinePunct w:val="0"/>
        <w:bidi w:val="0"/>
        <w:snapToGrid/>
        <w:spacing w:line="460" w:lineRule="exact"/>
        <w:ind w:left="900" w:leftChars="0" w:hanging="900" w:hangingChars="375"/>
        <w:textAlignment w:val="auto"/>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29.2</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成交通知书是合同的组成部分；</w:t>
      </w:r>
    </w:p>
    <w:p w14:paraId="7ADFD0E2">
      <w:pPr>
        <w:pageBreakBefore w:val="0"/>
        <w:widowControl w:val="0"/>
        <w:kinsoku/>
        <w:wordWrap/>
        <w:overflowPunct/>
        <w:topLinePunct w:val="0"/>
        <w:bidi w:val="0"/>
        <w:snapToGrid/>
        <w:spacing w:line="460" w:lineRule="exact"/>
        <w:ind w:left="900" w:leftChars="0" w:hanging="900" w:hangingChars="375"/>
        <w:textAlignment w:val="auto"/>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29.3    采购结果通知书和成交通知书同时发出。采购结果通知书中将告知未通过资格审查的供应商未通过的原因；采用综合评分法评审的，还将告知未成交人本人的评审得分和排序。</w:t>
      </w:r>
    </w:p>
    <w:p w14:paraId="2BD4341E">
      <w:pPr>
        <w:pStyle w:val="2"/>
        <w:pageBreakBefore w:val="0"/>
        <w:widowControl w:val="0"/>
        <w:kinsoku/>
        <w:wordWrap/>
        <w:overflowPunct/>
        <w:topLinePunct w:val="0"/>
        <w:bidi w:val="0"/>
        <w:snapToGrid/>
        <w:spacing w:before="0" w:after="0" w:line="460" w:lineRule="exact"/>
        <w:ind w:left="0" w:leftChars="0"/>
        <w:textAlignment w:val="auto"/>
        <w:rPr>
          <w:rFonts w:hint="eastAsia" w:ascii="微软雅黑" w:hAnsi="微软雅黑" w:eastAsia="微软雅黑" w:cs="微软雅黑"/>
          <w:color w:val="auto"/>
          <w:u w:val="none"/>
        </w:rPr>
      </w:pPr>
      <w:bookmarkStart w:id="340" w:name="_Toc23285_WPSOffice_Level2"/>
      <w:bookmarkStart w:id="341" w:name="_Toc9717_WPSOffice_Level2"/>
      <w:bookmarkStart w:id="342" w:name="_Ref467307062"/>
      <w:bookmarkStart w:id="343" w:name="_Ref467306377"/>
      <w:bookmarkStart w:id="344" w:name="_Toc2181"/>
      <w:bookmarkStart w:id="345" w:name="_Ref467306978"/>
      <w:bookmarkStart w:id="346" w:name="_Toc4222"/>
      <w:bookmarkStart w:id="347" w:name="_Toc23671"/>
      <w:bookmarkStart w:id="348" w:name="_Toc16952"/>
      <w:bookmarkStart w:id="349" w:name="_Toc518923096"/>
      <w:bookmarkStart w:id="350" w:name="_Ref467307204"/>
      <w:bookmarkStart w:id="351" w:name="_Toc520356175"/>
      <w:bookmarkStart w:id="352" w:name="_Toc18344"/>
      <w:r>
        <w:rPr>
          <w:rFonts w:hint="eastAsia" w:ascii="微软雅黑" w:hAnsi="微软雅黑" w:eastAsia="微软雅黑" w:cs="微软雅黑"/>
          <w:color w:val="auto"/>
          <w:u w:val="none"/>
        </w:rPr>
        <w:t>30.签订合同</w:t>
      </w:r>
      <w:bookmarkEnd w:id="340"/>
      <w:bookmarkEnd w:id="341"/>
      <w:bookmarkEnd w:id="342"/>
      <w:bookmarkEnd w:id="343"/>
      <w:bookmarkEnd w:id="344"/>
      <w:bookmarkEnd w:id="345"/>
      <w:bookmarkEnd w:id="346"/>
      <w:bookmarkEnd w:id="347"/>
      <w:bookmarkEnd w:id="348"/>
      <w:bookmarkEnd w:id="349"/>
      <w:bookmarkEnd w:id="350"/>
      <w:bookmarkEnd w:id="351"/>
      <w:bookmarkEnd w:id="352"/>
    </w:p>
    <w:p w14:paraId="6B51FAA0">
      <w:pPr>
        <w:pageBreakBefore w:val="0"/>
        <w:widowControl w:val="0"/>
        <w:kinsoku/>
        <w:wordWrap/>
        <w:overflowPunct/>
        <w:topLinePunct w:val="0"/>
        <w:bidi w:val="0"/>
        <w:snapToGrid/>
        <w:spacing w:line="460" w:lineRule="exact"/>
        <w:ind w:left="900" w:leftChars="0" w:hanging="900" w:hangingChars="375"/>
        <w:textAlignment w:val="auto"/>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30.1</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成交人应当自发出成交通知书之日起30日内，与采购人签订合同。</w:t>
      </w:r>
    </w:p>
    <w:p w14:paraId="6C540938">
      <w:pPr>
        <w:pageBreakBefore w:val="0"/>
        <w:widowControl w:val="0"/>
        <w:kinsoku/>
        <w:wordWrap/>
        <w:overflowPunct/>
        <w:topLinePunct w:val="0"/>
        <w:bidi w:val="0"/>
        <w:snapToGrid/>
        <w:spacing w:line="460" w:lineRule="exact"/>
        <w:ind w:left="900" w:leftChars="0" w:hanging="900" w:hangingChars="375"/>
        <w:textAlignment w:val="auto"/>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30.2</w:t>
      </w:r>
      <w:r>
        <w:rPr>
          <w:rFonts w:hint="eastAsia" w:ascii="微软雅黑" w:hAnsi="微软雅黑" w:eastAsia="微软雅黑" w:cs="微软雅黑"/>
          <w:color w:val="auto"/>
          <w:sz w:val="24"/>
        </w:rPr>
        <w:tab/>
      </w:r>
      <w:bookmarkStart w:id="353" w:name="_Toc520356176"/>
      <w:bookmarkStart w:id="354" w:name="_Ref467307090"/>
      <w:bookmarkStart w:id="355" w:name="_Ref467306425"/>
      <w:r>
        <w:rPr>
          <w:rFonts w:hint="eastAsia" w:ascii="微软雅黑" w:hAnsi="微软雅黑" w:eastAsia="微软雅黑" w:cs="微软雅黑"/>
          <w:color w:val="auto"/>
          <w:sz w:val="24"/>
        </w:rPr>
        <w:t>磋商文件、成交人的响应文件及其澄清文件等，均为签订合同的依据。</w:t>
      </w:r>
    </w:p>
    <w:p w14:paraId="420B4BA3">
      <w:pPr>
        <w:pageBreakBefore w:val="0"/>
        <w:widowControl w:val="0"/>
        <w:kinsoku/>
        <w:wordWrap/>
        <w:overflowPunct/>
        <w:topLinePunct w:val="0"/>
        <w:bidi w:val="0"/>
        <w:snapToGrid/>
        <w:spacing w:line="460" w:lineRule="exact"/>
        <w:ind w:left="900" w:leftChars="0" w:hanging="900" w:hangingChars="375"/>
        <w:textAlignment w:val="auto"/>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30.3   成交人拒绝与采购人签订合同的，采购人可以按照评审报告推荐的成交候选人名单排序，确定下一成交候选人为成交人，也可以重新开展政府采购活动。</w:t>
      </w:r>
    </w:p>
    <w:p w14:paraId="5FA81E4A">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30.4   当出现法规规定的</w:t>
      </w:r>
      <w:r>
        <w:rPr>
          <w:rFonts w:hint="eastAsia" w:ascii="微软雅黑" w:hAnsi="微软雅黑" w:eastAsia="微软雅黑" w:cs="微软雅黑"/>
          <w:b/>
          <w:color w:val="auto"/>
          <w:sz w:val="24"/>
        </w:rPr>
        <w:t>成交无效或成交结果无效</w:t>
      </w:r>
      <w:r>
        <w:rPr>
          <w:rFonts w:hint="eastAsia" w:ascii="微软雅黑" w:hAnsi="微软雅黑" w:eastAsia="微软雅黑" w:cs="微软雅黑"/>
          <w:color w:val="auto"/>
          <w:sz w:val="24"/>
        </w:rPr>
        <w:t>情形时，采购人可与排名下一位的成交候选人另行签订合同，或依法重新开展采购活动。</w:t>
      </w:r>
    </w:p>
    <w:p w14:paraId="0025ED4C">
      <w:pPr>
        <w:pStyle w:val="2"/>
        <w:pageBreakBefore w:val="0"/>
        <w:kinsoku/>
        <w:wordWrap/>
        <w:overflowPunct/>
        <w:topLinePunct w:val="0"/>
        <w:bidi w:val="0"/>
        <w:spacing w:before="0" w:after="0" w:line="440" w:lineRule="exact"/>
        <w:textAlignment w:val="auto"/>
        <w:rPr>
          <w:rFonts w:hint="eastAsia" w:ascii="微软雅黑" w:hAnsi="微软雅黑" w:eastAsia="微软雅黑" w:cs="微软雅黑"/>
          <w:color w:val="auto"/>
          <w:sz w:val="22"/>
          <w:szCs w:val="22"/>
          <w:highlight w:val="none"/>
          <w:u w:val="none"/>
        </w:rPr>
      </w:pPr>
      <w:bookmarkStart w:id="356" w:name="_Toc22555"/>
      <w:bookmarkStart w:id="357" w:name="_Toc19746"/>
      <w:bookmarkStart w:id="358" w:name="_Toc14080"/>
      <w:bookmarkStart w:id="359" w:name="_Toc20240"/>
      <w:bookmarkStart w:id="360" w:name="_Toc515647793"/>
      <w:r>
        <w:rPr>
          <w:rFonts w:hint="eastAsia" w:ascii="微软雅黑" w:hAnsi="微软雅黑" w:eastAsia="微软雅黑" w:cs="微软雅黑"/>
          <w:color w:val="auto"/>
          <w:sz w:val="22"/>
          <w:szCs w:val="22"/>
          <w:highlight w:val="none"/>
        </w:rPr>
        <w:t>31</w:t>
      </w:r>
      <w:r>
        <w:rPr>
          <w:rFonts w:hint="eastAsia" w:ascii="微软雅黑" w:hAnsi="微软雅黑" w:eastAsia="微软雅黑" w:cs="微软雅黑"/>
          <w:color w:val="auto"/>
          <w:sz w:val="22"/>
          <w:szCs w:val="22"/>
          <w:highlight w:val="none"/>
          <w:u w:val="none"/>
        </w:rPr>
        <w:t>.履约保证金</w:t>
      </w:r>
      <w:bookmarkEnd w:id="356"/>
      <w:bookmarkEnd w:id="357"/>
      <w:bookmarkEnd w:id="358"/>
      <w:bookmarkEnd w:id="359"/>
      <w:bookmarkEnd w:id="360"/>
    </w:p>
    <w:p w14:paraId="0C0A1AC8">
      <w:pPr>
        <w:pageBreakBefore w:val="0"/>
        <w:kinsoku/>
        <w:wordWrap/>
        <w:overflowPunct/>
        <w:topLinePunct w:val="0"/>
        <w:bidi w:val="0"/>
        <w:spacing w:line="440" w:lineRule="exact"/>
        <w:ind w:left="825" w:hanging="825" w:hangingChars="375"/>
        <w:textAlignment w:val="auto"/>
        <w:rPr>
          <w:rFonts w:hint="eastAsia"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31.1</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lang w:val="en-US" w:eastAsia="zh-CN"/>
        </w:rPr>
        <w:t>成交</w:t>
      </w:r>
      <w:r>
        <w:rPr>
          <w:rFonts w:hint="eastAsia" w:ascii="微软雅黑" w:hAnsi="微软雅黑" w:eastAsia="微软雅黑" w:cs="微软雅黑"/>
          <w:color w:val="auto"/>
          <w:sz w:val="22"/>
          <w:szCs w:val="22"/>
          <w:highlight w:val="none"/>
        </w:rPr>
        <w:t>应按照</w:t>
      </w:r>
      <w:r>
        <w:rPr>
          <w:rFonts w:hint="eastAsia" w:ascii="微软雅黑" w:hAnsi="微软雅黑" w:eastAsia="微软雅黑" w:cs="微软雅黑"/>
          <w:color w:val="auto"/>
          <w:sz w:val="22"/>
          <w:szCs w:val="22"/>
          <w:highlight w:val="none"/>
          <w:u w:val="single"/>
        </w:rPr>
        <w:t>供应商须知资料表</w:t>
      </w:r>
      <w:r>
        <w:rPr>
          <w:rFonts w:hint="eastAsia" w:ascii="微软雅黑" w:hAnsi="微软雅黑" w:eastAsia="微软雅黑" w:cs="微软雅黑"/>
          <w:color w:val="auto"/>
          <w:sz w:val="22"/>
          <w:szCs w:val="22"/>
          <w:highlight w:val="none"/>
        </w:rPr>
        <w:t>规定向采购人缴纳履约保证金（如采用保函形式，格式见本章附件1）。</w:t>
      </w:r>
    </w:p>
    <w:p w14:paraId="38044D83">
      <w:pPr>
        <w:pageBreakBefore w:val="0"/>
        <w:kinsoku/>
        <w:wordWrap/>
        <w:overflowPunct/>
        <w:topLinePunct w:val="0"/>
        <w:bidi w:val="0"/>
        <w:spacing w:line="440" w:lineRule="exact"/>
        <w:ind w:left="825" w:hanging="825" w:hangingChars="375"/>
        <w:textAlignment w:val="auto"/>
        <w:rPr>
          <w:rFonts w:hint="eastAsia"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31.2</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政府采购利用担保试点范围内的项目，除31.1规定的情形外，</w:t>
      </w:r>
      <w:r>
        <w:rPr>
          <w:rFonts w:hint="eastAsia" w:ascii="微软雅黑" w:hAnsi="微软雅黑" w:eastAsia="微软雅黑" w:cs="微软雅黑"/>
          <w:color w:val="auto"/>
          <w:sz w:val="22"/>
          <w:szCs w:val="22"/>
          <w:highlight w:val="none"/>
          <w:lang w:val="en-US" w:eastAsia="zh-CN"/>
        </w:rPr>
        <w:t>成交人</w:t>
      </w:r>
      <w:r>
        <w:rPr>
          <w:rFonts w:hint="eastAsia" w:ascii="微软雅黑" w:hAnsi="微软雅黑" w:eastAsia="微软雅黑" w:cs="微软雅黑"/>
          <w:color w:val="auto"/>
          <w:sz w:val="22"/>
          <w:szCs w:val="22"/>
          <w:highlight w:val="none"/>
        </w:rPr>
        <w:t>也可以按照财政部门的规定，向采购人提供合格的履约担保函。</w:t>
      </w:r>
    </w:p>
    <w:p w14:paraId="27F89D6F">
      <w:pPr>
        <w:spacing w:line="400" w:lineRule="exact"/>
        <w:ind w:left="900" w:hanging="825"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2"/>
          <w:szCs w:val="22"/>
          <w:highlight w:val="none"/>
        </w:rPr>
        <w:t>31.3   如果</w:t>
      </w:r>
      <w:r>
        <w:rPr>
          <w:rFonts w:hint="eastAsia" w:ascii="微软雅黑" w:hAnsi="微软雅黑" w:eastAsia="微软雅黑" w:cs="微软雅黑"/>
          <w:color w:val="auto"/>
          <w:sz w:val="22"/>
          <w:szCs w:val="22"/>
          <w:highlight w:val="none"/>
          <w:lang w:val="en-US" w:eastAsia="zh-CN"/>
        </w:rPr>
        <w:t>成交人</w:t>
      </w:r>
      <w:r>
        <w:rPr>
          <w:rFonts w:hint="eastAsia" w:ascii="微软雅黑" w:hAnsi="微软雅黑" w:eastAsia="微软雅黑" w:cs="微软雅黑"/>
          <w:color w:val="auto"/>
          <w:sz w:val="22"/>
          <w:szCs w:val="22"/>
          <w:highlight w:val="none"/>
        </w:rPr>
        <w:t>没有按照上述履约保证金的规定执行，将视为放弃</w:t>
      </w:r>
      <w:r>
        <w:rPr>
          <w:rFonts w:hint="eastAsia" w:ascii="微软雅黑" w:hAnsi="微软雅黑" w:eastAsia="微软雅黑" w:cs="微软雅黑"/>
          <w:color w:val="auto"/>
          <w:sz w:val="22"/>
          <w:szCs w:val="22"/>
          <w:highlight w:val="none"/>
          <w:lang w:val="en-US" w:eastAsia="zh-CN"/>
        </w:rPr>
        <w:t>成交</w:t>
      </w:r>
      <w:r>
        <w:rPr>
          <w:rFonts w:hint="eastAsia" w:ascii="微软雅黑" w:hAnsi="微软雅黑" w:eastAsia="微软雅黑" w:cs="微软雅黑"/>
          <w:color w:val="auto"/>
          <w:sz w:val="22"/>
          <w:szCs w:val="22"/>
          <w:highlight w:val="none"/>
        </w:rPr>
        <w:t>资格，</w:t>
      </w:r>
      <w:r>
        <w:rPr>
          <w:rFonts w:hint="eastAsia" w:ascii="微软雅黑" w:hAnsi="微软雅黑" w:eastAsia="微软雅黑" w:cs="微软雅黑"/>
          <w:color w:val="auto"/>
          <w:sz w:val="22"/>
          <w:szCs w:val="22"/>
          <w:highlight w:val="none"/>
          <w:lang w:val="en-US" w:eastAsia="zh-CN"/>
        </w:rPr>
        <w:t>成交人</w:t>
      </w:r>
      <w:r>
        <w:rPr>
          <w:rFonts w:hint="eastAsia" w:ascii="微软雅黑" w:hAnsi="微软雅黑" w:eastAsia="微软雅黑" w:cs="微软雅黑"/>
          <w:color w:val="auto"/>
          <w:sz w:val="22"/>
          <w:szCs w:val="22"/>
          <w:highlight w:val="none"/>
        </w:rPr>
        <w:t>的</w:t>
      </w:r>
      <w:r>
        <w:rPr>
          <w:rFonts w:hint="eastAsia" w:ascii="微软雅黑" w:hAnsi="微软雅黑" w:eastAsia="微软雅黑" w:cs="微软雅黑"/>
          <w:color w:val="auto"/>
          <w:sz w:val="22"/>
          <w:szCs w:val="22"/>
          <w:highlight w:val="none"/>
          <w:lang w:val="en-US" w:eastAsia="zh-CN"/>
        </w:rPr>
        <w:t>磋商</w:t>
      </w:r>
      <w:r>
        <w:rPr>
          <w:rFonts w:hint="eastAsia" w:ascii="微软雅黑" w:hAnsi="微软雅黑" w:eastAsia="微软雅黑" w:cs="微软雅黑"/>
          <w:color w:val="auto"/>
          <w:sz w:val="22"/>
          <w:szCs w:val="22"/>
          <w:highlight w:val="none"/>
        </w:rPr>
        <w:t>保证金将不予退还。在此情况下，采购人可确定下一候选人为</w:t>
      </w:r>
      <w:r>
        <w:rPr>
          <w:rFonts w:hint="eastAsia" w:ascii="微软雅黑" w:hAnsi="微软雅黑" w:eastAsia="微软雅黑" w:cs="微软雅黑"/>
          <w:color w:val="auto"/>
          <w:sz w:val="22"/>
          <w:szCs w:val="22"/>
          <w:highlight w:val="none"/>
          <w:lang w:val="en-US" w:eastAsia="zh-CN"/>
        </w:rPr>
        <w:t>成交</w:t>
      </w:r>
      <w:r>
        <w:rPr>
          <w:rFonts w:hint="eastAsia" w:ascii="微软雅黑" w:hAnsi="微软雅黑" w:eastAsia="微软雅黑" w:cs="微软雅黑"/>
          <w:color w:val="auto"/>
          <w:sz w:val="22"/>
          <w:szCs w:val="22"/>
          <w:highlight w:val="none"/>
        </w:rPr>
        <w:t>人，也可以重新开展采购活动。</w:t>
      </w:r>
    </w:p>
    <w:bookmarkEnd w:id="353"/>
    <w:bookmarkEnd w:id="354"/>
    <w:bookmarkEnd w:id="355"/>
    <w:p w14:paraId="05E323B1">
      <w:pPr>
        <w:pStyle w:val="2"/>
        <w:spacing w:before="0" w:after="0" w:line="400" w:lineRule="exact"/>
        <w:rPr>
          <w:rFonts w:hint="eastAsia" w:ascii="微软雅黑" w:hAnsi="微软雅黑" w:eastAsia="微软雅黑" w:cs="微软雅黑"/>
          <w:color w:val="auto"/>
          <w:u w:val="none"/>
        </w:rPr>
      </w:pPr>
      <w:bookmarkStart w:id="361" w:name="_Toc31655"/>
      <w:bookmarkStart w:id="362" w:name="_Toc12542"/>
      <w:bookmarkStart w:id="363" w:name="_Toc518923098"/>
      <w:bookmarkStart w:id="364" w:name="_Toc12960_WPSOffice_Level2"/>
      <w:bookmarkStart w:id="365" w:name="_Toc21635_WPSOffice_Level2"/>
      <w:bookmarkStart w:id="366" w:name="_Toc22936"/>
      <w:bookmarkStart w:id="367" w:name="_Toc8476"/>
      <w:bookmarkStart w:id="368" w:name="_Toc29948"/>
      <w:r>
        <w:rPr>
          <w:rFonts w:hint="eastAsia" w:ascii="微软雅黑" w:hAnsi="微软雅黑" w:eastAsia="微软雅黑" w:cs="微软雅黑"/>
          <w:color w:val="auto"/>
          <w:u w:val="none"/>
        </w:rPr>
        <w:t>3</w:t>
      </w:r>
      <w:r>
        <w:rPr>
          <w:rFonts w:hint="eastAsia" w:ascii="微软雅黑" w:hAnsi="微软雅黑" w:eastAsia="微软雅黑" w:cs="微软雅黑"/>
          <w:color w:val="auto"/>
          <w:u w:val="none"/>
          <w:lang w:val="en-US" w:eastAsia="zh-CN"/>
        </w:rPr>
        <w:t>2</w:t>
      </w:r>
      <w:r>
        <w:rPr>
          <w:rFonts w:hint="eastAsia" w:ascii="微软雅黑" w:hAnsi="微软雅黑" w:eastAsia="微软雅黑" w:cs="微软雅黑"/>
          <w:color w:val="auto"/>
          <w:u w:val="none"/>
        </w:rPr>
        <w:t>.成交服务费</w:t>
      </w:r>
      <w:bookmarkEnd w:id="361"/>
      <w:bookmarkEnd w:id="362"/>
      <w:bookmarkEnd w:id="363"/>
      <w:bookmarkEnd w:id="364"/>
      <w:bookmarkEnd w:id="365"/>
      <w:bookmarkEnd w:id="366"/>
      <w:bookmarkEnd w:id="367"/>
      <w:bookmarkEnd w:id="368"/>
    </w:p>
    <w:p w14:paraId="1789F0CC">
      <w:pPr>
        <w:spacing w:line="400" w:lineRule="exact"/>
        <w:ind w:left="840" w:leftChars="200" w:hanging="420" w:hangingChars="1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xml:space="preserve">   成交人须按照</w:t>
      </w:r>
      <w:r>
        <w:rPr>
          <w:rFonts w:hint="eastAsia" w:ascii="微软雅黑" w:hAnsi="微软雅黑" w:eastAsia="微软雅黑" w:cs="微软雅黑"/>
          <w:color w:val="auto"/>
          <w:sz w:val="24"/>
          <w:u w:val="single"/>
        </w:rPr>
        <w:t>磋商须知资料表</w:t>
      </w:r>
      <w:r>
        <w:rPr>
          <w:rFonts w:hint="eastAsia" w:ascii="微软雅黑" w:hAnsi="微软雅黑" w:eastAsia="微软雅黑" w:cs="微软雅黑"/>
          <w:color w:val="auto"/>
          <w:sz w:val="24"/>
        </w:rPr>
        <w:t>规定，向采购代理机构支付成交服务费。</w:t>
      </w:r>
    </w:p>
    <w:p w14:paraId="5E309F43">
      <w:pPr>
        <w:pStyle w:val="2"/>
        <w:spacing w:before="0" w:after="0" w:line="400" w:lineRule="exact"/>
        <w:rPr>
          <w:rFonts w:hint="eastAsia" w:ascii="微软雅黑" w:hAnsi="微软雅黑" w:eastAsia="微软雅黑" w:cs="微软雅黑"/>
          <w:color w:val="auto"/>
          <w:u w:val="none"/>
        </w:rPr>
      </w:pPr>
      <w:bookmarkStart w:id="369" w:name="_Toc9330_WPSOffice_Level2"/>
      <w:bookmarkStart w:id="370" w:name="_Toc31411"/>
      <w:bookmarkStart w:id="371" w:name="_Toc5132"/>
      <w:bookmarkStart w:id="372" w:name="_Toc11698"/>
      <w:bookmarkStart w:id="373" w:name="_Toc30567_WPSOffice_Level2"/>
      <w:bookmarkStart w:id="374" w:name="_Toc5851"/>
      <w:bookmarkStart w:id="375" w:name="_Toc25794"/>
      <w:bookmarkStart w:id="376" w:name="_Toc518923099"/>
      <w:r>
        <w:rPr>
          <w:rFonts w:hint="eastAsia" w:ascii="微软雅黑" w:hAnsi="微软雅黑" w:eastAsia="微软雅黑" w:cs="微软雅黑"/>
          <w:color w:val="auto"/>
          <w:u w:val="none"/>
        </w:rPr>
        <w:t>3</w:t>
      </w:r>
      <w:r>
        <w:rPr>
          <w:rFonts w:hint="eastAsia" w:ascii="微软雅黑" w:hAnsi="微软雅黑" w:eastAsia="微软雅黑" w:cs="微软雅黑"/>
          <w:color w:val="auto"/>
          <w:u w:val="none"/>
          <w:lang w:val="en-US" w:eastAsia="zh-CN"/>
        </w:rPr>
        <w:t>3</w:t>
      </w:r>
      <w:r>
        <w:rPr>
          <w:rFonts w:hint="eastAsia" w:ascii="微软雅黑" w:hAnsi="微软雅黑" w:eastAsia="微软雅黑" w:cs="微软雅黑"/>
          <w:color w:val="auto"/>
          <w:u w:val="none"/>
        </w:rPr>
        <w:t>.政府采购信用担保</w:t>
      </w:r>
      <w:bookmarkEnd w:id="369"/>
      <w:bookmarkEnd w:id="370"/>
      <w:bookmarkEnd w:id="371"/>
      <w:bookmarkEnd w:id="372"/>
      <w:bookmarkEnd w:id="373"/>
      <w:bookmarkEnd w:id="374"/>
      <w:bookmarkEnd w:id="375"/>
      <w:bookmarkEnd w:id="376"/>
    </w:p>
    <w:p w14:paraId="644D3CBE">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3</w:t>
      </w:r>
      <w:r>
        <w:rPr>
          <w:rFonts w:hint="eastAsia" w:ascii="微软雅黑" w:hAnsi="微软雅黑" w:eastAsia="微软雅黑" w:cs="微软雅黑"/>
          <w:color w:val="auto"/>
          <w:sz w:val="24"/>
        </w:rPr>
        <w:t>.1   本项目是否属于信用担保试点范围见</w:t>
      </w:r>
      <w:r>
        <w:rPr>
          <w:rFonts w:hint="eastAsia" w:ascii="微软雅黑" w:hAnsi="微软雅黑" w:eastAsia="微软雅黑" w:cs="微软雅黑"/>
          <w:color w:val="auto"/>
          <w:sz w:val="24"/>
          <w:u w:val="single"/>
        </w:rPr>
        <w:t>供应商须知资料表</w:t>
      </w:r>
      <w:r>
        <w:rPr>
          <w:rFonts w:hint="eastAsia" w:ascii="微软雅黑" w:hAnsi="微软雅黑" w:eastAsia="微软雅黑" w:cs="微软雅黑"/>
          <w:color w:val="auto"/>
          <w:sz w:val="24"/>
        </w:rPr>
        <w:t>。</w:t>
      </w:r>
    </w:p>
    <w:p w14:paraId="2E2B1706">
      <w:pPr>
        <w:spacing w:line="400" w:lineRule="exact"/>
        <w:ind w:left="850" w:hanging="849" w:hangingChars="354"/>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3</w:t>
      </w:r>
      <w:r>
        <w:rPr>
          <w:rFonts w:hint="eastAsia" w:ascii="微软雅黑" w:hAnsi="微软雅黑" w:eastAsia="微软雅黑" w:cs="微软雅黑"/>
          <w:color w:val="auto"/>
          <w:sz w:val="24"/>
        </w:rPr>
        <w:t>.2   如属于政府采购信用担保试点范围内，中小型企业供应商可以自由按照财政部门的规定，采用磋商担保、履约担保和融资担保。</w:t>
      </w:r>
    </w:p>
    <w:p w14:paraId="5D410636">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3</w:t>
      </w:r>
      <w:r>
        <w:rPr>
          <w:rFonts w:hint="eastAsia" w:ascii="微软雅黑" w:hAnsi="微软雅黑" w:eastAsia="微软雅黑" w:cs="微软雅黑"/>
          <w:color w:val="auto"/>
          <w:sz w:val="24"/>
        </w:rPr>
        <w:t>.2.1 供应商递交的磋商担保函应符合本磋商文件的规定。</w:t>
      </w:r>
    </w:p>
    <w:p w14:paraId="7BD1659E">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3</w:t>
      </w:r>
      <w:r>
        <w:rPr>
          <w:rFonts w:hint="eastAsia" w:ascii="微软雅黑" w:hAnsi="微软雅黑" w:eastAsia="微软雅黑" w:cs="微软雅黑"/>
          <w:color w:val="auto"/>
          <w:sz w:val="24"/>
        </w:rPr>
        <w:t>.2.2 合格的政府采购专业信用担保机构见</w:t>
      </w:r>
      <w:r>
        <w:rPr>
          <w:rFonts w:hint="eastAsia" w:ascii="微软雅黑" w:hAnsi="微软雅黑" w:eastAsia="微软雅黑" w:cs="微软雅黑"/>
          <w:color w:val="auto"/>
          <w:sz w:val="24"/>
          <w:u w:val="single"/>
        </w:rPr>
        <w:t>供应商须知资料表</w:t>
      </w:r>
      <w:r>
        <w:rPr>
          <w:rFonts w:hint="eastAsia" w:ascii="微软雅黑" w:hAnsi="微软雅黑" w:eastAsia="微软雅黑" w:cs="微软雅黑"/>
          <w:color w:val="auto"/>
          <w:sz w:val="24"/>
        </w:rPr>
        <w:t>。</w:t>
      </w:r>
    </w:p>
    <w:p w14:paraId="34CE6A5A">
      <w:pPr>
        <w:pStyle w:val="2"/>
        <w:spacing w:before="0" w:after="0" w:line="400" w:lineRule="exact"/>
        <w:rPr>
          <w:rFonts w:hint="eastAsia" w:ascii="微软雅黑" w:hAnsi="微软雅黑" w:eastAsia="微软雅黑" w:cs="微软雅黑"/>
          <w:color w:val="auto"/>
          <w:u w:val="none"/>
        </w:rPr>
      </w:pPr>
      <w:bookmarkStart w:id="377" w:name="_Toc13147"/>
      <w:bookmarkStart w:id="378" w:name="_Toc4701"/>
      <w:bookmarkStart w:id="379" w:name="_Toc32748"/>
      <w:bookmarkStart w:id="380" w:name="_Toc3611"/>
      <w:bookmarkStart w:id="381" w:name="_Toc9469_WPSOffice_Level2"/>
      <w:bookmarkStart w:id="382" w:name="_Toc411"/>
      <w:bookmarkStart w:id="383" w:name="_Toc5233_WPSOffice_Level2"/>
      <w:bookmarkStart w:id="384" w:name="_Toc518923100"/>
      <w:r>
        <w:rPr>
          <w:rFonts w:hint="eastAsia" w:ascii="微软雅黑" w:hAnsi="微软雅黑" w:eastAsia="微软雅黑" w:cs="微软雅黑"/>
          <w:color w:val="auto"/>
          <w:u w:val="none"/>
        </w:rPr>
        <w:t>3</w:t>
      </w:r>
      <w:r>
        <w:rPr>
          <w:rFonts w:hint="eastAsia" w:ascii="微软雅黑" w:hAnsi="微软雅黑" w:eastAsia="微软雅黑" w:cs="微软雅黑"/>
          <w:color w:val="auto"/>
          <w:u w:val="none"/>
          <w:lang w:val="en-US" w:eastAsia="zh-CN"/>
        </w:rPr>
        <w:t>4</w:t>
      </w:r>
      <w:r>
        <w:rPr>
          <w:rFonts w:hint="eastAsia" w:ascii="微软雅黑" w:hAnsi="微软雅黑" w:eastAsia="微软雅黑" w:cs="微软雅黑"/>
          <w:color w:val="auto"/>
          <w:u w:val="none"/>
        </w:rPr>
        <w:t>.廉洁自律规定</w:t>
      </w:r>
      <w:bookmarkEnd w:id="377"/>
      <w:bookmarkEnd w:id="378"/>
      <w:bookmarkEnd w:id="379"/>
      <w:bookmarkEnd w:id="380"/>
      <w:bookmarkEnd w:id="381"/>
      <w:bookmarkEnd w:id="382"/>
      <w:bookmarkEnd w:id="383"/>
      <w:bookmarkEnd w:id="384"/>
    </w:p>
    <w:p w14:paraId="26C593E4">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4</w:t>
      </w:r>
      <w:r>
        <w:rPr>
          <w:rFonts w:hint="eastAsia" w:ascii="微软雅黑" w:hAnsi="微软雅黑" w:eastAsia="微软雅黑" w:cs="微软雅黑"/>
          <w:color w:val="auto"/>
          <w:sz w:val="24"/>
        </w:rPr>
        <w:t>.1   采购代理机构工作人员不得以不正当手段获取政府采购代理业务，不得与采购人、供应商恶意串通操纵政府采购活动。</w:t>
      </w:r>
    </w:p>
    <w:p w14:paraId="7C352601">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4</w:t>
      </w:r>
      <w:r>
        <w:rPr>
          <w:rFonts w:hint="eastAsia" w:ascii="微软雅黑" w:hAnsi="微软雅黑" w:eastAsia="微软雅黑" w:cs="微软雅黑"/>
          <w:color w:val="auto"/>
          <w:sz w:val="24"/>
        </w:rPr>
        <w:t>.2   采购代理机构工作人员不得接受采购人或者供应商组织的宴请、旅游、娱乐，不得收受礼品、现金、有价证券等，不得向采购人或者供应商报销应当由个人承担的费用。</w:t>
      </w:r>
    </w:p>
    <w:p w14:paraId="5C14E0CD">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4</w:t>
      </w:r>
      <w:r>
        <w:rPr>
          <w:rFonts w:hint="eastAsia" w:ascii="微软雅黑" w:hAnsi="微软雅黑" w:eastAsia="微软雅黑" w:cs="微软雅黑"/>
          <w:color w:val="auto"/>
          <w:sz w:val="24"/>
        </w:rPr>
        <w:t>.3   为强化采购代理机构内部监督机制，供应商可按</w:t>
      </w:r>
      <w:r>
        <w:rPr>
          <w:rFonts w:hint="eastAsia" w:ascii="微软雅黑" w:hAnsi="微软雅黑" w:eastAsia="微软雅黑" w:cs="微软雅黑"/>
          <w:color w:val="auto"/>
          <w:sz w:val="24"/>
          <w:u w:val="single"/>
        </w:rPr>
        <w:t>供应商须知资料表中的</w:t>
      </w:r>
      <w:r>
        <w:rPr>
          <w:rFonts w:hint="eastAsia" w:ascii="微软雅黑" w:hAnsi="微软雅黑" w:eastAsia="微软雅黑" w:cs="微软雅黑"/>
          <w:color w:val="auto"/>
          <w:sz w:val="24"/>
        </w:rPr>
        <w:t>监督电话和信箱，反映采购代理机构的廉洁自律等问题。</w:t>
      </w:r>
    </w:p>
    <w:p w14:paraId="4C2C9320">
      <w:pPr>
        <w:pStyle w:val="2"/>
        <w:spacing w:before="0" w:after="0" w:line="400" w:lineRule="exact"/>
        <w:rPr>
          <w:rFonts w:hint="eastAsia" w:ascii="微软雅黑" w:hAnsi="微软雅黑" w:eastAsia="微软雅黑" w:cs="微软雅黑"/>
          <w:color w:val="auto"/>
          <w:u w:val="none"/>
        </w:rPr>
      </w:pPr>
      <w:bookmarkStart w:id="385" w:name="_Toc27272_WPSOffice_Level2"/>
      <w:bookmarkStart w:id="386" w:name="_Toc21055"/>
      <w:bookmarkStart w:id="387" w:name="_Toc6264"/>
      <w:bookmarkStart w:id="388" w:name="_Toc518923101"/>
      <w:bookmarkStart w:id="389" w:name="_Toc19099"/>
      <w:bookmarkStart w:id="390" w:name="_Toc23568"/>
      <w:bookmarkStart w:id="391" w:name="_Toc27811_WPSOffice_Level2"/>
      <w:bookmarkStart w:id="392" w:name="_Toc1948"/>
      <w:r>
        <w:rPr>
          <w:rFonts w:hint="eastAsia" w:ascii="微软雅黑" w:hAnsi="微软雅黑" w:eastAsia="微软雅黑" w:cs="微软雅黑"/>
          <w:color w:val="auto"/>
          <w:u w:val="none"/>
        </w:rPr>
        <w:t>3</w:t>
      </w:r>
      <w:r>
        <w:rPr>
          <w:rFonts w:hint="eastAsia" w:ascii="微软雅黑" w:hAnsi="微软雅黑" w:eastAsia="微软雅黑" w:cs="微软雅黑"/>
          <w:color w:val="auto"/>
          <w:u w:val="none"/>
          <w:lang w:val="en-US" w:eastAsia="zh-CN"/>
        </w:rPr>
        <w:t>5</w:t>
      </w:r>
      <w:r>
        <w:rPr>
          <w:rFonts w:hint="eastAsia" w:ascii="微软雅黑" w:hAnsi="微软雅黑" w:eastAsia="微软雅黑" w:cs="微软雅黑"/>
          <w:color w:val="auto"/>
          <w:u w:val="none"/>
        </w:rPr>
        <w:t>.人员回避</w:t>
      </w:r>
      <w:bookmarkEnd w:id="385"/>
      <w:bookmarkEnd w:id="386"/>
      <w:bookmarkEnd w:id="387"/>
      <w:bookmarkEnd w:id="388"/>
      <w:bookmarkEnd w:id="389"/>
      <w:bookmarkEnd w:id="390"/>
      <w:bookmarkEnd w:id="391"/>
      <w:bookmarkEnd w:id="392"/>
    </w:p>
    <w:p w14:paraId="1C9A08BB">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xml:space="preserve">       供应商认为采购人员及其相关人员有法律法规所列与其他供应商有利害关系的，可以向采购人或采购代理机构书面提出回避申请，并说明理由。</w:t>
      </w:r>
    </w:p>
    <w:p w14:paraId="78B98550">
      <w:pPr>
        <w:pStyle w:val="2"/>
        <w:spacing w:before="0" w:after="0" w:line="400" w:lineRule="exact"/>
        <w:rPr>
          <w:rFonts w:hint="eastAsia" w:ascii="微软雅黑" w:hAnsi="微软雅黑" w:eastAsia="微软雅黑" w:cs="微软雅黑"/>
          <w:bCs/>
          <w:color w:val="auto"/>
          <w:szCs w:val="24"/>
          <w:u w:val="none"/>
        </w:rPr>
      </w:pPr>
      <w:bookmarkStart w:id="393" w:name="_Toc13943"/>
      <w:bookmarkStart w:id="394" w:name="_Toc22841"/>
      <w:bookmarkStart w:id="395" w:name="_Toc3168"/>
      <w:r>
        <w:rPr>
          <w:rFonts w:hint="eastAsia" w:ascii="微软雅黑" w:hAnsi="微软雅黑" w:eastAsia="微软雅黑" w:cs="微软雅黑"/>
          <w:color w:val="auto"/>
          <w:u w:val="none"/>
        </w:rPr>
        <w:t>3</w:t>
      </w:r>
      <w:r>
        <w:rPr>
          <w:rFonts w:hint="eastAsia" w:ascii="微软雅黑" w:hAnsi="微软雅黑" w:eastAsia="微软雅黑" w:cs="微软雅黑"/>
          <w:color w:val="auto"/>
          <w:u w:val="none"/>
          <w:lang w:val="en-US" w:eastAsia="zh-CN"/>
        </w:rPr>
        <w:t>6</w:t>
      </w:r>
      <w:r>
        <w:rPr>
          <w:rFonts w:hint="eastAsia" w:ascii="微软雅黑" w:hAnsi="微软雅黑" w:eastAsia="微软雅黑" w:cs="微软雅黑"/>
          <w:color w:val="auto"/>
          <w:u w:val="none"/>
        </w:rPr>
        <w:t>.质疑与接收</w:t>
      </w:r>
      <w:bookmarkEnd w:id="393"/>
      <w:bookmarkEnd w:id="394"/>
      <w:bookmarkEnd w:id="395"/>
    </w:p>
    <w:p w14:paraId="296C185B">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6</w:t>
      </w:r>
      <w:r>
        <w:rPr>
          <w:rFonts w:hint="eastAsia" w:ascii="微软雅黑" w:hAnsi="微软雅黑" w:eastAsia="微软雅黑" w:cs="微软雅黑"/>
          <w:color w:val="auto"/>
          <w:sz w:val="24"/>
        </w:rPr>
        <w:t>.1   供应商认为磋商文件、招标过程和成交结果使自己的权益受到损害的，可以根据《中华人民共和国政府采购法》、《中华人民共和国政府采购法实施条例》和《政府采购质疑和投诉办法》的有关规定，依法向采购人或其委托的采购代理机构提出质疑。</w:t>
      </w:r>
    </w:p>
    <w:p w14:paraId="529B48FF">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6</w:t>
      </w:r>
      <w:r>
        <w:rPr>
          <w:rFonts w:hint="eastAsia" w:ascii="微软雅黑" w:hAnsi="微软雅黑" w:eastAsia="微软雅黑" w:cs="微软雅黑"/>
          <w:color w:val="auto"/>
          <w:sz w:val="24"/>
        </w:rPr>
        <w:t>.2   质疑供应商应按照财政部制定的《政府采购质疑函范本》格式（可从财政部官方网站下载）和《政府采购质疑和投诉办法》的要求，在法定质疑期内以纸质形式提出质疑，针对同一采购程序环节的质疑应一次性提出。超出法定质疑期的、重复提出的、分次提出的或内容、形式不符合《政府采购质疑和投诉办法》的，质疑供应商将依法承担不利后果。</w:t>
      </w:r>
    </w:p>
    <w:p w14:paraId="19E2447B">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6</w:t>
      </w:r>
      <w:r>
        <w:rPr>
          <w:rFonts w:hint="eastAsia" w:ascii="微软雅黑" w:hAnsi="微软雅黑" w:eastAsia="微软雅黑" w:cs="微软雅黑"/>
          <w:color w:val="auto"/>
          <w:sz w:val="24"/>
        </w:rPr>
        <w:t>.3   采购代理机构质疑函接收部门、联系电话和通讯地址, 见供应商须知资料表。</w:t>
      </w:r>
    </w:p>
    <w:p w14:paraId="124E4615">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6</w:t>
      </w:r>
      <w:r>
        <w:rPr>
          <w:rFonts w:hint="eastAsia" w:ascii="微软雅黑" w:hAnsi="微软雅黑" w:eastAsia="微软雅黑" w:cs="微软雅黑"/>
          <w:color w:val="auto"/>
          <w:sz w:val="24"/>
        </w:rPr>
        <w:t>.4   质疑的提出</w:t>
      </w:r>
    </w:p>
    <w:p w14:paraId="1BFCC3F5">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6</w:t>
      </w:r>
      <w:r>
        <w:rPr>
          <w:rFonts w:hint="eastAsia" w:ascii="微软雅黑" w:hAnsi="微软雅黑" w:eastAsia="微软雅黑" w:cs="微软雅黑"/>
          <w:color w:val="auto"/>
          <w:sz w:val="24"/>
        </w:rPr>
        <w:t>.5   本采购文件中所称质疑及答复，是指参加本次采购活动的供应商对政府采购活动中的采购文件、采购过程和成交结果向采购方提出质疑，采购方答复质疑的行为。</w:t>
      </w:r>
    </w:p>
    <w:p w14:paraId="515E7330">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6</w:t>
      </w:r>
      <w:r>
        <w:rPr>
          <w:rFonts w:hint="eastAsia" w:ascii="微软雅黑" w:hAnsi="微软雅黑" w:eastAsia="微软雅黑" w:cs="微软雅黑"/>
          <w:color w:val="auto"/>
          <w:sz w:val="24"/>
        </w:rPr>
        <w:t>.6   供应商认为采购文件、采购过程和成交结果使自己的权益受到损害的，可以在知道或者应知其权益受到损害之日起7个工作日内，以书面形式向采购方提出质疑。供应商应知其权益受到损害之日，是指：</w:t>
      </w:r>
    </w:p>
    <w:p w14:paraId="79FAD4C8">
      <w:pPr>
        <w:spacing w:line="400" w:lineRule="exact"/>
        <w:ind w:left="898" w:leftChars="342" w:hanging="180" w:hangingChars="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（一）对可以质疑的采购文件提出质疑的，为收到采购文件之日或者采购文件公告期限届满之日；</w:t>
      </w:r>
    </w:p>
    <w:p w14:paraId="3E654B53">
      <w:pPr>
        <w:spacing w:line="400" w:lineRule="exact"/>
        <w:ind w:left="898" w:leftChars="342" w:hanging="180" w:hangingChars="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（二）对采购过程提出质疑的，为各采购程序环节结束之日；</w:t>
      </w:r>
    </w:p>
    <w:p w14:paraId="6A2CB12C">
      <w:pPr>
        <w:spacing w:line="400" w:lineRule="exact"/>
        <w:ind w:firstLine="720" w:firstLineChars="300"/>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（三）对成交结果提出质疑的，为成交结果公告期限届满之日。</w:t>
      </w:r>
    </w:p>
    <w:p w14:paraId="289AA987">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6</w:t>
      </w:r>
      <w:r>
        <w:rPr>
          <w:rFonts w:hint="eastAsia" w:ascii="微软雅黑" w:hAnsi="微软雅黑" w:eastAsia="微软雅黑" w:cs="微软雅黑"/>
          <w:color w:val="auto"/>
          <w:sz w:val="24"/>
        </w:rPr>
        <w:t>.7   对可以质疑的采购文件提出质疑的，质疑人为参与本项目的报价方或潜在报价方。可质疑的文件为采购公告以及采购文件（包括属于其组成部分的澄清、修改、补充文件和评审标准、合同文本等）。</w:t>
      </w:r>
    </w:p>
    <w:p w14:paraId="03DA513E">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6</w:t>
      </w:r>
      <w:r>
        <w:rPr>
          <w:rFonts w:hint="eastAsia" w:ascii="微软雅黑" w:hAnsi="微软雅黑" w:eastAsia="微软雅黑" w:cs="微软雅黑"/>
          <w:color w:val="auto"/>
          <w:sz w:val="24"/>
        </w:rPr>
        <w:t>.8   对采购过程和成交结果提出质疑的，质疑人为直接参与本项目的报价方。采购过程,即从采购项目信息公告发布起到成交结果公告止，包括采购文件的发出、提交响应文件、响应文件开启、评审等各个采购程序环节。</w:t>
      </w:r>
    </w:p>
    <w:p w14:paraId="1BF6EE94">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6</w:t>
      </w:r>
      <w:r>
        <w:rPr>
          <w:rFonts w:hint="eastAsia" w:ascii="微软雅黑" w:hAnsi="微软雅黑" w:eastAsia="微软雅黑" w:cs="微软雅黑"/>
          <w:color w:val="auto"/>
          <w:sz w:val="24"/>
        </w:rPr>
        <w:t>.9   提出质疑应当符合下列条件：</w:t>
      </w:r>
    </w:p>
    <w:p w14:paraId="520711BC">
      <w:pPr>
        <w:spacing w:line="400" w:lineRule="exact"/>
        <w:ind w:left="898" w:leftChars="342" w:hanging="180" w:hangingChars="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（一）质疑主体应当符合有关规定；</w:t>
      </w:r>
    </w:p>
    <w:p w14:paraId="3E7DE05A">
      <w:pPr>
        <w:spacing w:line="400" w:lineRule="exact"/>
        <w:ind w:left="898" w:leftChars="342" w:hanging="180" w:hangingChars="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（二）在质疑法定期限内提出；</w:t>
      </w:r>
    </w:p>
    <w:p w14:paraId="5DB0A946">
      <w:pPr>
        <w:spacing w:line="400" w:lineRule="exact"/>
        <w:ind w:left="898" w:leftChars="342" w:hanging="180" w:hangingChars="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（三）属于可以提出质疑的政府采购事项受理范围和本项目采购人的管辖权范围；</w:t>
      </w:r>
    </w:p>
    <w:p w14:paraId="0064BAEA">
      <w:pPr>
        <w:spacing w:line="400" w:lineRule="exact"/>
        <w:ind w:left="898" w:leftChars="342" w:hanging="180" w:hangingChars="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（四）政府采购法律、法规、规章规定的其他条件。</w:t>
      </w:r>
    </w:p>
    <w:p w14:paraId="19B42DF0">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6</w:t>
      </w:r>
      <w:r>
        <w:rPr>
          <w:rFonts w:hint="eastAsia" w:ascii="微软雅黑" w:hAnsi="微软雅黑" w:eastAsia="微软雅黑" w:cs="微软雅黑"/>
          <w:color w:val="auto"/>
          <w:sz w:val="24"/>
        </w:rPr>
        <w:t>.10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68EA6838">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6</w:t>
      </w:r>
      <w:r>
        <w:rPr>
          <w:rFonts w:hint="eastAsia" w:ascii="微软雅黑" w:hAnsi="微软雅黑" w:eastAsia="微软雅黑" w:cs="微软雅黑"/>
          <w:color w:val="auto"/>
          <w:sz w:val="24"/>
        </w:rPr>
        <w:t>.11  质疑人所提供的证明材料应当具有真实性、合法性以及与质疑事项的关联性和证明力，否则不能作为认定该质疑事项成立的依据。</w:t>
      </w:r>
    </w:p>
    <w:p w14:paraId="2D425DE2">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6</w:t>
      </w:r>
      <w:r>
        <w:rPr>
          <w:rFonts w:hint="eastAsia" w:ascii="微软雅黑" w:hAnsi="微软雅黑" w:eastAsia="微软雅黑" w:cs="微软雅黑"/>
          <w:color w:val="auto"/>
          <w:sz w:val="24"/>
        </w:rPr>
        <w:t>.12  质疑人提出质疑时应当提交质疑函。质疑函包括下列内容：</w:t>
      </w:r>
    </w:p>
    <w:p w14:paraId="2F9690E1">
      <w:pPr>
        <w:spacing w:line="400" w:lineRule="exact"/>
        <w:ind w:left="898" w:leftChars="342" w:hanging="180" w:hangingChars="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（一）提出质疑的质疑人的名称、地址、邮编、联系人及联系电话等；</w:t>
      </w:r>
    </w:p>
    <w:p w14:paraId="5B130B49">
      <w:pPr>
        <w:spacing w:line="400" w:lineRule="exact"/>
        <w:ind w:left="898" w:leftChars="342" w:hanging="180" w:hangingChars="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（二）质疑项目的名称、编号；</w:t>
      </w:r>
    </w:p>
    <w:p w14:paraId="0D7E5384">
      <w:pPr>
        <w:spacing w:line="400" w:lineRule="exact"/>
        <w:ind w:left="898" w:leftChars="342" w:hanging="180" w:hangingChars="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（三）质疑事项；</w:t>
      </w:r>
    </w:p>
    <w:p w14:paraId="6D567F71">
      <w:pPr>
        <w:spacing w:line="400" w:lineRule="exact"/>
        <w:ind w:left="898" w:leftChars="342" w:hanging="180" w:hangingChars="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（四）事实依据和证明材料；</w:t>
      </w:r>
    </w:p>
    <w:p w14:paraId="7784C59D">
      <w:pPr>
        <w:spacing w:line="400" w:lineRule="exact"/>
        <w:ind w:left="898" w:leftChars="342" w:hanging="180" w:hangingChars="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（五）法律依据；</w:t>
      </w:r>
    </w:p>
    <w:p w14:paraId="63AFD491">
      <w:pPr>
        <w:spacing w:line="400" w:lineRule="exact"/>
        <w:ind w:left="898" w:leftChars="342" w:hanging="180" w:hangingChars="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（六）提出质疑的日期。</w:t>
      </w:r>
    </w:p>
    <w:p w14:paraId="092C0929">
      <w:pPr>
        <w:spacing w:line="400" w:lineRule="exact"/>
        <w:ind w:left="958" w:leftChars="456" w:firstLine="60" w:firstLineChars="2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质疑函采用实名制。质疑人为自然人的应当由本人签字，并附有效身份证明文件；质疑人为法人或者非法人组织的应当由法定代表人或者负责人签字并加盖公章，并附有效身份证明文件。</w:t>
      </w:r>
    </w:p>
    <w:p w14:paraId="20D77262">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6</w:t>
      </w:r>
      <w:r>
        <w:rPr>
          <w:rFonts w:hint="eastAsia" w:ascii="微软雅黑" w:hAnsi="微软雅黑" w:eastAsia="微软雅黑" w:cs="微软雅黑"/>
          <w:color w:val="auto"/>
          <w:sz w:val="24"/>
        </w:rPr>
        <w:t>.13  质疑人可以委托代理人进行质疑。代理人应当提交授权委托书。授权委托书应当载明委托代理的具体权限、期限和相关事项。</w:t>
      </w:r>
    </w:p>
    <w:p w14:paraId="6BD94C72">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6</w:t>
      </w:r>
      <w:r>
        <w:rPr>
          <w:rFonts w:hint="eastAsia" w:ascii="微软雅黑" w:hAnsi="微软雅黑" w:eastAsia="微软雅黑" w:cs="微软雅黑"/>
          <w:color w:val="auto"/>
          <w:sz w:val="24"/>
        </w:rPr>
        <w:t>.14  质疑的审查和受理</w:t>
      </w:r>
    </w:p>
    <w:p w14:paraId="64FEF77B">
      <w:pPr>
        <w:spacing w:line="400" w:lineRule="exact"/>
        <w:ind w:left="840" w:leftChars="400"/>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采购方在收到质疑函后应当及时审查是否符合质疑受理条件，对符合质疑受理条件的，及时予以受理。</w:t>
      </w:r>
    </w:p>
    <w:p w14:paraId="770C433C">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6</w:t>
      </w:r>
      <w:r>
        <w:rPr>
          <w:rFonts w:hint="eastAsia" w:ascii="微软雅黑" w:hAnsi="微软雅黑" w:eastAsia="微软雅黑" w:cs="微软雅黑"/>
          <w:color w:val="auto"/>
          <w:sz w:val="24"/>
        </w:rPr>
        <w:t>.15  对不符合质疑受理条件的，分别按照下列不同情形予以处理：</w:t>
      </w:r>
    </w:p>
    <w:p w14:paraId="7BB07694">
      <w:pPr>
        <w:spacing w:line="400" w:lineRule="exact"/>
        <w:ind w:left="898" w:leftChars="342" w:hanging="180" w:hangingChars="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（一）质疑函内容不符合规定的，告知质疑人进行修改并重新提出质疑。修改后质疑事项仍不具体、不明确或者最终递交质疑函的时间超过质疑法定期限的，不予受理；</w:t>
      </w:r>
    </w:p>
    <w:p w14:paraId="7AE4C1F0">
      <w:pPr>
        <w:spacing w:line="400" w:lineRule="exact"/>
        <w:ind w:left="898" w:leftChars="342" w:hanging="180" w:hangingChars="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（二）质疑主体不符合有关规定的，告知质疑人不予受理；</w:t>
      </w:r>
    </w:p>
    <w:p w14:paraId="7FF09ACB">
      <w:pPr>
        <w:spacing w:line="400" w:lineRule="exact"/>
        <w:ind w:left="898" w:leftChars="342" w:hanging="180" w:hangingChars="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（三）超过质疑法定期限提出质疑的，告知质疑人不予受理；</w:t>
      </w:r>
    </w:p>
    <w:p w14:paraId="7A586015">
      <w:pPr>
        <w:spacing w:line="400" w:lineRule="exact"/>
        <w:ind w:left="898" w:leftChars="342" w:hanging="180" w:hangingChars="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（四）对不属于可以提出质疑的政府采购事项提出质疑的，告知质疑人不予受理；</w:t>
      </w:r>
    </w:p>
    <w:p w14:paraId="2B217DCF">
      <w:pPr>
        <w:spacing w:line="400" w:lineRule="exact"/>
        <w:ind w:left="898" w:leftChars="342" w:hanging="180" w:hangingChars="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（五）质疑不属于本项目采购方管辖的，告知质疑人向有管辖权的采购人提出质疑；</w:t>
      </w:r>
    </w:p>
    <w:p w14:paraId="20AE77CF">
      <w:pPr>
        <w:spacing w:line="400" w:lineRule="exact"/>
        <w:ind w:left="898" w:leftChars="342" w:hanging="180" w:hangingChars="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（六）质疑不符合其他条件的，告知质疑人不予受理。</w:t>
      </w:r>
    </w:p>
    <w:p w14:paraId="47C489FE">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6</w:t>
      </w:r>
      <w:r>
        <w:rPr>
          <w:rFonts w:hint="eastAsia" w:ascii="微软雅黑" w:hAnsi="微软雅黑" w:eastAsia="微软雅黑" w:cs="微软雅黑"/>
          <w:color w:val="auto"/>
          <w:sz w:val="24"/>
        </w:rPr>
        <w:t>.16  质疑的处理和答复</w:t>
      </w:r>
    </w:p>
    <w:p w14:paraId="711421E9">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6</w:t>
      </w:r>
      <w:r>
        <w:rPr>
          <w:rFonts w:hint="eastAsia" w:ascii="微软雅黑" w:hAnsi="微软雅黑" w:eastAsia="微软雅黑" w:cs="微软雅黑"/>
          <w:color w:val="auto"/>
          <w:sz w:val="24"/>
        </w:rPr>
        <w:t>.17  采购方受理质疑后，将及时把质疑函发送给被质疑人，并要求其在一定限期内提交书面答复，同时提供有关证据、依据和相关材料。</w:t>
      </w:r>
    </w:p>
    <w:p w14:paraId="40719A41">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6</w:t>
      </w:r>
      <w:r>
        <w:rPr>
          <w:rFonts w:hint="eastAsia" w:ascii="微软雅黑" w:hAnsi="微软雅黑" w:eastAsia="微软雅黑" w:cs="微软雅黑"/>
          <w:color w:val="auto"/>
          <w:sz w:val="24"/>
        </w:rPr>
        <w:t>.18  对于质疑事项中涉及的问题较多、情况比较复杂的，为了全面查清事实、取得充分的证据，采购方认为有必要时，可以进行调查取证或者组织质证。</w:t>
      </w:r>
    </w:p>
    <w:p w14:paraId="4FF05CA8">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6</w:t>
      </w:r>
      <w:r>
        <w:rPr>
          <w:rFonts w:hint="eastAsia" w:ascii="微软雅黑" w:hAnsi="微软雅黑" w:eastAsia="微软雅黑" w:cs="微软雅黑"/>
          <w:color w:val="auto"/>
          <w:sz w:val="24"/>
        </w:rPr>
        <w:t>.19  对评审过程、成交结果提出质疑的，采购方可以组织原磋商小组协助答复质疑。</w:t>
      </w:r>
    </w:p>
    <w:p w14:paraId="3EFBCABC">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6</w:t>
      </w:r>
      <w:r>
        <w:rPr>
          <w:rFonts w:hint="eastAsia" w:ascii="微软雅黑" w:hAnsi="微软雅黑" w:eastAsia="微软雅黑" w:cs="微软雅黑"/>
          <w:color w:val="auto"/>
          <w:sz w:val="24"/>
        </w:rPr>
        <w:t>.20  质疑处理过程中，质疑人书面申请撤回质疑的，将终止质疑处理程序。</w:t>
      </w:r>
    </w:p>
    <w:p w14:paraId="229318C5">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6</w:t>
      </w:r>
      <w:r>
        <w:rPr>
          <w:rFonts w:hint="eastAsia" w:ascii="微软雅黑" w:hAnsi="微软雅黑" w:eastAsia="微软雅黑" w:cs="微软雅黑"/>
          <w:color w:val="auto"/>
          <w:sz w:val="24"/>
        </w:rPr>
        <w:t>.21  质疑人拒绝配合采购方依法对质疑进行调查处理的，采购方将按质疑人自动撤回质疑处理；被质疑人拒绝配合采购方依法对质疑进行调查处理的，采购方将视同其认可质疑事项。</w:t>
      </w:r>
    </w:p>
    <w:p w14:paraId="12A22BB1">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lang w:val="en-US" w:eastAsia="zh-CN"/>
        </w:rPr>
        <w:t>36</w:t>
      </w:r>
      <w:r>
        <w:rPr>
          <w:rFonts w:hint="eastAsia" w:ascii="微软雅黑" w:hAnsi="微软雅黑" w:eastAsia="微软雅黑" w:cs="微软雅黑"/>
          <w:color w:val="auto"/>
          <w:sz w:val="24"/>
        </w:rPr>
        <w:t>.22  质疑人拒绝配合采购方依法对质疑进行调查处理的，采购方将按质疑人自动撤回质疑处理；被质疑人拒绝配合采购方依法对质疑进行调查处理的，采购方将视同其认可质疑事项。</w:t>
      </w:r>
    </w:p>
    <w:p w14:paraId="6370F2C8">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lang w:val="en-US" w:eastAsia="zh-CN"/>
        </w:rPr>
        <w:t>36</w:t>
      </w:r>
      <w:r>
        <w:rPr>
          <w:rFonts w:hint="eastAsia" w:ascii="微软雅黑" w:hAnsi="微软雅黑" w:eastAsia="微软雅黑" w:cs="微软雅黑"/>
          <w:color w:val="auto"/>
          <w:sz w:val="24"/>
        </w:rPr>
        <w:t>.23  采购方将在正式受理质疑后7个工作日内作出答复。</w:t>
      </w:r>
    </w:p>
    <w:p w14:paraId="5BAB04FF">
      <w:pPr>
        <w:pStyle w:val="55"/>
        <w:spacing w:line="400" w:lineRule="exact"/>
        <w:rPr>
          <w:rFonts w:hint="eastAsia" w:ascii="微软雅黑" w:hAnsi="微软雅黑" w:eastAsia="微软雅黑" w:cs="微软雅黑"/>
          <w:color w:val="auto"/>
        </w:rPr>
      </w:pPr>
      <w:r>
        <w:rPr>
          <w:rFonts w:hint="eastAsia" w:ascii="微软雅黑" w:hAnsi="微软雅黑" w:eastAsia="微软雅黑" w:cs="微软雅黑"/>
          <w:color w:val="auto"/>
          <w:lang w:val="en-US" w:eastAsia="zh-CN"/>
        </w:rPr>
        <w:t>36</w:t>
      </w:r>
      <w:r>
        <w:rPr>
          <w:rFonts w:hint="eastAsia" w:ascii="微软雅黑" w:hAnsi="微软雅黑" w:eastAsia="微软雅黑" w:cs="微软雅黑"/>
          <w:color w:val="auto"/>
        </w:rPr>
        <w:t>.24  质疑答复应当包括下列内容：</w:t>
      </w:r>
    </w:p>
    <w:p w14:paraId="51C528DE">
      <w:pPr>
        <w:pStyle w:val="55"/>
        <w:spacing w:line="400" w:lineRule="exact"/>
        <w:ind w:left="840" w:leftChars="400"/>
        <w:rPr>
          <w:rFonts w:hint="eastAsia" w:ascii="微软雅黑" w:hAnsi="微软雅黑" w:eastAsia="微软雅黑" w:cs="微软雅黑"/>
          <w:color w:val="auto"/>
        </w:rPr>
      </w:pPr>
      <w:r>
        <w:rPr>
          <w:rFonts w:hint="eastAsia" w:ascii="微软雅黑" w:hAnsi="微软雅黑" w:eastAsia="微软雅黑" w:cs="微软雅黑"/>
          <w:color w:val="auto"/>
        </w:rPr>
        <w:t>（一）质疑人的姓名或者名称；</w:t>
      </w:r>
    </w:p>
    <w:p w14:paraId="7AB4E230">
      <w:pPr>
        <w:pStyle w:val="55"/>
        <w:spacing w:line="400" w:lineRule="exact"/>
        <w:ind w:left="840" w:leftChars="400"/>
        <w:rPr>
          <w:rFonts w:hint="eastAsia" w:ascii="微软雅黑" w:hAnsi="微软雅黑" w:eastAsia="微软雅黑" w:cs="微软雅黑"/>
          <w:color w:val="auto"/>
        </w:rPr>
      </w:pPr>
      <w:r>
        <w:rPr>
          <w:rFonts w:hint="eastAsia" w:ascii="微软雅黑" w:hAnsi="微软雅黑" w:eastAsia="微软雅黑" w:cs="微软雅黑"/>
          <w:color w:val="auto"/>
        </w:rPr>
        <w:t>（二）收到质疑函的日期、质疑项目名称及编号；</w:t>
      </w:r>
    </w:p>
    <w:p w14:paraId="0DADF42F">
      <w:pPr>
        <w:pStyle w:val="55"/>
        <w:spacing w:line="400" w:lineRule="exact"/>
        <w:ind w:left="840" w:leftChars="400"/>
        <w:rPr>
          <w:rFonts w:hint="eastAsia" w:ascii="微软雅黑" w:hAnsi="微软雅黑" w:eastAsia="微软雅黑" w:cs="微软雅黑"/>
          <w:color w:val="auto"/>
        </w:rPr>
      </w:pPr>
      <w:r>
        <w:rPr>
          <w:rFonts w:hint="eastAsia" w:ascii="微软雅黑" w:hAnsi="微软雅黑" w:eastAsia="微软雅黑" w:cs="微软雅黑"/>
          <w:color w:val="auto"/>
        </w:rPr>
        <w:t>（三）质疑事项、质疑答复的具体内容、事实依据和法律依据；</w:t>
      </w:r>
    </w:p>
    <w:p w14:paraId="3724D295">
      <w:pPr>
        <w:pStyle w:val="55"/>
        <w:spacing w:line="400" w:lineRule="exact"/>
        <w:ind w:left="840" w:leftChars="400"/>
        <w:rPr>
          <w:rFonts w:hint="eastAsia" w:ascii="微软雅黑" w:hAnsi="微软雅黑" w:eastAsia="微软雅黑" w:cs="微软雅黑"/>
          <w:color w:val="auto"/>
        </w:rPr>
      </w:pPr>
      <w:r>
        <w:rPr>
          <w:rFonts w:hint="eastAsia" w:ascii="微软雅黑" w:hAnsi="微软雅黑" w:eastAsia="微软雅黑" w:cs="微软雅黑"/>
          <w:color w:val="auto"/>
        </w:rPr>
        <w:t>（四）告知质疑供应商依法投诉的权利；</w:t>
      </w:r>
    </w:p>
    <w:p w14:paraId="5F7082EF">
      <w:pPr>
        <w:pStyle w:val="55"/>
        <w:spacing w:line="400" w:lineRule="exact"/>
        <w:ind w:left="840" w:leftChars="400"/>
        <w:rPr>
          <w:rFonts w:hint="eastAsia" w:ascii="微软雅黑" w:hAnsi="微软雅黑" w:eastAsia="微软雅黑" w:cs="微软雅黑"/>
          <w:color w:val="auto"/>
        </w:rPr>
      </w:pPr>
      <w:r>
        <w:rPr>
          <w:rFonts w:hint="eastAsia" w:ascii="微软雅黑" w:hAnsi="微软雅黑" w:eastAsia="微软雅黑" w:cs="微软雅黑"/>
          <w:color w:val="auto"/>
        </w:rPr>
        <w:t>（五）质疑答复人名称；</w:t>
      </w:r>
    </w:p>
    <w:p w14:paraId="5F61DD90">
      <w:pPr>
        <w:pStyle w:val="55"/>
        <w:spacing w:line="400" w:lineRule="exact"/>
        <w:ind w:left="840" w:leftChars="400"/>
        <w:rPr>
          <w:rFonts w:hint="eastAsia" w:ascii="微软雅黑" w:hAnsi="微软雅黑" w:eastAsia="微软雅黑" w:cs="微软雅黑"/>
          <w:color w:val="auto"/>
        </w:rPr>
      </w:pPr>
      <w:r>
        <w:rPr>
          <w:rFonts w:hint="eastAsia" w:ascii="微软雅黑" w:hAnsi="微软雅黑" w:eastAsia="微软雅黑" w:cs="微软雅黑"/>
          <w:color w:val="auto"/>
        </w:rPr>
        <w:t>（六）答复质疑的日期。</w:t>
      </w:r>
    </w:p>
    <w:p w14:paraId="41BEB7BA">
      <w:pPr>
        <w:spacing w:line="400" w:lineRule="exact"/>
        <w:jc w:val="center"/>
        <w:rPr>
          <w:rFonts w:hint="eastAsia" w:ascii="微软雅黑" w:hAnsi="微软雅黑" w:eastAsia="微软雅黑" w:cs="微软雅黑"/>
          <w:b/>
          <w:bCs/>
          <w:color w:val="auto"/>
          <w:sz w:val="24"/>
        </w:rPr>
      </w:pPr>
    </w:p>
    <w:p w14:paraId="63B3944F">
      <w:pPr>
        <w:spacing w:line="400" w:lineRule="exact"/>
        <w:outlineLvl w:val="2"/>
        <w:rPr>
          <w:rFonts w:hint="eastAsia" w:ascii="微软雅黑" w:hAnsi="微软雅黑" w:eastAsia="微软雅黑" w:cs="微软雅黑"/>
          <w:b/>
          <w:bCs/>
          <w:color w:val="auto"/>
          <w:sz w:val="24"/>
        </w:rPr>
      </w:pPr>
      <w:bookmarkStart w:id="396" w:name="_Toc6556"/>
      <w:bookmarkStart w:id="397" w:name="_Toc2677"/>
      <w:bookmarkStart w:id="398" w:name="_Toc16497"/>
      <w:bookmarkStart w:id="399" w:name="_Toc15587"/>
      <w:bookmarkStart w:id="400" w:name="_Toc1108"/>
      <w:r>
        <w:rPr>
          <w:rFonts w:hint="eastAsia" w:ascii="微软雅黑" w:hAnsi="微软雅黑" w:eastAsia="微软雅黑" w:cs="微软雅黑"/>
          <w:b/>
          <w:bCs/>
          <w:color w:val="auto"/>
          <w:sz w:val="24"/>
        </w:rPr>
        <w:t>质疑函范本</w:t>
      </w:r>
      <w:bookmarkEnd w:id="396"/>
      <w:bookmarkEnd w:id="397"/>
      <w:bookmarkEnd w:id="398"/>
      <w:bookmarkEnd w:id="399"/>
      <w:bookmarkEnd w:id="400"/>
    </w:p>
    <w:p w14:paraId="35414241">
      <w:pPr>
        <w:adjustRightInd w:val="0"/>
        <w:snapToGrid w:val="0"/>
        <w:spacing w:before="312" w:beforeLines="100" w:line="400" w:lineRule="exact"/>
        <w:rPr>
          <w:rFonts w:hint="eastAsia" w:ascii="微软雅黑" w:hAnsi="微软雅黑" w:eastAsia="微软雅黑" w:cs="微软雅黑"/>
          <w:bCs/>
          <w:color w:val="auto"/>
          <w:sz w:val="24"/>
        </w:rPr>
      </w:pPr>
      <w:r>
        <w:rPr>
          <w:rFonts w:hint="eastAsia" w:ascii="微软雅黑" w:hAnsi="微软雅黑" w:eastAsia="微软雅黑" w:cs="微软雅黑"/>
          <w:bCs/>
          <w:color w:val="auto"/>
          <w:sz w:val="24"/>
        </w:rPr>
        <w:t>一、质疑供应商基本信息</w:t>
      </w:r>
    </w:p>
    <w:p w14:paraId="5E4F2A7A">
      <w:pPr>
        <w:adjustRightInd w:val="0"/>
        <w:snapToGrid w:val="0"/>
        <w:spacing w:line="400" w:lineRule="exact"/>
        <w:rPr>
          <w:rFonts w:hint="eastAsia" w:ascii="微软雅黑" w:hAnsi="微软雅黑" w:eastAsia="微软雅黑" w:cs="微软雅黑"/>
          <w:color w:val="auto"/>
          <w:sz w:val="24"/>
          <w:u w:val="dotted"/>
        </w:rPr>
      </w:pPr>
      <w:r>
        <w:rPr>
          <w:rFonts w:hint="eastAsia" w:ascii="微软雅黑" w:hAnsi="微软雅黑" w:eastAsia="微软雅黑" w:cs="微软雅黑"/>
          <w:color w:val="auto"/>
          <w:sz w:val="24"/>
        </w:rPr>
        <w:t>质疑供应商：</w:t>
      </w:r>
      <w:r>
        <w:rPr>
          <w:rFonts w:hint="eastAsia" w:ascii="微软雅黑" w:hAnsi="微软雅黑" w:eastAsia="微软雅黑" w:cs="微软雅黑"/>
          <w:color w:val="auto"/>
          <w:sz w:val="24"/>
          <w:u w:val="dotted"/>
        </w:rPr>
        <w:t xml:space="preserve">                                        </w:t>
      </w:r>
    </w:p>
    <w:p w14:paraId="371E22B3">
      <w:pPr>
        <w:adjustRightInd w:val="0"/>
        <w:snapToGrid w:val="0"/>
        <w:spacing w:line="400" w:lineRule="exac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地址：</w:t>
      </w:r>
      <w:r>
        <w:rPr>
          <w:rFonts w:hint="eastAsia" w:ascii="微软雅黑" w:hAnsi="微软雅黑" w:eastAsia="微软雅黑" w:cs="微软雅黑"/>
          <w:color w:val="auto"/>
          <w:sz w:val="24"/>
          <w:u w:val="dotted"/>
        </w:rPr>
        <w:t xml:space="preserve">                          </w:t>
      </w:r>
      <w:r>
        <w:rPr>
          <w:rFonts w:hint="eastAsia" w:ascii="微软雅黑" w:hAnsi="微软雅黑" w:eastAsia="微软雅黑" w:cs="微软雅黑"/>
          <w:color w:val="auto"/>
          <w:sz w:val="24"/>
        </w:rPr>
        <w:t>邮编：</w:t>
      </w:r>
      <w:r>
        <w:rPr>
          <w:rFonts w:hint="eastAsia" w:ascii="微软雅黑" w:hAnsi="微软雅黑" w:eastAsia="微软雅黑" w:cs="微软雅黑"/>
          <w:color w:val="auto"/>
          <w:sz w:val="24"/>
          <w:u w:val="dotted"/>
        </w:rPr>
        <w:t xml:space="preserve">                                                   </w:t>
      </w:r>
    </w:p>
    <w:p w14:paraId="1FBD83E9">
      <w:pPr>
        <w:adjustRightInd w:val="0"/>
        <w:snapToGrid w:val="0"/>
        <w:spacing w:line="400" w:lineRule="exac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联系人：</w:t>
      </w:r>
      <w:r>
        <w:rPr>
          <w:rFonts w:hint="eastAsia" w:ascii="微软雅黑" w:hAnsi="微软雅黑" w:eastAsia="微软雅黑" w:cs="微软雅黑"/>
          <w:color w:val="auto"/>
          <w:sz w:val="24"/>
          <w:u w:val="dotted"/>
        </w:rPr>
        <w:t xml:space="preserve">                      </w:t>
      </w:r>
      <w:r>
        <w:rPr>
          <w:rFonts w:hint="eastAsia" w:ascii="微软雅黑" w:hAnsi="微软雅黑" w:eastAsia="微软雅黑" w:cs="微软雅黑"/>
          <w:color w:val="auto"/>
          <w:sz w:val="24"/>
        </w:rPr>
        <w:t>联系电话：</w:t>
      </w:r>
      <w:r>
        <w:rPr>
          <w:rFonts w:hint="eastAsia" w:ascii="微软雅黑" w:hAnsi="微软雅黑" w:eastAsia="微软雅黑" w:cs="微软雅黑"/>
          <w:color w:val="auto"/>
          <w:sz w:val="24"/>
          <w:u w:val="dotted"/>
        </w:rPr>
        <w:t xml:space="preserve">                              </w:t>
      </w:r>
    </w:p>
    <w:p w14:paraId="4920785E">
      <w:pPr>
        <w:adjustRightInd w:val="0"/>
        <w:snapToGrid w:val="0"/>
        <w:spacing w:line="400" w:lineRule="exact"/>
        <w:rPr>
          <w:rFonts w:hint="eastAsia" w:ascii="微软雅黑" w:hAnsi="微软雅黑" w:eastAsia="微软雅黑" w:cs="微软雅黑"/>
          <w:color w:val="auto"/>
          <w:sz w:val="24"/>
          <w:u w:val="dotted"/>
        </w:rPr>
      </w:pPr>
      <w:r>
        <w:rPr>
          <w:rFonts w:hint="eastAsia" w:ascii="微软雅黑" w:hAnsi="微软雅黑" w:eastAsia="微软雅黑" w:cs="微软雅黑"/>
          <w:color w:val="auto"/>
          <w:sz w:val="24"/>
        </w:rPr>
        <w:t>授权代表：</w:t>
      </w:r>
      <w:r>
        <w:rPr>
          <w:rFonts w:hint="eastAsia" w:ascii="微软雅黑" w:hAnsi="微软雅黑" w:eastAsia="微软雅黑" w:cs="微软雅黑"/>
          <w:color w:val="auto"/>
          <w:sz w:val="24"/>
          <w:u w:val="dotted"/>
        </w:rPr>
        <w:t xml:space="preserve">                                          </w:t>
      </w:r>
    </w:p>
    <w:p w14:paraId="1985D479">
      <w:pPr>
        <w:adjustRightInd w:val="0"/>
        <w:snapToGrid w:val="0"/>
        <w:spacing w:line="400" w:lineRule="exac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联系电话：</w:t>
      </w:r>
      <w:r>
        <w:rPr>
          <w:rFonts w:hint="eastAsia" w:ascii="微软雅黑" w:hAnsi="微软雅黑" w:eastAsia="微软雅黑" w:cs="微软雅黑"/>
          <w:color w:val="auto"/>
          <w:sz w:val="24"/>
          <w:u w:val="dotted"/>
        </w:rPr>
        <w:t xml:space="preserve">                                           </w:t>
      </w:r>
      <w:r>
        <w:rPr>
          <w:rFonts w:hint="eastAsia" w:ascii="微软雅黑" w:hAnsi="微软雅黑" w:eastAsia="微软雅黑" w:cs="微软雅黑"/>
          <w:color w:val="auto"/>
          <w:sz w:val="24"/>
        </w:rPr>
        <w:t xml:space="preserve"> </w:t>
      </w:r>
    </w:p>
    <w:p w14:paraId="0A8C2DAC">
      <w:pPr>
        <w:adjustRightInd w:val="0"/>
        <w:snapToGrid w:val="0"/>
        <w:spacing w:line="400" w:lineRule="exac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xml:space="preserve">地址： </w:t>
      </w:r>
      <w:r>
        <w:rPr>
          <w:rFonts w:hint="eastAsia" w:ascii="微软雅黑" w:hAnsi="微软雅黑" w:eastAsia="微软雅黑" w:cs="微软雅黑"/>
          <w:color w:val="auto"/>
          <w:sz w:val="24"/>
          <w:u w:val="dotted"/>
        </w:rPr>
        <w:t xml:space="preserve">                        </w:t>
      </w:r>
      <w:r>
        <w:rPr>
          <w:rFonts w:hint="eastAsia" w:ascii="微软雅黑" w:hAnsi="微软雅黑" w:eastAsia="微软雅黑" w:cs="微软雅黑"/>
          <w:color w:val="auto"/>
          <w:sz w:val="24"/>
        </w:rPr>
        <w:t>邮编：</w:t>
      </w:r>
      <w:r>
        <w:rPr>
          <w:rFonts w:hint="eastAsia" w:ascii="微软雅黑" w:hAnsi="微软雅黑" w:eastAsia="微软雅黑" w:cs="微软雅黑"/>
          <w:color w:val="auto"/>
          <w:sz w:val="24"/>
          <w:u w:val="dotted"/>
        </w:rPr>
        <w:t xml:space="preserve">                                                </w:t>
      </w:r>
    </w:p>
    <w:p w14:paraId="6DC3501A">
      <w:pPr>
        <w:adjustRightInd w:val="0"/>
        <w:snapToGrid w:val="0"/>
        <w:spacing w:before="312" w:beforeLines="100" w:line="400" w:lineRule="exact"/>
        <w:rPr>
          <w:rFonts w:hint="eastAsia" w:ascii="微软雅黑" w:hAnsi="微软雅黑" w:eastAsia="微软雅黑" w:cs="微软雅黑"/>
          <w:bCs/>
          <w:color w:val="auto"/>
          <w:sz w:val="24"/>
        </w:rPr>
      </w:pPr>
      <w:r>
        <w:rPr>
          <w:rFonts w:hint="eastAsia" w:ascii="微软雅黑" w:hAnsi="微软雅黑" w:eastAsia="微软雅黑" w:cs="微软雅黑"/>
          <w:bCs/>
          <w:color w:val="auto"/>
          <w:sz w:val="24"/>
        </w:rPr>
        <w:t>二、质疑项目基本情况</w:t>
      </w:r>
    </w:p>
    <w:p w14:paraId="52B003FF">
      <w:pPr>
        <w:adjustRightInd w:val="0"/>
        <w:snapToGrid w:val="0"/>
        <w:spacing w:line="400" w:lineRule="exac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质疑项目的名称：</w:t>
      </w:r>
      <w:r>
        <w:rPr>
          <w:rFonts w:hint="eastAsia" w:ascii="微软雅黑" w:hAnsi="微软雅黑" w:eastAsia="微软雅黑" w:cs="微软雅黑"/>
          <w:color w:val="auto"/>
          <w:sz w:val="24"/>
          <w:u w:val="dotted"/>
        </w:rPr>
        <w:t xml:space="preserve">                                      </w:t>
      </w:r>
    </w:p>
    <w:p w14:paraId="1B6F87B5">
      <w:pPr>
        <w:adjustRightInd w:val="0"/>
        <w:snapToGrid w:val="0"/>
        <w:spacing w:line="400" w:lineRule="exac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质疑</w:t>
      </w:r>
      <w:r>
        <w:rPr>
          <w:rFonts w:hint="eastAsia" w:ascii="微软雅黑" w:hAnsi="微软雅黑" w:eastAsia="微软雅黑" w:cs="微软雅黑"/>
          <w:color w:val="auto"/>
          <w:sz w:val="24"/>
          <w:highlight w:val="none"/>
        </w:rPr>
        <w:t>项目的编号</w:t>
      </w:r>
      <w:r>
        <w:rPr>
          <w:rFonts w:hint="eastAsia" w:ascii="微软雅黑" w:hAnsi="微软雅黑" w:eastAsia="微软雅黑" w:cs="微软雅黑"/>
          <w:color w:val="auto"/>
          <w:sz w:val="24"/>
        </w:rPr>
        <w:t>：</w:t>
      </w:r>
      <w:r>
        <w:rPr>
          <w:rFonts w:hint="eastAsia" w:ascii="微软雅黑" w:hAnsi="微软雅黑" w:eastAsia="微软雅黑" w:cs="微软雅黑"/>
          <w:color w:val="auto"/>
          <w:sz w:val="24"/>
          <w:u w:val="dotted"/>
        </w:rPr>
        <w:t xml:space="preserve">               </w:t>
      </w:r>
      <w:r>
        <w:rPr>
          <w:rFonts w:hint="eastAsia" w:ascii="微软雅黑" w:hAnsi="微软雅黑" w:eastAsia="微软雅黑" w:cs="微软雅黑"/>
          <w:color w:val="auto"/>
          <w:sz w:val="24"/>
        </w:rPr>
        <w:t>包号</w:t>
      </w:r>
      <w:r>
        <w:rPr>
          <w:rFonts w:hint="eastAsia" w:ascii="微软雅黑" w:hAnsi="微软雅黑" w:eastAsia="微软雅黑" w:cs="微软雅黑"/>
          <w:color w:val="auto"/>
          <w:sz w:val="24"/>
          <w:lang w:eastAsia="zh-CN"/>
        </w:rPr>
        <w:t>（如有）</w:t>
      </w:r>
      <w:r>
        <w:rPr>
          <w:rFonts w:hint="eastAsia" w:ascii="微软雅黑" w:hAnsi="微软雅黑" w:eastAsia="微软雅黑" w:cs="微软雅黑"/>
          <w:color w:val="auto"/>
          <w:sz w:val="24"/>
        </w:rPr>
        <w:t>：</w:t>
      </w:r>
      <w:r>
        <w:rPr>
          <w:rFonts w:hint="eastAsia" w:ascii="微软雅黑" w:hAnsi="微软雅黑" w:eastAsia="微软雅黑" w:cs="微软雅黑"/>
          <w:color w:val="auto"/>
          <w:sz w:val="24"/>
          <w:u w:val="dotted"/>
        </w:rPr>
        <w:t xml:space="preserve">                 </w:t>
      </w:r>
    </w:p>
    <w:p w14:paraId="22F3EFC2">
      <w:pPr>
        <w:adjustRightInd w:val="0"/>
        <w:snapToGrid w:val="0"/>
        <w:spacing w:line="400" w:lineRule="exact"/>
        <w:rPr>
          <w:rFonts w:hint="eastAsia" w:ascii="微软雅黑" w:hAnsi="微软雅黑" w:eastAsia="微软雅黑" w:cs="微软雅黑"/>
          <w:color w:val="auto"/>
          <w:sz w:val="24"/>
          <w:u w:val="dotted"/>
        </w:rPr>
      </w:pPr>
      <w:r>
        <w:rPr>
          <w:rFonts w:hint="eastAsia" w:ascii="微软雅黑" w:hAnsi="微软雅黑" w:eastAsia="微软雅黑" w:cs="微软雅黑"/>
          <w:color w:val="auto"/>
          <w:sz w:val="24"/>
        </w:rPr>
        <w:t>采购人名称：</w:t>
      </w:r>
      <w:r>
        <w:rPr>
          <w:rFonts w:hint="eastAsia" w:ascii="微软雅黑" w:hAnsi="微软雅黑" w:eastAsia="微软雅黑" w:cs="微软雅黑"/>
          <w:color w:val="auto"/>
          <w:sz w:val="24"/>
          <w:u w:val="dotted"/>
        </w:rPr>
        <w:t xml:space="preserve">                                         </w:t>
      </w:r>
    </w:p>
    <w:p w14:paraId="0847DA6D">
      <w:pPr>
        <w:adjustRightInd w:val="0"/>
        <w:snapToGrid w:val="0"/>
        <w:spacing w:line="400" w:lineRule="exac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采购文件获取日期：</w:t>
      </w:r>
      <w:r>
        <w:rPr>
          <w:rFonts w:hint="eastAsia" w:ascii="微软雅黑" w:hAnsi="微软雅黑" w:eastAsia="微软雅黑" w:cs="微软雅黑"/>
          <w:color w:val="auto"/>
          <w:sz w:val="24"/>
          <w:u w:val="dotted"/>
        </w:rPr>
        <w:t xml:space="preserve">                                           </w:t>
      </w:r>
    </w:p>
    <w:p w14:paraId="666236B7">
      <w:pPr>
        <w:adjustRightInd w:val="0"/>
        <w:snapToGrid w:val="0"/>
        <w:spacing w:before="312" w:beforeLines="100" w:line="400" w:lineRule="exact"/>
        <w:rPr>
          <w:rFonts w:hint="eastAsia" w:ascii="微软雅黑" w:hAnsi="微软雅黑" w:eastAsia="微软雅黑" w:cs="微软雅黑"/>
          <w:bCs/>
          <w:color w:val="auto"/>
          <w:sz w:val="24"/>
        </w:rPr>
      </w:pPr>
      <w:r>
        <w:rPr>
          <w:rFonts w:hint="eastAsia" w:ascii="微软雅黑" w:hAnsi="微软雅黑" w:eastAsia="微软雅黑" w:cs="微软雅黑"/>
          <w:bCs/>
          <w:color w:val="auto"/>
          <w:sz w:val="24"/>
        </w:rPr>
        <w:t>三、质疑事项具体内容</w:t>
      </w:r>
    </w:p>
    <w:p w14:paraId="66B660AC">
      <w:pPr>
        <w:adjustRightInd w:val="0"/>
        <w:snapToGrid w:val="0"/>
        <w:spacing w:line="400" w:lineRule="exact"/>
        <w:rPr>
          <w:rFonts w:hint="eastAsia" w:ascii="微软雅黑" w:hAnsi="微软雅黑" w:eastAsia="微软雅黑" w:cs="微软雅黑"/>
          <w:color w:val="auto"/>
          <w:sz w:val="24"/>
          <w:u w:val="dotted"/>
        </w:rPr>
      </w:pPr>
      <w:r>
        <w:rPr>
          <w:rFonts w:hint="eastAsia" w:ascii="微软雅黑" w:hAnsi="微软雅黑" w:eastAsia="微软雅黑" w:cs="微软雅黑"/>
          <w:color w:val="auto"/>
          <w:sz w:val="24"/>
        </w:rPr>
        <w:t>质疑事项1：</w:t>
      </w:r>
      <w:r>
        <w:rPr>
          <w:rFonts w:hint="eastAsia" w:ascii="微软雅黑" w:hAnsi="微软雅黑" w:eastAsia="微软雅黑" w:cs="微软雅黑"/>
          <w:color w:val="auto"/>
          <w:sz w:val="24"/>
          <w:u w:val="dotted"/>
        </w:rPr>
        <w:t xml:space="preserve">                                         </w:t>
      </w:r>
    </w:p>
    <w:p w14:paraId="6A3D02DB">
      <w:pPr>
        <w:adjustRightInd w:val="0"/>
        <w:snapToGrid w:val="0"/>
        <w:spacing w:line="400" w:lineRule="exact"/>
        <w:rPr>
          <w:rFonts w:hint="eastAsia" w:ascii="微软雅黑" w:hAnsi="微软雅黑" w:eastAsia="微软雅黑" w:cs="微软雅黑"/>
          <w:color w:val="auto"/>
          <w:sz w:val="24"/>
          <w:u w:val="dotted"/>
        </w:rPr>
      </w:pPr>
      <w:r>
        <w:rPr>
          <w:rFonts w:hint="eastAsia" w:ascii="微软雅黑" w:hAnsi="微软雅黑" w:eastAsia="微软雅黑" w:cs="微软雅黑"/>
          <w:color w:val="auto"/>
          <w:sz w:val="24"/>
        </w:rPr>
        <w:t>事实依据：</w:t>
      </w:r>
      <w:r>
        <w:rPr>
          <w:rFonts w:hint="eastAsia" w:ascii="微软雅黑" w:hAnsi="微软雅黑" w:eastAsia="微软雅黑" w:cs="微软雅黑"/>
          <w:color w:val="auto"/>
          <w:sz w:val="24"/>
          <w:u w:val="dotted"/>
        </w:rPr>
        <w:t xml:space="preserve">                                          </w:t>
      </w:r>
    </w:p>
    <w:p w14:paraId="56A3B468">
      <w:pPr>
        <w:adjustRightInd w:val="0"/>
        <w:snapToGrid w:val="0"/>
        <w:spacing w:line="400" w:lineRule="exact"/>
        <w:rPr>
          <w:rFonts w:hint="eastAsia" w:ascii="微软雅黑" w:hAnsi="微软雅黑" w:eastAsia="微软雅黑" w:cs="微软雅黑"/>
          <w:color w:val="auto"/>
          <w:sz w:val="24"/>
        </w:rPr>
      </w:pPr>
      <w:r>
        <w:rPr>
          <w:rFonts w:hint="eastAsia" w:ascii="微软雅黑" w:hAnsi="微软雅黑" w:eastAsia="微软雅黑" w:cs="微软雅黑"/>
          <w:color w:val="auto"/>
          <w:sz w:val="24"/>
          <w:u w:val="dotted"/>
        </w:rPr>
        <w:t xml:space="preserve">                                                       </w:t>
      </w:r>
    </w:p>
    <w:p w14:paraId="1B0B52D2">
      <w:pPr>
        <w:adjustRightInd w:val="0"/>
        <w:snapToGrid w:val="0"/>
        <w:spacing w:line="400" w:lineRule="exact"/>
        <w:rPr>
          <w:rFonts w:hint="eastAsia" w:ascii="微软雅黑" w:hAnsi="微软雅黑" w:eastAsia="微软雅黑" w:cs="微软雅黑"/>
          <w:color w:val="auto"/>
          <w:sz w:val="24"/>
          <w:u w:val="dotted"/>
        </w:rPr>
      </w:pPr>
      <w:r>
        <w:rPr>
          <w:rFonts w:hint="eastAsia" w:ascii="微软雅黑" w:hAnsi="微软雅黑" w:eastAsia="微软雅黑" w:cs="微软雅黑"/>
          <w:color w:val="auto"/>
          <w:sz w:val="24"/>
        </w:rPr>
        <w:t>法律依据：</w:t>
      </w:r>
      <w:r>
        <w:rPr>
          <w:rFonts w:hint="eastAsia" w:ascii="微软雅黑" w:hAnsi="微软雅黑" w:eastAsia="微软雅黑" w:cs="微软雅黑"/>
          <w:color w:val="auto"/>
          <w:sz w:val="24"/>
          <w:u w:val="dotted"/>
        </w:rPr>
        <w:t xml:space="preserve">                                          </w:t>
      </w:r>
    </w:p>
    <w:p w14:paraId="0B0A3577">
      <w:pPr>
        <w:adjustRightInd w:val="0"/>
        <w:snapToGrid w:val="0"/>
        <w:spacing w:line="400" w:lineRule="exact"/>
        <w:rPr>
          <w:rFonts w:hint="eastAsia" w:ascii="微软雅黑" w:hAnsi="微软雅黑" w:eastAsia="微软雅黑" w:cs="微软雅黑"/>
          <w:color w:val="auto"/>
          <w:sz w:val="24"/>
          <w:u w:val="dotted"/>
        </w:rPr>
      </w:pPr>
      <w:r>
        <w:rPr>
          <w:rFonts w:hint="eastAsia" w:ascii="微软雅黑" w:hAnsi="微软雅黑" w:eastAsia="微软雅黑" w:cs="微软雅黑"/>
          <w:color w:val="auto"/>
          <w:sz w:val="24"/>
          <w:u w:val="dotted"/>
        </w:rPr>
        <w:t xml:space="preserve">                                                     </w:t>
      </w:r>
    </w:p>
    <w:p w14:paraId="4CA4AFFB">
      <w:pPr>
        <w:adjustRightInd w:val="0"/>
        <w:snapToGrid w:val="0"/>
        <w:spacing w:line="400" w:lineRule="exact"/>
        <w:rPr>
          <w:rFonts w:hint="eastAsia" w:ascii="微软雅黑" w:hAnsi="微软雅黑" w:eastAsia="微软雅黑" w:cs="微软雅黑"/>
          <w:color w:val="auto"/>
          <w:sz w:val="24"/>
          <w:u w:val="dotted"/>
        </w:rPr>
      </w:pPr>
      <w:r>
        <w:rPr>
          <w:rFonts w:hint="eastAsia" w:ascii="微软雅黑" w:hAnsi="微软雅黑" w:eastAsia="微软雅黑" w:cs="微软雅黑"/>
          <w:color w:val="auto"/>
          <w:sz w:val="24"/>
        </w:rPr>
        <w:t>质疑事项2</w:t>
      </w:r>
    </w:p>
    <w:p w14:paraId="0248CBA1">
      <w:pPr>
        <w:adjustRightInd w:val="0"/>
        <w:snapToGrid w:val="0"/>
        <w:spacing w:line="400" w:lineRule="exac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w:t>
      </w:r>
    </w:p>
    <w:p w14:paraId="2B4664E1">
      <w:pPr>
        <w:adjustRightInd w:val="0"/>
        <w:snapToGrid w:val="0"/>
        <w:spacing w:before="312" w:beforeLines="100" w:line="400" w:lineRule="exact"/>
        <w:rPr>
          <w:rFonts w:hint="eastAsia" w:ascii="微软雅黑" w:hAnsi="微软雅黑" w:eastAsia="微软雅黑" w:cs="微软雅黑"/>
          <w:bCs/>
          <w:color w:val="auto"/>
          <w:sz w:val="24"/>
        </w:rPr>
      </w:pPr>
      <w:r>
        <w:rPr>
          <w:rFonts w:hint="eastAsia" w:ascii="微软雅黑" w:hAnsi="微软雅黑" w:eastAsia="微软雅黑" w:cs="微软雅黑"/>
          <w:bCs/>
          <w:color w:val="auto"/>
          <w:sz w:val="24"/>
        </w:rPr>
        <w:t>四、与质疑事项相关的质疑请求</w:t>
      </w:r>
    </w:p>
    <w:p w14:paraId="2EA92225">
      <w:pPr>
        <w:adjustRightInd w:val="0"/>
        <w:snapToGrid w:val="0"/>
        <w:spacing w:line="400" w:lineRule="exact"/>
        <w:rPr>
          <w:rFonts w:hint="eastAsia" w:ascii="微软雅黑" w:hAnsi="微软雅黑" w:eastAsia="微软雅黑" w:cs="微软雅黑"/>
          <w:color w:val="auto"/>
          <w:sz w:val="24"/>
          <w:u w:val="dotted"/>
        </w:rPr>
      </w:pPr>
      <w:r>
        <w:rPr>
          <w:rFonts w:hint="eastAsia" w:ascii="微软雅黑" w:hAnsi="微软雅黑" w:eastAsia="微软雅黑" w:cs="微软雅黑"/>
          <w:color w:val="auto"/>
          <w:sz w:val="24"/>
        </w:rPr>
        <w:t>请求：</w:t>
      </w:r>
      <w:r>
        <w:rPr>
          <w:rFonts w:hint="eastAsia" w:ascii="微软雅黑" w:hAnsi="微软雅黑" w:eastAsia="微软雅黑" w:cs="微软雅黑"/>
          <w:color w:val="auto"/>
          <w:sz w:val="24"/>
          <w:u w:val="dotted"/>
        </w:rPr>
        <w:t xml:space="preserve">                                               </w:t>
      </w:r>
    </w:p>
    <w:p w14:paraId="18A07509">
      <w:pPr>
        <w:spacing w:line="400" w:lineRule="exac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xml:space="preserve">签字(签章)：                   公章：                      </w:t>
      </w:r>
    </w:p>
    <w:p w14:paraId="1DF1E025">
      <w:pPr>
        <w:spacing w:line="400" w:lineRule="exac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xml:space="preserve">日期：    </w:t>
      </w:r>
    </w:p>
    <w:p w14:paraId="5A1CC663">
      <w:pPr>
        <w:spacing w:line="400" w:lineRule="exact"/>
        <w:rPr>
          <w:rFonts w:hint="eastAsia" w:ascii="微软雅黑" w:hAnsi="微软雅黑" w:eastAsia="微软雅黑" w:cs="微软雅黑"/>
          <w:b/>
          <w:color w:val="auto"/>
          <w:sz w:val="24"/>
        </w:rPr>
      </w:pPr>
    </w:p>
    <w:p w14:paraId="624B3540">
      <w:pPr>
        <w:spacing w:line="400" w:lineRule="exact"/>
        <w:rPr>
          <w:rFonts w:hint="eastAsia" w:ascii="微软雅黑" w:hAnsi="微软雅黑" w:eastAsia="微软雅黑" w:cs="微软雅黑"/>
          <w:b/>
          <w:color w:val="auto"/>
          <w:sz w:val="24"/>
        </w:rPr>
      </w:pPr>
      <w:r>
        <w:rPr>
          <w:rFonts w:hint="eastAsia" w:ascii="微软雅黑" w:hAnsi="微软雅黑" w:eastAsia="微软雅黑" w:cs="微软雅黑"/>
          <w:b/>
          <w:color w:val="auto"/>
          <w:sz w:val="24"/>
        </w:rPr>
        <w:t>质疑函制作说明：</w:t>
      </w:r>
    </w:p>
    <w:p w14:paraId="3ABAB362">
      <w:pPr>
        <w:widowControl/>
        <w:spacing w:line="400" w:lineRule="exact"/>
        <w:ind w:firstLine="480" w:firstLineChars="200"/>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1.供应商提出质疑时，应提交质疑函和必要的证明材料。</w:t>
      </w:r>
    </w:p>
    <w:p w14:paraId="7CDAA3D6">
      <w:pPr>
        <w:widowControl/>
        <w:spacing w:line="400" w:lineRule="exact"/>
        <w:ind w:firstLine="480" w:firstLineChars="200"/>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2.质疑供应商若委托代理人进行质疑的，质疑函应按要求列明“授权代表”的有关内容，并在附件中提交由质疑</w:t>
      </w:r>
      <w:r>
        <w:rPr>
          <w:rFonts w:hint="eastAsia" w:ascii="微软雅黑" w:hAnsi="微软雅黑" w:eastAsia="微软雅黑" w:cs="微软雅黑"/>
          <w:color w:val="auto"/>
          <w:kern w:val="0"/>
          <w:sz w:val="24"/>
        </w:rPr>
        <w:t>供应商签署的授权委托书。授权委托书应载明代理人的姓名或者名称、代理事项、具体权限、期限和相关事项。</w:t>
      </w:r>
    </w:p>
    <w:p w14:paraId="73E0FB6A">
      <w:pPr>
        <w:widowControl/>
        <w:spacing w:line="400" w:lineRule="exact"/>
        <w:ind w:firstLine="480" w:firstLineChars="200"/>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3.质疑供应商若对项目的某一分包进行质疑，质疑函中应列明具体分包号。</w:t>
      </w:r>
    </w:p>
    <w:p w14:paraId="3CEBC66D">
      <w:pPr>
        <w:widowControl/>
        <w:spacing w:line="400" w:lineRule="exact"/>
        <w:ind w:firstLine="480" w:firstLineChars="200"/>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4.质疑函的质疑事项应具体、明确，并有必要的事实依据和法律依据。</w:t>
      </w:r>
    </w:p>
    <w:p w14:paraId="573A5D98">
      <w:pPr>
        <w:widowControl/>
        <w:spacing w:line="400" w:lineRule="exact"/>
        <w:ind w:firstLine="480" w:firstLineChars="200"/>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5.质疑函的质疑请求应与质疑事项相关。</w:t>
      </w:r>
    </w:p>
    <w:p w14:paraId="190F413A">
      <w:pPr>
        <w:pStyle w:val="7"/>
        <w:rPr>
          <w:rFonts w:hint="eastAsia" w:ascii="微软雅黑" w:hAnsi="微软雅黑" w:eastAsia="微软雅黑" w:cs="微软雅黑"/>
          <w:color w:val="auto"/>
        </w:rPr>
      </w:pPr>
      <w:r>
        <w:rPr>
          <w:rFonts w:hint="eastAsia" w:ascii="微软雅黑" w:hAnsi="微软雅黑" w:eastAsia="微软雅黑" w:cs="微软雅黑"/>
          <w:color w:val="auto"/>
          <w:sz w:val="24"/>
        </w:rPr>
        <w:t>6.质疑供应商为自然人的，质疑函应由本人签字；质疑供应商为法人或者其他组织的，质疑函应由法定代表人、主要负责人，或者其授权代表签字或者盖章，并加盖公章。</w:t>
      </w:r>
    </w:p>
    <w:p w14:paraId="6DB0464F">
      <w:pPr>
        <w:pStyle w:val="9"/>
        <w:outlineLvl w:val="9"/>
        <w:rPr>
          <w:rFonts w:hint="eastAsia" w:ascii="微软雅黑" w:hAnsi="微软雅黑" w:eastAsia="微软雅黑" w:cs="微软雅黑"/>
          <w:color w:val="auto"/>
        </w:rPr>
      </w:pPr>
    </w:p>
    <w:p w14:paraId="4DD80592">
      <w:pPr>
        <w:rPr>
          <w:rFonts w:ascii="微软雅黑" w:hAnsi="微软雅黑" w:eastAsia="微软雅黑" w:cs="微软雅黑"/>
          <w:color w:val="auto"/>
        </w:rPr>
      </w:pPr>
    </w:p>
    <w:p w14:paraId="51B9940D">
      <w:pPr>
        <w:pStyle w:val="3"/>
        <w:numPr>
          <w:ilvl w:val="0"/>
          <w:numId w:val="6"/>
        </w:numPr>
        <w:snapToGrid w:val="0"/>
        <w:spacing w:before="0" w:after="0" w:line="240" w:lineRule="atLeast"/>
        <w:textAlignment w:val="baseline"/>
        <w:rPr>
          <w:rFonts w:hint="eastAsia" w:ascii="微软雅黑" w:hAnsi="微软雅黑" w:eastAsia="微软雅黑" w:cs="微软雅黑"/>
          <w:color w:val="auto"/>
          <w:sz w:val="24"/>
          <w:szCs w:val="24"/>
        </w:rPr>
      </w:pPr>
      <w:bookmarkStart w:id="401" w:name="_Toc216582812"/>
      <w:bookmarkStart w:id="402" w:name="_Toc728"/>
      <w:bookmarkStart w:id="403" w:name="_Toc15232"/>
      <w:bookmarkStart w:id="404" w:name="_Toc702"/>
      <w:bookmarkStart w:id="405" w:name="_Toc515647802"/>
      <w:r>
        <w:rPr>
          <w:rFonts w:hint="eastAsia" w:ascii="微软雅黑" w:hAnsi="微软雅黑" w:eastAsia="微软雅黑" w:cs="微软雅黑"/>
          <w:color w:val="auto"/>
          <w:sz w:val="24"/>
          <w:szCs w:val="24"/>
        </w:rPr>
        <w:t>响应文件格式</w:t>
      </w:r>
      <w:bookmarkEnd w:id="401"/>
      <w:bookmarkEnd w:id="402"/>
      <w:bookmarkEnd w:id="403"/>
      <w:bookmarkEnd w:id="404"/>
      <w:bookmarkEnd w:id="405"/>
    </w:p>
    <w:p w14:paraId="76EA24FD">
      <w:pPr>
        <w:rPr>
          <w:rFonts w:hint="eastAsia"/>
          <w:color w:val="auto"/>
        </w:rPr>
      </w:pPr>
    </w:p>
    <w:p w14:paraId="0C7B7B44">
      <w:pPr>
        <w:pStyle w:val="4"/>
        <w:numPr>
          <w:ilvl w:val="0"/>
          <w:numId w:val="7"/>
        </w:numPr>
        <w:snapToGrid w:val="0"/>
        <w:spacing w:before="0" w:line="240" w:lineRule="atLeast"/>
        <w:ind w:left="1080" w:leftChars="257" w:hanging="540"/>
        <w:textAlignment w:val="baseline"/>
        <w:rPr>
          <w:rFonts w:hint="eastAsia" w:ascii="微软雅黑" w:hAnsi="微软雅黑" w:eastAsia="微软雅黑" w:cs="微软雅黑"/>
          <w:color w:val="auto"/>
          <w:sz w:val="24"/>
          <w:szCs w:val="24"/>
        </w:rPr>
      </w:pPr>
      <w:bookmarkStart w:id="406" w:name="_Toc19411"/>
      <w:r>
        <w:rPr>
          <w:rFonts w:hint="eastAsia" w:ascii="微软雅黑" w:hAnsi="微软雅黑" w:eastAsia="微软雅黑" w:cs="微软雅黑"/>
          <w:color w:val="auto"/>
          <w:sz w:val="24"/>
          <w:szCs w:val="24"/>
        </w:rPr>
        <w:t>磋商开启一览表及资格证明文件</w:t>
      </w:r>
      <w:bookmarkEnd w:id="406"/>
    </w:p>
    <w:p w14:paraId="0BF5271D">
      <w:pPr>
        <w:tabs>
          <w:tab w:val="left" w:pos="5580"/>
        </w:tabs>
        <w:snapToGrid w:val="0"/>
        <w:spacing w:line="360" w:lineRule="exact"/>
        <w:ind w:firstLine="480" w:firstLineChars="200"/>
        <w:jc w:val="left"/>
        <w:textAlignment w:val="baseline"/>
        <w:rPr>
          <w:rFonts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1.磋商报价一览表;</w:t>
      </w:r>
    </w:p>
    <w:p w14:paraId="1CCC5992">
      <w:pPr>
        <w:pStyle w:val="16"/>
        <w:keepNext w:val="0"/>
        <w:keepLines w:val="0"/>
        <w:pageBreakBefore w:val="0"/>
        <w:widowControl w:val="0"/>
        <w:kinsoku/>
        <w:wordWrap/>
        <w:overflowPunct/>
        <w:topLinePunct w:val="0"/>
        <w:autoSpaceDE/>
        <w:autoSpaceDN/>
        <w:bidi w:val="0"/>
        <w:adjustRightInd/>
        <w:snapToGrid/>
        <w:spacing w:line="480" w:lineRule="exact"/>
        <w:ind w:firstLine="480" w:firstLineChars="200"/>
        <w:jc w:val="lef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2、符合《中华人民共和国政府采购法》第二十二条的规定,</w:t>
      </w:r>
    </w:p>
    <w:p w14:paraId="480C337C">
      <w:pPr>
        <w:widowControl/>
        <w:snapToGrid w:val="0"/>
        <w:spacing w:line="470" w:lineRule="exact"/>
        <w:ind w:firstLine="480" w:firstLineChars="200"/>
        <w:jc w:val="left"/>
        <w:textAlignment w:val="baseline"/>
        <w:rPr>
          <w:rFonts w:hint="eastAsia" w:ascii="微软雅黑" w:hAnsi="微软雅黑" w:eastAsia="微软雅黑" w:cs="微软雅黑"/>
          <w:color w:val="auto"/>
          <w:kern w:val="0"/>
          <w:sz w:val="24"/>
          <w:highlight w:val="none"/>
          <w:lang w:val="en-US" w:eastAsia="zh-CN"/>
        </w:rPr>
      </w:pPr>
      <w:r>
        <w:rPr>
          <w:rFonts w:hint="eastAsia" w:ascii="微软雅黑" w:hAnsi="微软雅黑" w:eastAsia="微软雅黑" w:cs="微软雅黑"/>
          <w:color w:val="auto"/>
          <w:kern w:val="0"/>
          <w:sz w:val="24"/>
          <w:highlight w:val="none"/>
          <w:lang w:val="en-US" w:eastAsia="zh-CN"/>
        </w:rPr>
        <w:t>①具有独立承担民事责任的能力；（投标时，提供在中华人民共和国境内注册的法人或其他组织的营业执照或事业单位法人证书或社会团体法人登记证书）</w:t>
      </w:r>
    </w:p>
    <w:p w14:paraId="75665285">
      <w:pPr>
        <w:widowControl/>
        <w:snapToGrid w:val="0"/>
        <w:spacing w:line="470" w:lineRule="exact"/>
        <w:ind w:firstLine="480" w:firstLineChars="200"/>
        <w:jc w:val="left"/>
        <w:textAlignment w:val="baseline"/>
        <w:rPr>
          <w:rFonts w:hint="eastAsia" w:ascii="微软雅黑" w:hAnsi="微软雅黑" w:eastAsia="微软雅黑" w:cs="微软雅黑"/>
          <w:color w:val="auto"/>
          <w:kern w:val="0"/>
          <w:sz w:val="24"/>
          <w:highlight w:val="none"/>
          <w:lang w:val="en-US" w:eastAsia="zh-CN"/>
        </w:rPr>
      </w:pPr>
      <w:r>
        <w:rPr>
          <w:rFonts w:hint="eastAsia" w:ascii="微软雅黑" w:hAnsi="微软雅黑" w:eastAsia="微软雅黑" w:cs="微软雅黑"/>
          <w:color w:val="auto"/>
          <w:kern w:val="0"/>
          <w:sz w:val="24"/>
          <w:highlight w:val="none"/>
          <w:lang w:val="en-US" w:eastAsia="zh-CN"/>
        </w:rPr>
        <w:t>②提供法定代表人资格证明及授权书、被授权人身份证；(法定代表人投标需提供法定代表人身份证)；</w:t>
      </w:r>
    </w:p>
    <w:p w14:paraId="0973570C">
      <w:pPr>
        <w:widowControl/>
        <w:snapToGrid w:val="0"/>
        <w:spacing w:line="470" w:lineRule="exact"/>
        <w:ind w:firstLine="480" w:firstLineChars="200"/>
        <w:jc w:val="left"/>
        <w:textAlignment w:val="baseline"/>
        <w:rPr>
          <w:rFonts w:hint="eastAsia" w:ascii="微软雅黑" w:hAnsi="微软雅黑" w:eastAsia="微软雅黑" w:cs="微软雅黑"/>
          <w:color w:val="auto"/>
          <w:kern w:val="0"/>
          <w:sz w:val="24"/>
          <w:highlight w:val="none"/>
          <w:lang w:eastAsia="zh-CN"/>
        </w:rPr>
      </w:pPr>
      <w:r>
        <w:rPr>
          <w:rFonts w:hint="eastAsia" w:ascii="微软雅黑" w:hAnsi="微软雅黑" w:eastAsia="微软雅黑" w:cs="微软雅黑"/>
          <w:color w:val="auto"/>
          <w:kern w:val="0"/>
          <w:sz w:val="24"/>
          <w:highlight w:val="none"/>
          <w:lang w:val="en-US" w:eastAsia="zh-CN"/>
        </w:rPr>
        <w:t>③</w:t>
      </w:r>
      <w:r>
        <w:rPr>
          <w:rFonts w:hint="eastAsia" w:ascii="微软雅黑" w:hAnsi="微软雅黑" w:eastAsia="微软雅黑" w:cs="微软雅黑"/>
          <w:color w:val="auto"/>
          <w:kern w:val="0"/>
          <w:sz w:val="24"/>
          <w:highlight w:val="none"/>
          <w:lang w:eastAsia="zh-CN"/>
        </w:rPr>
        <w:t>本单位依法缴纳的近3个月内任意一个月的社会保险的凭据（新成立公司提供相关证明文件）；</w:t>
      </w:r>
    </w:p>
    <w:p w14:paraId="0C4DF62B">
      <w:pPr>
        <w:widowControl/>
        <w:snapToGrid w:val="0"/>
        <w:spacing w:line="470" w:lineRule="exact"/>
        <w:ind w:firstLine="480" w:firstLineChars="200"/>
        <w:jc w:val="left"/>
        <w:textAlignment w:val="baseline"/>
        <w:rPr>
          <w:rFonts w:hint="eastAsia"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lang w:val="en-US" w:eastAsia="zh-CN"/>
        </w:rPr>
        <w:t>④</w:t>
      </w:r>
      <w:r>
        <w:rPr>
          <w:rFonts w:hint="eastAsia" w:ascii="微软雅黑" w:hAnsi="微软雅黑" w:eastAsia="微软雅黑" w:cs="微软雅黑"/>
          <w:color w:val="auto"/>
          <w:kern w:val="0"/>
          <w:sz w:val="24"/>
          <w:highlight w:val="none"/>
          <w:lang w:eastAsia="zh-CN"/>
        </w:rPr>
        <w:t>税务部门出具的近</w:t>
      </w:r>
      <w:r>
        <w:rPr>
          <w:rFonts w:hint="eastAsia" w:ascii="微软雅黑" w:hAnsi="微软雅黑" w:eastAsia="微软雅黑" w:cs="微软雅黑"/>
          <w:color w:val="auto"/>
          <w:kern w:val="0"/>
          <w:sz w:val="24"/>
          <w:highlight w:val="none"/>
          <w:lang w:val="en-US" w:eastAsia="zh-CN"/>
        </w:rPr>
        <w:t>3</w:t>
      </w:r>
      <w:r>
        <w:rPr>
          <w:rFonts w:hint="eastAsia" w:ascii="微软雅黑" w:hAnsi="微软雅黑" w:eastAsia="微软雅黑" w:cs="微软雅黑"/>
          <w:color w:val="auto"/>
          <w:kern w:val="0"/>
          <w:sz w:val="24"/>
          <w:highlight w:val="none"/>
          <w:lang w:eastAsia="zh-CN"/>
        </w:rPr>
        <w:t>个月内任意一个月的完税证明（</w:t>
      </w:r>
      <w:r>
        <w:rPr>
          <w:rFonts w:hint="eastAsia" w:ascii="微软雅黑" w:hAnsi="微软雅黑" w:eastAsia="微软雅黑" w:cs="微软雅黑"/>
          <w:color w:val="auto"/>
          <w:kern w:val="0"/>
          <w:sz w:val="24"/>
          <w:highlight w:val="none"/>
        </w:rPr>
        <w:t>依法免缴的应提供依法免缴的相关证明文件</w:t>
      </w:r>
      <w:r>
        <w:rPr>
          <w:rFonts w:hint="eastAsia" w:ascii="微软雅黑" w:hAnsi="微软雅黑" w:eastAsia="微软雅黑" w:cs="微软雅黑"/>
          <w:color w:val="auto"/>
          <w:kern w:val="0"/>
          <w:sz w:val="24"/>
          <w:highlight w:val="none"/>
          <w:lang w:val="en-US" w:eastAsia="zh-CN"/>
        </w:rPr>
        <w:t>或</w:t>
      </w:r>
      <w:r>
        <w:rPr>
          <w:rFonts w:hint="eastAsia" w:ascii="微软雅黑" w:hAnsi="微软雅黑" w:eastAsia="微软雅黑" w:cs="微软雅黑"/>
          <w:color w:val="auto"/>
          <w:kern w:val="0"/>
          <w:sz w:val="24"/>
          <w:highlight w:val="none"/>
        </w:rPr>
        <w:t>零申报报表</w:t>
      </w:r>
      <w:r>
        <w:rPr>
          <w:rFonts w:hint="eastAsia" w:ascii="微软雅黑" w:hAnsi="微软雅黑" w:eastAsia="微软雅黑" w:cs="微软雅黑"/>
          <w:color w:val="auto"/>
          <w:kern w:val="0"/>
          <w:sz w:val="24"/>
          <w:highlight w:val="none"/>
          <w:lang w:eastAsia="zh-CN"/>
        </w:rPr>
        <w:t>）</w:t>
      </w:r>
      <w:r>
        <w:rPr>
          <w:rFonts w:hint="eastAsia" w:ascii="微软雅黑" w:hAnsi="微软雅黑" w:eastAsia="微软雅黑" w:cs="微软雅黑"/>
          <w:color w:val="auto"/>
          <w:kern w:val="0"/>
          <w:sz w:val="24"/>
          <w:highlight w:val="none"/>
        </w:rPr>
        <w:t>；</w:t>
      </w:r>
    </w:p>
    <w:p w14:paraId="453E6C72">
      <w:pPr>
        <w:widowControl/>
        <w:snapToGrid w:val="0"/>
        <w:spacing w:line="470" w:lineRule="exact"/>
        <w:ind w:firstLine="480" w:firstLineChars="200"/>
        <w:jc w:val="left"/>
        <w:textAlignment w:val="baseline"/>
        <w:rPr>
          <w:rFonts w:hint="eastAsia" w:ascii="微软雅黑" w:hAnsi="微软雅黑" w:eastAsia="微软雅黑" w:cs="微软雅黑"/>
          <w:color w:val="auto"/>
          <w:kern w:val="0"/>
          <w:sz w:val="24"/>
          <w:highlight w:val="none"/>
          <w:lang w:val="en-US" w:eastAsia="zh-CN"/>
        </w:rPr>
      </w:pPr>
      <w:r>
        <w:rPr>
          <w:rFonts w:hint="eastAsia" w:ascii="微软雅黑" w:hAnsi="微软雅黑" w:eastAsia="微软雅黑" w:cs="微软雅黑"/>
          <w:color w:val="auto"/>
          <w:kern w:val="0"/>
          <w:sz w:val="24"/>
          <w:highlight w:val="none"/>
          <w:lang w:val="en-US" w:eastAsia="zh-CN"/>
        </w:rPr>
        <w:t>⑤提供近两年任意一年完整的财务审计报告或近一个月的银行资信证明；</w:t>
      </w:r>
    </w:p>
    <w:p w14:paraId="42D4EF06">
      <w:pPr>
        <w:widowControl/>
        <w:snapToGrid w:val="0"/>
        <w:spacing w:line="470" w:lineRule="exact"/>
        <w:ind w:firstLine="480" w:firstLineChars="200"/>
        <w:jc w:val="left"/>
        <w:textAlignment w:val="baseline"/>
        <w:rPr>
          <w:rFonts w:hint="eastAsia"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lang w:val="en-US" w:eastAsia="zh-CN"/>
        </w:rPr>
        <w:t>⑥</w:t>
      </w:r>
      <w:r>
        <w:rPr>
          <w:rFonts w:hint="eastAsia" w:ascii="微软雅黑" w:hAnsi="微软雅黑" w:eastAsia="微软雅黑" w:cs="微软雅黑"/>
          <w:color w:val="auto"/>
          <w:kern w:val="0"/>
          <w:sz w:val="24"/>
          <w:highlight w:val="none"/>
        </w:rPr>
        <w:t>参与政府采购活动前3年内未被列入失信、重大税收违法案件、财政部门禁止参加政府采购活动的承诺书；</w:t>
      </w:r>
    </w:p>
    <w:p w14:paraId="38C00476">
      <w:pPr>
        <w:widowControl/>
        <w:snapToGrid w:val="0"/>
        <w:spacing w:line="470" w:lineRule="exact"/>
        <w:ind w:firstLine="480" w:firstLineChars="200"/>
        <w:jc w:val="left"/>
        <w:textAlignment w:val="baseline"/>
        <w:rPr>
          <w:rFonts w:hint="eastAsia"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lang w:val="en-US" w:eastAsia="zh-CN"/>
        </w:rPr>
        <w:t>⑦</w:t>
      </w:r>
      <w:r>
        <w:rPr>
          <w:rFonts w:hint="eastAsia" w:ascii="微软雅黑" w:hAnsi="微软雅黑" w:eastAsia="微软雅黑" w:cs="微软雅黑"/>
          <w:color w:val="auto"/>
          <w:kern w:val="0"/>
          <w:sz w:val="24"/>
          <w:highlight w:val="none"/>
        </w:rPr>
        <w:t>提供针对本次项目的反商业贿赂承诺书。</w:t>
      </w:r>
    </w:p>
    <w:p w14:paraId="72C61ECC">
      <w:pPr>
        <w:widowControl/>
        <w:snapToGrid w:val="0"/>
        <w:spacing w:line="470" w:lineRule="exact"/>
        <w:ind w:firstLine="480" w:firstLineChars="200"/>
        <w:jc w:val="left"/>
        <w:textAlignment w:val="baseline"/>
        <w:rPr>
          <w:rFonts w:hint="eastAsia"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lang w:val="en-US" w:eastAsia="zh-CN"/>
        </w:rPr>
        <w:t>⑧根据《政府采购领域“整顿市场秩序、建设法规体系、促进产业发展”三年行动方案（2024—2026年）》的通知，凡拟参加本次采购项目的供应商，必须为未被列入“信用中国”网站(www.creditchina.gov.cn)（失信被执行人名单、重大税收违法失信主体名单）、中国政府采购网(www.ccgp.gov.cn)（政府采购严重违法失信行为记录名单），国家企业公示信息系统（www.gsxt.gov.cn）（经营异常名录、严重违法失信名单）,（须提供查询记录截图并加盖公章）</w:t>
      </w:r>
      <w:r>
        <w:rPr>
          <w:rFonts w:hint="eastAsia" w:ascii="微软雅黑" w:hAnsi="微软雅黑" w:eastAsia="微软雅黑" w:cs="微软雅黑"/>
          <w:color w:val="auto"/>
          <w:kern w:val="0"/>
          <w:sz w:val="24"/>
          <w:highlight w:val="none"/>
        </w:rPr>
        <w:t>；</w:t>
      </w:r>
    </w:p>
    <w:p w14:paraId="7CA983A0">
      <w:pPr>
        <w:widowControl/>
        <w:snapToGrid w:val="0"/>
        <w:spacing w:line="470" w:lineRule="exact"/>
        <w:ind w:firstLine="480" w:firstLineChars="200"/>
        <w:jc w:val="left"/>
        <w:textAlignment w:val="baseline"/>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sz w:val="24"/>
          <w:highlight w:val="none"/>
          <w:lang w:val="en-US" w:eastAsia="zh-CN"/>
        </w:rPr>
        <w:t>3</w:t>
      </w:r>
      <w:r>
        <w:rPr>
          <w:rFonts w:hint="eastAsia" w:ascii="微软雅黑" w:hAnsi="微软雅黑" w:eastAsia="微软雅黑" w:cs="微软雅黑"/>
          <w:color w:val="auto"/>
          <w:sz w:val="24"/>
          <w:highlight w:val="none"/>
        </w:rPr>
        <w:t>.缴纳磋商保证金有效凭证</w:t>
      </w:r>
      <w:r>
        <w:rPr>
          <w:rFonts w:hint="eastAsia" w:ascii="微软雅黑" w:hAnsi="微软雅黑" w:eastAsia="微软雅黑" w:cs="微软雅黑"/>
          <w:color w:val="auto"/>
          <w:kern w:val="0"/>
          <w:sz w:val="24"/>
          <w:highlight w:val="none"/>
        </w:rPr>
        <w:t>；</w:t>
      </w:r>
    </w:p>
    <w:p w14:paraId="644A691E">
      <w:pPr>
        <w:outlineLvl w:val="9"/>
        <w:rPr>
          <w:rFonts w:hint="eastAsia" w:ascii="微软雅黑" w:hAnsi="微软雅黑" w:eastAsia="微软雅黑" w:cs="微软雅黑"/>
          <w:color w:val="auto"/>
          <w:kern w:val="0"/>
          <w:sz w:val="24"/>
          <w:highlight w:val="none"/>
        </w:rPr>
      </w:pPr>
    </w:p>
    <w:p w14:paraId="0D680778">
      <w:pPr>
        <w:rPr>
          <w:color w:val="auto"/>
        </w:rPr>
      </w:pPr>
    </w:p>
    <w:p w14:paraId="459D4AA0">
      <w:pPr>
        <w:numPr>
          <w:ilvl w:val="0"/>
          <w:numId w:val="0"/>
        </w:numPr>
        <w:rPr>
          <w:color w:val="auto"/>
        </w:rPr>
      </w:pPr>
    </w:p>
    <w:p w14:paraId="66364DEC">
      <w:pPr>
        <w:numPr>
          <w:ilvl w:val="0"/>
          <w:numId w:val="0"/>
        </w:numPr>
        <w:rPr>
          <w:color w:val="auto"/>
        </w:rPr>
      </w:pPr>
    </w:p>
    <w:p w14:paraId="3841A3F3">
      <w:pPr>
        <w:outlineLvl w:val="9"/>
        <w:rPr>
          <w:color w:val="auto"/>
        </w:rPr>
      </w:pPr>
    </w:p>
    <w:p w14:paraId="308BED36">
      <w:pPr>
        <w:outlineLvl w:val="9"/>
      </w:pPr>
    </w:p>
    <w:p w14:paraId="2ACF4D63">
      <w:pPr>
        <w:outlineLvl w:val="9"/>
        <w:rPr>
          <w:color w:val="auto"/>
        </w:rPr>
      </w:pPr>
    </w:p>
    <w:p w14:paraId="199F6FF5">
      <w:pPr>
        <w:rPr>
          <w:color w:val="auto"/>
        </w:rPr>
      </w:pPr>
    </w:p>
    <w:p w14:paraId="0D9E035C">
      <w:pPr>
        <w:snapToGrid w:val="0"/>
        <w:spacing w:before="0" w:line="400" w:lineRule="atLeast"/>
        <w:jc w:val="both"/>
        <w:textAlignment w:val="baseline"/>
        <w:outlineLvl w:val="9"/>
        <w:rPr>
          <w:rFonts w:hint="eastAsia" w:ascii="微软雅黑" w:hAnsi="微软雅黑" w:eastAsia="微软雅黑" w:cs="微软雅黑"/>
          <w:color w:val="auto"/>
          <w:sz w:val="24"/>
          <w:szCs w:val="24"/>
        </w:rPr>
      </w:pPr>
      <w:bookmarkStart w:id="407" w:name="_Toc21484"/>
      <w:bookmarkStart w:id="408" w:name="_Toc30524"/>
      <w:bookmarkStart w:id="409" w:name="_Toc22539"/>
      <w:bookmarkStart w:id="410" w:name="_Toc31089"/>
      <w:bookmarkStart w:id="411" w:name="_Toc11138"/>
      <w:bookmarkStart w:id="412" w:name="_Toc16568"/>
      <w:bookmarkStart w:id="413" w:name="_Toc16750"/>
      <w:bookmarkStart w:id="414" w:name="_Toc4431"/>
      <w:bookmarkStart w:id="415" w:name="_Toc21614"/>
      <w:bookmarkStart w:id="416" w:name="_Toc17198"/>
      <w:bookmarkStart w:id="417" w:name="_Toc26846"/>
      <w:bookmarkStart w:id="418" w:name="_Toc18477"/>
      <w:bookmarkStart w:id="419" w:name="_Toc30630"/>
      <w:bookmarkStart w:id="420" w:name="_Toc14118"/>
      <w:bookmarkStart w:id="421" w:name="_Toc515647804"/>
      <w:bookmarkStart w:id="422" w:name="_Toc3620"/>
      <w:bookmarkStart w:id="423" w:name="_Toc18694"/>
      <w:bookmarkStart w:id="424" w:name="_Toc515647803"/>
      <w:bookmarkStart w:id="425" w:name="_Toc19961"/>
      <w:bookmarkStart w:id="426" w:name="_Toc1126"/>
      <w:bookmarkStart w:id="427" w:name="_Toc18974"/>
      <w:bookmarkStart w:id="428" w:name="_Toc3315"/>
      <w:bookmarkStart w:id="429" w:name="_Toc26489"/>
    </w:p>
    <w:p w14:paraId="4E3C1468">
      <w:pPr>
        <w:pStyle w:val="4"/>
        <w:snapToGrid w:val="0"/>
        <w:spacing w:before="0" w:line="400" w:lineRule="atLeast"/>
        <w:jc w:val="both"/>
        <w:textAlignment w:val="baseline"/>
        <w:rPr>
          <w:rFonts w:ascii="微软雅黑" w:hAnsi="微软雅黑" w:eastAsia="微软雅黑" w:cs="微软雅黑"/>
          <w:color w:val="auto"/>
          <w:sz w:val="24"/>
          <w:szCs w:val="24"/>
        </w:rPr>
      </w:pPr>
      <w:bookmarkStart w:id="430" w:name="_Toc132"/>
      <w:r>
        <w:rPr>
          <w:rFonts w:hint="eastAsia" w:ascii="微软雅黑" w:hAnsi="微软雅黑" w:eastAsia="微软雅黑" w:cs="微软雅黑"/>
          <w:color w:val="auto"/>
          <w:sz w:val="24"/>
          <w:szCs w:val="24"/>
        </w:rPr>
        <w:t>1、磋商报价一览表</w:t>
      </w:r>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30"/>
    </w:p>
    <w:p w14:paraId="10DCAFB6">
      <w:pPr>
        <w:pStyle w:val="7"/>
        <w:tabs>
          <w:tab w:val="left" w:pos="5580"/>
        </w:tabs>
        <w:snapToGrid w:val="0"/>
        <w:spacing w:line="400" w:lineRule="atLeast"/>
        <w:ind w:firstLine="0"/>
        <w:jc w:val="center"/>
        <w:textAlignment w:val="baseline"/>
        <w:rPr>
          <w:rFonts w:ascii="微软雅黑" w:hAnsi="微软雅黑" w:eastAsia="微软雅黑" w:cs="微软雅黑"/>
          <w:color w:val="auto"/>
          <w:szCs w:val="24"/>
        </w:rPr>
      </w:pPr>
      <w:bookmarkStart w:id="431" w:name="_Hlt520356241"/>
      <w:bookmarkEnd w:id="431"/>
      <w:r>
        <w:rPr>
          <w:rFonts w:hint="eastAsia" w:ascii="微软雅黑" w:hAnsi="微软雅黑" w:eastAsia="微软雅黑" w:cs="微软雅黑"/>
          <w:b/>
          <w:color w:val="auto"/>
          <w:szCs w:val="24"/>
        </w:rPr>
        <w:t>磋商报价一览表</w:t>
      </w:r>
    </w:p>
    <w:p w14:paraId="3E7FCA15">
      <w:pPr>
        <w:tabs>
          <w:tab w:val="left" w:pos="1800"/>
          <w:tab w:val="left" w:pos="5580"/>
        </w:tabs>
        <w:snapToGrid w:val="0"/>
        <w:spacing w:line="400" w:lineRule="atLeast"/>
        <w:ind w:left="1080" w:leftChars="257" w:right="-867" w:hanging="540"/>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 xml:space="preserve">项目名称：　                  项目编号：                        </w:t>
      </w:r>
    </w:p>
    <w:p w14:paraId="0D87B0B5">
      <w:pPr>
        <w:tabs>
          <w:tab w:val="left" w:pos="1800"/>
          <w:tab w:val="left" w:pos="5580"/>
        </w:tabs>
        <w:snapToGrid w:val="0"/>
        <w:spacing w:line="400" w:lineRule="atLeast"/>
        <w:ind w:left="1080" w:leftChars="257" w:right="-867" w:hanging="540"/>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 xml:space="preserve">报价单位：人民币  </w:t>
      </w:r>
      <w:r>
        <w:rPr>
          <w:rFonts w:hint="eastAsia" w:ascii="微软雅黑" w:hAnsi="微软雅黑" w:eastAsia="微软雅黑" w:cs="微软雅黑"/>
          <w:b/>
          <w:color w:val="auto"/>
          <w:sz w:val="24"/>
        </w:rPr>
        <w:t>万元</w:t>
      </w:r>
    </w:p>
    <w:tbl>
      <w:tblPr>
        <w:tblStyle w:val="37"/>
        <w:tblW w:w="871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720"/>
        <w:gridCol w:w="2530"/>
        <w:gridCol w:w="1315"/>
        <w:gridCol w:w="1485"/>
        <w:gridCol w:w="1665"/>
      </w:tblGrid>
      <w:tr w14:paraId="77D1BF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72" w:hRule="atLeast"/>
          <w:jc w:val="center"/>
        </w:trPr>
        <w:tc>
          <w:tcPr>
            <w:tcW w:w="1720" w:type="dxa"/>
            <w:vAlign w:val="center"/>
          </w:tcPr>
          <w:p w14:paraId="239DB2D7">
            <w:pPr>
              <w:tabs>
                <w:tab w:val="left" w:pos="5580"/>
              </w:tabs>
              <w:snapToGrid w:val="0"/>
              <w:spacing w:line="400" w:lineRule="atLeast"/>
              <w:ind w:right="-199"/>
              <w:jc w:val="center"/>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名称</w:t>
            </w:r>
          </w:p>
        </w:tc>
        <w:tc>
          <w:tcPr>
            <w:tcW w:w="2530" w:type="dxa"/>
            <w:vAlign w:val="center"/>
          </w:tcPr>
          <w:p w14:paraId="78C876A9">
            <w:pPr>
              <w:tabs>
                <w:tab w:val="left" w:pos="5580"/>
              </w:tabs>
              <w:snapToGrid w:val="0"/>
              <w:spacing w:line="400" w:lineRule="atLeast"/>
              <w:jc w:val="center"/>
              <w:textAlignment w:val="baseline"/>
              <w:rPr>
                <w:rFonts w:hint="eastAsia" w:ascii="微软雅黑" w:hAnsi="微软雅黑" w:eastAsia="微软雅黑" w:cs="微软雅黑"/>
                <w:color w:val="auto"/>
                <w:sz w:val="24"/>
                <w:lang w:eastAsia="zh-CN"/>
              </w:rPr>
            </w:pPr>
            <w:r>
              <w:rPr>
                <w:rFonts w:hint="eastAsia" w:ascii="微软雅黑" w:hAnsi="微软雅黑" w:eastAsia="微软雅黑" w:cs="微软雅黑"/>
                <w:color w:val="auto"/>
                <w:sz w:val="24"/>
                <w:lang w:val="en-US" w:eastAsia="zh-CN"/>
              </w:rPr>
              <w:t>磋商</w:t>
            </w:r>
            <w:r>
              <w:rPr>
                <w:rFonts w:hint="eastAsia" w:ascii="微软雅黑" w:hAnsi="微软雅黑" w:eastAsia="微软雅黑" w:cs="微软雅黑"/>
                <w:color w:val="auto"/>
                <w:sz w:val="24"/>
              </w:rPr>
              <w:t>报价</w:t>
            </w:r>
          </w:p>
        </w:tc>
        <w:tc>
          <w:tcPr>
            <w:tcW w:w="1315" w:type="dxa"/>
            <w:vAlign w:val="center"/>
          </w:tcPr>
          <w:p w14:paraId="30820D3B">
            <w:pPr>
              <w:tabs>
                <w:tab w:val="left" w:pos="5580"/>
              </w:tabs>
              <w:snapToGrid w:val="0"/>
              <w:spacing w:line="400" w:lineRule="atLeast"/>
              <w:jc w:val="center"/>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磋商保证金</w:t>
            </w:r>
          </w:p>
        </w:tc>
        <w:tc>
          <w:tcPr>
            <w:tcW w:w="1485" w:type="dxa"/>
            <w:vAlign w:val="center"/>
          </w:tcPr>
          <w:p w14:paraId="24857648">
            <w:pPr>
              <w:tabs>
                <w:tab w:val="left" w:pos="5580"/>
              </w:tabs>
              <w:snapToGrid w:val="0"/>
              <w:spacing w:line="400" w:lineRule="atLeast"/>
              <w:jc w:val="center"/>
              <w:textAlignment w:val="baseline"/>
              <w:rPr>
                <w:rFonts w:hint="eastAsia" w:ascii="微软雅黑" w:hAnsi="微软雅黑" w:eastAsia="微软雅黑" w:cs="微软雅黑"/>
                <w:color w:val="auto"/>
                <w:sz w:val="24"/>
                <w:lang w:eastAsia="zh-CN"/>
              </w:rPr>
            </w:pPr>
            <w:r>
              <w:rPr>
                <w:rFonts w:hint="eastAsia" w:ascii="微软雅黑" w:hAnsi="微软雅黑" w:eastAsia="微软雅黑" w:cs="微软雅黑"/>
                <w:color w:val="auto"/>
                <w:sz w:val="24"/>
                <w:lang w:val="en-US" w:eastAsia="zh-CN"/>
              </w:rPr>
              <w:t>服务期</w:t>
            </w:r>
          </w:p>
        </w:tc>
        <w:tc>
          <w:tcPr>
            <w:tcW w:w="1665" w:type="dxa"/>
            <w:vAlign w:val="center"/>
          </w:tcPr>
          <w:p w14:paraId="3CDEC1AC">
            <w:pPr>
              <w:tabs>
                <w:tab w:val="left" w:pos="5580"/>
              </w:tabs>
              <w:snapToGrid w:val="0"/>
              <w:spacing w:line="400" w:lineRule="atLeast"/>
              <w:jc w:val="center"/>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备注</w:t>
            </w:r>
          </w:p>
        </w:tc>
      </w:tr>
      <w:tr w14:paraId="54AFF5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706" w:hRule="atLeast"/>
          <w:jc w:val="center"/>
        </w:trPr>
        <w:tc>
          <w:tcPr>
            <w:tcW w:w="1720" w:type="dxa"/>
            <w:vAlign w:val="center"/>
          </w:tcPr>
          <w:p w14:paraId="4EBA3387">
            <w:pPr>
              <w:tabs>
                <w:tab w:val="left" w:pos="5580"/>
              </w:tabs>
              <w:snapToGrid w:val="0"/>
              <w:spacing w:line="400" w:lineRule="atLeast"/>
              <w:ind w:left="1080" w:leftChars="257" w:hanging="540"/>
              <w:jc w:val="center"/>
              <w:textAlignment w:val="baseline"/>
              <w:rPr>
                <w:rFonts w:ascii="微软雅黑" w:hAnsi="微软雅黑" w:eastAsia="微软雅黑" w:cs="微软雅黑"/>
                <w:color w:val="auto"/>
                <w:sz w:val="24"/>
              </w:rPr>
            </w:pPr>
          </w:p>
        </w:tc>
        <w:tc>
          <w:tcPr>
            <w:tcW w:w="2530" w:type="dxa"/>
            <w:vAlign w:val="center"/>
          </w:tcPr>
          <w:p w14:paraId="6949E49D">
            <w:pPr>
              <w:tabs>
                <w:tab w:val="left" w:pos="5580"/>
              </w:tabs>
              <w:snapToGrid w:val="0"/>
              <w:spacing w:line="400" w:lineRule="atLeast"/>
              <w:jc w:val="left"/>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大写：</w:t>
            </w:r>
          </w:p>
          <w:p w14:paraId="41D49E9F">
            <w:pPr>
              <w:tabs>
                <w:tab w:val="left" w:pos="5580"/>
              </w:tabs>
              <w:snapToGrid w:val="0"/>
              <w:spacing w:line="400" w:lineRule="atLeast"/>
              <w:jc w:val="left"/>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小写：</w:t>
            </w:r>
          </w:p>
        </w:tc>
        <w:tc>
          <w:tcPr>
            <w:tcW w:w="1315" w:type="dxa"/>
            <w:vAlign w:val="center"/>
          </w:tcPr>
          <w:p w14:paraId="2AE24FE6">
            <w:pPr>
              <w:tabs>
                <w:tab w:val="left" w:pos="5580"/>
              </w:tabs>
              <w:snapToGrid w:val="0"/>
              <w:spacing w:line="400" w:lineRule="atLeast"/>
              <w:ind w:left="1080" w:leftChars="257" w:hanging="540"/>
              <w:jc w:val="center"/>
              <w:textAlignment w:val="baseline"/>
              <w:rPr>
                <w:rFonts w:ascii="微软雅黑" w:hAnsi="微软雅黑" w:eastAsia="微软雅黑" w:cs="微软雅黑"/>
                <w:color w:val="auto"/>
                <w:sz w:val="24"/>
              </w:rPr>
            </w:pPr>
          </w:p>
        </w:tc>
        <w:tc>
          <w:tcPr>
            <w:tcW w:w="1485" w:type="dxa"/>
            <w:vAlign w:val="center"/>
          </w:tcPr>
          <w:p w14:paraId="7C19CBAB">
            <w:pPr>
              <w:tabs>
                <w:tab w:val="left" w:pos="5580"/>
              </w:tabs>
              <w:snapToGrid w:val="0"/>
              <w:spacing w:line="400" w:lineRule="atLeast"/>
              <w:ind w:left="1080" w:leftChars="257" w:hanging="540"/>
              <w:jc w:val="center"/>
              <w:textAlignment w:val="baseline"/>
              <w:rPr>
                <w:rFonts w:ascii="微软雅黑" w:hAnsi="微软雅黑" w:eastAsia="微软雅黑" w:cs="微软雅黑"/>
                <w:color w:val="auto"/>
                <w:sz w:val="24"/>
              </w:rPr>
            </w:pPr>
          </w:p>
        </w:tc>
        <w:tc>
          <w:tcPr>
            <w:tcW w:w="1665" w:type="dxa"/>
            <w:vAlign w:val="center"/>
          </w:tcPr>
          <w:p w14:paraId="747A44DB">
            <w:pPr>
              <w:tabs>
                <w:tab w:val="left" w:pos="5580"/>
              </w:tabs>
              <w:snapToGrid w:val="0"/>
              <w:spacing w:line="400" w:lineRule="atLeast"/>
              <w:ind w:left="1080" w:leftChars="257" w:hanging="540"/>
              <w:jc w:val="center"/>
              <w:textAlignment w:val="baseline"/>
              <w:rPr>
                <w:rFonts w:ascii="微软雅黑" w:hAnsi="微软雅黑" w:eastAsia="微软雅黑" w:cs="微软雅黑"/>
                <w:color w:val="auto"/>
                <w:sz w:val="24"/>
              </w:rPr>
            </w:pPr>
          </w:p>
        </w:tc>
      </w:tr>
    </w:tbl>
    <w:p w14:paraId="4E285A57">
      <w:pPr>
        <w:pStyle w:val="16"/>
        <w:tabs>
          <w:tab w:val="left" w:pos="5580"/>
        </w:tabs>
        <w:snapToGrid w:val="0"/>
        <w:spacing w:line="400" w:lineRule="atLeast"/>
        <w:textAlignment w:val="baseline"/>
        <w:rPr>
          <w:rFonts w:ascii="微软雅黑" w:hAnsi="微软雅黑" w:eastAsia="微软雅黑" w:cs="微软雅黑"/>
          <w:color w:val="auto"/>
          <w:sz w:val="24"/>
          <w:szCs w:val="24"/>
          <w:u w:val="single" w:color="000000"/>
        </w:rPr>
      </w:pPr>
    </w:p>
    <w:p w14:paraId="69BE85A4">
      <w:pPr>
        <w:pStyle w:val="16"/>
        <w:tabs>
          <w:tab w:val="left" w:pos="5580"/>
        </w:tabs>
        <w:snapToGrid w:val="0"/>
        <w:spacing w:line="400" w:lineRule="atLeas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供应商名称（公章）：</w:t>
      </w:r>
      <w:r>
        <w:rPr>
          <w:rFonts w:hint="eastAsia" w:ascii="微软雅黑" w:hAnsi="微软雅黑" w:eastAsia="微软雅黑" w:cs="微软雅黑"/>
          <w:color w:val="auto"/>
          <w:sz w:val="24"/>
          <w:szCs w:val="24"/>
          <w:u w:val="single" w:color="000000"/>
        </w:rPr>
        <w:t xml:space="preserve">                       </w:t>
      </w:r>
    </w:p>
    <w:p w14:paraId="6AE7109B">
      <w:pPr>
        <w:pStyle w:val="16"/>
        <w:tabs>
          <w:tab w:val="left" w:pos="5580"/>
        </w:tabs>
        <w:snapToGrid w:val="0"/>
        <w:spacing w:line="400" w:lineRule="atLeast"/>
        <w:ind w:left="1080" w:leftChars="257" w:hanging="540"/>
        <w:textAlignment w:val="baseline"/>
        <w:rPr>
          <w:rFonts w:ascii="微软雅黑" w:hAnsi="微软雅黑" w:eastAsia="微软雅黑" w:cs="微软雅黑"/>
          <w:color w:val="auto"/>
          <w:sz w:val="24"/>
          <w:szCs w:val="24"/>
          <w:u w:val="single" w:color="000000"/>
        </w:rPr>
      </w:pPr>
      <w:r>
        <w:rPr>
          <w:rFonts w:hint="eastAsia" w:ascii="微软雅黑" w:hAnsi="微软雅黑" w:eastAsia="微软雅黑" w:cs="微软雅黑"/>
          <w:color w:val="auto"/>
          <w:sz w:val="24"/>
          <w:szCs w:val="24"/>
        </w:rPr>
        <w:t>法定代表人或委托代理(签字</w:t>
      </w:r>
      <w:r>
        <w:rPr>
          <w:rFonts w:hint="eastAsia" w:ascii="微软雅黑" w:hAnsi="微软雅黑" w:eastAsia="微软雅黑" w:cs="微软雅黑"/>
          <w:color w:val="auto"/>
          <w:sz w:val="24"/>
          <w:szCs w:val="24"/>
          <w:lang w:eastAsia="zh-CN"/>
        </w:rPr>
        <w:t>并盖章</w:t>
      </w:r>
      <w:r>
        <w:rPr>
          <w:rFonts w:hint="eastAsia" w:ascii="微软雅黑" w:hAnsi="微软雅黑" w:eastAsia="微软雅黑" w:cs="微软雅黑"/>
          <w:color w:val="auto"/>
          <w:sz w:val="24"/>
          <w:szCs w:val="24"/>
        </w:rPr>
        <w:t>):</w:t>
      </w:r>
      <w:r>
        <w:rPr>
          <w:rFonts w:hint="eastAsia" w:ascii="微软雅黑" w:hAnsi="微软雅黑" w:eastAsia="微软雅黑" w:cs="微软雅黑"/>
          <w:color w:val="auto"/>
          <w:sz w:val="24"/>
          <w:szCs w:val="24"/>
          <w:u w:val="single" w:color="000000"/>
        </w:rPr>
        <w:tab/>
      </w:r>
    </w:p>
    <w:p w14:paraId="7C3C8036">
      <w:pPr>
        <w:pStyle w:val="16"/>
        <w:tabs>
          <w:tab w:val="left" w:pos="5580"/>
        </w:tabs>
        <w:snapToGrid w:val="0"/>
        <w:spacing w:line="400" w:lineRule="atLeast"/>
        <w:ind w:left="1080" w:leftChars="257" w:hanging="540"/>
        <w:textAlignment w:val="baseline"/>
        <w:rPr>
          <w:rFonts w:ascii="微软雅黑" w:hAnsi="微软雅黑" w:eastAsia="微软雅黑" w:cs="微软雅黑"/>
          <w:color w:val="auto"/>
          <w:sz w:val="24"/>
          <w:szCs w:val="24"/>
        </w:rPr>
      </w:pPr>
    </w:p>
    <w:p w14:paraId="7D79D56D">
      <w:pPr>
        <w:pStyle w:val="16"/>
        <w:tabs>
          <w:tab w:val="left" w:pos="5580"/>
        </w:tabs>
        <w:spacing w:line="240" w:lineRule="atLeast"/>
        <w:ind w:left="1080" w:leftChars="257" w:hanging="54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注:</w:t>
      </w:r>
      <w:r>
        <w:rPr>
          <w:rFonts w:hint="eastAsia" w:ascii="微软雅黑" w:hAnsi="微软雅黑" w:eastAsia="微软雅黑" w:cs="微软雅黑"/>
          <w:color w:val="auto"/>
          <w:sz w:val="24"/>
          <w:szCs w:val="24"/>
          <w:lang w:val="en-US" w:eastAsia="zh-CN"/>
        </w:rPr>
        <w:t>1</w:t>
      </w:r>
      <w:r>
        <w:rPr>
          <w:rFonts w:hint="eastAsia" w:ascii="微软雅黑" w:hAnsi="微软雅黑" w:eastAsia="微软雅黑" w:cs="微软雅黑"/>
          <w:color w:val="auto"/>
          <w:sz w:val="24"/>
          <w:szCs w:val="24"/>
        </w:rPr>
        <w:t>、此表中，投标总价应和</w:t>
      </w:r>
      <w:r>
        <w:rPr>
          <w:rFonts w:hint="eastAsia" w:ascii="微软雅黑" w:hAnsi="微软雅黑" w:eastAsia="微软雅黑" w:cs="微软雅黑"/>
          <w:color w:val="auto"/>
          <w:sz w:val="24"/>
          <w:szCs w:val="24"/>
          <w:lang w:val="en-US" w:eastAsia="zh-CN"/>
        </w:rPr>
        <w:t>磋商</w:t>
      </w:r>
      <w:r>
        <w:rPr>
          <w:rFonts w:hint="eastAsia" w:ascii="微软雅黑" w:hAnsi="微软雅黑" w:eastAsia="微软雅黑" w:cs="微软雅黑"/>
          <w:color w:val="auto"/>
          <w:sz w:val="24"/>
          <w:szCs w:val="24"/>
        </w:rPr>
        <w:t>分项报价表的总价相一致。</w:t>
      </w:r>
    </w:p>
    <w:p w14:paraId="32943CBE">
      <w:pPr>
        <w:pStyle w:val="16"/>
        <w:numPr>
          <w:ilvl w:val="0"/>
          <w:numId w:val="8"/>
        </w:numPr>
        <w:tabs>
          <w:tab w:val="left" w:pos="5580"/>
        </w:tabs>
        <w:spacing w:line="240" w:lineRule="atLeast"/>
        <w:ind w:left="1079" w:leftChars="428" w:hanging="180" w:hangingChars="75"/>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此报价中包含一切与本项目相关的费用。</w:t>
      </w:r>
    </w:p>
    <w:p w14:paraId="485240A5">
      <w:pPr>
        <w:pStyle w:val="16"/>
        <w:tabs>
          <w:tab w:val="left" w:pos="5580"/>
        </w:tabs>
        <w:snapToGrid w:val="0"/>
        <w:spacing w:line="400" w:lineRule="atLeast"/>
        <w:textAlignment w:val="baseline"/>
        <w:rPr>
          <w:rFonts w:hint="default" w:ascii="微软雅黑" w:hAnsi="微软雅黑" w:eastAsia="微软雅黑" w:cs="微软雅黑"/>
          <w:b/>
          <w:bCs/>
          <w:color w:val="auto"/>
          <w:sz w:val="24"/>
          <w:szCs w:val="24"/>
          <w:lang w:val="en-US" w:eastAsia="zh-CN"/>
        </w:rPr>
      </w:pPr>
      <w:r>
        <w:rPr>
          <w:rFonts w:hint="eastAsia" w:ascii="微软雅黑" w:hAnsi="微软雅黑" w:eastAsia="微软雅黑" w:cs="微软雅黑"/>
          <w:color w:val="auto"/>
          <w:sz w:val="24"/>
          <w:szCs w:val="24"/>
        </w:rPr>
        <w:t>根据《政府采购促进中小企业发展管理办法》（财库[2020]46号）、</w:t>
      </w:r>
      <w:r>
        <w:rPr>
          <w:rFonts w:hint="eastAsia" w:ascii="微软雅黑" w:hAnsi="微软雅黑" w:eastAsia="微软雅黑" w:cs="微软雅黑"/>
          <w:color w:val="auto"/>
          <w:sz w:val="24"/>
          <w:szCs w:val="24"/>
          <w:lang w:eastAsia="zh-CN"/>
        </w:rPr>
        <w:t>《</w:t>
      </w:r>
      <w:r>
        <w:rPr>
          <w:rFonts w:hint="eastAsia" w:ascii="微软雅黑" w:hAnsi="微软雅黑" w:eastAsia="微软雅黑" w:cs="微软雅黑"/>
          <w:color w:val="auto"/>
          <w:sz w:val="24"/>
          <w:szCs w:val="24"/>
          <w:lang w:val="en-US" w:eastAsia="zh-CN"/>
        </w:rPr>
        <w:t>关于落实好政府采购支持中小企业发展的通知</w:t>
      </w:r>
      <w:r>
        <w:rPr>
          <w:rFonts w:hint="eastAsia" w:ascii="微软雅黑" w:hAnsi="微软雅黑" w:eastAsia="微软雅黑" w:cs="微软雅黑"/>
          <w:color w:val="auto"/>
          <w:sz w:val="24"/>
          <w:szCs w:val="24"/>
          <w:lang w:eastAsia="zh-CN"/>
        </w:rPr>
        <w:t>》（</w:t>
      </w:r>
      <w:r>
        <w:rPr>
          <w:rFonts w:hint="eastAsia" w:ascii="微软雅黑" w:hAnsi="微软雅黑" w:eastAsia="微软雅黑" w:cs="微软雅黑"/>
          <w:color w:val="auto"/>
          <w:sz w:val="24"/>
          <w:szCs w:val="24"/>
        </w:rPr>
        <w:t>新财购 〔2022〕22号</w:t>
      </w:r>
      <w:r>
        <w:rPr>
          <w:rFonts w:hint="eastAsia" w:ascii="微软雅黑" w:hAnsi="微软雅黑" w:eastAsia="微软雅黑" w:cs="微软雅黑"/>
          <w:color w:val="auto"/>
          <w:sz w:val="24"/>
          <w:szCs w:val="24"/>
          <w:lang w:eastAsia="zh-CN"/>
        </w:rPr>
        <w:t>）、</w:t>
      </w:r>
      <w:r>
        <w:rPr>
          <w:rFonts w:hint="eastAsia" w:ascii="微软雅黑" w:hAnsi="微软雅黑" w:eastAsia="微软雅黑" w:cs="微软雅黑"/>
          <w:color w:val="auto"/>
          <w:sz w:val="24"/>
          <w:szCs w:val="24"/>
        </w:rPr>
        <w:t>《财政部 司法部关于政府采购支持监狱企业发展有关问题的通知》（财库〔2014〕68号）和《三部门联合发布关于促进残疾人就业政府采购政策的通知》（财库〔2017〕141号）</w:t>
      </w:r>
      <w:r>
        <w:rPr>
          <w:rFonts w:hint="eastAsia" w:ascii="微软雅黑" w:hAnsi="微软雅黑" w:eastAsia="微软雅黑" w:cs="微软雅黑"/>
          <w:color w:val="auto"/>
          <w:sz w:val="24"/>
          <w:szCs w:val="24"/>
          <w:lang w:eastAsia="zh-CN"/>
        </w:rPr>
        <w:t>、《关于进一步加大政府采购支持中小企业力度的通知》（财库〔2022〕19号）</w:t>
      </w:r>
      <w:r>
        <w:rPr>
          <w:rFonts w:hint="eastAsia" w:ascii="微软雅黑" w:hAnsi="微软雅黑" w:eastAsia="微软雅黑" w:cs="微软雅黑"/>
          <w:color w:val="auto"/>
          <w:sz w:val="24"/>
          <w:szCs w:val="24"/>
        </w:rPr>
        <w:t>的规定，对满足价格扣除条件且在</w:t>
      </w:r>
      <w:r>
        <w:rPr>
          <w:rFonts w:hint="eastAsia" w:ascii="微软雅黑" w:hAnsi="微软雅黑" w:eastAsia="微软雅黑" w:cs="微软雅黑"/>
          <w:color w:val="auto"/>
          <w:sz w:val="24"/>
          <w:szCs w:val="24"/>
          <w:lang w:eastAsia="zh-CN"/>
        </w:rPr>
        <w:t>响应文件</w:t>
      </w:r>
      <w:r>
        <w:rPr>
          <w:rFonts w:hint="eastAsia" w:ascii="微软雅黑" w:hAnsi="微软雅黑" w:eastAsia="微软雅黑" w:cs="微软雅黑"/>
          <w:color w:val="auto"/>
          <w:sz w:val="24"/>
          <w:szCs w:val="24"/>
        </w:rPr>
        <w:t>中提交了《中小企业声明函》或省级以上监狱管理局、戒毒管理局（含新疆生产建设兵团）出具的属于监狱企业的证明文件的供应商，其投标报价扣除</w:t>
      </w:r>
      <w:r>
        <w:rPr>
          <w:rFonts w:hint="eastAsia" w:ascii="微软雅黑" w:hAnsi="微软雅黑" w:eastAsia="微软雅黑" w:cs="微软雅黑"/>
          <w:color w:val="auto"/>
          <w:sz w:val="24"/>
          <w:szCs w:val="24"/>
          <w:u w:val="single"/>
          <w:lang w:val="en-US" w:eastAsia="zh-CN"/>
        </w:rPr>
        <w:t>10</w:t>
      </w:r>
      <w:r>
        <w:rPr>
          <w:rFonts w:hint="eastAsia" w:ascii="微软雅黑" w:hAnsi="微软雅黑" w:eastAsia="微软雅黑" w:cs="微软雅黑"/>
          <w:color w:val="auto"/>
          <w:sz w:val="24"/>
          <w:szCs w:val="24"/>
          <w:lang w:val="en-US" w:eastAsia="zh-CN"/>
        </w:rPr>
        <w:t>%</w:t>
      </w:r>
      <w:r>
        <w:rPr>
          <w:rFonts w:hint="eastAsia" w:ascii="微软雅黑" w:hAnsi="微软雅黑" w:eastAsia="微软雅黑" w:cs="微软雅黑"/>
          <w:color w:val="auto"/>
          <w:sz w:val="24"/>
          <w:szCs w:val="24"/>
        </w:rPr>
        <w:t>后参与</w:t>
      </w:r>
      <w:r>
        <w:rPr>
          <w:rFonts w:hint="eastAsia" w:ascii="微软雅黑" w:hAnsi="微软雅黑" w:eastAsia="微软雅黑" w:cs="微软雅黑"/>
          <w:color w:val="auto"/>
          <w:sz w:val="24"/>
          <w:szCs w:val="24"/>
          <w:lang w:eastAsia="zh-CN"/>
        </w:rPr>
        <w:t>评标</w:t>
      </w:r>
      <w:r>
        <w:rPr>
          <w:rFonts w:hint="eastAsia" w:ascii="微软雅黑" w:hAnsi="微软雅黑" w:eastAsia="微软雅黑" w:cs="微软雅黑"/>
          <w:color w:val="auto"/>
          <w:sz w:val="24"/>
          <w:szCs w:val="24"/>
        </w:rPr>
        <w:t>。对于同时属于小微企业、监狱企业或残疾人福利性单位的，不重复进行</w:t>
      </w:r>
      <w:r>
        <w:rPr>
          <w:rFonts w:hint="eastAsia" w:ascii="微软雅黑" w:hAnsi="微软雅黑" w:eastAsia="微软雅黑" w:cs="微软雅黑"/>
          <w:color w:val="auto"/>
          <w:sz w:val="24"/>
          <w:szCs w:val="24"/>
          <w:lang w:eastAsia="zh-CN"/>
        </w:rPr>
        <w:t>投标</w:t>
      </w:r>
      <w:r>
        <w:rPr>
          <w:rFonts w:hint="eastAsia" w:ascii="微软雅黑" w:hAnsi="微软雅黑" w:eastAsia="微软雅黑" w:cs="微软雅黑"/>
          <w:color w:val="auto"/>
          <w:sz w:val="24"/>
          <w:szCs w:val="24"/>
        </w:rPr>
        <w:t>报价扣除。</w:t>
      </w:r>
      <w:r>
        <w:rPr>
          <w:rFonts w:hint="eastAsia" w:ascii="微软雅黑" w:hAnsi="微软雅黑" w:eastAsia="微软雅黑" w:cs="微软雅黑"/>
          <w:b/>
          <w:bCs/>
          <w:color w:val="auto"/>
          <w:sz w:val="24"/>
          <w:szCs w:val="24"/>
          <w:lang w:val="en-US" w:eastAsia="zh-CN"/>
        </w:rPr>
        <w:t>注：</w:t>
      </w:r>
      <w:r>
        <w:rPr>
          <w:rFonts w:hint="eastAsia" w:ascii="微软雅黑" w:hAnsi="微软雅黑" w:eastAsia="微软雅黑" w:cs="微软雅黑"/>
          <w:b/>
          <w:bCs/>
          <w:i/>
          <w:iCs/>
          <w:color w:val="FF0000"/>
          <w:sz w:val="24"/>
          <w:szCs w:val="24"/>
          <w:highlight w:val="none"/>
          <w:lang w:val="en-US" w:eastAsia="zh-CN"/>
        </w:rPr>
        <w:t>本项目不属于专门面向中小企业项目，承接企业为小型企业或微型企业的可享受价10%的价格扣除后参与评审。须根据磋商文件中的法定格式提供中小企业声明函。</w:t>
      </w:r>
    </w:p>
    <w:p w14:paraId="40DD2A42">
      <w:pPr>
        <w:pStyle w:val="16"/>
        <w:tabs>
          <w:tab w:val="left" w:pos="5580"/>
        </w:tabs>
        <w:snapToGrid w:val="0"/>
        <w:spacing w:line="400" w:lineRule="atLeast"/>
        <w:textAlignment w:val="baseline"/>
        <w:rPr>
          <w:rFonts w:hint="default" w:ascii="微软雅黑" w:hAnsi="微软雅黑" w:eastAsia="微软雅黑" w:cs="微软雅黑"/>
          <w:b/>
          <w:bCs/>
          <w:color w:val="auto"/>
          <w:sz w:val="24"/>
          <w:szCs w:val="24"/>
          <w:lang w:val="en-US" w:eastAsia="zh-CN"/>
        </w:rPr>
      </w:pPr>
    </w:p>
    <w:p w14:paraId="632EA333">
      <w:pPr>
        <w:pStyle w:val="17"/>
        <w:rPr>
          <w:rFonts w:hint="eastAsia" w:ascii="微软雅黑" w:hAnsi="微软雅黑" w:eastAsia="微软雅黑" w:cs="微软雅黑"/>
          <w:color w:val="auto"/>
          <w:sz w:val="24"/>
          <w:szCs w:val="24"/>
        </w:rPr>
      </w:pPr>
    </w:p>
    <w:p w14:paraId="28FF8138">
      <w:pPr>
        <w:rPr>
          <w:rFonts w:hint="eastAsia" w:ascii="微软雅黑" w:hAnsi="微软雅黑" w:eastAsia="微软雅黑" w:cs="微软雅黑"/>
          <w:color w:val="auto"/>
          <w:sz w:val="24"/>
          <w:szCs w:val="24"/>
        </w:rPr>
      </w:pPr>
    </w:p>
    <w:p w14:paraId="4707811D">
      <w:pPr>
        <w:outlineLvl w:val="9"/>
        <w:rPr>
          <w:rFonts w:hint="eastAsia" w:ascii="微软雅黑" w:hAnsi="微软雅黑" w:eastAsia="微软雅黑" w:cs="微软雅黑"/>
          <w:color w:val="auto"/>
          <w:sz w:val="24"/>
          <w:szCs w:val="24"/>
        </w:rPr>
      </w:pPr>
    </w:p>
    <w:p w14:paraId="311C9916">
      <w:pPr>
        <w:outlineLvl w:val="9"/>
        <w:rPr>
          <w:rFonts w:hint="eastAsia" w:ascii="微软雅黑" w:hAnsi="微软雅黑" w:eastAsia="微软雅黑" w:cs="微软雅黑"/>
          <w:color w:val="auto"/>
          <w:sz w:val="24"/>
          <w:szCs w:val="24"/>
        </w:rPr>
      </w:pPr>
    </w:p>
    <w:bookmarkEnd w:id="423"/>
    <w:bookmarkEnd w:id="424"/>
    <w:bookmarkEnd w:id="425"/>
    <w:bookmarkEnd w:id="426"/>
    <w:bookmarkEnd w:id="427"/>
    <w:bookmarkEnd w:id="428"/>
    <w:bookmarkEnd w:id="429"/>
    <w:p w14:paraId="269C523E">
      <w:pPr>
        <w:rPr>
          <w:rFonts w:hint="eastAsia" w:ascii="微软雅黑" w:hAnsi="微软雅黑" w:eastAsia="微软雅黑" w:cs="微软雅黑"/>
          <w:b/>
          <w:bCs/>
          <w:color w:val="auto"/>
          <w:highlight w:val="none"/>
        </w:rPr>
      </w:pPr>
      <w:bookmarkStart w:id="432" w:name="_Toc32348"/>
      <w:bookmarkStart w:id="433" w:name="_Toc3218"/>
      <w:bookmarkStart w:id="434" w:name="_Toc520356217"/>
      <w:bookmarkStart w:id="435" w:name="_Ref467988698"/>
      <w:bookmarkStart w:id="436" w:name="_Toc480942349"/>
      <w:bookmarkStart w:id="437" w:name="_Toc216582813"/>
      <w:r>
        <w:rPr>
          <w:rFonts w:hint="eastAsia" w:ascii="微软雅黑" w:hAnsi="微软雅黑" w:eastAsia="微软雅黑" w:cs="微软雅黑"/>
          <w:b/>
          <w:bCs/>
          <w:color w:val="auto"/>
          <w:highlight w:val="none"/>
        </w:rPr>
        <w:br w:type="page"/>
      </w:r>
    </w:p>
    <w:p w14:paraId="0278E16C">
      <w:pPr>
        <w:pStyle w:val="7"/>
        <w:outlineLvl w:val="1"/>
        <w:rPr>
          <w:rFonts w:hint="eastAsia" w:ascii="微软雅黑" w:hAnsi="微软雅黑" w:eastAsia="微软雅黑" w:cs="微软雅黑"/>
          <w:b/>
          <w:bCs/>
          <w:color w:val="auto"/>
          <w:highlight w:val="none"/>
        </w:rPr>
      </w:pPr>
      <w:bookmarkStart w:id="438" w:name="_Toc23528"/>
      <w:r>
        <w:rPr>
          <w:rFonts w:hint="eastAsia" w:ascii="微软雅黑" w:hAnsi="微软雅黑" w:eastAsia="微软雅黑" w:cs="微软雅黑"/>
          <w:b/>
          <w:bCs/>
          <w:color w:val="auto"/>
          <w:highlight w:val="none"/>
        </w:rPr>
        <w:t xml:space="preserve">2  </w:t>
      </w:r>
      <w:bookmarkEnd w:id="432"/>
      <w:r>
        <w:rPr>
          <w:rFonts w:hint="eastAsia" w:ascii="微软雅黑" w:hAnsi="微软雅黑" w:eastAsia="微软雅黑" w:cs="微软雅黑"/>
          <w:b/>
          <w:bCs/>
          <w:color w:val="auto"/>
          <w:highlight w:val="none"/>
        </w:rPr>
        <w:t>符合《中华人民共和国政府采购法》第二十二条的规定</w:t>
      </w:r>
      <w:bookmarkEnd w:id="433"/>
      <w:bookmarkEnd w:id="438"/>
    </w:p>
    <w:p w14:paraId="1DE54AD1">
      <w:pPr>
        <w:pStyle w:val="16"/>
        <w:tabs>
          <w:tab w:val="left" w:pos="5580"/>
        </w:tabs>
        <w:snapToGrid w:val="0"/>
        <w:spacing w:line="400" w:lineRule="atLeast"/>
        <w:textAlignment w:val="baseline"/>
        <w:rPr>
          <w:rFonts w:ascii="微软雅黑" w:hAnsi="微软雅黑" w:eastAsia="微软雅黑" w:cs="微软雅黑"/>
          <w:b/>
          <w:color w:val="auto"/>
          <w:sz w:val="24"/>
          <w:szCs w:val="24"/>
        </w:rPr>
      </w:pPr>
    </w:p>
    <w:p w14:paraId="7E54FA11">
      <w:pPr>
        <w:pStyle w:val="7"/>
        <w:outlineLvl w:val="9"/>
        <w:rPr>
          <w:rFonts w:hint="eastAsia" w:ascii="微软雅黑" w:hAnsi="微软雅黑" w:eastAsia="微软雅黑" w:cs="微软雅黑"/>
          <w:b/>
          <w:bCs/>
          <w:color w:val="auto"/>
          <w:highlight w:val="none"/>
        </w:rPr>
      </w:pPr>
      <w:bookmarkStart w:id="439" w:name="_Toc16516"/>
      <w:bookmarkStart w:id="440" w:name="_Toc16088"/>
      <w:bookmarkStart w:id="441" w:name="_Toc8241"/>
      <w:bookmarkStart w:id="442" w:name="_Toc22089"/>
      <w:r>
        <w:rPr>
          <w:rFonts w:hint="eastAsia" w:ascii="微软雅黑" w:hAnsi="微软雅黑" w:eastAsia="微软雅黑" w:cs="微软雅黑"/>
          <w:b/>
          <w:bCs/>
          <w:i w:val="0"/>
          <w:iCs w:val="0"/>
          <w:caps w:val="0"/>
          <w:color w:val="auto"/>
          <w:spacing w:val="0"/>
          <w:sz w:val="24"/>
          <w:szCs w:val="24"/>
          <w:highlight w:val="none"/>
          <w:lang w:val="en-US" w:eastAsia="zh-CN"/>
        </w:rPr>
        <w:t>①具有独立承担民事责任的能力；（投标时，提供在中华人民共和国境内注册的法人或其他组织的营业执照或事业单位法人证书或社会团体法人登记证书）</w:t>
      </w:r>
    </w:p>
    <w:p w14:paraId="7ABAE3F1">
      <w:pPr>
        <w:pStyle w:val="7"/>
        <w:outlineLvl w:val="9"/>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说明：具有有效的营业执照正本或副本，须上传扫描件并加盖本单位公章。</w:t>
      </w:r>
    </w:p>
    <w:p w14:paraId="503F0A96">
      <w:pPr>
        <w:rPr>
          <w:rFonts w:hint="eastAsia" w:ascii="微软雅黑" w:hAnsi="微软雅黑" w:eastAsia="微软雅黑" w:cs="微软雅黑"/>
          <w:color w:val="auto"/>
          <w:kern w:val="2"/>
          <w:sz w:val="24"/>
          <w:szCs w:val="24"/>
          <w:highlight w:val="none"/>
          <w:lang w:val="en-US" w:eastAsia="zh-CN" w:bidi="ar-SA"/>
        </w:rPr>
      </w:pPr>
    </w:p>
    <w:p w14:paraId="1C3D8F48">
      <w:pPr>
        <w:rPr>
          <w:rFonts w:hint="eastAsia" w:ascii="微软雅黑" w:hAnsi="微软雅黑" w:eastAsia="微软雅黑" w:cs="微软雅黑"/>
          <w:color w:val="auto"/>
          <w:kern w:val="2"/>
          <w:sz w:val="24"/>
          <w:szCs w:val="24"/>
          <w:highlight w:val="none"/>
          <w:lang w:val="en-US" w:eastAsia="zh-CN" w:bidi="ar-SA"/>
        </w:rPr>
      </w:pPr>
    </w:p>
    <w:p w14:paraId="577F8786">
      <w:pPr>
        <w:rPr>
          <w:rFonts w:hint="eastAsia" w:ascii="微软雅黑" w:hAnsi="微软雅黑" w:eastAsia="微软雅黑" w:cs="微软雅黑"/>
          <w:color w:val="auto"/>
          <w:kern w:val="2"/>
          <w:sz w:val="24"/>
          <w:szCs w:val="24"/>
          <w:highlight w:val="none"/>
          <w:lang w:val="en-US" w:eastAsia="zh-CN" w:bidi="ar-SA"/>
        </w:rPr>
      </w:pPr>
    </w:p>
    <w:p w14:paraId="04DA15FA">
      <w:pPr>
        <w:rPr>
          <w:rFonts w:hint="eastAsia" w:ascii="微软雅黑" w:hAnsi="微软雅黑" w:eastAsia="微软雅黑" w:cs="微软雅黑"/>
          <w:color w:val="auto"/>
          <w:kern w:val="2"/>
          <w:sz w:val="24"/>
          <w:szCs w:val="24"/>
          <w:highlight w:val="none"/>
          <w:lang w:val="en-US" w:eastAsia="zh-CN" w:bidi="ar-SA"/>
        </w:rPr>
      </w:pPr>
    </w:p>
    <w:p w14:paraId="0A671790">
      <w:pPr>
        <w:rPr>
          <w:rFonts w:hint="eastAsia" w:ascii="微软雅黑" w:hAnsi="微软雅黑" w:eastAsia="微软雅黑" w:cs="微软雅黑"/>
          <w:color w:val="auto"/>
          <w:kern w:val="2"/>
          <w:sz w:val="24"/>
          <w:szCs w:val="24"/>
          <w:highlight w:val="none"/>
          <w:lang w:val="en-US" w:eastAsia="zh-CN" w:bidi="ar-SA"/>
        </w:rPr>
      </w:pPr>
    </w:p>
    <w:p w14:paraId="26073022">
      <w:pPr>
        <w:rPr>
          <w:rFonts w:hint="eastAsia" w:ascii="微软雅黑" w:hAnsi="微软雅黑" w:eastAsia="微软雅黑" w:cs="微软雅黑"/>
          <w:color w:val="auto"/>
          <w:kern w:val="2"/>
          <w:sz w:val="24"/>
          <w:szCs w:val="24"/>
          <w:highlight w:val="none"/>
          <w:lang w:val="en-US" w:eastAsia="zh-CN" w:bidi="ar-SA"/>
        </w:rPr>
      </w:pPr>
    </w:p>
    <w:p w14:paraId="6FC4F1FD">
      <w:pPr>
        <w:rPr>
          <w:rFonts w:hint="eastAsia" w:ascii="微软雅黑" w:hAnsi="微软雅黑" w:eastAsia="微软雅黑" w:cs="微软雅黑"/>
          <w:color w:val="auto"/>
          <w:kern w:val="2"/>
          <w:sz w:val="24"/>
          <w:szCs w:val="24"/>
          <w:highlight w:val="none"/>
          <w:lang w:val="en-US" w:eastAsia="zh-CN" w:bidi="ar-SA"/>
        </w:rPr>
      </w:pPr>
    </w:p>
    <w:p w14:paraId="33FD9761">
      <w:pPr>
        <w:rPr>
          <w:rFonts w:hint="eastAsia" w:ascii="微软雅黑" w:hAnsi="微软雅黑" w:eastAsia="微软雅黑" w:cs="微软雅黑"/>
          <w:color w:val="auto"/>
          <w:kern w:val="2"/>
          <w:sz w:val="24"/>
          <w:szCs w:val="24"/>
          <w:highlight w:val="none"/>
          <w:lang w:val="en-US" w:eastAsia="zh-CN" w:bidi="ar-SA"/>
        </w:rPr>
      </w:pPr>
    </w:p>
    <w:p w14:paraId="2724F498">
      <w:pPr>
        <w:rPr>
          <w:rFonts w:hint="eastAsia" w:ascii="微软雅黑" w:hAnsi="微软雅黑" w:eastAsia="微软雅黑" w:cs="微软雅黑"/>
          <w:color w:val="auto"/>
          <w:kern w:val="2"/>
          <w:sz w:val="24"/>
          <w:szCs w:val="24"/>
          <w:highlight w:val="none"/>
          <w:lang w:val="en-US" w:eastAsia="zh-CN" w:bidi="ar-SA"/>
        </w:rPr>
      </w:pPr>
    </w:p>
    <w:p w14:paraId="74565238">
      <w:pPr>
        <w:rPr>
          <w:rFonts w:hint="eastAsia" w:ascii="微软雅黑" w:hAnsi="微软雅黑" w:eastAsia="微软雅黑" w:cs="微软雅黑"/>
          <w:color w:val="auto"/>
          <w:kern w:val="2"/>
          <w:sz w:val="24"/>
          <w:szCs w:val="24"/>
          <w:highlight w:val="none"/>
          <w:lang w:val="en-US" w:eastAsia="zh-CN" w:bidi="ar-SA"/>
        </w:rPr>
      </w:pPr>
    </w:p>
    <w:p w14:paraId="0BAAA1F3">
      <w:pPr>
        <w:rPr>
          <w:rFonts w:hint="eastAsia" w:ascii="微软雅黑" w:hAnsi="微软雅黑" w:eastAsia="微软雅黑" w:cs="微软雅黑"/>
          <w:color w:val="auto"/>
          <w:kern w:val="2"/>
          <w:sz w:val="24"/>
          <w:szCs w:val="24"/>
          <w:highlight w:val="none"/>
          <w:lang w:val="en-US" w:eastAsia="zh-CN" w:bidi="ar-SA"/>
        </w:rPr>
      </w:pPr>
    </w:p>
    <w:p w14:paraId="2E55E0FA">
      <w:pPr>
        <w:rPr>
          <w:rFonts w:hint="eastAsia" w:ascii="微软雅黑" w:hAnsi="微软雅黑" w:eastAsia="微软雅黑" w:cs="微软雅黑"/>
          <w:color w:val="auto"/>
          <w:kern w:val="2"/>
          <w:sz w:val="24"/>
          <w:szCs w:val="24"/>
          <w:highlight w:val="none"/>
          <w:lang w:val="en-US" w:eastAsia="zh-CN" w:bidi="ar-SA"/>
        </w:rPr>
      </w:pPr>
    </w:p>
    <w:p w14:paraId="1D9EC725">
      <w:pPr>
        <w:rPr>
          <w:rFonts w:hint="eastAsia" w:ascii="微软雅黑" w:hAnsi="微软雅黑" w:eastAsia="微软雅黑" w:cs="微软雅黑"/>
          <w:color w:val="auto"/>
          <w:kern w:val="2"/>
          <w:sz w:val="24"/>
          <w:szCs w:val="24"/>
          <w:highlight w:val="none"/>
          <w:lang w:val="en-US" w:eastAsia="zh-CN" w:bidi="ar-SA"/>
        </w:rPr>
      </w:pPr>
    </w:p>
    <w:p w14:paraId="1454DB78">
      <w:pPr>
        <w:rPr>
          <w:rFonts w:hint="eastAsia" w:ascii="微软雅黑" w:hAnsi="微软雅黑" w:eastAsia="微软雅黑" w:cs="微软雅黑"/>
          <w:color w:val="auto"/>
          <w:kern w:val="2"/>
          <w:sz w:val="24"/>
          <w:szCs w:val="24"/>
          <w:highlight w:val="none"/>
          <w:lang w:val="en-US" w:eastAsia="zh-CN" w:bidi="ar-SA"/>
        </w:rPr>
      </w:pPr>
    </w:p>
    <w:p w14:paraId="3B2A1CDF">
      <w:pPr>
        <w:rPr>
          <w:rFonts w:hint="eastAsia" w:ascii="微软雅黑" w:hAnsi="微软雅黑" w:eastAsia="微软雅黑" w:cs="微软雅黑"/>
          <w:color w:val="auto"/>
          <w:kern w:val="2"/>
          <w:sz w:val="24"/>
          <w:szCs w:val="24"/>
          <w:highlight w:val="none"/>
          <w:lang w:val="en-US" w:eastAsia="zh-CN" w:bidi="ar-SA"/>
        </w:rPr>
      </w:pPr>
    </w:p>
    <w:p w14:paraId="34770125">
      <w:pPr>
        <w:rPr>
          <w:rFonts w:hint="eastAsia" w:ascii="微软雅黑" w:hAnsi="微软雅黑" w:eastAsia="微软雅黑" w:cs="微软雅黑"/>
          <w:color w:val="auto"/>
          <w:kern w:val="2"/>
          <w:sz w:val="24"/>
          <w:szCs w:val="24"/>
          <w:highlight w:val="none"/>
          <w:lang w:val="en-US" w:eastAsia="zh-CN" w:bidi="ar-SA"/>
        </w:rPr>
      </w:pPr>
    </w:p>
    <w:p w14:paraId="30B05002">
      <w:pPr>
        <w:rPr>
          <w:rFonts w:hint="eastAsia" w:ascii="微软雅黑" w:hAnsi="微软雅黑" w:eastAsia="微软雅黑" w:cs="微软雅黑"/>
          <w:color w:val="auto"/>
          <w:kern w:val="2"/>
          <w:sz w:val="24"/>
          <w:szCs w:val="24"/>
          <w:highlight w:val="none"/>
          <w:lang w:val="en-US" w:eastAsia="zh-CN" w:bidi="ar-SA"/>
        </w:rPr>
      </w:pPr>
    </w:p>
    <w:p w14:paraId="20BF2EC0">
      <w:pPr>
        <w:rPr>
          <w:rFonts w:hint="eastAsia" w:ascii="微软雅黑" w:hAnsi="微软雅黑" w:eastAsia="微软雅黑" w:cs="微软雅黑"/>
          <w:color w:val="auto"/>
          <w:kern w:val="2"/>
          <w:sz w:val="24"/>
          <w:szCs w:val="24"/>
          <w:highlight w:val="none"/>
          <w:lang w:val="en-US" w:eastAsia="zh-CN" w:bidi="ar-SA"/>
        </w:rPr>
      </w:pPr>
    </w:p>
    <w:p w14:paraId="5F11054F">
      <w:pPr>
        <w:rPr>
          <w:rFonts w:hint="eastAsia" w:ascii="微软雅黑" w:hAnsi="微软雅黑" w:eastAsia="微软雅黑" w:cs="微软雅黑"/>
          <w:color w:val="auto"/>
          <w:kern w:val="2"/>
          <w:sz w:val="24"/>
          <w:szCs w:val="24"/>
          <w:highlight w:val="none"/>
          <w:lang w:val="en-US" w:eastAsia="zh-CN" w:bidi="ar-SA"/>
        </w:rPr>
      </w:pPr>
    </w:p>
    <w:p w14:paraId="41909757">
      <w:pPr>
        <w:rPr>
          <w:rFonts w:hint="eastAsia" w:ascii="微软雅黑" w:hAnsi="微软雅黑" w:eastAsia="微软雅黑" w:cs="微软雅黑"/>
          <w:color w:val="auto"/>
          <w:kern w:val="2"/>
          <w:sz w:val="24"/>
          <w:szCs w:val="24"/>
          <w:highlight w:val="none"/>
          <w:lang w:val="en-US" w:eastAsia="zh-CN" w:bidi="ar-SA"/>
        </w:rPr>
      </w:pPr>
    </w:p>
    <w:p w14:paraId="6B73B108">
      <w:pPr>
        <w:rPr>
          <w:rFonts w:hint="eastAsia" w:ascii="微软雅黑" w:hAnsi="微软雅黑" w:eastAsia="微软雅黑" w:cs="微软雅黑"/>
          <w:color w:val="auto"/>
          <w:kern w:val="2"/>
          <w:sz w:val="24"/>
          <w:szCs w:val="24"/>
          <w:highlight w:val="none"/>
          <w:lang w:val="en-US" w:eastAsia="zh-CN" w:bidi="ar-SA"/>
        </w:rPr>
      </w:pPr>
    </w:p>
    <w:p w14:paraId="3F2B891D">
      <w:pPr>
        <w:rPr>
          <w:rFonts w:hint="eastAsia" w:ascii="微软雅黑" w:hAnsi="微软雅黑" w:eastAsia="微软雅黑" w:cs="微软雅黑"/>
          <w:color w:val="auto"/>
          <w:kern w:val="2"/>
          <w:sz w:val="24"/>
          <w:szCs w:val="24"/>
          <w:highlight w:val="none"/>
          <w:lang w:val="en-US" w:eastAsia="zh-CN" w:bidi="ar-SA"/>
        </w:rPr>
      </w:pPr>
    </w:p>
    <w:p w14:paraId="28116E01">
      <w:pPr>
        <w:rPr>
          <w:rFonts w:hint="eastAsia" w:ascii="微软雅黑" w:hAnsi="微软雅黑" w:eastAsia="微软雅黑" w:cs="微软雅黑"/>
          <w:color w:val="auto"/>
          <w:kern w:val="2"/>
          <w:sz w:val="24"/>
          <w:szCs w:val="24"/>
          <w:highlight w:val="none"/>
          <w:lang w:val="en-US" w:eastAsia="zh-CN" w:bidi="ar-SA"/>
        </w:rPr>
      </w:pPr>
    </w:p>
    <w:p w14:paraId="672E6902">
      <w:pPr>
        <w:rPr>
          <w:rFonts w:hint="eastAsia" w:ascii="微软雅黑" w:hAnsi="微软雅黑" w:eastAsia="微软雅黑" w:cs="微软雅黑"/>
          <w:color w:val="auto"/>
          <w:kern w:val="2"/>
          <w:sz w:val="24"/>
          <w:szCs w:val="24"/>
          <w:highlight w:val="none"/>
          <w:lang w:val="en-US" w:eastAsia="zh-CN" w:bidi="ar-SA"/>
        </w:rPr>
      </w:pPr>
    </w:p>
    <w:p w14:paraId="67E9C4C1">
      <w:pPr>
        <w:rPr>
          <w:rFonts w:hint="eastAsia" w:ascii="微软雅黑" w:hAnsi="微软雅黑" w:eastAsia="微软雅黑" w:cs="微软雅黑"/>
          <w:color w:val="auto"/>
          <w:kern w:val="2"/>
          <w:sz w:val="24"/>
          <w:szCs w:val="24"/>
          <w:highlight w:val="none"/>
          <w:lang w:val="en-US" w:eastAsia="zh-CN" w:bidi="ar-SA"/>
        </w:rPr>
      </w:pPr>
    </w:p>
    <w:p w14:paraId="2FFC18D6">
      <w:pPr>
        <w:rPr>
          <w:rFonts w:hint="eastAsia" w:ascii="微软雅黑" w:hAnsi="微软雅黑" w:eastAsia="微软雅黑" w:cs="微软雅黑"/>
          <w:color w:val="auto"/>
          <w:kern w:val="2"/>
          <w:sz w:val="24"/>
          <w:szCs w:val="24"/>
          <w:highlight w:val="none"/>
          <w:lang w:val="en-US" w:eastAsia="zh-CN" w:bidi="ar-SA"/>
        </w:rPr>
      </w:pPr>
    </w:p>
    <w:p w14:paraId="605D2EB9">
      <w:pPr>
        <w:rPr>
          <w:rFonts w:hint="eastAsia" w:ascii="微软雅黑" w:hAnsi="微软雅黑" w:eastAsia="微软雅黑" w:cs="微软雅黑"/>
          <w:color w:val="auto"/>
          <w:kern w:val="2"/>
          <w:sz w:val="24"/>
          <w:szCs w:val="24"/>
          <w:highlight w:val="none"/>
          <w:lang w:val="en-US" w:eastAsia="zh-CN" w:bidi="ar-SA"/>
        </w:rPr>
      </w:pPr>
    </w:p>
    <w:p w14:paraId="7936A0B8">
      <w:pPr>
        <w:rPr>
          <w:rFonts w:hint="eastAsia" w:ascii="微软雅黑" w:hAnsi="微软雅黑" w:eastAsia="微软雅黑" w:cs="微软雅黑"/>
          <w:color w:val="auto"/>
          <w:kern w:val="2"/>
          <w:sz w:val="24"/>
          <w:szCs w:val="24"/>
          <w:highlight w:val="none"/>
          <w:lang w:val="en-US" w:eastAsia="zh-CN" w:bidi="ar-SA"/>
        </w:rPr>
      </w:pPr>
    </w:p>
    <w:p w14:paraId="1F4382D8">
      <w:pPr>
        <w:rPr>
          <w:rFonts w:hint="eastAsia" w:ascii="微软雅黑" w:hAnsi="微软雅黑" w:eastAsia="微软雅黑" w:cs="微软雅黑"/>
          <w:color w:val="auto"/>
          <w:kern w:val="2"/>
          <w:sz w:val="24"/>
          <w:szCs w:val="24"/>
          <w:highlight w:val="none"/>
          <w:lang w:val="en-US" w:eastAsia="zh-CN" w:bidi="ar-SA"/>
        </w:rPr>
      </w:pPr>
    </w:p>
    <w:bookmarkEnd w:id="439"/>
    <w:bookmarkEnd w:id="440"/>
    <w:bookmarkEnd w:id="441"/>
    <w:bookmarkEnd w:id="442"/>
    <w:p w14:paraId="68CD8EDA">
      <w:pPr>
        <w:pStyle w:val="9"/>
        <w:snapToGrid w:val="0"/>
        <w:ind w:firstLine="480" w:firstLineChars="200"/>
        <w:textAlignment w:val="baseline"/>
        <w:outlineLvl w:val="9"/>
        <w:rPr>
          <w:rFonts w:hint="eastAsia" w:ascii="微软雅黑" w:hAnsi="微软雅黑" w:eastAsia="微软雅黑" w:cs="微软雅黑"/>
          <w:b/>
          <w:bCs/>
          <w:i w:val="0"/>
          <w:iCs w:val="0"/>
          <w:caps w:val="0"/>
          <w:color w:val="auto"/>
          <w:spacing w:val="0"/>
          <w:kern w:val="0"/>
          <w:sz w:val="24"/>
          <w:szCs w:val="24"/>
          <w:highlight w:val="none"/>
          <w:lang w:val="en-US" w:eastAsia="zh-CN" w:bidi="ar-SA"/>
        </w:rPr>
      </w:pPr>
      <w:r>
        <w:rPr>
          <w:rFonts w:hint="eastAsia" w:ascii="微软雅黑" w:hAnsi="微软雅黑" w:eastAsia="微软雅黑" w:cs="微软雅黑"/>
          <w:b/>
          <w:bCs/>
          <w:i w:val="0"/>
          <w:iCs w:val="0"/>
          <w:caps w:val="0"/>
          <w:color w:val="auto"/>
          <w:spacing w:val="0"/>
          <w:kern w:val="0"/>
          <w:sz w:val="24"/>
          <w:szCs w:val="24"/>
          <w:highlight w:val="none"/>
          <w:lang w:val="en-US" w:eastAsia="zh-CN" w:bidi="ar-SA"/>
        </w:rPr>
        <w:t>②法人投标需提供法人身份证明及身份证复印件，被授权委托人需提供法人授权委托书及身份证复印件</w:t>
      </w:r>
    </w:p>
    <w:p w14:paraId="7E8188AB">
      <w:pPr>
        <w:snapToGrid w:val="0"/>
        <w:spacing w:before="312" w:after="312" w:line="400" w:lineRule="exact"/>
        <w:jc w:val="center"/>
        <w:textAlignment w:val="baseline"/>
        <w:rPr>
          <w:rFonts w:ascii="微软雅黑" w:hAnsi="微软雅黑" w:eastAsia="微软雅黑" w:cs="微软雅黑"/>
          <w:color w:val="auto"/>
          <w:sz w:val="24"/>
        </w:rPr>
      </w:pPr>
      <w:r>
        <w:rPr>
          <w:rFonts w:hint="eastAsia" w:ascii="微软雅黑" w:hAnsi="微软雅黑" w:eastAsia="微软雅黑" w:cs="微软雅黑"/>
          <w:b/>
          <w:color w:val="auto"/>
          <w:sz w:val="24"/>
        </w:rPr>
        <w:t>法定代表人资格证明书</w:t>
      </w:r>
    </w:p>
    <w:p w14:paraId="16BF2D09">
      <w:pPr>
        <w:snapToGrid w:val="0"/>
        <w:spacing w:line="400" w:lineRule="exact"/>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 xml:space="preserve">               同志，现任我单位          职务，为法定代表人，特此证明。</w:t>
      </w:r>
    </w:p>
    <w:p w14:paraId="2043D408">
      <w:pPr>
        <w:snapToGrid w:val="0"/>
        <w:spacing w:line="400" w:lineRule="exact"/>
        <w:ind w:firstLine="240" w:firstLineChars="100"/>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 xml:space="preserve">签发日期：                  单位：         </w:t>
      </w:r>
    </w:p>
    <w:p w14:paraId="2076D328">
      <w:pPr>
        <w:snapToGrid w:val="0"/>
        <w:spacing w:line="400" w:lineRule="exact"/>
        <w:ind w:firstLine="240" w:firstLineChars="100"/>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附：代表人性别：            年龄：           身份证号码：</w:t>
      </w:r>
    </w:p>
    <w:p w14:paraId="363C847E">
      <w:pPr>
        <w:snapToGrid w:val="0"/>
        <w:spacing w:line="400" w:lineRule="exact"/>
        <w:ind w:firstLine="240" w:firstLineChars="100"/>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联系电话：</w:t>
      </w:r>
    </w:p>
    <w:p w14:paraId="5498EE69">
      <w:pPr>
        <w:snapToGrid w:val="0"/>
        <w:spacing w:line="400" w:lineRule="exact"/>
        <w:ind w:firstLine="240" w:firstLineChars="100"/>
        <w:textAlignment w:val="baseline"/>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营业执照号码：              经济性质：</w:t>
      </w:r>
    </w:p>
    <w:p w14:paraId="29387D19">
      <w:pPr>
        <w:snapToGrid w:val="0"/>
        <w:spacing w:line="400" w:lineRule="exact"/>
        <w:ind w:firstLine="240" w:firstLineChars="100"/>
        <w:textAlignment w:val="baseline"/>
        <w:rPr>
          <w:rFonts w:hint="eastAsia" w:ascii="微软雅黑" w:hAnsi="微软雅黑" w:eastAsia="微软雅黑" w:cs="微软雅黑"/>
          <w:color w:val="auto"/>
          <w:sz w:val="24"/>
        </w:rPr>
      </w:pPr>
    </w:p>
    <w:p w14:paraId="5B1E7CE7">
      <w:pPr>
        <w:snapToGrid w:val="0"/>
        <w:spacing w:line="400" w:lineRule="exact"/>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mc:AlternateContent>
          <mc:Choice Requires="wps">
            <w:drawing>
              <wp:anchor distT="0" distB="0" distL="0" distR="0" simplePos="0" relativeHeight="251660288" behindDoc="0" locked="0" layoutInCell="1" allowOverlap="1">
                <wp:simplePos x="0" y="0"/>
                <wp:positionH relativeFrom="column">
                  <wp:posOffset>154305</wp:posOffset>
                </wp:positionH>
                <wp:positionV relativeFrom="paragraph">
                  <wp:posOffset>10795</wp:posOffset>
                </wp:positionV>
                <wp:extent cx="2114550" cy="1375410"/>
                <wp:effectExtent l="4445" t="4445" r="14605" b="10795"/>
                <wp:wrapNone/>
                <wp:docPr id="1026" name="流程图: 可选过程 14"/>
                <wp:cNvGraphicFramePr/>
                <a:graphic xmlns:a="http://schemas.openxmlformats.org/drawingml/2006/main">
                  <a:graphicData uri="http://schemas.microsoft.com/office/word/2010/wordprocessingShape">
                    <wps:wsp>
                      <wps:cNvSpPr/>
                      <wps:spPr>
                        <a:xfrm>
                          <a:off x="0" y="0"/>
                          <a:ext cx="2114550" cy="137541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5DC0128D">
                            <w:pPr>
                              <w:jc w:val="center"/>
                              <w:rPr>
                                <w:rFonts w:hAnsi="宋体"/>
                                <w:szCs w:val="21"/>
                              </w:rPr>
                            </w:pPr>
                          </w:p>
                          <w:p w14:paraId="4BD11B1C">
                            <w:pPr>
                              <w:jc w:val="both"/>
                              <w:rPr>
                                <w:szCs w:val="21"/>
                              </w:rPr>
                            </w:pPr>
                          </w:p>
                        </w:txbxContent>
                      </wps:txbx>
                      <wps:bodyPr upright="1"/>
                    </wps:wsp>
                  </a:graphicData>
                </a:graphic>
              </wp:anchor>
            </w:drawing>
          </mc:Choice>
          <mc:Fallback>
            <w:pict>
              <v:shape id="流程图: 可选过程 14" o:spid="_x0000_s1026" o:spt="176" type="#_x0000_t176" style="position:absolute;left:0pt;margin-left:12.15pt;margin-top:0.85pt;height:108.3pt;width:166.5pt;z-index:251660288;mso-width-relative:page;mso-height-relative:page;" fillcolor="#FFFFFF" filled="t" stroked="t" coordsize="21600,21600" o:gfxdata="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GZ14n9UAAAAIAQAADwAAAAAAAAABACAAAAAiAAAAZHJzL2Rvd25yZXYueG1sUEsBAhQA&#10;FAAAAAgAh07iQOgyQHguAgAAVAQAAA4AAAAAAAAAAQAgAAAAJAEAAGRycy9lMm9Eb2MueG1sUEsF&#10;BgAAAAAGAAYAWQEAAMQFAAAAAA==&#10;">
                <v:fill on="t" focussize="0,0"/>
                <v:stroke color="#000000" joinstyle="miter"/>
                <v:imagedata o:title=""/>
                <o:lock v:ext="edit" aspectratio="f"/>
                <v:textbox>
                  <w:txbxContent>
                    <w:p w14:paraId="5DC0128D">
                      <w:pPr>
                        <w:jc w:val="center"/>
                        <w:rPr>
                          <w:rFonts w:hAnsi="宋体"/>
                          <w:szCs w:val="21"/>
                        </w:rPr>
                      </w:pPr>
                    </w:p>
                    <w:p w14:paraId="4BD11B1C">
                      <w:pPr>
                        <w:jc w:val="both"/>
                        <w:rPr>
                          <w:szCs w:val="21"/>
                        </w:rPr>
                      </w:pPr>
                    </w:p>
                  </w:txbxContent>
                </v:textbox>
              </v:shape>
            </w:pict>
          </mc:Fallback>
        </mc:AlternateContent>
      </w:r>
      <w:r>
        <w:rPr>
          <w:rFonts w:hint="eastAsia" w:ascii="微软雅黑" w:hAnsi="微软雅黑" w:eastAsia="微软雅黑" w:cs="微软雅黑"/>
          <w:color w:val="auto"/>
          <w:sz w:val="24"/>
        </w:rPr>
        <mc:AlternateContent>
          <mc:Choice Requires="wps">
            <w:drawing>
              <wp:anchor distT="0" distB="0" distL="0" distR="0" simplePos="0" relativeHeight="251660288" behindDoc="0" locked="0" layoutInCell="1" allowOverlap="1">
                <wp:simplePos x="0" y="0"/>
                <wp:positionH relativeFrom="column">
                  <wp:posOffset>2918460</wp:posOffset>
                </wp:positionH>
                <wp:positionV relativeFrom="paragraph">
                  <wp:posOffset>28575</wp:posOffset>
                </wp:positionV>
                <wp:extent cx="2077085" cy="1385570"/>
                <wp:effectExtent l="7620" t="7620" r="10795" b="16510"/>
                <wp:wrapNone/>
                <wp:docPr id="1027" name="圆角矩形 18"/>
                <wp:cNvGraphicFramePr/>
                <a:graphic xmlns:a="http://schemas.openxmlformats.org/drawingml/2006/main">
                  <a:graphicData uri="http://schemas.microsoft.com/office/word/2010/wordprocessingShape">
                    <wps:wsp>
                      <wps:cNvSpPr/>
                      <wps:spPr>
                        <a:xfrm>
                          <a:off x="0" y="0"/>
                          <a:ext cx="2077084" cy="1385570"/>
                        </a:xfrm>
                        <a:prstGeom prst="roundRect">
                          <a:avLst>
                            <a:gd name="adj" fmla="val 16667"/>
                          </a:avLst>
                        </a:prstGeom>
                        <a:solidFill>
                          <a:srgbClr val="FFFFFF"/>
                        </a:solidFill>
                        <a:ln w="15875" cap="flat" cmpd="sng">
                          <a:solidFill>
                            <a:srgbClr val="808080"/>
                          </a:solidFill>
                          <a:prstDash val="solid"/>
                          <a:round/>
                          <a:headEnd type="none" w="med" len="med"/>
                          <a:tailEnd type="none" w="med" len="med"/>
                        </a:ln>
                      </wps:spPr>
                      <wps:txbx>
                        <w:txbxContent>
                          <w:p w14:paraId="272CB138">
                            <w:pPr>
                              <w:jc w:val="center"/>
                              <w:rPr>
                                <w:rFonts w:hAnsi="宋体"/>
                                <w:szCs w:val="21"/>
                              </w:rPr>
                            </w:pPr>
                            <w:r>
                              <w:rPr>
                                <w:rFonts w:hint="eastAsia" w:hAnsi="宋体"/>
                                <w:szCs w:val="21"/>
                              </w:rPr>
                              <w:t xml:space="preserve">  </w:t>
                            </w:r>
                          </w:p>
                          <w:p w14:paraId="4442588C">
                            <w:pPr>
                              <w:jc w:val="center"/>
                              <w:rPr>
                                <w:rFonts w:hAnsi="宋体"/>
                                <w:szCs w:val="21"/>
                              </w:rPr>
                            </w:pPr>
                          </w:p>
                          <w:p w14:paraId="312EB9D6">
                            <w:pPr>
                              <w:jc w:val="center"/>
                              <w:rPr>
                                <w:rFonts w:hAnsi="宋体"/>
                                <w:szCs w:val="21"/>
                              </w:rPr>
                            </w:pPr>
                          </w:p>
                          <w:p w14:paraId="0DD379C6">
                            <w:pPr>
                              <w:jc w:val="center"/>
                              <w:rPr>
                                <w:szCs w:val="21"/>
                              </w:rPr>
                            </w:pPr>
                          </w:p>
                          <w:p w14:paraId="6B415311"/>
                          <w:p w14:paraId="7F6EECBD">
                            <w:pPr>
                              <w:pStyle w:val="7"/>
                            </w:pPr>
                          </w:p>
                          <w:p w14:paraId="6C86E124">
                            <w:pPr>
                              <w:pStyle w:val="7"/>
                            </w:pPr>
                          </w:p>
                          <w:p w14:paraId="3EE8A680">
                            <w:pPr>
                              <w:pStyle w:val="7"/>
                            </w:pPr>
                          </w:p>
                          <w:p w14:paraId="0010759E">
                            <w:pPr>
                              <w:pStyle w:val="7"/>
                            </w:pPr>
                          </w:p>
                        </w:txbxContent>
                      </wps:txbx>
                      <wps:bodyPr upright="1"/>
                    </wps:wsp>
                  </a:graphicData>
                </a:graphic>
              </wp:anchor>
            </w:drawing>
          </mc:Choice>
          <mc:Fallback>
            <w:pict>
              <v:roundrect id="圆角矩形 18" o:spid="_x0000_s1026" o:spt="2" style="position:absolute;left:0pt;margin-left:229.8pt;margin-top:2.25pt;height:109.1pt;width:163.55pt;z-index:251660288;mso-width-relative:page;mso-height-relative:page;" fillcolor="#FFFFFF" filled="t" stroked="t" coordsize="21600,21600" arcsize="0.166666666666667" o:gfxdata="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DP3JNnaAAAACQEAAA8AAAAAAAAAAQAgAAAAIgAAAGRycy9kb3ducmV2LnhtbFBL&#10;AQIUABQAAAAIAIdO4kA2KviDLQIAAGYEAAAOAAAAAAAAAAEAIAAAACkBAABkcnMvZTJvRG9jLnht&#10;bFBLBQYAAAAABgAGAFkBAADIBQAAAAA=&#10;">
                <v:fill on="t" focussize="0,0"/>
                <v:stroke weight="1.25pt" color="#808080" joinstyle="round"/>
                <v:imagedata o:title=""/>
                <o:lock v:ext="edit" aspectratio="f"/>
                <v:textbox>
                  <w:txbxContent>
                    <w:p w14:paraId="272CB138">
                      <w:pPr>
                        <w:jc w:val="center"/>
                        <w:rPr>
                          <w:rFonts w:hAnsi="宋体"/>
                          <w:szCs w:val="21"/>
                        </w:rPr>
                      </w:pPr>
                      <w:r>
                        <w:rPr>
                          <w:rFonts w:hint="eastAsia" w:hAnsi="宋体"/>
                          <w:szCs w:val="21"/>
                        </w:rPr>
                        <w:t xml:space="preserve">  </w:t>
                      </w:r>
                    </w:p>
                    <w:p w14:paraId="4442588C">
                      <w:pPr>
                        <w:jc w:val="center"/>
                        <w:rPr>
                          <w:rFonts w:hAnsi="宋体"/>
                          <w:szCs w:val="21"/>
                        </w:rPr>
                      </w:pPr>
                    </w:p>
                    <w:p w14:paraId="312EB9D6">
                      <w:pPr>
                        <w:jc w:val="center"/>
                        <w:rPr>
                          <w:rFonts w:hAnsi="宋体"/>
                          <w:szCs w:val="21"/>
                        </w:rPr>
                      </w:pPr>
                    </w:p>
                    <w:p w14:paraId="0DD379C6">
                      <w:pPr>
                        <w:jc w:val="center"/>
                        <w:rPr>
                          <w:szCs w:val="21"/>
                        </w:rPr>
                      </w:pPr>
                    </w:p>
                    <w:p w14:paraId="6B415311"/>
                    <w:p w14:paraId="7F6EECBD">
                      <w:pPr>
                        <w:pStyle w:val="7"/>
                      </w:pPr>
                    </w:p>
                    <w:p w14:paraId="6C86E124">
                      <w:pPr>
                        <w:pStyle w:val="7"/>
                      </w:pPr>
                    </w:p>
                    <w:p w14:paraId="3EE8A680">
                      <w:pPr>
                        <w:pStyle w:val="7"/>
                      </w:pPr>
                    </w:p>
                    <w:p w14:paraId="0010759E">
                      <w:pPr>
                        <w:pStyle w:val="7"/>
                      </w:pPr>
                    </w:p>
                  </w:txbxContent>
                </v:textbox>
              </v:roundrect>
            </w:pict>
          </mc:Fallback>
        </mc:AlternateContent>
      </w:r>
    </w:p>
    <w:p w14:paraId="428B25D5">
      <w:pPr>
        <w:snapToGrid w:val="0"/>
        <w:spacing w:line="400" w:lineRule="exact"/>
        <w:textAlignment w:val="baseline"/>
        <w:rPr>
          <w:rFonts w:ascii="微软雅黑" w:hAnsi="微软雅黑" w:eastAsia="微软雅黑" w:cs="微软雅黑"/>
          <w:color w:val="auto"/>
          <w:sz w:val="24"/>
        </w:rPr>
      </w:pPr>
    </w:p>
    <w:p w14:paraId="52850DB1">
      <w:pPr>
        <w:snapToGrid w:val="0"/>
        <w:spacing w:line="400" w:lineRule="exact"/>
        <w:textAlignment w:val="baseline"/>
        <w:rPr>
          <w:rFonts w:ascii="微软雅黑" w:hAnsi="微软雅黑" w:eastAsia="微软雅黑" w:cs="微软雅黑"/>
          <w:color w:val="auto"/>
          <w:sz w:val="24"/>
        </w:rPr>
      </w:pPr>
    </w:p>
    <w:p w14:paraId="66D5E360">
      <w:pPr>
        <w:pStyle w:val="26"/>
        <w:spacing w:line="400" w:lineRule="exact"/>
        <w:rPr>
          <w:rFonts w:ascii="微软雅黑" w:hAnsi="微软雅黑" w:eastAsia="微软雅黑" w:cs="微软雅黑"/>
          <w:color w:val="auto"/>
          <w:sz w:val="24"/>
        </w:rPr>
      </w:pPr>
    </w:p>
    <w:p w14:paraId="3D6B5787">
      <w:pPr>
        <w:pStyle w:val="26"/>
        <w:spacing w:line="400" w:lineRule="exact"/>
        <w:rPr>
          <w:rFonts w:ascii="微软雅黑" w:hAnsi="微软雅黑" w:eastAsia="微软雅黑" w:cs="微软雅黑"/>
          <w:color w:val="auto"/>
          <w:sz w:val="24"/>
        </w:rPr>
      </w:pPr>
    </w:p>
    <w:p w14:paraId="330EADB2">
      <w:pPr>
        <w:snapToGrid w:val="0"/>
        <w:spacing w:line="400" w:lineRule="exact"/>
        <w:ind w:right="246"/>
        <w:textAlignment w:val="baseline"/>
        <w:rPr>
          <w:rFonts w:ascii="微软雅黑" w:hAnsi="微软雅黑" w:eastAsia="微软雅黑" w:cs="微软雅黑"/>
          <w:color w:val="auto"/>
          <w:sz w:val="24"/>
        </w:rPr>
      </w:pPr>
    </w:p>
    <w:p w14:paraId="54686F6E">
      <w:pPr>
        <w:snapToGrid w:val="0"/>
        <w:spacing w:line="400" w:lineRule="exact"/>
        <w:ind w:right="246" w:firstLine="784" w:firstLineChars="327"/>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 xml:space="preserve">供应商（盖章）：                              </w:t>
      </w:r>
    </w:p>
    <w:p w14:paraId="4C120F91">
      <w:pPr>
        <w:snapToGrid w:val="0"/>
        <w:spacing w:line="400" w:lineRule="exact"/>
        <w:ind w:firstLine="784" w:firstLineChars="327"/>
        <w:textAlignment w:val="baseline"/>
        <w:rPr>
          <w:rFonts w:ascii="微软雅黑" w:hAnsi="微软雅黑" w:eastAsia="微软雅黑" w:cs="微软雅黑"/>
          <w:color w:val="auto"/>
          <w:sz w:val="24"/>
        </w:rPr>
      </w:pPr>
    </w:p>
    <w:p w14:paraId="0393314F">
      <w:pPr>
        <w:snapToGrid w:val="0"/>
        <w:spacing w:line="400" w:lineRule="exact"/>
        <w:ind w:firstLine="784" w:firstLineChars="327"/>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 xml:space="preserve">法定代表人(签/章)： </w:t>
      </w:r>
    </w:p>
    <w:p w14:paraId="2551DA84">
      <w:pPr>
        <w:pStyle w:val="16"/>
        <w:tabs>
          <w:tab w:val="left" w:pos="5370"/>
        </w:tabs>
        <w:snapToGrid w:val="0"/>
        <w:spacing w:line="400" w:lineRule="exact"/>
        <w:ind w:left="1155" w:leftChars="371" w:hanging="376" w:hangingChars="157"/>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szCs w:val="24"/>
        </w:rPr>
        <w:t>供应商(公章):</w:t>
      </w:r>
      <w:r>
        <w:rPr>
          <w:rFonts w:hint="eastAsia" w:ascii="微软雅黑" w:hAnsi="微软雅黑" w:eastAsia="微软雅黑" w:cs="微软雅黑"/>
          <w:color w:val="auto"/>
          <w:sz w:val="24"/>
        </w:rPr>
        <w:t xml:space="preserve"> </w:t>
      </w:r>
    </w:p>
    <w:p w14:paraId="693E8D5D">
      <w:pPr>
        <w:snapToGrid w:val="0"/>
        <w:spacing w:line="400" w:lineRule="exact"/>
        <w:ind w:firstLine="784" w:firstLineChars="327"/>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 xml:space="preserve">                  </w:t>
      </w:r>
    </w:p>
    <w:p w14:paraId="37F26284">
      <w:pPr>
        <w:snapToGrid w:val="0"/>
        <w:spacing w:line="400" w:lineRule="exact"/>
        <w:ind w:firstLine="784" w:firstLineChars="327"/>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 xml:space="preserve">日期：                                       </w:t>
      </w:r>
    </w:p>
    <w:p w14:paraId="41AD060B">
      <w:pPr>
        <w:pStyle w:val="36"/>
        <w:snapToGrid w:val="0"/>
        <w:spacing w:line="400" w:lineRule="exact"/>
        <w:ind w:firstLine="480"/>
        <w:textAlignment w:val="baseline"/>
        <w:rPr>
          <w:rFonts w:ascii="微软雅黑" w:hAnsi="微软雅黑" w:eastAsia="微软雅黑" w:cs="微软雅黑"/>
          <w:color w:val="auto"/>
        </w:rPr>
      </w:pPr>
      <w:bookmarkStart w:id="443" w:name="_Toc5436"/>
      <w:bookmarkStart w:id="444" w:name="_Toc13107"/>
      <w:bookmarkStart w:id="445" w:name="_Toc6829"/>
      <w:bookmarkStart w:id="446" w:name="_Toc22472"/>
      <w:bookmarkStart w:id="447" w:name="_Toc1083"/>
      <w:bookmarkStart w:id="448" w:name="_Toc16640"/>
      <w:bookmarkStart w:id="449" w:name="_Toc21867"/>
      <w:bookmarkStart w:id="450" w:name="_Toc515647807"/>
    </w:p>
    <w:p w14:paraId="47DAD1A6">
      <w:pPr>
        <w:rPr>
          <w:rFonts w:hint="eastAsia" w:ascii="微软雅黑" w:hAnsi="微软雅黑" w:eastAsia="微软雅黑" w:cs="微软雅黑"/>
          <w:b/>
          <w:bCs/>
          <w:color w:val="auto"/>
          <w:sz w:val="24"/>
        </w:rPr>
      </w:pPr>
      <w:bookmarkStart w:id="451" w:name="_Toc4926"/>
      <w:bookmarkStart w:id="452" w:name="_Toc8491"/>
      <w:bookmarkStart w:id="453" w:name="_Toc7748"/>
      <w:bookmarkStart w:id="454" w:name="_Toc14483"/>
      <w:bookmarkStart w:id="455" w:name="_Toc27943"/>
      <w:bookmarkStart w:id="456" w:name="_Toc4082"/>
      <w:bookmarkStart w:id="457" w:name="_Toc16635"/>
      <w:r>
        <w:rPr>
          <w:rFonts w:hint="eastAsia" w:ascii="微软雅黑" w:hAnsi="微软雅黑" w:eastAsia="微软雅黑" w:cs="微软雅黑"/>
          <w:b/>
          <w:bCs/>
          <w:color w:val="auto"/>
          <w:sz w:val="24"/>
        </w:rPr>
        <w:br w:type="page"/>
      </w:r>
    </w:p>
    <w:p w14:paraId="614DBCFF">
      <w:pPr>
        <w:snapToGrid w:val="0"/>
        <w:spacing w:line="400" w:lineRule="exact"/>
        <w:ind w:left="1080" w:leftChars="257" w:hanging="540"/>
        <w:jc w:val="center"/>
        <w:textAlignment w:val="baseline"/>
        <w:rPr>
          <w:rFonts w:ascii="微软雅黑" w:hAnsi="微软雅黑" w:eastAsia="微软雅黑" w:cs="微软雅黑"/>
          <w:b/>
          <w:bCs/>
          <w:color w:val="auto"/>
          <w:sz w:val="24"/>
          <w:u w:val="single" w:color="000000"/>
        </w:rPr>
      </w:pPr>
      <w:r>
        <w:rPr>
          <w:rFonts w:hint="eastAsia" w:ascii="微软雅黑" w:hAnsi="微软雅黑" w:eastAsia="微软雅黑" w:cs="微软雅黑"/>
          <w:b/>
          <w:bCs/>
          <w:color w:val="auto"/>
          <w:sz w:val="24"/>
        </w:rPr>
        <w:t>法定代表人授权委托书</w:t>
      </w:r>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p>
    <w:p w14:paraId="67539C79">
      <w:pPr>
        <w:pStyle w:val="16"/>
        <w:tabs>
          <w:tab w:val="left" w:pos="5580"/>
        </w:tabs>
        <w:snapToGrid w:val="0"/>
        <w:spacing w:line="400" w:lineRule="exact"/>
        <w:textAlignment w:val="baseline"/>
        <w:rPr>
          <w:rFonts w:ascii="微软雅黑" w:hAnsi="微软雅黑" w:eastAsia="微软雅黑" w:cs="微软雅黑"/>
          <w:color w:val="auto"/>
          <w:sz w:val="24"/>
          <w:szCs w:val="24"/>
        </w:rPr>
      </w:pPr>
      <w:bookmarkStart w:id="458" w:name="_Toc515647808"/>
      <w:bookmarkStart w:id="459" w:name="_Toc7039"/>
      <w:bookmarkStart w:id="460" w:name="_Toc32520"/>
      <w:r>
        <w:rPr>
          <w:rFonts w:hint="eastAsia" w:ascii="微软雅黑" w:hAnsi="微软雅黑" w:eastAsia="微软雅黑" w:cs="微软雅黑"/>
          <w:color w:val="auto"/>
          <w:sz w:val="24"/>
          <w:szCs w:val="24"/>
        </w:rPr>
        <w:cr/>
      </w:r>
      <w:r>
        <w:rPr>
          <w:rFonts w:hint="eastAsia" w:ascii="微软雅黑" w:hAnsi="微软雅黑" w:eastAsia="微软雅黑" w:cs="微软雅黑"/>
          <w:color w:val="auto"/>
          <w:sz w:val="24"/>
          <w:szCs w:val="24"/>
        </w:rPr>
        <w:t xml:space="preserve">    本授权书声明：注册于（国家或地区的名称）的（供应商）的在下面签字的（法人代表姓名、职务）代表我单位授权（单位名称）的在下面签字的（被授权人的姓名、职务）为我单位的合法代理人，就（项目名称）的磋商，以我单位名义处理一切与之有关的事务。　　</w:t>
      </w:r>
    </w:p>
    <w:p w14:paraId="2E6A5699">
      <w:pPr>
        <w:pStyle w:val="16"/>
        <w:tabs>
          <w:tab w:val="left" w:pos="5580"/>
        </w:tabs>
        <w:snapToGrid w:val="0"/>
        <w:spacing w:line="400" w:lineRule="exac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本授权书于           年     月     日签字生效,特此声明。</w:t>
      </w:r>
    </w:p>
    <w:p w14:paraId="4F05AD2D">
      <w:pPr>
        <w:pStyle w:val="16"/>
        <w:tabs>
          <w:tab w:val="left" w:pos="5580"/>
        </w:tabs>
        <w:snapToGrid w:val="0"/>
        <w:spacing w:line="400" w:lineRule="exac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mc:AlternateContent>
          <mc:Choice Requires="wps">
            <w:drawing>
              <wp:anchor distT="0" distB="0" distL="0" distR="0" simplePos="0" relativeHeight="251660288" behindDoc="0" locked="0" layoutInCell="1" allowOverlap="1">
                <wp:simplePos x="0" y="0"/>
                <wp:positionH relativeFrom="column">
                  <wp:posOffset>3039110</wp:posOffset>
                </wp:positionH>
                <wp:positionV relativeFrom="paragraph">
                  <wp:posOffset>97155</wp:posOffset>
                </wp:positionV>
                <wp:extent cx="2478405" cy="1387475"/>
                <wp:effectExtent l="7620" t="7620" r="9525" b="14605"/>
                <wp:wrapNone/>
                <wp:docPr id="1028" name="圆角矩形 15"/>
                <wp:cNvGraphicFramePr/>
                <a:graphic xmlns:a="http://schemas.openxmlformats.org/drawingml/2006/main">
                  <a:graphicData uri="http://schemas.microsoft.com/office/word/2010/wordprocessingShape">
                    <wps:wsp>
                      <wps:cNvSpPr/>
                      <wps:spPr>
                        <a:xfrm>
                          <a:off x="0" y="0"/>
                          <a:ext cx="2478405" cy="1387475"/>
                        </a:xfrm>
                        <a:prstGeom prst="roundRect">
                          <a:avLst>
                            <a:gd name="adj" fmla="val 16667"/>
                          </a:avLst>
                        </a:prstGeom>
                        <a:solidFill>
                          <a:srgbClr val="FFFFFF"/>
                        </a:solidFill>
                        <a:ln w="15875" cap="flat" cmpd="sng">
                          <a:solidFill>
                            <a:srgbClr val="808080"/>
                          </a:solidFill>
                          <a:prstDash val="solid"/>
                          <a:round/>
                          <a:headEnd type="none" w="med" len="med"/>
                          <a:tailEnd type="none" w="med" len="med"/>
                        </a:ln>
                      </wps:spPr>
                      <wps:txbx>
                        <w:txbxContent>
                          <w:p w14:paraId="25E48F2E">
                            <w:pPr>
                              <w:rPr>
                                <w:rFonts w:hAnsi="宋体"/>
                              </w:rPr>
                            </w:pPr>
                          </w:p>
                          <w:p w14:paraId="2EE84742">
                            <w:pPr>
                              <w:rPr>
                                <w:rFonts w:hAnsi="宋体"/>
                              </w:rPr>
                            </w:pPr>
                          </w:p>
                          <w:p w14:paraId="57C06B2C">
                            <w:pPr>
                              <w:rPr>
                                <w:rFonts w:hAnsi="宋体"/>
                              </w:rPr>
                            </w:pPr>
                          </w:p>
                          <w:p w14:paraId="4D8A9F2A">
                            <w:pPr>
                              <w:ind w:firstLine="420" w:firstLineChars="200"/>
                            </w:pPr>
                            <w:r>
                              <w:rPr>
                                <w:rFonts w:hint="eastAsia" w:hAnsi="宋体"/>
                              </w:rPr>
                              <w:t>授权委托人身份证复印件反面</w:t>
                            </w:r>
                          </w:p>
                          <w:p w14:paraId="697816E2"/>
                        </w:txbxContent>
                      </wps:txbx>
                      <wps:bodyPr upright="1"/>
                    </wps:wsp>
                  </a:graphicData>
                </a:graphic>
              </wp:anchor>
            </w:drawing>
          </mc:Choice>
          <mc:Fallback>
            <w:pict>
              <v:roundrect id="圆角矩形 15" o:spid="_x0000_s1026" o:spt="2" style="position:absolute;left:0pt;margin-left:239.3pt;margin-top:7.65pt;height:109.25pt;width:195.15pt;z-index:251660288;mso-width-relative:page;mso-height-relative:page;" fillcolor="#FFFFFF" filled="t" stroked="t" coordsize="21600,21600" arcsize="0.166666666666667" o:gfxdata="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NBk62fbAAAACgEAAA8AAAAAAAAAAQAgAAAAIgAAAGRycy9kb3ducmV2LnhtbFBL&#10;AQIUABQAAAAIAIdO4kC/extPLAIAAGYEAAAOAAAAAAAAAAEAIAAAACoBAABkcnMvZTJvRG9jLnht&#10;bFBLBQYAAAAABgAGAFkBAADIBQAAAAA=&#10;">
                <v:fill on="t" focussize="0,0"/>
                <v:stroke weight="1.25pt" color="#808080" joinstyle="round"/>
                <v:imagedata o:title=""/>
                <o:lock v:ext="edit" aspectratio="f"/>
                <v:textbox>
                  <w:txbxContent>
                    <w:p w14:paraId="25E48F2E">
                      <w:pPr>
                        <w:rPr>
                          <w:rFonts w:hAnsi="宋体"/>
                        </w:rPr>
                      </w:pPr>
                    </w:p>
                    <w:p w14:paraId="2EE84742">
                      <w:pPr>
                        <w:rPr>
                          <w:rFonts w:hAnsi="宋体"/>
                        </w:rPr>
                      </w:pPr>
                    </w:p>
                    <w:p w14:paraId="57C06B2C">
                      <w:pPr>
                        <w:rPr>
                          <w:rFonts w:hAnsi="宋体"/>
                        </w:rPr>
                      </w:pPr>
                    </w:p>
                    <w:p w14:paraId="4D8A9F2A">
                      <w:pPr>
                        <w:ind w:firstLine="420" w:firstLineChars="200"/>
                      </w:pPr>
                      <w:r>
                        <w:rPr>
                          <w:rFonts w:hint="eastAsia" w:hAnsi="宋体"/>
                        </w:rPr>
                        <w:t>授权委托人身份证复印件反面</w:t>
                      </w:r>
                    </w:p>
                    <w:p w14:paraId="697816E2"/>
                  </w:txbxContent>
                </v:textbox>
              </v:roundrect>
            </w:pict>
          </mc:Fallback>
        </mc:AlternateContent>
      </w:r>
      <w:r>
        <w:rPr>
          <w:rFonts w:hint="eastAsia" w:ascii="微软雅黑" w:hAnsi="微软雅黑" w:eastAsia="微软雅黑" w:cs="微软雅黑"/>
          <w:color w:val="auto"/>
          <w:sz w:val="24"/>
          <w:szCs w:val="24"/>
        </w:rPr>
        <mc:AlternateContent>
          <mc:Choice Requires="wps">
            <w:drawing>
              <wp:anchor distT="0" distB="0" distL="0" distR="0" simplePos="0" relativeHeight="251660288" behindDoc="0" locked="0" layoutInCell="1" allowOverlap="1">
                <wp:simplePos x="0" y="0"/>
                <wp:positionH relativeFrom="column">
                  <wp:posOffset>20955</wp:posOffset>
                </wp:positionH>
                <wp:positionV relativeFrom="paragraph">
                  <wp:posOffset>135890</wp:posOffset>
                </wp:positionV>
                <wp:extent cx="2507615" cy="1405890"/>
                <wp:effectExtent l="4445" t="4445" r="21590" b="18415"/>
                <wp:wrapNone/>
                <wp:docPr id="1029" name="流程图: 可选过程 19"/>
                <wp:cNvGraphicFramePr/>
                <a:graphic xmlns:a="http://schemas.openxmlformats.org/drawingml/2006/main">
                  <a:graphicData uri="http://schemas.microsoft.com/office/word/2010/wordprocessingShape">
                    <wps:wsp>
                      <wps:cNvSpPr/>
                      <wps:spPr>
                        <a:xfrm>
                          <a:off x="0" y="0"/>
                          <a:ext cx="2507615" cy="140589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4C852F23">
                            <w:pPr>
                              <w:jc w:val="center"/>
                              <w:rPr>
                                <w:rFonts w:hAnsi="宋体"/>
                              </w:rPr>
                            </w:pPr>
                          </w:p>
                          <w:p w14:paraId="50C9ACE2">
                            <w:pPr>
                              <w:jc w:val="center"/>
                              <w:rPr>
                                <w:rFonts w:hAnsi="宋体"/>
                              </w:rPr>
                            </w:pPr>
                          </w:p>
                          <w:p w14:paraId="56D64B4C">
                            <w:pPr>
                              <w:jc w:val="center"/>
                              <w:rPr>
                                <w:rFonts w:hAnsi="宋体"/>
                              </w:rPr>
                            </w:pPr>
                          </w:p>
                          <w:p w14:paraId="747992D6">
                            <w:pPr>
                              <w:jc w:val="center"/>
                            </w:pPr>
                            <w:r>
                              <w:rPr>
                                <w:rFonts w:hint="eastAsia" w:hAnsi="宋体"/>
                              </w:rPr>
                              <w:t>授权委托人身份证复印件正面</w:t>
                            </w:r>
                          </w:p>
                        </w:txbxContent>
                      </wps:txbx>
                      <wps:bodyPr upright="1"/>
                    </wps:wsp>
                  </a:graphicData>
                </a:graphic>
              </wp:anchor>
            </w:drawing>
          </mc:Choice>
          <mc:Fallback>
            <w:pict>
              <v:shape id="流程图: 可选过程 19" o:spid="_x0000_s1026" o:spt="176" type="#_x0000_t176" style="position:absolute;left:0pt;margin-left:1.65pt;margin-top:10.7pt;height:110.7pt;width:197.45pt;z-index:251660288;mso-width-relative:page;mso-height-relative:page;" fillcolor="#FFFFFF" filled="t" stroked="t" coordsize="21600,21600" o:gfxdata="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COS6tt1wAAAAgBAAAPAAAAAAAAAAEAIAAAACIAAABkcnMvZG93bnJldi54bWxQSwEC&#10;FAAUAAAACACHTuJAbjjyqS4CAABUBAAADgAAAAAAAAABACAAAAAmAQAAZHJzL2Uyb0RvYy54bWxQ&#10;SwUGAAAAAAYABgBZAQAAxgUAAAAA&#10;">
                <v:fill on="t" focussize="0,0"/>
                <v:stroke color="#000000" joinstyle="miter"/>
                <v:imagedata o:title=""/>
                <o:lock v:ext="edit" aspectratio="f"/>
                <v:textbox>
                  <w:txbxContent>
                    <w:p w14:paraId="4C852F23">
                      <w:pPr>
                        <w:jc w:val="center"/>
                        <w:rPr>
                          <w:rFonts w:hAnsi="宋体"/>
                        </w:rPr>
                      </w:pPr>
                    </w:p>
                    <w:p w14:paraId="50C9ACE2">
                      <w:pPr>
                        <w:jc w:val="center"/>
                        <w:rPr>
                          <w:rFonts w:hAnsi="宋体"/>
                        </w:rPr>
                      </w:pPr>
                    </w:p>
                    <w:p w14:paraId="56D64B4C">
                      <w:pPr>
                        <w:jc w:val="center"/>
                        <w:rPr>
                          <w:rFonts w:hAnsi="宋体"/>
                        </w:rPr>
                      </w:pPr>
                    </w:p>
                    <w:p w14:paraId="747992D6">
                      <w:pPr>
                        <w:jc w:val="center"/>
                      </w:pPr>
                      <w:r>
                        <w:rPr>
                          <w:rFonts w:hint="eastAsia" w:hAnsi="宋体"/>
                        </w:rPr>
                        <w:t>授权委托人身份证复印件正面</w:t>
                      </w:r>
                    </w:p>
                  </w:txbxContent>
                </v:textbox>
              </v:shape>
            </w:pict>
          </mc:Fallback>
        </mc:AlternateContent>
      </w:r>
    </w:p>
    <w:p w14:paraId="17AA1670">
      <w:pPr>
        <w:pStyle w:val="16"/>
        <w:tabs>
          <w:tab w:val="left" w:pos="5580"/>
        </w:tabs>
        <w:snapToGrid w:val="0"/>
        <w:spacing w:line="400" w:lineRule="exact"/>
        <w:ind w:left="1080" w:leftChars="257" w:hanging="540"/>
        <w:textAlignment w:val="baseline"/>
        <w:rPr>
          <w:rFonts w:ascii="微软雅黑" w:hAnsi="微软雅黑" w:eastAsia="微软雅黑" w:cs="微软雅黑"/>
          <w:color w:val="auto"/>
          <w:sz w:val="24"/>
          <w:szCs w:val="24"/>
        </w:rPr>
      </w:pPr>
    </w:p>
    <w:p w14:paraId="45F39552">
      <w:pPr>
        <w:pStyle w:val="16"/>
        <w:tabs>
          <w:tab w:val="left" w:pos="5580"/>
        </w:tabs>
        <w:snapToGrid w:val="0"/>
        <w:spacing w:line="400" w:lineRule="exact"/>
        <w:textAlignment w:val="baseline"/>
        <w:rPr>
          <w:rFonts w:ascii="微软雅黑" w:hAnsi="微软雅黑" w:eastAsia="微软雅黑" w:cs="微软雅黑"/>
          <w:color w:val="auto"/>
          <w:sz w:val="24"/>
          <w:szCs w:val="24"/>
        </w:rPr>
      </w:pPr>
    </w:p>
    <w:p w14:paraId="2DBD4CB6">
      <w:pPr>
        <w:pStyle w:val="16"/>
        <w:tabs>
          <w:tab w:val="left" w:pos="5580"/>
        </w:tabs>
        <w:snapToGrid w:val="0"/>
        <w:spacing w:line="400" w:lineRule="exact"/>
        <w:textAlignment w:val="baseline"/>
        <w:rPr>
          <w:rFonts w:ascii="微软雅黑" w:hAnsi="微软雅黑" w:eastAsia="微软雅黑" w:cs="微软雅黑"/>
          <w:color w:val="auto"/>
          <w:sz w:val="24"/>
          <w:szCs w:val="24"/>
        </w:rPr>
      </w:pPr>
    </w:p>
    <w:p w14:paraId="463C2FA3">
      <w:pPr>
        <w:pStyle w:val="16"/>
        <w:tabs>
          <w:tab w:val="left" w:pos="5580"/>
        </w:tabs>
        <w:snapToGrid w:val="0"/>
        <w:spacing w:line="400" w:lineRule="exact"/>
        <w:textAlignment w:val="baseline"/>
        <w:rPr>
          <w:rFonts w:ascii="微软雅黑" w:hAnsi="微软雅黑" w:eastAsia="微软雅黑" w:cs="微软雅黑"/>
          <w:color w:val="auto"/>
          <w:sz w:val="24"/>
          <w:szCs w:val="24"/>
        </w:rPr>
      </w:pPr>
    </w:p>
    <w:p w14:paraId="21406CDF">
      <w:pPr>
        <w:pStyle w:val="16"/>
        <w:tabs>
          <w:tab w:val="left" w:pos="5580"/>
        </w:tabs>
        <w:snapToGrid w:val="0"/>
        <w:spacing w:line="400" w:lineRule="exact"/>
        <w:textAlignment w:val="baseline"/>
        <w:rPr>
          <w:rFonts w:ascii="微软雅黑" w:hAnsi="微软雅黑" w:eastAsia="微软雅黑" w:cs="微软雅黑"/>
          <w:color w:val="auto"/>
          <w:sz w:val="24"/>
          <w:szCs w:val="24"/>
        </w:rPr>
      </w:pPr>
    </w:p>
    <w:p w14:paraId="7E0AB9D0">
      <w:pPr>
        <w:pStyle w:val="16"/>
        <w:tabs>
          <w:tab w:val="left" w:pos="5580"/>
        </w:tabs>
        <w:snapToGrid w:val="0"/>
        <w:spacing w:line="400" w:lineRule="exact"/>
        <w:textAlignment w:val="baseline"/>
        <w:rPr>
          <w:rFonts w:ascii="微软雅黑" w:hAnsi="微软雅黑" w:eastAsia="微软雅黑" w:cs="微软雅黑"/>
          <w:color w:val="auto"/>
          <w:sz w:val="24"/>
          <w:szCs w:val="24"/>
        </w:rPr>
      </w:pPr>
    </w:p>
    <w:p w14:paraId="34A6FB3B">
      <w:pPr>
        <w:pStyle w:val="16"/>
        <w:tabs>
          <w:tab w:val="left" w:pos="5580"/>
        </w:tabs>
        <w:snapToGrid w:val="0"/>
        <w:spacing w:line="400" w:lineRule="exact"/>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mc:AlternateContent>
          <mc:Choice Requires="wps">
            <w:drawing>
              <wp:anchor distT="0" distB="0" distL="0" distR="0" simplePos="0" relativeHeight="251660288" behindDoc="0" locked="0" layoutInCell="1" allowOverlap="1">
                <wp:simplePos x="0" y="0"/>
                <wp:positionH relativeFrom="column">
                  <wp:posOffset>29845</wp:posOffset>
                </wp:positionH>
                <wp:positionV relativeFrom="paragraph">
                  <wp:posOffset>235585</wp:posOffset>
                </wp:positionV>
                <wp:extent cx="2555240" cy="1409065"/>
                <wp:effectExtent l="7620" t="7620" r="8890" b="12065"/>
                <wp:wrapNone/>
                <wp:docPr id="1030" name="圆角矩形 16"/>
                <wp:cNvGraphicFramePr/>
                <a:graphic xmlns:a="http://schemas.openxmlformats.org/drawingml/2006/main">
                  <a:graphicData uri="http://schemas.microsoft.com/office/word/2010/wordprocessingShape">
                    <wps:wsp>
                      <wps:cNvSpPr/>
                      <wps:spPr>
                        <a:xfrm>
                          <a:off x="0" y="0"/>
                          <a:ext cx="2555240" cy="1409065"/>
                        </a:xfrm>
                        <a:prstGeom prst="roundRect">
                          <a:avLst>
                            <a:gd name="adj" fmla="val 16667"/>
                          </a:avLst>
                        </a:prstGeom>
                        <a:solidFill>
                          <a:srgbClr val="FFFFFF"/>
                        </a:solidFill>
                        <a:ln w="15875" cap="flat" cmpd="sng">
                          <a:solidFill>
                            <a:srgbClr val="808080"/>
                          </a:solidFill>
                          <a:prstDash val="solid"/>
                          <a:round/>
                          <a:headEnd type="none" w="med" len="med"/>
                          <a:tailEnd type="none" w="med" len="med"/>
                        </a:ln>
                      </wps:spPr>
                      <wps:txbx>
                        <w:txbxContent>
                          <w:p w14:paraId="33523A47">
                            <w:pPr>
                              <w:jc w:val="center"/>
                              <w:rPr>
                                <w:rFonts w:hAnsi="宋体"/>
                              </w:rPr>
                            </w:pPr>
                          </w:p>
                          <w:p w14:paraId="1FC52AC5">
                            <w:pPr>
                              <w:jc w:val="center"/>
                              <w:rPr>
                                <w:rFonts w:hAnsi="宋体"/>
                              </w:rPr>
                            </w:pPr>
                          </w:p>
                          <w:p w14:paraId="79F9526C">
                            <w:pPr>
                              <w:jc w:val="center"/>
                              <w:rPr>
                                <w:rFonts w:hAnsi="宋体"/>
                              </w:rPr>
                            </w:pPr>
                          </w:p>
                          <w:p w14:paraId="51D9C2A1">
                            <w:pPr>
                              <w:jc w:val="center"/>
                            </w:pPr>
                            <w:r>
                              <w:rPr>
                                <w:rFonts w:hint="eastAsia" w:hAnsi="宋体"/>
                              </w:rPr>
                              <w:t>法人身份证复印件正面</w:t>
                            </w:r>
                          </w:p>
                          <w:p w14:paraId="4DD76785"/>
                        </w:txbxContent>
                      </wps:txbx>
                      <wps:bodyPr upright="1"/>
                    </wps:wsp>
                  </a:graphicData>
                </a:graphic>
              </wp:anchor>
            </w:drawing>
          </mc:Choice>
          <mc:Fallback>
            <w:pict>
              <v:roundrect id="圆角矩形 16" o:spid="_x0000_s1026" o:spt="2" style="position:absolute;left:0pt;margin-left:2.35pt;margin-top:18.55pt;height:110.95pt;width:201.2pt;z-index:251660288;mso-width-relative:page;mso-height-relative:page;" fillcolor="#FFFFFF" filled="t" stroked="t" coordsize="21600,21600" arcsize="0.166666666666667" o:gfxdata="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H1cJUzZAAAACAEAAA8AAAAAAAAAAQAgAAAAIgAAAGRycy9kb3ducmV2LnhtbFBLAQIU&#10;ABQAAAAIAIdO4kAwn2ooKwIAAGYEAAAOAAAAAAAAAAEAIAAAACgBAABkcnMvZTJvRG9jLnhtbFBL&#10;BQYAAAAABgAGAFkBAADFBQAAAAA=&#10;">
                <v:fill on="t" focussize="0,0"/>
                <v:stroke weight="1.25pt" color="#808080" joinstyle="round"/>
                <v:imagedata o:title=""/>
                <o:lock v:ext="edit" aspectratio="f"/>
                <v:textbox>
                  <w:txbxContent>
                    <w:p w14:paraId="33523A47">
                      <w:pPr>
                        <w:jc w:val="center"/>
                        <w:rPr>
                          <w:rFonts w:hAnsi="宋体"/>
                        </w:rPr>
                      </w:pPr>
                    </w:p>
                    <w:p w14:paraId="1FC52AC5">
                      <w:pPr>
                        <w:jc w:val="center"/>
                        <w:rPr>
                          <w:rFonts w:hAnsi="宋体"/>
                        </w:rPr>
                      </w:pPr>
                    </w:p>
                    <w:p w14:paraId="79F9526C">
                      <w:pPr>
                        <w:jc w:val="center"/>
                        <w:rPr>
                          <w:rFonts w:hAnsi="宋体"/>
                        </w:rPr>
                      </w:pPr>
                    </w:p>
                    <w:p w14:paraId="51D9C2A1">
                      <w:pPr>
                        <w:jc w:val="center"/>
                      </w:pPr>
                      <w:r>
                        <w:rPr>
                          <w:rFonts w:hint="eastAsia" w:hAnsi="宋体"/>
                        </w:rPr>
                        <w:t>法人身份证复印件正面</w:t>
                      </w:r>
                    </w:p>
                    <w:p w14:paraId="4DD76785"/>
                  </w:txbxContent>
                </v:textbox>
              </v:roundrect>
            </w:pict>
          </mc:Fallback>
        </mc:AlternateContent>
      </w:r>
    </w:p>
    <w:p w14:paraId="6B396FF4">
      <w:pPr>
        <w:pStyle w:val="16"/>
        <w:tabs>
          <w:tab w:val="left" w:pos="5580"/>
        </w:tabs>
        <w:snapToGrid w:val="0"/>
        <w:spacing w:line="400" w:lineRule="exact"/>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mc:AlternateContent>
          <mc:Choice Requires="wps">
            <w:drawing>
              <wp:anchor distT="0" distB="0" distL="0" distR="0" simplePos="0" relativeHeight="251660288" behindDoc="0" locked="0" layoutInCell="1" allowOverlap="1">
                <wp:simplePos x="0" y="0"/>
                <wp:positionH relativeFrom="column">
                  <wp:posOffset>3028315</wp:posOffset>
                </wp:positionH>
                <wp:positionV relativeFrom="paragraph">
                  <wp:posOffset>140335</wp:posOffset>
                </wp:positionV>
                <wp:extent cx="2535555" cy="1252220"/>
                <wp:effectExtent l="7620" t="7620" r="9525" b="16510"/>
                <wp:wrapNone/>
                <wp:docPr id="1031" name="圆角矩形 13"/>
                <wp:cNvGraphicFramePr/>
                <a:graphic xmlns:a="http://schemas.openxmlformats.org/drawingml/2006/main">
                  <a:graphicData uri="http://schemas.microsoft.com/office/word/2010/wordprocessingShape">
                    <wps:wsp>
                      <wps:cNvSpPr/>
                      <wps:spPr>
                        <a:xfrm>
                          <a:off x="0" y="0"/>
                          <a:ext cx="2535554" cy="1252220"/>
                        </a:xfrm>
                        <a:prstGeom prst="roundRect">
                          <a:avLst>
                            <a:gd name="adj" fmla="val 16667"/>
                          </a:avLst>
                        </a:prstGeom>
                        <a:solidFill>
                          <a:srgbClr val="FFFFFF"/>
                        </a:solidFill>
                        <a:ln w="15875" cap="flat" cmpd="sng">
                          <a:solidFill>
                            <a:srgbClr val="808080"/>
                          </a:solidFill>
                          <a:prstDash val="solid"/>
                          <a:round/>
                          <a:headEnd type="none" w="med" len="med"/>
                          <a:tailEnd type="none" w="med" len="med"/>
                        </a:ln>
                      </wps:spPr>
                      <wps:txbx>
                        <w:txbxContent>
                          <w:p w14:paraId="7569B526">
                            <w:pPr>
                              <w:jc w:val="center"/>
                              <w:rPr>
                                <w:rFonts w:hAnsi="宋体"/>
                              </w:rPr>
                            </w:pPr>
                            <w:r>
                              <w:rPr>
                                <w:rFonts w:hint="eastAsia" w:hAnsi="宋体"/>
                              </w:rPr>
                              <w:t xml:space="preserve">  </w:t>
                            </w:r>
                          </w:p>
                          <w:p w14:paraId="759BDA4B">
                            <w:pPr>
                              <w:jc w:val="center"/>
                              <w:rPr>
                                <w:rFonts w:hAnsi="宋体"/>
                              </w:rPr>
                            </w:pPr>
                          </w:p>
                          <w:p w14:paraId="07B7F32E">
                            <w:pPr>
                              <w:jc w:val="center"/>
                            </w:pPr>
                            <w:r>
                              <w:rPr>
                                <w:rFonts w:hint="eastAsia" w:hAnsi="宋体"/>
                              </w:rPr>
                              <w:t>法人身份证复印件反面</w:t>
                            </w:r>
                          </w:p>
                          <w:p w14:paraId="69415B4D"/>
                        </w:txbxContent>
                      </wps:txbx>
                      <wps:bodyPr upright="1"/>
                    </wps:wsp>
                  </a:graphicData>
                </a:graphic>
              </wp:anchor>
            </w:drawing>
          </mc:Choice>
          <mc:Fallback>
            <w:pict>
              <v:roundrect id="圆角矩形 13" o:spid="_x0000_s1026" o:spt="2" style="position:absolute;left:0pt;margin-left:238.45pt;margin-top:11.05pt;height:98.6pt;width:199.65pt;z-index:251660288;mso-width-relative:page;mso-height-relative:page;" fillcolor="#FFFFFF" filled="t" stroked="t" coordsize="21600,21600" arcsize="0.166666666666667" o:gfxdata="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Abhb8+2wAAAAoBAAAPAAAAAAAAAAEAIAAAACIAAABkcnMvZG93bnJldi54bWxQ&#10;SwECFAAUAAAACACHTuJA1/Zebi0CAABmBAAADgAAAAAAAAABACAAAAAqAQAAZHJzL2Uyb0RvYy54&#10;bWxQSwUGAAAAAAYABgBZAQAAyQUAAAAA&#10;">
                <v:fill on="t" focussize="0,0"/>
                <v:stroke weight="1.25pt" color="#808080" joinstyle="round"/>
                <v:imagedata o:title=""/>
                <o:lock v:ext="edit" aspectratio="f"/>
                <v:textbox>
                  <w:txbxContent>
                    <w:p w14:paraId="7569B526">
                      <w:pPr>
                        <w:jc w:val="center"/>
                        <w:rPr>
                          <w:rFonts w:hAnsi="宋体"/>
                        </w:rPr>
                      </w:pPr>
                      <w:r>
                        <w:rPr>
                          <w:rFonts w:hint="eastAsia" w:hAnsi="宋体"/>
                        </w:rPr>
                        <w:t xml:space="preserve">  </w:t>
                      </w:r>
                    </w:p>
                    <w:p w14:paraId="759BDA4B">
                      <w:pPr>
                        <w:jc w:val="center"/>
                        <w:rPr>
                          <w:rFonts w:hAnsi="宋体"/>
                        </w:rPr>
                      </w:pPr>
                    </w:p>
                    <w:p w14:paraId="07B7F32E">
                      <w:pPr>
                        <w:jc w:val="center"/>
                      </w:pPr>
                      <w:r>
                        <w:rPr>
                          <w:rFonts w:hint="eastAsia" w:hAnsi="宋体"/>
                        </w:rPr>
                        <w:t>法人身份证复印件反面</w:t>
                      </w:r>
                    </w:p>
                    <w:p w14:paraId="69415B4D"/>
                  </w:txbxContent>
                </v:textbox>
              </v:roundrect>
            </w:pict>
          </mc:Fallback>
        </mc:AlternateContent>
      </w:r>
    </w:p>
    <w:p w14:paraId="6B20426E">
      <w:pPr>
        <w:pStyle w:val="16"/>
        <w:tabs>
          <w:tab w:val="left" w:pos="5580"/>
        </w:tabs>
        <w:snapToGrid w:val="0"/>
        <w:spacing w:line="400" w:lineRule="exact"/>
        <w:textAlignment w:val="baseline"/>
        <w:rPr>
          <w:rFonts w:ascii="微软雅黑" w:hAnsi="微软雅黑" w:eastAsia="微软雅黑" w:cs="微软雅黑"/>
          <w:color w:val="auto"/>
          <w:sz w:val="24"/>
          <w:szCs w:val="24"/>
        </w:rPr>
      </w:pPr>
    </w:p>
    <w:p w14:paraId="5A735701">
      <w:pPr>
        <w:pStyle w:val="16"/>
        <w:tabs>
          <w:tab w:val="left" w:pos="5580"/>
        </w:tabs>
        <w:snapToGrid w:val="0"/>
        <w:spacing w:line="400" w:lineRule="exact"/>
        <w:textAlignment w:val="baseline"/>
        <w:rPr>
          <w:rFonts w:ascii="微软雅黑" w:hAnsi="微软雅黑" w:eastAsia="微软雅黑" w:cs="微软雅黑"/>
          <w:color w:val="auto"/>
          <w:sz w:val="24"/>
          <w:szCs w:val="24"/>
        </w:rPr>
      </w:pPr>
    </w:p>
    <w:p w14:paraId="3F4E67E0">
      <w:pPr>
        <w:pStyle w:val="16"/>
        <w:tabs>
          <w:tab w:val="left" w:pos="5580"/>
        </w:tabs>
        <w:snapToGrid w:val="0"/>
        <w:spacing w:line="400" w:lineRule="exac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 xml:space="preserve">供应商（盖单位章）;               </w:t>
      </w:r>
    </w:p>
    <w:p w14:paraId="70B6CBCA">
      <w:pPr>
        <w:pStyle w:val="16"/>
        <w:tabs>
          <w:tab w:val="left" w:pos="5580"/>
        </w:tabs>
        <w:snapToGrid w:val="0"/>
        <w:spacing w:line="400" w:lineRule="exact"/>
        <w:ind w:left="1080" w:leftChars="257" w:hanging="540"/>
        <w:textAlignment w:val="baseline"/>
        <w:rPr>
          <w:rFonts w:ascii="微软雅黑" w:hAnsi="微软雅黑" w:eastAsia="微软雅黑" w:cs="微软雅黑"/>
          <w:color w:val="auto"/>
          <w:sz w:val="24"/>
          <w:szCs w:val="24"/>
        </w:rPr>
      </w:pPr>
    </w:p>
    <w:p w14:paraId="71A8ACC3">
      <w:pPr>
        <w:pStyle w:val="16"/>
        <w:tabs>
          <w:tab w:val="left" w:pos="5580"/>
        </w:tabs>
        <w:snapToGrid w:val="0"/>
        <w:spacing w:line="400" w:lineRule="exac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 xml:space="preserve">            </w:t>
      </w:r>
    </w:p>
    <w:p w14:paraId="12A7D9F0">
      <w:pPr>
        <w:pStyle w:val="16"/>
        <w:tabs>
          <w:tab w:val="left" w:pos="5370"/>
        </w:tabs>
        <w:snapToGrid w:val="0"/>
        <w:spacing w:line="400" w:lineRule="exact"/>
        <w:ind w:firstLine="480" w:firstLineChars="200"/>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szCs w:val="24"/>
        </w:rPr>
        <w:t>供应商(公章):</w:t>
      </w:r>
    </w:p>
    <w:p w14:paraId="0D5AA9EE">
      <w:pPr>
        <w:pStyle w:val="16"/>
        <w:tabs>
          <w:tab w:val="left" w:pos="5580"/>
        </w:tabs>
        <w:snapToGrid w:val="0"/>
        <w:spacing w:line="400" w:lineRule="exac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 xml:space="preserve">法定代表人（签/章）：                     </w:t>
      </w:r>
    </w:p>
    <w:p w14:paraId="1E32DBE7">
      <w:pPr>
        <w:pStyle w:val="16"/>
        <w:tabs>
          <w:tab w:val="left" w:pos="5580"/>
        </w:tabs>
        <w:snapToGrid w:val="0"/>
        <w:spacing w:line="400" w:lineRule="exac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 xml:space="preserve">身份证号码： </w:t>
      </w:r>
    </w:p>
    <w:p w14:paraId="06E0F48E">
      <w:pPr>
        <w:pStyle w:val="16"/>
        <w:tabs>
          <w:tab w:val="left" w:pos="5580"/>
        </w:tabs>
        <w:snapToGrid w:val="0"/>
        <w:spacing w:line="400" w:lineRule="exac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 xml:space="preserve">委托代理人（签/章）：                                   </w:t>
      </w:r>
    </w:p>
    <w:p w14:paraId="3A336660">
      <w:pPr>
        <w:pStyle w:val="16"/>
        <w:tabs>
          <w:tab w:val="left" w:pos="5580"/>
        </w:tabs>
        <w:snapToGrid w:val="0"/>
        <w:spacing w:line="400" w:lineRule="exac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 xml:space="preserve">身份证号码：                                   </w:t>
      </w:r>
    </w:p>
    <w:p w14:paraId="3B7B2003">
      <w:pPr>
        <w:pStyle w:val="16"/>
        <w:tabs>
          <w:tab w:val="left" w:pos="5580"/>
        </w:tabs>
        <w:snapToGrid w:val="0"/>
        <w:spacing w:line="400" w:lineRule="exac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 xml:space="preserve">详细通讯地址：                                 </w:t>
      </w:r>
    </w:p>
    <w:p w14:paraId="69151176">
      <w:pPr>
        <w:pStyle w:val="16"/>
        <w:tabs>
          <w:tab w:val="left" w:pos="5580"/>
        </w:tabs>
        <w:snapToGrid w:val="0"/>
        <w:spacing w:line="400" w:lineRule="exac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 xml:space="preserve">邮 政 编 码 ：                                 </w:t>
      </w:r>
    </w:p>
    <w:p w14:paraId="0D739134">
      <w:pPr>
        <w:pStyle w:val="16"/>
        <w:tabs>
          <w:tab w:val="left" w:pos="5580"/>
        </w:tabs>
        <w:snapToGrid w:val="0"/>
        <w:spacing w:line="400" w:lineRule="exac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 xml:space="preserve">传　　　　真：                                 </w:t>
      </w:r>
    </w:p>
    <w:p w14:paraId="06F68299">
      <w:pPr>
        <w:pStyle w:val="16"/>
        <w:tabs>
          <w:tab w:val="left" w:pos="5580"/>
        </w:tabs>
        <w:snapToGrid w:val="0"/>
        <w:spacing w:line="400" w:lineRule="exac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 xml:space="preserve">电　　　　话：                                 </w:t>
      </w:r>
      <w:bookmarkEnd w:id="458"/>
      <w:bookmarkEnd w:id="459"/>
      <w:bookmarkEnd w:id="460"/>
    </w:p>
    <w:p w14:paraId="4B526F85">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6B6C95CC">
      <w:pPr>
        <w:rPr>
          <w:color w:val="auto"/>
        </w:rPr>
      </w:pPr>
    </w:p>
    <w:p w14:paraId="5F46AF7D">
      <w:pPr>
        <w:rPr>
          <w:color w:val="auto"/>
        </w:rPr>
      </w:pPr>
    </w:p>
    <w:p w14:paraId="0DAFC990">
      <w:pPr>
        <w:rPr>
          <w:color w:val="auto"/>
        </w:rPr>
      </w:pPr>
    </w:p>
    <w:p w14:paraId="028A3384">
      <w:pPr>
        <w:rPr>
          <w:color w:val="auto"/>
        </w:rPr>
      </w:pPr>
    </w:p>
    <w:p w14:paraId="7A9E71FD">
      <w:pPr>
        <w:rPr>
          <w:color w:val="auto"/>
        </w:rPr>
      </w:pPr>
    </w:p>
    <w:p w14:paraId="3C7481E1">
      <w:pPr>
        <w:rPr>
          <w:rFonts w:ascii="微软雅黑" w:hAnsi="微软雅黑" w:eastAsia="微软雅黑" w:cs="微软雅黑"/>
          <w:color w:val="auto"/>
          <w:sz w:val="24"/>
          <w:szCs w:val="24"/>
        </w:rPr>
      </w:pPr>
      <w:r>
        <w:rPr>
          <w:rFonts w:ascii="微软雅黑" w:hAnsi="微软雅黑" w:eastAsia="微软雅黑" w:cs="微软雅黑"/>
          <w:color w:val="auto"/>
          <w:sz w:val="24"/>
          <w:szCs w:val="24"/>
        </w:rPr>
        <w:br w:type="page"/>
      </w:r>
    </w:p>
    <w:p w14:paraId="403FD11B">
      <w:pPr>
        <w:pStyle w:val="36"/>
        <w:snapToGrid w:val="0"/>
        <w:ind w:firstLine="480"/>
        <w:textAlignment w:val="baseline"/>
        <w:outlineLvl w:val="9"/>
        <w:rPr>
          <w:rFonts w:ascii="微软雅黑" w:hAnsi="微软雅黑" w:eastAsia="微软雅黑" w:cs="微软雅黑"/>
          <w:b/>
          <w:color w:val="auto"/>
          <w:kern w:val="0"/>
        </w:rPr>
      </w:pPr>
      <w:r>
        <w:rPr>
          <w:rFonts w:hint="eastAsia" w:ascii="微软雅黑" w:hAnsi="微软雅黑" w:eastAsia="微软雅黑" w:cs="微软雅黑"/>
          <w:b/>
          <w:color w:val="auto"/>
          <w:kern w:val="0"/>
          <w:lang w:val="en-US" w:eastAsia="zh-CN"/>
        </w:rPr>
        <w:t>③</w:t>
      </w:r>
      <w:r>
        <w:rPr>
          <w:rFonts w:hint="eastAsia" w:ascii="微软雅黑" w:hAnsi="微软雅黑" w:eastAsia="微软雅黑" w:cs="微软雅黑"/>
          <w:b/>
          <w:color w:val="auto"/>
          <w:kern w:val="0"/>
          <w:lang w:eastAsia="zh-CN"/>
        </w:rPr>
        <w:t>本单位依法缴纳的近3个月内任意一个月的社会保险的凭据（新成立公司提供相关证明文件）；</w:t>
      </w:r>
    </w:p>
    <w:p w14:paraId="550AC803">
      <w:pPr>
        <w:pStyle w:val="16"/>
        <w:numPr>
          <w:ilvl w:val="0"/>
          <w:numId w:val="0"/>
        </w:numPr>
        <w:tabs>
          <w:tab w:val="left" w:pos="5580"/>
        </w:tabs>
        <w:snapToGrid w:val="0"/>
        <w:spacing w:line="240" w:lineRule="atLeast"/>
        <w:ind w:firstLine="240" w:firstLineChars="100"/>
        <w:textAlignment w:val="baseline"/>
        <w:rPr>
          <w:rFonts w:hint="eastAsia" w:ascii="微软雅黑" w:hAnsi="微软雅黑" w:eastAsia="微软雅黑" w:cs="微软雅黑"/>
          <w:b w:val="0"/>
          <w:bCs/>
          <w:color w:val="auto"/>
          <w:kern w:val="0"/>
          <w:sz w:val="24"/>
          <w:lang w:val="en-US" w:eastAsia="zh-CN"/>
        </w:rPr>
      </w:pPr>
      <w:r>
        <w:rPr>
          <w:rFonts w:hint="eastAsia" w:ascii="微软雅黑" w:hAnsi="微软雅黑" w:eastAsia="微软雅黑" w:cs="微软雅黑"/>
          <w:b w:val="0"/>
          <w:bCs/>
          <w:color w:val="auto"/>
          <w:kern w:val="0"/>
          <w:sz w:val="24"/>
          <w:lang w:val="en-US" w:eastAsia="zh-CN"/>
        </w:rPr>
        <w:t>说明：1、社保证明可含：社保缴费凭证或社保缴费证明或社保缴费汇总单或依法缴纳社保的完税证明。</w:t>
      </w:r>
    </w:p>
    <w:p w14:paraId="30F65D3C">
      <w:pPr>
        <w:pStyle w:val="16"/>
        <w:numPr>
          <w:ilvl w:val="0"/>
          <w:numId w:val="0"/>
        </w:numPr>
        <w:tabs>
          <w:tab w:val="left" w:pos="5580"/>
        </w:tabs>
        <w:snapToGrid w:val="0"/>
        <w:spacing w:line="240" w:lineRule="atLeast"/>
        <w:ind w:firstLine="720" w:firstLineChars="300"/>
        <w:textAlignment w:val="baseline"/>
        <w:rPr>
          <w:rFonts w:hint="eastAsia" w:ascii="微软雅黑" w:hAnsi="微软雅黑" w:eastAsia="微软雅黑" w:cs="微软雅黑"/>
          <w:b w:val="0"/>
          <w:bCs/>
          <w:color w:val="auto"/>
          <w:kern w:val="0"/>
          <w:sz w:val="24"/>
          <w:lang w:val="en-US" w:eastAsia="zh-CN"/>
        </w:rPr>
      </w:pPr>
      <w:r>
        <w:rPr>
          <w:rFonts w:hint="eastAsia" w:ascii="微软雅黑" w:hAnsi="微软雅黑" w:eastAsia="微软雅黑" w:cs="微软雅黑"/>
          <w:b w:val="0"/>
          <w:bCs/>
          <w:color w:val="auto"/>
          <w:kern w:val="0"/>
          <w:sz w:val="24"/>
          <w:lang w:val="en-US" w:eastAsia="zh-CN"/>
        </w:rPr>
        <w:t>2、近三个月是指本项目响应文件递交及开启截止时间前三个月。</w:t>
      </w:r>
    </w:p>
    <w:p w14:paraId="4E077214">
      <w:pPr>
        <w:pStyle w:val="36"/>
        <w:snapToGrid w:val="0"/>
        <w:ind w:left="0" w:leftChars="0" w:firstLine="0" w:firstLineChars="0"/>
        <w:textAlignment w:val="baseline"/>
        <w:rPr>
          <w:rFonts w:ascii="微软雅黑" w:hAnsi="微软雅黑" w:eastAsia="微软雅黑" w:cs="微软雅黑"/>
          <w:b/>
          <w:color w:val="auto"/>
          <w:kern w:val="0"/>
          <w:sz w:val="21"/>
        </w:rPr>
      </w:pPr>
    </w:p>
    <w:p w14:paraId="41086F9D">
      <w:pPr>
        <w:pStyle w:val="35"/>
      </w:pPr>
    </w:p>
    <w:p w14:paraId="63E000A3">
      <w:pPr>
        <w:pStyle w:val="16"/>
        <w:numPr>
          <w:ilvl w:val="0"/>
          <w:numId w:val="0"/>
        </w:numPr>
        <w:tabs>
          <w:tab w:val="left" w:pos="5580"/>
        </w:tabs>
        <w:snapToGrid w:val="0"/>
        <w:spacing w:line="240" w:lineRule="atLeast"/>
        <w:ind w:firstLine="240" w:firstLineChars="100"/>
        <w:textAlignment w:val="baseline"/>
        <w:rPr>
          <w:rFonts w:hint="eastAsia" w:ascii="微软雅黑" w:hAnsi="微软雅黑" w:eastAsia="微软雅黑" w:cs="微软雅黑"/>
          <w:b/>
          <w:color w:val="auto"/>
          <w:kern w:val="0"/>
          <w:sz w:val="24"/>
          <w:szCs w:val="24"/>
          <w:lang w:val="en-US" w:eastAsia="zh-CN" w:bidi="ar-SA"/>
        </w:rPr>
      </w:pPr>
      <w:r>
        <w:rPr>
          <w:rFonts w:hint="eastAsia" w:ascii="微软雅黑" w:hAnsi="微软雅黑" w:eastAsia="微软雅黑" w:cs="微软雅黑"/>
          <w:b/>
          <w:color w:val="auto"/>
          <w:kern w:val="0"/>
          <w:sz w:val="24"/>
          <w:szCs w:val="24"/>
          <w:lang w:val="en-US" w:eastAsia="zh-CN" w:bidi="ar-SA"/>
        </w:rPr>
        <w:t>④税务部门出具的近3个月内任意一个月的完税证明（依法免缴的应提供依法免缴的相关证明文件或零申报报表）；</w:t>
      </w:r>
    </w:p>
    <w:p w14:paraId="6EF07200">
      <w:pPr>
        <w:pStyle w:val="16"/>
        <w:numPr>
          <w:ilvl w:val="0"/>
          <w:numId w:val="0"/>
        </w:numPr>
        <w:tabs>
          <w:tab w:val="left" w:pos="5580"/>
        </w:tabs>
        <w:snapToGrid w:val="0"/>
        <w:spacing w:line="240" w:lineRule="atLeast"/>
        <w:ind w:firstLine="240" w:firstLineChars="100"/>
        <w:textAlignment w:val="baseline"/>
        <w:rPr>
          <w:rFonts w:hint="eastAsia" w:ascii="微软雅黑" w:hAnsi="微软雅黑" w:eastAsia="微软雅黑" w:cs="微软雅黑"/>
          <w:b w:val="0"/>
          <w:bCs/>
          <w:color w:val="auto"/>
          <w:kern w:val="0"/>
          <w:sz w:val="24"/>
          <w:lang w:val="en-US" w:eastAsia="zh-CN"/>
        </w:rPr>
      </w:pPr>
      <w:r>
        <w:rPr>
          <w:rFonts w:hint="eastAsia" w:ascii="微软雅黑" w:hAnsi="微软雅黑" w:eastAsia="微软雅黑" w:cs="微软雅黑"/>
          <w:b w:val="0"/>
          <w:bCs/>
          <w:color w:val="auto"/>
          <w:kern w:val="0"/>
          <w:sz w:val="24"/>
          <w:lang w:val="en-US" w:eastAsia="zh-CN"/>
        </w:rPr>
        <w:t>说明：1、新成立公司若无纳税记录，可开具无欠税证明或零申报报表。</w:t>
      </w:r>
    </w:p>
    <w:p w14:paraId="725A77AA">
      <w:pPr>
        <w:pStyle w:val="16"/>
        <w:numPr>
          <w:ilvl w:val="0"/>
          <w:numId w:val="0"/>
        </w:numPr>
        <w:tabs>
          <w:tab w:val="left" w:pos="5580"/>
        </w:tabs>
        <w:snapToGrid w:val="0"/>
        <w:spacing w:line="240" w:lineRule="atLeast"/>
        <w:ind w:firstLine="960" w:firstLineChars="400"/>
        <w:textAlignment w:val="baseline"/>
        <w:rPr>
          <w:rFonts w:ascii="微软雅黑" w:hAnsi="微软雅黑" w:eastAsia="微软雅黑" w:cs="微软雅黑"/>
          <w:b/>
          <w:color w:val="auto"/>
          <w:kern w:val="0"/>
          <w:sz w:val="24"/>
          <w:szCs w:val="24"/>
        </w:rPr>
      </w:pPr>
      <w:r>
        <w:rPr>
          <w:rFonts w:hint="eastAsia" w:ascii="微软雅黑" w:hAnsi="微软雅黑" w:eastAsia="微软雅黑" w:cs="微软雅黑"/>
          <w:b w:val="0"/>
          <w:bCs/>
          <w:color w:val="auto"/>
          <w:kern w:val="0"/>
          <w:sz w:val="24"/>
          <w:lang w:val="en-US" w:eastAsia="zh-CN"/>
        </w:rPr>
        <w:t>2、完税证明中“税种”非养老保险、医疗保险、失业保险、工伤保险和生育保险。</w:t>
      </w:r>
    </w:p>
    <w:p w14:paraId="533ACE45">
      <w:pPr>
        <w:pStyle w:val="16"/>
        <w:tabs>
          <w:tab w:val="left" w:pos="5580"/>
        </w:tabs>
        <w:snapToGrid w:val="0"/>
        <w:spacing w:line="240" w:lineRule="atLeast"/>
        <w:textAlignment w:val="baseline"/>
        <w:rPr>
          <w:rFonts w:ascii="微软雅黑" w:hAnsi="微软雅黑" w:eastAsia="微软雅黑" w:cs="微软雅黑"/>
          <w:b/>
          <w:color w:val="auto"/>
          <w:kern w:val="0"/>
          <w:sz w:val="24"/>
          <w:szCs w:val="24"/>
        </w:rPr>
      </w:pPr>
    </w:p>
    <w:p w14:paraId="58DAA157">
      <w:pPr>
        <w:pStyle w:val="17"/>
        <w:rPr>
          <w:rFonts w:ascii="微软雅黑" w:hAnsi="微软雅黑" w:eastAsia="微软雅黑" w:cs="微软雅黑"/>
          <w:b/>
          <w:color w:val="auto"/>
          <w:kern w:val="0"/>
          <w:sz w:val="24"/>
          <w:szCs w:val="24"/>
        </w:rPr>
      </w:pPr>
    </w:p>
    <w:p w14:paraId="55E2D5F6"/>
    <w:p w14:paraId="416EB764">
      <w:pPr>
        <w:tabs>
          <w:tab w:val="left" w:pos="5580"/>
        </w:tabs>
        <w:spacing w:line="240" w:lineRule="atLeast"/>
        <w:ind w:left="1080" w:leftChars="257" w:hanging="540"/>
        <w:rPr>
          <w:rFonts w:hint="eastAsia" w:ascii="微软雅黑" w:hAnsi="微软雅黑" w:eastAsia="微软雅黑" w:cs="微软雅黑"/>
          <w:b/>
          <w:color w:val="auto"/>
          <w:kern w:val="0"/>
          <w:sz w:val="24"/>
          <w:szCs w:val="24"/>
          <w:lang w:val="en-US" w:eastAsia="zh-CN" w:bidi="ar-SA"/>
        </w:rPr>
      </w:pPr>
      <w:r>
        <w:rPr>
          <w:rFonts w:hint="eastAsia" w:ascii="微软雅黑" w:hAnsi="微软雅黑" w:eastAsia="微软雅黑" w:cs="微软雅黑"/>
          <w:b/>
          <w:color w:val="auto"/>
          <w:kern w:val="0"/>
          <w:sz w:val="24"/>
          <w:szCs w:val="24"/>
          <w:lang w:val="en-US" w:eastAsia="zh-CN" w:bidi="ar-SA"/>
        </w:rPr>
        <w:t>⑤提供近两年任意一年完整的财务审计报告或近一个月的银行资信证明；</w:t>
      </w:r>
    </w:p>
    <w:p w14:paraId="74BA7C3C">
      <w:pPr>
        <w:tabs>
          <w:tab w:val="left" w:pos="5580"/>
        </w:tabs>
        <w:spacing w:line="240" w:lineRule="atLeast"/>
        <w:ind w:left="1080" w:leftChars="257" w:hanging="540"/>
        <w:rPr>
          <w:rFonts w:hint="eastAsia" w:ascii="微软雅黑" w:hAnsi="微软雅黑" w:eastAsia="微软雅黑" w:cs="微软雅黑"/>
          <w:b w:val="0"/>
          <w:bCs/>
          <w:color w:val="auto"/>
          <w:kern w:val="0"/>
          <w:sz w:val="24"/>
          <w:szCs w:val="20"/>
          <w:highlight w:val="none"/>
          <w:lang w:val="en-US" w:eastAsia="zh-CN" w:bidi="ar-SA"/>
        </w:rPr>
      </w:pPr>
      <w:r>
        <w:rPr>
          <w:rFonts w:hint="eastAsia" w:ascii="微软雅黑" w:hAnsi="微软雅黑" w:eastAsia="微软雅黑" w:cs="微软雅黑"/>
          <w:b w:val="0"/>
          <w:bCs/>
          <w:color w:val="auto"/>
          <w:kern w:val="0"/>
          <w:sz w:val="24"/>
          <w:szCs w:val="20"/>
          <w:highlight w:val="none"/>
          <w:lang w:val="en-US" w:eastAsia="zh-CN" w:bidi="ar-SA"/>
        </w:rPr>
        <w:t>说明：</w:t>
      </w:r>
    </w:p>
    <w:p w14:paraId="228CC0E0">
      <w:pPr>
        <w:tabs>
          <w:tab w:val="left" w:pos="5580"/>
        </w:tabs>
        <w:spacing w:line="240" w:lineRule="atLeast"/>
        <w:ind w:left="540"/>
        <w:rPr>
          <w:rFonts w:hint="eastAsia" w:ascii="微软雅黑" w:hAnsi="微软雅黑" w:eastAsia="微软雅黑" w:cs="微软雅黑"/>
          <w:b w:val="0"/>
          <w:bCs/>
          <w:color w:val="auto"/>
          <w:kern w:val="0"/>
          <w:sz w:val="24"/>
          <w:szCs w:val="20"/>
          <w:highlight w:val="none"/>
          <w:lang w:val="en-US" w:eastAsia="zh-CN" w:bidi="ar-SA"/>
        </w:rPr>
      </w:pPr>
      <w:r>
        <w:rPr>
          <w:rFonts w:hint="eastAsia" w:ascii="微软雅黑" w:hAnsi="微软雅黑" w:eastAsia="微软雅黑" w:cs="微软雅黑"/>
          <w:b w:val="0"/>
          <w:bCs/>
          <w:color w:val="auto"/>
          <w:kern w:val="0"/>
          <w:sz w:val="24"/>
          <w:szCs w:val="20"/>
          <w:highlight w:val="none"/>
          <w:lang w:val="en-US" w:eastAsia="zh-CN" w:bidi="ar-SA"/>
        </w:rPr>
        <w:t>1、如提供本单位上年度经会计师事务所出具的完整审计报告复印件须加盖本单位章。</w:t>
      </w:r>
    </w:p>
    <w:p w14:paraId="256F66C2">
      <w:pPr>
        <w:pStyle w:val="7"/>
        <w:rPr>
          <w:rFonts w:hint="eastAsia" w:ascii="微软雅黑" w:hAnsi="微软雅黑" w:eastAsia="微软雅黑" w:cs="微软雅黑"/>
          <w:b w:val="0"/>
          <w:bCs/>
          <w:color w:val="auto"/>
          <w:kern w:val="0"/>
          <w:sz w:val="24"/>
          <w:szCs w:val="20"/>
          <w:highlight w:val="none"/>
          <w:lang w:val="en-US" w:eastAsia="zh-CN" w:bidi="ar-SA"/>
        </w:rPr>
      </w:pPr>
      <w:r>
        <w:rPr>
          <w:rFonts w:hint="eastAsia" w:ascii="微软雅黑" w:hAnsi="微软雅黑" w:eastAsia="微软雅黑" w:cs="微软雅黑"/>
          <w:b w:val="0"/>
          <w:bCs/>
          <w:color w:val="auto"/>
          <w:kern w:val="0"/>
          <w:sz w:val="24"/>
          <w:szCs w:val="20"/>
          <w:highlight w:val="none"/>
          <w:lang w:val="en-US" w:eastAsia="zh-CN" w:bidi="ar-SA"/>
        </w:rPr>
        <w:t>2、如果是联合体投标，联合体各方均需提供上述证明。</w:t>
      </w:r>
    </w:p>
    <w:p w14:paraId="79536CEF">
      <w:pPr>
        <w:pStyle w:val="9"/>
        <w:ind w:firstLine="480" w:firstLineChars="200"/>
        <w:rPr>
          <w:rFonts w:hint="default"/>
          <w:color w:val="auto"/>
          <w:highlight w:val="none"/>
          <w:lang w:val="en-US"/>
        </w:rPr>
      </w:pPr>
      <w:r>
        <w:rPr>
          <w:rFonts w:hint="eastAsia" w:ascii="微软雅黑" w:hAnsi="微软雅黑" w:eastAsia="微软雅黑" w:cs="微软雅黑"/>
          <w:b w:val="0"/>
          <w:bCs/>
          <w:color w:val="auto"/>
          <w:kern w:val="0"/>
          <w:sz w:val="24"/>
          <w:szCs w:val="20"/>
          <w:highlight w:val="none"/>
          <w:lang w:val="en-US" w:eastAsia="zh-CN" w:bidi="ar-SA"/>
        </w:rPr>
        <w:t>3、近两年任意一年指2023年或2024年，近一个月是指本项目响应文件递交及开启截止时间前一个月。</w:t>
      </w:r>
    </w:p>
    <w:p w14:paraId="0067CB20">
      <w:pPr>
        <w:pStyle w:val="16"/>
        <w:tabs>
          <w:tab w:val="left" w:pos="5580"/>
        </w:tabs>
        <w:snapToGrid w:val="0"/>
        <w:spacing w:line="240" w:lineRule="atLeast"/>
        <w:textAlignment w:val="baseline"/>
        <w:rPr>
          <w:rFonts w:ascii="微软雅黑" w:hAnsi="微软雅黑" w:eastAsia="微软雅黑" w:cs="微软雅黑"/>
          <w:b/>
          <w:color w:val="auto"/>
          <w:kern w:val="0"/>
          <w:sz w:val="24"/>
          <w:szCs w:val="24"/>
        </w:rPr>
      </w:pPr>
    </w:p>
    <w:p w14:paraId="060F0895">
      <w:pPr>
        <w:pStyle w:val="17"/>
        <w:rPr>
          <w:rFonts w:ascii="微软雅黑" w:hAnsi="微软雅黑" w:eastAsia="微软雅黑" w:cs="微软雅黑"/>
          <w:b/>
          <w:color w:val="auto"/>
          <w:kern w:val="0"/>
          <w:sz w:val="24"/>
          <w:szCs w:val="24"/>
        </w:rPr>
      </w:pPr>
    </w:p>
    <w:p w14:paraId="12B7C840"/>
    <w:p w14:paraId="4BFFD482">
      <w:pPr>
        <w:pStyle w:val="16"/>
        <w:numPr>
          <w:ilvl w:val="0"/>
          <w:numId w:val="0"/>
        </w:numPr>
        <w:tabs>
          <w:tab w:val="left" w:pos="5580"/>
        </w:tabs>
        <w:snapToGrid w:val="0"/>
        <w:spacing w:line="240" w:lineRule="atLeast"/>
        <w:ind w:firstLine="240" w:firstLineChars="100"/>
        <w:textAlignment w:val="baseline"/>
        <w:rPr>
          <w:rFonts w:hint="eastAsia" w:ascii="微软雅黑" w:hAnsi="微软雅黑" w:eastAsia="微软雅黑" w:cs="微软雅黑"/>
          <w:b/>
          <w:color w:val="auto"/>
          <w:kern w:val="0"/>
          <w:sz w:val="24"/>
          <w:szCs w:val="24"/>
          <w:lang w:val="en-US" w:eastAsia="zh-CN" w:bidi="ar-SA"/>
        </w:rPr>
      </w:pPr>
      <w:r>
        <w:rPr>
          <w:rFonts w:hint="eastAsia" w:ascii="微软雅黑" w:hAnsi="微软雅黑" w:eastAsia="微软雅黑" w:cs="微软雅黑"/>
          <w:b/>
          <w:color w:val="auto"/>
          <w:kern w:val="0"/>
          <w:sz w:val="24"/>
          <w:szCs w:val="24"/>
          <w:lang w:val="en-US" w:eastAsia="zh-CN" w:bidi="ar-SA"/>
        </w:rPr>
        <w:t>⑥参与政府采购活动前3年内未被列入失信、重大税收违法案件、财政部门禁止参加政府采购活动的承诺书；</w:t>
      </w:r>
    </w:p>
    <w:p w14:paraId="3B9C63A0">
      <w:pPr>
        <w:pStyle w:val="7"/>
        <w:ind w:left="0" w:leftChars="0" w:firstLine="720" w:firstLineChars="300"/>
        <w:rPr>
          <w:rFonts w:hint="eastAsia" w:ascii="微软雅黑" w:hAnsi="微软雅黑" w:eastAsia="微软雅黑" w:cs="微软雅黑"/>
          <w:color w:val="auto"/>
          <w:lang w:val="en-US" w:eastAsia="zh-CN"/>
        </w:rPr>
      </w:pPr>
      <w:r>
        <w:rPr>
          <w:rFonts w:hint="eastAsia" w:ascii="微软雅黑" w:hAnsi="微软雅黑" w:eastAsia="微软雅黑" w:cs="微软雅黑"/>
          <w:color w:val="auto"/>
          <w:lang w:val="en-US" w:eastAsia="zh-CN"/>
        </w:rPr>
        <w:t>说明：1.供应商应按照相关法规规定如实作出说明。</w:t>
      </w:r>
    </w:p>
    <w:p w14:paraId="49E5C692">
      <w:pPr>
        <w:pStyle w:val="16"/>
        <w:tabs>
          <w:tab w:val="left" w:pos="5580"/>
        </w:tabs>
        <w:snapToGrid w:val="0"/>
        <w:spacing w:line="240" w:lineRule="atLeast"/>
        <w:textAlignment w:val="baseline"/>
        <w:rPr>
          <w:rFonts w:ascii="微软雅黑" w:hAnsi="微软雅黑" w:eastAsia="微软雅黑" w:cs="微软雅黑"/>
          <w:b/>
          <w:color w:val="auto"/>
          <w:kern w:val="0"/>
          <w:sz w:val="24"/>
          <w:szCs w:val="24"/>
        </w:rPr>
      </w:pPr>
    </w:p>
    <w:p w14:paraId="5C5FBFE2">
      <w:pPr>
        <w:pStyle w:val="17"/>
        <w:rPr>
          <w:rFonts w:ascii="微软雅黑" w:hAnsi="微软雅黑" w:eastAsia="微软雅黑" w:cs="微软雅黑"/>
          <w:b/>
          <w:color w:val="auto"/>
          <w:kern w:val="0"/>
          <w:sz w:val="24"/>
          <w:szCs w:val="24"/>
        </w:rPr>
      </w:pPr>
    </w:p>
    <w:p w14:paraId="1EFBD7FA"/>
    <w:p w14:paraId="3B99CDA2">
      <w:pPr>
        <w:pStyle w:val="16"/>
        <w:numPr>
          <w:ilvl w:val="0"/>
          <w:numId w:val="0"/>
        </w:numPr>
        <w:tabs>
          <w:tab w:val="left" w:pos="5580"/>
        </w:tabs>
        <w:snapToGrid w:val="0"/>
        <w:spacing w:line="240" w:lineRule="atLeast"/>
        <w:ind w:firstLine="240" w:firstLineChars="100"/>
        <w:textAlignment w:val="baseline"/>
        <w:rPr>
          <w:rFonts w:ascii="微软雅黑" w:hAnsi="微软雅黑" w:eastAsia="微软雅黑" w:cs="微软雅黑"/>
          <w:b/>
          <w:color w:val="auto"/>
          <w:kern w:val="0"/>
          <w:sz w:val="24"/>
        </w:rPr>
      </w:pPr>
      <w:bookmarkStart w:id="461" w:name="_Toc494296665"/>
      <w:bookmarkStart w:id="462" w:name="_Toc494296991"/>
      <w:bookmarkStart w:id="463" w:name="_Toc16480"/>
      <w:bookmarkStart w:id="464" w:name="_Toc20720"/>
      <w:bookmarkStart w:id="465" w:name="_Toc28525"/>
      <w:bookmarkStart w:id="466" w:name="_Toc16326"/>
      <w:bookmarkStart w:id="467" w:name="_Toc10102"/>
      <w:r>
        <w:rPr>
          <w:rFonts w:hint="eastAsia" w:ascii="微软雅黑" w:hAnsi="微软雅黑" w:eastAsia="微软雅黑" w:cs="微软雅黑"/>
          <w:b/>
          <w:color w:val="auto"/>
          <w:kern w:val="0"/>
          <w:sz w:val="24"/>
          <w:szCs w:val="24"/>
          <w:lang w:val="en-US" w:eastAsia="zh-CN" w:bidi="ar-SA"/>
        </w:rPr>
        <w:t>⑦提供针对本次项目的反商业贿赂承诺书。</w:t>
      </w:r>
    </w:p>
    <w:p w14:paraId="4FEC704A">
      <w:pPr>
        <w:pStyle w:val="7"/>
        <w:ind w:left="0" w:leftChars="0" w:firstLine="720" w:firstLineChars="300"/>
        <w:rPr>
          <w:rFonts w:hint="eastAsia" w:ascii="微软雅黑" w:hAnsi="微软雅黑" w:eastAsia="微软雅黑" w:cs="微软雅黑"/>
          <w:color w:val="auto"/>
          <w:lang w:val="en-US" w:eastAsia="zh-CN"/>
        </w:rPr>
      </w:pPr>
      <w:r>
        <w:rPr>
          <w:rFonts w:hint="eastAsia" w:ascii="微软雅黑" w:hAnsi="微软雅黑" w:eastAsia="微软雅黑" w:cs="微软雅黑"/>
          <w:color w:val="auto"/>
          <w:lang w:val="en-US" w:eastAsia="zh-CN"/>
        </w:rPr>
        <w:t>说明：1.供应商应按照相关法规规定如实作出说明。</w:t>
      </w:r>
    </w:p>
    <w:p w14:paraId="19F9358B">
      <w:pPr>
        <w:rPr>
          <w:rFonts w:hint="eastAsia" w:ascii="微软雅黑" w:hAnsi="微软雅黑" w:eastAsia="微软雅黑" w:cs="微软雅黑"/>
          <w:color w:val="auto"/>
          <w:lang w:val="en-US" w:eastAsia="zh-CN"/>
        </w:rPr>
      </w:pPr>
    </w:p>
    <w:p w14:paraId="4F156DE1">
      <w:pPr>
        <w:pStyle w:val="16"/>
        <w:numPr>
          <w:ilvl w:val="0"/>
          <w:numId w:val="0"/>
        </w:numPr>
        <w:tabs>
          <w:tab w:val="left" w:pos="5580"/>
        </w:tabs>
        <w:snapToGrid w:val="0"/>
        <w:spacing w:line="240" w:lineRule="atLeast"/>
        <w:ind w:firstLine="240" w:firstLineChars="100"/>
        <w:textAlignment w:val="baseline"/>
        <w:rPr>
          <w:rFonts w:hint="eastAsia" w:ascii="微软雅黑" w:hAnsi="微软雅黑" w:eastAsia="微软雅黑" w:cs="微软雅黑"/>
          <w:b/>
          <w:color w:val="auto"/>
          <w:kern w:val="0"/>
          <w:sz w:val="24"/>
          <w:szCs w:val="24"/>
          <w:lang w:val="en-US" w:eastAsia="zh-CN" w:bidi="ar-SA"/>
        </w:rPr>
      </w:pPr>
      <w:r>
        <w:rPr>
          <w:rFonts w:hint="eastAsia" w:ascii="微软雅黑" w:hAnsi="微软雅黑" w:eastAsia="微软雅黑" w:cs="微软雅黑"/>
          <w:b/>
          <w:color w:val="auto"/>
          <w:kern w:val="0"/>
          <w:sz w:val="24"/>
          <w:szCs w:val="24"/>
          <w:lang w:val="en-US" w:eastAsia="zh-CN" w:bidi="ar-SA"/>
        </w:rPr>
        <w:t>⑧根据《政府采购领域“整顿市场秩序、建设法规体系、促进产业发展”三年行动方案（2024—2026年）》的通知，凡拟参加本次采购项目的供应商，必须为未被列入“信用中国”网站(www.creditchina.gov.cn)（失信被执行人名单、重大税收违法失信主体名单）、中国政府采购网(www.ccgp.gov.cn)（政府采购严重违法失信行为记录名单），国家企业公示信息系统（www.gsxt.gov.cn）（经营异常名录、严重违法失信名单）,（须提供查询记录截图并加盖公章）；</w:t>
      </w:r>
    </w:p>
    <w:p w14:paraId="33C05EDF">
      <w:pPr>
        <w:pStyle w:val="16"/>
        <w:numPr>
          <w:ilvl w:val="0"/>
          <w:numId w:val="0"/>
        </w:numPr>
        <w:tabs>
          <w:tab w:val="left" w:pos="5580"/>
        </w:tabs>
        <w:snapToGrid w:val="0"/>
        <w:spacing w:line="240" w:lineRule="atLeast"/>
        <w:ind w:firstLine="240" w:firstLineChars="100"/>
        <w:textAlignment w:val="baseline"/>
        <w:rPr>
          <w:rFonts w:hint="eastAsia" w:ascii="微软雅黑" w:hAnsi="微软雅黑" w:eastAsia="微软雅黑" w:cs="微软雅黑"/>
          <w:b/>
          <w:color w:val="auto"/>
          <w:kern w:val="0"/>
          <w:sz w:val="24"/>
          <w:szCs w:val="24"/>
          <w:lang w:val="en-US" w:eastAsia="zh-CN" w:bidi="ar-SA"/>
        </w:rPr>
      </w:pPr>
    </w:p>
    <w:p w14:paraId="70F72C25">
      <w:pPr>
        <w:pStyle w:val="17"/>
        <w:ind w:left="0" w:leftChars="0" w:firstLine="0" w:firstLineChars="0"/>
        <w:rPr>
          <w:rFonts w:hint="eastAsia" w:ascii="微软雅黑" w:hAnsi="微软雅黑" w:eastAsia="微软雅黑" w:cs="微软雅黑"/>
          <w:b/>
          <w:color w:val="auto"/>
          <w:kern w:val="0"/>
          <w:sz w:val="24"/>
          <w:szCs w:val="24"/>
          <w:lang w:val="en-US" w:eastAsia="zh-CN" w:bidi="ar-SA"/>
        </w:rPr>
      </w:pPr>
    </w:p>
    <w:p w14:paraId="53ED4633">
      <w:pPr>
        <w:rPr>
          <w:rFonts w:hint="default"/>
          <w:color w:val="auto"/>
          <w:lang w:val="en-US" w:eastAsia="zh-CN"/>
        </w:rPr>
      </w:pPr>
    </w:p>
    <w:p w14:paraId="77DFC2A5">
      <w:pPr>
        <w:pStyle w:val="16"/>
        <w:numPr>
          <w:ilvl w:val="0"/>
          <w:numId w:val="0"/>
        </w:numPr>
        <w:tabs>
          <w:tab w:val="left" w:pos="5580"/>
        </w:tabs>
        <w:snapToGrid w:val="0"/>
        <w:spacing w:line="240" w:lineRule="atLeast"/>
        <w:textAlignment w:val="baseline"/>
        <w:rPr>
          <w:rFonts w:hint="eastAsia" w:ascii="微软雅黑" w:hAnsi="微软雅黑" w:eastAsia="微软雅黑" w:cs="微软雅黑"/>
          <w:b/>
          <w:color w:val="auto"/>
          <w:kern w:val="0"/>
          <w:sz w:val="24"/>
          <w:szCs w:val="24"/>
          <w:lang w:val="en-US" w:eastAsia="zh-CN" w:bidi="ar-SA"/>
        </w:rPr>
      </w:pPr>
    </w:p>
    <w:p w14:paraId="232952F1">
      <w:pPr>
        <w:snapToGrid w:val="0"/>
        <w:spacing w:line="360" w:lineRule="exact"/>
        <w:textAlignment w:val="baseline"/>
        <w:rPr>
          <w:rFonts w:ascii="微软雅黑" w:hAnsi="微软雅黑" w:eastAsia="微软雅黑" w:cs="微软雅黑"/>
          <w:b/>
          <w:color w:val="auto"/>
          <w:kern w:val="0"/>
          <w:sz w:val="24"/>
        </w:rPr>
      </w:pPr>
    </w:p>
    <w:p w14:paraId="79BBCF19">
      <w:pPr>
        <w:snapToGrid w:val="0"/>
        <w:spacing w:line="360" w:lineRule="exact"/>
        <w:textAlignment w:val="baseline"/>
        <w:outlineLvl w:val="1"/>
        <w:rPr>
          <w:rFonts w:ascii="微软雅黑" w:hAnsi="微软雅黑" w:eastAsia="微软雅黑" w:cs="微软雅黑"/>
          <w:b/>
          <w:color w:val="auto"/>
          <w:kern w:val="0"/>
          <w:sz w:val="24"/>
        </w:rPr>
      </w:pPr>
      <w:bookmarkStart w:id="468" w:name="_Toc7682"/>
      <w:r>
        <w:rPr>
          <w:rFonts w:hint="eastAsia" w:ascii="微软雅黑" w:hAnsi="微软雅黑" w:eastAsia="微软雅黑" w:cs="微软雅黑"/>
          <w:b/>
          <w:color w:val="auto"/>
          <w:kern w:val="0"/>
          <w:sz w:val="24"/>
          <w:lang w:val="en-US" w:eastAsia="zh-CN"/>
        </w:rPr>
        <w:t>3</w:t>
      </w:r>
      <w:r>
        <w:rPr>
          <w:rFonts w:hint="eastAsia" w:ascii="微软雅黑" w:hAnsi="微软雅黑" w:eastAsia="微软雅黑" w:cs="微软雅黑"/>
          <w:b/>
          <w:color w:val="auto"/>
          <w:kern w:val="0"/>
          <w:sz w:val="24"/>
        </w:rPr>
        <w:t>、</w:t>
      </w:r>
      <w:bookmarkEnd w:id="461"/>
      <w:bookmarkEnd w:id="462"/>
      <w:bookmarkEnd w:id="463"/>
      <w:bookmarkEnd w:id="464"/>
      <w:bookmarkEnd w:id="465"/>
      <w:bookmarkEnd w:id="466"/>
      <w:bookmarkEnd w:id="467"/>
      <w:r>
        <w:rPr>
          <w:rFonts w:hint="eastAsia" w:ascii="微软雅黑" w:hAnsi="微软雅黑" w:eastAsia="微软雅黑" w:cs="微软雅黑"/>
          <w:b/>
          <w:color w:val="auto"/>
          <w:kern w:val="0"/>
          <w:sz w:val="24"/>
        </w:rPr>
        <w:t>缴纳磋商保证金有效凭证；</w:t>
      </w:r>
      <w:bookmarkEnd w:id="468"/>
    </w:p>
    <w:p w14:paraId="13F5EC9B">
      <w:pPr>
        <w:snapToGrid w:val="0"/>
        <w:spacing w:line="360" w:lineRule="exact"/>
        <w:textAlignment w:val="baseline"/>
        <w:rPr>
          <w:rFonts w:ascii="微软雅黑" w:hAnsi="微软雅黑" w:eastAsia="微软雅黑" w:cs="微软雅黑"/>
          <w:b w:val="0"/>
          <w:bCs w:val="0"/>
          <w:color w:val="auto"/>
          <w:sz w:val="24"/>
        </w:rPr>
      </w:pPr>
    </w:p>
    <w:p w14:paraId="29ADF7D5">
      <w:pPr>
        <w:snapToGrid w:val="0"/>
        <w:spacing w:line="360" w:lineRule="exact"/>
        <w:textAlignment w:val="baseline"/>
        <w:rPr>
          <w:rFonts w:ascii="微软雅黑" w:hAnsi="微软雅黑" w:eastAsia="微软雅黑" w:cs="微软雅黑"/>
          <w:b w:val="0"/>
          <w:bCs w:val="0"/>
          <w:color w:val="auto"/>
          <w:sz w:val="24"/>
        </w:rPr>
      </w:pPr>
      <w:r>
        <w:rPr>
          <w:rFonts w:hint="eastAsia" w:ascii="微软雅黑" w:hAnsi="微软雅黑" w:eastAsia="微软雅黑" w:cs="微软雅黑"/>
          <w:b w:val="0"/>
          <w:bCs w:val="0"/>
          <w:color w:val="auto"/>
          <w:sz w:val="24"/>
        </w:rPr>
        <w:t>注：本项目以缴纳磋商保证金有效凭证复印件盖公章为准。</w:t>
      </w:r>
    </w:p>
    <w:p w14:paraId="6184FB3A">
      <w:pPr>
        <w:pStyle w:val="36"/>
        <w:snapToGrid w:val="0"/>
        <w:ind w:left="0" w:leftChars="0" w:firstLine="0" w:firstLineChars="0"/>
        <w:textAlignment w:val="baseline"/>
        <w:rPr>
          <w:rFonts w:ascii="微软雅黑" w:hAnsi="微软雅黑" w:eastAsia="微软雅黑" w:cs="微软雅黑"/>
          <w:color w:val="auto"/>
          <w:sz w:val="21"/>
        </w:rPr>
      </w:pPr>
    </w:p>
    <w:p w14:paraId="570A35C5">
      <w:pPr>
        <w:pStyle w:val="35"/>
        <w:rPr>
          <w:rFonts w:ascii="微软雅黑" w:hAnsi="微软雅黑" w:eastAsia="微软雅黑" w:cs="微软雅黑"/>
          <w:color w:val="auto"/>
          <w:sz w:val="21"/>
        </w:rPr>
      </w:pPr>
    </w:p>
    <w:p w14:paraId="3EF0B371">
      <w:pPr>
        <w:pStyle w:val="36"/>
        <w:rPr>
          <w:rFonts w:ascii="微软雅黑" w:hAnsi="微软雅黑" w:eastAsia="微软雅黑" w:cs="微软雅黑"/>
          <w:color w:val="auto"/>
          <w:sz w:val="21"/>
        </w:rPr>
      </w:pPr>
    </w:p>
    <w:p w14:paraId="564E2A0F">
      <w:pPr>
        <w:pStyle w:val="35"/>
        <w:rPr>
          <w:rFonts w:ascii="微软雅黑" w:hAnsi="微软雅黑" w:eastAsia="微软雅黑" w:cs="微软雅黑"/>
          <w:color w:val="auto"/>
          <w:sz w:val="21"/>
        </w:rPr>
      </w:pPr>
    </w:p>
    <w:p w14:paraId="62564FC2">
      <w:pPr>
        <w:pStyle w:val="36"/>
        <w:rPr>
          <w:rFonts w:ascii="微软雅黑" w:hAnsi="微软雅黑" w:eastAsia="微软雅黑" w:cs="微软雅黑"/>
          <w:color w:val="auto"/>
          <w:sz w:val="21"/>
        </w:rPr>
      </w:pPr>
    </w:p>
    <w:p w14:paraId="257CCD78">
      <w:pPr>
        <w:pStyle w:val="35"/>
        <w:rPr>
          <w:rFonts w:ascii="微软雅黑" w:hAnsi="微软雅黑" w:eastAsia="微软雅黑" w:cs="微软雅黑"/>
          <w:color w:val="auto"/>
          <w:sz w:val="21"/>
        </w:rPr>
      </w:pPr>
    </w:p>
    <w:p w14:paraId="4E3EDE33">
      <w:pPr>
        <w:pStyle w:val="36"/>
        <w:rPr>
          <w:rFonts w:ascii="微软雅黑" w:hAnsi="微软雅黑" w:eastAsia="微软雅黑" w:cs="微软雅黑"/>
          <w:color w:val="auto"/>
          <w:sz w:val="21"/>
        </w:rPr>
      </w:pPr>
    </w:p>
    <w:p w14:paraId="193F982A">
      <w:pPr>
        <w:pStyle w:val="35"/>
        <w:rPr>
          <w:rFonts w:ascii="微软雅黑" w:hAnsi="微软雅黑" w:eastAsia="微软雅黑" w:cs="微软雅黑"/>
          <w:color w:val="auto"/>
          <w:sz w:val="21"/>
        </w:rPr>
      </w:pPr>
    </w:p>
    <w:p w14:paraId="4DD98BA5">
      <w:pPr>
        <w:pStyle w:val="36"/>
        <w:rPr>
          <w:rFonts w:ascii="微软雅黑" w:hAnsi="微软雅黑" w:eastAsia="微软雅黑" w:cs="微软雅黑"/>
          <w:color w:val="auto"/>
          <w:sz w:val="21"/>
        </w:rPr>
      </w:pPr>
    </w:p>
    <w:p w14:paraId="48153CAA">
      <w:pPr>
        <w:pStyle w:val="35"/>
        <w:rPr>
          <w:rFonts w:ascii="微软雅黑" w:hAnsi="微软雅黑" w:eastAsia="微软雅黑" w:cs="微软雅黑"/>
          <w:color w:val="auto"/>
          <w:sz w:val="21"/>
        </w:rPr>
      </w:pPr>
    </w:p>
    <w:p w14:paraId="3C91D783">
      <w:pPr>
        <w:pStyle w:val="36"/>
        <w:rPr>
          <w:rFonts w:ascii="微软雅黑" w:hAnsi="微软雅黑" w:eastAsia="微软雅黑" w:cs="微软雅黑"/>
          <w:color w:val="auto"/>
          <w:sz w:val="21"/>
        </w:rPr>
      </w:pPr>
    </w:p>
    <w:p w14:paraId="00A980AC">
      <w:pPr>
        <w:pStyle w:val="35"/>
      </w:pPr>
    </w:p>
    <w:p w14:paraId="023EEFFC">
      <w:pPr>
        <w:pStyle w:val="36"/>
        <w:rPr>
          <w:rFonts w:ascii="微软雅黑" w:hAnsi="微软雅黑" w:eastAsia="微软雅黑" w:cs="微软雅黑"/>
          <w:color w:val="auto"/>
          <w:sz w:val="21"/>
        </w:rPr>
      </w:pPr>
    </w:p>
    <w:p w14:paraId="6CC1C11B">
      <w:pPr>
        <w:pStyle w:val="35"/>
        <w:rPr>
          <w:rFonts w:ascii="微软雅黑" w:hAnsi="微软雅黑" w:eastAsia="微软雅黑" w:cs="微软雅黑"/>
          <w:color w:val="auto"/>
          <w:sz w:val="21"/>
        </w:rPr>
      </w:pPr>
    </w:p>
    <w:p w14:paraId="7B0C92B9">
      <w:pPr>
        <w:pStyle w:val="36"/>
      </w:pPr>
    </w:p>
    <w:p w14:paraId="42A8B6CB">
      <w:pPr>
        <w:pStyle w:val="16"/>
        <w:tabs>
          <w:tab w:val="left" w:pos="5580"/>
        </w:tabs>
        <w:snapToGrid w:val="0"/>
        <w:spacing w:line="360" w:lineRule="exact"/>
        <w:textAlignment w:val="baseline"/>
        <w:rPr>
          <w:rFonts w:ascii="微软雅黑" w:hAnsi="微软雅黑" w:eastAsia="微软雅黑" w:cs="微软雅黑"/>
          <w:color w:val="auto"/>
          <w:sz w:val="24"/>
          <w:szCs w:val="24"/>
          <w:u w:val="single" w:color="000000"/>
        </w:rPr>
      </w:pPr>
    </w:p>
    <w:p w14:paraId="1F802B65">
      <w:pPr>
        <w:snapToGrid w:val="0"/>
        <w:spacing w:line="240" w:lineRule="atLeast"/>
        <w:ind w:left="1080" w:leftChars="257" w:hanging="540"/>
        <w:jc w:val="center"/>
        <w:textAlignment w:val="baseline"/>
        <w:rPr>
          <w:rFonts w:ascii="微软雅黑" w:hAnsi="微软雅黑" w:eastAsia="微软雅黑" w:cs="微软雅黑"/>
          <w:b/>
          <w:color w:val="auto"/>
          <w:sz w:val="24"/>
        </w:rPr>
      </w:pPr>
      <w:bookmarkStart w:id="469" w:name="_Toc11956"/>
      <w:bookmarkStart w:id="470" w:name="_Toc25827"/>
      <w:bookmarkStart w:id="471" w:name="_Toc12440"/>
      <w:bookmarkStart w:id="472" w:name="_Toc515647816"/>
      <w:bookmarkStart w:id="473" w:name="_Toc3552"/>
      <w:bookmarkStart w:id="474" w:name="_Toc22967"/>
      <w:bookmarkStart w:id="475" w:name="_Toc11180"/>
    </w:p>
    <w:p w14:paraId="74B53CD6">
      <w:pPr>
        <w:pStyle w:val="4"/>
        <w:snapToGrid w:val="0"/>
        <w:spacing w:before="0" w:line="240" w:lineRule="atLeast"/>
        <w:ind w:left="1080" w:leftChars="257" w:hanging="540"/>
        <w:textAlignment w:val="baseline"/>
        <w:rPr>
          <w:rFonts w:ascii="微软雅黑" w:hAnsi="微软雅黑" w:eastAsia="微软雅黑" w:cs="微软雅黑"/>
          <w:color w:val="auto"/>
          <w:sz w:val="24"/>
          <w:szCs w:val="24"/>
        </w:rPr>
      </w:pPr>
      <w:bookmarkStart w:id="476" w:name="_Toc22738"/>
      <w:r>
        <w:rPr>
          <w:rFonts w:hint="eastAsia" w:ascii="微软雅黑" w:hAnsi="微软雅黑" w:eastAsia="微软雅黑" w:cs="微软雅黑"/>
          <w:color w:val="auto"/>
          <w:sz w:val="24"/>
          <w:szCs w:val="24"/>
        </w:rPr>
        <w:t>第二部分  商务及技术文件</w:t>
      </w:r>
      <w:bookmarkEnd w:id="469"/>
      <w:bookmarkEnd w:id="470"/>
      <w:bookmarkEnd w:id="471"/>
      <w:bookmarkEnd w:id="472"/>
      <w:bookmarkEnd w:id="473"/>
      <w:bookmarkEnd w:id="474"/>
      <w:bookmarkEnd w:id="475"/>
      <w:bookmarkEnd w:id="476"/>
    </w:p>
    <w:p w14:paraId="6A7D238B">
      <w:pPr>
        <w:pStyle w:val="16"/>
        <w:spacing w:line="360" w:lineRule="exact"/>
        <w:ind w:firstLine="720" w:firstLineChars="300"/>
        <w:rPr>
          <w:rFonts w:ascii="微软雅黑" w:hAnsi="微软雅黑" w:eastAsia="微软雅黑" w:cs="微软雅黑"/>
          <w:color w:val="auto"/>
          <w:sz w:val="24"/>
        </w:rPr>
      </w:pPr>
      <w:r>
        <w:rPr>
          <w:rFonts w:hint="eastAsia" w:ascii="微软雅黑" w:hAnsi="微软雅黑" w:eastAsia="微软雅黑" w:cs="微软雅黑"/>
          <w:color w:val="auto"/>
          <w:sz w:val="24"/>
        </w:rPr>
        <w:t>1、磋商书</w:t>
      </w:r>
    </w:p>
    <w:p w14:paraId="32910F3A">
      <w:pPr>
        <w:pStyle w:val="16"/>
        <w:spacing w:line="360" w:lineRule="exact"/>
        <w:ind w:firstLine="720" w:firstLineChars="300"/>
        <w:rPr>
          <w:rFonts w:ascii="微软雅黑" w:hAnsi="微软雅黑" w:eastAsia="微软雅黑" w:cs="微软雅黑"/>
          <w:color w:val="auto"/>
          <w:sz w:val="24"/>
        </w:rPr>
      </w:pPr>
      <w:r>
        <w:rPr>
          <w:rFonts w:hint="eastAsia" w:ascii="微软雅黑" w:hAnsi="微软雅黑" w:eastAsia="微软雅黑" w:cs="微软雅黑"/>
          <w:color w:val="auto"/>
          <w:sz w:val="24"/>
        </w:rPr>
        <w:t>2、磋商分项报价表</w:t>
      </w:r>
    </w:p>
    <w:p w14:paraId="52ACBA71">
      <w:pPr>
        <w:pStyle w:val="16"/>
        <w:spacing w:line="360" w:lineRule="exact"/>
        <w:ind w:firstLine="720" w:firstLineChars="300"/>
        <w:rPr>
          <w:rFonts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服务</w:t>
      </w:r>
      <w:r>
        <w:rPr>
          <w:rFonts w:hint="eastAsia" w:ascii="微软雅黑" w:hAnsi="微软雅黑" w:eastAsia="微软雅黑" w:cs="微软雅黑"/>
          <w:color w:val="auto"/>
          <w:sz w:val="24"/>
        </w:rPr>
        <w:t>说明一览表</w:t>
      </w:r>
    </w:p>
    <w:p w14:paraId="517B8BEF">
      <w:pPr>
        <w:pStyle w:val="16"/>
        <w:spacing w:line="360" w:lineRule="exact"/>
        <w:ind w:firstLine="720" w:firstLineChars="300"/>
        <w:rPr>
          <w:rFonts w:hint="eastAsia" w:ascii="微软雅黑" w:hAnsi="微软雅黑" w:eastAsia="微软雅黑" w:cs="微软雅黑"/>
          <w:color w:val="auto"/>
          <w:sz w:val="24"/>
        </w:rPr>
      </w:pPr>
      <w:r>
        <w:rPr>
          <w:rFonts w:hint="eastAsia" w:ascii="微软雅黑" w:hAnsi="微软雅黑" w:eastAsia="微软雅黑" w:cs="微软雅黑"/>
          <w:color w:val="auto"/>
          <w:sz w:val="24"/>
          <w:lang w:val="en-US" w:eastAsia="zh-CN"/>
        </w:rPr>
        <w:t>4</w:t>
      </w:r>
      <w:r>
        <w:rPr>
          <w:rFonts w:hint="eastAsia" w:ascii="微软雅黑" w:hAnsi="微软雅黑" w:eastAsia="微软雅黑" w:cs="微软雅黑"/>
          <w:color w:val="auto"/>
          <w:sz w:val="24"/>
        </w:rPr>
        <w:t>、</w:t>
      </w:r>
      <w:bookmarkStart w:id="477" w:name="_Toc30193_WPSOffice_Level2"/>
      <w:bookmarkStart w:id="478" w:name="_Toc2883_WPSOffice_Level2"/>
      <w:bookmarkStart w:id="479" w:name="_Toc5136_WPSOffice_Level1"/>
      <w:r>
        <w:rPr>
          <w:rFonts w:hint="eastAsia" w:ascii="微软雅黑" w:hAnsi="微软雅黑" w:eastAsia="微软雅黑" w:cs="微软雅黑"/>
          <w:color w:val="auto"/>
          <w:sz w:val="24"/>
        </w:rPr>
        <w:t>商务条款偏离表</w:t>
      </w:r>
    </w:p>
    <w:p w14:paraId="626B74A5">
      <w:pPr>
        <w:pStyle w:val="17"/>
        <w:ind w:left="0" w:leftChars="0" w:firstLine="0" w:firstLineChars="0"/>
        <w:rPr>
          <w:rFonts w:hint="default" w:eastAsia="微软雅黑"/>
          <w:lang w:val="en-US" w:eastAsia="zh-CN"/>
        </w:rPr>
      </w:pPr>
      <w:r>
        <w:rPr>
          <w:rFonts w:hint="eastAsia" w:ascii="微软雅黑" w:hAnsi="微软雅黑" w:eastAsia="微软雅黑" w:cs="微软雅黑"/>
          <w:color w:val="auto"/>
          <w:sz w:val="24"/>
          <w:lang w:val="en-US" w:eastAsia="zh-CN"/>
        </w:rPr>
        <w:t xml:space="preserve">      5、中小企业声明函（服务）</w:t>
      </w:r>
    </w:p>
    <w:bookmarkEnd w:id="477"/>
    <w:bookmarkEnd w:id="478"/>
    <w:bookmarkEnd w:id="479"/>
    <w:p w14:paraId="11F7A87E">
      <w:pPr>
        <w:pStyle w:val="16"/>
        <w:spacing w:line="360" w:lineRule="exact"/>
        <w:ind w:firstLine="720" w:firstLineChars="300"/>
        <w:rPr>
          <w:rFonts w:ascii="微软雅黑" w:hAnsi="微软雅黑" w:eastAsia="微软雅黑" w:cs="微软雅黑"/>
          <w:color w:val="auto"/>
          <w:sz w:val="24"/>
        </w:rPr>
      </w:pPr>
      <w:r>
        <w:rPr>
          <w:rFonts w:hint="eastAsia" w:ascii="微软雅黑" w:hAnsi="微软雅黑" w:eastAsia="微软雅黑" w:cs="微软雅黑"/>
          <w:color w:val="auto"/>
          <w:sz w:val="24"/>
          <w:lang w:val="en-US" w:eastAsia="zh-CN"/>
        </w:rPr>
        <w:t>6、</w:t>
      </w:r>
      <w:r>
        <w:rPr>
          <w:rFonts w:hint="eastAsia" w:ascii="微软雅黑" w:hAnsi="微软雅黑" w:eastAsia="微软雅黑" w:cs="微软雅黑"/>
          <w:color w:val="auto"/>
          <w:sz w:val="24"/>
        </w:rPr>
        <w:t>残疾人福利性单位声明函</w:t>
      </w:r>
    </w:p>
    <w:p w14:paraId="793D894E">
      <w:pPr>
        <w:pStyle w:val="16"/>
        <w:spacing w:line="360" w:lineRule="exact"/>
        <w:ind w:firstLine="720" w:firstLineChars="300"/>
        <w:rPr>
          <w:rFonts w:ascii="微软雅黑" w:hAnsi="微软雅黑" w:eastAsia="微软雅黑" w:cs="微软雅黑"/>
          <w:color w:val="auto"/>
          <w:sz w:val="24"/>
        </w:rPr>
      </w:pPr>
      <w:r>
        <w:rPr>
          <w:rFonts w:hint="eastAsia" w:ascii="微软雅黑" w:hAnsi="微软雅黑" w:eastAsia="微软雅黑" w:cs="微软雅黑"/>
          <w:color w:val="auto"/>
          <w:sz w:val="24"/>
          <w:lang w:val="en-US" w:eastAsia="zh-CN"/>
        </w:rPr>
        <w:t>7</w:t>
      </w:r>
      <w:r>
        <w:rPr>
          <w:rFonts w:hint="eastAsia" w:ascii="微软雅黑" w:hAnsi="微软雅黑" w:eastAsia="微软雅黑" w:cs="微软雅黑"/>
          <w:color w:val="auto"/>
          <w:sz w:val="24"/>
        </w:rPr>
        <w:t>、供应商关联单位的说明</w:t>
      </w:r>
    </w:p>
    <w:p w14:paraId="1226A9B5">
      <w:pPr>
        <w:pStyle w:val="16"/>
        <w:spacing w:line="360" w:lineRule="exact"/>
        <w:ind w:firstLine="720" w:firstLineChars="300"/>
        <w:rPr>
          <w:rFonts w:ascii="微软雅黑" w:hAnsi="微软雅黑" w:eastAsia="微软雅黑" w:cs="微软雅黑"/>
          <w:color w:val="auto"/>
          <w:sz w:val="24"/>
        </w:rPr>
      </w:pPr>
      <w:r>
        <w:rPr>
          <w:rFonts w:hint="eastAsia" w:ascii="微软雅黑" w:hAnsi="微软雅黑" w:eastAsia="微软雅黑" w:cs="微软雅黑"/>
          <w:color w:val="auto"/>
          <w:sz w:val="24"/>
          <w:lang w:val="en-US" w:eastAsia="zh-CN"/>
        </w:rPr>
        <w:t>8</w:t>
      </w:r>
      <w:r>
        <w:rPr>
          <w:rFonts w:hint="eastAsia" w:ascii="微软雅黑" w:hAnsi="微软雅黑" w:eastAsia="微软雅黑" w:cs="微软雅黑"/>
          <w:color w:val="auto"/>
          <w:sz w:val="24"/>
        </w:rPr>
        <w:t>、其他有利于磋商的技术条件</w:t>
      </w:r>
    </w:p>
    <w:p w14:paraId="73291918">
      <w:pPr>
        <w:pStyle w:val="16"/>
        <w:spacing w:line="360" w:lineRule="exact"/>
        <w:ind w:firstLine="720" w:firstLineChars="300"/>
        <w:rPr>
          <w:rFonts w:ascii="微软雅黑" w:hAnsi="微软雅黑" w:eastAsia="微软雅黑" w:cs="微软雅黑"/>
          <w:color w:val="auto"/>
          <w:sz w:val="24"/>
        </w:rPr>
      </w:pPr>
      <w:r>
        <w:rPr>
          <w:rFonts w:hint="eastAsia" w:ascii="微软雅黑" w:hAnsi="微软雅黑" w:eastAsia="微软雅黑" w:cs="微软雅黑"/>
          <w:color w:val="auto"/>
          <w:sz w:val="24"/>
          <w:lang w:val="en-US" w:eastAsia="zh-CN"/>
        </w:rPr>
        <w:t>9</w:t>
      </w:r>
      <w:r>
        <w:rPr>
          <w:rFonts w:hint="eastAsia" w:ascii="微软雅黑" w:hAnsi="微软雅黑" w:eastAsia="微软雅黑" w:cs="微软雅黑"/>
          <w:color w:val="auto"/>
          <w:sz w:val="24"/>
        </w:rPr>
        <w:t>、响应文件格式范本</w:t>
      </w:r>
    </w:p>
    <w:p w14:paraId="79E5E8FB">
      <w:pPr>
        <w:pStyle w:val="16"/>
        <w:snapToGrid w:val="0"/>
        <w:ind w:left="1080" w:leftChars="257" w:hanging="540"/>
        <w:textAlignment w:val="baseline"/>
        <w:rPr>
          <w:rFonts w:ascii="微软雅黑" w:hAnsi="微软雅黑" w:eastAsia="微软雅黑" w:cs="微软雅黑"/>
          <w:color w:val="auto"/>
          <w:sz w:val="24"/>
          <w:szCs w:val="24"/>
        </w:rPr>
      </w:pPr>
    </w:p>
    <w:p w14:paraId="2AD93DE7">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4EFF81A2">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6BCB1BE5">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3F2AD77A">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6D28694B">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3A651EBD">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41047C5A">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015357DF">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511308D0">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2257E3F0">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72EFD520">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264C27A0">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5CF0F665">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315E2D65">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069B5FB9">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2A6FE399">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7178D14F">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3F54CE92">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2BFCA452">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3A0DF5B2">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3D3D319C">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338D3A27">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7F76FA39">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bookmarkEnd w:id="434"/>
    <w:bookmarkEnd w:id="435"/>
    <w:bookmarkEnd w:id="436"/>
    <w:bookmarkEnd w:id="437"/>
    <w:p w14:paraId="5650A8AC">
      <w:pPr>
        <w:pStyle w:val="4"/>
        <w:snapToGrid w:val="0"/>
        <w:spacing w:before="0" w:line="240" w:lineRule="atLeast"/>
        <w:ind w:firstLine="3842" w:firstLineChars="1600"/>
        <w:jc w:val="both"/>
        <w:textAlignment w:val="baseline"/>
        <w:rPr>
          <w:rFonts w:ascii="微软雅黑" w:hAnsi="微软雅黑" w:eastAsia="微软雅黑" w:cs="微软雅黑"/>
          <w:color w:val="auto"/>
          <w:sz w:val="24"/>
        </w:rPr>
      </w:pPr>
      <w:bookmarkStart w:id="480" w:name="_Toc8940"/>
      <w:bookmarkStart w:id="481" w:name="_Toc2041"/>
      <w:bookmarkStart w:id="482" w:name="_Toc14858"/>
      <w:bookmarkStart w:id="483" w:name="_Toc18506"/>
      <w:bookmarkStart w:id="484" w:name="_Toc18614"/>
      <w:bookmarkStart w:id="485" w:name="_Toc11475"/>
      <w:bookmarkStart w:id="486" w:name="_Toc14915"/>
      <w:bookmarkStart w:id="487" w:name="_Toc12852"/>
      <w:bookmarkStart w:id="488" w:name="_Toc27453"/>
      <w:bookmarkStart w:id="489" w:name="_Toc22432"/>
      <w:bookmarkStart w:id="490" w:name="_Toc515647817"/>
      <w:bookmarkStart w:id="491" w:name="_Toc9529"/>
      <w:bookmarkStart w:id="492" w:name="_Toc21814"/>
      <w:bookmarkStart w:id="493" w:name="_Toc11664"/>
      <w:bookmarkStart w:id="494" w:name="_Toc18940"/>
      <w:bookmarkStart w:id="495" w:name="_Toc23195"/>
      <w:bookmarkStart w:id="496" w:name="_Toc16278"/>
      <w:bookmarkStart w:id="497" w:name="_Toc32628"/>
      <w:bookmarkStart w:id="498" w:name="_Toc3467"/>
      <w:bookmarkStart w:id="499" w:name="_Toc515647819"/>
      <w:bookmarkStart w:id="500" w:name="_Toc216582816"/>
      <w:bookmarkStart w:id="501" w:name="_Toc22132"/>
      <w:bookmarkStart w:id="502" w:name="_Toc9921"/>
      <w:bookmarkStart w:id="503" w:name="_Toc6343"/>
      <w:bookmarkStart w:id="504" w:name="_Toc14037"/>
      <w:bookmarkStart w:id="505" w:name="_Toc24292"/>
      <w:bookmarkStart w:id="506" w:name="_Toc22104"/>
      <w:bookmarkStart w:id="507" w:name="_Toc25251"/>
      <w:bookmarkStart w:id="508" w:name="_Toc18267"/>
      <w:bookmarkStart w:id="509" w:name="_Toc12151"/>
      <w:r>
        <w:rPr>
          <w:rFonts w:hint="eastAsia" w:ascii="微软雅黑" w:hAnsi="微软雅黑" w:eastAsia="微软雅黑" w:cs="微软雅黑"/>
          <w:color w:val="auto"/>
          <w:sz w:val="24"/>
          <w:szCs w:val="24"/>
        </w:rPr>
        <w:t>1</w:t>
      </w:r>
      <w:bookmarkStart w:id="510" w:name="_Hlt520355504"/>
      <w:bookmarkEnd w:id="510"/>
      <w:r>
        <w:rPr>
          <w:rFonts w:hint="eastAsia" w:ascii="微软雅黑" w:hAnsi="微软雅黑" w:eastAsia="微软雅黑" w:cs="微软雅黑"/>
          <w:color w:val="auto"/>
          <w:sz w:val="24"/>
          <w:szCs w:val="24"/>
        </w:rPr>
        <w:t xml:space="preserve"> 、磋商书</w:t>
      </w:r>
      <w:bookmarkEnd w:id="480"/>
      <w:bookmarkEnd w:id="481"/>
      <w:bookmarkEnd w:id="482"/>
      <w:bookmarkEnd w:id="483"/>
      <w:bookmarkEnd w:id="484"/>
      <w:bookmarkEnd w:id="485"/>
      <w:bookmarkEnd w:id="486"/>
      <w:bookmarkEnd w:id="487"/>
      <w:bookmarkEnd w:id="488"/>
      <w:bookmarkEnd w:id="489"/>
      <w:bookmarkEnd w:id="490"/>
    </w:p>
    <w:p w14:paraId="3A05EF17">
      <w:pPr>
        <w:tabs>
          <w:tab w:val="left" w:pos="5580"/>
        </w:tabs>
        <w:snapToGrid w:val="0"/>
        <w:spacing w:line="400" w:lineRule="atLeast"/>
        <w:ind w:left="1080" w:hanging="1080"/>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致：</w:t>
      </w:r>
    </w:p>
    <w:p w14:paraId="7302BC2B">
      <w:pPr>
        <w:pStyle w:val="16"/>
        <w:tabs>
          <w:tab w:val="left" w:pos="5580"/>
        </w:tabs>
        <w:snapToGrid w:val="0"/>
        <w:spacing w:line="400" w:lineRule="atLeast"/>
        <w:ind w:left="2" w:leftChars="1" w:firstLine="480" w:firstLineChars="20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根据贵方(</w:t>
      </w:r>
      <w:r>
        <w:rPr>
          <w:rFonts w:hint="eastAsia" w:ascii="微软雅黑" w:hAnsi="微软雅黑" w:eastAsia="微软雅黑" w:cs="微软雅黑"/>
          <w:i/>
          <w:color w:val="auto"/>
          <w:sz w:val="24"/>
          <w:szCs w:val="24"/>
          <w:u w:val="single" w:color="000000"/>
        </w:rPr>
        <w:t>项目名称</w:t>
      </w:r>
      <w:r>
        <w:rPr>
          <w:rFonts w:hint="eastAsia" w:ascii="微软雅黑" w:hAnsi="微软雅黑" w:eastAsia="微软雅黑" w:cs="微软雅黑"/>
          <w:color w:val="auto"/>
          <w:sz w:val="24"/>
          <w:szCs w:val="24"/>
        </w:rPr>
        <w:t>)项目的磋商邀请(</w:t>
      </w:r>
      <w:r>
        <w:rPr>
          <w:rFonts w:hint="eastAsia" w:ascii="微软雅黑" w:hAnsi="微软雅黑" w:eastAsia="微软雅黑" w:cs="微软雅黑"/>
          <w:i/>
          <w:color w:val="auto"/>
          <w:sz w:val="24"/>
          <w:szCs w:val="24"/>
          <w:u w:val="single" w:color="000000"/>
        </w:rPr>
        <w:t>项目编号</w:t>
      </w:r>
      <w:r>
        <w:rPr>
          <w:rFonts w:hint="eastAsia" w:ascii="微软雅黑" w:hAnsi="微软雅黑" w:eastAsia="微软雅黑" w:cs="微软雅黑"/>
          <w:color w:val="auto"/>
          <w:sz w:val="24"/>
          <w:szCs w:val="24"/>
        </w:rPr>
        <w:t>),签字代表(</w:t>
      </w:r>
      <w:r>
        <w:rPr>
          <w:rFonts w:hint="eastAsia" w:ascii="微软雅黑" w:hAnsi="微软雅黑" w:eastAsia="微软雅黑" w:cs="微软雅黑"/>
          <w:i/>
          <w:color w:val="auto"/>
          <w:sz w:val="24"/>
          <w:szCs w:val="24"/>
          <w:u w:val="single" w:color="000000"/>
        </w:rPr>
        <w:t>姓名、职务</w:t>
      </w:r>
      <w:r>
        <w:rPr>
          <w:rFonts w:hint="eastAsia" w:ascii="微软雅黑" w:hAnsi="微软雅黑" w:eastAsia="微软雅黑" w:cs="微软雅黑"/>
          <w:color w:val="auto"/>
          <w:sz w:val="24"/>
          <w:szCs w:val="24"/>
        </w:rPr>
        <w:t>)经正式授权并代表供应商（</w:t>
      </w:r>
      <w:r>
        <w:rPr>
          <w:rFonts w:hint="eastAsia" w:ascii="微软雅黑" w:hAnsi="微软雅黑" w:eastAsia="微软雅黑" w:cs="微软雅黑"/>
          <w:i/>
          <w:color w:val="auto"/>
          <w:sz w:val="24"/>
          <w:szCs w:val="24"/>
          <w:u w:val="single" w:color="000000"/>
        </w:rPr>
        <w:t>名称、地址</w:t>
      </w:r>
      <w:r>
        <w:rPr>
          <w:rFonts w:hint="eastAsia" w:ascii="微软雅黑" w:hAnsi="微软雅黑" w:eastAsia="微软雅黑" w:cs="微软雅黑"/>
          <w:color w:val="auto"/>
          <w:sz w:val="24"/>
          <w:szCs w:val="24"/>
        </w:rPr>
        <w:t>）</w:t>
      </w:r>
      <w:r>
        <w:rPr>
          <w:rFonts w:hint="eastAsia" w:ascii="微软雅黑" w:hAnsi="微软雅黑" w:eastAsia="微软雅黑" w:cs="微软雅黑"/>
          <w:color w:val="auto"/>
          <w:sz w:val="24"/>
          <w:szCs w:val="24"/>
          <w:lang w:val="en-US" w:eastAsia="zh-CN"/>
        </w:rPr>
        <w:t>上传并签署响应文件</w:t>
      </w:r>
      <w:r>
        <w:rPr>
          <w:rFonts w:hint="eastAsia" w:ascii="微软雅黑" w:hAnsi="微软雅黑" w:eastAsia="微软雅黑" w:cs="微软雅黑"/>
          <w:color w:val="auto"/>
          <w:sz w:val="24"/>
          <w:szCs w:val="24"/>
        </w:rPr>
        <w:t>，并以</w:t>
      </w:r>
      <w:r>
        <w:rPr>
          <w:rFonts w:hint="eastAsia" w:ascii="微软雅黑" w:hAnsi="微软雅黑" w:eastAsia="微软雅黑" w:cs="微软雅黑"/>
          <w:color w:val="auto"/>
          <w:sz w:val="24"/>
          <w:szCs w:val="24"/>
          <w:u w:val="single" w:color="000000"/>
        </w:rPr>
        <w:t xml:space="preserve">         </w:t>
      </w:r>
      <w:r>
        <w:rPr>
          <w:rFonts w:hint="eastAsia" w:ascii="微软雅黑" w:hAnsi="微软雅黑" w:eastAsia="微软雅黑" w:cs="微软雅黑"/>
          <w:color w:val="auto"/>
          <w:sz w:val="24"/>
          <w:szCs w:val="24"/>
        </w:rPr>
        <w:t>形式出具的金额为人民币</w:t>
      </w:r>
      <w:r>
        <w:rPr>
          <w:rFonts w:hint="eastAsia" w:ascii="微软雅黑" w:hAnsi="微软雅黑" w:eastAsia="微软雅黑" w:cs="微软雅黑"/>
          <w:color w:val="auto"/>
          <w:sz w:val="24"/>
          <w:szCs w:val="24"/>
          <w:u w:val="single" w:color="000000"/>
        </w:rPr>
        <w:t>　　　　</w:t>
      </w:r>
      <w:r>
        <w:rPr>
          <w:rFonts w:hint="eastAsia" w:ascii="微软雅黑" w:hAnsi="微软雅黑" w:eastAsia="微软雅黑" w:cs="微软雅黑"/>
          <w:color w:val="auto"/>
          <w:sz w:val="24"/>
          <w:szCs w:val="24"/>
        </w:rPr>
        <w:t>元的磋商保证金。</w:t>
      </w:r>
    </w:p>
    <w:p w14:paraId="728E7F83">
      <w:pPr>
        <w:pStyle w:val="16"/>
        <w:tabs>
          <w:tab w:val="left" w:pos="5580"/>
        </w:tabs>
        <w:snapToGrid w:val="0"/>
        <w:spacing w:line="400" w:lineRule="atLeas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据此，签字代表宣布同意如下：</w:t>
      </w:r>
    </w:p>
    <w:p w14:paraId="23AF99A3">
      <w:pPr>
        <w:pStyle w:val="16"/>
        <w:tabs>
          <w:tab w:val="left" w:pos="720"/>
          <w:tab w:val="left" w:pos="900"/>
        </w:tabs>
        <w:snapToGrid w:val="0"/>
        <w:spacing w:line="400" w:lineRule="atLeast"/>
        <w:ind w:left="769" w:leftChars="257" w:hanging="229"/>
        <w:textAlignment w:val="baseline"/>
        <w:rPr>
          <w:rFonts w:ascii="微软雅黑" w:hAnsi="微软雅黑" w:eastAsia="微软雅黑" w:cs="微软雅黑"/>
          <w:color w:val="auto"/>
          <w:sz w:val="24"/>
          <w:szCs w:val="24"/>
          <w:u w:val="single" w:color="000000"/>
        </w:rPr>
      </w:pPr>
      <w:r>
        <w:rPr>
          <w:rFonts w:hint="eastAsia" w:ascii="微软雅黑" w:hAnsi="微软雅黑" w:eastAsia="微软雅黑" w:cs="微软雅黑"/>
          <w:color w:val="auto"/>
          <w:sz w:val="24"/>
          <w:szCs w:val="24"/>
        </w:rPr>
        <w:t>（1）附磋商价格表中规定的应提供</w:t>
      </w:r>
      <w:r>
        <w:rPr>
          <w:rFonts w:hint="eastAsia" w:ascii="微软雅黑" w:hAnsi="微软雅黑" w:eastAsia="微软雅黑" w:cs="微软雅黑"/>
          <w:color w:val="auto"/>
          <w:sz w:val="24"/>
          <w:szCs w:val="24"/>
          <w:lang w:val="en-US" w:eastAsia="zh-CN"/>
        </w:rPr>
        <w:t>的服务</w:t>
      </w:r>
      <w:r>
        <w:rPr>
          <w:rFonts w:hint="eastAsia" w:ascii="微软雅黑" w:hAnsi="微软雅黑" w:eastAsia="微软雅黑" w:cs="微软雅黑"/>
          <w:color w:val="auto"/>
          <w:sz w:val="24"/>
          <w:szCs w:val="24"/>
        </w:rPr>
        <w:t>磋商总价详见磋商开启一览表，</w:t>
      </w:r>
      <w:r>
        <w:rPr>
          <w:rFonts w:hint="eastAsia" w:ascii="微软雅黑" w:hAnsi="微软雅黑" w:eastAsia="微软雅黑" w:cs="微软雅黑"/>
          <w:color w:val="auto"/>
          <w:sz w:val="24"/>
          <w:szCs w:val="24"/>
          <w:u w:val="single" w:color="000000"/>
        </w:rPr>
        <w:t>其中由小型和</w:t>
      </w:r>
      <w:r>
        <w:rPr>
          <w:rFonts w:hint="eastAsia" w:ascii="微软雅黑" w:hAnsi="微软雅黑" w:eastAsia="微软雅黑" w:cs="微软雅黑"/>
          <w:color w:val="auto"/>
          <w:sz w:val="24"/>
          <w:szCs w:val="24"/>
        </w:rPr>
        <w:t>微型企业</w:t>
      </w:r>
      <w:r>
        <w:rPr>
          <w:rFonts w:hint="eastAsia" w:ascii="微软雅黑" w:hAnsi="微软雅黑" w:eastAsia="微软雅黑" w:cs="微软雅黑"/>
          <w:color w:val="auto"/>
          <w:sz w:val="24"/>
          <w:szCs w:val="24"/>
          <w:lang w:eastAsia="zh-CN"/>
        </w:rPr>
        <w:t>承接商</w:t>
      </w:r>
      <w:r>
        <w:rPr>
          <w:rFonts w:hint="eastAsia" w:ascii="微软雅黑" w:hAnsi="微软雅黑" w:eastAsia="微软雅黑" w:cs="微软雅黑"/>
          <w:color w:val="auto"/>
          <w:sz w:val="24"/>
          <w:szCs w:val="24"/>
        </w:rPr>
        <w:t>的价格为</w:t>
      </w:r>
      <w:r>
        <w:rPr>
          <w:rFonts w:hint="eastAsia" w:ascii="微软雅黑" w:hAnsi="微软雅黑" w:eastAsia="微软雅黑" w:cs="微软雅黑"/>
          <w:color w:val="auto"/>
          <w:sz w:val="24"/>
          <w:szCs w:val="24"/>
          <w:u w:val="single" w:color="000000"/>
        </w:rPr>
        <w:t>　　  （用文字和数字表示），占磋商总价   %</w:t>
      </w:r>
      <w:r>
        <w:rPr>
          <w:rFonts w:hint="eastAsia" w:ascii="微软雅黑" w:hAnsi="微软雅黑" w:eastAsia="微软雅黑" w:cs="微软雅黑"/>
          <w:color w:val="auto"/>
          <w:sz w:val="24"/>
          <w:szCs w:val="24"/>
        </w:rPr>
        <w:t>。</w:t>
      </w:r>
    </w:p>
    <w:p w14:paraId="56881135">
      <w:pPr>
        <w:pStyle w:val="16"/>
        <w:tabs>
          <w:tab w:val="left" w:pos="5580"/>
        </w:tabs>
        <w:snapToGrid w:val="0"/>
        <w:spacing w:line="400" w:lineRule="atLeas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（2）本磋商有效期为自磋商截止之日起</w:t>
      </w:r>
      <w:r>
        <w:rPr>
          <w:rFonts w:hint="eastAsia" w:ascii="微软雅黑" w:hAnsi="微软雅黑" w:eastAsia="微软雅黑" w:cs="微软雅黑"/>
          <w:color w:val="auto"/>
          <w:sz w:val="24"/>
          <w:szCs w:val="24"/>
          <w:u w:val="single" w:color="000000"/>
        </w:rPr>
        <w:t xml:space="preserve">          </w:t>
      </w:r>
      <w:r>
        <w:rPr>
          <w:rFonts w:hint="eastAsia" w:ascii="微软雅黑" w:hAnsi="微软雅黑" w:eastAsia="微软雅黑" w:cs="微软雅黑"/>
          <w:color w:val="auto"/>
          <w:sz w:val="24"/>
          <w:szCs w:val="24"/>
        </w:rPr>
        <w:t>个日历日。</w:t>
      </w:r>
    </w:p>
    <w:p w14:paraId="6BD3D4C7">
      <w:pPr>
        <w:pStyle w:val="16"/>
        <w:tabs>
          <w:tab w:val="left" w:pos="5580"/>
        </w:tabs>
        <w:snapToGrid w:val="0"/>
        <w:spacing w:line="400" w:lineRule="atLeas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（3）联合体中的大中型企业和其他自然人、法人或者非法人组织，与联合体中的小型、微型企业之间</w:t>
      </w:r>
      <w:r>
        <w:rPr>
          <w:rFonts w:hint="eastAsia" w:ascii="微软雅黑" w:hAnsi="微软雅黑" w:eastAsia="微软雅黑" w:cs="微软雅黑"/>
          <w:color w:val="auto"/>
          <w:sz w:val="24"/>
          <w:szCs w:val="24"/>
          <w:u w:val="single" w:color="000000"/>
        </w:rPr>
        <w:t xml:space="preserve">     （</w:t>
      </w:r>
      <w:r>
        <w:rPr>
          <w:rFonts w:hint="eastAsia" w:ascii="微软雅黑" w:hAnsi="微软雅黑" w:eastAsia="微软雅黑" w:cs="微软雅黑"/>
          <w:color w:val="auto"/>
          <w:sz w:val="24"/>
          <w:szCs w:val="24"/>
        </w:rPr>
        <w:t>存在、不存在）投资关系（如果是联合体的话）。</w:t>
      </w:r>
    </w:p>
    <w:p w14:paraId="3BB09A67">
      <w:pPr>
        <w:pStyle w:val="16"/>
        <w:tabs>
          <w:tab w:val="left" w:pos="5580"/>
        </w:tabs>
        <w:snapToGrid w:val="0"/>
        <w:spacing w:line="400" w:lineRule="atLeas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（4）已详细审查全部磋商文件，包括所有补充通知（如果有的话），完全理解并同意放弃对这方面有不明、误解和质疑的权力。</w:t>
      </w:r>
    </w:p>
    <w:p w14:paraId="3B2894EC">
      <w:pPr>
        <w:pStyle w:val="16"/>
        <w:tabs>
          <w:tab w:val="left" w:pos="5580"/>
        </w:tabs>
        <w:snapToGrid w:val="0"/>
        <w:spacing w:line="400" w:lineRule="atLeas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（5）在规定的磋商开启时间后，遵守磋商文件中有关保证金的规定。</w:t>
      </w:r>
    </w:p>
    <w:p w14:paraId="1C4EF448">
      <w:pPr>
        <w:pStyle w:val="16"/>
        <w:tabs>
          <w:tab w:val="left" w:pos="5580"/>
        </w:tabs>
        <w:snapToGrid w:val="0"/>
        <w:spacing w:line="400" w:lineRule="atLeas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（6）我方不是为本项目提供整体设计、规范编制或者项目管理、监理、检测等服务的供应商，我方不是采购代理机构的附属机构。</w:t>
      </w:r>
    </w:p>
    <w:p w14:paraId="7C90D5EA">
      <w:pPr>
        <w:pStyle w:val="16"/>
        <w:tabs>
          <w:tab w:val="left" w:pos="5580"/>
        </w:tabs>
        <w:snapToGrid w:val="0"/>
        <w:spacing w:line="400" w:lineRule="atLeas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（7）在领取成交通知书的同时按磋商文件规定的形式，向贵方一次性支付成交服务费。</w:t>
      </w:r>
    </w:p>
    <w:p w14:paraId="044ACC57">
      <w:pPr>
        <w:pStyle w:val="16"/>
        <w:tabs>
          <w:tab w:val="left" w:pos="5580"/>
        </w:tabs>
        <w:snapToGrid w:val="0"/>
        <w:spacing w:line="400" w:lineRule="atLeas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（8）按照贵方可能要求，提供与其磋商有关的一切数据或资料，完全理解贵方不一定接受最低价的磋商或收到的任何磋商。</w:t>
      </w:r>
    </w:p>
    <w:p w14:paraId="36F1340A">
      <w:pPr>
        <w:pStyle w:val="16"/>
        <w:tabs>
          <w:tab w:val="left" w:pos="5580"/>
        </w:tabs>
        <w:snapToGrid w:val="0"/>
        <w:spacing w:line="400" w:lineRule="atLeas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（9）按照磋商文件的规定履行合同责任和义务。</w:t>
      </w:r>
    </w:p>
    <w:p w14:paraId="4EFA98C3">
      <w:pPr>
        <w:pStyle w:val="16"/>
        <w:tabs>
          <w:tab w:val="left" w:pos="5580"/>
        </w:tabs>
        <w:snapToGrid w:val="0"/>
        <w:spacing w:line="400" w:lineRule="atLeast"/>
        <w:ind w:left="359" w:leftChars="68" w:hanging="216" w:hangingChars="9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 xml:space="preserve">  与本磋商有关的一切正式往来信函请寄：</w:t>
      </w:r>
    </w:p>
    <w:p w14:paraId="38B53827">
      <w:pPr>
        <w:pStyle w:val="16"/>
        <w:tabs>
          <w:tab w:val="left" w:pos="5580"/>
        </w:tabs>
        <w:snapToGrid w:val="0"/>
        <w:spacing w:line="400" w:lineRule="atLeas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地址</w:t>
      </w:r>
      <w:r>
        <w:rPr>
          <w:rFonts w:hint="eastAsia" w:ascii="微软雅黑" w:hAnsi="微软雅黑" w:eastAsia="微软雅黑" w:cs="微软雅黑"/>
          <w:color w:val="auto"/>
          <w:sz w:val="24"/>
          <w:szCs w:val="24"/>
          <w:u w:val="single" w:color="000000"/>
        </w:rPr>
        <w:t xml:space="preserve">                         </w:t>
      </w:r>
      <w:r>
        <w:rPr>
          <w:rFonts w:hint="eastAsia" w:ascii="微软雅黑" w:hAnsi="微软雅黑" w:eastAsia="微软雅黑" w:cs="微软雅黑"/>
          <w:color w:val="auto"/>
          <w:sz w:val="24"/>
          <w:szCs w:val="24"/>
        </w:rPr>
        <w:t xml:space="preserve">     传真</w:t>
      </w:r>
      <w:r>
        <w:rPr>
          <w:rFonts w:hint="eastAsia" w:ascii="微软雅黑" w:hAnsi="微软雅黑" w:eastAsia="微软雅黑" w:cs="微软雅黑"/>
          <w:color w:val="auto"/>
          <w:sz w:val="24"/>
          <w:szCs w:val="24"/>
          <w:u w:val="single" w:color="000000"/>
        </w:rPr>
        <w:t xml:space="preserve">                             </w:t>
      </w:r>
    </w:p>
    <w:p w14:paraId="0D6717D0">
      <w:pPr>
        <w:pStyle w:val="16"/>
        <w:tabs>
          <w:tab w:val="left" w:pos="5580"/>
        </w:tabs>
        <w:snapToGrid w:val="0"/>
        <w:spacing w:line="400" w:lineRule="atLeas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电话</w:t>
      </w:r>
      <w:r>
        <w:rPr>
          <w:rFonts w:hint="eastAsia" w:ascii="微软雅黑" w:hAnsi="微软雅黑" w:eastAsia="微软雅黑" w:cs="微软雅黑"/>
          <w:color w:val="auto"/>
          <w:sz w:val="24"/>
          <w:szCs w:val="24"/>
          <w:u w:val="single" w:color="000000"/>
        </w:rPr>
        <w:t xml:space="preserve">                         </w:t>
      </w:r>
      <w:r>
        <w:rPr>
          <w:rFonts w:hint="eastAsia" w:ascii="微软雅黑" w:hAnsi="微软雅黑" w:eastAsia="微软雅黑" w:cs="微软雅黑"/>
          <w:color w:val="auto"/>
          <w:sz w:val="24"/>
          <w:szCs w:val="24"/>
        </w:rPr>
        <w:t xml:space="preserve">     电子函件</w:t>
      </w:r>
      <w:r>
        <w:rPr>
          <w:rFonts w:hint="eastAsia" w:ascii="微软雅黑" w:hAnsi="微软雅黑" w:eastAsia="微软雅黑" w:cs="微软雅黑"/>
          <w:color w:val="auto"/>
          <w:sz w:val="24"/>
          <w:szCs w:val="24"/>
          <w:u w:val="single" w:color="000000"/>
        </w:rPr>
        <w:t xml:space="preserve">                         </w:t>
      </w:r>
    </w:p>
    <w:p w14:paraId="30BC9525">
      <w:pPr>
        <w:pStyle w:val="16"/>
        <w:tabs>
          <w:tab w:val="left" w:pos="5580"/>
        </w:tabs>
        <w:snapToGrid w:val="0"/>
        <w:spacing w:line="400" w:lineRule="atLeast"/>
        <w:ind w:left="1080" w:leftChars="257" w:hanging="540"/>
        <w:textAlignment w:val="baseline"/>
        <w:rPr>
          <w:rFonts w:ascii="微软雅黑" w:hAnsi="微软雅黑" w:eastAsia="微软雅黑" w:cs="微软雅黑"/>
          <w:color w:val="auto"/>
          <w:sz w:val="24"/>
          <w:szCs w:val="24"/>
          <w:u w:val="single" w:color="000000"/>
        </w:rPr>
      </w:pPr>
      <w:r>
        <w:rPr>
          <w:rFonts w:hint="eastAsia" w:ascii="微软雅黑" w:hAnsi="微软雅黑" w:eastAsia="微软雅黑" w:cs="微软雅黑"/>
          <w:color w:val="auto"/>
          <w:sz w:val="24"/>
          <w:szCs w:val="24"/>
        </w:rPr>
        <w:t>法定代表人或其委托代理人（签/章）</w:t>
      </w:r>
      <w:r>
        <w:rPr>
          <w:rFonts w:hint="eastAsia" w:ascii="微软雅黑" w:hAnsi="微软雅黑" w:eastAsia="微软雅黑" w:cs="微软雅黑"/>
          <w:color w:val="auto"/>
          <w:sz w:val="24"/>
          <w:szCs w:val="24"/>
          <w:u w:val="single" w:color="000000"/>
        </w:rPr>
        <w:t xml:space="preserve">　　　　　　 </w:t>
      </w:r>
    </w:p>
    <w:p w14:paraId="4E9D4ED4">
      <w:pPr>
        <w:pStyle w:val="16"/>
        <w:tabs>
          <w:tab w:val="left" w:pos="5580"/>
        </w:tabs>
        <w:snapToGrid w:val="0"/>
        <w:spacing w:line="400" w:lineRule="atLeas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供应商名称（全称）</w:t>
      </w:r>
      <w:r>
        <w:rPr>
          <w:rFonts w:hint="eastAsia" w:ascii="微软雅黑" w:hAnsi="微软雅黑" w:eastAsia="微软雅黑" w:cs="微软雅黑"/>
          <w:color w:val="auto"/>
          <w:sz w:val="24"/>
          <w:szCs w:val="24"/>
          <w:u w:val="single" w:color="000000"/>
        </w:rPr>
        <w:t xml:space="preserve">　　　　　　 </w:t>
      </w:r>
    </w:p>
    <w:p w14:paraId="38485C5B">
      <w:pPr>
        <w:pStyle w:val="16"/>
        <w:tabs>
          <w:tab w:val="left" w:pos="5580"/>
        </w:tabs>
        <w:snapToGrid w:val="0"/>
        <w:spacing w:line="400" w:lineRule="atLeas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供应商开户银行（全称）</w:t>
      </w:r>
      <w:r>
        <w:rPr>
          <w:rFonts w:hint="eastAsia" w:ascii="微软雅黑" w:hAnsi="微软雅黑" w:eastAsia="微软雅黑" w:cs="微软雅黑"/>
          <w:color w:val="auto"/>
          <w:sz w:val="24"/>
          <w:szCs w:val="24"/>
          <w:u w:val="single" w:color="000000"/>
        </w:rPr>
        <w:t xml:space="preserve">　　　　　　 </w:t>
      </w:r>
    </w:p>
    <w:p w14:paraId="42DD214B">
      <w:pPr>
        <w:pStyle w:val="16"/>
        <w:tabs>
          <w:tab w:val="left" w:pos="5580"/>
        </w:tabs>
        <w:snapToGrid w:val="0"/>
        <w:spacing w:line="400" w:lineRule="atLeas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供应商银行帐号</w:t>
      </w:r>
      <w:r>
        <w:rPr>
          <w:rFonts w:hint="eastAsia" w:ascii="微软雅黑" w:hAnsi="微软雅黑" w:eastAsia="微软雅黑" w:cs="微软雅黑"/>
          <w:color w:val="auto"/>
          <w:sz w:val="24"/>
          <w:szCs w:val="24"/>
          <w:u w:val="single" w:color="000000"/>
        </w:rPr>
        <w:t>　　　　　　　　 　　</w:t>
      </w:r>
    </w:p>
    <w:p w14:paraId="60BA93CA">
      <w:pPr>
        <w:pStyle w:val="16"/>
        <w:tabs>
          <w:tab w:val="left" w:pos="5580"/>
        </w:tabs>
        <w:snapToGrid w:val="0"/>
        <w:spacing w:line="400" w:lineRule="atLeast"/>
        <w:ind w:left="1080" w:leftChars="257" w:hanging="540"/>
        <w:textAlignment w:val="baseline"/>
        <w:rPr>
          <w:rFonts w:ascii="微软雅黑" w:hAnsi="微软雅黑" w:eastAsia="微软雅黑" w:cs="微软雅黑"/>
          <w:color w:val="auto"/>
          <w:sz w:val="24"/>
          <w:szCs w:val="24"/>
          <w:u w:val="single" w:color="000000"/>
        </w:rPr>
      </w:pPr>
      <w:r>
        <w:rPr>
          <w:rFonts w:hint="eastAsia" w:ascii="微软雅黑" w:hAnsi="微软雅黑" w:eastAsia="微软雅黑" w:cs="微软雅黑"/>
          <w:color w:val="auto"/>
          <w:sz w:val="24"/>
          <w:szCs w:val="24"/>
        </w:rPr>
        <w:t>供应商（公章）</w:t>
      </w:r>
      <w:r>
        <w:rPr>
          <w:rFonts w:hint="eastAsia" w:ascii="微软雅黑" w:hAnsi="微软雅黑" w:eastAsia="微软雅黑" w:cs="微软雅黑"/>
          <w:color w:val="auto"/>
          <w:sz w:val="24"/>
          <w:szCs w:val="24"/>
          <w:u w:val="single" w:color="000000"/>
        </w:rPr>
        <w:t xml:space="preserve">　　　　　　       </w:t>
      </w:r>
      <w:r>
        <w:rPr>
          <w:rFonts w:hint="eastAsia" w:ascii="微软雅黑" w:hAnsi="微软雅黑" w:eastAsia="微软雅黑" w:cs="微软雅黑"/>
          <w:color w:val="auto"/>
          <w:sz w:val="24"/>
          <w:szCs w:val="24"/>
        </w:rPr>
        <w:t>日期</w:t>
      </w:r>
      <w:r>
        <w:rPr>
          <w:rFonts w:hint="eastAsia" w:ascii="微软雅黑" w:hAnsi="微软雅黑" w:eastAsia="微软雅黑" w:cs="微软雅黑"/>
          <w:color w:val="auto"/>
          <w:sz w:val="24"/>
          <w:szCs w:val="24"/>
          <w:u w:val="single" w:color="000000"/>
        </w:rPr>
        <w:t>　　　　　　</w:t>
      </w:r>
      <w:bookmarkStart w:id="511" w:name="_Toc216582815"/>
      <w:bookmarkStart w:id="512" w:name="_Toc20897"/>
      <w:bookmarkStart w:id="513" w:name="_Toc515647818"/>
      <w:bookmarkStart w:id="514" w:name="_Toc1881"/>
    </w:p>
    <w:bookmarkEnd w:id="511"/>
    <w:bookmarkEnd w:id="512"/>
    <w:bookmarkEnd w:id="513"/>
    <w:bookmarkEnd w:id="514"/>
    <w:p w14:paraId="4E0B6C4E">
      <w:pPr>
        <w:pStyle w:val="16"/>
        <w:spacing w:line="360" w:lineRule="exact"/>
        <w:rPr>
          <w:rFonts w:ascii="微软雅黑" w:hAnsi="微软雅黑" w:eastAsia="微软雅黑" w:cs="微软雅黑"/>
          <w:b/>
          <w:color w:val="auto"/>
          <w:kern w:val="0"/>
          <w:sz w:val="24"/>
        </w:rPr>
      </w:pPr>
    </w:p>
    <w:p w14:paraId="777888EE">
      <w:pPr>
        <w:pStyle w:val="16"/>
        <w:spacing w:line="360" w:lineRule="exact"/>
        <w:rPr>
          <w:rFonts w:ascii="微软雅黑" w:hAnsi="微软雅黑" w:eastAsia="微软雅黑" w:cs="微软雅黑"/>
          <w:b/>
          <w:color w:val="auto"/>
          <w:kern w:val="0"/>
          <w:sz w:val="24"/>
        </w:rPr>
      </w:pPr>
    </w:p>
    <w:p w14:paraId="0DD0FC39">
      <w:pPr>
        <w:pStyle w:val="16"/>
        <w:spacing w:line="360" w:lineRule="exact"/>
        <w:rPr>
          <w:rFonts w:ascii="微软雅黑" w:hAnsi="微软雅黑" w:eastAsia="微软雅黑" w:cs="微软雅黑"/>
          <w:b/>
          <w:color w:val="auto"/>
          <w:kern w:val="0"/>
          <w:sz w:val="24"/>
        </w:rPr>
      </w:pPr>
    </w:p>
    <w:p w14:paraId="498B55D9">
      <w:pPr>
        <w:pStyle w:val="16"/>
        <w:spacing w:line="360" w:lineRule="exact"/>
        <w:rPr>
          <w:rFonts w:ascii="微软雅黑" w:hAnsi="微软雅黑" w:eastAsia="微软雅黑" w:cs="微软雅黑"/>
          <w:b/>
          <w:color w:val="auto"/>
          <w:kern w:val="0"/>
          <w:sz w:val="24"/>
        </w:rPr>
      </w:pPr>
    </w:p>
    <w:p w14:paraId="72B4C3D5">
      <w:pPr>
        <w:pStyle w:val="16"/>
        <w:spacing w:line="360" w:lineRule="exact"/>
        <w:rPr>
          <w:rFonts w:ascii="微软雅黑" w:hAnsi="微软雅黑" w:eastAsia="微软雅黑" w:cs="微软雅黑"/>
          <w:b/>
          <w:color w:val="auto"/>
          <w:kern w:val="0"/>
          <w:sz w:val="24"/>
        </w:rPr>
      </w:pPr>
    </w:p>
    <w:p w14:paraId="480BAC9F">
      <w:pPr>
        <w:pStyle w:val="4"/>
        <w:spacing w:before="0" w:line="360" w:lineRule="exact"/>
        <w:ind w:left="1080" w:leftChars="257" w:hanging="540"/>
        <w:rPr>
          <w:rFonts w:ascii="微软雅黑" w:hAnsi="微软雅黑" w:eastAsia="微软雅黑" w:cs="微软雅黑"/>
          <w:color w:val="auto"/>
          <w:sz w:val="24"/>
          <w:szCs w:val="24"/>
        </w:rPr>
      </w:pPr>
      <w:bookmarkStart w:id="515" w:name="_Toc22742"/>
      <w:r>
        <w:rPr>
          <w:rFonts w:hint="eastAsia" w:ascii="微软雅黑" w:hAnsi="微软雅黑" w:eastAsia="微软雅黑" w:cs="微软雅黑"/>
          <w:color w:val="auto"/>
          <w:sz w:val="24"/>
          <w:szCs w:val="24"/>
        </w:rPr>
        <w:t xml:space="preserve">2 </w:t>
      </w:r>
      <w:bookmarkStart w:id="516" w:name="_Toc5101"/>
      <w:r>
        <w:rPr>
          <w:rFonts w:hint="eastAsia" w:ascii="微软雅黑" w:hAnsi="微软雅黑" w:eastAsia="微软雅黑" w:cs="微软雅黑"/>
          <w:color w:val="auto"/>
          <w:sz w:val="24"/>
          <w:szCs w:val="24"/>
        </w:rPr>
        <w:t>、</w:t>
      </w:r>
      <w:r>
        <w:rPr>
          <w:rFonts w:hint="eastAsia" w:ascii="微软雅黑" w:hAnsi="微软雅黑" w:eastAsia="微软雅黑" w:cs="微软雅黑"/>
          <w:bCs/>
          <w:color w:val="auto"/>
          <w:sz w:val="24"/>
          <w:szCs w:val="24"/>
        </w:rPr>
        <w:t>磋商分项报价表</w:t>
      </w:r>
      <w:bookmarkEnd w:id="491"/>
      <w:bookmarkEnd w:id="515"/>
      <w:bookmarkEnd w:id="516"/>
    </w:p>
    <w:p w14:paraId="3D563D26">
      <w:pPr>
        <w:pStyle w:val="16"/>
        <w:spacing w:line="360" w:lineRule="exact"/>
        <w:jc w:val="left"/>
        <w:rPr>
          <w:rFonts w:ascii="微软雅黑" w:hAnsi="微软雅黑" w:eastAsia="微软雅黑" w:cs="微软雅黑"/>
          <w:color w:val="auto"/>
          <w:sz w:val="24"/>
          <w:szCs w:val="24"/>
        </w:rPr>
      </w:pPr>
    </w:p>
    <w:p w14:paraId="7B093B04">
      <w:pPr>
        <w:pStyle w:val="16"/>
        <w:spacing w:line="400" w:lineRule="exact"/>
        <w:jc w:val="left"/>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项目名称:                      招标编号:                       　 　             报价单位：</w:t>
      </w:r>
    </w:p>
    <w:tbl>
      <w:tblPr>
        <w:tblStyle w:val="37"/>
        <w:tblpPr w:leftFromText="180" w:rightFromText="180" w:vertAnchor="text" w:horzAnchor="page" w:tblpX="1365" w:tblpY="167"/>
        <w:tblOverlap w:val="never"/>
        <w:tblW w:w="993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6"/>
        <w:gridCol w:w="1402"/>
        <w:gridCol w:w="1666"/>
        <w:gridCol w:w="1507"/>
        <w:gridCol w:w="1507"/>
        <w:gridCol w:w="1507"/>
        <w:gridCol w:w="880"/>
        <w:gridCol w:w="880"/>
      </w:tblGrid>
      <w:tr w14:paraId="6621A7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7" w:hRule="atLeast"/>
        </w:trPr>
        <w:tc>
          <w:tcPr>
            <w:tcW w:w="586" w:type="dxa"/>
            <w:noWrap/>
            <w:vAlign w:val="center"/>
          </w:tcPr>
          <w:p w14:paraId="74F0CCBA">
            <w:pPr>
              <w:pStyle w:val="16"/>
              <w:spacing w:line="360" w:lineRule="exact"/>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序号</w:t>
            </w:r>
          </w:p>
        </w:tc>
        <w:tc>
          <w:tcPr>
            <w:tcW w:w="1402" w:type="dxa"/>
            <w:noWrap/>
            <w:vAlign w:val="center"/>
          </w:tcPr>
          <w:p w14:paraId="33D4B642">
            <w:pPr>
              <w:pStyle w:val="16"/>
              <w:spacing w:line="360" w:lineRule="exact"/>
              <w:jc w:val="center"/>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服务名称</w:t>
            </w:r>
          </w:p>
        </w:tc>
        <w:tc>
          <w:tcPr>
            <w:tcW w:w="1666" w:type="dxa"/>
            <w:noWrap/>
            <w:vAlign w:val="center"/>
          </w:tcPr>
          <w:p w14:paraId="6157DC42">
            <w:pPr>
              <w:pStyle w:val="16"/>
              <w:spacing w:line="360" w:lineRule="exact"/>
              <w:jc w:val="center"/>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服务内容</w:t>
            </w:r>
          </w:p>
        </w:tc>
        <w:tc>
          <w:tcPr>
            <w:tcW w:w="1507" w:type="dxa"/>
            <w:noWrap/>
            <w:vAlign w:val="center"/>
          </w:tcPr>
          <w:p w14:paraId="0E7EDAAC">
            <w:pPr>
              <w:pStyle w:val="16"/>
              <w:spacing w:line="360" w:lineRule="exact"/>
              <w:jc w:val="center"/>
              <w:rPr>
                <w:rFonts w:hint="eastAsia" w:ascii="微软雅黑" w:hAnsi="微软雅黑" w:eastAsia="微软雅黑" w:cs="微软雅黑"/>
                <w:color w:val="auto"/>
                <w:sz w:val="24"/>
                <w:szCs w:val="24"/>
                <w:lang w:val="en-US" w:eastAsia="zh-CN"/>
              </w:rPr>
            </w:pPr>
            <w:r>
              <w:rPr>
                <w:rFonts w:hint="eastAsia" w:ascii="微软雅黑" w:hAnsi="微软雅黑" w:eastAsia="微软雅黑" w:cs="微软雅黑"/>
                <w:color w:val="auto"/>
                <w:sz w:val="24"/>
                <w:szCs w:val="24"/>
                <w:lang w:val="en-US" w:eastAsia="zh-CN"/>
              </w:rPr>
              <w:t>数量</w:t>
            </w:r>
          </w:p>
        </w:tc>
        <w:tc>
          <w:tcPr>
            <w:tcW w:w="1507" w:type="dxa"/>
            <w:noWrap/>
            <w:vAlign w:val="center"/>
          </w:tcPr>
          <w:p w14:paraId="3DDA48EE">
            <w:pPr>
              <w:pStyle w:val="16"/>
              <w:spacing w:line="360" w:lineRule="exact"/>
              <w:jc w:val="center"/>
              <w:rPr>
                <w:rFonts w:hint="eastAsia" w:ascii="微软雅黑" w:hAnsi="微软雅黑" w:eastAsia="微软雅黑" w:cs="微软雅黑"/>
                <w:color w:val="auto"/>
                <w:sz w:val="24"/>
                <w:szCs w:val="24"/>
                <w:lang w:val="en-US" w:eastAsia="zh-CN"/>
              </w:rPr>
            </w:pPr>
            <w:r>
              <w:rPr>
                <w:rFonts w:hint="eastAsia" w:ascii="微软雅黑" w:hAnsi="微软雅黑" w:eastAsia="微软雅黑" w:cs="微软雅黑"/>
                <w:color w:val="auto"/>
                <w:sz w:val="24"/>
                <w:szCs w:val="24"/>
                <w:lang w:val="en-US" w:eastAsia="zh-CN"/>
              </w:rPr>
              <w:t>单位</w:t>
            </w:r>
          </w:p>
        </w:tc>
        <w:tc>
          <w:tcPr>
            <w:tcW w:w="1507" w:type="dxa"/>
            <w:noWrap/>
            <w:vAlign w:val="center"/>
          </w:tcPr>
          <w:p w14:paraId="60898B1C">
            <w:pPr>
              <w:pStyle w:val="16"/>
              <w:spacing w:line="360" w:lineRule="exact"/>
              <w:jc w:val="center"/>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单价</w:t>
            </w:r>
          </w:p>
        </w:tc>
        <w:tc>
          <w:tcPr>
            <w:tcW w:w="880" w:type="dxa"/>
            <w:noWrap/>
            <w:vAlign w:val="center"/>
          </w:tcPr>
          <w:p w14:paraId="128F4EEA">
            <w:pPr>
              <w:pStyle w:val="16"/>
              <w:spacing w:line="360" w:lineRule="exact"/>
              <w:jc w:val="center"/>
              <w:rPr>
                <w:rFonts w:hint="eastAsia" w:ascii="微软雅黑" w:hAnsi="微软雅黑" w:eastAsia="微软雅黑" w:cs="微软雅黑"/>
                <w:color w:val="auto"/>
                <w:sz w:val="24"/>
                <w:szCs w:val="24"/>
                <w:lang w:val="en-US" w:eastAsia="zh-CN"/>
              </w:rPr>
            </w:pPr>
            <w:r>
              <w:rPr>
                <w:rFonts w:hint="eastAsia" w:ascii="微软雅黑" w:hAnsi="微软雅黑" w:eastAsia="微软雅黑" w:cs="微软雅黑"/>
                <w:color w:val="auto"/>
                <w:sz w:val="24"/>
                <w:szCs w:val="24"/>
                <w:lang w:val="en-US" w:eastAsia="zh-CN"/>
              </w:rPr>
              <w:t>总价</w:t>
            </w:r>
          </w:p>
        </w:tc>
        <w:tc>
          <w:tcPr>
            <w:tcW w:w="880" w:type="dxa"/>
            <w:noWrap/>
            <w:vAlign w:val="center"/>
          </w:tcPr>
          <w:p w14:paraId="1420CB1E">
            <w:pPr>
              <w:pStyle w:val="16"/>
              <w:spacing w:line="360" w:lineRule="exact"/>
              <w:jc w:val="center"/>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备注</w:t>
            </w:r>
          </w:p>
        </w:tc>
      </w:tr>
      <w:tr w14:paraId="0513C5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586" w:type="dxa"/>
            <w:noWrap/>
            <w:vAlign w:val="center"/>
          </w:tcPr>
          <w:p w14:paraId="552DE52A">
            <w:pPr>
              <w:pStyle w:val="16"/>
              <w:spacing w:line="360" w:lineRule="exact"/>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w:t>
            </w:r>
          </w:p>
        </w:tc>
        <w:tc>
          <w:tcPr>
            <w:tcW w:w="1402" w:type="dxa"/>
            <w:noWrap/>
            <w:vAlign w:val="center"/>
          </w:tcPr>
          <w:p w14:paraId="29D210F4">
            <w:pPr>
              <w:pStyle w:val="16"/>
              <w:spacing w:line="360" w:lineRule="exact"/>
              <w:ind w:left="1080" w:leftChars="257" w:hanging="540"/>
              <w:jc w:val="center"/>
              <w:rPr>
                <w:rFonts w:ascii="微软雅黑" w:hAnsi="微软雅黑" w:eastAsia="微软雅黑" w:cs="微软雅黑"/>
                <w:color w:val="auto"/>
                <w:sz w:val="24"/>
                <w:szCs w:val="24"/>
              </w:rPr>
            </w:pPr>
          </w:p>
        </w:tc>
        <w:tc>
          <w:tcPr>
            <w:tcW w:w="1666" w:type="dxa"/>
            <w:noWrap/>
            <w:vAlign w:val="center"/>
          </w:tcPr>
          <w:p w14:paraId="626F4865">
            <w:pPr>
              <w:pStyle w:val="16"/>
              <w:spacing w:line="360" w:lineRule="exact"/>
              <w:ind w:left="1080" w:leftChars="257" w:hanging="540"/>
              <w:jc w:val="center"/>
              <w:rPr>
                <w:rFonts w:ascii="微软雅黑" w:hAnsi="微软雅黑" w:eastAsia="微软雅黑" w:cs="微软雅黑"/>
                <w:color w:val="auto"/>
                <w:sz w:val="24"/>
                <w:szCs w:val="24"/>
              </w:rPr>
            </w:pPr>
          </w:p>
        </w:tc>
        <w:tc>
          <w:tcPr>
            <w:tcW w:w="1507" w:type="dxa"/>
            <w:noWrap/>
            <w:vAlign w:val="center"/>
          </w:tcPr>
          <w:p w14:paraId="6D563611">
            <w:pPr>
              <w:pStyle w:val="16"/>
              <w:spacing w:line="360" w:lineRule="exact"/>
              <w:ind w:left="1080" w:leftChars="257" w:hanging="540"/>
              <w:jc w:val="center"/>
              <w:rPr>
                <w:rFonts w:ascii="微软雅黑" w:hAnsi="微软雅黑" w:eastAsia="微软雅黑" w:cs="微软雅黑"/>
                <w:color w:val="auto"/>
                <w:sz w:val="24"/>
                <w:szCs w:val="24"/>
              </w:rPr>
            </w:pPr>
          </w:p>
        </w:tc>
        <w:tc>
          <w:tcPr>
            <w:tcW w:w="1507" w:type="dxa"/>
            <w:noWrap/>
            <w:vAlign w:val="center"/>
          </w:tcPr>
          <w:p w14:paraId="35B8393E">
            <w:pPr>
              <w:pStyle w:val="16"/>
              <w:spacing w:line="360" w:lineRule="exact"/>
              <w:ind w:left="1080" w:leftChars="257" w:hanging="540"/>
              <w:jc w:val="center"/>
              <w:rPr>
                <w:rFonts w:ascii="微软雅黑" w:hAnsi="微软雅黑" w:eastAsia="微软雅黑" w:cs="微软雅黑"/>
                <w:color w:val="auto"/>
                <w:sz w:val="24"/>
                <w:szCs w:val="24"/>
              </w:rPr>
            </w:pPr>
          </w:p>
        </w:tc>
        <w:tc>
          <w:tcPr>
            <w:tcW w:w="1507" w:type="dxa"/>
            <w:noWrap/>
            <w:vAlign w:val="center"/>
          </w:tcPr>
          <w:p w14:paraId="453738AB">
            <w:pPr>
              <w:pStyle w:val="16"/>
              <w:spacing w:line="360" w:lineRule="exact"/>
              <w:ind w:left="1080" w:leftChars="257" w:hanging="540"/>
              <w:jc w:val="center"/>
              <w:rPr>
                <w:rFonts w:ascii="微软雅黑" w:hAnsi="微软雅黑" w:eastAsia="微软雅黑" w:cs="微软雅黑"/>
                <w:color w:val="auto"/>
                <w:sz w:val="24"/>
                <w:szCs w:val="24"/>
              </w:rPr>
            </w:pPr>
          </w:p>
        </w:tc>
        <w:tc>
          <w:tcPr>
            <w:tcW w:w="880" w:type="dxa"/>
            <w:noWrap/>
            <w:vAlign w:val="center"/>
          </w:tcPr>
          <w:p w14:paraId="7DB80D1B">
            <w:pPr>
              <w:pStyle w:val="16"/>
              <w:spacing w:line="360" w:lineRule="exact"/>
              <w:ind w:left="1080" w:leftChars="257" w:hanging="540"/>
              <w:jc w:val="center"/>
              <w:rPr>
                <w:rFonts w:ascii="微软雅黑" w:hAnsi="微软雅黑" w:eastAsia="微软雅黑" w:cs="微软雅黑"/>
                <w:color w:val="auto"/>
                <w:sz w:val="24"/>
                <w:szCs w:val="24"/>
              </w:rPr>
            </w:pPr>
          </w:p>
        </w:tc>
        <w:tc>
          <w:tcPr>
            <w:tcW w:w="880" w:type="dxa"/>
            <w:noWrap/>
            <w:vAlign w:val="center"/>
          </w:tcPr>
          <w:p w14:paraId="7F6B722A">
            <w:pPr>
              <w:pStyle w:val="16"/>
              <w:spacing w:line="360" w:lineRule="exact"/>
              <w:ind w:left="1080" w:leftChars="257" w:hanging="540"/>
              <w:jc w:val="center"/>
              <w:rPr>
                <w:rFonts w:ascii="微软雅黑" w:hAnsi="微软雅黑" w:eastAsia="微软雅黑" w:cs="微软雅黑"/>
                <w:color w:val="auto"/>
                <w:sz w:val="24"/>
                <w:szCs w:val="24"/>
              </w:rPr>
            </w:pPr>
          </w:p>
        </w:tc>
      </w:tr>
      <w:tr w14:paraId="1F91D9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trPr>
        <w:tc>
          <w:tcPr>
            <w:tcW w:w="586" w:type="dxa"/>
            <w:noWrap/>
            <w:vAlign w:val="center"/>
          </w:tcPr>
          <w:p w14:paraId="16F81BD3">
            <w:pPr>
              <w:pStyle w:val="16"/>
              <w:spacing w:line="360" w:lineRule="exact"/>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w:t>
            </w:r>
          </w:p>
        </w:tc>
        <w:tc>
          <w:tcPr>
            <w:tcW w:w="1402" w:type="dxa"/>
            <w:noWrap/>
            <w:vAlign w:val="center"/>
          </w:tcPr>
          <w:p w14:paraId="36D3DD66">
            <w:pPr>
              <w:pStyle w:val="16"/>
              <w:spacing w:line="360" w:lineRule="exact"/>
              <w:ind w:left="1080" w:leftChars="257" w:hanging="540"/>
              <w:jc w:val="center"/>
              <w:rPr>
                <w:rFonts w:ascii="微软雅黑" w:hAnsi="微软雅黑" w:eastAsia="微软雅黑" w:cs="微软雅黑"/>
                <w:color w:val="auto"/>
                <w:sz w:val="24"/>
                <w:szCs w:val="24"/>
              </w:rPr>
            </w:pPr>
          </w:p>
        </w:tc>
        <w:tc>
          <w:tcPr>
            <w:tcW w:w="1666" w:type="dxa"/>
            <w:noWrap/>
            <w:vAlign w:val="center"/>
          </w:tcPr>
          <w:p w14:paraId="63585C80">
            <w:pPr>
              <w:pStyle w:val="16"/>
              <w:spacing w:line="360" w:lineRule="exact"/>
              <w:ind w:left="1080" w:leftChars="257" w:hanging="540"/>
              <w:jc w:val="center"/>
              <w:rPr>
                <w:rFonts w:ascii="微软雅黑" w:hAnsi="微软雅黑" w:eastAsia="微软雅黑" w:cs="微软雅黑"/>
                <w:color w:val="auto"/>
                <w:sz w:val="24"/>
                <w:szCs w:val="24"/>
              </w:rPr>
            </w:pPr>
          </w:p>
        </w:tc>
        <w:tc>
          <w:tcPr>
            <w:tcW w:w="1507" w:type="dxa"/>
            <w:noWrap/>
            <w:vAlign w:val="center"/>
          </w:tcPr>
          <w:p w14:paraId="046D5437">
            <w:pPr>
              <w:pStyle w:val="16"/>
              <w:spacing w:line="360" w:lineRule="exact"/>
              <w:ind w:left="1080" w:leftChars="257" w:hanging="540"/>
              <w:jc w:val="center"/>
              <w:rPr>
                <w:rFonts w:ascii="微软雅黑" w:hAnsi="微软雅黑" w:eastAsia="微软雅黑" w:cs="微软雅黑"/>
                <w:color w:val="auto"/>
                <w:sz w:val="24"/>
                <w:szCs w:val="24"/>
              </w:rPr>
            </w:pPr>
          </w:p>
        </w:tc>
        <w:tc>
          <w:tcPr>
            <w:tcW w:w="1507" w:type="dxa"/>
            <w:noWrap/>
            <w:vAlign w:val="center"/>
          </w:tcPr>
          <w:p w14:paraId="507FEA2D">
            <w:pPr>
              <w:pStyle w:val="16"/>
              <w:spacing w:line="360" w:lineRule="exact"/>
              <w:ind w:left="1080" w:leftChars="257" w:hanging="540"/>
              <w:jc w:val="center"/>
              <w:rPr>
                <w:rFonts w:ascii="微软雅黑" w:hAnsi="微软雅黑" w:eastAsia="微软雅黑" w:cs="微软雅黑"/>
                <w:color w:val="auto"/>
                <w:sz w:val="24"/>
                <w:szCs w:val="24"/>
              </w:rPr>
            </w:pPr>
          </w:p>
        </w:tc>
        <w:tc>
          <w:tcPr>
            <w:tcW w:w="1507" w:type="dxa"/>
            <w:noWrap/>
            <w:vAlign w:val="center"/>
          </w:tcPr>
          <w:p w14:paraId="5C809C54">
            <w:pPr>
              <w:pStyle w:val="16"/>
              <w:spacing w:line="360" w:lineRule="exact"/>
              <w:ind w:left="1080" w:leftChars="257" w:hanging="540"/>
              <w:jc w:val="center"/>
              <w:rPr>
                <w:rFonts w:ascii="微软雅黑" w:hAnsi="微软雅黑" w:eastAsia="微软雅黑" w:cs="微软雅黑"/>
                <w:color w:val="auto"/>
                <w:sz w:val="24"/>
                <w:szCs w:val="24"/>
              </w:rPr>
            </w:pPr>
          </w:p>
        </w:tc>
        <w:tc>
          <w:tcPr>
            <w:tcW w:w="880" w:type="dxa"/>
            <w:noWrap/>
            <w:vAlign w:val="center"/>
          </w:tcPr>
          <w:p w14:paraId="1C24CB25">
            <w:pPr>
              <w:pStyle w:val="16"/>
              <w:spacing w:line="360" w:lineRule="exact"/>
              <w:ind w:left="1080" w:leftChars="257" w:hanging="540"/>
              <w:jc w:val="center"/>
              <w:rPr>
                <w:rFonts w:ascii="微软雅黑" w:hAnsi="微软雅黑" w:eastAsia="微软雅黑" w:cs="微软雅黑"/>
                <w:color w:val="auto"/>
                <w:sz w:val="24"/>
                <w:szCs w:val="24"/>
              </w:rPr>
            </w:pPr>
          </w:p>
        </w:tc>
        <w:tc>
          <w:tcPr>
            <w:tcW w:w="880" w:type="dxa"/>
            <w:noWrap/>
            <w:vAlign w:val="center"/>
          </w:tcPr>
          <w:p w14:paraId="1753F0FE">
            <w:pPr>
              <w:pStyle w:val="16"/>
              <w:spacing w:line="360" w:lineRule="exact"/>
              <w:ind w:left="1080" w:leftChars="257" w:hanging="540"/>
              <w:jc w:val="center"/>
              <w:rPr>
                <w:rFonts w:ascii="微软雅黑" w:hAnsi="微软雅黑" w:eastAsia="微软雅黑" w:cs="微软雅黑"/>
                <w:color w:val="auto"/>
                <w:sz w:val="24"/>
                <w:szCs w:val="24"/>
              </w:rPr>
            </w:pPr>
          </w:p>
        </w:tc>
      </w:tr>
      <w:tr w14:paraId="533F3C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586" w:type="dxa"/>
            <w:noWrap/>
            <w:vAlign w:val="center"/>
          </w:tcPr>
          <w:p w14:paraId="252E2F53">
            <w:pPr>
              <w:pStyle w:val="16"/>
              <w:spacing w:line="360" w:lineRule="exact"/>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3.</w:t>
            </w:r>
          </w:p>
        </w:tc>
        <w:tc>
          <w:tcPr>
            <w:tcW w:w="1402" w:type="dxa"/>
            <w:noWrap/>
            <w:vAlign w:val="center"/>
          </w:tcPr>
          <w:p w14:paraId="5CA92A9B">
            <w:pPr>
              <w:pStyle w:val="16"/>
              <w:spacing w:line="360" w:lineRule="exact"/>
              <w:ind w:left="1080" w:leftChars="257" w:hanging="540"/>
              <w:jc w:val="center"/>
              <w:rPr>
                <w:rFonts w:ascii="微软雅黑" w:hAnsi="微软雅黑" w:eastAsia="微软雅黑" w:cs="微软雅黑"/>
                <w:color w:val="auto"/>
                <w:sz w:val="24"/>
                <w:szCs w:val="24"/>
              </w:rPr>
            </w:pPr>
          </w:p>
        </w:tc>
        <w:tc>
          <w:tcPr>
            <w:tcW w:w="1666" w:type="dxa"/>
            <w:noWrap/>
            <w:vAlign w:val="center"/>
          </w:tcPr>
          <w:p w14:paraId="1BF47913">
            <w:pPr>
              <w:pStyle w:val="16"/>
              <w:spacing w:line="360" w:lineRule="exact"/>
              <w:ind w:left="1080" w:leftChars="257" w:hanging="540"/>
              <w:jc w:val="center"/>
              <w:rPr>
                <w:rFonts w:ascii="微软雅黑" w:hAnsi="微软雅黑" w:eastAsia="微软雅黑" w:cs="微软雅黑"/>
                <w:color w:val="auto"/>
                <w:sz w:val="24"/>
                <w:szCs w:val="24"/>
              </w:rPr>
            </w:pPr>
          </w:p>
        </w:tc>
        <w:tc>
          <w:tcPr>
            <w:tcW w:w="1507" w:type="dxa"/>
            <w:noWrap/>
            <w:vAlign w:val="center"/>
          </w:tcPr>
          <w:p w14:paraId="707E88FA">
            <w:pPr>
              <w:pStyle w:val="16"/>
              <w:spacing w:line="360" w:lineRule="exact"/>
              <w:ind w:left="1080" w:leftChars="257" w:hanging="540"/>
              <w:jc w:val="center"/>
              <w:rPr>
                <w:rFonts w:ascii="微软雅黑" w:hAnsi="微软雅黑" w:eastAsia="微软雅黑" w:cs="微软雅黑"/>
                <w:color w:val="auto"/>
                <w:sz w:val="24"/>
                <w:szCs w:val="24"/>
              </w:rPr>
            </w:pPr>
          </w:p>
        </w:tc>
        <w:tc>
          <w:tcPr>
            <w:tcW w:w="1507" w:type="dxa"/>
            <w:noWrap/>
            <w:vAlign w:val="center"/>
          </w:tcPr>
          <w:p w14:paraId="5063DBAD">
            <w:pPr>
              <w:pStyle w:val="16"/>
              <w:spacing w:line="360" w:lineRule="exact"/>
              <w:ind w:left="1080" w:leftChars="257" w:hanging="540"/>
              <w:jc w:val="center"/>
              <w:rPr>
                <w:rFonts w:ascii="微软雅黑" w:hAnsi="微软雅黑" w:eastAsia="微软雅黑" w:cs="微软雅黑"/>
                <w:color w:val="auto"/>
                <w:sz w:val="24"/>
                <w:szCs w:val="24"/>
              </w:rPr>
            </w:pPr>
          </w:p>
        </w:tc>
        <w:tc>
          <w:tcPr>
            <w:tcW w:w="1507" w:type="dxa"/>
            <w:noWrap/>
            <w:vAlign w:val="center"/>
          </w:tcPr>
          <w:p w14:paraId="3CDC3D63">
            <w:pPr>
              <w:pStyle w:val="16"/>
              <w:spacing w:line="360" w:lineRule="exact"/>
              <w:ind w:left="1080" w:leftChars="257" w:hanging="540"/>
              <w:jc w:val="center"/>
              <w:rPr>
                <w:rFonts w:ascii="微软雅黑" w:hAnsi="微软雅黑" w:eastAsia="微软雅黑" w:cs="微软雅黑"/>
                <w:color w:val="auto"/>
                <w:sz w:val="24"/>
                <w:szCs w:val="24"/>
              </w:rPr>
            </w:pPr>
          </w:p>
        </w:tc>
        <w:tc>
          <w:tcPr>
            <w:tcW w:w="880" w:type="dxa"/>
            <w:noWrap/>
            <w:vAlign w:val="center"/>
          </w:tcPr>
          <w:p w14:paraId="27984800">
            <w:pPr>
              <w:pStyle w:val="16"/>
              <w:spacing w:line="360" w:lineRule="exact"/>
              <w:ind w:left="1080" w:leftChars="257" w:hanging="540"/>
              <w:jc w:val="center"/>
              <w:rPr>
                <w:rFonts w:ascii="微软雅黑" w:hAnsi="微软雅黑" w:eastAsia="微软雅黑" w:cs="微软雅黑"/>
                <w:color w:val="auto"/>
                <w:sz w:val="24"/>
                <w:szCs w:val="24"/>
              </w:rPr>
            </w:pPr>
          </w:p>
        </w:tc>
        <w:tc>
          <w:tcPr>
            <w:tcW w:w="880" w:type="dxa"/>
            <w:noWrap/>
            <w:vAlign w:val="center"/>
          </w:tcPr>
          <w:p w14:paraId="1F54D693">
            <w:pPr>
              <w:pStyle w:val="16"/>
              <w:spacing w:line="360" w:lineRule="exact"/>
              <w:ind w:left="1080" w:leftChars="257" w:hanging="540"/>
              <w:jc w:val="center"/>
              <w:rPr>
                <w:rFonts w:ascii="微软雅黑" w:hAnsi="微软雅黑" w:eastAsia="微软雅黑" w:cs="微软雅黑"/>
                <w:color w:val="auto"/>
                <w:sz w:val="24"/>
                <w:szCs w:val="24"/>
              </w:rPr>
            </w:pPr>
          </w:p>
        </w:tc>
      </w:tr>
      <w:tr w14:paraId="1C9D45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trPr>
        <w:tc>
          <w:tcPr>
            <w:tcW w:w="586" w:type="dxa"/>
            <w:noWrap/>
            <w:vAlign w:val="center"/>
          </w:tcPr>
          <w:p w14:paraId="00C6246A">
            <w:pPr>
              <w:pStyle w:val="16"/>
              <w:spacing w:line="360" w:lineRule="exact"/>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4.</w:t>
            </w:r>
          </w:p>
        </w:tc>
        <w:tc>
          <w:tcPr>
            <w:tcW w:w="1402" w:type="dxa"/>
            <w:noWrap/>
            <w:vAlign w:val="center"/>
          </w:tcPr>
          <w:p w14:paraId="031EE598">
            <w:pPr>
              <w:pStyle w:val="16"/>
              <w:spacing w:line="360" w:lineRule="exact"/>
              <w:ind w:left="1080" w:leftChars="257" w:hanging="540"/>
              <w:jc w:val="center"/>
              <w:rPr>
                <w:rFonts w:ascii="微软雅黑" w:hAnsi="微软雅黑" w:eastAsia="微软雅黑" w:cs="微软雅黑"/>
                <w:color w:val="auto"/>
                <w:sz w:val="24"/>
                <w:szCs w:val="24"/>
              </w:rPr>
            </w:pPr>
          </w:p>
        </w:tc>
        <w:tc>
          <w:tcPr>
            <w:tcW w:w="1666" w:type="dxa"/>
            <w:noWrap/>
            <w:vAlign w:val="center"/>
          </w:tcPr>
          <w:p w14:paraId="149FA5E0">
            <w:pPr>
              <w:pStyle w:val="16"/>
              <w:spacing w:line="360" w:lineRule="exact"/>
              <w:ind w:left="1080" w:leftChars="257" w:hanging="540"/>
              <w:jc w:val="center"/>
              <w:rPr>
                <w:rFonts w:ascii="微软雅黑" w:hAnsi="微软雅黑" w:eastAsia="微软雅黑" w:cs="微软雅黑"/>
                <w:color w:val="auto"/>
                <w:sz w:val="24"/>
                <w:szCs w:val="24"/>
              </w:rPr>
            </w:pPr>
          </w:p>
        </w:tc>
        <w:tc>
          <w:tcPr>
            <w:tcW w:w="1507" w:type="dxa"/>
            <w:noWrap/>
            <w:vAlign w:val="center"/>
          </w:tcPr>
          <w:p w14:paraId="72EB0C67">
            <w:pPr>
              <w:pStyle w:val="16"/>
              <w:spacing w:line="360" w:lineRule="exact"/>
              <w:ind w:left="1080" w:leftChars="257" w:hanging="540"/>
              <w:jc w:val="center"/>
              <w:rPr>
                <w:rFonts w:ascii="微软雅黑" w:hAnsi="微软雅黑" w:eastAsia="微软雅黑" w:cs="微软雅黑"/>
                <w:color w:val="auto"/>
                <w:sz w:val="24"/>
                <w:szCs w:val="24"/>
              </w:rPr>
            </w:pPr>
          </w:p>
        </w:tc>
        <w:tc>
          <w:tcPr>
            <w:tcW w:w="1507" w:type="dxa"/>
            <w:noWrap/>
            <w:vAlign w:val="center"/>
          </w:tcPr>
          <w:p w14:paraId="7BA0FE77">
            <w:pPr>
              <w:pStyle w:val="16"/>
              <w:spacing w:line="360" w:lineRule="exact"/>
              <w:ind w:left="1080" w:leftChars="257" w:hanging="540"/>
              <w:jc w:val="center"/>
              <w:rPr>
                <w:rFonts w:ascii="微软雅黑" w:hAnsi="微软雅黑" w:eastAsia="微软雅黑" w:cs="微软雅黑"/>
                <w:color w:val="auto"/>
                <w:sz w:val="24"/>
                <w:szCs w:val="24"/>
              </w:rPr>
            </w:pPr>
          </w:p>
        </w:tc>
        <w:tc>
          <w:tcPr>
            <w:tcW w:w="1507" w:type="dxa"/>
            <w:noWrap/>
            <w:vAlign w:val="center"/>
          </w:tcPr>
          <w:p w14:paraId="203DAC8E">
            <w:pPr>
              <w:pStyle w:val="16"/>
              <w:spacing w:line="360" w:lineRule="exact"/>
              <w:ind w:left="1080" w:leftChars="257" w:hanging="540"/>
              <w:jc w:val="center"/>
              <w:rPr>
                <w:rFonts w:ascii="微软雅黑" w:hAnsi="微软雅黑" w:eastAsia="微软雅黑" w:cs="微软雅黑"/>
                <w:color w:val="auto"/>
                <w:sz w:val="24"/>
                <w:szCs w:val="24"/>
              </w:rPr>
            </w:pPr>
          </w:p>
        </w:tc>
        <w:tc>
          <w:tcPr>
            <w:tcW w:w="880" w:type="dxa"/>
            <w:noWrap/>
            <w:vAlign w:val="center"/>
          </w:tcPr>
          <w:p w14:paraId="195E7BEA">
            <w:pPr>
              <w:pStyle w:val="16"/>
              <w:spacing w:line="360" w:lineRule="exact"/>
              <w:ind w:left="1080" w:leftChars="257" w:hanging="540"/>
              <w:jc w:val="center"/>
              <w:rPr>
                <w:rFonts w:ascii="微软雅黑" w:hAnsi="微软雅黑" w:eastAsia="微软雅黑" w:cs="微软雅黑"/>
                <w:color w:val="auto"/>
                <w:sz w:val="24"/>
                <w:szCs w:val="24"/>
              </w:rPr>
            </w:pPr>
          </w:p>
        </w:tc>
        <w:tc>
          <w:tcPr>
            <w:tcW w:w="880" w:type="dxa"/>
            <w:noWrap/>
            <w:vAlign w:val="center"/>
          </w:tcPr>
          <w:p w14:paraId="460C4AEB">
            <w:pPr>
              <w:pStyle w:val="16"/>
              <w:spacing w:line="360" w:lineRule="exact"/>
              <w:ind w:left="1080" w:leftChars="257" w:hanging="540"/>
              <w:jc w:val="center"/>
              <w:rPr>
                <w:rFonts w:ascii="微软雅黑" w:hAnsi="微软雅黑" w:eastAsia="微软雅黑" w:cs="微软雅黑"/>
                <w:color w:val="auto"/>
                <w:sz w:val="24"/>
                <w:szCs w:val="24"/>
              </w:rPr>
            </w:pPr>
          </w:p>
        </w:tc>
      </w:tr>
      <w:tr w14:paraId="61D382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trPr>
        <w:tc>
          <w:tcPr>
            <w:tcW w:w="586" w:type="dxa"/>
            <w:noWrap/>
            <w:vAlign w:val="center"/>
          </w:tcPr>
          <w:p w14:paraId="560A261D">
            <w:pPr>
              <w:pStyle w:val="16"/>
              <w:spacing w:line="360" w:lineRule="exact"/>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5.</w:t>
            </w:r>
          </w:p>
        </w:tc>
        <w:tc>
          <w:tcPr>
            <w:tcW w:w="1402" w:type="dxa"/>
            <w:noWrap/>
            <w:vAlign w:val="center"/>
          </w:tcPr>
          <w:p w14:paraId="4E631F1E">
            <w:pPr>
              <w:pStyle w:val="16"/>
              <w:spacing w:line="360" w:lineRule="exact"/>
              <w:ind w:left="1080" w:leftChars="257" w:hanging="540"/>
              <w:jc w:val="center"/>
              <w:rPr>
                <w:rFonts w:ascii="微软雅黑" w:hAnsi="微软雅黑" w:eastAsia="微软雅黑" w:cs="微软雅黑"/>
                <w:color w:val="auto"/>
                <w:sz w:val="24"/>
                <w:szCs w:val="24"/>
              </w:rPr>
            </w:pPr>
          </w:p>
        </w:tc>
        <w:tc>
          <w:tcPr>
            <w:tcW w:w="1666" w:type="dxa"/>
            <w:noWrap/>
            <w:vAlign w:val="center"/>
          </w:tcPr>
          <w:p w14:paraId="759FE3BF">
            <w:pPr>
              <w:pStyle w:val="16"/>
              <w:spacing w:line="360" w:lineRule="exact"/>
              <w:ind w:left="1080" w:leftChars="257" w:hanging="540"/>
              <w:jc w:val="center"/>
              <w:rPr>
                <w:rFonts w:ascii="微软雅黑" w:hAnsi="微软雅黑" w:eastAsia="微软雅黑" w:cs="微软雅黑"/>
                <w:color w:val="auto"/>
                <w:sz w:val="24"/>
                <w:szCs w:val="24"/>
              </w:rPr>
            </w:pPr>
          </w:p>
        </w:tc>
        <w:tc>
          <w:tcPr>
            <w:tcW w:w="1507" w:type="dxa"/>
            <w:noWrap/>
            <w:vAlign w:val="center"/>
          </w:tcPr>
          <w:p w14:paraId="1892ED1E">
            <w:pPr>
              <w:pStyle w:val="16"/>
              <w:spacing w:line="360" w:lineRule="exact"/>
              <w:ind w:left="1080" w:leftChars="257" w:hanging="540"/>
              <w:jc w:val="center"/>
              <w:rPr>
                <w:rFonts w:ascii="微软雅黑" w:hAnsi="微软雅黑" w:eastAsia="微软雅黑" w:cs="微软雅黑"/>
                <w:color w:val="auto"/>
                <w:sz w:val="24"/>
                <w:szCs w:val="24"/>
              </w:rPr>
            </w:pPr>
          </w:p>
        </w:tc>
        <w:tc>
          <w:tcPr>
            <w:tcW w:w="1507" w:type="dxa"/>
            <w:noWrap/>
            <w:vAlign w:val="center"/>
          </w:tcPr>
          <w:p w14:paraId="19BFA6CF">
            <w:pPr>
              <w:pStyle w:val="16"/>
              <w:spacing w:line="360" w:lineRule="exact"/>
              <w:ind w:left="1080" w:leftChars="257" w:hanging="540"/>
              <w:jc w:val="center"/>
              <w:rPr>
                <w:rFonts w:ascii="微软雅黑" w:hAnsi="微软雅黑" w:eastAsia="微软雅黑" w:cs="微软雅黑"/>
                <w:color w:val="auto"/>
                <w:sz w:val="24"/>
                <w:szCs w:val="24"/>
              </w:rPr>
            </w:pPr>
          </w:p>
        </w:tc>
        <w:tc>
          <w:tcPr>
            <w:tcW w:w="1507" w:type="dxa"/>
            <w:noWrap/>
            <w:vAlign w:val="center"/>
          </w:tcPr>
          <w:p w14:paraId="3036052D">
            <w:pPr>
              <w:pStyle w:val="16"/>
              <w:spacing w:line="360" w:lineRule="exact"/>
              <w:ind w:left="1080" w:leftChars="257" w:hanging="540"/>
              <w:jc w:val="center"/>
              <w:rPr>
                <w:rFonts w:ascii="微软雅黑" w:hAnsi="微软雅黑" w:eastAsia="微软雅黑" w:cs="微软雅黑"/>
                <w:color w:val="auto"/>
                <w:sz w:val="24"/>
                <w:szCs w:val="24"/>
              </w:rPr>
            </w:pPr>
          </w:p>
        </w:tc>
        <w:tc>
          <w:tcPr>
            <w:tcW w:w="880" w:type="dxa"/>
            <w:noWrap/>
            <w:vAlign w:val="center"/>
          </w:tcPr>
          <w:p w14:paraId="6AE405CD">
            <w:pPr>
              <w:pStyle w:val="16"/>
              <w:spacing w:line="360" w:lineRule="exact"/>
              <w:ind w:left="1080" w:leftChars="257" w:hanging="540"/>
              <w:jc w:val="center"/>
              <w:rPr>
                <w:rFonts w:ascii="微软雅黑" w:hAnsi="微软雅黑" w:eastAsia="微软雅黑" w:cs="微软雅黑"/>
                <w:color w:val="auto"/>
                <w:sz w:val="24"/>
                <w:szCs w:val="24"/>
              </w:rPr>
            </w:pPr>
          </w:p>
        </w:tc>
        <w:tc>
          <w:tcPr>
            <w:tcW w:w="880" w:type="dxa"/>
            <w:noWrap/>
            <w:vAlign w:val="center"/>
          </w:tcPr>
          <w:p w14:paraId="7FC55866">
            <w:pPr>
              <w:pStyle w:val="16"/>
              <w:spacing w:line="360" w:lineRule="exact"/>
              <w:ind w:left="1080" w:leftChars="257" w:hanging="540"/>
              <w:jc w:val="center"/>
              <w:rPr>
                <w:rFonts w:ascii="微软雅黑" w:hAnsi="微软雅黑" w:eastAsia="微软雅黑" w:cs="微软雅黑"/>
                <w:color w:val="auto"/>
                <w:sz w:val="24"/>
                <w:szCs w:val="24"/>
              </w:rPr>
            </w:pPr>
          </w:p>
        </w:tc>
      </w:tr>
      <w:tr w14:paraId="721F95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9935" w:type="dxa"/>
            <w:gridSpan w:val="8"/>
            <w:noWrap/>
            <w:vAlign w:val="center"/>
          </w:tcPr>
          <w:p w14:paraId="7C444308">
            <w:pPr>
              <w:pStyle w:val="16"/>
              <w:spacing w:line="360" w:lineRule="exact"/>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总价：</w:t>
            </w:r>
          </w:p>
        </w:tc>
      </w:tr>
    </w:tbl>
    <w:p w14:paraId="4D300627">
      <w:pPr>
        <w:pStyle w:val="16"/>
        <w:spacing w:line="400" w:lineRule="exact"/>
        <w:jc w:val="left"/>
        <w:rPr>
          <w:rFonts w:ascii="微软雅黑" w:hAnsi="微软雅黑" w:eastAsia="微软雅黑" w:cs="微软雅黑"/>
          <w:color w:val="auto"/>
          <w:sz w:val="24"/>
          <w:szCs w:val="24"/>
        </w:rPr>
      </w:pPr>
    </w:p>
    <w:p w14:paraId="1E1ADA74">
      <w:pPr>
        <w:pStyle w:val="16"/>
        <w:spacing w:line="400" w:lineRule="exact"/>
        <w:ind w:left="1080" w:leftChars="257" w:hanging="540"/>
        <w:rPr>
          <w:rFonts w:hint="eastAsia" w:ascii="微软雅黑" w:hAnsi="微软雅黑" w:eastAsia="微软雅黑" w:cs="微软雅黑"/>
          <w:color w:val="auto"/>
          <w:sz w:val="24"/>
          <w:szCs w:val="24"/>
        </w:rPr>
      </w:pPr>
    </w:p>
    <w:p w14:paraId="3AC03E8D">
      <w:pPr>
        <w:pStyle w:val="16"/>
        <w:spacing w:line="400" w:lineRule="exact"/>
        <w:ind w:left="1080" w:leftChars="257" w:hanging="540"/>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法定代表人或其委托代理人（签</w:t>
      </w:r>
      <w:r>
        <w:rPr>
          <w:rFonts w:hint="eastAsia" w:ascii="微软雅黑" w:hAnsi="微软雅黑" w:eastAsia="微软雅黑" w:cs="微软雅黑"/>
          <w:color w:val="auto"/>
          <w:sz w:val="24"/>
          <w:szCs w:val="24"/>
          <w:lang w:eastAsia="zh-CN"/>
        </w:rPr>
        <w:t>字并盖章</w:t>
      </w:r>
      <w:r>
        <w:rPr>
          <w:rFonts w:hint="eastAsia" w:ascii="微软雅黑" w:hAnsi="微软雅黑" w:eastAsia="微软雅黑" w:cs="微软雅黑"/>
          <w:color w:val="auto"/>
          <w:sz w:val="24"/>
          <w:szCs w:val="24"/>
        </w:rPr>
        <w:t>）:</w:t>
      </w:r>
    </w:p>
    <w:p w14:paraId="352CA7FD">
      <w:pPr>
        <w:pStyle w:val="16"/>
        <w:tabs>
          <w:tab w:val="left" w:pos="5370"/>
        </w:tabs>
        <w:spacing w:line="400" w:lineRule="exact"/>
        <w:ind w:left="1080" w:leftChars="257" w:hanging="540"/>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供应商(公章):</w:t>
      </w:r>
    </w:p>
    <w:p w14:paraId="60BE466F">
      <w:pPr>
        <w:pStyle w:val="16"/>
        <w:spacing w:line="400" w:lineRule="exact"/>
        <w:rPr>
          <w:rFonts w:hint="default" w:ascii="微软雅黑" w:hAnsi="微软雅黑" w:eastAsia="微软雅黑" w:cs="微软雅黑"/>
          <w:b/>
          <w:color w:val="auto"/>
          <w:kern w:val="0"/>
          <w:sz w:val="24"/>
          <w:szCs w:val="24"/>
          <w:lang w:val="en-US" w:eastAsia="zh-CN"/>
        </w:rPr>
      </w:pPr>
      <w:r>
        <w:rPr>
          <w:rFonts w:hint="eastAsia" w:ascii="微软雅黑" w:hAnsi="微软雅黑" w:eastAsia="微软雅黑" w:cs="微软雅黑"/>
          <w:color w:val="auto"/>
          <w:sz w:val="24"/>
          <w:szCs w:val="24"/>
          <w:lang w:val="en-US" w:eastAsia="zh-CN"/>
        </w:rPr>
        <w:t xml:space="preserve"> </w:t>
      </w:r>
    </w:p>
    <w:p w14:paraId="0A433E58">
      <w:pPr>
        <w:pStyle w:val="16"/>
        <w:spacing w:line="400" w:lineRule="exact"/>
        <w:rPr>
          <w:rFonts w:ascii="微软雅黑" w:hAnsi="微软雅黑" w:eastAsia="微软雅黑" w:cs="微软雅黑"/>
          <w:b/>
          <w:color w:val="auto"/>
          <w:kern w:val="0"/>
          <w:sz w:val="24"/>
          <w:szCs w:val="24"/>
        </w:rPr>
      </w:pPr>
    </w:p>
    <w:p w14:paraId="00C0D6D3">
      <w:pPr>
        <w:pStyle w:val="17"/>
        <w:rPr>
          <w:rFonts w:ascii="微软雅黑" w:hAnsi="微软雅黑" w:eastAsia="微软雅黑" w:cs="微软雅黑"/>
          <w:b/>
          <w:color w:val="auto"/>
          <w:kern w:val="0"/>
          <w:sz w:val="24"/>
          <w:szCs w:val="24"/>
        </w:rPr>
      </w:pPr>
    </w:p>
    <w:p w14:paraId="732D980C">
      <w:pPr>
        <w:rPr>
          <w:rFonts w:ascii="微软雅黑" w:hAnsi="微软雅黑" w:eastAsia="微软雅黑" w:cs="微软雅黑"/>
          <w:b/>
          <w:color w:val="auto"/>
          <w:kern w:val="0"/>
          <w:sz w:val="24"/>
          <w:szCs w:val="24"/>
        </w:rPr>
      </w:pPr>
    </w:p>
    <w:p w14:paraId="09792E33">
      <w:pPr>
        <w:rPr>
          <w:rFonts w:ascii="微软雅黑" w:hAnsi="微软雅黑" w:eastAsia="微软雅黑" w:cs="微软雅黑"/>
          <w:b/>
          <w:color w:val="auto"/>
          <w:kern w:val="0"/>
          <w:sz w:val="24"/>
          <w:szCs w:val="24"/>
        </w:rPr>
      </w:pPr>
    </w:p>
    <w:p w14:paraId="56DB302F">
      <w:pPr>
        <w:pStyle w:val="16"/>
        <w:spacing w:line="400" w:lineRule="exact"/>
        <w:rPr>
          <w:rFonts w:ascii="微软雅黑" w:hAnsi="微软雅黑" w:eastAsia="微软雅黑" w:cs="微软雅黑"/>
          <w:b/>
          <w:color w:val="auto"/>
          <w:kern w:val="0"/>
          <w:sz w:val="24"/>
          <w:szCs w:val="24"/>
        </w:rPr>
      </w:pPr>
    </w:p>
    <w:p w14:paraId="644A9C33">
      <w:pPr>
        <w:pStyle w:val="16"/>
        <w:spacing w:line="400" w:lineRule="exact"/>
        <w:rPr>
          <w:rFonts w:ascii="微软雅黑" w:hAnsi="微软雅黑" w:eastAsia="微软雅黑" w:cs="微软雅黑"/>
          <w:b/>
          <w:color w:val="auto"/>
          <w:kern w:val="0"/>
          <w:sz w:val="24"/>
          <w:szCs w:val="24"/>
        </w:rPr>
      </w:pPr>
    </w:p>
    <w:p w14:paraId="7B7C305D">
      <w:pPr>
        <w:pStyle w:val="16"/>
        <w:spacing w:line="400" w:lineRule="exact"/>
        <w:rPr>
          <w:rFonts w:ascii="微软雅黑" w:hAnsi="微软雅黑" w:eastAsia="微软雅黑" w:cs="微软雅黑"/>
          <w:b/>
          <w:color w:val="auto"/>
          <w:kern w:val="0"/>
          <w:sz w:val="24"/>
          <w:szCs w:val="24"/>
        </w:rPr>
      </w:pPr>
    </w:p>
    <w:p w14:paraId="31CC0265">
      <w:pPr>
        <w:pStyle w:val="16"/>
        <w:spacing w:line="400" w:lineRule="exact"/>
        <w:rPr>
          <w:rFonts w:ascii="微软雅黑" w:hAnsi="微软雅黑" w:eastAsia="微软雅黑" w:cs="微软雅黑"/>
          <w:b/>
          <w:color w:val="auto"/>
          <w:kern w:val="0"/>
          <w:sz w:val="24"/>
          <w:szCs w:val="24"/>
        </w:rPr>
      </w:pPr>
    </w:p>
    <w:p w14:paraId="21A04318">
      <w:pPr>
        <w:pStyle w:val="17"/>
        <w:rPr>
          <w:rFonts w:ascii="微软雅黑" w:hAnsi="微软雅黑" w:eastAsia="微软雅黑" w:cs="微软雅黑"/>
          <w:b/>
          <w:color w:val="auto"/>
          <w:kern w:val="0"/>
          <w:sz w:val="24"/>
          <w:szCs w:val="24"/>
        </w:rPr>
      </w:pPr>
    </w:p>
    <w:p w14:paraId="282A9B27">
      <w:pPr>
        <w:rPr>
          <w:rFonts w:ascii="微软雅黑" w:hAnsi="微软雅黑" w:eastAsia="微软雅黑" w:cs="微软雅黑"/>
          <w:b/>
          <w:color w:val="auto"/>
          <w:kern w:val="0"/>
          <w:sz w:val="24"/>
          <w:szCs w:val="24"/>
        </w:rPr>
      </w:pPr>
    </w:p>
    <w:p w14:paraId="759FFE2A">
      <w:pPr>
        <w:pStyle w:val="36"/>
        <w:rPr>
          <w:rFonts w:ascii="微软雅黑" w:hAnsi="微软雅黑" w:eastAsia="微软雅黑" w:cs="微软雅黑"/>
          <w:b/>
          <w:color w:val="auto"/>
          <w:kern w:val="0"/>
          <w:sz w:val="24"/>
          <w:szCs w:val="24"/>
        </w:rPr>
      </w:pPr>
    </w:p>
    <w:p w14:paraId="27FD18E8">
      <w:pPr>
        <w:pStyle w:val="16"/>
        <w:spacing w:line="360" w:lineRule="exact"/>
        <w:rPr>
          <w:rFonts w:ascii="微软雅黑" w:hAnsi="微软雅黑" w:eastAsia="微软雅黑" w:cs="微软雅黑"/>
          <w:b/>
          <w:color w:val="auto"/>
          <w:kern w:val="0"/>
          <w:sz w:val="24"/>
        </w:rPr>
      </w:pPr>
    </w:p>
    <w:bookmarkEnd w:id="492"/>
    <w:bookmarkEnd w:id="493"/>
    <w:bookmarkEnd w:id="494"/>
    <w:bookmarkEnd w:id="495"/>
    <w:bookmarkEnd w:id="496"/>
    <w:bookmarkEnd w:id="497"/>
    <w:bookmarkEnd w:id="498"/>
    <w:p w14:paraId="09EA92A3">
      <w:pPr>
        <w:pStyle w:val="16"/>
        <w:spacing w:line="360" w:lineRule="exact"/>
        <w:jc w:val="center"/>
        <w:outlineLvl w:val="1"/>
        <w:rPr>
          <w:rFonts w:ascii="微软雅黑" w:hAnsi="微软雅黑" w:eastAsia="微软雅黑" w:cs="微软雅黑"/>
          <w:color w:val="auto"/>
          <w:sz w:val="24"/>
        </w:rPr>
      </w:pPr>
      <w:bookmarkStart w:id="517" w:name="_Toc12459"/>
      <w:bookmarkStart w:id="518" w:name="_Toc2193"/>
      <w:bookmarkStart w:id="519" w:name="_Toc6446"/>
      <w:r>
        <w:rPr>
          <w:rFonts w:hint="eastAsia" w:ascii="微软雅黑" w:hAnsi="微软雅黑" w:eastAsia="微软雅黑" w:cs="微软雅黑"/>
          <w:b/>
          <w:color w:val="auto"/>
          <w:kern w:val="0"/>
          <w:sz w:val="24"/>
        </w:rPr>
        <w:t>3、服务说明一览表</w:t>
      </w:r>
      <w:bookmarkEnd w:id="517"/>
      <w:bookmarkEnd w:id="518"/>
      <w:bookmarkEnd w:id="519"/>
    </w:p>
    <w:p w14:paraId="28B579DC">
      <w:pPr>
        <w:pStyle w:val="16"/>
        <w:spacing w:line="240" w:lineRule="atLeast"/>
        <w:ind w:left="1080" w:leftChars="257" w:hanging="540"/>
        <w:rPr>
          <w:rFonts w:ascii="微软雅黑" w:hAnsi="微软雅黑" w:eastAsia="微软雅黑" w:cs="微软雅黑"/>
          <w:color w:val="auto"/>
          <w:sz w:val="24"/>
        </w:rPr>
      </w:pPr>
      <w:r>
        <w:rPr>
          <w:rFonts w:hint="eastAsia" w:ascii="微软雅黑" w:hAnsi="微软雅黑" w:eastAsia="微软雅黑" w:cs="微软雅黑"/>
          <w:color w:val="auto"/>
          <w:sz w:val="24"/>
        </w:rPr>
        <w:t xml:space="preserve">项目名称:                </w:t>
      </w:r>
    </w:p>
    <w:p w14:paraId="0232661D">
      <w:pPr>
        <w:pStyle w:val="16"/>
        <w:spacing w:line="240" w:lineRule="atLeast"/>
        <w:ind w:left="1080" w:leftChars="257" w:hanging="540"/>
        <w:rPr>
          <w:rFonts w:ascii="微软雅黑" w:hAnsi="微软雅黑" w:eastAsia="微软雅黑" w:cs="微软雅黑"/>
          <w:color w:val="auto"/>
          <w:sz w:val="24"/>
        </w:rPr>
      </w:pPr>
      <w:r>
        <w:rPr>
          <w:rFonts w:hint="eastAsia" w:ascii="微软雅黑" w:hAnsi="微软雅黑" w:eastAsia="微软雅黑" w:cs="微软雅黑"/>
          <w:color w:val="auto"/>
          <w:sz w:val="24"/>
        </w:rPr>
        <w:t xml:space="preserve">项目编号:                                         </w:t>
      </w:r>
    </w:p>
    <w:p w14:paraId="5C7B96A3">
      <w:pPr>
        <w:pStyle w:val="16"/>
        <w:spacing w:line="240" w:lineRule="atLeast"/>
        <w:ind w:left="1080" w:leftChars="257" w:hanging="540"/>
        <w:rPr>
          <w:rFonts w:ascii="微软雅黑" w:hAnsi="微软雅黑" w:eastAsia="微软雅黑" w:cs="微软雅黑"/>
          <w:color w:val="auto"/>
          <w:sz w:val="24"/>
        </w:rPr>
      </w:pPr>
    </w:p>
    <w:tbl>
      <w:tblPr>
        <w:tblStyle w:val="37"/>
        <w:tblW w:w="864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1640"/>
        <w:gridCol w:w="1452"/>
        <w:gridCol w:w="1428"/>
        <w:gridCol w:w="1584"/>
        <w:gridCol w:w="1584"/>
      </w:tblGrid>
      <w:tr w14:paraId="31B673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959" w:type="dxa"/>
            <w:noWrap w:val="0"/>
            <w:vAlign w:val="center"/>
          </w:tcPr>
          <w:p w14:paraId="06C763C9">
            <w:pPr>
              <w:pStyle w:val="16"/>
              <w:spacing w:line="240" w:lineRule="atLeast"/>
              <w:jc w:val="center"/>
              <w:rPr>
                <w:rFonts w:ascii="微软雅黑" w:hAnsi="微软雅黑" w:eastAsia="微软雅黑" w:cs="微软雅黑"/>
                <w:color w:val="auto"/>
                <w:sz w:val="24"/>
              </w:rPr>
            </w:pPr>
            <w:r>
              <w:rPr>
                <w:rFonts w:hint="eastAsia" w:ascii="微软雅黑" w:hAnsi="微软雅黑" w:eastAsia="微软雅黑" w:cs="微软雅黑"/>
                <w:color w:val="auto"/>
                <w:sz w:val="24"/>
              </w:rPr>
              <w:t>序号</w:t>
            </w:r>
          </w:p>
        </w:tc>
        <w:tc>
          <w:tcPr>
            <w:tcW w:w="1640" w:type="dxa"/>
            <w:noWrap w:val="0"/>
            <w:vAlign w:val="center"/>
          </w:tcPr>
          <w:p w14:paraId="03E39154">
            <w:pPr>
              <w:pStyle w:val="16"/>
              <w:spacing w:line="240" w:lineRule="atLeast"/>
              <w:jc w:val="center"/>
              <w:rPr>
                <w:rFonts w:ascii="微软雅黑" w:hAnsi="微软雅黑" w:eastAsia="微软雅黑" w:cs="微软雅黑"/>
                <w:color w:val="auto"/>
                <w:sz w:val="24"/>
              </w:rPr>
            </w:pPr>
            <w:r>
              <w:rPr>
                <w:rFonts w:hint="eastAsia" w:ascii="微软雅黑" w:hAnsi="微软雅黑" w:eastAsia="微软雅黑" w:cs="微软雅黑"/>
                <w:color w:val="auto"/>
                <w:sz w:val="24"/>
              </w:rPr>
              <w:t>服务名称</w:t>
            </w:r>
          </w:p>
        </w:tc>
        <w:tc>
          <w:tcPr>
            <w:tcW w:w="1452" w:type="dxa"/>
            <w:noWrap w:val="0"/>
            <w:vAlign w:val="center"/>
          </w:tcPr>
          <w:p w14:paraId="2CB59407">
            <w:pPr>
              <w:pStyle w:val="16"/>
              <w:spacing w:line="240" w:lineRule="atLeast"/>
              <w:jc w:val="center"/>
              <w:rPr>
                <w:rFonts w:ascii="微软雅黑" w:hAnsi="微软雅黑" w:eastAsia="微软雅黑" w:cs="微软雅黑"/>
                <w:color w:val="auto"/>
                <w:sz w:val="24"/>
              </w:rPr>
            </w:pPr>
            <w:r>
              <w:rPr>
                <w:rFonts w:hint="eastAsia" w:ascii="微软雅黑" w:hAnsi="微软雅黑" w:eastAsia="微软雅黑" w:cs="微软雅黑"/>
                <w:color w:val="auto"/>
                <w:sz w:val="24"/>
              </w:rPr>
              <w:t>服务内容</w:t>
            </w:r>
          </w:p>
        </w:tc>
        <w:tc>
          <w:tcPr>
            <w:tcW w:w="1428" w:type="dxa"/>
            <w:noWrap w:val="0"/>
            <w:vAlign w:val="center"/>
          </w:tcPr>
          <w:p w14:paraId="7F6D1E6A">
            <w:pPr>
              <w:pStyle w:val="16"/>
              <w:spacing w:line="240" w:lineRule="atLeast"/>
              <w:jc w:val="center"/>
              <w:rPr>
                <w:rFonts w:ascii="微软雅黑" w:hAnsi="微软雅黑" w:eastAsia="微软雅黑" w:cs="微软雅黑"/>
                <w:color w:val="auto"/>
                <w:sz w:val="24"/>
              </w:rPr>
            </w:pPr>
            <w:r>
              <w:rPr>
                <w:rFonts w:hint="eastAsia" w:ascii="微软雅黑" w:hAnsi="微软雅黑" w:eastAsia="微软雅黑" w:cs="微软雅黑"/>
                <w:color w:val="auto"/>
                <w:sz w:val="24"/>
              </w:rPr>
              <w:t>服务期</w:t>
            </w:r>
          </w:p>
        </w:tc>
        <w:tc>
          <w:tcPr>
            <w:tcW w:w="1584" w:type="dxa"/>
            <w:noWrap w:val="0"/>
            <w:vAlign w:val="center"/>
          </w:tcPr>
          <w:p w14:paraId="457028AC">
            <w:pPr>
              <w:pStyle w:val="16"/>
              <w:spacing w:line="240" w:lineRule="atLeast"/>
              <w:jc w:val="center"/>
              <w:rPr>
                <w:rFonts w:ascii="微软雅黑" w:hAnsi="微软雅黑" w:eastAsia="微软雅黑" w:cs="微软雅黑"/>
                <w:color w:val="auto"/>
                <w:sz w:val="24"/>
              </w:rPr>
            </w:pPr>
            <w:r>
              <w:rPr>
                <w:rFonts w:hint="eastAsia" w:ascii="微软雅黑" w:hAnsi="微软雅黑" w:eastAsia="微软雅黑" w:cs="微软雅黑"/>
                <w:color w:val="auto"/>
                <w:sz w:val="24"/>
              </w:rPr>
              <w:t>服务地点</w:t>
            </w:r>
          </w:p>
        </w:tc>
        <w:tc>
          <w:tcPr>
            <w:tcW w:w="1584" w:type="dxa"/>
            <w:noWrap w:val="0"/>
            <w:vAlign w:val="center"/>
          </w:tcPr>
          <w:p w14:paraId="120EC409">
            <w:pPr>
              <w:pStyle w:val="16"/>
              <w:spacing w:line="240" w:lineRule="atLeast"/>
              <w:jc w:val="center"/>
              <w:rPr>
                <w:rFonts w:ascii="微软雅黑" w:hAnsi="微软雅黑" w:eastAsia="微软雅黑" w:cs="微软雅黑"/>
                <w:color w:val="auto"/>
                <w:sz w:val="24"/>
              </w:rPr>
            </w:pPr>
            <w:r>
              <w:rPr>
                <w:rFonts w:hint="eastAsia" w:ascii="微软雅黑" w:hAnsi="微软雅黑" w:eastAsia="微软雅黑" w:cs="微软雅黑"/>
                <w:color w:val="auto"/>
                <w:sz w:val="24"/>
              </w:rPr>
              <w:t>其它</w:t>
            </w:r>
          </w:p>
        </w:tc>
      </w:tr>
      <w:tr w14:paraId="4ECCEE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959" w:type="dxa"/>
            <w:noWrap w:val="0"/>
            <w:vAlign w:val="top"/>
          </w:tcPr>
          <w:p w14:paraId="7B204573">
            <w:pPr>
              <w:pStyle w:val="16"/>
              <w:spacing w:line="240" w:lineRule="atLeast"/>
              <w:ind w:left="1080" w:leftChars="257" w:hanging="540"/>
              <w:rPr>
                <w:rFonts w:ascii="微软雅黑" w:hAnsi="微软雅黑" w:eastAsia="微软雅黑" w:cs="微软雅黑"/>
                <w:color w:val="auto"/>
                <w:sz w:val="24"/>
              </w:rPr>
            </w:pPr>
          </w:p>
        </w:tc>
        <w:tc>
          <w:tcPr>
            <w:tcW w:w="1640" w:type="dxa"/>
            <w:noWrap w:val="0"/>
            <w:vAlign w:val="top"/>
          </w:tcPr>
          <w:p w14:paraId="7E1F51E4">
            <w:pPr>
              <w:pStyle w:val="16"/>
              <w:spacing w:line="240" w:lineRule="atLeast"/>
              <w:ind w:left="1080" w:leftChars="257" w:hanging="540"/>
              <w:rPr>
                <w:rFonts w:ascii="微软雅黑" w:hAnsi="微软雅黑" w:eastAsia="微软雅黑" w:cs="微软雅黑"/>
                <w:color w:val="auto"/>
                <w:sz w:val="24"/>
              </w:rPr>
            </w:pPr>
          </w:p>
        </w:tc>
        <w:tc>
          <w:tcPr>
            <w:tcW w:w="1452" w:type="dxa"/>
            <w:noWrap w:val="0"/>
            <w:vAlign w:val="top"/>
          </w:tcPr>
          <w:p w14:paraId="7D09C8A3">
            <w:pPr>
              <w:pStyle w:val="16"/>
              <w:spacing w:line="240" w:lineRule="atLeast"/>
              <w:ind w:left="1080" w:leftChars="257" w:hanging="540"/>
              <w:rPr>
                <w:rFonts w:ascii="微软雅黑" w:hAnsi="微软雅黑" w:eastAsia="微软雅黑" w:cs="微软雅黑"/>
                <w:color w:val="auto"/>
                <w:sz w:val="24"/>
              </w:rPr>
            </w:pPr>
          </w:p>
        </w:tc>
        <w:tc>
          <w:tcPr>
            <w:tcW w:w="1428" w:type="dxa"/>
            <w:noWrap w:val="0"/>
            <w:vAlign w:val="top"/>
          </w:tcPr>
          <w:p w14:paraId="414BD1BB">
            <w:pPr>
              <w:pStyle w:val="16"/>
              <w:spacing w:line="240" w:lineRule="atLeast"/>
              <w:ind w:left="1080" w:leftChars="257" w:hanging="540"/>
              <w:rPr>
                <w:rFonts w:ascii="微软雅黑" w:hAnsi="微软雅黑" w:eastAsia="微软雅黑" w:cs="微软雅黑"/>
                <w:color w:val="auto"/>
                <w:sz w:val="24"/>
              </w:rPr>
            </w:pPr>
          </w:p>
        </w:tc>
        <w:tc>
          <w:tcPr>
            <w:tcW w:w="1584" w:type="dxa"/>
            <w:noWrap w:val="0"/>
            <w:vAlign w:val="top"/>
          </w:tcPr>
          <w:p w14:paraId="2BC48D6F">
            <w:pPr>
              <w:pStyle w:val="16"/>
              <w:spacing w:line="240" w:lineRule="atLeast"/>
              <w:ind w:left="1080" w:leftChars="257" w:hanging="540"/>
              <w:rPr>
                <w:rFonts w:ascii="微软雅黑" w:hAnsi="微软雅黑" w:eastAsia="微软雅黑" w:cs="微软雅黑"/>
                <w:color w:val="auto"/>
                <w:sz w:val="24"/>
              </w:rPr>
            </w:pPr>
          </w:p>
        </w:tc>
        <w:tc>
          <w:tcPr>
            <w:tcW w:w="1584" w:type="dxa"/>
            <w:noWrap w:val="0"/>
            <w:vAlign w:val="top"/>
          </w:tcPr>
          <w:p w14:paraId="07601282">
            <w:pPr>
              <w:pStyle w:val="16"/>
              <w:spacing w:line="240" w:lineRule="atLeast"/>
              <w:ind w:left="1080" w:leftChars="257" w:hanging="540"/>
              <w:rPr>
                <w:rFonts w:ascii="微软雅黑" w:hAnsi="微软雅黑" w:eastAsia="微软雅黑" w:cs="微软雅黑"/>
                <w:color w:val="auto"/>
                <w:sz w:val="24"/>
              </w:rPr>
            </w:pPr>
          </w:p>
        </w:tc>
      </w:tr>
      <w:tr w14:paraId="7CBBF6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959" w:type="dxa"/>
            <w:noWrap w:val="0"/>
            <w:vAlign w:val="top"/>
          </w:tcPr>
          <w:p w14:paraId="73BE30C1">
            <w:pPr>
              <w:pStyle w:val="16"/>
              <w:spacing w:line="240" w:lineRule="atLeast"/>
              <w:ind w:left="1080" w:leftChars="257" w:hanging="540"/>
              <w:rPr>
                <w:rFonts w:ascii="微软雅黑" w:hAnsi="微软雅黑" w:eastAsia="微软雅黑" w:cs="微软雅黑"/>
                <w:color w:val="auto"/>
                <w:sz w:val="24"/>
              </w:rPr>
            </w:pPr>
          </w:p>
        </w:tc>
        <w:tc>
          <w:tcPr>
            <w:tcW w:w="1640" w:type="dxa"/>
            <w:noWrap w:val="0"/>
            <w:vAlign w:val="top"/>
          </w:tcPr>
          <w:p w14:paraId="5D19D619">
            <w:pPr>
              <w:pStyle w:val="16"/>
              <w:spacing w:line="240" w:lineRule="atLeast"/>
              <w:ind w:left="1080" w:leftChars="257" w:hanging="540"/>
              <w:rPr>
                <w:rFonts w:ascii="微软雅黑" w:hAnsi="微软雅黑" w:eastAsia="微软雅黑" w:cs="微软雅黑"/>
                <w:color w:val="auto"/>
                <w:sz w:val="24"/>
              </w:rPr>
            </w:pPr>
          </w:p>
        </w:tc>
        <w:tc>
          <w:tcPr>
            <w:tcW w:w="1452" w:type="dxa"/>
            <w:noWrap w:val="0"/>
            <w:vAlign w:val="top"/>
          </w:tcPr>
          <w:p w14:paraId="15916439">
            <w:pPr>
              <w:pStyle w:val="16"/>
              <w:spacing w:line="240" w:lineRule="atLeast"/>
              <w:ind w:left="1080" w:leftChars="257" w:hanging="540"/>
              <w:rPr>
                <w:rFonts w:ascii="微软雅黑" w:hAnsi="微软雅黑" w:eastAsia="微软雅黑" w:cs="微软雅黑"/>
                <w:color w:val="auto"/>
                <w:sz w:val="24"/>
              </w:rPr>
            </w:pPr>
          </w:p>
        </w:tc>
        <w:tc>
          <w:tcPr>
            <w:tcW w:w="1428" w:type="dxa"/>
            <w:noWrap w:val="0"/>
            <w:vAlign w:val="top"/>
          </w:tcPr>
          <w:p w14:paraId="5607821E">
            <w:pPr>
              <w:pStyle w:val="16"/>
              <w:spacing w:line="240" w:lineRule="atLeast"/>
              <w:ind w:left="1080" w:leftChars="257" w:hanging="540"/>
              <w:rPr>
                <w:rFonts w:ascii="微软雅黑" w:hAnsi="微软雅黑" w:eastAsia="微软雅黑" w:cs="微软雅黑"/>
                <w:color w:val="auto"/>
                <w:sz w:val="24"/>
              </w:rPr>
            </w:pPr>
          </w:p>
        </w:tc>
        <w:tc>
          <w:tcPr>
            <w:tcW w:w="1584" w:type="dxa"/>
            <w:noWrap w:val="0"/>
            <w:vAlign w:val="top"/>
          </w:tcPr>
          <w:p w14:paraId="559AEEC3">
            <w:pPr>
              <w:pStyle w:val="16"/>
              <w:spacing w:line="240" w:lineRule="atLeast"/>
              <w:ind w:left="1080" w:leftChars="257" w:hanging="540"/>
              <w:rPr>
                <w:rFonts w:ascii="微软雅黑" w:hAnsi="微软雅黑" w:eastAsia="微软雅黑" w:cs="微软雅黑"/>
                <w:color w:val="auto"/>
                <w:sz w:val="24"/>
              </w:rPr>
            </w:pPr>
          </w:p>
        </w:tc>
        <w:tc>
          <w:tcPr>
            <w:tcW w:w="1584" w:type="dxa"/>
            <w:noWrap w:val="0"/>
            <w:vAlign w:val="top"/>
          </w:tcPr>
          <w:p w14:paraId="76DDCB8C">
            <w:pPr>
              <w:pStyle w:val="16"/>
              <w:spacing w:line="240" w:lineRule="atLeast"/>
              <w:ind w:left="1080" w:leftChars="257" w:hanging="540"/>
              <w:rPr>
                <w:rFonts w:ascii="微软雅黑" w:hAnsi="微软雅黑" w:eastAsia="微软雅黑" w:cs="微软雅黑"/>
                <w:color w:val="auto"/>
                <w:sz w:val="24"/>
              </w:rPr>
            </w:pPr>
          </w:p>
        </w:tc>
      </w:tr>
      <w:tr w14:paraId="74F1E2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959" w:type="dxa"/>
            <w:noWrap w:val="0"/>
            <w:vAlign w:val="top"/>
          </w:tcPr>
          <w:p w14:paraId="05C9F647">
            <w:pPr>
              <w:pStyle w:val="16"/>
              <w:spacing w:line="240" w:lineRule="atLeast"/>
              <w:ind w:left="1080" w:leftChars="257" w:hanging="540"/>
              <w:rPr>
                <w:rFonts w:ascii="微软雅黑" w:hAnsi="微软雅黑" w:eastAsia="微软雅黑" w:cs="微软雅黑"/>
                <w:color w:val="auto"/>
                <w:sz w:val="24"/>
              </w:rPr>
            </w:pPr>
          </w:p>
        </w:tc>
        <w:tc>
          <w:tcPr>
            <w:tcW w:w="1640" w:type="dxa"/>
            <w:noWrap w:val="0"/>
            <w:vAlign w:val="top"/>
          </w:tcPr>
          <w:p w14:paraId="68EFA542">
            <w:pPr>
              <w:pStyle w:val="16"/>
              <w:spacing w:line="240" w:lineRule="atLeast"/>
              <w:ind w:left="1080" w:leftChars="257" w:hanging="540"/>
              <w:rPr>
                <w:rFonts w:ascii="微软雅黑" w:hAnsi="微软雅黑" w:eastAsia="微软雅黑" w:cs="微软雅黑"/>
                <w:color w:val="auto"/>
                <w:sz w:val="24"/>
              </w:rPr>
            </w:pPr>
          </w:p>
        </w:tc>
        <w:tc>
          <w:tcPr>
            <w:tcW w:w="1452" w:type="dxa"/>
            <w:noWrap w:val="0"/>
            <w:vAlign w:val="top"/>
          </w:tcPr>
          <w:p w14:paraId="51DDDB1C">
            <w:pPr>
              <w:pStyle w:val="16"/>
              <w:spacing w:line="240" w:lineRule="atLeast"/>
              <w:ind w:left="1080" w:leftChars="257" w:hanging="540"/>
              <w:rPr>
                <w:rFonts w:ascii="微软雅黑" w:hAnsi="微软雅黑" w:eastAsia="微软雅黑" w:cs="微软雅黑"/>
                <w:color w:val="auto"/>
                <w:sz w:val="24"/>
              </w:rPr>
            </w:pPr>
          </w:p>
        </w:tc>
        <w:tc>
          <w:tcPr>
            <w:tcW w:w="1428" w:type="dxa"/>
            <w:noWrap w:val="0"/>
            <w:vAlign w:val="top"/>
          </w:tcPr>
          <w:p w14:paraId="49FE19B1">
            <w:pPr>
              <w:pStyle w:val="16"/>
              <w:spacing w:line="240" w:lineRule="atLeast"/>
              <w:ind w:left="1080" w:leftChars="257" w:hanging="540"/>
              <w:rPr>
                <w:rFonts w:ascii="微软雅黑" w:hAnsi="微软雅黑" w:eastAsia="微软雅黑" w:cs="微软雅黑"/>
                <w:color w:val="auto"/>
                <w:sz w:val="24"/>
              </w:rPr>
            </w:pPr>
          </w:p>
        </w:tc>
        <w:tc>
          <w:tcPr>
            <w:tcW w:w="1584" w:type="dxa"/>
            <w:noWrap w:val="0"/>
            <w:vAlign w:val="top"/>
          </w:tcPr>
          <w:p w14:paraId="6918330A">
            <w:pPr>
              <w:pStyle w:val="16"/>
              <w:spacing w:line="240" w:lineRule="atLeast"/>
              <w:ind w:left="1080" w:leftChars="257" w:hanging="540"/>
              <w:rPr>
                <w:rFonts w:ascii="微软雅黑" w:hAnsi="微软雅黑" w:eastAsia="微软雅黑" w:cs="微软雅黑"/>
                <w:color w:val="auto"/>
                <w:sz w:val="24"/>
              </w:rPr>
            </w:pPr>
          </w:p>
        </w:tc>
        <w:tc>
          <w:tcPr>
            <w:tcW w:w="1584" w:type="dxa"/>
            <w:noWrap w:val="0"/>
            <w:vAlign w:val="top"/>
          </w:tcPr>
          <w:p w14:paraId="0A083F24">
            <w:pPr>
              <w:pStyle w:val="16"/>
              <w:spacing w:line="240" w:lineRule="atLeast"/>
              <w:ind w:left="1080" w:leftChars="257" w:hanging="540"/>
              <w:rPr>
                <w:rFonts w:ascii="微软雅黑" w:hAnsi="微软雅黑" w:eastAsia="微软雅黑" w:cs="微软雅黑"/>
                <w:color w:val="auto"/>
                <w:sz w:val="24"/>
              </w:rPr>
            </w:pPr>
          </w:p>
        </w:tc>
      </w:tr>
      <w:tr w14:paraId="27C4DB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959" w:type="dxa"/>
            <w:noWrap w:val="0"/>
            <w:vAlign w:val="top"/>
          </w:tcPr>
          <w:p w14:paraId="75836C68">
            <w:pPr>
              <w:pStyle w:val="16"/>
              <w:spacing w:line="240" w:lineRule="atLeast"/>
              <w:ind w:left="1080" w:leftChars="257" w:hanging="540"/>
              <w:rPr>
                <w:rFonts w:ascii="微软雅黑" w:hAnsi="微软雅黑" w:eastAsia="微软雅黑" w:cs="微软雅黑"/>
                <w:color w:val="auto"/>
                <w:sz w:val="24"/>
              </w:rPr>
            </w:pPr>
          </w:p>
        </w:tc>
        <w:tc>
          <w:tcPr>
            <w:tcW w:w="1640" w:type="dxa"/>
            <w:noWrap w:val="0"/>
            <w:vAlign w:val="top"/>
          </w:tcPr>
          <w:p w14:paraId="1094BC15">
            <w:pPr>
              <w:pStyle w:val="16"/>
              <w:spacing w:line="240" w:lineRule="atLeast"/>
              <w:ind w:left="1080" w:leftChars="257" w:hanging="540"/>
              <w:rPr>
                <w:rFonts w:ascii="微软雅黑" w:hAnsi="微软雅黑" w:eastAsia="微软雅黑" w:cs="微软雅黑"/>
                <w:color w:val="auto"/>
                <w:sz w:val="24"/>
              </w:rPr>
            </w:pPr>
          </w:p>
        </w:tc>
        <w:tc>
          <w:tcPr>
            <w:tcW w:w="1452" w:type="dxa"/>
            <w:noWrap w:val="0"/>
            <w:vAlign w:val="top"/>
          </w:tcPr>
          <w:p w14:paraId="0B19BAA8">
            <w:pPr>
              <w:pStyle w:val="16"/>
              <w:spacing w:line="240" w:lineRule="atLeast"/>
              <w:ind w:left="1080" w:leftChars="257" w:hanging="540"/>
              <w:rPr>
                <w:rFonts w:ascii="微软雅黑" w:hAnsi="微软雅黑" w:eastAsia="微软雅黑" w:cs="微软雅黑"/>
                <w:color w:val="auto"/>
                <w:sz w:val="24"/>
              </w:rPr>
            </w:pPr>
          </w:p>
        </w:tc>
        <w:tc>
          <w:tcPr>
            <w:tcW w:w="1428" w:type="dxa"/>
            <w:noWrap w:val="0"/>
            <w:vAlign w:val="top"/>
          </w:tcPr>
          <w:p w14:paraId="1B122324">
            <w:pPr>
              <w:pStyle w:val="16"/>
              <w:spacing w:line="240" w:lineRule="atLeast"/>
              <w:ind w:left="1080" w:leftChars="257" w:hanging="540"/>
              <w:rPr>
                <w:rFonts w:ascii="微软雅黑" w:hAnsi="微软雅黑" w:eastAsia="微软雅黑" w:cs="微软雅黑"/>
                <w:color w:val="auto"/>
                <w:sz w:val="24"/>
              </w:rPr>
            </w:pPr>
          </w:p>
        </w:tc>
        <w:tc>
          <w:tcPr>
            <w:tcW w:w="1584" w:type="dxa"/>
            <w:noWrap w:val="0"/>
            <w:vAlign w:val="top"/>
          </w:tcPr>
          <w:p w14:paraId="0F1E20CD">
            <w:pPr>
              <w:pStyle w:val="16"/>
              <w:spacing w:line="240" w:lineRule="atLeast"/>
              <w:ind w:left="1080" w:leftChars="257" w:hanging="540"/>
              <w:rPr>
                <w:rFonts w:ascii="微软雅黑" w:hAnsi="微软雅黑" w:eastAsia="微软雅黑" w:cs="微软雅黑"/>
                <w:color w:val="auto"/>
                <w:sz w:val="24"/>
              </w:rPr>
            </w:pPr>
          </w:p>
        </w:tc>
        <w:tc>
          <w:tcPr>
            <w:tcW w:w="1584" w:type="dxa"/>
            <w:noWrap w:val="0"/>
            <w:vAlign w:val="top"/>
          </w:tcPr>
          <w:p w14:paraId="7E48FED9">
            <w:pPr>
              <w:pStyle w:val="16"/>
              <w:spacing w:line="240" w:lineRule="atLeast"/>
              <w:ind w:left="1080" w:leftChars="257" w:hanging="540"/>
              <w:rPr>
                <w:rFonts w:ascii="微软雅黑" w:hAnsi="微软雅黑" w:eastAsia="微软雅黑" w:cs="微软雅黑"/>
                <w:color w:val="auto"/>
                <w:sz w:val="24"/>
              </w:rPr>
            </w:pPr>
          </w:p>
        </w:tc>
      </w:tr>
      <w:tr w14:paraId="13C2F6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959" w:type="dxa"/>
            <w:noWrap w:val="0"/>
            <w:vAlign w:val="top"/>
          </w:tcPr>
          <w:p w14:paraId="5670B10B">
            <w:pPr>
              <w:pStyle w:val="16"/>
              <w:spacing w:line="240" w:lineRule="atLeast"/>
              <w:ind w:left="1080" w:leftChars="257" w:hanging="540"/>
              <w:rPr>
                <w:rFonts w:ascii="微软雅黑" w:hAnsi="微软雅黑" w:eastAsia="微软雅黑" w:cs="微软雅黑"/>
                <w:color w:val="auto"/>
                <w:sz w:val="24"/>
              </w:rPr>
            </w:pPr>
          </w:p>
        </w:tc>
        <w:tc>
          <w:tcPr>
            <w:tcW w:w="1640" w:type="dxa"/>
            <w:noWrap w:val="0"/>
            <w:vAlign w:val="top"/>
          </w:tcPr>
          <w:p w14:paraId="5A7F5BF2">
            <w:pPr>
              <w:pStyle w:val="16"/>
              <w:spacing w:line="240" w:lineRule="atLeast"/>
              <w:ind w:left="1080" w:leftChars="257" w:hanging="540"/>
              <w:rPr>
                <w:rFonts w:ascii="微软雅黑" w:hAnsi="微软雅黑" w:eastAsia="微软雅黑" w:cs="微软雅黑"/>
                <w:color w:val="auto"/>
                <w:sz w:val="24"/>
              </w:rPr>
            </w:pPr>
          </w:p>
        </w:tc>
        <w:tc>
          <w:tcPr>
            <w:tcW w:w="1452" w:type="dxa"/>
            <w:noWrap w:val="0"/>
            <w:vAlign w:val="top"/>
          </w:tcPr>
          <w:p w14:paraId="77FCCB5E">
            <w:pPr>
              <w:pStyle w:val="16"/>
              <w:spacing w:line="240" w:lineRule="atLeast"/>
              <w:ind w:left="1080" w:leftChars="257" w:hanging="540"/>
              <w:rPr>
                <w:rFonts w:ascii="微软雅黑" w:hAnsi="微软雅黑" w:eastAsia="微软雅黑" w:cs="微软雅黑"/>
                <w:color w:val="auto"/>
                <w:sz w:val="24"/>
              </w:rPr>
            </w:pPr>
          </w:p>
        </w:tc>
        <w:tc>
          <w:tcPr>
            <w:tcW w:w="1428" w:type="dxa"/>
            <w:noWrap w:val="0"/>
            <w:vAlign w:val="top"/>
          </w:tcPr>
          <w:p w14:paraId="7486B074">
            <w:pPr>
              <w:pStyle w:val="16"/>
              <w:spacing w:line="240" w:lineRule="atLeast"/>
              <w:ind w:left="1080" w:leftChars="257" w:hanging="540"/>
              <w:rPr>
                <w:rFonts w:ascii="微软雅黑" w:hAnsi="微软雅黑" w:eastAsia="微软雅黑" w:cs="微软雅黑"/>
                <w:color w:val="auto"/>
                <w:sz w:val="24"/>
              </w:rPr>
            </w:pPr>
          </w:p>
        </w:tc>
        <w:tc>
          <w:tcPr>
            <w:tcW w:w="1584" w:type="dxa"/>
            <w:noWrap w:val="0"/>
            <w:vAlign w:val="top"/>
          </w:tcPr>
          <w:p w14:paraId="11FC1AAD">
            <w:pPr>
              <w:pStyle w:val="16"/>
              <w:spacing w:line="240" w:lineRule="atLeast"/>
              <w:ind w:left="1080" w:leftChars="257" w:hanging="540"/>
              <w:rPr>
                <w:rFonts w:ascii="微软雅黑" w:hAnsi="微软雅黑" w:eastAsia="微软雅黑" w:cs="微软雅黑"/>
                <w:color w:val="auto"/>
                <w:sz w:val="24"/>
              </w:rPr>
            </w:pPr>
          </w:p>
        </w:tc>
        <w:tc>
          <w:tcPr>
            <w:tcW w:w="1584" w:type="dxa"/>
            <w:noWrap w:val="0"/>
            <w:vAlign w:val="top"/>
          </w:tcPr>
          <w:p w14:paraId="348B2357">
            <w:pPr>
              <w:pStyle w:val="16"/>
              <w:spacing w:line="240" w:lineRule="atLeast"/>
              <w:ind w:left="1080" w:leftChars="257" w:hanging="540"/>
              <w:rPr>
                <w:rFonts w:ascii="微软雅黑" w:hAnsi="微软雅黑" w:eastAsia="微软雅黑" w:cs="微软雅黑"/>
                <w:color w:val="auto"/>
                <w:sz w:val="24"/>
              </w:rPr>
            </w:pPr>
          </w:p>
        </w:tc>
      </w:tr>
      <w:tr w14:paraId="5DD7E2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959" w:type="dxa"/>
            <w:noWrap w:val="0"/>
            <w:vAlign w:val="top"/>
          </w:tcPr>
          <w:p w14:paraId="147584DD">
            <w:pPr>
              <w:pStyle w:val="16"/>
              <w:spacing w:line="240" w:lineRule="atLeast"/>
              <w:ind w:left="1080" w:leftChars="257" w:hanging="540"/>
              <w:rPr>
                <w:rFonts w:ascii="微软雅黑" w:hAnsi="微软雅黑" w:eastAsia="微软雅黑" w:cs="微软雅黑"/>
                <w:color w:val="auto"/>
                <w:sz w:val="24"/>
              </w:rPr>
            </w:pPr>
          </w:p>
        </w:tc>
        <w:tc>
          <w:tcPr>
            <w:tcW w:w="1640" w:type="dxa"/>
            <w:noWrap w:val="0"/>
            <w:vAlign w:val="top"/>
          </w:tcPr>
          <w:p w14:paraId="0F9BF46B">
            <w:pPr>
              <w:pStyle w:val="16"/>
              <w:spacing w:line="240" w:lineRule="atLeast"/>
              <w:ind w:left="1080" w:leftChars="257" w:hanging="540"/>
              <w:rPr>
                <w:rFonts w:ascii="微软雅黑" w:hAnsi="微软雅黑" w:eastAsia="微软雅黑" w:cs="微软雅黑"/>
                <w:color w:val="auto"/>
                <w:sz w:val="24"/>
              </w:rPr>
            </w:pPr>
          </w:p>
        </w:tc>
        <w:tc>
          <w:tcPr>
            <w:tcW w:w="1452" w:type="dxa"/>
            <w:noWrap w:val="0"/>
            <w:vAlign w:val="top"/>
          </w:tcPr>
          <w:p w14:paraId="3278F2EB">
            <w:pPr>
              <w:pStyle w:val="16"/>
              <w:spacing w:line="240" w:lineRule="atLeast"/>
              <w:ind w:left="1080" w:leftChars="257" w:hanging="540"/>
              <w:rPr>
                <w:rFonts w:ascii="微软雅黑" w:hAnsi="微软雅黑" w:eastAsia="微软雅黑" w:cs="微软雅黑"/>
                <w:color w:val="auto"/>
                <w:sz w:val="24"/>
              </w:rPr>
            </w:pPr>
          </w:p>
        </w:tc>
        <w:tc>
          <w:tcPr>
            <w:tcW w:w="1428" w:type="dxa"/>
            <w:noWrap w:val="0"/>
            <w:vAlign w:val="top"/>
          </w:tcPr>
          <w:p w14:paraId="181E3819">
            <w:pPr>
              <w:pStyle w:val="16"/>
              <w:spacing w:line="240" w:lineRule="atLeast"/>
              <w:ind w:left="1080" w:leftChars="257" w:hanging="540"/>
              <w:rPr>
                <w:rFonts w:ascii="微软雅黑" w:hAnsi="微软雅黑" w:eastAsia="微软雅黑" w:cs="微软雅黑"/>
                <w:color w:val="auto"/>
                <w:sz w:val="24"/>
              </w:rPr>
            </w:pPr>
          </w:p>
        </w:tc>
        <w:tc>
          <w:tcPr>
            <w:tcW w:w="1584" w:type="dxa"/>
            <w:noWrap w:val="0"/>
            <w:vAlign w:val="top"/>
          </w:tcPr>
          <w:p w14:paraId="40ACC26E">
            <w:pPr>
              <w:pStyle w:val="16"/>
              <w:spacing w:line="240" w:lineRule="atLeast"/>
              <w:ind w:left="1080" w:leftChars="257" w:hanging="540"/>
              <w:rPr>
                <w:rFonts w:ascii="微软雅黑" w:hAnsi="微软雅黑" w:eastAsia="微软雅黑" w:cs="微软雅黑"/>
                <w:color w:val="auto"/>
                <w:sz w:val="24"/>
              </w:rPr>
            </w:pPr>
          </w:p>
        </w:tc>
        <w:tc>
          <w:tcPr>
            <w:tcW w:w="1584" w:type="dxa"/>
            <w:noWrap w:val="0"/>
            <w:vAlign w:val="top"/>
          </w:tcPr>
          <w:p w14:paraId="38297ABC">
            <w:pPr>
              <w:pStyle w:val="16"/>
              <w:spacing w:line="240" w:lineRule="atLeast"/>
              <w:ind w:left="1080" w:leftChars="257" w:hanging="540"/>
              <w:rPr>
                <w:rFonts w:ascii="微软雅黑" w:hAnsi="微软雅黑" w:eastAsia="微软雅黑" w:cs="微软雅黑"/>
                <w:color w:val="auto"/>
                <w:sz w:val="24"/>
              </w:rPr>
            </w:pPr>
          </w:p>
        </w:tc>
      </w:tr>
      <w:tr w14:paraId="3467DC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959" w:type="dxa"/>
            <w:noWrap w:val="0"/>
            <w:vAlign w:val="top"/>
          </w:tcPr>
          <w:p w14:paraId="70CB972F">
            <w:pPr>
              <w:pStyle w:val="16"/>
              <w:spacing w:line="240" w:lineRule="atLeast"/>
              <w:ind w:left="1080" w:leftChars="257" w:hanging="540"/>
              <w:rPr>
                <w:rFonts w:ascii="微软雅黑" w:hAnsi="微软雅黑" w:eastAsia="微软雅黑" w:cs="微软雅黑"/>
                <w:color w:val="auto"/>
                <w:sz w:val="24"/>
              </w:rPr>
            </w:pPr>
          </w:p>
        </w:tc>
        <w:tc>
          <w:tcPr>
            <w:tcW w:w="1640" w:type="dxa"/>
            <w:noWrap w:val="0"/>
            <w:vAlign w:val="top"/>
          </w:tcPr>
          <w:p w14:paraId="2B6529AA">
            <w:pPr>
              <w:pStyle w:val="16"/>
              <w:spacing w:line="240" w:lineRule="atLeast"/>
              <w:ind w:left="1080" w:leftChars="257" w:hanging="540"/>
              <w:rPr>
                <w:rFonts w:ascii="微软雅黑" w:hAnsi="微软雅黑" w:eastAsia="微软雅黑" w:cs="微软雅黑"/>
                <w:color w:val="auto"/>
                <w:sz w:val="24"/>
              </w:rPr>
            </w:pPr>
          </w:p>
        </w:tc>
        <w:tc>
          <w:tcPr>
            <w:tcW w:w="1452" w:type="dxa"/>
            <w:noWrap w:val="0"/>
            <w:vAlign w:val="top"/>
          </w:tcPr>
          <w:p w14:paraId="789875FB">
            <w:pPr>
              <w:pStyle w:val="16"/>
              <w:spacing w:line="240" w:lineRule="atLeast"/>
              <w:ind w:left="1080" w:leftChars="257" w:hanging="540"/>
              <w:rPr>
                <w:rFonts w:ascii="微软雅黑" w:hAnsi="微软雅黑" w:eastAsia="微软雅黑" w:cs="微软雅黑"/>
                <w:color w:val="auto"/>
                <w:sz w:val="24"/>
              </w:rPr>
            </w:pPr>
          </w:p>
        </w:tc>
        <w:tc>
          <w:tcPr>
            <w:tcW w:w="1428" w:type="dxa"/>
            <w:noWrap w:val="0"/>
            <w:vAlign w:val="top"/>
          </w:tcPr>
          <w:p w14:paraId="2A65EAB2">
            <w:pPr>
              <w:pStyle w:val="16"/>
              <w:spacing w:line="240" w:lineRule="atLeast"/>
              <w:ind w:left="1080" w:leftChars="257" w:hanging="540"/>
              <w:rPr>
                <w:rFonts w:ascii="微软雅黑" w:hAnsi="微软雅黑" w:eastAsia="微软雅黑" w:cs="微软雅黑"/>
                <w:color w:val="auto"/>
                <w:sz w:val="24"/>
              </w:rPr>
            </w:pPr>
          </w:p>
        </w:tc>
        <w:tc>
          <w:tcPr>
            <w:tcW w:w="1584" w:type="dxa"/>
            <w:noWrap w:val="0"/>
            <w:vAlign w:val="top"/>
          </w:tcPr>
          <w:p w14:paraId="333DBC9B">
            <w:pPr>
              <w:pStyle w:val="16"/>
              <w:spacing w:line="240" w:lineRule="atLeast"/>
              <w:ind w:left="1080" w:leftChars="257" w:hanging="540"/>
              <w:rPr>
                <w:rFonts w:ascii="微软雅黑" w:hAnsi="微软雅黑" w:eastAsia="微软雅黑" w:cs="微软雅黑"/>
                <w:color w:val="auto"/>
                <w:sz w:val="24"/>
              </w:rPr>
            </w:pPr>
          </w:p>
        </w:tc>
        <w:tc>
          <w:tcPr>
            <w:tcW w:w="1584" w:type="dxa"/>
            <w:noWrap w:val="0"/>
            <w:vAlign w:val="top"/>
          </w:tcPr>
          <w:p w14:paraId="64BDC50F">
            <w:pPr>
              <w:pStyle w:val="16"/>
              <w:spacing w:line="240" w:lineRule="atLeast"/>
              <w:ind w:left="1080" w:leftChars="257" w:hanging="540"/>
              <w:rPr>
                <w:rFonts w:ascii="微软雅黑" w:hAnsi="微软雅黑" w:eastAsia="微软雅黑" w:cs="微软雅黑"/>
                <w:color w:val="auto"/>
                <w:sz w:val="24"/>
              </w:rPr>
            </w:pPr>
          </w:p>
        </w:tc>
      </w:tr>
      <w:tr w14:paraId="2B38D0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959" w:type="dxa"/>
            <w:noWrap w:val="0"/>
            <w:vAlign w:val="top"/>
          </w:tcPr>
          <w:p w14:paraId="7AB985E7">
            <w:pPr>
              <w:pStyle w:val="16"/>
              <w:spacing w:line="240" w:lineRule="atLeast"/>
              <w:ind w:left="1080" w:leftChars="257" w:hanging="540"/>
              <w:rPr>
                <w:rFonts w:ascii="微软雅黑" w:hAnsi="微软雅黑" w:eastAsia="微软雅黑" w:cs="微软雅黑"/>
                <w:color w:val="auto"/>
                <w:sz w:val="24"/>
              </w:rPr>
            </w:pPr>
          </w:p>
        </w:tc>
        <w:tc>
          <w:tcPr>
            <w:tcW w:w="1640" w:type="dxa"/>
            <w:noWrap w:val="0"/>
            <w:vAlign w:val="top"/>
          </w:tcPr>
          <w:p w14:paraId="7D103654">
            <w:pPr>
              <w:pStyle w:val="16"/>
              <w:spacing w:line="240" w:lineRule="atLeast"/>
              <w:ind w:left="1080" w:leftChars="257" w:hanging="540"/>
              <w:rPr>
                <w:rFonts w:ascii="微软雅黑" w:hAnsi="微软雅黑" w:eastAsia="微软雅黑" w:cs="微软雅黑"/>
                <w:color w:val="auto"/>
                <w:sz w:val="24"/>
              </w:rPr>
            </w:pPr>
          </w:p>
        </w:tc>
        <w:tc>
          <w:tcPr>
            <w:tcW w:w="1452" w:type="dxa"/>
            <w:noWrap w:val="0"/>
            <w:vAlign w:val="top"/>
          </w:tcPr>
          <w:p w14:paraId="1BE10FC0">
            <w:pPr>
              <w:pStyle w:val="16"/>
              <w:spacing w:line="240" w:lineRule="atLeast"/>
              <w:ind w:left="1080" w:leftChars="257" w:hanging="540"/>
              <w:rPr>
                <w:rFonts w:ascii="微软雅黑" w:hAnsi="微软雅黑" w:eastAsia="微软雅黑" w:cs="微软雅黑"/>
                <w:color w:val="auto"/>
                <w:sz w:val="24"/>
              </w:rPr>
            </w:pPr>
          </w:p>
        </w:tc>
        <w:tc>
          <w:tcPr>
            <w:tcW w:w="1428" w:type="dxa"/>
            <w:noWrap w:val="0"/>
            <w:vAlign w:val="top"/>
          </w:tcPr>
          <w:p w14:paraId="5873C263">
            <w:pPr>
              <w:pStyle w:val="16"/>
              <w:spacing w:line="240" w:lineRule="atLeast"/>
              <w:ind w:left="1080" w:leftChars="257" w:hanging="540"/>
              <w:rPr>
                <w:rFonts w:ascii="微软雅黑" w:hAnsi="微软雅黑" w:eastAsia="微软雅黑" w:cs="微软雅黑"/>
                <w:color w:val="auto"/>
                <w:sz w:val="24"/>
              </w:rPr>
            </w:pPr>
          </w:p>
        </w:tc>
        <w:tc>
          <w:tcPr>
            <w:tcW w:w="1584" w:type="dxa"/>
            <w:noWrap w:val="0"/>
            <w:vAlign w:val="top"/>
          </w:tcPr>
          <w:p w14:paraId="348412A6">
            <w:pPr>
              <w:pStyle w:val="16"/>
              <w:spacing w:line="240" w:lineRule="atLeast"/>
              <w:ind w:left="1080" w:leftChars="257" w:hanging="540"/>
              <w:rPr>
                <w:rFonts w:ascii="微软雅黑" w:hAnsi="微软雅黑" w:eastAsia="微软雅黑" w:cs="微软雅黑"/>
                <w:color w:val="auto"/>
                <w:sz w:val="24"/>
              </w:rPr>
            </w:pPr>
          </w:p>
        </w:tc>
        <w:tc>
          <w:tcPr>
            <w:tcW w:w="1584" w:type="dxa"/>
            <w:noWrap w:val="0"/>
            <w:vAlign w:val="top"/>
          </w:tcPr>
          <w:p w14:paraId="2292F646">
            <w:pPr>
              <w:pStyle w:val="16"/>
              <w:spacing w:line="240" w:lineRule="atLeast"/>
              <w:ind w:left="1080" w:leftChars="257" w:hanging="540"/>
              <w:rPr>
                <w:rFonts w:ascii="微软雅黑" w:hAnsi="微软雅黑" w:eastAsia="微软雅黑" w:cs="微软雅黑"/>
                <w:color w:val="auto"/>
                <w:sz w:val="24"/>
              </w:rPr>
            </w:pPr>
          </w:p>
        </w:tc>
      </w:tr>
    </w:tbl>
    <w:p w14:paraId="18E8D55B">
      <w:pPr>
        <w:pStyle w:val="16"/>
        <w:spacing w:line="240" w:lineRule="atLeast"/>
        <w:ind w:left="1080" w:leftChars="257" w:hanging="540"/>
        <w:rPr>
          <w:rFonts w:ascii="微软雅黑" w:hAnsi="微软雅黑" w:eastAsia="微软雅黑" w:cs="微软雅黑"/>
          <w:color w:val="auto"/>
          <w:sz w:val="24"/>
        </w:rPr>
      </w:pPr>
    </w:p>
    <w:p w14:paraId="2D6480B0">
      <w:pPr>
        <w:pStyle w:val="16"/>
        <w:spacing w:line="240" w:lineRule="atLeast"/>
        <w:ind w:left="1080" w:leftChars="257" w:hanging="540"/>
        <w:rPr>
          <w:rFonts w:ascii="微软雅黑" w:hAnsi="微软雅黑" w:eastAsia="微软雅黑" w:cs="微软雅黑"/>
          <w:color w:val="auto"/>
          <w:sz w:val="24"/>
        </w:rPr>
      </w:pPr>
      <w:r>
        <w:rPr>
          <w:rFonts w:hint="eastAsia" w:ascii="微软雅黑" w:hAnsi="微软雅黑" w:eastAsia="微软雅黑" w:cs="微软雅黑"/>
          <w:color w:val="auto"/>
          <w:sz w:val="24"/>
        </w:rPr>
        <w:t>法定代表人或其委托代理人</w:t>
      </w:r>
      <w:r>
        <w:rPr>
          <w:rFonts w:hint="eastAsia" w:ascii="微软雅黑" w:hAnsi="微软雅黑" w:eastAsia="微软雅黑" w:cs="微软雅黑"/>
          <w:color w:val="auto"/>
          <w:sz w:val="24"/>
          <w:lang w:eastAsia="zh-CN"/>
        </w:rPr>
        <w:t>（</w:t>
      </w:r>
      <w:r>
        <w:rPr>
          <w:rFonts w:hint="eastAsia" w:ascii="微软雅黑" w:hAnsi="微软雅黑" w:eastAsia="微软雅黑" w:cs="微软雅黑"/>
          <w:color w:val="auto"/>
          <w:sz w:val="24"/>
          <w:lang w:val="en-US" w:eastAsia="zh-CN"/>
        </w:rPr>
        <w:t>签/章</w:t>
      </w:r>
      <w:r>
        <w:rPr>
          <w:rFonts w:hint="eastAsia" w:ascii="微软雅黑" w:hAnsi="微软雅黑" w:eastAsia="微软雅黑" w:cs="微软雅黑"/>
          <w:color w:val="auto"/>
          <w:sz w:val="24"/>
          <w:lang w:eastAsia="zh-CN"/>
        </w:rPr>
        <w:t>）</w:t>
      </w:r>
      <w:r>
        <w:rPr>
          <w:rFonts w:hint="eastAsia" w:ascii="微软雅黑" w:hAnsi="微软雅黑" w:eastAsia="微软雅黑" w:cs="微软雅黑"/>
          <w:color w:val="auto"/>
          <w:sz w:val="24"/>
        </w:rPr>
        <w:t>:</w:t>
      </w:r>
    </w:p>
    <w:p w14:paraId="55437E93">
      <w:pPr>
        <w:pStyle w:val="16"/>
        <w:tabs>
          <w:tab w:val="left" w:pos="5370"/>
        </w:tabs>
        <w:spacing w:line="240" w:lineRule="atLeast"/>
        <w:ind w:left="1080" w:leftChars="257" w:hanging="540"/>
        <w:rPr>
          <w:rFonts w:ascii="微软雅黑" w:hAnsi="微软雅黑" w:eastAsia="微软雅黑" w:cs="微软雅黑"/>
          <w:color w:val="auto"/>
          <w:sz w:val="24"/>
          <w:u w:val="single"/>
        </w:rPr>
      </w:pPr>
      <w:r>
        <w:rPr>
          <w:rFonts w:hint="eastAsia" w:ascii="微软雅黑" w:hAnsi="微软雅黑" w:eastAsia="微软雅黑" w:cs="微软雅黑"/>
          <w:color w:val="auto"/>
          <w:sz w:val="24"/>
        </w:rPr>
        <w:t>供应商(</w:t>
      </w:r>
      <w:r>
        <w:rPr>
          <w:rFonts w:hint="eastAsia" w:ascii="微软雅黑" w:hAnsi="微软雅黑" w:eastAsia="微软雅黑" w:cs="微软雅黑"/>
          <w:color w:val="auto"/>
          <w:sz w:val="24"/>
          <w:lang w:val="en-US" w:eastAsia="zh-CN"/>
        </w:rPr>
        <w:t>公章</w:t>
      </w:r>
      <w:r>
        <w:rPr>
          <w:rFonts w:hint="eastAsia" w:ascii="微软雅黑" w:hAnsi="微软雅黑" w:eastAsia="微软雅黑" w:cs="微软雅黑"/>
          <w:color w:val="auto"/>
          <w:sz w:val="24"/>
        </w:rPr>
        <w:t>):</w:t>
      </w:r>
    </w:p>
    <w:p w14:paraId="51FA5F8E">
      <w:pPr>
        <w:pStyle w:val="16"/>
        <w:spacing w:line="240" w:lineRule="atLeast"/>
        <w:ind w:left="1080" w:leftChars="257" w:hanging="540"/>
        <w:rPr>
          <w:rFonts w:ascii="微软雅黑" w:hAnsi="微软雅黑" w:eastAsia="微软雅黑" w:cs="微软雅黑"/>
          <w:color w:val="auto"/>
          <w:sz w:val="24"/>
        </w:rPr>
      </w:pPr>
    </w:p>
    <w:p w14:paraId="48B38456">
      <w:pPr>
        <w:pStyle w:val="16"/>
        <w:spacing w:line="240" w:lineRule="atLeast"/>
        <w:ind w:left="1080" w:leftChars="257" w:hanging="540"/>
        <w:rPr>
          <w:rFonts w:ascii="微软雅黑" w:hAnsi="微软雅黑" w:eastAsia="微软雅黑" w:cs="微软雅黑"/>
          <w:color w:val="auto"/>
          <w:sz w:val="24"/>
        </w:rPr>
      </w:pPr>
      <w:r>
        <w:rPr>
          <w:rFonts w:hint="eastAsia" w:ascii="微软雅黑" w:hAnsi="微软雅黑" w:eastAsia="微软雅黑" w:cs="微软雅黑"/>
          <w:color w:val="auto"/>
          <w:sz w:val="24"/>
        </w:rPr>
        <w:t>注: 各项服务详细技术性能应另页描述。</w:t>
      </w:r>
    </w:p>
    <w:p w14:paraId="38B95E42">
      <w:pPr>
        <w:spacing w:line="360" w:lineRule="exact"/>
        <w:ind w:left="1080" w:leftChars="257" w:hanging="540"/>
        <w:rPr>
          <w:rFonts w:ascii="微软雅黑" w:hAnsi="微软雅黑" w:eastAsia="微软雅黑" w:cs="微软雅黑"/>
          <w:color w:val="auto"/>
          <w:sz w:val="24"/>
        </w:rPr>
      </w:pPr>
    </w:p>
    <w:p w14:paraId="3785454A">
      <w:pPr>
        <w:pStyle w:val="16"/>
        <w:spacing w:line="240" w:lineRule="atLeast"/>
        <w:ind w:left="1080" w:leftChars="257" w:hanging="540"/>
        <w:rPr>
          <w:rFonts w:ascii="微软雅黑" w:hAnsi="微软雅黑" w:eastAsia="微软雅黑" w:cs="微软雅黑"/>
          <w:color w:val="auto"/>
          <w:sz w:val="24"/>
        </w:rPr>
      </w:pPr>
    </w:p>
    <w:p w14:paraId="030D76F8">
      <w:pPr>
        <w:spacing w:line="360" w:lineRule="exact"/>
        <w:ind w:left="1080" w:leftChars="257" w:hanging="540"/>
        <w:rPr>
          <w:rFonts w:ascii="微软雅黑" w:hAnsi="微软雅黑" w:eastAsia="微软雅黑" w:cs="微软雅黑"/>
          <w:color w:val="auto"/>
          <w:sz w:val="24"/>
        </w:rPr>
      </w:pPr>
    </w:p>
    <w:p w14:paraId="1FE5E3C6">
      <w:pPr>
        <w:pStyle w:val="7"/>
        <w:rPr>
          <w:rFonts w:ascii="微软雅黑" w:hAnsi="微软雅黑" w:eastAsia="微软雅黑" w:cs="微软雅黑"/>
          <w:color w:val="auto"/>
        </w:rPr>
      </w:pPr>
    </w:p>
    <w:p w14:paraId="7D117599">
      <w:pPr>
        <w:rPr>
          <w:rFonts w:ascii="微软雅黑" w:hAnsi="微软雅黑" w:eastAsia="微软雅黑" w:cs="微软雅黑"/>
          <w:color w:val="auto"/>
        </w:rPr>
      </w:pPr>
    </w:p>
    <w:p w14:paraId="01132BD5">
      <w:pPr>
        <w:pStyle w:val="26"/>
        <w:rPr>
          <w:rFonts w:ascii="微软雅黑" w:hAnsi="微软雅黑" w:eastAsia="微软雅黑" w:cs="微软雅黑"/>
          <w:color w:val="auto"/>
        </w:rPr>
      </w:pPr>
    </w:p>
    <w:p w14:paraId="21AA0475">
      <w:pPr>
        <w:pStyle w:val="26"/>
        <w:rPr>
          <w:rFonts w:ascii="微软雅黑" w:hAnsi="微软雅黑" w:eastAsia="微软雅黑" w:cs="微软雅黑"/>
          <w:color w:val="auto"/>
        </w:rPr>
      </w:pPr>
    </w:p>
    <w:p w14:paraId="399E6612">
      <w:pPr>
        <w:pStyle w:val="26"/>
        <w:rPr>
          <w:rFonts w:ascii="微软雅黑" w:hAnsi="微软雅黑" w:eastAsia="微软雅黑" w:cs="微软雅黑"/>
          <w:color w:val="auto"/>
        </w:rPr>
      </w:pPr>
    </w:p>
    <w:p w14:paraId="3A4327FA">
      <w:pPr>
        <w:pStyle w:val="26"/>
        <w:rPr>
          <w:rFonts w:ascii="微软雅黑" w:hAnsi="微软雅黑" w:eastAsia="微软雅黑" w:cs="微软雅黑"/>
          <w:color w:val="auto"/>
        </w:rPr>
      </w:pPr>
    </w:p>
    <w:p w14:paraId="789B810A">
      <w:pPr>
        <w:pStyle w:val="26"/>
        <w:rPr>
          <w:rFonts w:ascii="微软雅黑" w:hAnsi="微软雅黑" w:eastAsia="微软雅黑" w:cs="微软雅黑"/>
          <w:color w:val="auto"/>
        </w:rPr>
      </w:pPr>
    </w:p>
    <w:p w14:paraId="10C2427F">
      <w:pPr>
        <w:pStyle w:val="7"/>
        <w:ind w:firstLine="0"/>
        <w:rPr>
          <w:rFonts w:ascii="微软雅黑" w:hAnsi="微软雅黑" w:eastAsia="微软雅黑" w:cs="微软雅黑"/>
          <w:color w:val="auto"/>
        </w:rPr>
      </w:pPr>
    </w:p>
    <w:bookmarkEnd w:id="499"/>
    <w:bookmarkEnd w:id="500"/>
    <w:bookmarkEnd w:id="501"/>
    <w:bookmarkEnd w:id="502"/>
    <w:bookmarkEnd w:id="503"/>
    <w:bookmarkEnd w:id="504"/>
    <w:bookmarkEnd w:id="505"/>
    <w:bookmarkEnd w:id="506"/>
    <w:bookmarkEnd w:id="507"/>
    <w:bookmarkEnd w:id="508"/>
    <w:bookmarkEnd w:id="509"/>
    <w:p w14:paraId="4C3970A6">
      <w:pPr>
        <w:pStyle w:val="4"/>
        <w:spacing w:before="0" w:line="240" w:lineRule="atLeast"/>
        <w:rPr>
          <w:rFonts w:ascii="微软雅黑" w:hAnsi="微软雅黑" w:eastAsia="微软雅黑" w:cs="微软雅黑"/>
          <w:bCs/>
          <w:color w:val="auto"/>
          <w:kern w:val="2"/>
          <w:sz w:val="22"/>
          <w:szCs w:val="22"/>
        </w:rPr>
      </w:pPr>
      <w:bookmarkStart w:id="520" w:name="_Toc5553"/>
      <w:bookmarkStart w:id="521" w:name="_Toc23233"/>
      <w:bookmarkStart w:id="522" w:name="_Toc24864"/>
      <w:bookmarkStart w:id="523" w:name="_Toc28414"/>
      <w:bookmarkStart w:id="524" w:name="_Toc23542"/>
      <w:bookmarkStart w:id="525" w:name="_Toc26490"/>
      <w:bookmarkStart w:id="526" w:name="_Toc1232"/>
      <w:bookmarkStart w:id="527" w:name="_Toc22563"/>
      <w:bookmarkStart w:id="528" w:name="_Toc4880"/>
      <w:bookmarkStart w:id="529" w:name="_Toc338"/>
      <w:bookmarkStart w:id="530" w:name="_Toc1130"/>
      <w:bookmarkStart w:id="531" w:name="_Toc13093"/>
      <w:bookmarkStart w:id="532" w:name="_Toc32689"/>
      <w:bookmarkStart w:id="533" w:name="_Toc28959"/>
      <w:bookmarkStart w:id="534" w:name="_Toc515647820"/>
      <w:bookmarkStart w:id="535" w:name="_Toc13229"/>
      <w:bookmarkStart w:id="536" w:name="_Toc9012"/>
      <w:bookmarkStart w:id="537" w:name="_Toc32666"/>
      <w:bookmarkStart w:id="538" w:name="_Toc10773"/>
      <w:bookmarkStart w:id="539" w:name="_Toc3537"/>
      <w:bookmarkStart w:id="540" w:name="_Toc216582817"/>
      <w:r>
        <w:rPr>
          <w:rFonts w:hint="eastAsia" w:ascii="微软雅黑" w:hAnsi="微软雅黑" w:eastAsia="微软雅黑" w:cs="微软雅黑"/>
          <w:bCs/>
          <w:color w:val="auto"/>
          <w:sz w:val="24"/>
          <w:szCs w:val="24"/>
          <w:lang w:val="en-US" w:eastAsia="zh-CN"/>
        </w:rPr>
        <w:t>4、</w:t>
      </w:r>
      <w:r>
        <w:rPr>
          <w:rFonts w:hint="eastAsia" w:ascii="微软雅黑" w:hAnsi="微软雅黑" w:eastAsia="微软雅黑" w:cs="微软雅黑"/>
          <w:bCs/>
          <w:color w:val="auto"/>
          <w:sz w:val="24"/>
          <w:szCs w:val="24"/>
        </w:rPr>
        <w:t>商务条款偏离表</w:t>
      </w:r>
      <w:bookmarkEnd w:id="520"/>
      <w:bookmarkEnd w:id="521"/>
    </w:p>
    <w:p w14:paraId="7056C587">
      <w:pPr>
        <w:pStyle w:val="16"/>
        <w:spacing w:line="240" w:lineRule="atLeast"/>
        <w:ind w:left="1080" w:leftChars="257" w:hanging="540"/>
        <w:rPr>
          <w:rFonts w:ascii="微软雅黑" w:hAnsi="微软雅黑" w:eastAsia="微软雅黑" w:cs="微软雅黑"/>
          <w:color w:val="auto"/>
          <w:szCs w:val="21"/>
        </w:rPr>
      </w:pPr>
    </w:p>
    <w:p w14:paraId="025890B2">
      <w:pPr>
        <w:pStyle w:val="16"/>
        <w:spacing w:line="240" w:lineRule="atLeast"/>
        <w:ind w:left="1080" w:leftChars="257" w:hanging="540"/>
        <w:rPr>
          <w:rFonts w:ascii="微软雅黑" w:hAnsi="微软雅黑" w:eastAsia="微软雅黑" w:cs="微软雅黑"/>
          <w:color w:val="auto"/>
          <w:sz w:val="24"/>
          <w:szCs w:val="24"/>
        </w:rPr>
      </w:pPr>
    </w:p>
    <w:p w14:paraId="4C0B51A0">
      <w:pPr>
        <w:pStyle w:val="16"/>
        <w:spacing w:line="400" w:lineRule="exact"/>
        <w:ind w:left="1080" w:leftChars="257" w:hanging="540"/>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 xml:space="preserve">项目名称:                      招标编号:            </w:t>
      </w:r>
    </w:p>
    <w:p w14:paraId="4DED6396">
      <w:pPr>
        <w:pStyle w:val="16"/>
        <w:spacing w:line="400" w:lineRule="exact"/>
        <w:ind w:left="1080" w:leftChars="257" w:hanging="540"/>
        <w:rPr>
          <w:rFonts w:ascii="微软雅黑" w:hAnsi="微软雅黑" w:eastAsia="微软雅黑" w:cs="微软雅黑"/>
          <w:color w:val="auto"/>
          <w:sz w:val="24"/>
          <w:szCs w:val="24"/>
        </w:rPr>
      </w:pPr>
    </w:p>
    <w:tbl>
      <w:tblPr>
        <w:tblStyle w:val="37"/>
        <w:tblW w:w="100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8"/>
        <w:gridCol w:w="2040"/>
        <w:gridCol w:w="2520"/>
        <w:gridCol w:w="2520"/>
        <w:gridCol w:w="1014"/>
        <w:gridCol w:w="1014"/>
      </w:tblGrid>
      <w:tr w14:paraId="390140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09593F5C">
            <w:pPr>
              <w:pStyle w:val="16"/>
              <w:spacing w:line="400" w:lineRule="exact"/>
              <w:jc w:val="center"/>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序号</w:t>
            </w:r>
          </w:p>
        </w:tc>
        <w:tc>
          <w:tcPr>
            <w:tcW w:w="2040" w:type="dxa"/>
          </w:tcPr>
          <w:p w14:paraId="582E5B0D">
            <w:pPr>
              <w:pStyle w:val="16"/>
              <w:spacing w:line="400" w:lineRule="exact"/>
              <w:jc w:val="center"/>
              <w:rPr>
                <w:rFonts w:hint="default" w:ascii="微软雅黑" w:hAnsi="微软雅黑" w:eastAsia="微软雅黑" w:cs="微软雅黑"/>
                <w:color w:val="auto"/>
                <w:sz w:val="24"/>
                <w:szCs w:val="24"/>
                <w:lang w:val="en-US"/>
              </w:rPr>
            </w:pPr>
            <w:r>
              <w:rPr>
                <w:rFonts w:hint="eastAsia" w:ascii="微软雅黑" w:hAnsi="微软雅黑" w:eastAsia="微软雅黑" w:cs="微软雅黑"/>
                <w:color w:val="auto"/>
                <w:sz w:val="24"/>
                <w:szCs w:val="24"/>
                <w:lang w:val="en-US" w:eastAsia="zh-CN"/>
              </w:rPr>
              <w:t>服务名称</w:t>
            </w:r>
          </w:p>
        </w:tc>
        <w:tc>
          <w:tcPr>
            <w:tcW w:w="2520" w:type="dxa"/>
          </w:tcPr>
          <w:p w14:paraId="09F5B5B4">
            <w:pPr>
              <w:pStyle w:val="16"/>
              <w:spacing w:line="400" w:lineRule="exact"/>
              <w:jc w:val="center"/>
              <w:rPr>
                <w:rFonts w:hint="default" w:ascii="微软雅黑" w:hAnsi="微软雅黑" w:eastAsia="微软雅黑" w:cs="微软雅黑"/>
                <w:color w:val="auto"/>
                <w:sz w:val="24"/>
                <w:szCs w:val="24"/>
                <w:lang w:val="en-US" w:eastAsia="zh-CN"/>
              </w:rPr>
            </w:pPr>
            <w:r>
              <w:rPr>
                <w:rFonts w:hint="eastAsia" w:ascii="微软雅黑" w:hAnsi="微软雅黑" w:eastAsia="微软雅黑" w:cs="微软雅黑"/>
                <w:color w:val="auto"/>
                <w:sz w:val="24"/>
                <w:szCs w:val="24"/>
                <w:lang w:eastAsia="zh-CN"/>
              </w:rPr>
              <w:t>磋商文件</w:t>
            </w:r>
            <w:r>
              <w:rPr>
                <w:rFonts w:hint="eastAsia" w:ascii="微软雅黑" w:hAnsi="微软雅黑" w:eastAsia="微软雅黑" w:cs="微软雅黑"/>
                <w:color w:val="auto"/>
                <w:sz w:val="24"/>
                <w:szCs w:val="24"/>
              </w:rPr>
              <w:t>的</w:t>
            </w:r>
            <w:r>
              <w:rPr>
                <w:rFonts w:hint="eastAsia" w:ascii="微软雅黑" w:hAnsi="微软雅黑" w:eastAsia="微软雅黑" w:cs="微软雅黑"/>
                <w:color w:val="auto"/>
                <w:sz w:val="24"/>
                <w:szCs w:val="24"/>
                <w:lang w:val="en-US" w:eastAsia="zh-CN"/>
              </w:rPr>
              <w:t>服务内容</w:t>
            </w:r>
          </w:p>
        </w:tc>
        <w:tc>
          <w:tcPr>
            <w:tcW w:w="2520" w:type="dxa"/>
          </w:tcPr>
          <w:p w14:paraId="02D9067D">
            <w:pPr>
              <w:pStyle w:val="16"/>
              <w:spacing w:line="400" w:lineRule="exact"/>
              <w:jc w:val="center"/>
              <w:rPr>
                <w:rFonts w:hint="default" w:ascii="微软雅黑" w:hAnsi="微软雅黑" w:eastAsia="微软雅黑" w:cs="微软雅黑"/>
                <w:color w:val="auto"/>
                <w:sz w:val="24"/>
                <w:szCs w:val="24"/>
                <w:lang w:val="en-US" w:eastAsia="zh-CN"/>
              </w:rPr>
            </w:pPr>
            <w:r>
              <w:rPr>
                <w:rFonts w:hint="eastAsia" w:ascii="微软雅黑" w:hAnsi="微软雅黑" w:eastAsia="微软雅黑" w:cs="微软雅黑"/>
                <w:color w:val="auto"/>
                <w:sz w:val="24"/>
                <w:szCs w:val="24"/>
                <w:lang w:eastAsia="zh-CN"/>
              </w:rPr>
              <w:t>响应文件</w:t>
            </w:r>
            <w:r>
              <w:rPr>
                <w:rFonts w:hint="eastAsia" w:ascii="微软雅黑" w:hAnsi="微软雅黑" w:eastAsia="微软雅黑" w:cs="微软雅黑"/>
                <w:color w:val="auto"/>
                <w:sz w:val="24"/>
                <w:szCs w:val="24"/>
              </w:rPr>
              <w:t>的</w:t>
            </w:r>
            <w:r>
              <w:rPr>
                <w:rFonts w:hint="eastAsia" w:ascii="微软雅黑" w:hAnsi="微软雅黑" w:eastAsia="微软雅黑" w:cs="微软雅黑"/>
                <w:color w:val="auto"/>
                <w:sz w:val="24"/>
                <w:szCs w:val="24"/>
                <w:lang w:val="en-US" w:eastAsia="zh-CN"/>
              </w:rPr>
              <w:t>服务内容</w:t>
            </w:r>
          </w:p>
        </w:tc>
        <w:tc>
          <w:tcPr>
            <w:tcW w:w="1014" w:type="dxa"/>
          </w:tcPr>
          <w:p w14:paraId="077EC46F">
            <w:pPr>
              <w:pStyle w:val="16"/>
              <w:spacing w:line="400" w:lineRule="exact"/>
              <w:jc w:val="center"/>
              <w:rPr>
                <w:rFonts w:hint="eastAsia" w:ascii="微软雅黑" w:hAnsi="微软雅黑" w:eastAsia="微软雅黑" w:cs="微软雅黑"/>
                <w:color w:val="auto"/>
                <w:sz w:val="24"/>
                <w:szCs w:val="24"/>
                <w:lang w:val="en-US" w:eastAsia="zh-CN"/>
              </w:rPr>
            </w:pPr>
            <w:r>
              <w:rPr>
                <w:rFonts w:hint="eastAsia" w:ascii="微软雅黑" w:hAnsi="微软雅黑" w:eastAsia="微软雅黑" w:cs="微软雅黑"/>
                <w:color w:val="auto"/>
                <w:sz w:val="24"/>
                <w:szCs w:val="24"/>
                <w:lang w:val="en-US" w:eastAsia="zh-CN"/>
              </w:rPr>
              <w:t>偏离</w:t>
            </w:r>
          </w:p>
        </w:tc>
        <w:tc>
          <w:tcPr>
            <w:tcW w:w="1014" w:type="dxa"/>
          </w:tcPr>
          <w:p w14:paraId="0A98E59F">
            <w:pPr>
              <w:pStyle w:val="16"/>
              <w:spacing w:line="400" w:lineRule="exact"/>
              <w:jc w:val="center"/>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说明</w:t>
            </w:r>
          </w:p>
        </w:tc>
      </w:tr>
      <w:tr w14:paraId="0F249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345668AD">
            <w:pPr>
              <w:pStyle w:val="16"/>
              <w:spacing w:line="400" w:lineRule="exact"/>
              <w:ind w:left="1080" w:leftChars="257" w:hanging="540"/>
              <w:rPr>
                <w:rFonts w:ascii="微软雅黑" w:hAnsi="微软雅黑" w:eastAsia="微软雅黑" w:cs="微软雅黑"/>
                <w:color w:val="auto"/>
                <w:sz w:val="24"/>
                <w:szCs w:val="24"/>
              </w:rPr>
            </w:pPr>
          </w:p>
        </w:tc>
        <w:tc>
          <w:tcPr>
            <w:tcW w:w="2040" w:type="dxa"/>
          </w:tcPr>
          <w:p w14:paraId="46E486A6">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00F53901">
            <w:pPr>
              <w:pStyle w:val="16"/>
              <w:spacing w:line="400" w:lineRule="exact"/>
              <w:ind w:left="1080" w:leftChars="257" w:hanging="540"/>
              <w:jc w:val="center"/>
              <w:rPr>
                <w:rFonts w:ascii="微软雅黑" w:hAnsi="微软雅黑" w:eastAsia="微软雅黑" w:cs="微软雅黑"/>
                <w:color w:val="auto"/>
                <w:sz w:val="24"/>
                <w:szCs w:val="24"/>
              </w:rPr>
            </w:pPr>
          </w:p>
        </w:tc>
        <w:tc>
          <w:tcPr>
            <w:tcW w:w="2520" w:type="dxa"/>
          </w:tcPr>
          <w:p w14:paraId="21C0CB2D">
            <w:pPr>
              <w:pStyle w:val="16"/>
              <w:spacing w:line="400" w:lineRule="exact"/>
              <w:ind w:left="1080" w:leftChars="257" w:hanging="540"/>
              <w:jc w:val="center"/>
              <w:rPr>
                <w:rFonts w:ascii="微软雅黑" w:hAnsi="微软雅黑" w:eastAsia="微软雅黑" w:cs="微软雅黑"/>
                <w:color w:val="auto"/>
                <w:sz w:val="24"/>
                <w:szCs w:val="24"/>
              </w:rPr>
            </w:pPr>
          </w:p>
        </w:tc>
        <w:tc>
          <w:tcPr>
            <w:tcW w:w="1014" w:type="dxa"/>
          </w:tcPr>
          <w:p w14:paraId="20418C78">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0F430BC7">
            <w:pPr>
              <w:pStyle w:val="16"/>
              <w:spacing w:line="400" w:lineRule="exact"/>
              <w:ind w:left="1080" w:leftChars="257" w:hanging="540"/>
              <w:rPr>
                <w:rFonts w:ascii="微软雅黑" w:hAnsi="微软雅黑" w:eastAsia="微软雅黑" w:cs="微软雅黑"/>
                <w:color w:val="auto"/>
                <w:sz w:val="24"/>
                <w:szCs w:val="24"/>
              </w:rPr>
            </w:pPr>
          </w:p>
        </w:tc>
      </w:tr>
      <w:tr w14:paraId="382780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1BCBE11D">
            <w:pPr>
              <w:pStyle w:val="16"/>
              <w:spacing w:line="400" w:lineRule="exact"/>
              <w:ind w:left="1080" w:leftChars="257" w:hanging="540"/>
              <w:rPr>
                <w:rFonts w:ascii="微软雅黑" w:hAnsi="微软雅黑" w:eastAsia="微软雅黑" w:cs="微软雅黑"/>
                <w:color w:val="auto"/>
                <w:sz w:val="24"/>
                <w:szCs w:val="24"/>
              </w:rPr>
            </w:pPr>
          </w:p>
        </w:tc>
        <w:tc>
          <w:tcPr>
            <w:tcW w:w="2040" w:type="dxa"/>
          </w:tcPr>
          <w:p w14:paraId="2DE77335">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20A0155C">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6069D478">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1C580594">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27C7F8D6">
            <w:pPr>
              <w:pStyle w:val="16"/>
              <w:spacing w:line="400" w:lineRule="exact"/>
              <w:ind w:left="1080" w:leftChars="257" w:hanging="540"/>
              <w:rPr>
                <w:rFonts w:ascii="微软雅黑" w:hAnsi="微软雅黑" w:eastAsia="微软雅黑" w:cs="微软雅黑"/>
                <w:color w:val="auto"/>
                <w:sz w:val="24"/>
                <w:szCs w:val="24"/>
              </w:rPr>
            </w:pPr>
          </w:p>
        </w:tc>
      </w:tr>
      <w:tr w14:paraId="5546B0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0B7EACA7">
            <w:pPr>
              <w:pStyle w:val="16"/>
              <w:spacing w:line="400" w:lineRule="exact"/>
              <w:ind w:left="1080" w:leftChars="257" w:hanging="540"/>
              <w:rPr>
                <w:rFonts w:ascii="微软雅黑" w:hAnsi="微软雅黑" w:eastAsia="微软雅黑" w:cs="微软雅黑"/>
                <w:color w:val="auto"/>
                <w:sz w:val="24"/>
                <w:szCs w:val="24"/>
              </w:rPr>
            </w:pPr>
          </w:p>
        </w:tc>
        <w:tc>
          <w:tcPr>
            <w:tcW w:w="2040" w:type="dxa"/>
          </w:tcPr>
          <w:p w14:paraId="5EFAB3D1">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300C2388">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6BAF693D">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7228072C">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62827F54">
            <w:pPr>
              <w:pStyle w:val="16"/>
              <w:spacing w:line="400" w:lineRule="exact"/>
              <w:ind w:left="1080" w:leftChars="257" w:hanging="540"/>
              <w:rPr>
                <w:rFonts w:ascii="微软雅黑" w:hAnsi="微软雅黑" w:eastAsia="微软雅黑" w:cs="微软雅黑"/>
                <w:color w:val="auto"/>
                <w:sz w:val="24"/>
                <w:szCs w:val="24"/>
              </w:rPr>
            </w:pPr>
          </w:p>
        </w:tc>
      </w:tr>
      <w:tr w14:paraId="5D483F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5A2E4B26">
            <w:pPr>
              <w:pStyle w:val="16"/>
              <w:spacing w:line="400" w:lineRule="exact"/>
              <w:ind w:left="1080" w:leftChars="257" w:hanging="540"/>
              <w:rPr>
                <w:rFonts w:ascii="微软雅黑" w:hAnsi="微软雅黑" w:eastAsia="微软雅黑" w:cs="微软雅黑"/>
                <w:color w:val="auto"/>
                <w:sz w:val="24"/>
                <w:szCs w:val="24"/>
              </w:rPr>
            </w:pPr>
          </w:p>
        </w:tc>
        <w:tc>
          <w:tcPr>
            <w:tcW w:w="2040" w:type="dxa"/>
          </w:tcPr>
          <w:p w14:paraId="52B714BA">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43A1789D">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72E95AB4">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303D92DE">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35F47F9B">
            <w:pPr>
              <w:pStyle w:val="16"/>
              <w:spacing w:line="400" w:lineRule="exact"/>
              <w:ind w:left="1080" w:leftChars="257" w:hanging="540"/>
              <w:rPr>
                <w:rFonts w:ascii="微软雅黑" w:hAnsi="微软雅黑" w:eastAsia="微软雅黑" w:cs="微软雅黑"/>
                <w:color w:val="auto"/>
                <w:sz w:val="24"/>
                <w:szCs w:val="24"/>
              </w:rPr>
            </w:pPr>
          </w:p>
        </w:tc>
      </w:tr>
      <w:tr w14:paraId="0B98D8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725B5AEA">
            <w:pPr>
              <w:pStyle w:val="16"/>
              <w:spacing w:line="400" w:lineRule="exact"/>
              <w:ind w:left="1080" w:leftChars="257" w:hanging="540"/>
              <w:rPr>
                <w:rFonts w:ascii="微软雅黑" w:hAnsi="微软雅黑" w:eastAsia="微软雅黑" w:cs="微软雅黑"/>
                <w:color w:val="auto"/>
                <w:sz w:val="24"/>
                <w:szCs w:val="24"/>
              </w:rPr>
            </w:pPr>
          </w:p>
        </w:tc>
        <w:tc>
          <w:tcPr>
            <w:tcW w:w="2040" w:type="dxa"/>
          </w:tcPr>
          <w:p w14:paraId="0FB5E026">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415F33D1">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7BB54CC2">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3AAA9A2F">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39CD05B9">
            <w:pPr>
              <w:pStyle w:val="16"/>
              <w:spacing w:line="400" w:lineRule="exact"/>
              <w:ind w:left="1080" w:leftChars="257" w:hanging="540"/>
              <w:rPr>
                <w:rFonts w:ascii="微软雅黑" w:hAnsi="微软雅黑" w:eastAsia="微软雅黑" w:cs="微软雅黑"/>
                <w:color w:val="auto"/>
                <w:sz w:val="24"/>
                <w:szCs w:val="24"/>
              </w:rPr>
            </w:pPr>
          </w:p>
        </w:tc>
      </w:tr>
      <w:tr w14:paraId="0BEB13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6E986BE6">
            <w:pPr>
              <w:pStyle w:val="16"/>
              <w:spacing w:line="400" w:lineRule="exact"/>
              <w:ind w:left="1080" w:leftChars="257" w:hanging="540"/>
              <w:rPr>
                <w:rFonts w:ascii="微软雅黑" w:hAnsi="微软雅黑" w:eastAsia="微软雅黑" w:cs="微软雅黑"/>
                <w:color w:val="auto"/>
                <w:sz w:val="24"/>
                <w:szCs w:val="24"/>
              </w:rPr>
            </w:pPr>
          </w:p>
        </w:tc>
        <w:tc>
          <w:tcPr>
            <w:tcW w:w="2040" w:type="dxa"/>
          </w:tcPr>
          <w:p w14:paraId="7DF69993">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5CC1A6BF">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17720D9E">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159DDB0B">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564819C3">
            <w:pPr>
              <w:pStyle w:val="16"/>
              <w:spacing w:line="400" w:lineRule="exact"/>
              <w:ind w:left="1080" w:leftChars="257" w:hanging="540"/>
              <w:rPr>
                <w:rFonts w:ascii="微软雅黑" w:hAnsi="微软雅黑" w:eastAsia="微软雅黑" w:cs="微软雅黑"/>
                <w:color w:val="auto"/>
                <w:sz w:val="24"/>
                <w:szCs w:val="24"/>
              </w:rPr>
            </w:pPr>
          </w:p>
        </w:tc>
      </w:tr>
      <w:tr w14:paraId="55D07F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2B6F73DD">
            <w:pPr>
              <w:pStyle w:val="16"/>
              <w:spacing w:line="400" w:lineRule="exact"/>
              <w:ind w:left="1080" w:leftChars="257" w:hanging="540"/>
              <w:rPr>
                <w:rFonts w:ascii="微软雅黑" w:hAnsi="微软雅黑" w:eastAsia="微软雅黑" w:cs="微软雅黑"/>
                <w:color w:val="auto"/>
                <w:sz w:val="24"/>
                <w:szCs w:val="24"/>
              </w:rPr>
            </w:pPr>
          </w:p>
        </w:tc>
        <w:tc>
          <w:tcPr>
            <w:tcW w:w="2040" w:type="dxa"/>
          </w:tcPr>
          <w:p w14:paraId="51E7C06C">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6228254D">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4671D354">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41B0C4CA">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636BE576">
            <w:pPr>
              <w:pStyle w:val="16"/>
              <w:spacing w:line="400" w:lineRule="exact"/>
              <w:ind w:left="1080" w:leftChars="257" w:hanging="540"/>
              <w:rPr>
                <w:rFonts w:ascii="微软雅黑" w:hAnsi="微软雅黑" w:eastAsia="微软雅黑" w:cs="微软雅黑"/>
                <w:color w:val="auto"/>
                <w:sz w:val="24"/>
                <w:szCs w:val="24"/>
              </w:rPr>
            </w:pPr>
          </w:p>
        </w:tc>
      </w:tr>
      <w:tr w14:paraId="6F8CDD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5717CB84">
            <w:pPr>
              <w:pStyle w:val="16"/>
              <w:spacing w:line="400" w:lineRule="exact"/>
              <w:ind w:left="1080" w:leftChars="257" w:hanging="540"/>
              <w:rPr>
                <w:rFonts w:ascii="微软雅黑" w:hAnsi="微软雅黑" w:eastAsia="微软雅黑" w:cs="微软雅黑"/>
                <w:color w:val="auto"/>
                <w:sz w:val="24"/>
                <w:szCs w:val="24"/>
              </w:rPr>
            </w:pPr>
          </w:p>
        </w:tc>
        <w:tc>
          <w:tcPr>
            <w:tcW w:w="2040" w:type="dxa"/>
          </w:tcPr>
          <w:p w14:paraId="4792FC1C">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0041EA4D">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7342FF1F">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1C29A1BB">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0E4A3595">
            <w:pPr>
              <w:pStyle w:val="16"/>
              <w:spacing w:line="400" w:lineRule="exact"/>
              <w:ind w:left="1080" w:leftChars="257" w:hanging="540"/>
              <w:rPr>
                <w:rFonts w:ascii="微软雅黑" w:hAnsi="微软雅黑" w:eastAsia="微软雅黑" w:cs="微软雅黑"/>
                <w:color w:val="auto"/>
                <w:sz w:val="24"/>
                <w:szCs w:val="24"/>
              </w:rPr>
            </w:pPr>
          </w:p>
        </w:tc>
      </w:tr>
      <w:tr w14:paraId="60CDFE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0EF43FBE">
            <w:pPr>
              <w:pStyle w:val="16"/>
              <w:spacing w:line="400" w:lineRule="exact"/>
              <w:ind w:left="1080" w:leftChars="257" w:hanging="540"/>
              <w:rPr>
                <w:rFonts w:ascii="微软雅黑" w:hAnsi="微软雅黑" w:eastAsia="微软雅黑" w:cs="微软雅黑"/>
                <w:color w:val="auto"/>
                <w:sz w:val="24"/>
                <w:szCs w:val="24"/>
              </w:rPr>
            </w:pPr>
          </w:p>
        </w:tc>
        <w:tc>
          <w:tcPr>
            <w:tcW w:w="2040" w:type="dxa"/>
          </w:tcPr>
          <w:p w14:paraId="5F8C058F">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2B4C9CF8">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245B6EF3">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05AC6AD2">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546C6EF1">
            <w:pPr>
              <w:pStyle w:val="16"/>
              <w:spacing w:line="400" w:lineRule="exact"/>
              <w:ind w:left="1080" w:leftChars="257" w:hanging="540"/>
              <w:rPr>
                <w:rFonts w:ascii="微软雅黑" w:hAnsi="微软雅黑" w:eastAsia="微软雅黑" w:cs="微软雅黑"/>
                <w:color w:val="auto"/>
                <w:sz w:val="24"/>
                <w:szCs w:val="24"/>
              </w:rPr>
            </w:pPr>
          </w:p>
        </w:tc>
      </w:tr>
      <w:tr w14:paraId="044699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2CC38695">
            <w:pPr>
              <w:pStyle w:val="16"/>
              <w:spacing w:line="400" w:lineRule="exact"/>
              <w:ind w:left="1080" w:leftChars="257" w:hanging="540"/>
              <w:rPr>
                <w:rFonts w:ascii="微软雅黑" w:hAnsi="微软雅黑" w:eastAsia="微软雅黑" w:cs="微软雅黑"/>
                <w:color w:val="auto"/>
                <w:sz w:val="24"/>
                <w:szCs w:val="24"/>
              </w:rPr>
            </w:pPr>
          </w:p>
        </w:tc>
        <w:tc>
          <w:tcPr>
            <w:tcW w:w="2040" w:type="dxa"/>
          </w:tcPr>
          <w:p w14:paraId="4D974CFF">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7208C2BC">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654A4E9A">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3A008EBA">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043249A6">
            <w:pPr>
              <w:pStyle w:val="16"/>
              <w:spacing w:line="400" w:lineRule="exact"/>
              <w:ind w:left="1080" w:leftChars="257" w:hanging="540"/>
              <w:rPr>
                <w:rFonts w:ascii="微软雅黑" w:hAnsi="微软雅黑" w:eastAsia="微软雅黑" w:cs="微软雅黑"/>
                <w:color w:val="auto"/>
                <w:sz w:val="24"/>
                <w:szCs w:val="24"/>
              </w:rPr>
            </w:pPr>
          </w:p>
        </w:tc>
      </w:tr>
      <w:tr w14:paraId="4A71FB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19BAE0BF">
            <w:pPr>
              <w:pStyle w:val="16"/>
              <w:spacing w:line="400" w:lineRule="exact"/>
              <w:ind w:left="1080" w:leftChars="257" w:hanging="540"/>
              <w:rPr>
                <w:rFonts w:ascii="微软雅黑" w:hAnsi="微软雅黑" w:eastAsia="微软雅黑" w:cs="微软雅黑"/>
                <w:color w:val="auto"/>
                <w:sz w:val="24"/>
                <w:szCs w:val="24"/>
              </w:rPr>
            </w:pPr>
          </w:p>
        </w:tc>
        <w:tc>
          <w:tcPr>
            <w:tcW w:w="2040" w:type="dxa"/>
          </w:tcPr>
          <w:p w14:paraId="2F837136">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50C134B7">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59F8B23C">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435BBF42">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1A3D9EE9">
            <w:pPr>
              <w:pStyle w:val="16"/>
              <w:spacing w:line="400" w:lineRule="exact"/>
              <w:ind w:left="1080" w:leftChars="257" w:hanging="540"/>
              <w:rPr>
                <w:rFonts w:ascii="微软雅黑" w:hAnsi="微软雅黑" w:eastAsia="微软雅黑" w:cs="微软雅黑"/>
                <w:color w:val="auto"/>
                <w:sz w:val="24"/>
                <w:szCs w:val="24"/>
              </w:rPr>
            </w:pPr>
          </w:p>
        </w:tc>
      </w:tr>
      <w:tr w14:paraId="169355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6B71B583">
            <w:pPr>
              <w:pStyle w:val="16"/>
              <w:spacing w:line="400" w:lineRule="exact"/>
              <w:ind w:left="1080" w:leftChars="257" w:hanging="540"/>
              <w:rPr>
                <w:rFonts w:ascii="微软雅黑" w:hAnsi="微软雅黑" w:eastAsia="微软雅黑" w:cs="微软雅黑"/>
                <w:color w:val="auto"/>
                <w:sz w:val="24"/>
                <w:szCs w:val="24"/>
              </w:rPr>
            </w:pPr>
          </w:p>
        </w:tc>
        <w:tc>
          <w:tcPr>
            <w:tcW w:w="2040" w:type="dxa"/>
          </w:tcPr>
          <w:p w14:paraId="63D3094A">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41EB59D6">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4A281601">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5CE17A9C">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028415D7">
            <w:pPr>
              <w:pStyle w:val="16"/>
              <w:spacing w:line="400" w:lineRule="exact"/>
              <w:ind w:left="1080" w:leftChars="257" w:hanging="540"/>
              <w:rPr>
                <w:rFonts w:ascii="微软雅黑" w:hAnsi="微软雅黑" w:eastAsia="微软雅黑" w:cs="微软雅黑"/>
                <w:color w:val="auto"/>
                <w:sz w:val="24"/>
                <w:szCs w:val="24"/>
              </w:rPr>
            </w:pPr>
          </w:p>
        </w:tc>
      </w:tr>
      <w:tr w14:paraId="20F454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12FD8D73">
            <w:pPr>
              <w:pStyle w:val="16"/>
              <w:spacing w:line="400" w:lineRule="exact"/>
              <w:ind w:left="1080" w:leftChars="257" w:hanging="540"/>
              <w:rPr>
                <w:rFonts w:ascii="微软雅黑" w:hAnsi="微软雅黑" w:eastAsia="微软雅黑" w:cs="微软雅黑"/>
                <w:color w:val="auto"/>
                <w:sz w:val="24"/>
                <w:szCs w:val="24"/>
              </w:rPr>
            </w:pPr>
          </w:p>
        </w:tc>
        <w:tc>
          <w:tcPr>
            <w:tcW w:w="2040" w:type="dxa"/>
          </w:tcPr>
          <w:p w14:paraId="56911FDB">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57F28C4F">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5BC751B1">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6C8C5829">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6C215146">
            <w:pPr>
              <w:pStyle w:val="16"/>
              <w:spacing w:line="400" w:lineRule="exact"/>
              <w:ind w:left="1080" w:leftChars="257" w:hanging="540"/>
              <w:rPr>
                <w:rFonts w:ascii="微软雅黑" w:hAnsi="微软雅黑" w:eastAsia="微软雅黑" w:cs="微软雅黑"/>
                <w:color w:val="auto"/>
                <w:sz w:val="24"/>
                <w:szCs w:val="24"/>
              </w:rPr>
            </w:pPr>
          </w:p>
        </w:tc>
      </w:tr>
      <w:tr w14:paraId="0F282A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52949576">
            <w:pPr>
              <w:pStyle w:val="16"/>
              <w:spacing w:line="400" w:lineRule="exact"/>
              <w:ind w:left="1080" w:leftChars="257" w:hanging="540"/>
              <w:rPr>
                <w:rFonts w:ascii="微软雅黑" w:hAnsi="微软雅黑" w:eastAsia="微软雅黑" w:cs="微软雅黑"/>
                <w:color w:val="auto"/>
                <w:sz w:val="24"/>
                <w:szCs w:val="24"/>
              </w:rPr>
            </w:pPr>
          </w:p>
        </w:tc>
        <w:tc>
          <w:tcPr>
            <w:tcW w:w="2040" w:type="dxa"/>
          </w:tcPr>
          <w:p w14:paraId="3EB36F66">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709B6761">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3BA9849F">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70933BA9">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20B2AA5D">
            <w:pPr>
              <w:pStyle w:val="16"/>
              <w:spacing w:line="400" w:lineRule="exact"/>
              <w:ind w:left="1080" w:leftChars="257" w:hanging="540"/>
              <w:rPr>
                <w:rFonts w:ascii="微软雅黑" w:hAnsi="微软雅黑" w:eastAsia="微软雅黑" w:cs="微软雅黑"/>
                <w:color w:val="auto"/>
                <w:sz w:val="24"/>
                <w:szCs w:val="24"/>
              </w:rPr>
            </w:pPr>
          </w:p>
        </w:tc>
      </w:tr>
    </w:tbl>
    <w:p w14:paraId="1E5E6D3C">
      <w:pPr>
        <w:pStyle w:val="16"/>
        <w:spacing w:line="400" w:lineRule="exact"/>
        <w:ind w:left="1080" w:leftChars="257" w:hanging="540"/>
        <w:rPr>
          <w:rFonts w:ascii="微软雅黑" w:hAnsi="微软雅黑" w:eastAsia="微软雅黑" w:cs="微软雅黑"/>
          <w:color w:val="auto"/>
          <w:sz w:val="24"/>
          <w:szCs w:val="24"/>
        </w:rPr>
      </w:pPr>
    </w:p>
    <w:p w14:paraId="2ECE8358">
      <w:pPr>
        <w:pStyle w:val="16"/>
        <w:spacing w:line="400" w:lineRule="exact"/>
        <w:ind w:left="1080" w:leftChars="257" w:hanging="540"/>
        <w:rPr>
          <w:rFonts w:ascii="微软雅黑" w:hAnsi="微软雅黑" w:eastAsia="微软雅黑" w:cs="微软雅黑"/>
          <w:color w:val="auto"/>
          <w:sz w:val="24"/>
          <w:szCs w:val="24"/>
        </w:rPr>
      </w:pPr>
    </w:p>
    <w:p w14:paraId="576578E3">
      <w:pPr>
        <w:pStyle w:val="16"/>
        <w:spacing w:line="400" w:lineRule="exact"/>
        <w:ind w:left="1080" w:leftChars="257" w:hanging="540"/>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法定代表人或其委托代理人（签/章）:</w:t>
      </w:r>
    </w:p>
    <w:p w14:paraId="1E5740E8">
      <w:pPr>
        <w:pStyle w:val="16"/>
        <w:tabs>
          <w:tab w:val="left" w:pos="5370"/>
        </w:tabs>
        <w:spacing w:line="400" w:lineRule="exact"/>
        <w:ind w:left="1080" w:leftChars="257" w:hanging="540"/>
        <w:rPr>
          <w:rFonts w:ascii="微软雅黑" w:hAnsi="微软雅黑" w:eastAsia="微软雅黑" w:cs="微软雅黑"/>
          <w:color w:val="auto"/>
          <w:sz w:val="24"/>
          <w:szCs w:val="24"/>
          <w:u w:val="single"/>
        </w:rPr>
      </w:pPr>
      <w:r>
        <w:rPr>
          <w:rFonts w:hint="eastAsia" w:ascii="微软雅黑" w:hAnsi="微软雅黑" w:eastAsia="微软雅黑" w:cs="微软雅黑"/>
          <w:color w:val="auto"/>
          <w:sz w:val="24"/>
          <w:szCs w:val="24"/>
        </w:rPr>
        <w:t>供应商(公章):</w:t>
      </w:r>
    </w:p>
    <w:p w14:paraId="35B2BFC8">
      <w:pPr>
        <w:pStyle w:val="16"/>
        <w:tabs>
          <w:tab w:val="left" w:pos="5370"/>
        </w:tabs>
        <w:spacing w:line="400" w:lineRule="exact"/>
        <w:ind w:left="1080" w:leftChars="257" w:hanging="540"/>
        <w:rPr>
          <w:rFonts w:ascii="微软雅黑" w:hAnsi="微软雅黑" w:eastAsia="微软雅黑" w:cs="微软雅黑"/>
          <w:color w:val="auto"/>
          <w:sz w:val="24"/>
          <w:szCs w:val="24"/>
          <w:u w:val="single"/>
        </w:rPr>
      </w:pPr>
    </w:p>
    <w:p w14:paraId="56C37041">
      <w:pPr>
        <w:pStyle w:val="16"/>
        <w:spacing w:line="360" w:lineRule="exact"/>
        <w:rPr>
          <w:rFonts w:ascii="微软雅黑" w:hAnsi="微软雅黑" w:eastAsia="微软雅黑" w:cs="微软雅黑"/>
          <w:color w:val="auto"/>
          <w:sz w:val="24"/>
          <w:u w:val="single"/>
        </w:rPr>
      </w:pPr>
    </w:p>
    <w:p w14:paraId="64B88B8C">
      <w:pPr>
        <w:pStyle w:val="17"/>
        <w:rPr>
          <w:rFonts w:ascii="微软雅黑" w:hAnsi="微软雅黑" w:eastAsia="微软雅黑" w:cs="微软雅黑"/>
          <w:color w:val="auto"/>
          <w:sz w:val="24"/>
          <w:u w:val="single"/>
        </w:rPr>
      </w:pPr>
    </w:p>
    <w:p w14:paraId="18CC5587">
      <w:pPr>
        <w:outlineLvl w:val="9"/>
        <w:rPr>
          <w:rFonts w:ascii="微软雅黑" w:hAnsi="微软雅黑" w:eastAsia="微软雅黑" w:cs="微软雅黑"/>
          <w:color w:val="auto"/>
          <w:sz w:val="24"/>
          <w:u w:val="single"/>
        </w:rPr>
      </w:pPr>
    </w:p>
    <w:p w14:paraId="67D1B8F6">
      <w:pPr>
        <w:outlineLvl w:val="9"/>
      </w:pPr>
    </w:p>
    <w:p w14:paraId="65E19F29">
      <w:pPr>
        <w:pStyle w:val="17"/>
        <w:rPr>
          <w:rFonts w:ascii="微软雅黑" w:hAnsi="微软雅黑" w:eastAsia="微软雅黑" w:cs="微软雅黑"/>
          <w:color w:val="auto"/>
          <w:sz w:val="24"/>
          <w:u w:val="single"/>
        </w:rPr>
      </w:pPr>
    </w:p>
    <w:p w14:paraId="7FA02CE0"/>
    <w:p w14:paraId="151BC71F">
      <w:pPr>
        <w:spacing w:before="0" w:line="240" w:lineRule="atLeast"/>
        <w:outlineLvl w:val="9"/>
        <w:rPr>
          <w:rFonts w:hint="eastAsia" w:ascii="微软雅黑" w:hAnsi="微软雅黑" w:eastAsia="微软雅黑" w:cs="微软雅黑"/>
          <w:b/>
          <w:bCs w:val="0"/>
          <w:color w:val="auto"/>
          <w:kern w:val="0"/>
          <w:sz w:val="24"/>
          <w:szCs w:val="24"/>
          <w:lang w:val="en-US" w:eastAsia="zh-CN" w:bidi="ar-SA"/>
        </w:rPr>
      </w:pPr>
    </w:p>
    <w:p w14:paraId="57897D99">
      <w:pPr>
        <w:spacing w:before="0" w:line="240" w:lineRule="atLeast"/>
        <w:outlineLvl w:val="1"/>
        <w:rPr>
          <w:rStyle w:val="89"/>
          <w:rFonts w:ascii="微软雅黑" w:hAnsi="微软雅黑" w:eastAsia="微软雅黑" w:cs="微软雅黑"/>
          <w:b/>
          <w:bCs w:val="0"/>
          <w:color w:val="auto"/>
          <w:sz w:val="24"/>
        </w:rPr>
      </w:pPr>
      <w:bookmarkStart w:id="541" w:name="_Toc7348"/>
      <w:r>
        <w:rPr>
          <w:rStyle w:val="89"/>
          <w:rFonts w:hint="eastAsia" w:ascii="微软雅黑" w:hAnsi="微软雅黑" w:eastAsia="微软雅黑" w:cs="微软雅黑"/>
          <w:b/>
          <w:bCs w:val="0"/>
          <w:color w:val="auto"/>
          <w:sz w:val="24"/>
          <w:lang w:val="en-US"/>
        </w:rPr>
        <w:t>5、</w:t>
      </w:r>
      <w:r>
        <w:rPr>
          <w:rStyle w:val="89"/>
          <w:rFonts w:hint="eastAsia" w:ascii="微软雅黑" w:hAnsi="微软雅黑" w:eastAsia="微软雅黑" w:cs="微软雅黑"/>
          <w:b/>
          <w:bCs w:val="0"/>
          <w:color w:val="auto"/>
          <w:sz w:val="24"/>
        </w:rPr>
        <w:t>中小企业声明函（服务）</w:t>
      </w:r>
      <w:bookmarkEnd w:id="541"/>
    </w:p>
    <w:p w14:paraId="0ABAE2CE">
      <w:pPr>
        <w:widowControl/>
        <w:spacing w:before="100" w:beforeAutospacing="1" w:after="100" w:afterAutospacing="1" w:line="330" w:lineRule="atLeast"/>
        <w:ind w:firstLine="420" w:firstLineChars="200"/>
        <w:jc w:val="lef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本公司（联合体）郑重声明，根据《政府采购促进中小企业发展管理办法》（财库﹝2020﹞46 号）的规定，本公司（联合体）参加</w:t>
      </w:r>
      <w:r>
        <w:rPr>
          <w:rFonts w:hint="eastAsia" w:ascii="微软雅黑" w:hAnsi="微软雅黑" w:eastAsia="微软雅黑" w:cs="微软雅黑"/>
          <w:i/>
          <w:iCs/>
          <w:color w:val="auto"/>
          <w:kern w:val="0"/>
          <w:szCs w:val="21"/>
          <w:u w:val="single"/>
        </w:rPr>
        <w:t>（单位名称  ）</w:t>
      </w:r>
      <w:r>
        <w:rPr>
          <w:rFonts w:hint="eastAsia" w:ascii="微软雅黑" w:hAnsi="微软雅黑" w:eastAsia="微软雅黑" w:cs="微软雅黑"/>
          <w:color w:val="auto"/>
          <w:kern w:val="0"/>
          <w:szCs w:val="21"/>
        </w:rPr>
        <w:t>的</w:t>
      </w:r>
      <w:r>
        <w:rPr>
          <w:rFonts w:hint="eastAsia" w:ascii="微软雅黑" w:hAnsi="微软雅黑" w:eastAsia="微软雅黑" w:cs="微软雅黑"/>
          <w:color w:val="auto"/>
          <w:kern w:val="0"/>
          <w:szCs w:val="21"/>
          <w:u w:val="single"/>
        </w:rPr>
        <w:t xml:space="preserve">  </w:t>
      </w:r>
      <w:r>
        <w:rPr>
          <w:rFonts w:hint="eastAsia" w:ascii="微软雅黑" w:hAnsi="微软雅黑" w:eastAsia="微软雅黑" w:cs="微软雅黑"/>
          <w:i/>
          <w:iCs/>
          <w:color w:val="auto"/>
          <w:kern w:val="0"/>
          <w:szCs w:val="21"/>
          <w:u w:val="single"/>
        </w:rPr>
        <w:t>（项目名称）</w:t>
      </w:r>
      <w:r>
        <w:rPr>
          <w:rFonts w:hint="eastAsia" w:ascii="微软雅黑" w:hAnsi="微软雅黑" w:eastAsia="微软雅黑" w:cs="微软雅黑"/>
          <w:color w:val="auto"/>
          <w:kern w:val="0"/>
          <w:szCs w:val="21"/>
        </w:rPr>
        <w:t>采购活动，服务全部由符合政策要求的中小企业承接。相关企业（含联合 体中的中小企业、签订分包意向协议的中小企业）的具体情况如下：</w:t>
      </w:r>
    </w:p>
    <w:p w14:paraId="4C34C2A6">
      <w:pPr>
        <w:pStyle w:val="86"/>
        <w:tabs>
          <w:tab w:val="left" w:pos="1243"/>
        </w:tabs>
        <w:spacing w:line="402" w:lineRule="exac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1.</w:t>
      </w:r>
      <w:r>
        <w:rPr>
          <w:rFonts w:hint="eastAsia" w:ascii="微软雅黑" w:hAnsi="微软雅黑" w:eastAsia="微软雅黑" w:cs="微软雅黑"/>
          <w:i/>
          <w:iCs/>
          <w:color w:val="auto"/>
          <w:kern w:val="0"/>
          <w:szCs w:val="21"/>
          <w:u w:val="single"/>
        </w:rPr>
        <w:t>（</w:t>
      </w:r>
      <w:r>
        <w:rPr>
          <w:rFonts w:hint="eastAsia" w:ascii="微软雅黑" w:hAnsi="微软雅黑" w:eastAsia="微软雅黑" w:cs="微软雅黑"/>
          <w:i/>
          <w:iCs/>
          <w:color w:val="auto"/>
          <w:kern w:val="0"/>
          <w:szCs w:val="21"/>
          <w:u w:val="single"/>
          <w:lang w:eastAsia="zh-CN"/>
        </w:rPr>
        <w:t>标的名称</w:t>
      </w:r>
      <w:r>
        <w:rPr>
          <w:rFonts w:hint="eastAsia" w:ascii="微软雅黑" w:hAnsi="微软雅黑" w:eastAsia="微软雅黑" w:cs="微软雅黑"/>
          <w:i/>
          <w:iCs/>
          <w:color w:val="auto"/>
          <w:kern w:val="0"/>
          <w:szCs w:val="21"/>
          <w:u w:val="single"/>
        </w:rPr>
        <w:t>）</w:t>
      </w:r>
      <w:r>
        <w:rPr>
          <w:rFonts w:hint="eastAsia" w:ascii="微软雅黑" w:hAnsi="微软雅黑" w:eastAsia="微软雅黑" w:cs="微软雅黑"/>
          <w:color w:val="auto"/>
          <w:kern w:val="0"/>
          <w:szCs w:val="21"/>
        </w:rPr>
        <w:t>，属于</w:t>
      </w:r>
      <w:r>
        <w:rPr>
          <w:rFonts w:hint="eastAsia" w:ascii="微软雅黑" w:hAnsi="微软雅黑" w:eastAsia="微软雅黑" w:cs="微软雅黑"/>
          <w:i/>
          <w:iCs/>
          <w:color w:val="auto"/>
          <w:kern w:val="0"/>
          <w:szCs w:val="21"/>
          <w:u w:val="single"/>
        </w:rPr>
        <w:t>（采购文件中明确的所属行业）</w:t>
      </w:r>
      <w:r>
        <w:rPr>
          <w:rFonts w:hint="eastAsia" w:ascii="微软雅黑" w:hAnsi="微软雅黑" w:eastAsia="微软雅黑" w:cs="微软雅黑"/>
          <w:color w:val="auto"/>
          <w:kern w:val="0"/>
          <w:szCs w:val="21"/>
        </w:rPr>
        <w:t xml:space="preserve">；承接企业为 </w:t>
      </w:r>
      <w:r>
        <w:rPr>
          <w:rFonts w:hint="eastAsia" w:ascii="微软雅黑" w:hAnsi="微软雅黑" w:eastAsia="微软雅黑" w:cs="微软雅黑"/>
          <w:i/>
          <w:iCs/>
          <w:color w:val="auto"/>
          <w:kern w:val="0"/>
          <w:szCs w:val="21"/>
          <w:u w:val="single"/>
        </w:rPr>
        <w:t xml:space="preserve">  （企业名称） </w:t>
      </w:r>
      <w:r>
        <w:rPr>
          <w:rFonts w:hint="eastAsia" w:ascii="微软雅黑" w:hAnsi="微软雅黑" w:eastAsia="微软雅黑" w:cs="微软雅黑"/>
          <w:color w:val="auto"/>
          <w:kern w:val="0"/>
          <w:szCs w:val="21"/>
          <w:u w:val="single"/>
        </w:rPr>
        <w:t xml:space="preserve"> </w:t>
      </w:r>
      <w:r>
        <w:rPr>
          <w:rFonts w:hint="eastAsia" w:ascii="微软雅黑" w:hAnsi="微软雅黑" w:eastAsia="微软雅黑" w:cs="微软雅黑"/>
          <w:color w:val="auto"/>
          <w:kern w:val="0"/>
          <w:szCs w:val="21"/>
        </w:rPr>
        <w:t>，从业人员</w:t>
      </w:r>
      <w:r>
        <w:rPr>
          <w:rFonts w:hint="eastAsia" w:ascii="微软雅黑" w:hAnsi="微软雅黑" w:eastAsia="微软雅黑" w:cs="微软雅黑"/>
          <w:color w:val="auto"/>
          <w:kern w:val="0"/>
          <w:szCs w:val="21"/>
          <w:u w:val="single"/>
        </w:rPr>
        <w:t xml:space="preserve">     </w:t>
      </w:r>
      <w:r>
        <w:rPr>
          <w:rFonts w:hint="eastAsia" w:ascii="微软雅黑" w:hAnsi="微软雅黑" w:eastAsia="微软雅黑" w:cs="微软雅黑"/>
          <w:color w:val="auto"/>
          <w:kern w:val="0"/>
          <w:szCs w:val="21"/>
          <w:u w:val="single"/>
        </w:rPr>
        <w:tab/>
      </w:r>
      <w:r>
        <w:rPr>
          <w:rFonts w:hint="eastAsia" w:ascii="微软雅黑" w:hAnsi="微软雅黑" w:eastAsia="微软雅黑" w:cs="微软雅黑"/>
          <w:color w:val="auto"/>
          <w:kern w:val="0"/>
          <w:szCs w:val="21"/>
        </w:rPr>
        <w:t>人，营业收入为</w:t>
      </w:r>
      <w:r>
        <w:rPr>
          <w:rFonts w:hint="eastAsia" w:ascii="微软雅黑" w:hAnsi="微软雅黑" w:eastAsia="微软雅黑" w:cs="微软雅黑"/>
          <w:color w:val="auto"/>
          <w:kern w:val="0"/>
          <w:szCs w:val="21"/>
          <w:u w:val="single"/>
        </w:rPr>
        <w:t xml:space="preserve"> </w:t>
      </w:r>
      <w:r>
        <w:rPr>
          <w:rFonts w:hint="eastAsia" w:ascii="微软雅黑" w:hAnsi="微软雅黑" w:eastAsia="微软雅黑" w:cs="微软雅黑"/>
          <w:color w:val="auto"/>
          <w:kern w:val="0"/>
          <w:szCs w:val="21"/>
          <w:u w:val="single"/>
        </w:rPr>
        <w:tab/>
      </w:r>
      <w:r>
        <w:rPr>
          <w:rFonts w:hint="eastAsia" w:ascii="微软雅黑" w:hAnsi="微软雅黑" w:eastAsia="微软雅黑" w:cs="微软雅黑"/>
          <w:color w:val="auto"/>
          <w:kern w:val="0"/>
          <w:szCs w:val="21"/>
          <w:u w:val="single"/>
        </w:rPr>
        <w:t xml:space="preserve">        </w:t>
      </w:r>
      <w:r>
        <w:rPr>
          <w:rFonts w:hint="eastAsia" w:ascii="微软雅黑" w:hAnsi="微软雅黑" w:eastAsia="微软雅黑" w:cs="微软雅黑"/>
          <w:color w:val="auto"/>
          <w:kern w:val="0"/>
          <w:szCs w:val="21"/>
        </w:rPr>
        <w:t>万元，资产总额为</w:t>
      </w:r>
      <w:r>
        <w:rPr>
          <w:rFonts w:hint="eastAsia" w:ascii="微软雅黑" w:hAnsi="微软雅黑" w:eastAsia="微软雅黑" w:cs="微软雅黑"/>
          <w:color w:val="auto"/>
          <w:kern w:val="0"/>
          <w:szCs w:val="21"/>
          <w:u w:val="single"/>
        </w:rPr>
        <w:t xml:space="preserve">    </w:t>
      </w:r>
      <w:r>
        <w:rPr>
          <w:rFonts w:hint="eastAsia" w:ascii="微软雅黑" w:hAnsi="微软雅黑" w:eastAsia="微软雅黑" w:cs="微软雅黑"/>
          <w:color w:val="auto"/>
          <w:kern w:val="0"/>
          <w:szCs w:val="21"/>
          <w:u w:val="single"/>
        </w:rPr>
        <w:tab/>
      </w:r>
      <w:r>
        <w:rPr>
          <w:rFonts w:hint="eastAsia" w:ascii="微软雅黑" w:hAnsi="微软雅黑" w:eastAsia="微软雅黑" w:cs="微软雅黑"/>
          <w:color w:val="auto"/>
          <w:kern w:val="0"/>
          <w:szCs w:val="21"/>
        </w:rPr>
        <w:t>万元，属于</w:t>
      </w:r>
      <w:r>
        <w:rPr>
          <w:rFonts w:hint="eastAsia" w:ascii="微软雅黑" w:hAnsi="微软雅黑" w:eastAsia="微软雅黑" w:cs="微软雅黑"/>
          <w:i/>
          <w:iCs/>
          <w:color w:val="auto"/>
          <w:kern w:val="0"/>
          <w:szCs w:val="21"/>
          <w:u w:val="single"/>
        </w:rPr>
        <w:t>（中型企业、小型企业、微型企业）</w:t>
      </w:r>
      <w:r>
        <w:rPr>
          <w:rFonts w:hint="eastAsia" w:ascii="微软雅黑" w:hAnsi="微软雅黑" w:eastAsia="微软雅黑" w:cs="微软雅黑"/>
          <w:color w:val="auto"/>
          <w:kern w:val="0"/>
          <w:szCs w:val="21"/>
        </w:rPr>
        <w:t>；</w:t>
      </w:r>
    </w:p>
    <w:p w14:paraId="4AA4B681">
      <w:pPr>
        <w:pStyle w:val="86"/>
        <w:tabs>
          <w:tab w:val="left" w:pos="1243"/>
        </w:tabs>
        <w:spacing w:line="402" w:lineRule="exact"/>
        <w:rPr>
          <w:rFonts w:ascii="微软雅黑" w:hAnsi="微软雅黑" w:eastAsia="微软雅黑" w:cs="微软雅黑"/>
          <w:color w:val="auto"/>
          <w:kern w:val="0"/>
          <w:szCs w:val="21"/>
          <w:u w:val="single"/>
        </w:rPr>
      </w:pPr>
      <w:r>
        <w:rPr>
          <w:rFonts w:hint="eastAsia" w:ascii="微软雅黑" w:hAnsi="微软雅黑" w:eastAsia="微软雅黑" w:cs="微软雅黑"/>
          <w:color w:val="auto"/>
          <w:kern w:val="0"/>
          <w:szCs w:val="21"/>
        </w:rPr>
        <w:t>2.</w:t>
      </w:r>
      <w:r>
        <w:rPr>
          <w:rFonts w:hint="eastAsia" w:ascii="微软雅黑" w:hAnsi="微软雅黑" w:eastAsia="微软雅黑" w:cs="微软雅黑"/>
          <w:i/>
          <w:iCs/>
          <w:color w:val="auto"/>
          <w:kern w:val="0"/>
          <w:szCs w:val="21"/>
          <w:u w:val="single"/>
        </w:rPr>
        <w:t>（</w:t>
      </w:r>
      <w:r>
        <w:rPr>
          <w:rFonts w:hint="eastAsia" w:ascii="微软雅黑" w:hAnsi="微软雅黑" w:eastAsia="微软雅黑" w:cs="微软雅黑"/>
          <w:i/>
          <w:iCs/>
          <w:color w:val="auto"/>
          <w:kern w:val="0"/>
          <w:szCs w:val="21"/>
          <w:u w:val="single"/>
          <w:lang w:eastAsia="zh-CN"/>
        </w:rPr>
        <w:t>标的名称</w:t>
      </w:r>
      <w:r>
        <w:rPr>
          <w:rFonts w:hint="eastAsia" w:ascii="微软雅黑" w:hAnsi="微软雅黑" w:eastAsia="微软雅黑" w:cs="微软雅黑"/>
          <w:i/>
          <w:iCs/>
          <w:color w:val="auto"/>
          <w:kern w:val="0"/>
          <w:szCs w:val="21"/>
          <w:u w:val="single"/>
        </w:rPr>
        <w:t>）</w:t>
      </w:r>
      <w:r>
        <w:rPr>
          <w:rFonts w:hint="eastAsia" w:ascii="微软雅黑" w:hAnsi="微软雅黑" w:eastAsia="微软雅黑" w:cs="微软雅黑"/>
          <w:color w:val="auto"/>
          <w:kern w:val="0"/>
          <w:szCs w:val="21"/>
          <w:u w:val="single"/>
        </w:rPr>
        <w:t>，</w:t>
      </w:r>
      <w:r>
        <w:rPr>
          <w:rFonts w:hint="eastAsia" w:ascii="微软雅黑" w:hAnsi="微软雅黑" w:eastAsia="微软雅黑" w:cs="微软雅黑"/>
          <w:color w:val="auto"/>
          <w:kern w:val="0"/>
          <w:szCs w:val="21"/>
        </w:rPr>
        <w:t>属于</w:t>
      </w:r>
      <w:r>
        <w:rPr>
          <w:rFonts w:hint="eastAsia" w:ascii="微软雅黑" w:hAnsi="微软雅黑" w:eastAsia="微软雅黑" w:cs="微软雅黑"/>
          <w:i/>
          <w:iCs/>
          <w:color w:val="auto"/>
          <w:kern w:val="0"/>
          <w:szCs w:val="21"/>
          <w:u w:val="single"/>
        </w:rPr>
        <w:t>（采购文件中明确的所属行业）</w:t>
      </w:r>
      <w:r>
        <w:rPr>
          <w:rFonts w:hint="eastAsia" w:ascii="微软雅黑" w:hAnsi="微软雅黑" w:eastAsia="微软雅黑" w:cs="微软雅黑"/>
          <w:color w:val="auto"/>
          <w:kern w:val="0"/>
          <w:szCs w:val="21"/>
        </w:rPr>
        <w:t>；承接企业为</w:t>
      </w:r>
      <w:r>
        <w:rPr>
          <w:rFonts w:hint="eastAsia" w:ascii="微软雅黑" w:hAnsi="微软雅黑" w:eastAsia="微软雅黑" w:cs="微软雅黑"/>
          <w:i/>
          <w:iCs/>
          <w:color w:val="auto"/>
          <w:kern w:val="0"/>
          <w:szCs w:val="21"/>
          <w:u w:val="single"/>
        </w:rPr>
        <w:t>（企业名称）</w:t>
      </w:r>
      <w:r>
        <w:rPr>
          <w:rFonts w:hint="eastAsia" w:ascii="微软雅黑" w:hAnsi="微软雅黑" w:eastAsia="微软雅黑" w:cs="微软雅黑"/>
          <w:color w:val="auto"/>
          <w:kern w:val="0"/>
          <w:szCs w:val="21"/>
        </w:rPr>
        <w:t>，从业人员</w:t>
      </w:r>
      <w:r>
        <w:rPr>
          <w:rFonts w:hint="eastAsia" w:ascii="微软雅黑" w:hAnsi="微软雅黑" w:eastAsia="微软雅黑" w:cs="微软雅黑"/>
          <w:color w:val="auto"/>
          <w:kern w:val="0"/>
          <w:szCs w:val="21"/>
          <w:u w:val="single"/>
        </w:rPr>
        <w:t xml:space="preserve"> </w:t>
      </w:r>
      <w:r>
        <w:rPr>
          <w:rFonts w:hint="eastAsia" w:ascii="微软雅黑" w:hAnsi="微软雅黑" w:eastAsia="微软雅黑" w:cs="微软雅黑"/>
          <w:color w:val="auto"/>
          <w:kern w:val="0"/>
          <w:szCs w:val="21"/>
          <w:u w:val="single"/>
        </w:rPr>
        <w:tab/>
      </w:r>
      <w:r>
        <w:rPr>
          <w:rFonts w:hint="eastAsia" w:ascii="微软雅黑" w:hAnsi="微软雅黑" w:eastAsia="微软雅黑" w:cs="微软雅黑"/>
          <w:color w:val="auto"/>
          <w:kern w:val="0"/>
          <w:szCs w:val="21"/>
          <w:u w:val="single"/>
        </w:rPr>
        <w:t xml:space="preserve">   </w:t>
      </w:r>
      <w:r>
        <w:rPr>
          <w:rFonts w:hint="eastAsia" w:ascii="微软雅黑" w:hAnsi="微软雅黑" w:eastAsia="微软雅黑" w:cs="微软雅黑"/>
          <w:color w:val="auto"/>
          <w:kern w:val="0"/>
          <w:szCs w:val="21"/>
        </w:rPr>
        <w:t>人，营业收入为</w:t>
      </w:r>
      <w:r>
        <w:rPr>
          <w:rFonts w:hint="eastAsia" w:ascii="微软雅黑" w:hAnsi="微软雅黑" w:eastAsia="微软雅黑" w:cs="微软雅黑"/>
          <w:color w:val="auto"/>
          <w:kern w:val="0"/>
          <w:szCs w:val="21"/>
          <w:u w:val="single"/>
        </w:rPr>
        <w:t xml:space="preserve"> </w:t>
      </w:r>
      <w:r>
        <w:rPr>
          <w:rFonts w:hint="eastAsia" w:ascii="微软雅黑" w:hAnsi="微软雅黑" w:eastAsia="微软雅黑" w:cs="微软雅黑"/>
          <w:color w:val="auto"/>
          <w:kern w:val="0"/>
          <w:szCs w:val="21"/>
          <w:u w:val="single"/>
        </w:rPr>
        <w:tab/>
      </w:r>
      <w:r>
        <w:rPr>
          <w:rFonts w:hint="eastAsia" w:ascii="微软雅黑" w:hAnsi="微软雅黑" w:eastAsia="微软雅黑" w:cs="微软雅黑"/>
          <w:color w:val="auto"/>
          <w:kern w:val="0"/>
          <w:szCs w:val="21"/>
          <w:u w:val="single"/>
        </w:rPr>
        <w:t xml:space="preserve">   </w:t>
      </w:r>
      <w:r>
        <w:rPr>
          <w:rFonts w:hint="eastAsia" w:ascii="微软雅黑" w:hAnsi="微软雅黑" w:eastAsia="微软雅黑" w:cs="微软雅黑"/>
          <w:color w:val="auto"/>
          <w:kern w:val="0"/>
          <w:szCs w:val="21"/>
        </w:rPr>
        <w:t>万元，资产总额为</w:t>
      </w:r>
      <w:r>
        <w:rPr>
          <w:rFonts w:hint="eastAsia" w:ascii="微软雅黑" w:hAnsi="微软雅黑" w:eastAsia="微软雅黑" w:cs="微软雅黑"/>
          <w:color w:val="auto"/>
          <w:kern w:val="0"/>
          <w:szCs w:val="21"/>
          <w:u w:val="single"/>
        </w:rPr>
        <w:t xml:space="preserve"> </w:t>
      </w:r>
      <w:r>
        <w:rPr>
          <w:rFonts w:hint="eastAsia" w:ascii="微软雅黑" w:hAnsi="微软雅黑" w:eastAsia="微软雅黑" w:cs="微软雅黑"/>
          <w:color w:val="auto"/>
          <w:kern w:val="0"/>
          <w:szCs w:val="21"/>
          <w:u w:val="single"/>
        </w:rPr>
        <w:tab/>
      </w:r>
      <w:r>
        <w:rPr>
          <w:rFonts w:hint="eastAsia" w:ascii="微软雅黑" w:hAnsi="微软雅黑" w:eastAsia="微软雅黑" w:cs="微软雅黑"/>
          <w:color w:val="auto"/>
          <w:kern w:val="0"/>
          <w:szCs w:val="21"/>
          <w:u w:val="single"/>
        </w:rPr>
        <w:t xml:space="preserve">  </w:t>
      </w:r>
      <w:r>
        <w:rPr>
          <w:rFonts w:hint="eastAsia" w:ascii="微软雅黑" w:hAnsi="微软雅黑" w:eastAsia="微软雅黑" w:cs="微软雅黑"/>
          <w:color w:val="auto"/>
          <w:kern w:val="0"/>
          <w:szCs w:val="21"/>
        </w:rPr>
        <w:t>万元，属于</w:t>
      </w:r>
      <w:r>
        <w:rPr>
          <w:rFonts w:hint="eastAsia" w:ascii="微软雅黑" w:hAnsi="微软雅黑" w:eastAsia="微软雅黑" w:cs="微软雅黑"/>
          <w:i/>
          <w:iCs/>
          <w:color w:val="auto"/>
          <w:kern w:val="0"/>
          <w:szCs w:val="21"/>
          <w:u w:val="single"/>
        </w:rPr>
        <w:t>（中型企业、小型企业、微型企业）</w:t>
      </w:r>
      <w:r>
        <w:rPr>
          <w:rFonts w:hint="eastAsia" w:ascii="微软雅黑" w:hAnsi="微软雅黑" w:eastAsia="微软雅黑" w:cs="微软雅黑"/>
          <w:color w:val="auto"/>
          <w:kern w:val="0"/>
          <w:szCs w:val="21"/>
        </w:rPr>
        <w:t>；</w:t>
      </w:r>
    </w:p>
    <w:p w14:paraId="631CA21B">
      <w:pPr>
        <w:pStyle w:val="11"/>
        <w:spacing w:before="11"/>
        <w:ind w:left="860"/>
        <w:rPr>
          <w:rFonts w:ascii="微软雅黑" w:hAnsi="微软雅黑" w:eastAsia="微软雅黑" w:cs="微软雅黑"/>
          <w:color w:val="auto"/>
          <w:kern w:val="0"/>
          <w:sz w:val="21"/>
          <w:szCs w:val="21"/>
        </w:rPr>
      </w:pPr>
      <w:r>
        <w:rPr>
          <w:rFonts w:hint="eastAsia" w:ascii="微软雅黑" w:hAnsi="微软雅黑" w:eastAsia="微软雅黑" w:cs="微软雅黑"/>
          <w:color w:val="auto"/>
          <w:kern w:val="0"/>
          <w:sz w:val="21"/>
          <w:szCs w:val="21"/>
        </w:rPr>
        <w:t>……</w:t>
      </w:r>
    </w:p>
    <w:p w14:paraId="71CE3495">
      <w:pPr>
        <w:pStyle w:val="11"/>
        <w:spacing w:before="108" w:line="304" w:lineRule="auto"/>
        <w:ind w:right="417" w:firstLine="420" w:firstLineChars="200"/>
        <w:rPr>
          <w:rFonts w:ascii="微软雅黑" w:hAnsi="微软雅黑" w:eastAsia="微软雅黑" w:cs="微软雅黑"/>
          <w:color w:val="auto"/>
          <w:kern w:val="0"/>
          <w:sz w:val="21"/>
          <w:szCs w:val="21"/>
        </w:rPr>
      </w:pPr>
      <w:r>
        <w:rPr>
          <w:rFonts w:hint="eastAsia" w:ascii="微软雅黑" w:hAnsi="微软雅黑" w:eastAsia="微软雅黑" w:cs="微软雅黑"/>
          <w:color w:val="auto"/>
          <w:kern w:val="0"/>
          <w:sz w:val="21"/>
          <w:szCs w:val="21"/>
        </w:rPr>
        <w:t>以上企业，不属于大企业的分支机构，不存在控股股东为大企业的情形，也不存在与大企业的负责人为同一人的情形。</w:t>
      </w:r>
    </w:p>
    <w:p w14:paraId="537A08A4">
      <w:pPr>
        <w:pStyle w:val="11"/>
        <w:spacing w:before="108" w:line="304" w:lineRule="auto"/>
        <w:ind w:right="417" w:firstLine="420" w:firstLineChars="200"/>
        <w:rPr>
          <w:rFonts w:ascii="微软雅黑" w:hAnsi="微软雅黑" w:eastAsia="微软雅黑" w:cs="微软雅黑"/>
          <w:color w:val="auto"/>
          <w:kern w:val="0"/>
          <w:sz w:val="21"/>
          <w:szCs w:val="21"/>
        </w:rPr>
      </w:pPr>
      <w:r>
        <w:rPr>
          <w:rFonts w:hint="eastAsia" w:ascii="微软雅黑" w:hAnsi="微软雅黑" w:eastAsia="微软雅黑" w:cs="微软雅黑"/>
          <w:color w:val="auto"/>
          <w:kern w:val="0"/>
          <w:sz w:val="21"/>
          <w:szCs w:val="21"/>
        </w:rPr>
        <w:t>本企业对上述声明内容的真实性负责。如有虚假，将依法承担相应责任。</w:t>
      </w:r>
    </w:p>
    <w:p w14:paraId="2CB94C62">
      <w:pPr>
        <w:pStyle w:val="86"/>
        <w:tabs>
          <w:tab w:val="left" w:pos="1243"/>
        </w:tabs>
        <w:spacing w:line="402" w:lineRule="exact"/>
        <w:ind w:left="420" w:leftChars="200" w:firstLine="0" w:firstLineChars="0"/>
        <w:rPr>
          <w:rFonts w:ascii="微软雅黑" w:hAnsi="微软雅黑" w:eastAsia="微软雅黑" w:cs="微软雅黑"/>
          <w:color w:val="auto"/>
          <w:kern w:val="0"/>
          <w:szCs w:val="21"/>
        </w:rPr>
      </w:pPr>
    </w:p>
    <w:p w14:paraId="5F4D62DA">
      <w:pPr>
        <w:pStyle w:val="86"/>
        <w:tabs>
          <w:tab w:val="left" w:pos="1243"/>
        </w:tabs>
        <w:spacing w:line="402" w:lineRule="exact"/>
        <w:ind w:left="420" w:leftChars="200" w:firstLine="0" w:firstLineChars="0"/>
        <w:rPr>
          <w:rFonts w:ascii="微软雅黑" w:hAnsi="微软雅黑" w:eastAsia="微软雅黑" w:cs="微软雅黑"/>
          <w:color w:val="auto"/>
          <w:kern w:val="0"/>
          <w:szCs w:val="21"/>
        </w:rPr>
      </w:pPr>
    </w:p>
    <w:p w14:paraId="24C6A3E4">
      <w:pPr>
        <w:pStyle w:val="86"/>
        <w:tabs>
          <w:tab w:val="left" w:pos="1243"/>
        </w:tabs>
        <w:spacing w:line="402" w:lineRule="exact"/>
        <w:ind w:left="420" w:leftChars="200" w:firstLine="0" w:firstLineChars="0"/>
        <w:rPr>
          <w:rFonts w:ascii="微软雅黑" w:hAnsi="微软雅黑" w:eastAsia="微软雅黑" w:cs="微软雅黑"/>
          <w:color w:val="auto"/>
          <w:kern w:val="0"/>
          <w:szCs w:val="21"/>
        </w:rPr>
      </w:pPr>
    </w:p>
    <w:p w14:paraId="3B58A169">
      <w:pPr>
        <w:pStyle w:val="86"/>
        <w:tabs>
          <w:tab w:val="left" w:pos="1243"/>
        </w:tabs>
        <w:spacing w:line="402" w:lineRule="exact"/>
        <w:ind w:left="420" w:leftChars="200" w:firstLine="0" w:firstLineChars="0"/>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供应商名称（盖章）：</w:t>
      </w:r>
    </w:p>
    <w:p w14:paraId="162F1D55">
      <w:pPr>
        <w:pStyle w:val="86"/>
        <w:tabs>
          <w:tab w:val="left" w:pos="1243"/>
        </w:tabs>
        <w:spacing w:line="402" w:lineRule="exact"/>
        <w:ind w:left="420" w:leftChars="200" w:firstLine="0" w:firstLineChars="0"/>
        <w:rPr>
          <w:rFonts w:ascii="微软雅黑" w:hAnsi="微软雅黑" w:eastAsia="微软雅黑" w:cs="微软雅黑"/>
          <w:color w:val="auto"/>
          <w:kern w:val="0"/>
          <w:szCs w:val="21"/>
        </w:rPr>
      </w:pPr>
    </w:p>
    <w:p w14:paraId="13FB182F">
      <w:pPr>
        <w:pStyle w:val="86"/>
        <w:tabs>
          <w:tab w:val="left" w:pos="1243"/>
        </w:tabs>
        <w:spacing w:line="402" w:lineRule="exact"/>
        <w:ind w:left="420" w:leftChars="200" w:firstLine="0" w:firstLineChars="0"/>
        <w:rPr>
          <w:rFonts w:ascii="微软雅黑" w:hAnsi="微软雅黑" w:eastAsia="微软雅黑" w:cs="微软雅黑"/>
          <w:color w:val="auto"/>
          <w:kern w:val="0"/>
          <w:szCs w:val="21"/>
        </w:rPr>
      </w:pPr>
    </w:p>
    <w:p w14:paraId="29630564">
      <w:pPr>
        <w:pStyle w:val="86"/>
        <w:tabs>
          <w:tab w:val="left" w:pos="1243"/>
        </w:tabs>
        <w:spacing w:line="402" w:lineRule="exact"/>
        <w:ind w:left="420" w:leftChars="200" w:firstLine="0" w:firstLineChars="0"/>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日期：</w:t>
      </w:r>
    </w:p>
    <w:p w14:paraId="312597AD">
      <w:pPr>
        <w:pStyle w:val="86"/>
        <w:tabs>
          <w:tab w:val="left" w:pos="1243"/>
        </w:tabs>
        <w:spacing w:line="402" w:lineRule="exact"/>
        <w:ind w:left="420" w:leftChars="200" w:firstLine="0" w:firstLineChars="0"/>
        <w:rPr>
          <w:rFonts w:ascii="微软雅黑" w:hAnsi="微软雅黑" w:eastAsia="微软雅黑" w:cs="微软雅黑"/>
          <w:color w:val="auto"/>
          <w:kern w:val="0"/>
          <w:szCs w:val="21"/>
        </w:rPr>
      </w:pPr>
    </w:p>
    <w:p w14:paraId="2FC0D582">
      <w:pPr>
        <w:pStyle w:val="86"/>
        <w:tabs>
          <w:tab w:val="left" w:pos="1243"/>
        </w:tabs>
        <w:spacing w:line="402" w:lineRule="exact"/>
        <w:ind w:left="420" w:leftChars="200" w:firstLine="0" w:firstLineChars="0"/>
        <w:rPr>
          <w:rFonts w:ascii="微软雅黑" w:hAnsi="微软雅黑" w:eastAsia="微软雅黑" w:cs="微软雅黑"/>
          <w:color w:val="auto"/>
          <w:kern w:val="0"/>
          <w:szCs w:val="21"/>
        </w:rPr>
      </w:pPr>
    </w:p>
    <w:p w14:paraId="3F53B263">
      <w:pPr>
        <w:spacing w:line="240" w:lineRule="atLeast"/>
        <w:rPr>
          <w:rFonts w:ascii="微软雅黑" w:hAnsi="微软雅黑" w:eastAsia="微软雅黑" w:cs="微软雅黑"/>
          <w:kern w:val="0"/>
        </w:rPr>
      </w:pPr>
      <w:r>
        <w:rPr>
          <w:rFonts w:hint="eastAsia" w:ascii="微软雅黑" w:hAnsi="微软雅黑" w:eastAsia="微软雅黑" w:cs="微软雅黑"/>
          <w:kern w:val="0"/>
        </w:rPr>
        <w:t>注：1、须附从业人员、营业收入、资产总额填报上一年度数据，无上一年度数据的新成立企业可不填报。</w:t>
      </w:r>
    </w:p>
    <w:p w14:paraId="17901294">
      <w:pPr>
        <w:spacing w:line="240" w:lineRule="atLeast"/>
        <w:rPr>
          <w:rFonts w:ascii="微软雅黑" w:hAnsi="微软雅黑" w:eastAsia="微软雅黑" w:cs="微软雅黑"/>
          <w:kern w:val="0"/>
        </w:rPr>
      </w:pPr>
      <w:r>
        <w:rPr>
          <w:rFonts w:hint="eastAsia" w:ascii="微软雅黑" w:hAnsi="微软雅黑" w:eastAsia="微软雅黑" w:cs="微软雅黑"/>
          <w:kern w:val="0"/>
        </w:rPr>
        <w:t xml:space="preserve">   2、潜在投标企业属于中小微企业的，应在投标文件中提供‘’中小企业声明函“如果未提供或提供的“中小企业声明函”存在虚假情况的，承接商将不享受中小企业相关优惠政策。             </w:t>
      </w:r>
    </w:p>
    <w:p w14:paraId="556000B8">
      <w:pPr>
        <w:spacing w:line="240" w:lineRule="atLeast"/>
        <w:rPr>
          <w:rFonts w:ascii="微软雅黑" w:hAnsi="微软雅黑" w:eastAsia="微软雅黑" w:cs="微软雅黑"/>
          <w:b/>
          <w:bCs/>
          <w:kern w:val="0"/>
        </w:rPr>
      </w:pPr>
      <w:r>
        <w:rPr>
          <w:rFonts w:hint="eastAsia" w:ascii="微软雅黑" w:hAnsi="微软雅黑" w:eastAsia="微软雅黑" w:cs="微软雅黑"/>
          <w:b/>
          <w:bCs/>
          <w:kern w:val="0"/>
        </w:rPr>
        <w:t>3、本项目所属行业：</w:t>
      </w:r>
      <w:r>
        <w:rPr>
          <w:rFonts w:hint="eastAsia" w:ascii="微软雅黑" w:hAnsi="微软雅黑" w:eastAsia="微软雅黑" w:cs="微软雅黑"/>
          <w:b/>
          <w:bCs/>
          <w:kern w:val="0"/>
          <w:u w:val="single"/>
        </w:rPr>
        <w:t xml:space="preserve"> </w:t>
      </w:r>
      <w:r>
        <w:rPr>
          <w:rFonts w:hint="eastAsia" w:ascii="微软雅黑" w:hAnsi="微软雅黑" w:eastAsia="微软雅黑" w:cs="微软雅黑"/>
          <w:b/>
          <w:bCs/>
          <w:kern w:val="0"/>
          <w:u w:val="single"/>
          <w:lang w:val="en-US" w:eastAsia="zh-CN"/>
        </w:rPr>
        <w:t xml:space="preserve"> 其他未列明行业</w:t>
      </w:r>
      <w:r>
        <w:rPr>
          <w:rFonts w:hint="eastAsia" w:ascii="微软雅黑" w:hAnsi="微软雅黑" w:eastAsia="微软雅黑" w:cs="微软雅黑"/>
          <w:b/>
          <w:bCs/>
          <w:kern w:val="0"/>
          <w:u w:val="single"/>
        </w:rPr>
        <w:t xml:space="preserve"> </w:t>
      </w:r>
    </w:p>
    <w:p w14:paraId="772D50E4">
      <w:pPr>
        <w:spacing w:line="240" w:lineRule="atLeast"/>
        <w:ind w:left="1080" w:leftChars="257" w:hanging="540"/>
        <w:jc w:val="center"/>
        <w:outlineLvl w:val="9"/>
        <w:rPr>
          <w:rFonts w:ascii="微软雅黑" w:hAnsi="微软雅黑" w:eastAsia="微软雅黑" w:cs="微软雅黑"/>
          <w:color w:val="auto"/>
          <w:szCs w:val="21"/>
        </w:rPr>
      </w:pPr>
      <w:r>
        <w:rPr>
          <w:rFonts w:hint="eastAsia" w:ascii="微软雅黑" w:hAnsi="微软雅黑" w:eastAsia="微软雅黑" w:cs="微软雅黑"/>
          <w:color w:val="auto"/>
          <w:szCs w:val="21"/>
        </w:rPr>
        <w:t>　</w:t>
      </w:r>
    </w:p>
    <w:p w14:paraId="4EE160BC">
      <w:pPr>
        <w:spacing w:line="240" w:lineRule="atLeast"/>
        <w:outlineLvl w:val="9"/>
        <w:rPr>
          <w:rFonts w:hint="eastAsia" w:ascii="微软雅黑" w:hAnsi="微软雅黑" w:eastAsia="微软雅黑" w:cs="微软雅黑"/>
          <w:color w:val="auto"/>
          <w:szCs w:val="21"/>
        </w:rPr>
      </w:pPr>
    </w:p>
    <w:p w14:paraId="44903AEF">
      <w:pPr>
        <w:spacing w:line="240" w:lineRule="atLeast"/>
        <w:outlineLvl w:val="9"/>
        <w:rPr>
          <w:rFonts w:hint="eastAsia" w:ascii="微软雅黑" w:hAnsi="微软雅黑" w:eastAsia="微软雅黑" w:cs="微软雅黑"/>
          <w:color w:val="auto"/>
          <w:szCs w:val="21"/>
        </w:rPr>
      </w:pPr>
    </w:p>
    <w:p w14:paraId="36729E97">
      <w:pPr>
        <w:spacing w:line="240" w:lineRule="atLeast"/>
        <w:outlineLvl w:val="9"/>
        <w:rPr>
          <w:rFonts w:hint="eastAsia" w:ascii="微软雅黑" w:hAnsi="微软雅黑" w:eastAsia="微软雅黑" w:cs="微软雅黑"/>
          <w:color w:val="auto"/>
          <w:szCs w:val="21"/>
        </w:rPr>
      </w:pPr>
    </w:p>
    <w:p w14:paraId="34423190">
      <w:pPr>
        <w:spacing w:line="240" w:lineRule="atLeast"/>
        <w:outlineLvl w:val="9"/>
        <w:rPr>
          <w:rFonts w:hint="eastAsia" w:ascii="微软雅黑" w:hAnsi="微软雅黑" w:eastAsia="微软雅黑" w:cs="微软雅黑"/>
          <w:color w:val="auto"/>
          <w:szCs w:val="21"/>
        </w:rPr>
      </w:pPr>
    </w:p>
    <w:p w14:paraId="16D6DD2F">
      <w:pPr>
        <w:spacing w:line="240" w:lineRule="atLeast"/>
        <w:outlineLvl w:val="9"/>
        <w:rPr>
          <w:rFonts w:hint="eastAsia" w:ascii="微软雅黑" w:hAnsi="微软雅黑" w:eastAsia="微软雅黑" w:cs="微软雅黑"/>
          <w:color w:val="auto"/>
          <w:szCs w:val="21"/>
        </w:rPr>
      </w:pPr>
    </w:p>
    <w:p w14:paraId="70CC49AB">
      <w:pPr>
        <w:keepNext w:val="0"/>
        <w:keepLines w:val="0"/>
        <w:pageBreakBefore w:val="0"/>
        <w:kinsoku/>
        <w:wordWrap/>
        <w:overflowPunct/>
        <w:topLinePunct w:val="0"/>
        <w:autoSpaceDE/>
        <w:autoSpaceDN/>
        <w:bidi w:val="0"/>
        <w:adjustRightInd/>
        <w:spacing w:line="400" w:lineRule="exact"/>
        <w:jc w:val="left"/>
        <w:rPr>
          <w:rFonts w:hint="eastAsia" w:ascii="微软雅黑" w:hAnsi="微软雅黑" w:eastAsia="微软雅黑" w:cs="微软雅黑"/>
          <w:b/>
          <w:bCs/>
          <w:color w:val="auto"/>
          <w:kern w:val="0"/>
          <w:sz w:val="24"/>
          <w:szCs w:val="24"/>
          <w:highlight w:val="none"/>
        </w:rPr>
      </w:pPr>
      <w:r>
        <w:rPr>
          <w:rFonts w:hint="eastAsia" w:ascii="微软雅黑" w:hAnsi="微软雅黑" w:eastAsia="微软雅黑" w:cs="微软雅黑"/>
          <w:b/>
          <w:bCs/>
          <w:color w:val="auto"/>
          <w:kern w:val="0"/>
          <w:sz w:val="24"/>
          <w:szCs w:val="24"/>
          <w:highlight w:val="none"/>
        </w:rPr>
        <w:t>附：</w:t>
      </w:r>
    </w:p>
    <w:p w14:paraId="2F26A623">
      <w:pPr>
        <w:widowControl/>
        <w:spacing w:before="100" w:beforeAutospacing="1" w:after="100" w:afterAutospacing="1" w:line="400" w:lineRule="exact"/>
        <w:ind w:left="420" w:leftChars="200" w:firstLine="0" w:firstLineChars="0"/>
        <w:jc w:val="center"/>
        <w:rPr>
          <w:rFonts w:hint="eastAsia" w:ascii="微软雅黑" w:hAnsi="微软雅黑" w:eastAsia="微软雅黑" w:cs="微软雅黑"/>
          <w:b/>
          <w:bCs/>
          <w:color w:val="auto"/>
          <w:szCs w:val="21"/>
          <w:lang w:val="en-US" w:eastAsia="zh-CN"/>
        </w:rPr>
      </w:pPr>
      <w:bookmarkStart w:id="542" w:name="bookmark0"/>
      <w:bookmarkStart w:id="543" w:name="bookmark1"/>
      <w:r>
        <w:rPr>
          <w:rFonts w:hint="eastAsia" w:ascii="微软雅黑" w:hAnsi="微软雅黑" w:eastAsia="微软雅黑" w:cs="微软雅黑"/>
          <w:b/>
          <w:bCs/>
          <w:color w:val="auto"/>
          <w:szCs w:val="21"/>
          <w:lang w:val="en-US" w:eastAsia="zh-CN"/>
        </w:rPr>
        <w:t>中小企业划分标准</w:t>
      </w:r>
      <w:bookmarkEnd w:id="542"/>
      <w:bookmarkEnd w:id="543"/>
    </w:p>
    <w:p w14:paraId="2B9C241C">
      <w:pPr>
        <w:keepNext w:val="0"/>
        <w:keepLines w:val="0"/>
        <w:pageBreakBefore w:val="0"/>
        <w:kinsoku/>
        <w:wordWrap/>
        <w:overflowPunct/>
        <w:topLinePunct w:val="0"/>
        <w:autoSpaceDE/>
        <w:autoSpaceDN/>
        <w:bidi w:val="0"/>
        <w:adjustRightInd/>
        <w:spacing w:line="420" w:lineRule="exact"/>
        <w:ind w:firstLine="480" w:firstLineChars="200"/>
        <w:jc w:val="left"/>
        <w:outlineLvl w:val="9"/>
        <w:rPr>
          <w:rFonts w:hint="eastAsia" w:ascii="微软雅黑" w:hAnsi="微软雅黑" w:eastAsia="微软雅黑" w:cs="微软雅黑"/>
          <w:b/>
          <w:bCs/>
          <w:color w:val="auto"/>
          <w:kern w:val="0"/>
          <w:sz w:val="24"/>
          <w:szCs w:val="24"/>
          <w:highlight w:val="none"/>
        </w:rPr>
      </w:pPr>
      <w:bookmarkStart w:id="544" w:name="bookmark5"/>
      <w:bookmarkStart w:id="545" w:name="bookmark4"/>
      <w:r>
        <w:rPr>
          <w:rFonts w:hint="eastAsia" w:ascii="微软雅黑" w:hAnsi="微软雅黑" w:eastAsia="微软雅黑" w:cs="微软雅黑"/>
          <w:b w:val="0"/>
          <w:bCs w:val="0"/>
          <w:color w:val="auto"/>
          <w:kern w:val="0"/>
          <w:sz w:val="24"/>
          <w:szCs w:val="24"/>
          <w:highlight w:val="none"/>
        </w:rPr>
        <w:t>工业和信息化部、国家统计局、发展改革委、财政部等四部门《关于印发中 小企业划型标准规定的通知》（工信部联企业〔2011〕300号）规定中小企业划型标准如表所示：</w:t>
      </w:r>
      <w:bookmarkEnd w:id="544"/>
      <w:bookmarkEnd w:id="545"/>
    </w:p>
    <w:tbl>
      <w:tblPr>
        <w:tblStyle w:val="37"/>
        <w:tblW w:w="979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2391"/>
        <w:gridCol w:w="849"/>
        <w:gridCol w:w="6553"/>
      </w:tblGrid>
      <w:tr w14:paraId="62C975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3"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0C64DCE">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农、林、牧、渔业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947E39D">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营业收入20000万元以下的为中小微型企业。</w:t>
            </w:r>
          </w:p>
        </w:tc>
      </w:tr>
      <w:tr w14:paraId="2C82F7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1"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B24EC0">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BAF69D">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21A11A">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500万元-20000万元</w:t>
            </w:r>
          </w:p>
        </w:tc>
      </w:tr>
      <w:tr w14:paraId="410D12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E50F51">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0019BB">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8CA939">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50万元-500万元</w:t>
            </w:r>
          </w:p>
        </w:tc>
      </w:tr>
      <w:tr w14:paraId="746201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9"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E4BC41">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AF9250">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2A9229">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50万元以下</w:t>
            </w:r>
          </w:p>
        </w:tc>
      </w:tr>
      <w:tr w14:paraId="58AB18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9125402">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工业</w:t>
            </w: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br w:type="textWrapping"/>
            </w: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（包括采矿业，制造 业，电力、热力、燃 气及水生产和供应</w:t>
            </w: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br w:type="textWrapping"/>
            </w: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9892CE0">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从业人员1000人以下或营业收入 40000万元以下的为中小微型企业。</w:t>
            </w:r>
          </w:p>
        </w:tc>
      </w:tr>
      <w:tr w14:paraId="399B59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9"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DE4CC2">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A9C085">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501B81">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 300人一1000人，且营业收入 2000万元一40000万元</w:t>
            </w:r>
          </w:p>
        </w:tc>
      </w:tr>
      <w:tr w14:paraId="09288D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2"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D52DB3">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88F892">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618E6B">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从业人员20人一300人，且营业收入 300万元一2000万元</w:t>
            </w:r>
          </w:p>
        </w:tc>
      </w:tr>
      <w:tr w14:paraId="62F4D2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1"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48169A">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A2C5AB">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960EA8">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从业人员20人以下或营业收入 300万元以下</w:t>
            </w:r>
          </w:p>
        </w:tc>
      </w:tr>
      <w:tr w14:paraId="69A272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144A6F0">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建筑业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7BA24FF">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营业收入80000万元以下或资产总额 80000万元以下的为中小微型企业。</w:t>
            </w:r>
          </w:p>
        </w:tc>
      </w:tr>
      <w:tr w14:paraId="333AFC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EDFEDC">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AECD49">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1EE2DC">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营业收入6000万元一80000万元，且资产总额 5000万元一80000万元</w:t>
            </w:r>
          </w:p>
        </w:tc>
      </w:tr>
      <w:tr w14:paraId="0ABFE2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5D81552">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979058">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5E7F47">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营业收入 300万元一6000万元，且资产总额 300万一5000万元</w:t>
            </w:r>
          </w:p>
        </w:tc>
      </w:tr>
      <w:tr w14:paraId="7262EB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BA8365">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B3A710">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A50DB7">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营业收入300万元以下或资产总额 300万元以下</w:t>
            </w:r>
          </w:p>
        </w:tc>
      </w:tr>
      <w:tr w14:paraId="180AB9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3E09914">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批发业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30F15B9">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从业人员200人以下或营业收入40000万元以下的为中小微型企业。</w:t>
            </w:r>
          </w:p>
        </w:tc>
      </w:tr>
      <w:tr w14:paraId="3AAD72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6235F2">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D6F502">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F09FF2">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从业人员20人一200人，且营业收入5000万元一40000万元</w:t>
            </w:r>
          </w:p>
        </w:tc>
      </w:tr>
      <w:tr w14:paraId="2BC7AC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9BE563">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C2ABF1">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CBCED8">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从业人员5人一20人，且营业收入1000万元一5000万元</w:t>
            </w:r>
          </w:p>
        </w:tc>
      </w:tr>
      <w:tr w14:paraId="737AF4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74D0F6">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CDF5FD">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7A2362">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从业人员5人以下或营业收入1000万元以下</w:t>
            </w:r>
          </w:p>
        </w:tc>
      </w:tr>
      <w:tr w14:paraId="3BE802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65138E1">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零售业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1B11570">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从业人员300人以下或营业收入 20000万元以下的为中小微型企业。</w:t>
            </w:r>
          </w:p>
        </w:tc>
      </w:tr>
      <w:tr w14:paraId="71F730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99AC41">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D38122">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258287">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 50人一300人，且营业收入500万元一20000万元</w:t>
            </w:r>
          </w:p>
        </w:tc>
      </w:tr>
      <w:tr w14:paraId="3C30AE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CB798F">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FE6B86">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1DC377">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从业人员10人一50人，且营业收入100万元一500万元</w:t>
            </w:r>
          </w:p>
        </w:tc>
      </w:tr>
      <w:tr w14:paraId="71FC29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9D68DF">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F01C22">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E6B486">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从业人员10人以下或营业收入100万元以下</w:t>
            </w:r>
          </w:p>
        </w:tc>
      </w:tr>
      <w:tr w14:paraId="1841EF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C3DFD2C">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交通运输业 （不含铁路运输业）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FA8747E">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从业人员1000人以下或营业收入 30000万元以下的为中小微型企业。</w:t>
            </w:r>
          </w:p>
        </w:tc>
      </w:tr>
      <w:tr w14:paraId="62C35B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ADB6D7">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8BF20A">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22ECE0">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 300人一1000人，且营业收入 3000万元一30000万元</w:t>
            </w:r>
          </w:p>
        </w:tc>
      </w:tr>
      <w:tr w14:paraId="366C98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E4477E">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51A3C5">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D80694">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从业人员20人一300人，且营业收入 200万元一3000万元</w:t>
            </w:r>
          </w:p>
        </w:tc>
      </w:tr>
      <w:tr w14:paraId="5F1DF2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EDD607">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059887">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1FFDCB">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从业人员20人以下或营业收入200万元以下</w:t>
            </w:r>
          </w:p>
        </w:tc>
      </w:tr>
      <w:tr w14:paraId="1EDFCC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E7B1DCE">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仓储业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C2AF90E">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从业人员200人以下或营业收入 30000万元以下的为中小微型企业。</w:t>
            </w:r>
          </w:p>
        </w:tc>
      </w:tr>
      <w:tr w14:paraId="61069A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EB1084">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FD85D6">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CF61E8">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从业人员100人一200人，且营业收入 1000万元一30000万元</w:t>
            </w:r>
          </w:p>
        </w:tc>
      </w:tr>
      <w:tr w14:paraId="6E5191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88EDB2">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067857">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C5E208">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从业人员20人一100人，且营业收入 100万元一1000万元</w:t>
            </w:r>
          </w:p>
        </w:tc>
      </w:tr>
      <w:tr w14:paraId="6022C5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4E0F87">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D97E9A">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241367">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从业人员20人以下或营业收入 100万元以下</w:t>
            </w:r>
          </w:p>
        </w:tc>
      </w:tr>
      <w:tr w14:paraId="1FBC60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D643345">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邮政业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4CB8F2D">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从业人员1000人以下或营业收入 30000万元以下的为中小微型企业。</w:t>
            </w:r>
          </w:p>
        </w:tc>
      </w:tr>
      <w:tr w14:paraId="6C43E5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1E60C7">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E42D91">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E1A1D3">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 300人一1000人，且营业收入 2000万元一30000万元</w:t>
            </w:r>
          </w:p>
        </w:tc>
      </w:tr>
      <w:tr w14:paraId="272CB8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CA28E2">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05841E">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E3C9B8">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从业人员20人一300人，且营业收入 100万元一2000万元</w:t>
            </w:r>
          </w:p>
        </w:tc>
      </w:tr>
      <w:tr w14:paraId="1A983E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D2A212">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ED8427">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614F47">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从业人员20人以下或营业收入 100万元以下</w:t>
            </w:r>
          </w:p>
        </w:tc>
      </w:tr>
      <w:tr w14:paraId="55B648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7C6A82A">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住宿业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73C28B9">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从业人员300人以下或营业收入 10000万元以下的为中小微型企业。</w:t>
            </w:r>
          </w:p>
        </w:tc>
      </w:tr>
      <w:tr w14:paraId="1CCEFC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2EB9B9">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E216A8">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BFC0C0">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从业人员100人一300人，且营业收入 2000万元一10000万元</w:t>
            </w:r>
          </w:p>
        </w:tc>
      </w:tr>
      <w:tr w14:paraId="680655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1BB852">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931A41">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C125C1">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从业人员10人一100人，且营业收入 100万元一2000万元</w:t>
            </w:r>
          </w:p>
        </w:tc>
      </w:tr>
      <w:tr w14:paraId="1604FE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44B847">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BA1E82">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4BD733">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从业人员10人以下或营业收入 100万元以下</w:t>
            </w:r>
          </w:p>
        </w:tc>
      </w:tr>
      <w:tr w14:paraId="149994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09AF56E">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餐饮业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302AC27">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从业人员300人以下或营业收入 10000万元以下的为中小微型企业。</w:t>
            </w:r>
          </w:p>
        </w:tc>
      </w:tr>
      <w:tr w14:paraId="5575E3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4A6ED4">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1120EF">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D11046">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从业人员100— 300人，且营业收入 2000万元一10000万元</w:t>
            </w:r>
          </w:p>
        </w:tc>
      </w:tr>
      <w:tr w14:paraId="073EB8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982F1E">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549BC6">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318B68">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从业人员10人一100人，且营业收入 100万元一2000万元</w:t>
            </w:r>
          </w:p>
        </w:tc>
      </w:tr>
      <w:tr w14:paraId="582302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A4FB0F">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E86ACF">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81241D">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从业人员10人以下或营业收入 100万元以下</w:t>
            </w:r>
          </w:p>
        </w:tc>
      </w:tr>
      <w:tr w14:paraId="42C10F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C6ACBE4">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信息传输业 （包括电信、互联网 和相关服务）</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32BCB8B">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从业人员2000人以下或营业收入 100000万元以下的为中小微型企业。</w:t>
            </w:r>
          </w:p>
        </w:tc>
      </w:tr>
      <w:tr w14:paraId="1B0721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6B6BF8">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8330CA">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90F8B3">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从业人员100人一2000人，且营业收入 1000万元一10000万元</w:t>
            </w:r>
          </w:p>
        </w:tc>
      </w:tr>
      <w:tr w14:paraId="547BA1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04E29F">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35EA5C">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920069">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从业人员10人一100人，且营业收入 100万元一1000万元</w:t>
            </w:r>
          </w:p>
        </w:tc>
      </w:tr>
      <w:tr w14:paraId="35F04E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F8380B">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C89485">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EA9AA5">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从业人员10人以下或营业收入 100万元以下</w:t>
            </w:r>
          </w:p>
        </w:tc>
      </w:tr>
      <w:tr w14:paraId="164BC6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62793B7">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软件和信息技术服务业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3807418">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从业人员300人以下或营业收入 10000万元以下的为中小微型企业。</w:t>
            </w:r>
          </w:p>
        </w:tc>
      </w:tr>
      <w:tr w14:paraId="4CBA5C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9D16E4">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C9D613">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C7510B">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从业人员100— 300人，且营业收入 1000万元一10000万元</w:t>
            </w:r>
          </w:p>
        </w:tc>
      </w:tr>
      <w:tr w14:paraId="056449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A5DC46">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50AB45">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BF80B9">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从业人员10人一100人，且营业收入 50万元一1000万元</w:t>
            </w:r>
          </w:p>
        </w:tc>
      </w:tr>
      <w:tr w14:paraId="5FEF7C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ACD1CB">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620452">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5D8820">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从业人员10人以下或营业收入 50万元以下</w:t>
            </w:r>
          </w:p>
        </w:tc>
      </w:tr>
      <w:tr w14:paraId="1A6A3F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CF1C9FE">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房地产开发经营</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49B1662">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营业收入200000万元以下或资产总额 10000万元以下的为中小微型企业。</w:t>
            </w:r>
          </w:p>
        </w:tc>
      </w:tr>
      <w:tr w14:paraId="7ABB89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37B564">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7FB12D">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BFA3A6">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营业收入1000万元一200000万元，且资产总额 5000万元一10000万元</w:t>
            </w:r>
          </w:p>
        </w:tc>
      </w:tr>
      <w:tr w14:paraId="76E239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1315B3">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913449">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D17813">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营业收入100万元一1000万元，且资产总额 2 000万元一5000 万元</w:t>
            </w:r>
          </w:p>
        </w:tc>
      </w:tr>
      <w:tr w14:paraId="01BB70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629659">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8449CB">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7EE8A0">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营业收入100万元以下或资产总额 2000万元以下的为微型企业</w:t>
            </w:r>
          </w:p>
        </w:tc>
      </w:tr>
      <w:tr w14:paraId="17EE32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1A2C9A1">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物业管理</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A435ABA">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从业人员1000人以下或营业收入 5000万元以下的为中小微型企业。</w:t>
            </w:r>
          </w:p>
        </w:tc>
      </w:tr>
      <w:tr w14:paraId="697245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5C0AB8">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56E33D">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8B91E2">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 300人一1 000人，且营业收入 1000万元一5000万元</w:t>
            </w:r>
          </w:p>
        </w:tc>
      </w:tr>
      <w:tr w14:paraId="35937A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1C1712">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292CA4">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619B49">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从业人员100人一300人，且营业收入 500万元一1000万元</w:t>
            </w:r>
          </w:p>
        </w:tc>
      </w:tr>
      <w:tr w14:paraId="7D4047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325C1B">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C83744">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9D7B6C">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从业人员100人以下或营业收入 500万元以下</w:t>
            </w:r>
          </w:p>
        </w:tc>
      </w:tr>
      <w:tr w14:paraId="540FAC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4"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A789B7F">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租赁和商务服务业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8189A75">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从业人员300人以下或资产总额 120 000万元以下的为中小微型企业。其中，从业人员100人及以上，且资产总额 8 000万元及以上的为中型企业；从业人员10人及以上，且资产总额 100万元及以上的为小型企业；从业人员 10人以下或资产总额 100万元以下的为微型企业。</w:t>
            </w:r>
          </w:p>
        </w:tc>
      </w:tr>
      <w:tr w14:paraId="05E68F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FC051FE">
            <w:pPr>
              <w:keepNext w:val="0"/>
              <w:keepLines w:val="0"/>
              <w:pageBreakBefore w:val="0"/>
              <w:kinsoku/>
              <w:wordWrap/>
              <w:overflowPunct/>
              <w:topLinePunct w:val="0"/>
              <w:autoSpaceDE/>
              <w:autoSpaceDN/>
              <w:bidi w:val="0"/>
              <w:adjustRightInd/>
              <w:snapToGrid/>
              <w:spacing w:line="340" w:lineRule="exact"/>
              <w:jc w:val="left"/>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E812C1">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B0A0BB">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从业人员100人一300人，且资产总额 8000万元一120000万元</w:t>
            </w:r>
          </w:p>
        </w:tc>
      </w:tr>
      <w:tr w14:paraId="541DCE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1271B8">
            <w:pPr>
              <w:keepNext w:val="0"/>
              <w:keepLines w:val="0"/>
              <w:pageBreakBefore w:val="0"/>
              <w:kinsoku/>
              <w:wordWrap/>
              <w:overflowPunct/>
              <w:topLinePunct w:val="0"/>
              <w:autoSpaceDE/>
              <w:autoSpaceDN/>
              <w:bidi w:val="0"/>
              <w:adjustRightInd/>
              <w:snapToGrid/>
              <w:spacing w:line="340" w:lineRule="exact"/>
              <w:jc w:val="left"/>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9B6F09">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C477B9">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从业人员10人一100人，且资产总额 100万元一8000万元</w:t>
            </w:r>
          </w:p>
        </w:tc>
      </w:tr>
      <w:tr w14:paraId="0B72EF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47DDBB">
            <w:pPr>
              <w:keepNext w:val="0"/>
              <w:keepLines w:val="0"/>
              <w:pageBreakBefore w:val="0"/>
              <w:kinsoku/>
              <w:wordWrap/>
              <w:overflowPunct/>
              <w:topLinePunct w:val="0"/>
              <w:autoSpaceDE/>
              <w:autoSpaceDN/>
              <w:bidi w:val="0"/>
              <w:adjustRightInd/>
              <w:snapToGrid/>
              <w:spacing w:line="340" w:lineRule="exact"/>
              <w:jc w:val="left"/>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5CBF72">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44E885">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从业人员10人以下或资产总额 100万元以下</w:t>
            </w:r>
          </w:p>
        </w:tc>
      </w:tr>
      <w:tr w14:paraId="2F33D3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62F6695">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b/>
                <w:bCs/>
                <w:i w:val="0"/>
                <w:iCs w:val="0"/>
                <w:color w:val="auto"/>
                <w:sz w:val="21"/>
                <w:szCs w:val="21"/>
                <w:u w:val="none"/>
              </w:rPr>
            </w:pPr>
            <w:r>
              <w:rPr>
                <w:rFonts w:hint="eastAsia" w:ascii="微软雅黑" w:hAnsi="微软雅黑" w:eastAsia="微软雅黑" w:cs="微软雅黑"/>
                <w:b/>
                <w:bCs/>
                <w:i w:val="0"/>
                <w:iCs w:val="0"/>
                <w:color w:val="auto"/>
                <w:spacing w:val="0"/>
                <w:w w:val="100"/>
                <w:kern w:val="0"/>
                <w:position w:val="0"/>
                <w:sz w:val="21"/>
                <w:szCs w:val="21"/>
                <w:u w:val="none"/>
                <w:shd w:val="clear" w:color="auto" w:fill="auto"/>
                <w:lang w:val="en-US" w:eastAsia="zh-CN" w:bidi="ar"/>
              </w:rPr>
              <w:t>其他未列明行业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F2C1A78">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b/>
                <w:bCs/>
                <w:i w:val="0"/>
                <w:iCs w:val="0"/>
                <w:color w:val="auto"/>
                <w:sz w:val="21"/>
                <w:szCs w:val="21"/>
                <w:u w:val="none"/>
              </w:rPr>
            </w:pPr>
            <w:r>
              <w:rPr>
                <w:rFonts w:hint="eastAsia" w:ascii="微软雅黑" w:hAnsi="微软雅黑" w:eastAsia="微软雅黑" w:cs="微软雅黑"/>
                <w:b/>
                <w:bCs/>
                <w:i w:val="0"/>
                <w:iCs w:val="0"/>
                <w:color w:val="auto"/>
                <w:spacing w:val="0"/>
                <w:w w:val="100"/>
                <w:kern w:val="0"/>
                <w:position w:val="0"/>
                <w:sz w:val="21"/>
                <w:szCs w:val="21"/>
                <w:u w:val="none"/>
                <w:shd w:val="clear" w:color="auto" w:fill="auto"/>
                <w:lang w:val="en-US" w:eastAsia="zh-CN" w:bidi="ar"/>
              </w:rPr>
              <w:t>从业人员300人以下的为中小微型企业。</w:t>
            </w:r>
          </w:p>
        </w:tc>
      </w:tr>
      <w:tr w14:paraId="2085DA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BDB297">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b/>
                <w:bCs/>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83405D">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b/>
                <w:bCs/>
                <w:i w:val="0"/>
                <w:iCs w:val="0"/>
                <w:color w:val="auto"/>
                <w:sz w:val="21"/>
                <w:szCs w:val="21"/>
                <w:u w:val="none"/>
              </w:rPr>
            </w:pPr>
            <w:r>
              <w:rPr>
                <w:rFonts w:hint="eastAsia" w:ascii="微软雅黑" w:hAnsi="微软雅黑" w:eastAsia="微软雅黑" w:cs="微软雅黑"/>
                <w:b/>
                <w:bCs/>
                <w:i w:val="0"/>
                <w:iCs w:val="0"/>
                <w:color w:val="auto"/>
                <w:spacing w:val="0"/>
                <w:w w:val="100"/>
                <w:kern w:val="0"/>
                <w:position w:val="0"/>
                <w:sz w:val="21"/>
                <w:szCs w:val="21"/>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D97F8C">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b/>
                <w:bCs/>
                <w:i w:val="0"/>
                <w:iCs w:val="0"/>
                <w:color w:val="auto"/>
                <w:sz w:val="21"/>
                <w:szCs w:val="21"/>
                <w:u w:val="none"/>
              </w:rPr>
            </w:pPr>
            <w:r>
              <w:rPr>
                <w:rFonts w:hint="eastAsia" w:ascii="微软雅黑" w:hAnsi="微软雅黑" w:eastAsia="微软雅黑" w:cs="微软雅黑"/>
                <w:b/>
                <w:bCs/>
                <w:i w:val="0"/>
                <w:iCs w:val="0"/>
                <w:color w:val="auto"/>
                <w:spacing w:val="0"/>
                <w:w w:val="100"/>
                <w:kern w:val="0"/>
                <w:position w:val="0"/>
                <w:sz w:val="21"/>
                <w:szCs w:val="21"/>
                <w:u w:val="none"/>
                <w:shd w:val="clear" w:color="auto" w:fill="auto"/>
                <w:lang w:val="en-US" w:eastAsia="zh-CN" w:bidi="ar"/>
              </w:rPr>
              <w:t>从业人员100— 300人</w:t>
            </w:r>
          </w:p>
        </w:tc>
      </w:tr>
      <w:tr w14:paraId="49F22C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BD4714">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b/>
                <w:bCs/>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2BA884">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b/>
                <w:bCs/>
                <w:i w:val="0"/>
                <w:iCs w:val="0"/>
                <w:color w:val="auto"/>
                <w:sz w:val="21"/>
                <w:szCs w:val="21"/>
                <w:u w:val="none"/>
              </w:rPr>
            </w:pPr>
            <w:r>
              <w:rPr>
                <w:rFonts w:hint="eastAsia" w:ascii="微软雅黑" w:hAnsi="微软雅黑" w:eastAsia="微软雅黑" w:cs="微软雅黑"/>
                <w:b/>
                <w:bCs/>
                <w:i w:val="0"/>
                <w:iCs w:val="0"/>
                <w:color w:val="auto"/>
                <w:spacing w:val="0"/>
                <w:w w:val="100"/>
                <w:kern w:val="0"/>
                <w:position w:val="0"/>
                <w:sz w:val="21"/>
                <w:szCs w:val="21"/>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6DCAF3">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b/>
                <w:bCs/>
                <w:i w:val="0"/>
                <w:iCs w:val="0"/>
                <w:color w:val="auto"/>
                <w:sz w:val="21"/>
                <w:szCs w:val="21"/>
                <w:u w:val="none"/>
              </w:rPr>
            </w:pPr>
            <w:r>
              <w:rPr>
                <w:rFonts w:hint="eastAsia" w:ascii="微软雅黑" w:hAnsi="微软雅黑" w:eastAsia="微软雅黑" w:cs="微软雅黑"/>
                <w:b/>
                <w:bCs/>
                <w:i w:val="0"/>
                <w:iCs w:val="0"/>
                <w:color w:val="auto"/>
                <w:spacing w:val="0"/>
                <w:w w:val="100"/>
                <w:kern w:val="0"/>
                <w:position w:val="0"/>
                <w:sz w:val="21"/>
                <w:szCs w:val="21"/>
                <w:u w:val="none"/>
                <w:shd w:val="clear" w:color="auto" w:fill="auto"/>
                <w:lang w:val="en-US" w:eastAsia="zh-CN" w:bidi="ar"/>
              </w:rPr>
              <w:t>从业人员10人一100人</w:t>
            </w:r>
          </w:p>
        </w:tc>
      </w:tr>
      <w:tr w14:paraId="46A14D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254245">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b/>
                <w:bCs/>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67E6C9">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b/>
                <w:bCs/>
                <w:i w:val="0"/>
                <w:iCs w:val="0"/>
                <w:color w:val="auto"/>
                <w:sz w:val="21"/>
                <w:szCs w:val="21"/>
                <w:u w:val="none"/>
              </w:rPr>
            </w:pPr>
            <w:r>
              <w:rPr>
                <w:rFonts w:hint="eastAsia" w:ascii="微软雅黑" w:hAnsi="微软雅黑" w:eastAsia="微软雅黑" w:cs="微软雅黑"/>
                <w:b/>
                <w:bCs/>
                <w:i w:val="0"/>
                <w:iCs w:val="0"/>
                <w:color w:val="auto"/>
                <w:spacing w:val="0"/>
                <w:w w:val="100"/>
                <w:kern w:val="0"/>
                <w:position w:val="0"/>
                <w:sz w:val="21"/>
                <w:szCs w:val="21"/>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3D0126">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b/>
                <w:bCs/>
                <w:i w:val="0"/>
                <w:iCs w:val="0"/>
                <w:color w:val="auto"/>
                <w:sz w:val="21"/>
                <w:szCs w:val="21"/>
                <w:u w:val="none"/>
              </w:rPr>
            </w:pPr>
            <w:r>
              <w:rPr>
                <w:rFonts w:hint="eastAsia" w:ascii="微软雅黑" w:hAnsi="微软雅黑" w:eastAsia="微软雅黑" w:cs="微软雅黑"/>
                <w:b/>
                <w:bCs/>
                <w:i w:val="0"/>
                <w:iCs w:val="0"/>
                <w:color w:val="auto"/>
                <w:spacing w:val="0"/>
                <w:w w:val="100"/>
                <w:kern w:val="0"/>
                <w:position w:val="0"/>
                <w:sz w:val="21"/>
                <w:szCs w:val="21"/>
                <w:u w:val="none"/>
                <w:shd w:val="clear" w:color="auto" w:fill="auto"/>
                <w:lang w:val="en-US" w:eastAsia="zh-CN" w:bidi="ar"/>
              </w:rPr>
              <w:t>从业人员10人以下</w:t>
            </w:r>
          </w:p>
        </w:tc>
      </w:tr>
    </w:tbl>
    <w:p w14:paraId="601BE600">
      <w:pPr>
        <w:keepNext w:val="0"/>
        <w:keepLines w:val="0"/>
        <w:pageBreakBefore w:val="0"/>
        <w:widowControl w:val="0"/>
        <w:kinsoku/>
        <w:wordWrap/>
        <w:overflowPunct/>
        <w:topLinePunct w:val="0"/>
        <w:autoSpaceDE/>
        <w:autoSpaceDN/>
        <w:bidi w:val="0"/>
        <w:adjustRightInd/>
        <w:snapToGrid w:val="0"/>
        <w:spacing w:line="420" w:lineRule="exact"/>
        <w:contextualSpacing/>
        <w:jc w:val="left"/>
        <w:rPr>
          <w:rFonts w:hint="eastAsia" w:ascii="微软雅黑" w:hAnsi="微软雅黑" w:eastAsia="微软雅黑" w:cs="微软雅黑"/>
          <w:b/>
          <w:bCs w:val="0"/>
          <w:color w:val="auto"/>
          <w:sz w:val="24"/>
          <w:szCs w:val="24"/>
          <w:highlight w:val="none"/>
        </w:rPr>
      </w:pPr>
    </w:p>
    <w:p w14:paraId="31289C50">
      <w:pPr>
        <w:keepNext w:val="0"/>
        <w:keepLines w:val="0"/>
        <w:pageBreakBefore w:val="0"/>
        <w:widowControl w:val="0"/>
        <w:kinsoku/>
        <w:wordWrap/>
        <w:overflowPunct/>
        <w:topLinePunct w:val="0"/>
        <w:autoSpaceDE/>
        <w:autoSpaceDN/>
        <w:bidi w:val="0"/>
        <w:adjustRightInd/>
        <w:snapToGrid w:val="0"/>
        <w:spacing w:line="420" w:lineRule="exact"/>
        <w:ind w:firstLine="240" w:firstLineChars="100"/>
        <w:contextualSpacing/>
        <w:jc w:val="left"/>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bCs w:val="0"/>
          <w:color w:val="auto"/>
          <w:sz w:val="24"/>
          <w:szCs w:val="24"/>
          <w:highlight w:val="none"/>
        </w:rPr>
        <w:t>行业包括：</w:t>
      </w:r>
      <w:r>
        <w:rPr>
          <w:rFonts w:hint="eastAsia" w:ascii="微软雅黑" w:hAnsi="微软雅黑" w:eastAsia="微软雅黑" w:cs="微软雅黑"/>
          <w:b w:val="0"/>
          <w:bCs/>
          <w:color w:val="auto"/>
          <w:sz w:val="24"/>
          <w:szCs w:val="24"/>
          <w:highlight w:val="none"/>
        </w:rPr>
        <w:t>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r>
        <w:rPr>
          <w:rFonts w:hint="eastAsia" w:ascii="微软雅黑" w:hAnsi="微软雅黑" w:eastAsia="微软雅黑" w:cs="微软雅黑"/>
          <w:b/>
          <w:color w:val="auto"/>
          <w:sz w:val="24"/>
          <w:szCs w:val="24"/>
          <w:highlight w:val="none"/>
        </w:rPr>
        <w:t>。</w:t>
      </w:r>
    </w:p>
    <w:p w14:paraId="448A1FA4">
      <w:pPr>
        <w:keepNext w:val="0"/>
        <w:keepLines w:val="0"/>
        <w:pageBreakBefore w:val="0"/>
        <w:widowControl w:val="0"/>
        <w:kinsoku/>
        <w:wordWrap/>
        <w:overflowPunct/>
        <w:topLinePunct w:val="0"/>
        <w:autoSpaceDE/>
        <w:autoSpaceDN/>
        <w:bidi w:val="0"/>
        <w:adjustRightInd/>
        <w:snapToGrid w:val="0"/>
        <w:spacing w:line="420" w:lineRule="exact"/>
        <w:contextualSpacing/>
        <w:jc w:val="left"/>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rPr>
        <w:t>说明：</w:t>
      </w:r>
    </w:p>
    <w:p w14:paraId="1291C201">
      <w:pPr>
        <w:keepNext w:val="0"/>
        <w:keepLines w:val="0"/>
        <w:pageBreakBefore w:val="0"/>
        <w:widowControl w:val="0"/>
        <w:kinsoku/>
        <w:wordWrap/>
        <w:overflowPunct/>
        <w:topLinePunct w:val="0"/>
        <w:autoSpaceDE/>
        <w:autoSpaceDN/>
        <w:bidi w:val="0"/>
        <w:adjustRightInd/>
        <w:snapToGrid w:val="0"/>
        <w:spacing w:line="420" w:lineRule="exact"/>
        <w:contextualSpacing/>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上述标准参照《关于印发中小企业划型标准规定的通知》（工信部联企业[2011]300号），大型、中型和小型企业须同时满足所列指标的下限，否则下划一档；微型企业只须满足所列指标中的一项即可。</w:t>
      </w:r>
    </w:p>
    <w:p w14:paraId="64A27402">
      <w:pPr>
        <w:keepNext w:val="0"/>
        <w:keepLines w:val="0"/>
        <w:pageBreakBefore w:val="0"/>
        <w:widowControl w:val="0"/>
        <w:kinsoku/>
        <w:wordWrap/>
        <w:overflowPunct/>
        <w:topLinePunct w:val="0"/>
        <w:autoSpaceDE/>
        <w:autoSpaceDN/>
        <w:bidi w:val="0"/>
        <w:adjustRightInd/>
        <w:snapToGrid w:val="0"/>
        <w:spacing w:line="420" w:lineRule="exact"/>
        <w:ind w:firstLine="480" w:firstLineChars="200"/>
        <w:contextualSpacing/>
        <w:jc w:val="left"/>
        <w:textAlignment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本</w:t>
      </w:r>
      <w:r>
        <w:rPr>
          <w:rFonts w:hint="eastAsia" w:ascii="微软雅黑" w:hAnsi="微软雅黑" w:eastAsia="微软雅黑" w:cs="微软雅黑"/>
          <w:color w:val="auto"/>
          <w:sz w:val="24"/>
          <w:szCs w:val="24"/>
          <w:highlight w:val="none"/>
          <w:lang w:eastAsia="zh-CN"/>
        </w:rPr>
        <w:t>磋商文件</w:t>
      </w:r>
      <w:r>
        <w:rPr>
          <w:rFonts w:hint="eastAsia" w:ascii="微软雅黑" w:hAnsi="微软雅黑" w:eastAsia="微软雅黑" w:cs="微软雅黑"/>
          <w:color w:val="auto"/>
          <w:sz w:val="24"/>
          <w:szCs w:val="24"/>
          <w:highlight w:val="none"/>
        </w:rPr>
        <w:t>所称中小企业，是指在中华人民共和国境内依法设立，依据国务院批准的</w:t>
      </w:r>
    </w:p>
    <w:p w14:paraId="3E61D5DB">
      <w:pPr>
        <w:keepNext w:val="0"/>
        <w:keepLines w:val="0"/>
        <w:pageBreakBefore w:val="0"/>
        <w:widowControl w:val="0"/>
        <w:kinsoku/>
        <w:wordWrap/>
        <w:overflowPunct/>
        <w:topLinePunct w:val="0"/>
        <w:autoSpaceDE/>
        <w:autoSpaceDN/>
        <w:bidi w:val="0"/>
        <w:adjustRightInd/>
        <w:snapToGrid w:val="0"/>
        <w:spacing w:line="420" w:lineRule="exact"/>
        <w:ind w:firstLine="480" w:firstLineChars="200"/>
        <w:contextualSpacing/>
        <w:jc w:val="left"/>
        <w:textAlignment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w:t>
      </w:r>
      <w:r>
        <w:rPr>
          <w:rFonts w:hint="eastAsia" w:ascii="微软雅黑" w:hAnsi="微软雅黑" w:eastAsia="微软雅黑" w:cs="微软雅黑"/>
          <w:color w:val="auto"/>
          <w:sz w:val="24"/>
          <w:szCs w:val="24"/>
          <w:highlight w:val="none"/>
          <w:lang w:eastAsia="zh-CN"/>
        </w:rPr>
        <w:t>磋商文件</w:t>
      </w:r>
      <w:r>
        <w:rPr>
          <w:rFonts w:hint="eastAsia" w:ascii="微软雅黑" w:hAnsi="微软雅黑" w:eastAsia="微软雅黑" w:cs="微软雅黑"/>
          <w:color w:val="auto"/>
          <w:sz w:val="24"/>
          <w:szCs w:val="24"/>
          <w:highlight w:val="none"/>
        </w:rPr>
        <w:t>规定的中小企业扶持政策：</w:t>
      </w:r>
    </w:p>
    <w:p w14:paraId="44160683">
      <w:pPr>
        <w:keepNext w:val="0"/>
        <w:keepLines w:val="0"/>
        <w:pageBreakBefore w:val="0"/>
        <w:widowControl w:val="0"/>
        <w:kinsoku/>
        <w:wordWrap/>
        <w:overflowPunct/>
        <w:topLinePunct w:val="0"/>
        <w:autoSpaceDE/>
        <w:autoSpaceDN/>
        <w:bidi w:val="0"/>
        <w:adjustRightInd/>
        <w:snapToGrid w:val="0"/>
        <w:spacing w:line="420" w:lineRule="exact"/>
        <w:ind w:firstLine="480" w:firstLineChars="200"/>
        <w:contextualSpacing/>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（1）在货物采购项目中，货物由中小企业制造，即货物由中小企业生产且使用该中小企业商号或者注册商标，不对其中涉及的工程承建商和服务的承接商作出要求；</w:t>
      </w:r>
    </w:p>
    <w:p w14:paraId="57C476E2">
      <w:pPr>
        <w:keepNext w:val="0"/>
        <w:keepLines w:val="0"/>
        <w:pageBreakBefore w:val="0"/>
        <w:widowControl w:val="0"/>
        <w:kinsoku/>
        <w:wordWrap/>
        <w:overflowPunct/>
        <w:topLinePunct w:val="0"/>
        <w:autoSpaceDE/>
        <w:autoSpaceDN/>
        <w:bidi w:val="0"/>
        <w:adjustRightInd/>
        <w:snapToGrid w:val="0"/>
        <w:spacing w:line="420" w:lineRule="exact"/>
        <w:ind w:firstLine="480" w:firstLineChars="200"/>
        <w:contextualSpacing/>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（2）在工程采购项目中，工程由中小企业承建，即工程施工单位为中小企业，不对其中涉及的货物的制造商和服务的承接商作出要求；</w:t>
      </w:r>
    </w:p>
    <w:p w14:paraId="2C2703A0">
      <w:pPr>
        <w:keepNext w:val="0"/>
        <w:keepLines w:val="0"/>
        <w:pageBreakBefore w:val="0"/>
        <w:widowControl w:val="0"/>
        <w:kinsoku/>
        <w:wordWrap/>
        <w:overflowPunct/>
        <w:topLinePunct w:val="0"/>
        <w:autoSpaceDE/>
        <w:autoSpaceDN/>
        <w:bidi w:val="0"/>
        <w:adjustRightInd/>
        <w:snapToGrid w:val="0"/>
        <w:spacing w:line="420" w:lineRule="exact"/>
        <w:ind w:firstLine="480" w:firstLineChars="200"/>
        <w:contextualSpacing/>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（3）在服务采购项目中，服务由中小企业承接，即提供服务的人员为中小企业依照《中华人民共和国劳动合同法》订立劳动合同的从业人员，不对其中涉及的货物的制造商和工程承建商作出要求。</w:t>
      </w:r>
    </w:p>
    <w:p w14:paraId="025C64B3">
      <w:pPr>
        <w:keepNext w:val="0"/>
        <w:keepLines w:val="0"/>
        <w:pageBreakBefore w:val="0"/>
        <w:widowControl w:val="0"/>
        <w:kinsoku/>
        <w:wordWrap/>
        <w:overflowPunct/>
        <w:topLinePunct w:val="0"/>
        <w:autoSpaceDE/>
        <w:autoSpaceDN/>
        <w:bidi w:val="0"/>
        <w:adjustRightInd/>
        <w:snapToGrid w:val="0"/>
        <w:spacing w:line="420" w:lineRule="exact"/>
        <w:ind w:firstLine="480" w:firstLineChars="200"/>
        <w:contextualSpacing/>
        <w:jc w:val="left"/>
        <w:textAlignment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在货物采购项目中，供应商提供的货物既有中小企业制造货物，也有大型企业制造货物的，不享受本</w:t>
      </w:r>
      <w:r>
        <w:rPr>
          <w:rFonts w:hint="eastAsia" w:ascii="微软雅黑" w:hAnsi="微软雅黑" w:eastAsia="微软雅黑" w:cs="微软雅黑"/>
          <w:color w:val="auto"/>
          <w:sz w:val="24"/>
          <w:szCs w:val="24"/>
          <w:highlight w:val="none"/>
          <w:lang w:eastAsia="zh-CN"/>
        </w:rPr>
        <w:t>磋商文件</w:t>
      </w:r>
      <w:r>
        <w:rPr>
          <w:rFonts w:hint="eastAsia" w:ascii="微软雅黑" w:hAnsi="微软雅黑" w:eastAsia="微软雅黑" w:cs="微软雅黑"/>
          <w:color w:val="auto"/>
          <w:sz w:val="24"/>
          <w:szCs w:val="24"/>
          <w:highlight w:val="none"/>
        </w:rPr>
        <w:t>规定的中小企业扶持政策。以联合体形式参加政府采购活动，联合体各方均为中小企业的，联合体视同中小企业。其中，联合体各方均为小微企业的，联合体视同小微企业。</w:t>
      </w:r>
    </w:p>
    <w:p w14:paraId="585C9C07">
      <w:pPr>
        <w:keepNext w:val="0"/>
        <w:keepLines w:val="0"/>
        <w:pageBreakBefore w:val="0"/>
        <w:widowControl w:val="0"/>
        <w:kinsoku/>
        <w:wordWrap/>
        <w:overflowPunct/>
        <w:topLinePunct w:val="0"/>
        <w:autoSpaceDE/>
        <w:autoSpaceDN/>
        <w:bidi w:val="0"/>
        <w:adjustRightInd/>
        <w:snapToGrid w:val="0"/>
        <w:spacing w:line="420" w:lineRule="exact"/>
        <w:ind w:firstLine="480" w:firstLineChars="200"/>
        <w:contextualSpacing/>
        <w:jc w:val="left"/>
        <w:textAlignment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依据本</w:t>
      </w:r>
      <w:r>
        <w:rPr>
          <w:rFonts w:hint="eastAsia" w:ascii="微软雅黑" w:hAnsi="微软雅黑" w:eastAsia="微软雅黑" w:cs="微软雅黑"/>
          <w:color w:val="auto"/>
          <w:sz w:val="24"/>
          <w:szCs w:val="24"/>
          <w:highlight w:val="none"/>
          <w:lang w:eastAsia="zh-CN"/>
        </w:rPr>
        <w:t>磋商文件</w:t>
      </w:r>
      <w:r>
        <w:rPr>
          <w:rFonts w:hint="eastAsia" w:ascii="微软雅黑" w:hAnsi="微软雅黑" w:eastAsia="微软雅黑" w:cs="微软雅黑"/>
          <w:color w:val="auto"/>
          <w:sz w:val="24"/>
          <w:szCs w:val="24"/>
          <w:highlight w:val="none"/>
        </w:rPr>
        <w:t>规定享受扶持政策获得政府采购合同的，小微企业不得将合同分包给大中型企业，中型企业不得将合同分包给大型企业。</w:t>
      </w:r>
    </w:p>
    <w:p w14:paraId="60028AC6">
      <w:pPr>
        <w:pStyle w:val="16"/>
        <w:spacing w:line="360" w:lineRule="exact"/>
        <w:ind w:left="1080" w:leftChars="257" w:hanging="540"/>
        <w:rPr>
          <w:rFonts w:ascii="微软雅黑" w:hAnsi="微软雅黑" w:eastAsia="微软雅黑" w:cs="微软雅黑"/>
          <w:color w:val="auto"/>
          <w:sz w:val="24"/>
          <w:u w:val="single"/>
        </w:rPr>
      </w:pPr>
    </w:p>
    <w:p w14:paraId="4414928C">
      <w:pPr>
        <w:pStyle w:val="16"/>
        <w:spacing w:line="360" w:lineRule="exact"/>
        <w:ind w:left="1080" w:leftChars="257" w:hanging="540"/>
        <w:rPr>
          <w:rFonts w:ascii="微软雅黑" w:hAnsi="微软雅黑" w:eastAsia="微软雅黑" w:cs="微软雅黑"/>
          <w:color w:val="auto"/>
          <w:sz w:val="24"/>
          <w:u w:val="single"/>
        </w:rPr>
      </w:pPr>
    </w:p>
    <w:p w14:paraId="72AE37C3">
      <w:pPr>
        <w:pStyle w:val="17"/>
        <w:rPr>
          <w:color w:val="auto"/>
        </w:rPr>
      </w:pPr>
    </w:p>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p w14:paraId="1F8D25B4">
      <w:pPr>
        <w:pStyle w:val="16"/>
        <w:snapToGrid w:val="0"/>
        <w:spacing w:line="240" w:lineRule="atLeast"/>
        <w:textAlignment w:val="baseline"/>
        <w:rPr>
          <w:rFonts w:ascii="微软雅黑" w:hAnsi="微软雅黑" w:eastAsia="微软雅黑" w:cs="微软雅黑"/>
          <w:color w:val="auto"/>
          <w:sz w:val="24"/>
          <w:szCs w:val="24"/>
        </w:rPr>
      </w:pPr>
    </w:p>
    <w:p w14:paraId="41EA84BE">
      <w:pPr>
        <w:spacing w:line="240" w:lineRule="atLeast"/>
        <w:outlineLvl w:val="1"/>
        <w:rPr>
          <w:rFonts w:ascii="微软雅黑" w:hAnsi="微软雅黑" w:eastAsia="微软雅黑" w:cs="微软雅黑"/>
          <w:b/>
          <w:bCs/>
          <w:color w:val="auto"/>
          <w:sz w:val="24"/>
        </w:rPr>
      </w:pPr>
      <w:bookmarkStart w:id="546" w:name="_Hlt520274407"/>
      <w:bookmarkEnd w:id="546"/>
      <w:bookmarkStart w:id="547" w:name="_Hlt520271212"/>
      <w:bookmarkEnd w:id="547"/>
      <w:bookmarkStart w:id="548" w:name="_Hlt520350918"/>
      <w:bookmarkEnd w:id="548"/>
      <w:bookmarkStart w:id="549" w:name="_Hlt520274065"/>
      <w:bookmarkEnd w:id="549"/>
      <w:bookmarkStart w:id="550" w:name="_Hlt520274911"/>
      <w:bookmarkEnd w:id="550"/>
      <w:bookmarkStart w:id="551" w:name="_Hlt520343392"/>
      <w:bookmarkEnd w:id="551"/>
      <w:bookmarkStart w:id="552" w:name="_Hlt520273711"/>
      <w:bookmarkEnd w:id="552"/>
      <w:bookmarkStart w:id="553" w:name="_Hlt520343000"/>
      <w:bookmarkEnd w:id="553"/>
      <w:bookmarkStart w:id="554" w:name="_Hlt520350957"/>
      <w:bookmarkEnd w:id="554"/>
      <w:bookmarkStart w:id="555" w:name="_Hlt520274393"/>
      <w:bookmarkEnd w:id="555"/>
      <w:bookmarkStart w:id="556" w:name="_Hlt520273973"/>
      <w:bookmarkEnd w:id="556"/>
      <w:bookmarkStart w:id="557" w:name="_Toc10530"/>
      <w:bookmarkStart w:id="558" w:name="_Toc19284"/>
      <w:bookmarkStart w:id="559" w:name="_Toc5825"/>
      <w:bookmarkStart w:id="560" w:name="_Toc13191"/>
      <w:bookmarkStart w:id="561" w:name="_Toc515647825"/>
      <w:bookmarkStart w:id="562" w:name="OLE_LINK13"/>
      <w:bookmarkStart w:id="563" w:name="_Toc23068"/>
      <w:bookmarkStart w:id="564" w:name="_Toc15209"/>
      <w:bookmarkStart w:id="565" w:name="_Toc26116"/>
      <w:bookmarkStart w:id="566" w:name="_Toc12917"/>
      <w:bookmarkStart w:id="567" w:name="_Toc10900"/>
      <w:bookmarkStart w:id="568" w:name="_Toc23103"/>
      <w:bookmarkStart w:id="569" w:name="_Toc30321"/>
      <w:bookmarkStart w:id="570" w:name="OLE_LINK14"/>
      <w:bookmarkStart w:id="571" w:name="_Toc1860"/>
      <w:bookmarkStart w:id="572" w:name="_Toc13385"/>
      <w:bookmarkStart w:id="573" w:name="_Toc29345"/>
      <w:bookmarkStart w:id="574" w:name="_Toc24705"/>
      <w:bookmarkStart w:id="575" w:name="_Toc25307"/>
      <w:bookmarkStart w:id="576" w:name="_Toc8073"/>
      <w:bookmarkStart w:id="577" w:name="_Toc20471"/>
      <w:bookmarkStart w:id="578" w:name="_Toc2099"/>
      <w:r>
        <w:rPr>
          <w:rFonts w:hint="eastAsia" w:ascii="微软雅黑" w:hAnsi="微软雅黑" w:eastAsia="微软雅黑" w:cs="微软雅黑"/>
          <w:b/>
          <w:bCs/>
          <w:color w:val="auto"/>
          <w:sz w:val="24"/>
          <w:lang w:val="en-US" w:eastAsia="zh-CN"/>
        </w:rPr>
        <w:t>6、</w:t>
      </w:r>
      <w:r>
        <w:rPr>
          <w:rFonts w:hint="eastAsia" w:ascii="微软雅黑" w:hAnsi="微软雅黑" w:eastAsia="微软雅黑" w:cs="微软雅黑"/>
          <w:b/>
          <w:bCs/>
          <w:color w:val="auto"/>
          <w:sz w:val="24"/>
        </w:rPr>
        <w:t>残疾人福利性单位声明函</w:t>
      </w:r>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p>
    <w:p w14:paraId="144EA70C">
      <w:pPr>
        <w:spacing w:line="240" w:lineRule="atLeast"/>
        <w:ind w:left="1080" w:leftChars="257" w:hanging="540"/>
        <w:jc w:val="center"/>
        <w:rPr>
          <w:rFonts w:ascii="微软雅黑" w:hAnsi="微软雅黑" w:eastAsia="微软雅黑" w:cs="微软雅黑"/>
          <w:color w:val="auto"/>
          <w:kern w:val="0"/>
          <w:sz w:val="24"/>
        </w:rPr>
      </w:pPr>
    </w:p>
    <w:p w14:paraId="595CFA16">
      <w:pPr>
        <w:spacing w:line="240" w:lineRule="atLeast"/>
        <w:ind w:firstLine="567"/>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或者提供其他残疾人福利性单位制造的货物（不包括使用非残疾人福利性单位注册商标的货物）。</w:t>
      </w:r>
    </w:p>
    <w:p w14:paraId="4D601C89">
      <w:pPr>
        <w:spacing w:line="240" w:lineRule="atLeast"/>
        <w:ind w:left="1080" w:leftChars="257" w:hanging="540"/>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本单位对上述声明的真实性负责。如有虚假，将依法承担相应责任。</w:t>
      </w:r>
    </w:p>
    <w:p w14:paraId="33572CB1">
      <w:pPr>
        <w:spacing w:line="240" w:lineRule="atLeast"/>
        <w:ind w:left="1080" w:leftChars="257" w:hanging="540"/>
        <w:jc w:val="center"/>
        <w:rPr>
          <w:rFonts w:ascii="微软雅黑" w:hAnsi="微软雅黑" w:eastAsia="微软雅黑" w:cs="微软雅黑"/>
          <w:color w:val="auto"/>
          <w:kern w:val="0"/>
          <w:sz w:val="24"/>
        </w:rPr>
      </w:pPr>
    </w:p>
    <w:p w14:paraId="0267193A">
      <w:pPr>
        <w:spacing w:line="240" w:lineRule="atLeast"/>
        <w:ind w:left="1080" w:leftChars="257" w:hanging="540"/>
        <w:jc w:val="center"/>
        <w:rPr>
          <w:rFonts w:ascii="微软雅黑" w:hAnsi="微软雅黑" w:eastAsia="微软雅黑" w:cs="微软雅黑"/>
          <w:color w:val="auto"/>
          <w:kern w:val="0"/>
          <w:sz w:val="24"/>
        </w:rPr>
      </w:pPr>
    </w:p>
    <w:p w14:paraId="120CF5A6">
      <w:pPr>
        <w:spacing w:line="240" w:lineRule="atLeast"/>
        <w:ind w:left="1080" w:leftChars="257" w:hanging="540"/>
        <w:jc w:val="center"/>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xml:space="preserve"> 残疾人福利性单位名称（公章）：</w:t>
      </w:r>
    </w:p>
    <w:p w14:paraId="6F3004F1">
      <w:pPr>
        <w:spacing w:line="240" w:lineRule="atLeast"/>
        <w:ind w:left="1080" w:leftChars="257" w:hanging="540"/>
        <w:jc w:val="center"/>
        <w:rPr>
          <w:rFonts w:ascii="微软雅黑" w:hAnsi="微软雅黑" w:eastAsia="微软雅黑" w:cs="微软雅黑"/>
          <w:color w:val="auto"/>
          <w:szCs w:val="21"/>
        </w:rPr>
      </w:pPr>
      <w:r>
        <w:rPr>
          <w:rFonts w:hint="eastAsia" w:ascii="微软雅黑" w:hAnsi="微软雅黑" w:eastAsia="微软雅黑" w:cs="微软雅黑"/>
          <w:color w:val="auto"/>
          <w:kern w:val="0"/>
          <w:sz w:val="24"/>
        </w:rPr>
        <w:t xml:space="preserve">                 日  期：</w:t>
      </w:r>
    </w:p>
    <w:p w14:paraId="5F5F953C">
      <w:pPr>
        <w:spacing w:line="480" w:lineRule="exact"/>
        <w:ind w:left="1080" w:leftChars="257" w:hanging="540"/>
        <w:jc w:val="center"/>
        <w:rPr>
          <w:rFonts w:ascii="微软雅黑" w:hAnsi="微软雅黑" w:eastAsia="微软雅黑" w:cs="微软雅黑"/>
          <w:color w:val="auto"/>
          <w:szCs w:val="21"/>
        </w:rPr>
      </w:pPr>
    </w:p>
    <w:p w14:paraId="5297D4EA">
      <w:pPr>
        <w:pStyle w:val="4"/>
        <w:spacing w:before="0" w:line="480" w:lineRule="exact"/>
        <w:ind w:left="1080" w:leftChars="257" w:hanging="540"/>
        <w:jc w:val="left"/>
        <w:rPr>
          <w:rFonts w:ascii="微软雅黑" w:hAnsi="微软雅黑" w:eastAsia="微软雅黑" w:cs="微软雅黑"/>
          <w:bCs/>
          <w:color w:val="auto"/>
          <w:kern w:val="2"/>
          <w:sz w:val="21"/>
          <w:szCs w:val="21"/>
        </w:rPr>
      </w:pPr>
      <w:bookmarkStart w:id="579" w:name="_Toc6004"/>
      <w:bookmarkStart w:id="580" w:name="_Toc11868"/>
      <w:bookmarkStart w:id="581" w:name="_Toc19223"/>
      <w:bookmarkStart w:id="582" w:name="_Toc5527"/>
      <w:bookmarkStart w:id="583" w:name="_Toc22561"/>
      <w:bookmarkStart w:id="584" w:name="_Toc22378"/>
      <w:bookmarkStart w:id="585" w:name="_Toc28099"/>
      <w:bookmarkStart w:id="586" w:name="_Toc6009"/>
      <w:bookmarkStart w:id="587" w:name="_Toc20362"/>
      <w:bookmarkStart w:id="588" w:name="_Toc5568"/>
      <w:bookmarkStart w:id="589" w:name="_Toc26133"/>
      <w:bookmarkStart w:id="590" w:name="_Toc30795"/>
      <w:bookmarkStart w:id="591" w:name="_Toc515647827"/>
      <w:bookmarkStart w:id="592" w:name="_Toc2304"/>
      <w:bookmarkStart w:id="593" w:name="_Toc452"/>
      <w:bookmarkStart w:id="594" w:name="_Toc30946"/>
      <w:bookmarkStart w:id="595" w:name="_Toc16850"/>
      <w:r>
        <w:rPr>
          <w:rFonts w:hint="eastAsia" w:ascii="微软雅黑" w:hAnsi="微软雅黑" w:eastAsia="微软雅黑" w:cs="微软雅黑"/>
          <w:bCs/>
          <w:color w:val="auto"/>
          <w:kern w:val="2"/>
          <w:sz w:val="21"/>
          <w:szCs w:val="21"/>
          <w:lang w:val="en-US" w:eastAsia="zh-CN"/>
        </w:rPr>
        <w:t>7、</w:t>
      </w:r>
      <w:r>
        <w:rPr>
          <w:rFonts w:hint="eastAsia" w:ascii="微软雅黑" w:hAnsi="微软雅黑" w:eastAsia="微软雅黑" w:cs="微软雅黑"/>
          <w:bCs/>
          <w:color w:val="auto"/>
          <w:kern w:val="2"/>
          <w:sz w:val="21"/>
          <w:szCs w:val="21"/>
        </w:rPr>
        <w:t>供应商关联单位的说明</w:t>
      </w:r>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p>
    <w:p w14:paraId="0248DA79">
      <w:pPr>
        <w:pStyle w:val="7"/>
        <w:spacing w:line="480" w:lineRule="exact"/>
        <w:jc w:val="center"/>
        <w:rPr>
          <w:rFonts w:ascii="微软雅黑" w:hAnsi="微软雅黑" w:eastAsia="微软雅黑" w:cs="微软雅黑"/>
          <w:color w:val="auto"/>
          <w:kern w:val="2"/>
          <w:sz w:val="21"/>
          <w:szCs w:val="21"/>
        </w:rPr>
      </w:pPr>
    </w:p>
    <w:p w14:paraId="20A6A2DB">
      <w:pPr>
        <w:pStyle w:val="7"/>
        <w:spacing w:line="480" w:lineRule="exact"/>
        <w:ind w:firstLineChars="200"/>
        <w:rPr>
          <w:rFonts w:ascii="微软雅黑" w:hAnsi="微软雅黑" w:eastAsia="微软雅黑" w:cs="微软雅黑"/>
          <w:color w:val="auto"/>
          <w:kern w:val="2"/>
          <w:sz w:val="21"/>
          <w:szCs w:val="21"/>
        </w:rPr>
      </w:pPr>
      <w:r>
        <w:rPr>
          <w:rFonts w:hint="eastAsia" w:ascii="微软雅黑" w:hAnsi="微软雅黑" w:eastAsia="微软雅黑" w:cs="微软雅黑"/>
          <w:color w:val="auto"/>
          <w:kern w:val="2"/>
          <w:sz w:val="21"/>
          <w:szCs w:val="21"/>
        </w:rPr>
        <w:t>说明：供应商应当如实披露与本单位存在下列关联关系的单位名称：</w:t>
      </w:r>
    </w:p>
    <w:p w14:paraId="7125424A">
      <w:pPr>
        <w:pStyle w:val="7"/>
        <w:spacing w:line="480" w:lineRule="exact"/>
        <w:ind w:firstLineChars="200"/>
        <w:rPr>
          <w:rFonts w:ascii="微软雅黑" w:hAnsi="微软雅黑" w:eastAsia="微软雅黑" w:cs="微软雅黑"/>
          <w:color w:val="auto"/>
          <w:kern w:val="2"/>
          <w:sz w:val="21"/>
          <w:szCs w:val="21"/>
        </w:rPr>
      </w:pPr>
      <w:r>
        <w:rPr>
          <w:rFonts w:hint="eastAsia" w:ascii="微软雅黑" w:hAnsi="微软雅黑" w:eastAsia="微软雅黑" w:cs="微软雅黑"/>
          <w:color w:val="auto"/>
          <w:kern w:val="2"/>
          <w:sz w:val="21"/>
          <w:szCs w:val="21"/>
        </w:rPr>
        <w:t>（1）与供应商单位负责人为同一人的其他单位；</w:t>
      </w:r>
    </w:p>
    <w:p w14:paraId="6CBB6ED1">
      <w:pPr>
        <w:pStyle w:val="7"/>
        <w:spacing w:line="480" w:lineRule="exact"/>
        <w:ind w:firstLineChars="200"/>
        <w:rPr>
          <w:rFonts w:ascii="微软雅黑" w:hAnsi="微软雅黑" w:eastAsia="微软雅黑" w:cs="微软雅黑"/>
          <w:color w:val="auto"/>
          <w:kern w:val="2"/>
          <w:sz w:val="21"/>
          <w:szCs w:val="21"/>
        </w:rPr>
      </w:pPr>
      <w:r>
        <w:rPr>
          <w:rFonts w:hint="eastAsia" w:ascii="微软雅黑" w:hAnsi="微软雅黑" w:eastAsia="微软雅黑" w:cs="微软雅黑"/>
          <w:color w:val="auto"/>
          <w:kern w:val="2"/>
          <w:sz w:val="21"/>
          <w:szCs w:val="21"/>
        </w:rPr>
        <w:t xml:space="preserve">    （2）与供应商存在直接控股、管理关系的其他单位。</w:t>
      </w:r>
    </w:p>
    <w:p w14:paraId="1A3BCC1D">
      <w:pPr>
        <w:pStyle w:val="7"/>
        <w:spacing w:line="480" w:lineRule="exact"/>
        <w:rPr>
          <w:rFonts w:ascii="微软雅黑" w:hAnsi="微软雅黑" w:eastAsia="微软雅黑" w:cs="微软雅黑"/>
          <w:color w:val="auto"/>
          <w:kern w:val="2"/>
          <w:sz w:val="21"/>
          <w:szCs w:val="21"/>
        </w:rPr>
      </w:pPr>
    </w:p>
    <w:p w14:paraId="64093B58">
      <w:pPr>
        <w:spacing w:line="480" w:lineRule="exact"/>
        <w:jc w:val="both"/>
        <w:rPr>
          <w:rFonts w:ascii="微软雅黑" w:hAnsi="微软雅黑" w:eastAsia="微软雅黑" w:cs="微软雅黑"/>
          <w:color w:val="auto"/>
          <w:szCs w:val="21"/>
        </w:rPr>
      </w:pPr>
    </w:p>
    <w:bookmarkEnd w:id="572"/>
    <w:bookmarkEnd w:id="573"/>
    <w:bookmarkEnd w:id="574"/>
    <w:bookmarkEnd w:id="575"/>
    <w:bookmarkEnd w:id="576"/>
    <w:bookmarkEnd w:id="577"/>
    <w:bookmarkEnd w:id="578"/>
    <w:p w14:paraId="1FE6BD44">
      <w:pPr>
        <w:pStyle w:val="4"/>
        <w:spacing w:before="0" w:line="480" w:lineRule="exact"/>
        <w:ind w:left="1080" w:leftChars="257" w:hanging="540"/>
        <w:jc w:val="left"/>
        <w:rPr>
          <w:rFonts w:ascii="微软雅黑" w:hAnsi="微软雅黑" w:eastAsia="微软雅黑" w:cs="微软雅黑"/>
          <w:bCs/>
          <w:color w:val="auto"/>
          <w:kern w:val="2"/>
          <w:sz w:val="21"/>
          <w:szCs w:val="21"/>
        </w:rPr>
      </w:pPr>
      <w:bookmarkStart w:id="596" w:name="_Toc305"/>
      <w:bookmarkStart w:id="597" w:name="_Toc27058"/>
      <w:bookmarkStart w:id="598" w:name="_Toc12486"/>
      <w:bookmarkStart w:id="599" w:name="_Toc31226"/>
      <w:bookmarkStart w:id="600" w:name="_Toc23897"/>
      <w:bookmarkStart w:id="601" w:name="_Toc20015"/>
      <w:bookmarkStart w:id="602" w:name="_Toc6932"/>
      <w:bookmarkStart w:id="603" w:name="_Toc17843"/>
      <w:bookmarkStart w:id="604" w:name="_Toc7966"/>
      <w:bookmarkStart w:id="605" w:name="_Toc25126"/>
      <w:bookmarkStart w:id="606" w:name="_Toc16811"/>
      <w:bookmarkStart w:id="607" w:name="_Toc27478"/>
      <w:bookmarkStart w:id="608" w:name="_Toc15535"/>
      <w:bookmarkStart w:id="609" w:name="_Toc28765"/>
      <w:bookmarkStart w:id="610" w:name="_Toc216582822"/>
      <w:bookmarkStart w:id="611" w:name="_Toc218935350"/>
      <w:bookmarkStart w:id="612" w:name="_Toc219175634"/>
      <w:bookmarkStart w:id="613" w:name="_Toc507399902"/>
      <w:bookmarkStart w:id="614" w:name="_Toc16370"/>
      <w:bookmarkStart w:id="615" w:name="_Toc515647829"/>
      <w:r>
        <w:rPr>
          <w:rFonts w:hint="eastAsia" w:ascii="微软雅黑" w:hAnsi="微软雅黑" w:eastAsia="微软雅黑" w:cs="微软雅黑"/>
          <w:bCs/>
          <w:color w:val="auto"/>
          <w:kern w:val="2"/>
          <w:sz w:val="21"/>
          <w:szCs w:val="21"/>
          <w:lang w:val="en-US" w:eastAsia="zh-CN"/>
        </w:rPr>
        <w:t>8、</w:t>
      </w:r>
      <w:r>
        <w:rPr>
          <w:rFonts w:hint="eastAsia" w:ascii="微软雅黑" w:hAnsi="微软雅黑" w:eastAsia="微软雅黑" w:cs="微软雅黑"/>
          <w:bCs/>
          <w:color w:val="auto"/>
          <w:kern w:val="2"/>
          <w:sz w:val="21"/>
          <w:szCs w:val="21"/>
        </w:rPr>
        <w:t>供应商可提供有利于投标的其他资格证明材料</w:t>
      </w:r>
      <w:bookmarkEnd w:id="596"/>
      <w:bookmarkEnd w:id="597"/>
      <w:bookmarkEnd w:id="598"/>
      <w:bookmarkEnd w:id="599"/>
      <w:bookmarkEnd w:id="600"/>
      <w:bookmarkEnd w:id="601"/>
      <w:bookmarkEnd w:id="602"/>
      <w:bookmarkEnd w:id="603"/>
      <w:bookmarkEnd w:id="604"/>
      <w:bookmarkEnd w:id="605"/>
      <w:bookmarkEnd w:id="606"/>
      <w:bookmarkEnd w:id="607"/>
      <w:bookmarkEnd w:id="608"/>
    </w:p>
    <w:p w14:paraId="352549E8">
      <w:pPr>
        <w:spacing w:line="480" w:lineRule="exact"/>
        <w:jc w:val="left"/>
        <w:rPr>
          <w:rFonts w:ascii="微软雅黑" w:hAnsi="微软雅黑" w:eastAsia="微软雅黑" w:cs="微软雅黑"/>
          <w:color w:val="auto"/>
          <w:sz w:val="24"/>
        </w:rPr>
      </w:pPr>
    </w:p>
    <w:p w14:paraId="49063579">
      <w:pPr>
        <w:pStyle w:val="36"/>
        <w:ind w:firstLine="480"/>
        <w:rPr>
          <w:rFonts w:ascii="微软雅黑" w:hAnsi="微软雅黑" w:eastAsia="微软雅黑" w:cs="微软雅黑"/>
          <w:color w:val="auto"/>
        </w:rPr>
      </w:pPr>
    </w:p>
    <w:p w14:paraId="439EBCF4">
      <w:pPr>
        <w:pStyle w:val="36"/>
        <w:ind w:firstLine="480"/>
        <w:rPr>
          <w:rFonts w:ascii="微软雅黑" w:hAnsi="微软雅黑" w:eastAsia="微软雅黑" w:cs="微软雅黑"/>
          <w:color w:val="auto"/>
        </w:rPr>
      </w:pPr>
    </w:p>
    <w:p w14:paraId="145AD176">
      <w:pPr>
        <w:pStyle w:val="35"/>
      </w:pPr>
    </w:p>
    <w:p w14:paraId="22916161">
      <w:pPr>
        <w:pStyle w:val="36"/>
      </w:pPr>
    </w:p>
    <w:p w14:paraId="31026AAA">
      <w:pPr>
        <w:pStyle w:val="35"/>
      </w:pPr>
    </w:p>
    <w:p w14:paraId="396D7337">
      <w:pPr>
        <w:pStyle w:val="36"/>
      </w:pPr>
    </w:p>
    <w:p w14:paraId="56304E98">
      <w:pPr>
        <w:pStyle w:val="35"/>
      </w:pPr>
    </w:p>
    <w:p w14:paraId="5F298D41">
      <w:pPr>
        <w:pStyle w:val="36"/>
      </w:pPr>
    </w:p>
    <w:p w14:paraId="60C41848">
      <w:pPr>
        <w:pStyle w:val="35"/>
      </w:pPr>
    </w:p>
    <w:p w14:paraId="6074EEFA">
      <w:pPr>
        <w:pStyle w:val="36"/>
      </w:pPr>
    </w:p>
    <w:p w14:paraId="19061E3D">
      <w:pPr>
        <w:pStyle w:val="35"/>
      </w:pPr>
    </w:p>
    <w:p w14:paraId="7D5D83B0">
      <w:pPr>
        <w:pStyle w:val="36"/>
      </w:pPr>
    </w:p>
    <w:p w14:paraId="67EA732D">
      <w:pPr>
        <w:pStyle w:val="35"/>
      </w:pPr>
    </w:p>
    <w:p w14:paraId="002E071F">
      <w:pPr>
        <w:pStyle w:val="36"/>
      </w:pPr>
    </w:p>
    <w:p w14:paraId="1852B306">
      <w:pPr>
        <w:pStyle w:val="36"/>
        <w:ind w:firstLine="480"/>
        <w:rPr>
          <w:rFonts w:ascii="微软雅黑" w:hAnsi="微软雅黑" w:eastAsia="微软雅黑" w:cs="微软雅黑"/>
          <w:color w:val="auto"/>
        </w:rPr>
      </w:pPr>
    </w:p>
    <w:p w14:paraId="47F8340D">
      <w:pPr>
        <w:snapToGrid w:val="0"/>
        <w:spacing w:line="240" w:lineRule="atLeast"/>
        <w:ind w:left="1079" w:leftChars="257" w:hanging="539"/>
        <w:jc w:val="left"/>
        <w:textAlignment w:val="baseline"/>
        <w:outlineLvl w:val="1"/>
        <w:rPr>
          <w:rFonts w:ascii="微软雅黑" w:hAnsi="微软雅黑" w:eastAsia="微软雅黑" w:cs="微软雅黑"/>
          <w:b/>
          <w:color w:val="auto"/>
          <w:sz w:val="24"/>
        </w:rPr>
      </w:pPr>
      <w:bookmarkStart w:id="616" w:name="_Toc9655"/>
      <w:r>
        <w:rPr>
          <w:rFonts w:hint="eastAsia" w:ascii="微软雅黑" w:hAnsi="微软雅黑" w:eastAsia="微软雅黑" w:cs="微软雅黑"/>
          <w:b/>
          <w:color w:val="auto"/>
          <w:kern w:val="0"/>
          <w:sz w:val="24"/>
          <w:szCs w:val="20"/>
          <w:lang w:val="en-US" w:eastAsia="zh-CN"/>
        </w:rPr>
        <w:t>9</w:t>
      </w:r>
      <w:r>
        <w:rPr>
          <w:rFonts w:hint="eastAsia" w:ascii="微软雅黑" w:hAnsi="微软雅黑" w:eastAsia="微软雅黑" w:cs="微软雅黑"/>
          <w:b/>
          <w:color w:val="auto"/>
          <w:kern w:val="0"/>
          <w:sz w:val="24"/>
          <w:szCs w:val="20"/>
        </w:rPr>
        <w:t>、响应文件格式范本</w:t>
      </w:r>
      <w:bookmarkEnd w:id="616"/>
    </w:p>
    <w:tbl>
      <w:tblPr>
        <w:tblStyle w:val="37"/>
        <w:tblpPr w:leftFromText="180" w:rightFromText="180" w:vertAnchor="text" w:horzAnchor="page" w:tblpX="1343" w:tblpY="413"/>
        <w:tblOverlap w:val="never"/>
        <w:tblW w:w="9120" w:type="dxa"/>
        <w:tblInd w:w="0" w:type="dxa"/>
        <w:tblBorders>
          <w:top w:val="double" w:color="666699" w:sz="4" w:space="0"/>
          <w:left w:val="double" w:color="666699" w:sz="4" w:space="0"/>
          <w:bottom w:val="double" w:color="666699" w:sz="4" w:space="0"/>
          <w:right w:val="double" w:color="666699" w:sz="4" w:space="0"/>
          <w:insideH w:val="double" w:color="666699" w:sz="4" w:space="0"/>
          <w:insideV w:val="double" w:color="666699" w:sz="4" w:space="0"/>
        </w:tblBorders>
        <w:shd w:val="clear" w:color="auto" w:fill="FCFEEA"/>
        <w:tblLayout w:type="fixed"/>
        <w:tblCellMar>
          <w:top w:w="0" w:type="dxa"/>
          <w:left w:w="108" w:type="dxa"/>
          <w:bottom w:w="0" w:type="dxa"/>
          <w:right w:w="108" w:type="dxa"/>
        </w:tblCellMar>
      </w:tblPr>
      <w:tblGrid>
        <w:gridCol w:w="9120"/>
      </w:tblGrid>
      <w:tr w14:paraId="36A9C316">
        <w:tblPrEx>
          <w:tblBorders>
            <w:top w:val="double" w:color="666699" w:sz="4" w:space="0"/>
            <w:left w:val="double" w:color="666699" w:sz="4" w:space="0"/>
            <w:bottom w:val="double" w:color="666699" w:sz="4" w:space="0"/>
            <w:right w:val="double" w:color="666699" w:sz="4" w:space="0"/>
            <w:insideH w:val="double" w:color="666699" w:sz="4" w:space="0"/>
            <w:insideV w:val="double" w:color="666699" w:sz="4" w:space="0"/>
          </w:tblBorders>
          <w:shd w:val="clear" w:color="auto" w:fill="FCFEEA"/>
          <w:tblCellMar>
            <w:top w:w="0" w:type="dxa"/>
            <w:left w:w="108" w:type="dxa"/>
            <w:bottom w:w="0" w:type="dxa"/>
            <w:right w:w="108" w:type="dxa"/>
          </w:tblCellMar>
        </w:tblPrEx>
        <w:trPr>
          <w:trHeight w:val="12046" w:hRule="atLeast"/>
        </w:trPr>
        <w:tc>
          <w:tcPr>
            <w:tcW w:w="9120" w:type="dxa"/>
            <w:shd w:val="clear" w:color="auto" w:fill="FCFEEA"/>
          </w:tcPr>
          <w:p w14:paraId="3459E665">
            <w:pPr>
              <w:pStyle w:val="11"/>
              <w:snapToGrid w:val="0"/>
              <w:jc w:val="center"/>
              <w:textAlignment w:val="baseline"/>
              <w:rPr>
                <w:rFonts w:ascii="微软雅黑" w:hAnsi="微软雅黑" w:eastAsia="微软雅黑" w:cs="微软雅黑"/>
                <w:b/>
                <w:bCs/>
                <w:color w:val="auto"/>
                <w:sz w:val="28"/>
                <w:szCs w:val="28"/>
              </w:rPr>
            </w:pPr>
            <w:r>
              <w:rPr>
                <w:rFonts w:hint="eastAsia" w:ascii="微软雅黑" w:hAnsi="微软雅黑" w:eastAsia="微软雅黑" w:cs="微软雅黑"/>
                <w:b/>
                <w:bCs/>
                <w:color w:val="auto"/>
                <w:sz w:val="28"/>
                <w:szCs w:val="28"/>
              </w:rPr>
              <w:t xml:space="preserve">                                                （正本/副本）</w:t>
            </w:r>
          </w:p>
          <w:p w14:paraId="2F2ADAAD">
            <w:pPr>
              <w:pStyle w:val="11"/>
              <w:snapToGrid w:val="0"/>
              <w:ind w:firstLine="4202" w:firstLineChars="1500"/>
              <w:textAlignment w:val="baseline"/>
              <w:rPr>
                <w:rFonts w:ascii="微软雅黑" w:hAnsi="微软雅黑" w:eastAsia="微软雅黑" w:cs="微软雅黑"/>
                <w:b/>
                <w:bCs/>
                <w:color w:val="auto"/>
                <w:sz w:val="28"/>
                <w:szCs w:val="28"/>
              </w:rPr>
            </w:pPr>
          </w:p>
          <w:p w14:paraId="75EEEBC4">
            <w:pPr>
              <w:pStyle w:val="11"/>
              <w:snapToGrid w:val="0"/>
              <w:ind w:firstLine="4202" w:firstLineChars="1500"/>
              <w:textAlignment w:val="baseline"/>
              <w:rPr>
                <w:rFonts w:ascii="微软雅黑" w:hAnsi="微软雅黑" w:eastAsia="微软雅黑" w:cs="微软雅黑"/>
                <w:b/>
                <w:bCs/>
                <w:color w:val="auto"/>
                <w:sz w:val="28"/>
                <w:szCs w:val="28"/>
              </w:rPr>
            </w:pPr>
          </w:p>
          <w:p w14:paraId="44F45777">
            <w:pPr>
              <w:pStyle w:val="11"/>
              <w:snapToGrid w:val="0"/>
              <w:textAlignment w:val="baseline"/>
              <w:rPr>
                <w:rFonts w:ascii="微软雅黑" w:hAnsi="微软雅黑" w:eastAsia="微软雅黑" w:cs="微软雅黑"/>
                <w:b/>
                <w:bCs/>
                <w:color w:val="auto"/>
                <w:sz w:val="28"/>
                <w:szCs w:val="28"/>
              </w:rPr>
            </w:pPr>
          </w:p>
          <w:p w14:paraId="7D017DAA">
            <w:pPr>
              <w:pStyle w:val="11"/>
              <w:snapToGrid w:val="0"/>
              <w:ind w:firstLine="2521" w:firstLineChars="900"/>
              <w:textAlignment w:val="baseline"/>
              <w:rPr>
                <w:rFonts w:ascii="微软雅黑" w:hAnsi="微软雅黑" w:eastAsia="微软雅黑" w:cs="微软雅黑"/>
                <w:b/>
                <w:bCs/>
                <w:color w:val="auto"/>
                <w:sz w:val="28"/>
                <w:szCs w:val="28"/>
              </w:rPr>
            </w:pPr>
            <w:r>
              <w:rPr>
                <w:rFonts w:hint="eastAsia" w:ascii="微软雅黑" w:hAnsi="微软雅黑" w:eastAsia="微软雅黑" w:cs="微软雅黑"/>
                <w:b/>
                <w:bCs/>
                <w:color w:val="auto"/>
                <w:sz w:val="28"/>
                <w:szCs w:val="28"/>
              </w:rPr>
              <w:t>***** *** *** *** ***   项目***</w:t>
            </w:r>
          </w:p>
          <w:p w14:paraId="4994E822">
            <w:pPr>
              <w:pStyle w:val="11"/>
              <w:snapToGrid w:val="0"/>
              <w:jc w:val="center"/>
              <w:textAlignment w:val="baseline"/>
              <w:rPr>
                <w:rFonts w:ascii="微软雅黑" w:hAnsi="微软雅黑" w:eastAsia="微软雅黑" w:cs="微软雅黑"/>
                <w:b/>
                <w:bCs/>
                <w:color w:val="auto"/>
                <w:sz w:val="21"/>
                <w:szCs w:val="21"/>
              </w:rPr>
            </w:pPr>
          </w:p>
          <w:p w14:paraId="07B59B86">
            <w:pPr>
              <w:pStyle w:val="11"/>
              <w:snapToGrid w:val="0"/>
              <w:ind w:firstLine="3152" w:firstLineChars="1500"/>
              <w:textAlignment w:val="baseline"/>
              <w:rPr>
                <w:rFonts w:ascii="微软雅黑" w:hAnsi="微软雅黑" w:eastAsia="微软雅黑" w:cs="微软雅黑"/>
                <w:b/>
                <w:bCs/>
                <w:color w:val="auto"/>
                <w:sz w:val="21"/>
                <w:szCs w:val="21"/>
              </w:rPr>
            </w:pPr>
            <w:r>
              <w:rPr>
                <w:rFonts w:hint="eastAsia" w:ascii="微软雅黑" w:hAnsi="微软雅黑" w:eastAsia="微软雅黑" w:cs="微软雅黑"/>
                <w:b/>
                <w:bCs/>
                <w:color w:val="auto"/>
                <w:sz w:val="21"/>
                <w:szCs w:val="21"/>
              </w:rPr>
              <w:t>编号 ＊＊＊</w:t>
            </w:r>
          </w:p>
          <w:p w14:paraId="136CE7B6">
            <w:pPr>
              <w:pStyle w:val="11"/>
              <w:snapToGrid w:val="0"/>
              <w:jc w:val="center"/>
              <w:textAlignment w:val="baseline"/>
              <w:rPr>
                <w:rFonts w:ascii="微软雅黑" w:hAnsi="微软雅黑" w:eastAsia="微软雅黑" w:cs="微软雅黑"/>
                <w:b/>
                <w:bCs/>
                <w:color w:val="auto"/>
                <w:sz w:val="48"/>
              </w:rPr>
            </w:pPr>
          </w:p>
          <w:p w14:paraId="50287050">
            <w:pPr>
              <w:pStyle w:val="11"/>
              <w:snapToGrid w:val="0"/>
              <w:jc w:val="center"/>
              <w:textAlignment w:val="baseline"/>
              <w:rPr>
                <w:rFonts w:ascii="微软雅黑" w:hAnsi="微软雅黑" w:eastAsia="微软雅黑" w:cs="微软雅黑"/>
                <w:b/>
                <w:bCs/>
                <w:color w:val="auto"/>
                <w:sz w:val="48"/>
              </w:rPr>
            </w:pPr>
            <w:r>
              <w:rPr>
                <w:rFonts w:hint="eastAsia" w:ascii="微软雅黑" w:hAnsi="微软雅黑" w:eastAsia="微软雅黑" w:cs="微软雅黑"/>
                <w:b/>
                <w:bCs/>
                <w:color w:val="auto"/>
                <w:sz w:val="48"/>
              </w:rPr>
              <w:t>响 应 文 件</w:t>
            </w:r>
          </w:p>
          <w:p w14:paraId="7DED1979">
            <w:pPr>
              <w:snapToGrid w:val="0"/>
              <w:jc w:val="center"/>
              <w:textAlignment w:val="baseline"/>
              <w:rPr>
                <w:rFonts w:ascii="微软雅黑" w:hAnsi="微软雅黑" w:eastAsia="微软雅黑" w:cs="微软雅黑"/>
                <w:b/>
                <w:color w:val="auto"/>
                <w:sz w:val="32"/>
              </w:rPr>
            </w:pPr>
          </w:p>
          <w:p w14:paraId="2BECE047">
            <w:pPr>
              <w:pStyle w:val="7"/>
              <w:snapToGrid w:val="0"/>
              <w:ind w:firstLine="0"/>
              <w:textAlignment w:val="baseline"/>
              <w:rPr>
                <w:rFonts w:ascii="微软雅黑" w:hAnsi="微软雅黑" w:eastAsia="微软雅黑" w:cs="微软雅黑"/>
                <w:b/>
                <w:color w:val="auto"/>
                <w:sz w:val="32"/>
              </w:rPr>
            </w:pPr>
          </w:p>
          <w:p w14:paraId="76FD266B">
            <w:pPr>
              <w:snapToGrid w:val="0"/>
              <w:spacing w:line="360" w:lineRule="auto"/>
              <w:ind w:left="176" w:leftChars="84" w:firstLine="840" w:firstLineChars="400"/>
              <w:textAlignment w:val="baseline"/>
              <w:rPr>
                <w:rFonts w:ascii="微软雅黑" w:hAnsi="微软雅黑" w:eastAsia="微软雅黑" w:cs="微软雅黑"/>
                <w:color w:val="auto"/>
                <w:sz w:val="20"/>
                <w:szCs w:val="21"/>
              </w:rPr>
            </w:pPr>
            <w:r>
              <w:rPr>
                <w:rFonts w:hint="eastAsia" w:ascii="微软雅黑" w:hAnsi="微软雅黑" w:eastAsia="微软雅黑" w:cs="微软雅黑"/>
                <w:color w:val="auto"/>
                <w:szCs w:val="21"/>
              </w:rPr>
              <w:t>磋商单位：</w:t>
            </w:r>
            <w:r>
              <w:rPr>
                <w:rFonts w:hint="eastAsia" w:ascii="微软雅黑" w:hAnsi="微软雅黑" w:eastAsia="微软雅黑" w:cs="微软雅黑"/>
                <w:color w:val="auto"/>
                <w:szCs w:val="21"/>
                <w:u w:val="single" w:color="000000"/>
              </w:rPr>
              <w:t xml:space="preserve">                                       </w:t>
            </w:r>
            <w:r>
              <w:rPr>
                <w:rFonts w:hint="eastAsia" w:ascii="微软雅黑" w:hAnsi="微软雅黑" w:eastAsia="微软雅黑" w:cs="微软雅黑"/>
                <w:color w:val="auto"/>
                <w:szCs w:val="21"/>
              </w:rPr>
              <w:t>（公章）</w:t>
            </w:r>
          </w:p>
          <w:p w14:paraId="250AA445">
            <w:pPr>
              <w:snapToGrid w:val="0"/>
              <w:spacing w:line="360" w:lineRule="auto"/>
              <w:ind w:left="176" w:leftChars="84" w:firstLine="840" w:firstLineChars="400"/>
              <w:textAlignment w:val="baseline"/>
              <w:rPr>
                <w:rFonts w:ascii="微软雅黑" w:hAnsi="微软雅黑" w:eastAsia="微软雅黑" w:cs="微软雅黑"/>
                <w:color w:val="auto"/>
                <w:sz w:val="20"/>
                <w:szCs w:val="21"/>
                <w:u w:val="single" w:color="000000"/>
              </w:rPr>
            </w:pPr>
            <w:r>
              <w:rPr>
                <w:rFonts w:hint="eastAsia" w:ascii="微软雅黑" w:hAnsi="微软雅黑" w:eastAsia="微软雅黑" w:cs="微软雅黑"/>
                <w:color w:val="auto"/>
                <w:szCs w:val="21"/>
              </w:rPr>
              <w:t>项目名称：</w:t>
            </w:r>
            <w:r>
              <w:rPr>
                <w:rFonts w:hint="eastAsia" w:ascii="微软雅黑" w:hAnsi="微软雅黑" w:eastAsia="微软雅黑" w:cs="微软雅黑"/>
                <w:color w:val="auto"/>
                <w:szCs w:val="21"/>
                <w:u w:val="single" w:color="000000"/>
              </w:rPr>
              <w:t xml:space="preserve">                                          </w:t>
            </w:r>
          </w:p>
          <w:p w14:paraId="6DCDCB4F">
            <w:pPr>
              <w:snapToGrid w:val="0"/>
              <w:spacing w:line="360" w:lineRule="auto"/>
              <w:ind w:left="176" w:leftChars="84" w:firstLine="840" w:firstLineChars="400"/>
              <w:textAlignment w:val="baseline"/>
              <w:rPr>
                <w:rFonts w:ascii="微软雅黑" w:hAnsi="微软雅黑" w:eastAsia="微软雅黑" w:cs="微软雅黑"/>
                <w:color w:val="auto"/>
                <w:sz w:val="20"/>
                <w:szCs w:val="21"/>
                <w:u w:val="single" w:color="000000"/>
              </w:rPr>
            </w:pPr>
            <w:r>
              <w:rPr>
                <w:rFonts w:hint="eastAsia" w:ascii="微软雅黑" w:hAnsi="微软雅黑" w:eastAsia="微软雅黑" w:cs="微软雅黑"/>
                <w:color w:val="auto"/>
                <w:szCs w:val="21"/>
              </w:rPr>
              <w:t>项目编号：</w:t>
            </w:r>
            <w:r>
              <w:rPr>
                <w:rFonts w:hint="eastAsia" w:ascii="微软雅黑" w:hAnsi="微软雅黑" w:eastAsia="微软雅黑" w:cs="微软雅黑"/>
                <w:color w:val="auto"/>
                <w:szCs w:val="21"/>
                <w:u w:val="single" w:color="000000"/>
              </w:rPr>
              <w:t xml:space="preserve">                                        </w:t>
            </w:r>
          </w:p>
          <w:p w14:paraId="0DCDC504">
            <w:pPr>
              <w:snapToGrid w:val="0"/>
              <w:spacing w:line="360" w:lineRule="auto"/>
              <w:ind w:left="176" w:leftChars="84" w:firstLine="840" w:firstLineChars="400"/>
              <w:textAlignment w:val="baseline"/>
              <w:rPr>
                <w:rFonts w:ascii="微软雅黑" w:hAnsi="微软雅黑" w:eastAsia="微软雅黑" w:cs="微软雅黑"/>
                <w:color w:val="auto"/>
                <w:sz w:val="20"/>
                <w:szCs w:val="21"/>
                <w:u w:val="single" w:color="000000"/>
              </w:rPr>
            </w:pPr>
            <w:r>
              <w:rPr>
                <w:rFonts w:hint="eastAsia" w:ascii="微软雅黑" w:hAnsi="微软雅黑" w:eastAsia="微软雅黑" w:cs="微软雅黑"/>
                <w:color w:val="auto"/>
                <w:szCs w:val="21"/>
              </w:rPr>
              <w:t>联 系 人：</w:t>
            </w:r>
            <w:r>
              <w:rPr>
                <w:rFonts w:hint="eastAsia" w:ascii="微软雅黑" w:hAnsi="微软雅黑" w:eastAsia="微软雅黑" w:cs="微软雅黑"/>
                <w:color w:val="auto"/>
                <w:szCs w:val="21"/>
                <w:u w:val="single" w:color="000000"/>
              </w:rPr>
              <w:t xml:space="preserve">                                        </w:t>
            </w:r>
          </w:p>
          <w:p w14:paraId="3E195243">
            <w:pPr>
              <w:snapToGrid w:val="0"/>
              <w:spacing w:line="360" w:lineRule="auto"/>
              <w:ind w:left="176" w:leftChars="84" w:firstLine="840" w:firstLineChars="400"/>
              <w:textAlignment w:val="baseline"/>
              <w:rPr>
                <w:rFonts w:ascii="微软雅黑" w:hAnsi="微软雅黑" w:eastAsia="微软雅黑" w:cs="微软雅黑"/>
                <w:color w:val="auto"/>
                <w:sz w:val="20"/>
                <w:szCs w:val="21"/>
              </w:rPr>
            </w:pPr>
            <w:r>
              <w:rPr>
                <w:rFonts w:hint="eastAsia" w:ascii="微软雅黑" w:hAnsi="微软雅黑" w:eastAsia="微软雅黑" w:cs="微软雅黑"/>
                <w:color w:val="auto"/>
                <w:szCs w:val="21"/>
              </w:rPr>
              <w:t>电    话：</w:t>
            </w:r>
            <w:r>
              <w:rPr>
                <w:rFonts w:hint="eastAsia" w:ascii="微软雅黑" w:hAnsi="微软雅黑" w:eastAsia="微软雅黑" w:cs="微软雅黑"/>
                <w:color w:val="auto"/>
                <w:szCs w:val="21"/>
                <w:u w:val="single" w:color="000000"/>
              </w:rPr>
              <w:t xml:space="preserve">                                        </w:t>
            </w:r>
          </w:p>
          <w:p w14:paraId="208F9031">
            <w:pPr>
              <w:snapToGrid w:val="0"/>
              <w:spacing w:line="360" w:lineRule="auto"/>
              <w:ind w:left="176" w:leftChars="84" w:firstLine="840" w:firstLineChars="400"/>
              <w:textAlignment w:val="baseline"/>
              <w:rPr>
                <w:rFonts w:ascii="微软雅黑" w:hAnsi="微软雅黑" w:eastAsia="微软雅黑" w:cs="微软雅黑"/>
                <w:color w:val="auto"/>
                <w:sz w:val="20"/>
                <w:szCs w:val="21"/>
                <w:u w:val="single" w:color="000000"/>
              </w:rPr>
            </w:pPr>
            <w:r>
              <w:rPr>
                <w:rFonts w:hint="eastAsia" w:ascii="微软雅黑" w:hAnsi="微软雅黑" w:eastAsia="微软雅黑" w:cs="微软雅黑"/>
                <w:color w:val="auto"/>
                <w:szCs w:val="21"/>
              </w:rPr>
              <w:t xml:space="preserve">地    址  ：  </w:t>
            </w:r>
            <w:r>
              <w:rPr>
                <w:rFonts w:hint="eastAsia" w:ascii="微软雅黑" w:hAnsi="微软雅黑" w:eastAsia="微软雅黑" w:cs="微软雅黑"/>
                <w:color w:val="auto"/>
                <w:szCs w:val="21"/>
                <w:u w:val="single" w:color="000000"/>
              </w:rPr>
              <w:t xml:space="preserve">                                    </w:t>
            </w:r>
          </w:p>
          <w:p w14:paraId="367FE20F">
            <w:pPr>
              <w:snapToGrid w:val="0"/>
              <w:spacing w:line="360" w:lineRule="auto"/>
              <w:ind w:left="176" w:leftChars="84" w:firstLine="960" w:firstLineChars="400"/>
              <w:textAlignment w:val="baseline"/>
              <w:rPr>
                <w:rFonts w:ascii="微软雅黑" w:hAnsi="微软雅黑" w:eastAsia="微软雅黑" w:cs="微软雅黑"/>
                <w:color w:val="auto"/>
                <w:sz w:val="24"/>
              </w:rPr>
            </w:pPr>
          </w:p>
          <w:p w14:paraId="6208B360">
            <w:pPr>
              <w:snapToGrid w:val="0"/>
              <w:jc w:val="both"/>
              <w:textAlignment w:val="baseline"/>
              <w:rPr>
                <w:rFonts w:ascii="微软雅黑" w:hAnsi="微软雅黑" w:eastAsia="微软雅黑" w:cs="微软雅黑"/>
                <w:b/>
                <w:bCs/>
                <w:color w:val="auto"/>
                <w:sz w:val="20"/>
              </w:rPr>
            </w:pPr>
          </w:p>
          <w:p w14:paraId="31E1668F">
            <w:pPr>
              <w:snapToGrid w:val="0"/>
              <w:jc w:val="center"/>
              <w:textAlignment w:val="baseline"/>
              <w:rPr>
                <w:rFonts w:ascii="微软雅黑" w:hAnsi="微软雅黑" w:eastAsia="微软雅黑" w:cs="微软雅黑"/>
                <w:b/>
                <w:bCs/>
                <w:color w:val="auto"/>
                <w:sz w:val="20"/>
              </w:rPr>
            </w:pPr>
          </w:p>
          <w:p w14:paraId="5ED2F5A0">
            <w:pPr>
              <w:snapToGrid w:val="0"/>
              <w:jc w:val="center"/>
              <w:textAlignment w:val="baseline"/>
              <w:rPr>
                <w:rFonts w:ascii="微软雅黑" w:hAnsi="微软雅黑" w:eastAsia="微软雅黑" w:cs="微软雅黑"/>
                <w:b/>
                <w:bCs/>
                <w:color w:val="auto"/>
                <w:sz w:val="20"/>
              </w:rPr>
            </w:pPr>
            <w:r>
              <w:rPr>
                <w:rFonts w:hint="eastAsia" w:ascii="微软雅黑" w:hAnsi="微软雅黑" w:eastAsia="微软雅黑" w:cs="微软雅黑"/>
                <w:b/>
                <w:bCs/>
                <w:color w:val="auto"/>
              </w:rPr>
              <w:t>注：   在20XX年   月  日 X午</w:t>
            </w:r>
            <w:r>
              <w:rPr>
                <w:rFonts w:hint="eastAsia" w:ascii="微软雅黑" w:hAnsi="微软雅黑" w:eastAsia="微软雅黑" w:cs="微软雅黑"/>
                <w:color w:val="auto"/>
                <w:kern w:val="0"/>
                <w:szCs w:val="21"/>
              </w:rPr>
              <w:t>XX</w:t>
            </w:r>
            <w:r>
              <w:rPr>
                <w:rFonts w:hint="eastAsia" w:ascii="微软雅黑" w:hAnsi="微软雅黑" w:eastAsia="微软雅黑" w:cs="微软雅黑"/>
                <w:b/>
                <w:bCs/>
                <w:color w:val="auto"/>
              </w:rPr>
              <w:t>之前不得启封</w:t>
            </w:r>
          </w:p>
          <w:p w14:paraId="7B559EE2">
            <w:pPr>
              <w:snapToGrid w:val="0"/>
              <w:jc w:val="center"/>
              <w:textAlignment w:val="baseline"/>
              <w:rPr>
                <w:rFonts w:ascii="微软雅黑" w:hAnsi="微软雅黑" w:eastAsia="微软雅黑" w:cs="微软雅黑"/>
                <w:b/>
                <w:bCs/>
                <w:color w:val="auto"/>
                <w:sz w:val="20"/>
              </w:rPr>
            </w:pPr>
          </w:p>
        </w:tc>
      </w:tr>
    </w:tbl>
    <w:p w14:paraId="387F5643">
      <w:pPr>
        <w:snapToGrid w:val="0"/>
        <w:spacing w:line="240" w:lineRule="atLeast"/>
        <w:textAlignment w:val="baseline"/>
        <w:rPr>
          <w:rFonts w:ascii="微软雅黑" w:hAnsi="微软雅黑" w:eastAsia="微软雅黑" w:cs="微软雅黑"/>
          <w:b/>
          <w:color w:val="auto"/>
          <w:sz w:val="30"/>
          <w:szCs w:val="30"/>
        </w:rPr>
      </w:pPr>
      <w:r>
        <w:rPr>
          <w:rFonts w:hint="eastAsia" w:ascii="微软雅黑" w:hAnsi="微软雅黑" w:eastAsia="微软雅黑" w:cs="微软雅黑"/>
          <w:color w:val="auto"/>
          <w:sz w:val="24"/>
        </w:rPr>
        <w:br w:type="page"/>
      </w:r>
    </w:p>
    <w:p w14:paraId="1C6283B7">
      <w:pPr>
        <w:snapToGrid w:val="0"/>
        <w:spacing w:line="240" w:lineRule="atLeast"/>
        <w:jc w:val="center"/>
        <w:textAlignment w:val="baseline"/>
        <w:rPr>
          <w:rFonts w:ascii="微软雅黑" w:hAnsi="微软雅黑" w:eastAsia="微软雅黑" w:cs="微软雅黑"/>
          <w:b/>
          <w:color w:val="auto"/>
          <w:sz w:val="44"/>
          <w:szCs w:val="44"/>
        </w:rPr>
      </w:pPr>
    </w:p>
    <w:p w14:paraId="37D7FCE3">
      <w:pPr>
        <w:pStyle w:val="36"/>
        <w:snapToGrid w:val="0"/>
        <w:ind w:firstLine="0" w:firstLineChars="0"/>
        <w:textAlignment w:val="baseline"/>
        <w:rPr>
          <w:rFonts w:ascii="微软雅黑" w:hAnsi="微软雅黑" w:eastAsia="微软雅黑" w:cs="微软雅黑"/>
          <w:b/>
          <w:color w:val="auto"/>
          <w:sz w:val="44"/>
          <w:szCs w:val="44"/>
        </w:rPr>
      </w:pPr>
    </w:p>
    <w:p w14:paraId="7226B6E1">
      <w:pPr>
        <w:rPr>
          <w:rFonts w:ascii="微软雅黑" w:hAnsi="微软雅黑" w:eastAsia="微软雅黑" w:cs="微软雅黑"/>
          <w:b/>
          <w:color w:val="auto"/>
          <w:sz w:val="44"/>
          <w:szCs w:val="44"/>
        </w:rPr>
      </w:pPr>
    </w:p>
    <w:p w14:paraId="61B23D85">
      <w:pPr>
        <w:outlineLvl w:val="9"/>
        <w:rPr>
          <w:rFonts w:ascii="微软雅黑" w:hAnsi="微软雅黑" w:eastAsia="微软雅黑" w:cs="微软雅黑"/>
          <w:b/>
          <w:color w:val="auto"/>
          <w:sz w:val="44"/>
          <w:szCs w:val="44"/>
        </w:rPr>
      </w:pPr>
    </w:p>
    <w:p w14:paraId="4F878B34">
      <w:pPr>
        <w:rPr>
          <w:color w:val="auto"/>
        </w:rPr>
      </w:pPr>
    </w:p>
    <w:p w14:paraId="14931025">
      <w:pPr>
        <w:snapToGrid w:val="0"/>
        <w:spacing w:line="240" w:lineRule="atLeast"/>
        <w:jc w:val="center"/>
        <w:textAlignment w:val="baseline"/>
        <w:rPr>
          <w:rFonts w:ascii="微软雅黑" w:hAnsi="微软雅黑" w:eastAsia="微软雅黑" w:cs="微软雅黑"/>
          <w:b/>
          <w:color w:val="auto"/>
          <w:sz w:val="44"/>
          <w:szCs w:val="44"/>
        </w:rPr>
      </w:pPr>
    </w:p>
    <w:p w14:paraId="1366A9B8">
      <w:pPr>
        <w:snapToGrid w:val="0"/>
        <w:spacing w:line="240" w:lineRule="atLeast"/>
        <w:jc w:val="center"/>
        <w:textAlignment w:val="baseline"/>
        <w:rPr>
          <w:rFonts w:ascii="微软雅黑" w:hAnsi="微软雅黑" w:eastAsia="微软雅黑" w:cs="微软雅黑"/>
          <w:b/>
          <w:color w:val="auto"/>
          <w:sz w:val="36"/>
          <w:szCs w:val="36"/>
        </w:rPr>
      </w:pPr>
      <w:r>
        <w:rPr>
          <w:rFonts w:hint="eastAsia" w:ascii="微软雅黑" w:hAnsi="微软雅黑" w:eastAsia="微软雅黑" w:cs="微软雅黑"/>
          <w:b/>
          <w:color w:val="auto"/>
          <w:sz w:val="52"/>
          <w:szCs w:val="52"/>
        </w:rPr>
        <w:t>竞争性磋商文件</w:t>
      </w:r>
    </w:p>
    <w:p w14:paraId="4196068A">
      <w:pPr>
        <w:snapToGrid w:val="0"/>
        <w:spacing w:line="240" w:lineRule="atLeast"/>
        <w:textAlignment w:val="baseline"/>
        <w:rPr>
          <w:rFonts w:ascii="微软雅黑" w:hAnsi="微软雅黑" w:eastAsia="微软雅黑" w:cs="微软雅黑"/>
          <w:b/>
          <w:color w:val="auto"/>
          <w:sz w:val="52"/>
        </w:rPr>
      </w:pPr>
    </w:p>
    <w:p w14:paraId="12DC8E3C">
      <w:pPr>
        <w:snapToGrid w:val="0"/>
        <w:spacing w:line="240" w:lineRule="atLeast"/>
        <w:jc w:val="center"/>
        <w:textAlignment w:val="baseline"/>
        <w:rPr>
          <w:rFonts w:ascii="微软雅黑" w:hAnsi="微软雅黑" w:eastAsia="微软雅黑" w:cs="微软雅黑"/>
          <w:b/>
          <w:color w:val="auto"/>
          <w:sz w:val="48"/>
          <w:szCs w:val="48"/>
        </w:rPr>
      </w:pPr>
      <w:r>
        <w:rPr>
          <w:rFonts w:hint="eastAsia" w:ascii="微软雅黑" w:hAnsi="微软雅黑" w:eastAsia="微软雅黑" w:cs="微软雅黑"/>
          <w:b/>
          <w:color w:val="auto"/>
          <w:sz w:val="48"/>
          <w:szCs w:val="48"/>
        </w:rPr>
        <w:t>第二册</w:t>
      </w:r>
    </w:p>
    <w:p w14:paraId="3DC4758D">
      <w:pPr>
        <w:snapToGrid w:val="0"/>
        <w:spacing w:line="240" w:lineRule="atLeast"/>
        <w:ind w:left="1080" w:leftChars="257" w:hanging="540"/>
        <w:textAlignment w:val="baseline"/>
        <w:rPr>
          <w:rFonts w:ascii="微软雅黑" w:hAnsi="微软雅黑" w:eastAsia="微软雅黑" w:cs="微软雅黑"/>
          <w:b/>
          <w:color w:val="auto"/>
          <w:sz w:val="28"/>
        </w:rPr>
      </w:pPr>
    </w:p>
    <w:p w14:paraId="19BE044F">
      <w:pPr>
        <w:snapToGrid w:val="0"/>
        <w:spacing w:line="240" w:lineRule="atLeast"/>
        <w:ind w:left="1080" w:leftChars="257" w:hanging="540"/>
        <w:textAlignment w:val="baseline"/>
        <w:rPr>
          <w:rFonts w:ascii="微软雅黑" w:hAnsi="微软雅黑" w:eastAsia="微软雅黑" w:cs="微软雅黑"/>
          <w:b/>
          <w:color w:val="auto"/>
          <w:sz w:val="28"/>
        </w:rPr>
      </w:pPr>
    </w:p>
    <w:p w14:paraId="2EFC85C3">
      <w:pPr>
        <w:snapToGrid w:val="0"/>
        <w:spacing w:line="240" w:lineRule="atLeast"/>
        <w:ind w:left="1080" w:leftChars="257" w:hanging="540"/>
        <w:textAlignment w:val="baseline"/>
        <w:rPr>
          <w:rFonts w:ascii="微软雅黑" w:hAnsi="微软雅黑" w:eastAsia="微软雅黑" w:cs="微软雅黑"/>
          <w:b/>
          <w:color w:val="auto"/>
          <w:sz w:val="28"/>
        </w:rPr>
      </w:pPr>
    </w:p>
    <w:p w14:paraId="0FE4C764">
      <w:pPr>
        <w:pStyle w:val="36"/>
        <w:snapToGrid w:val="0"/>
        <w:ind w:firstLine="560"/>
        <w:textAlignment w:val="baseline"/>
        <w:rPr>
          <w:rFonts w:ascii="微软雅黑" w:hAnsi="微软雅黑" w:eastAsia="微软雅黑" w:cs="微软雅黑"/>
          <w:b/>
          <w:color w:val="auto"/>
          <w:sz w:val="28"/>
        </w:rPr>
      </w:pPr>
    </w:p>
    <w:p w14:paraId="0F5EFAF4">
      <w:pPr>
        <w:pStyle w:val="36"/>
        <w:snapToGrid w:val="0"/>
        <w:ind w:firstLine="560"/>
        <w:textAlignment w:val="baseline"/>
        <w:rPr>
          <w:rFonts w:ascii="微软雅黑" w:hAnsi="微软雅黑" w:eastAsia="微软雅黑" w:cs="微软雅黑"/>
          <w:b/>
          <w:color w:val="auto"/>
          <w:sz w:val="28"/>
        </w:rPr>
      </w:pPr>
    </w:p>
    <w:p w14:paraId="72713BFF">
      <w:pPr>
        <w:pStyle w:val="36"/>
        <w:snapToGrid w:val="0"/>
        <w:ind w:firstLine="560"/>
        <w:textAlignment w:val="baseline"/>
        <w:rPr>
          <w:rFonts w:ascii="微软雅黑" w:hAnsi="微软雅黑" w:eastAsia="微软雅黑" w:cs="微软雅黑"/>
          <w:b/>
          <w:color w:val="auto"/>
          <w:sz w:val="28"/>
        </w:rPr>
      </w:pPr>
    </w:p>
    <w:p w14:paraId="4EBF7F01">
      <w:pPr>
        <w:snapToGrid w:val="0"/>
        <w:spacing w:line="240" w:lineRule="atLeast"/>
        <w:ind w:left="1080" w:leftChars="257" w:hanging="540"/>
        <w:textAlignment w:val="baseline"/>
        <w:rPr>
          <w:rFonts w:ascii="微软雅黑" w:hAnsi="微软雅黑" w:eastAsia="微软雅黑" w:cs="微软雅黑"/>
          <w:b/>
          <w:color w:val="auto"/>
          <w:sz w:val="28"/>
        </w:rPr>
      </w:pPr>
    </w:p>
    <w:p w14:paraId="77014A6D">
      <w:pPr>
        <w:pStyle w:val="7"/>
        <w:snapToGrid w:val="0"/>
        <w:ind w:firstLine="0"/>
        <w:textAlignment w:val="baseline"/>
        <w:rPr>
          <w:rFonts w:ascii="微软雅黑" w:hAnsi="微软雅黑" w:eastAsia="微软雅黑" w:cs="微软雅黑"/>
          <w:b/>
          <w:color w:val="auto"/>
          <w:sz w:val="52"/>
        </w:rPr>
      </w:pPr>
    </w:p>
    <w:p w14:paraId="7BBD1471">
      <w:pPr>
        <w:rPr>
          <w:rFonts w:ascii="微软雅黑" w:hAnsi="微软雅黑" w:eastAsia="微软雅黑" w:cs="微软雅黑"/>
          <w:b/>
          <w:color w:val="auto"/>
          <w:sz w:val="52"/>
        </w:rPr>
      </w:pPr>
    </w:p>
    <w:p w14:paraId="05EEED4E"/>
    <w:bookmarkEnd w:id="609"/>
    <w:bookmarkEnd w:id="610"/>
    <w:bookmarkEnd w:id="611"/>
    <w:bookmarkEnd w:id="612"/>
    <w:bookmarkEnd w:id="613"/>
    <w:bookmarkEnd w:id="614"/>
    <w:bookmarkEnd w:id="615"/>
    <w:p w14:paraId="0F7E4103">
      <w:pPr>
        <w:pStyle w:val="3"/>
        <w:tabs>
          <w:tab w:val="left" w:pos="0"/>
        </w:tabs>
        <w:snapToGrid w:val="0"/>
        <w:spacing w:before="0" w:after="0" w:line="240" w:lineRule="auto"/>
        <w:textAlignment w:val="baseline"/>
        <w:rPr>
          <w:rFonts w:ascii="微软雅黑" w:hAnsi="微软雅黑" w:eastAsia="微软雅黑" w:cs="微软雅黑"/>
          <w:color w:val="auto"/>
        </w:rPr>
      </w:pPr>
      <w:bookmarkStart w:id="617" w:name="_Toc20261"/>
      <w:bookmarkStart w:id="618" w:name="_Toc507399903"/>
      <w:bookmarkStart w:id="619" w:name="_Toc10488"/>
      <w:bookmarkStart w:id="620" w:name="_Toc515647830"/>
      <w:bookmarkStart w:id="621" w:name="_Toc31583"/>
      <w:bookmarkStart w:id="622" w:name="_Toc512937850"/>
      <w:bookmarkStart w:id="623" w:name="_Toc216582823"/>
      <w:r>
        <w:rPr>
          <w:rFonts w:hint="eastAsia" w:ascii="微软雅黑" w:hAnsi="微软雅黑" w:eastAsia="微软雅黑" w:cs="微软雅黑"/>
          <w:color w:val="auto"/>
        </w:rPr>
        <w:t>第3章 磋商邀请</w:t>
      </w:r>
      <w:bookmarkEnd w:id="617"/>
    </w:p>
    <w:p w14:paraId="6D5AD427">
      <w:pPr>
        <w:pStyle w:val="26"/>
        <w:jc w:val="center"/>
        <w:rPr>
          <w:rFonts w:hint="eastAsia" w:ascii="微软雅黑" w:hAnsi="微软雅黑" w:eastAsia="微软雅黑" w:cs="微软雅黑"/>
          <w:b/>
          <w:bCs/>
          <w:color w:val="auto"/>
          <w:kern w:val="44"/>
          <w:sz w:val="30"/>
          <w:szCs w:val="30"/>
          <w:lang w:eastAsia="zh-CN"/>
        </w:rPr>
      </w:pPr>
      <w:bookmarkStart w:id="624" w:name="_Toc28359011"/>
      <w:bookmarkStart w:id="625" w:name="_Toc35393797"/>
      <w:r>
        <w:rPr>
          <w:rFonts w:hint="eastAsia" w:ascii="微软雅黑" w:hAnsi="微软雅黑" w:eastAsia="微软雅黑" w:cs="微软雅黑"/>
          <w:b/>
          <w:bCs/>
          <w:color w:val="auto"/>
          <w:kern w:val="44"/>
          <w:sz w:val="30"/>
          <w:szCs w:val="30"/>
        </w:rPr>
        <w:t>岳普湖县民政局政府购买2025年社会救助事务性服务</w:t>
      </w:r>
      <w:r>
        <w:rPr>
          <w:rFonts w:hint="eastAsia" w:ascii="微软雅黑" w:hAnsi="微软雅黑" w:eastAsia="微软雅黑" w:cs="微软雅黑"/>
          <w:b/>
          <w:bCs/>
          <w:color w:val="auto"/>
          <w:kern w:val="44"/>
          <w:sz w:val="30"/>
          <w:szCs w:val="30"/>
          <w:lang w:eastAsia="zh-CN"/>
        </w:rPr>
        <w:t>项目</w:t>
      </w:r>
    </w:p>
    <w:p w14:paraId="374896AB">
      <w:pPr>
        <w:pStyle w:val="26"/>
        <w:jc w:val="center"/>
        <w:rPr>
          <w:rFonts w:ascii="微软雅黑" w:hAnsi="微软雅黑" w:eastAsia="微软雅黑" w:cs="微软雅黑"/>
          <w:color w:val="auto"/>
          <w:sz w:val="30"/>
          <w:szCs w:val="30"/>
        </w:rPr>
      </w:pPr>
      <w:r>
        <w:rPr>
          <w:rFonts w:hint="eastAsia" w:ascii="微软雅黑" w:hAnsi="微软雅黑" w:eastAsia="微软雅黑" w:cs="微软雅黑"/>
          <w:b/>
          <w:bCs/>
          <w:color w:val="auto"/>
          <w:kern w:val="44"/>
          <w:sz w:val="30"/>
          <w:szCs w:val="30"/>
        </w:rPr>
        <w:t>竞争性磋商公告</w:t>
      </w:r>
      <w:bookmarkEnd w:id="624"/>
      <w:bookmarkEnd w:id="625"/>
    </w:p>
    <w:p w14:paraId="02C59327">
      <w:pPr>
        <w:pageBreakBefore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pacing w:line="480" w:lineRule="exact"/>
        <w:textAlignment w:val="auto"/>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项目概况</w:t>
      </w:r>
    </w:p>
    <w:p w14:paraId="75035D90">
      <w:pPr>
        <w:pageBreakBefore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pacing w:line="480" w:lineRule="exact"/>
        <w:ind w:firstLine="480" w:firstLineChars="200"/>
        <w:textAlignment w:val="auto"/>
        <w:rPr>
          <w:rFonts w:ascii="微软雅黑" w:hAnsi="微软雅黑" w:eastAsia="微软雅黑" w:cs="微软雅黑"/>
          <w:color w:val="auto"/>
          <w:sz w:val="24"/>
        </w:rPr>
      </w:pPr>
      <w:r>
        <w:rPr>
          <w:rFonts w:hint="eastAsia" w:ascii="微软雅黑" w:hAnsi="微软雅黑" w:eastAsia="微软雅黑" w:cs="微软雅黑"/>
          <w:color w:val="auto"/>
          <w:sz w:val="24"/>
        </w:rPr>
        <w:t>岳普湖县民政局政府购买2025年社会救助事务性服务</w:t>
      </w:r>
      <w:r>
        <w:rPr>
          <w:rFonts w:hint="eastAsia" w:ascii="微软雅黑" w:hAnsi="微软雅黑" w:eastAsia="微软雅黑" w:cs="微软雅黑"/>
          <w:color w:val="auto"/>
          <w:sz w:val="24"/>
          <w:lang w:eastAsia="zh-CN"/>
        </w:rPr>
        <w:t>项目</w:t>
      </w:r>
      <w:r>
        <w:rPr>
          <w:rFonts w:hint="eastAsia" w:ascii="微软雅黑" w:hAnsi="微软雅黑" w:eastAsia="微软雅黑" w:cs="微软雅黑"/>
          <w:color w:val="auto"/>
          <w:sz w:val="24"/>
        </w:rPr>
        <w:t>的潜在供应商应在政采云平台（https://www.zcygov.cn/） 获取采购文件，并于</w:t>
      </w:r>
      <w:r>
        <w:rPr>
          <w:rFonts w:hint="eastAsia" w:ascii="微软雅黑" w:hAnsi="微软雅黑" w:eastAsia="微软雅黑" w:cs="微软雅黑"/>
          <w:color w:val="auto"/>
          <w:sz w:val="24"/>
          <w:lang w:val="en-US" w:eastAsia="zh-CN"/>
        </w:rPr>
        <w:t>2025</w:t>
      </w:r>
      <w:r>
        <w:rPr>
          <w:rFonts w:hint="eastAsia" w:ascii="微软雅黑" w:hAnsi="微软雅黑" w:eastAsia="微软雅黑" w:cs="微软雅黑"/>
          <w:color w:val="auto"/>
          <w:sz w:val="24"/>
        </w:rPr>
        <w:t>年</w:t>
      </w:r>
      <w:r>
        <w:rPr>
          <w:rFonts w:hint="eastAsia" w:ascii="微软雅黑" w:hAnsi="微软雅黑" w:eastAsia="微软雅黑" w:cs="微软雅黑"/>
          <w:color w:val="auto"/>
          <w:sz w:val="24"/>
          <w:lang w:val="en-US" w:eastAsia="zh-CN"/>
        </w:rPr>
        <w:t>04</w:t>
      </w:r>
      <w:r>
        <w:rPr>
          <w:rFonts w:hint="eastAsia" w:ascii="微软雅黑" w:hAnsi="微软雅黑" w:eastAsia="微软雅黑" w:cs="微软雅黑"/>
          <w:color w:val="auto"/>
          <w:sz w:val="24"/>
        </w:rPr>
        <w:t>月</w:t>
      </w:r>
      <w:r>
        <w:rPr>
          <w:rFonts w:hint="eastAsia" w:ascii="微软雅黑" w:hAnsi="微软雅黑" w:eastAsia="微软雅黑" w:cs="微软雅黑"/>
          <w:color w:val="auto"/>
          <w:sz w:val="24"/>
          <w:lang w:val="en-US" w:eastAsia="zh-CN"/>
        </w:rPr>
        <w:t>11</w:t>
      </w:r>
      <w:r>
        <w:rPr>
          <w:rFonts w:hint="eastAsia" w:ascii="微软雅黑" w:hAnsi="微软雅黑" w:eastAsia="微软雅黑" w:cs="微软雅黑"/>
          <w:color w:val="auto"/>
          <w:sz w:val="24"/>
        </w:rPr>
        <w:t>日</w:t>
      </w:r>
      <w:r>
        <w:rPr>
          <w:rFonts w:hint="eastAsia" w:ascii="微软雅黑" w:hAnsi="微软雅黑" w:eastAsia="微软雅黑" w:cs="微软雅黑"/>
          <w:color w:val="auto"/>
          <w:sz w:val="24"/>
          <w:lang w:val="en-US" w:eastAsia="zh-CN"/>
        </w:rPr>
        <w:t>11</w:t>
      </w:r>
      <w:r>
        <w:rPr>
          <w:rFonts w:hint="eastAsia" w:ascii="微软雅黑" w:hAnsi="微软雅黑" w:eastAsia="微软雅黑" w:cs="微软雅黑"/>
          <w:color w:val="auto"/>
          <w:sz w:val="24"/>
        </w:rPr>
        <w:t>点</w:t>
      </w:r>
      <w:r>
        <w:rPr>
          <w:rFonts w:hint="eastAsia" w:ascii="微软雅黑" w:hAnsi="微软雅黑" w:eastAsia="微软雅黑" w:cs="微软雅黑"/>
          <w:color w:val="auto"/>
          <w:sz w:val="24"/>
          <w:lang w:val="en-US" w:eastAsia="zh-CN"/>
        </w:rPr>
        <w:t>00</w:t>
      </w:r>
      <w:r>
        <w:rPr>
          <w:rFonts w:hint="eastAsia" w:ascii="微软雅黑" w:hAnsi="微软雅黑" w:eastAsia="微软雅黑" w:cs="微软雅黑"/>
          <w:color w:val="auto"/>
          <w:sz w:val="24"/>
        </w:rPr>
        <w:t>分（北京时间）</w:t>
      </w:r>
      <w:r>
        <w:rPr>
          <w:rFonts w:hint="eastAsia" w:ascii="微软雅黑" w:hAnsi="微软雅黑" w:eastAsia="微软雅黑" w:cs="微软雅黑"/>
          <w:bCs/>
          <w:color w:val="auto"/>
          <w:sz w:val="24"/>
        </w:rPr>
        <w:t>前提交响应文件</w:t>
      </w:r>
      <w:r>
        <w:rPr>
          <w:rFonts w:hint="eastAsia" w:ascii="微软雅黑" w:hAnsi="微软雅黑" w:eastAsia="微软雅黑" w:cs="微软雅黑"/>
          <w:color w:val="auto"/>
          <w:sz w:val="24"/>
        </w:rPr>
        <w:t>。</w:t>
      </w:r>
    </w:p>
    <w:p w14:paraId="6DB5F2F3">
      <w:pPr>
        <w:keepNext/>
        <w:keepLines/>
        <w:pageBreakBefore w:val="0"/>
        <w:kinsoku/>
        <w:wordWrap/>
        <w:overflowPunct/>
        <w:topLinePunct w:val="0"/>
        <w:autoSpaceDE/>
        <w:autoSpaceDN/>
        <w:bidi w:val="0"/>
        <w:adjustRightInd/>
        <w:spacing w:line="480" w:lineRule="exact"/>
        <w:textAlignment w:val="auto"/>
        <w:rPr>
          <w:rFonts w:ascii="微软雅黑" w:hAnsi="微软雅黑" w:eastAsia="微软雅黑" w:cs="微软雅黑"/>
          <w:b/>
          <w:color w:val="auto"/>
          <w:sz w:val="24"/>
        </w:rPr>
      </w:pPr>
      <w:bookmarkStart w:id="626" w:name="_Toc35393629"/>
      <w:bookmarkStart w:id="627" w:name="_Toc28359089"/>
      <w:bookmarkStart w:id="628" w:name="_Toc28359012"/>
      <w:bookmarkStart w:id="629" w:name="_Toc35393798"/>
      <w:r>
        <w:rPr>
          <w:rFonts w:hint="eastAsia" w:ascii="微软雅黑" w:hAnsi="微软雅黑" w:eastAsia="微软雅黑" w:cs="微软雅黑"/>
          <w:b/>
          <w:color w:val="auto"/>
          <w:sz w:val="24"/>
        </w:rPr>
        <w:t>一、项目基本情况</w:t>
      </w:r>
      <w:bookmarkEnd w:id="626"/>
      <w:bookmarkEnd w:id="627"/>
      <w:bookmarkEnd w:id="628"/>
      <w:bookmarkEnd w:id="629"/>
    </w:p>
    <w:p w14:paraId="60D81A9F">
      <w:pPr>
        <w:pageBreakBefore w:val="0"/>
        <w:kinsoku/>
        <w:wordWrap/>
        <w:overflowPunct/>
        <w:topLinePunct w:val="0"/>
        <w:autoSpaceDE/>
        <w:autoSpaceDN/>
        <w:bidi w:val="0"/>
        <w:adjustRightInd/>
        <w:spacing w:line="480" w:lineRule="exact"/>
        <w:ind w:firstLine="480" w:firstLineChars="200"/>
        <w:textAlignment w:val="auto"/>
        <w:rPr>
          <w:rFonts w:ascii="微软雅黑" w:hAnsi="微软雅黑" w:eastAsia="微软雅黑" w:cs="微软雅黑"/>
          <w:i w:val="0"/>
          <w:iCs w:val="0"/>
          <w:color w:val="auto"/>
          <w:sz w:val="24"/>
          <w:szCs w:val="24"/>
        </w:rPr>
      </w:pPr>
      <w:r>
        <w:rPr>
          <w:rFonts w:hint="eastAsia" w:ascii="微软雅黑" w:hAnsi="微软雅黑" w:eastAsia="微软雅黑" w:cs="微软雅黑"/>
          <w:i w:val="0"/>
          <w:iCs w:val="0"/>
          <w:color w:val="auto"/>
          <w:sz w:val="24"/>
          <w:szCs w:val="24"/>
          <w:lang w:val="en-US" w:eastAsia="zh-CN"/>
        </w:rPr>
        <w:t>1、</w:t>
      </w:r>
      <w:r>
        <w:rPr>
          <w:rFonts w:hint="eastAsia" w:ascii="微软雅黑" w:hAnsi="微软雅黑" w:eastAsia="微软雅黑" w:cs="微软雅黑"/>
          <w:i w:val="0"/>
          <w:iCs w:val="0"/>
          <w:color w:val="auto"/>
          <w:sz w:val="24"/>
          <w:szCs w:val="24"/>
        </w:rPr>
        <w:t>项目编号：</w:t>
      </w:r>
      <w:r>
        <w:rPr>
          <w:rFonts w:hint="eastAsia" w:ascii="微软雅黑" w:hAnsi="微软雅黑" w:eastAsia="微软雅黑" w:cs="微软雅黑"/>
          <w:i w:val="0"/>
          <w:iCs w:val="0"/>
          <w:color w:val="auto"/>
          <w:sz w:val="24"/>
          <w:szCs w:val="24"/>
          <w:lang w:val="en-US" w:eastAsia="zh-CN"/>
        </w:rPr>
        <w:t>QXJ(CS)2025-04号</w:t>
      </w:r>
    </w:p>
    <w:p w14:paraId="2F8235D6">
      <w:pPr>
        <w:pageBreakBefore w:val="0"/>
        <w:kinsoku/>
        <w:wordWrap/>
        <w:overflowPunct/>
        <w:topLinePunct w:val="0"/>
        <w:autoSpaceDE/>
        <w:autoSpaceDN/>
        <w:bidi w:val="0"/>
        <w:adjustRightInd/>
        <w:spacing w:line="480" w:lineRule="exact"/>
        <w:ind w:firstLine="480" w:firstLineChars="200"/>
        <w:textAlignment w:val="auto"/>
        <w:rPr>
          <w:rFonts w:hint="eastAsia" w:ascii="微软雅黑" w:hAnsi="微软雅黑" w:eastAsia="微软雅黑" w:cs="微软雅黑"/>
          <w:i w:val="0"/>
          <w:iCs w:val="0"/>
          <w:color w:val="auto"/>
          <w:sz w:val="24"/>
          <w:szCs w:val="24"/>
          <w:lang w:val="en-US" w:eastAsia="zh-CN"/>
        </w:rPr>
      </w:pPr>
      <w:r>
        <w:rPr>
          <w:rFonts w:hint="eastAsia" w:ascii="微软雅黑" w:hAnsi="微软雅黑" w:eastAsia="微软雅黑" w:cs="微软雅黑"/>
          <w:i w:val="0"/>
          <w:iCs w:val="0"/>
          <w:color w:val="auto"/>
          <w:sz w:val="24"/>
          <w:szCs w:val="24"/>
          <w:lang w:val="en-US" w:eastAsia="zh-CN"/>
        </w:rPr>
        <w:t>2、</w:t>
      </w:r>
      <w:r>
        <w:rPr>
          <w:rFonts w:hint="eastAsia" w:ascii="微软雅黑" w:hAnsi="微软雅黑" w:eastAsia="微软雅黑" w:cs="微软雅黑"/>
          <w:i w:val="0"/>
          <w:iCs w:val="0"/>
          <w:color w:val="auto"/>
          <w:sz w:val="24"/>
          <w:szCs w:val="24"/>
        </w:rPr>
        <w:t>项目名称：岳普湖县民政局政府购买2025年社会救助事务性服务</w:t>
      </w:r>
      <w:r>
        <w:rPr>
          <w:rFonts w:hint="eastAsia" w:ascii="微软雅黑" w:hAnsi="微软雅黑" w:eastAsia="微软雅黑" w:cs="微软雅黑"/>
          <w:i w:val="0"/>
          <w:iCs w:val="0"/>
          <w:color w:val="auto"/>
          <w:sz w:val="24"/>
          <w:szCs w:val="24"/>
          <w:lang w:eastAsia="zh-CN"/>
        </w:rPr>
        <w:t>项目</w:t>
      </w:r>
    </w:p>
    <w:p w14:paraId="0F5216E8">
      <w:pPr>
        <w:pageBreakBefore w:val="0"/>
        <w:kinsoku/>
        <w:wordWrap/>
        <w:overflowPunct/>
        <w:topLinePunct w:val="0"/>
        <w:autoSpaceDE/>
        <w:autoSpaceDN/>
        <w:bidi w:val="0"/>
        <w:adjustRightInd/>
        <w:spacing w:line="480" w:lineRule="exact"/>
        <w:ind w:firstLine="480" w:firstLineChars="200"/>
        <w:textAlignment w:val="auto"/>
        <w:rPr>
          <w:rFonts w:hint="eastAsia" w:ascii="微软雅黑" w:hAnsi="微软雅黑" w:eastAsia="微软雅黑" w:cs="微软雅黑"/>
          <w:i w:val="0"/>
          <w:iCs w:val="0"/>
          <w:color w:val="auto"/>
          <w:sz w:val="24"/>
          <w:szCs w:val="24"/>
          <w:highlight w:val="none"/>
          <w:lang w:val="en-US" w:eastAsia="zh-CN"/>
        </w:rPr>
      </w:pPr>
      <w:r>
        <w:rPr>
          <w:rFonts w:hint="eastAsia" w:ascii="微软雅黑" w:hAnsi="微软雅黑" w:eastAsia="微软雅黑" w:cs="微软雅黑"/>
          <w:i w:val="0"/>
          <w:iCs w:val="0"/>
          <w:color w:val="auto"/>
          <w:sz w:val="24"/>
          <w:szCs w:val="24"/>
          <w:highlight w:val="none"/>
          <w:lang w:val="en-US" w:eastAsia="zh-CN"/>
        </w:rPr>
        <w:t>3、采购方式：竞争性磋商</w:t>
      </w:r>
    </w:p>
    <w:p w14:paraId="00764388">
      <w:pPr>
        <w:pageBreakBefore w:val="0"/>
        <w:kinsoku/>
        <w:wordWrap/>
        <w:overflowPunct/>
        <w:topLinePunct w:val="0"/>
        <w:autoSpaceDE/>
        <w:autoSpaceDN/>
        <w:bidi w:val="0"/>
        <w:adjustRightInd/>
        <w:spacing w:line="480" w:lineRule="exact"/>
        <w:ind w:firstLine="480" w:firstLineChars="200"/>
        <w:textAlignment w:val="auto"/>
        <w:rPr>
          <w:rFonts w:hint="eastAsia" w:ascii="微软雅黑" w:hAnsi="微软雅黑" w:eastAsia="微软雅黑" w:cs="微软雅黑"/>
          <w:i w:val="0"/>
          <w:iCs w:val="0"/>
          <w:color w:val="auto"/>
          <w:sz w:val="24"/>
          <w:szCs w:val="24"/>
          <w:highlight w:val="none"/>
          <w:lang w:val="en-US" w:eastAsia="zh-CN"/>
        </w:rPr>
      </w:pPr>
      <w:r>
        <w:rPr>
          <w:rFonts w:hint="eastAsia" w:ascii="微软雅黑" w:hAnsi="微软雅黑" w:eastAsia="微软雅黑" w:cs="微软雅黑"/>
          <w:i w:val="0"/>
          <w:iCs w:val="0"/>
          <w:color w:val="auto"/>
          <w:sz w:val="24"/>
          <w:szCs w:val="24"/>
          <w:highlight w:val="none"/>
          <w:lang w:val="en-US" w:eastAsia="zh-CN"/>
        </w:rPr>
        <w:t>4、总预算金额：155.9741万元</w:t>
      </w:r>
    </w:p>
    <w:p w14:paraId="3F952C46">
      <w:pPr>
        <w:pageBreakBefore w:val="0"/>
        <w:kinsoku/>
        <w:wordWrap/>
        <w:overflowPunct/>
        <w:topLinePunct w:val="0"/>
        <w:autoSpaceDE/>
        <w:autoSpaceDN/>
        <w:bidi w:val="0"/>
        <w:adjustRightInd/>
        <w:spacing w:line="480" w:lineRule="exact"/>
        <w:ind w:firstLine="480" w:firstLineChars="200"/>
        <w:textAlignment w:val="auto"/>
        <w:rPr>
          <w:rFonts w:hint="eastAsia" w:ascii="微软雅黑" w:hAnsi="微软雅黑" w:eastAsia="微软雅黑" w:cs="微软雅黑"/>
          <w:i w:val="0"/>
          <w:iCs w:val="0"/>
          <w:color w:val="auto"/>
          <w:sz w:val="24"/>
          <w:szCs w:val="24"/>
          <w:highlight w:val="none"/>
          <w:lang w:val="en-US" w:eastAsia="zh-CN"/>
        </w:rPr>
      </w:pPr>
      <w:r>
        <w:rPr>
          <w:rFonts w:hint="eastAsia" w:ascii="微软雅黑" w:hAnsi="微软雅黑" w:eastAsia="微软雅黑" w:cs="微软雅黑"/>
          <w:i w:val="0"/>
          <w:iCs w:val="0"/>
          <w:color w:val="auto"/>
          <w:sz w:val="24"/>
          <w:szCs w:val="24"/>
          <w:highlight w:val="none"/>
          <w:lang w:val="en-US" w:eastAsia="zh-CN"/>
        </w:rPr>
        <w:t>5、采购需求：</w:t>
      </w:r>
    </w:p>
    <w:p w14:paraId="2D1EFF21">
      <w:pPr>
        <w:pStyle w:val="31"/>
        <w:widowControl/>
        <w:spacing w:before="75" w:beforeAutospacing="0" w:after="75" w:afterAutospacing="0" w:line="400" w:lineRule="exact"/>
        <w:ind w:firstLine="382"/>
        <w:rPr>
          <w:rFonts w:hint="eastAsia" w:ascii="微软雅黑" w:hAnsi="微软雅黑" w:eastAsia="微软雅黑" w:cs="微软雅黑"/>
          <w:lang w:val="en-US" w:eastAsia="zh-CN"/>
        </w:rPr>
      </w:pPr>
      <w:r>
        <w:rPr>
          <w:rFonts w:hint="eastAsia" w:ascii="微软雅黑" w:hAnsi="微软雅黑" w:eastAsia="微软雅黑" w:cs="微软雅黑"/>
          <w:lang w:eastAsia="zh-CN"/>
        </w:rPr>
        <w:t>第一包：</w:t>
      </w:r>
      <w:r>
        <w:rPr>
          <w:rFonts w:hint="eastAsia" w:ascii="微软雅黑" w:hAnsi="微软雅黑" w:eastAsia="微软雅黑" w:cs="微软雅黑"/>
          <w:lang w:val="en-US" w:eastAsia="zh-CN"/>
        </w:rPr>
        <w:t>岳普湖镇、岳普湖乡（共计3329户，共计人数8853人）购买2025年社会救助事务性服务；预算金额：371306元；</w:t>
      </w:r>
    </w:p>
    <w:p w14:paraId="506E2966">
      <w:pPr>
        <w:pStyle w:val="31"/>
        <w:widowControl/>
        <w:spacing w:before="75" w:beforeAutospacing="0" w:after="75" w:afterAutospacing="0" w:line="400" w:lineRule="exact"/>
        <w:ind w:firstLine="382"/>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第二包：也克先拜巴扎镇，艾西曼镇（共计4016户，共计人数10271人）购买2025年社会救助事务性服务；预算金额：447931元；</w:t>
      </w:r>
    </w:p>
    <w:p w14:paraId="4849BFAD">
      <w:pPr>
        <w:pStyle w:val="31"/>
        <w:widowControl/>
        <w:spacing w:before="75" w:beforeAutospacing="0" w:after="75" w:afterAutospacing="0" w:line="400" w:lineRule="exact"/>
        <w:ind w:firstLine="382"/>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第三包：阿其克乡，色也克乡（共计3031户，共计人数6444人）购买2025年社会救助事务性服务；预算金额：338080元；</w:t>
      </w:r>
    </w:p>
    <w:p w14:paraId="512C44C2">
      <w:pPr>
        <w:pStyle w:val="31"/>
        <w:widowControl/>
        <w:spacing w:before="75" w:beforeAutospacing="0" w:after="75" w:afterAutospacing="0" w:line="400" w:lineRule="exact"/>
        <w:ind w:firstLine="382"/>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第四包：铁热木镇，巴依阿瓦提多，阿洪鲁库木乡（共计3608户，共计人数8453人）购买2025年社会救助事务性服务；预算金额：402424元；</w:t>
      </w:r>
    </w:p>
    <w:p w14:paraId="7E3166C3">
      <w:pPr>
        <w:pageBreakBefore w:val="0"/>
        <w:kinsoku/>
        <w:wordWrap/>
        <w:overflowPunct/>
        <w:topLinePunct w:val="0"/>
        <w:autoSpaceDE/>
        <w:autoSpaceDN/>
        <w:bidi w:val="0"/>
        <w:adjustRightInd/>
        <w:spacing w:line="480" w:lineRule="exact"/>
        <w:ind w:firstLine="480" w:firstLineChars="200"/>
        <w:textAlignment w:val="auto"/>
        <w:rPr>
          <w:rFonts w:hint="eastAsia" w:ascii="微软雅黑" w:hAnsi="微软雅黑" w:eastAsia="微软雅黑" w:cs="微软雅黑"/>
          <w:i w:val="0"/>
          <w:iCs w:val="0"/>
          <w:color w:val="auto"/>
          <w:sz w:val="24"/>
          <w:szCs w:val="24"/>
          <w:highlight w:val="none"/>
          <w:lang w:val="en-US" w:eastAsia="zh-CN"/>
        </w:rPr>
      </w:pPr>
      <w:r>
        <w:rPr>
          <w:rFonts w:hint="eastAsia" w:ascii="微软雅黑" w:hAnsi="微软雅黑" w:eastAsia="微软雅黑" w:cs="微软雅黑"/>
          <w:i w:val="0"/>
          <w:iCs w:val="0"/>
          <w:color w:val="auto"/>
          <w:sz w:val="24"/>
          <w:szCs w:val="24"/>
          <w:highlight w:val="none"/>
          <w:lang w:val="en-US" w:eastAsia="zh-CN"/>
        </w:rPr>
        <w:t>（具体参数详见磋商文件）</w:t>
      </w:r>
    </w:p>
    <w:p w14:paraId="28E57362">
      <w:pPr>
        <w:pageBreakBefore w:val="0"/>
        <w:kinsoku/>
        <w:wordWrap/>
        <w:overflowPunct/>
        <w:topLinePunct w:val="0"/>
        <w:autoSpaceDE/>
        <w:autoSpaceDN/>
        <w:bidi w:val="0"/>
        <w:adjustRightInd/>
        <w:spacing w:line="480" w:lineRule="exact"/>
        <w:ind w:firstLine="480" w:firstLineChars="200"/>
        <w:textAlignment w:val="auto"/>
        <w:rPr>
          <w:rFonts w:hint="eastAsia" w:ascii="微软雅黑" w:hAnsi="微软雅黑" w:eastAsia="微软雅黑" w:cs="微软雅黑"/>
          <w:i w:val="0"/>
          <w:iCs w:val="0"/>
          <w:color w:val="auto"/>
          <w:sz w:val="24"/>
          <w:szCs w:val="24"/>
          <w:highlight w:val="none"/>
          <w:lang w:val="en-US" w:eastAsia="zh-CN"/>
        </w:rPr>
      </w:pPr>
      <w:r>
        <w:rPr>
          <w:rFonts w:hint="eastAsia" w:ascii="微软雅黑" w:hAnsi="微软雅黑" w:eastAsia="微软雅黑" w:cs="微软雅黑"/>
          <w:i w:val="0"/>
          <w:iCs w:val="0"/>
          <w:color w:val="auto"/>
          <w:sz w:val="24"/>
          <w:szCs w:val="24"/>
          <w:highlight w:val="none"/>
          <w:lang w:val="en-US" w:eastAsia="zh-CN"/>
        </w:rPr>
        <w:t>6、本项目不接受联合体。</w:t>
      </w:r>
      <w:bookmarkStart w:id="630" w:name="_Toc35393630"/>
      <w:bookmarkStart w:id="631" w:name="_Toc35393799"/>
      <w:bookmarkStart w:id="632" w:name="_Toc28359013"/>
      <w:bookmarkStart w:id="633" w:name="_Toc28359090"/>
    </w:p>
    <w:p w14:paraId="518A31D1">
      <w:pPr>
        <w:pageBreakBefore w:val="0"/>
        <w:kinsoku/>
        <w:wordWrap/>
        <w:overflowPunct/>
        <w:topLinePunct w:val="0"/>
        <w:autoSpaceDE/>
        <w:autoSpaceDN/>
        <w:bidi w:val="0"/>
        <w:adjustRightInd/>
        <w:spacing w:line="480" w:lineRule="exact"/>
        <w:textAlignment w:val="auto"/>
        <w:rPr>
          <w:rFonts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二、供应商资格要求：</w:t>
      </w:r>
      <w:bookmarkEnd w:id="630"/>
      <w:bookmarkEnd w:id="631"/>
      <w:bookmarkEnd w:id="632"/>
      <w:bookmarkEnd w:id="633"/>
      <w:bookmarkStart w:id="634" w:name="_Toc35393632"/>
      <w:bookmarkStart w:id="635" w:name="_Toc28359092"/>
      <w:bookmarkStart w:id="636" w:name="_Toc28359015"/>
      <w:bookmarkStart w:id="637" w:name="_Toc35393801"/>
    </w:p>
    <w:p w14:paraId="7AE4F165">
      <w:pPr>
        <w:pStyle w:val="31"/>
        <w:pageBreakBefore w:val="0"/>
        <w:widowControl/>
        <w:kinsoku/>
        <w:wordWrap/>
        <w:overflowPunct/>
        <w:topLinePunct w:val="0"/>
        <w:autoSpaceDE/>
        <w:autoSpaceDN/>
        <w:bidi w:val="0"/>
        <w:adjustRightInd/>
        <w:spacing w:before="75" w:beforeAutospacing="0" w:after="75" w:afterAutospacing="0" w:line="480" w:lineRule="exact"/>
        <w:ind w:left="458" w:leftChars="218"/>
        <w:textAlignment w:val="auto"/>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1、符合《中华人民共和国政府采购法》第二十二条的规定；</w:t>
      </w:r>
    </w:p>
    <w:p w14:paraId="5D7916ED">
      <w:pPr>
        <w:pStyle w:val="3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left="0" w:right="0" w:firstLine="480" w:firstLineChars="200"/>
        <w:textAlignment w:val="auto"/>
        <w:rPr>
          <w:rFonts w:hint="eastAsia" w:ascii="微软雅黑" w:hAnsi="微软雅黑" w:eastAsia="微软雅黑" w:cs="微软雅黑"/>
          <w:i w:val="0"/>
          <w:iCs w:val="0"/>
          <w:caps w:val="0"/>
          <w:color w:val="auto"/>
          <w:spacing w:val="0"/>
          <w:sz w:val="24"/>
          <w:szCs w:val="24"/>
          <w:highlight w:val="none"/>
          <w:lang w:val="en-US" w:eastAsia="zh-CN"/>
        </w:rPr>
      </w:pPr>
      <w:r>
        <w:rPr>
          <w:rFonts w:hint="eastAsia" w:ascii="微软雅黑" w:hAnsi="微软雅黑" w:eastAsia="微软雅黑" w:cs="微软雅黑"/>
          <w:i w:val="0"/>
          <w:iCs w:val="0"/>
          <w:caps w:val="0"/>
          <w:color w:val="auto"/>
          <w:spacing w:val="0"/>
          <w:sz w:val="24"/>
          <w:szCs w:val="24"/>
          <w:highlight w:val="none"/>
          <w:lang w:val="en-US" w:eastAsia="zh-CN"/>
        </w:rPr>
        <w:t>①具有独立承担民事责任的能力；（投标时，提供在中华人民共和国境内注册的法人或其他组织的营业执照或事业单位法人证书或社会团体法人登记证书）</w:t>
      </w:r>
    </w:p>
    <w:p w14:paraId="6F6F2AAE">
      <w:pPr>
        <w:pStyle w:val="3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left="0" w:right="0" w:firstLine="480" w:firstLineChars="200"/>
        <w:textAlignment w:val="auto"/>
        <w:rPr>
          <w:rFonts w:hint="eastAsia" w:ascii="微软雅黑" w:hAnsi="微软雅黑" w:eastAsia="微软雅黑" w:cs="微软雅黑"/>
          <w:i w:val="0"/>
          <w:iCs w:val="0"/>
          <w:caps w:val="0"/>
          <w:color w:val="auto"/>
          <w:spacing w:val="0"/>
          <w:sz w:val="24"/>
          <w:szCs w:val="24"/>
          <w:highlight w:val="none"/>
          <w:lang w:val="en-US" w:eastAsia="zh-CN"/>
        </w:rPr>
      </w:pPr>
      <w:r>
        <w:rPr>
          <w:rFonts w:hint="eastAsia" w:ascii="微软雅黑" w:hAnsi="微软雅黑" w:eastAsia="微软雅黑" w:cs="微软雅黑"/>
          <w:i w:val="0"/>
          <w:iCs w:val="0"/>
          <w:caps w:val="0"/>
          <w:color w:val="auto"/>
          <w:spacing w:val="0"/>
          <w:sz w:val="24"/>
          <w:szCs w:val="24"/>
          <w:highlight w:val="none"/>
          <w:lang w:val="en-US" w:eastAsia="zh-CN"/>
        </w:rPr>
        <w:t>②提供法定代表人资格证明及授权书、被授权人身份证；(法定代表人投标需提供法定代表人身份证)；</w:t>
      </w:r>
    </w:p>
    <w:p w14:paraId="10A85D01">
      <w:pPr>
        <w:pStyle w:val="3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left="0" w:right="0" w:firstLine="480" w:firstLineChars="200"/>
        <w:textAlignment w:val="auto"/>
        <w:rPr>
          <w:rFonts w:hint="eastAsia" w:ascii="微软雅黑" w:hAnsi="微软雅黑" w:eastAsia="微软雅黑" w:cs="微软雅黑"/>
          <w:i w:val="0"/>
          <w:iCs w:val="0"/>
          <w:caps w:val="0"/>
          <w:color w:val="auto"/>
          <w:spacing w:val="0"/>
          <w:sz w:val="24"/>
          <w:szCs w:val="24"/>
          <w:highlight w:val="none"/>
          <w:lang w:eastAsia="zh-CN"/>
        </w:rPr>
      </w:pPr>
      <w:r>
        <w:rPr>
          <w:rFonts w:hint="eastAsia" w:ascii="微软雅黑" w:hAnsi="微软雅黑" w:eastAsia="微软雅黑" w:cs="微软雅黑"/>
          <w:i w:val="0"/>
          <w:iCs w:val="0"/>
          <w:caps w:val="0"/>
          <w:color w:val="auto"/>
          <w:spacing w:val="0"/>
          <w:sz w:val="24"/>
          <w:szCs w:val="24"/>
          <w:highlight w:val="none"/>
          <w:lang w:val="en-US" w:eastAsia="zh-CN"/>
        </w:rPr>
        <w:t>③</w:t>
      </w:r>
      <w:r>
        <w:rPr>
          <w:rFonts w:hint="eastAsia" w:ascii="微软雅黑" w:hAnsi="微软雅黑" w:eastAsia="微软雅黑" w:cs="微软雅黑"/>
          <w:i w:val="0"/>
          <w:iCs w:val="0"/>
          <w:caps w:val="0"/>
          <w:color w:val="auto"/>
          <w:spacing w:val="0"/>
          <w:sz w:val="24"/>
          <w:szCs w:val="24"/>
          <w:highlight w:val="none"/>
          <w:lang w:eastAsia="zh-CN"/>
        </w:rPr>
        <w:t>本单位依法缴纳的近</w:t>
      </w:r>
      <w:r>
        <w:rPr>
          <w:rFonts w:hint="eastAsia" w:ascii="微软雅黑" w:hAnsi="微软雅黑" w:eastAsia="微软雅黑" w:cs="微软雅黑"/>
          <w:i w:val="0"/>
          <w:iCs w:val="0"/>
          <w:caps w:val="0"/>
          <w:color w:val="auto"/>
          <w:spacing w:val="0"/>
          <w:sz w:val="24"/>
          <w:szCs w:val="24"/>
          <w:highlight w:val="none"/>
          <w:lang w:val="en-US" w:eastAsia="zh-CN"/>
        </w:rPr>
        <w:t>3</w:t>
      </w:r>
      <w:r>
        <w:rPr>
          <w:rFonts w:hint="eastAsia" w:ascii="微软雅黑" w:hAnsi="微软雅黑" w:eastAsia="微软雅黑" w:cs="微软雅黑"/>
          <w:i w:val="0"/>
          <w:iCs w:val="0"/>
          <w:caps w:val="0"/>
          <w:color w:val="auto"/>
          <w:spacing w:val="0"/>
          <w:sz w:val="24"/>
          <w:szCs w:val="24"/>
          <w:highlight w:val="none"/>
          <w:lang w:eastAsia="zh-CN"/>
        </w:rPr>
        <w:t>个月内任意一个月的社会保险的凭据</w:t>
      </w:r>
      <w:bookmarkStart w:id="638" w:name="OLE_LINK6"/>
      <w:r>
        <w:rPr>
          <w:rFonts w:hint="eastAsia" w:ascii="微软雅黑" w:hAnsi="微软雅黑" w:eastAsia="微软雅黑" w:cs="微软雅黑"/>
          <w:color w:val="auto"/>
          <w:lang w:val="en-US" w:eastAsia="zh-CN"/>
        </w:rPr>
        <w:t>（新成立公司提供相关证明文件）</w:t>
      </w:r>
      <w:bookmarkEnd w:id="638"/>
      <w:r>
        <w:rPr>
          <w:rFonts w:hint="eastAsia" w:ascii="微软雅黑" w:hAnsi="微软雅黑" w:eastAsia="微软雅黑" w:cs="微软雅黑"/>
          <w:i w:val="0"/>
          <w:iCs w:val="0"/>
          <w:caps w:val="0"/>
          <w:color w:val="auto"/>
          <w:spacing w:val="0"/>
          <w:sz w:val="24"/>
          <w:szCs w:val="24"/>
          <w:highlight w:val="none"/>
          <w:lang w:eastAsia="zh-CN"/>
        </w:rPr>
        <w:t>；</w:t>
      </w:r>
    </w:p>
    <w:p w14:paraId="434A9EF6">
      <w:pPr>
        <w:pStyle w:val="3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left="0" w:right="0" w:firstLine="480" w:firstLineChars="200"/>
        <w:textAlignment w:val="auto"/>
        <w:rPr>
          <w:rFonts w:hint="eastAsia" w:ascii="微软雅黑" w:hAnsi="微软雅黑" w:eastAsia="微软雅黑" w:cs="微软雅黑"/>
          <w:i w:val="0"/>
          <w:iCs w:val="0"/>
          <w:caps w:val="0"/>
          <w:color w:val="auto"/>
          <w:spacing w:val="0"/>
          <w:sz w:val="24"/>
          <w:szCs w:val="24"/>
          <w:highlight w:val="none"/>
        </w:rPr>
      </w:pPr>
      <w:r>
        <w:rPr>
          <w:rFonts w:hint="eastAsia" w:ascii="微软雅黑" w:hAnsi="微软雅黑" w:eastAsia="微软雅黑" w:cs="微软雅黑"/>
          <w:i w:val="0"/>
          <w:iCs w:val="0"/>
          <w:caps w:val="0"/>
          <w:color w:val="auto"/>
          <w:spacing w:val="0"/>
          <w:sz w:val="24"/>
          <w:szCs w:val="24"/>
          <w:highlight w:val="none"/>
          <w:lang w:val="en-US" w:eastAsia="zh-CN"/>
        </w:rPr>
        <w:t>④</w:t>
      </w:r>
      <w:r>
        <w:rPr>
          <w:rFonts w:hint="eastAsia" w:ascii="微软雅黑" w:hAnsi="微软雅黑" w:eastAsia="微软雅黑" w:cs="微软雅黑"/>
          <w:i w:val="0"/>
          <w:iCs w:val="0"/>
          <w:caps w:val="0"/>
          <w:color w:val="auto"/>
          <w:spacing w:val="0"/>
          <w:sz w:val="24"/>
          <w:szCs w:val="24"/>
          <w:highlight w:val="none"/>
          <w:lang w:eastAsia="zh-CN"/>
        </w:rPr>
        <w:t>税务部门出具的近</w:t>
      </w:r>
      <w:r>
        <w:rPr>
          <w:rFonts w:hint="eastAsia" w:ascii="微软雅黑" w:hAnsi="微软雅黑" w:eastAsia="微软雅黑" w:cs="微软雅黑"/>
          <w:i w:val="0"/>
          <w:iCs w:val="0"/>
          <w:caps w:val="0"/>
          <w:color w:val="auto"/>
          <w:spacing w:val="0"/>
          <w:sz w:val="24"/>
          <w:szCs w:val="24"/>
          <w:highlight w:val="none"/>
          <w:lang w:val="en-US" w:eastAsia="zh-CN"/>
        </w:rPr>
        <w:t>3</w:t>
      </w:r>
      <w:r>
        <w:rPr>
          <w:rFonts w:hint="eastAsia" w:ascii="微软雅黑" w:hAnsi="微软雅黑" w:eastAsia="微软雅黑" w:cs="微软雅黑"/>
          <w:i w:val="0"/>
          <w:iCs w:val="0"/>
          <w:caps w:val="0"/>
          <w:color w:val="auto"/>
          <w:spacing w:val="0"/>
          <w:sz w:val="24"/>
          <w:szCs w:val="24"/>
          <w:highlight w:val="none"/>
          <w:lang w:eastAsia="zh-CN"/>
        </w:rPr>
        <w:t>个月内任意一个月的完税证明（</w:t>
      </w:r>
      <w:r>
        <w:rPr>
          <w:rFonts w:hint="eastAsia" w:ascii="微软雅黑" w:hAnsi="微软雅黑" w:eastAsia="微软雅黑" w:cs="微软雅黑"/>
          <w:i w:val="0"/>
          <w:iCs w:val="0"/>
          <w:caps w:val="0"/>
          <w:color w:val="auto"/>
          <w:spacing w:val="0"/>
          <w:sz w:val="24"/>
          <w:szCs w:val="24"/>
          <w:highlight w:val="none"/>
        </w:rPr>
        <w:t>依法免缴的应提供依法免缴的相关证明文件</w:t>
      </w:r>
      <w:r>
        <w:rPr>
          <w:rFonts w:hint="eastAsia" w:ascii="微软雅黑" w:hAnsi="微软雅黑" w:eastAsia="微软雅黑" w:cs="微软雅黑"/>
          <w:i w:val="0"/>
          <w:iCs w:val="0"/>
          <w:caps w:val="0"/>
          <w:color w:val="auto"/>
          <w:spacing w:val="0"/>
          <w:sz w:val="24"/>
          <w:szCs w:val="24"/>
          <w:highlight w:val="none"/>
          <w:lang w:val="en-US" w:eastAsia="zh-CN"/>
        </w:rPr>
        <w:t>或</w:t>
      </w:r>
      <w:r>
        <w:rPr>
          <w:rFonts w:hint="eastAsia" w:ascii="微软雅黑" w:hAnsi="微软雅黑" w:eastAsia="微软雅黑" w:cs="微软雅黑"/>
          <w:i w:val="0"/>
          <w:iCs w:val="0"/>
          <w:caps w:val="0"/>
          <w:color w:val="auto"/>
          <w:spacing w:val="0"/>
          <w:sz w:val="24"/>
          <w:szCs w:val="24"/>
          <w:highlight w:val="none"/>
        </w:rPr>
        <w:t>零申报报表</w:t>
      </w:r>
      <w:r>
        <w:rPr>
          <w:rFonts w:hint="eastAsia" w:ascii="微软雅黑" w:hAnsi="微软雅黑" w:eastAsia="微软雅黑" w:cs="微软雅黑"/>
          <w:i w:val="0"/>
          <w:iCs w:val="0"/>
          <w:caps w:val="0"/>
          <w:color w:val="auto"/>
          <w:spacing w:val="0"/>
          <w:sz w:val="24"/>
          <w:szCs w:val="24"/>
          <w:highlight w:val="none"/>
          <w:lang w:eastAsia="zh-CN"/>
        </w:rPr>
        <w:t>）</w:t>
      </w:r>
      <w:r>
        <w:rPr>
          <w:rFonts w:hint="eastAsia" w:ascii="微软雅黑" w:hAnsi="微软雅黑" w:eastAsia="微软雅黑" w:cs="微软雅黑"/>
          <w:i w:val="0"/>
          <w:iCs w:val="0"/>
          <w:caps w:val="0"/>
          <w:color w:val="auto"/>
          <w:spacing w:val="0"/>
          <w:sz w:val="24"/>
          <w:szCs w:val="24"/>
          <w:highlight w:val="none"/>
        </w:rPr>
        <w:t>；</w:t>
      </w:r>
    </w:p>
    <w:p w14:paraId="256ABE71">
      <w:pPr>
        <w:pStyle w:val="3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left="0" w:right="0" w:firstLine="480" w:firstLineChars="200"/>
        <w:textAlignment w:val="auto"/>
        <w:rPr>
          <w:rFonts w:hint="eastAsia" w:ascii="微软雅黑" w:hAnsi="微软雅黑" w:eastAsia="微软雅黑" w:cs="微软雅黑"/>
          <w:i w:val="0"/>
          <w:iCs w:val="0"/>
          <w:caps w:val="0"/>
          <w:color w:val="auto"/>
          <w:spacing w:val="0"/>
          <w:sz w:val="24"/>
          <w:szCs w:val="24"/>
          <w:highlight w:val="none"/>
          <w:lang w:val="en-US" w:eastAsia="zh-CN"/>
        </w:rPr>
      </w:pPr>
      <w:r>
        <w:rPr>
          <w:rFonts w:hint="eastAsia" w:ascii="微软雅黑" w:hAnsi="微软雅黑" w:eastAsia="微软雅黑" w:cs="微软雅黑"/>
          <w:i w:val="0"/>
          <w:iCs w:val="0"/>
          <w:caps w:val="0"/>
          <w:color w:val="auto"/>
          <w:spacing w:val="0"/>
          <w:sz w:val="24"/>
          <w:szCs w:val="24"/>
          <w:highlight w:val="none"/>
          <w:lang w:val="en-US" w:eastAsia="zh-CN"/>
        </w:rPr>
        <w:t>⑤提供近两年任意一年完整的财务审计报告或近一个月的银行资信证明；</w:t>
      </w:r>
    </w:p>
    <w:p w14:paraId="3E36D794">
      <w:pPr>
        <w:pStyle w:val="3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left="0" w:right="0" w:firstLine="480" w:firstLineChars="200"/>
        <w:textAlignment w:val="auto"/>
        <w:rPr>
          <w:rFonts w:hint="eastAsia" w:ascii="微软雅黑" w:hAnsi="微软雅黑" w:eastAsia="微软雅黑" w:cs="微软雅黑"/>
          <w:i w:val="0"/>
          <w:iCs w:val="0"/>
          <w:caps w:val="0"/>
          <w:color w:val="auto"/>
          <w:spacing w:val="0"/>
          <w:sz w:val="24"/>
          <w:szCs w:val="24"/>
          <w:highlight w:val="none"/>
        </w:rPr>
      </w:pPr>
      <w:r>
        <w:rPr>
          <w:rFonts w:hint="eastAsia" w:ascii="微软雅黑" w:hAnsi="微软雅黑" w:eastAsia="微软雅黑" w:cs="微软雅黑"/>
          <w:i w:val="0"/>
          <w:iCs w:val="0"/>
          <w:caps w:val="0"/>
          <w:color w:val="auto"/>
          <w:spacing w:val="0"/>
          <w:sz w:val="24"/>
          <w:szCs w:val="24"/>
          <w:highlight w:val="none"/>
          <w:lang w:val="en-US" w:eastAsia="zh-CN"/>
        </w:rPr>
        <w:t>⑥</w:t>
      </w:r>
      <w:r>
        <w:rPr>
          <w:rFonts w:hint="eastAsia" w:ascii="微软雅黑" w:hAnsi="微软雅黑" w:eastAsia="微软雅黑" w:cs="微软雅黑"/>
          <w:i w:val="0"/>
          <w:iCs w:val="0"/>
          <w:caps w:val="0"/>
          <w:color w:val="auto"/>
          <w:spacing w:val="0"/>
          <w:sz w:val="24"/>
          <w:szCs w:val="24"/>
          <w:highlight w:val="none"/>
        </w:rPr>
        <w:t>参与政府采购活动前3年内未被列入失信、重大税收违法案件、财政部门禁止参加政府采购活动的承诺书；</w:t>
      </w:r>
    </w:p>
    <w:p w14:paraId="05779993">
      <w:pPr>
        <w:pStyle w:val="3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left="0" w:right="0" w:firstLine="480" w:firstLineChars="200"/>
        <w:textAlignment w:val="auto"/>
        <w:rPr>
          <w:rFonts w:hint="eastAsia" w:ascii="微软雅黑" w:hAnsi="微软雅黑" w:eastAsia="微软雅黑" w:cs="微软雅黑"/>
          <w:i w:val="0"/>
          <w:iCs w:val="0"/>
          <w:caps w:val="0"/>
          <w:color w:val="auto"/>
          <w:spacing w:val="0"/>
          <w:sz w:val="24"/>
          <w:szCs w:val="24"/>
          <w:highlight w:val="none"/>
          <w:lang w:eastAsia="zh-CN"/>
        </w:rPr>
      </w:pPr>
      <w:r>
        <w:rPr>
          <w:rFonts w:hint="eastAsia" w:ascii="微软雅黑" w:hAnsi="微软雅黑" w:eastAsia="微软雅黑" w:cs="微软雅黑"/>
          <w:i w:val="0"/>
          <w:iCs w:val="0"/>
          <w:caps w:val="0"/>
          <w:color w:val="auto"/>
          <w:spacing w:val="0"/>
          <w:sz w:val="24"/>
          <w:szCs w:val="24"/>
          <w:highlight w:val="none"/>
          <w:lang w:val="en-US" w:eastAsia="zh-CN"/>
        </w:rPr>
        <w:t>⑦</w:t>
      </w:r>
      <w:r>
        <w:rPr>
          <w:rFonts w:hint="eastAsia" w:ascii="微软雅黑" w:hAnsi="微软雅黑" w:eastAsia="微软雅黑" w:cs="微软雅黑"/>
          <w:i w:val="0"/>
          <w:iCs w:val="0"/>
          <w:caps w:val="0"/>
          <w:color w:val="auto"/>
          <w:spacing w:val="0"/>
          <w:sz w:val="24"/>
          <w:szCs w:val="24"/>
          <w:highlight w:val="none"/>
        </w:rPr>
        <w:t>提供针对本次项目的反商业贿赂承诺书</w:t>
      </w:r>
      <w:r>
        <w:rPr>
          <w:rFonts w:hint="eastAsia" w:ascii="微软雅黑" w:hAnsi="微软雅黑" w:eastAsia="微软雅黑" w:cs="微软雅黑"/>
          <w:i w:val="0"/>
          <w:iCs w:val="0"/>
          <w:caps w:val="0"/>
          <w:color w:val="auto"/>
          <w:spacing w:val="0"/>
          <w:sz w:val="24"/>
          <w:szCs w:val="24"/>
          <w:highlight w:val="none"/>
          <w:lang w:eastAsia="zh-CN"/>
        </w:rPr>
        <w:t>；</w:t>
      </w:r>
    </w:p>
    <w:p w14:paraId="32A88E59">
      <w:pPr>
        <w:pStyle w:val="3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left="0" w:right="0" w:firstLine="480" w:firstLineChars="200"/>
        <w:textAlignment w:val="auto"/>
        <w:rPr>
          <w:rFonts w:hint="eastAsia" w:ascii="微软雅黑" w:hAnsi="微软雅黑" w:eastAsia="微软雅黑" w:cs="微软雅黑"/>
          <w:i w:val="0"/>
          <w:iCs w:val="0"/>
          <w:caps w:val="0"/>
          <w:color w:val="auto"/>
          <w:spacing w:val="0"/>
          <w:sz w:val="24"/>
          <w:szCs w:val="24"/>
          <w:highlight w:val="none"/>
        </w:rPr>
      </w:pPr>
      <w:r>
        <w:rPr>
          <w:rFonts w:hint="eastAsia" w:ascii="微软雅黑" w:hAnsi="微软雅黑" w:eastAsia="微软雅黑" w:cs="微软雅黑"/>
          <w:i w:val="0"/>
          <w:iCs w:val="0"/>
          <w:caps w:val="0"/>
          <w:color w:val="auto"/>
          <w:spacing w:val="0"/>
          <w:sz w:val="24"/>
          <w:szCs w:val="24"/>
          <w:highlight w:val="none"/>
          <w:lang w:val="en-US" w:eastAsia="zh-CN"/>
        </w:rPr>
        <w:t>⑧根据《政府采购领域“整顿市场秩序、建设法规体系、促进产业发展”三年行动方案（2024—2026年）》的通知，凡拟参加本次采购项目的供应商，必须为未被列入“信用中国”网站(www.creditchina.gov.cn)（失信被执行人名单、重大税收违法失信主体名单）、中国政府采购网(www.ccgp.gov.cn)（政府采购严重违法失信行为记录名单），国家企业公示信息系统（www.gsxt.gov.cn）（经营异常名录、严重违法失信名单）,（须提供查询记录截图并加盖公章）</w:t>
      </w:r>
      <w:r>
        <w:rPr>
          <w:rFonts w:hint="eastAsia" w:ascii="微软雅黑" w:hAnsi="微软雅黑" w:eastAsia="微软雅黑" w:cs="微软雅黑"/>
          <w:i w:val="0"/>
          <w:iCs w:val="0"/>
          <w:caps w:val="0"/>
          <w:color w:val="auto"/>
          <w:spacing w:val="0"/>
          <w:sz w:val="24"/>
          <w:szCs w:val="24"/>
          <w:highlight w:val="none"/>
        </w:rPr>
        <w:t>；</w:t>
      </w:r>
    </w:p>
    <w:p w14:paraId="4D477802">
      <w:pPr>
        <w:pStyle w:val="31"/>
        <w:keepNext w:val="0"/>
        <w:keepLines w:val="0"/>
        <w:pageBreakBefore w:val="0"/>
        <w:widowControl/>
        <w:numPr>
          <w:ilvl w:val="0"/>
          <w:numId w:val="9"/>
        </w:numPr>
        <w:suppressLineNumbers w:val="0"/>
        <w:kinsoku/>
        <w:wordWrap/>
        <w:overflowPunct/>
        <w:topLinePunct w:val="0"/>
        <w:autoSpaceDE/>
        <w:autoSpaceDN/>
        <w:bidi w:val="0"/>
        <w:adjustRightInd/>
        <w:snapToGrid/>
        <w:spacing w:before="75" w:beforeAutospacing="0" w:after="75" w:afterAutospacing="0" w:line="480" w:lineRule="exact"/>
        <w:ind w:left="0" w:right="0" w:firstLine="480" w:firstLineChars="200"/>
        <w:textAlignment w:val="auto"/>
        <w:rPr>
          <w:rFonts w:hint="eastAsia" w:ascii="微软雅黑" w:hAnsi="微软雅黑" w:eastAsia="微软雅黑" w:cs="微软雅黑"/>
          <w:i w:val="0"/>
          <w:iCs w:val="0"/>
          <w:caps w:val="0"/>
          <w:color w:val="auto"/>
          <w:spacing w:val="0"/>
          <w:sz w:val="24"/>
          <w:szCs w:val="24"/>
          <w:highlight w:val="none"/>
          <w:lang w:val="en-US" w:eastAsia="zh-CN"/>
        </w:rPr>
      </w:pPr>
      <w:r>
        <w:rPr>
          <w:rFonts w:hint="eastAsia" w:ascii="微软雅黑" w:hAnsi="微软雅黑" w:eastAsia="微软雅黑" w:cs="微软雅黑"/>
          <w:i w:val="0"/>
          <w:iCs w:val="0"/>
          <w:caps w:val="0"/>
          <w:color w:val="auto"/>
          <w:spacing w:val="0"/>
          <w:sz w:val="24"/>
          <w:szCs w:val="24"/>
          <w:highlight w:val="none"/>
          <w:lang w:val="en-US" w:eastAsia="zh-CN"/>
        </w:rPr>
        <w:t>落实政府采购政策需满足的资格要求：无</w:t>
      </w:r>
    </w:p>
    <w:p w14:paraId="592E72E4">
      <w:pPr>
        <w:pStyle w:val="3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right="0" w:firstLine="480" w:firstLineChars="200"/>
        <w:textAlignment w:val="auto"/>
        <w:rPr>
          <w:rFonts w:hint="default" w:ascii="微软雅黑" w:hAnsi="微软雅黑" w:eastAsia="微软雅黑" w:cs="微软雅黑"/>
          <w:i w:val="0"/>
          <w:iCs w:val="0"/>
          <w:caps w:val="0"/>
          <w:color w:val="auto"/>
          <w:spacing w:val="0"/>
          <w:sz w:val="24"/>
          <w:szCs w:val="24"/>
          <w:highlight w:val="none"/>
          <w:lang w:val="en-US" w:eastAsia="zh-CN"/>
        </w:rPr>
      </w:pPr>
      <w:r>
        <w:rPr>
          <w:rFonts w:hint="eastAsia" w:ascii="微软雅黑" w:hAnsi="微软雅黑" w:eastAsia="微软雅黑" w:cs="微软雅黑"/>
          <w:i w:val="0"/>
          <w:iCs w:val="0"/>
          <w:caps w:val="0"/>
          <w:color w:val="auto"/>
          <w:spacing w:val="0"/>
          <w:sz w:val="24"/>
          <w:szCs w:val="24"/>
          <w:highlight w:val="none"/>
          <w:lang w:val="en-US" w:eastAsia="zh-CN"/>
        </w:rPr>
        <w:t>3、本项目的特定资格要求：无</w:t>
      </w:r>
    </w:p>
    <w:p w14:paraId="77FA6C79">
      <w:pPr>
        <w:keepNext/>
        <w:keepLines/>
        <w:pageBreakBefore w:val="0"/>
        <w:kinsoku/>
        <w:wordWrap/>
        <w:overflowPunct/>
        <w:topLinePunct w:val="0"/>
        <w:autoSpaceDE/>
        <w:autoSpaceDN/>
        <w:bidi w:val="0"/>
        <w:adjustRightInd/>
        <w:spacing w:line="480" w:lineRule="exact"/>
        <w:jc w:val="left"/>
        <w:textAlignment w:val="auto"/>
        <w:rPr>
          <w:rFonts w:ascii="微软雅黑" w:hAnsi="微软雅黑" w:eastAsia="微软雅黑" w:cs="微软雅黑"/>
          <w:b/>
          <w:color w:val="auto"/>
          <w:kern w:val="0"/>
          <w:sz w:val="24"/>
        </w:rPr>
      </w:pPr>
      <w:r>
        <w:rPr>
          <w:rFonts w:hint="eastAsia" w:ascii="微软雅黑" w:hAnsi="微软雅黑" w:eastAsia="微软雅黑" w:cs="微软雅黑"/>
          <w:b/>
          <w:color w:val="auto"/>
          <w:sz w:val="24"/>
        </w:rPr>
        <w:t>三、获取采购文件</w:t>
      </w:r>
    </w:p>
    <w:p w14:paraId="74A26AEF">
      <w:pPr>
        <w:pStyle w:val="3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left="0" w:right="0" w:firstLine="480" w:firstLineChars="200"/>
        <w:textAlignment w:val="auto"/>
        <w:rPr>
          <w:rFonts w:hint="eastAsia" w:ascii="微软雅黑" w:hAnsi="微软雅黑" w:eastAsia="微软雅黑" w:cs="微软雅黑"/>
          <w:i w:val="0"/>
          <w:iCs w:val="0"/>
          <w:caps w:val="0"/>
          <w:color w:val="auto"/>
          <w:spacing w:val="0"/>
          <w:sz w:val="24"/>
          <w:szCs w:val="24"/>
          <w:highlight w:val="none"/>
        </w:rPr>
      </w:pPr>
      <w:r>
        <w:rPr>
          <w:rFonts w:hint="eastAsia" w:ascii="微软雅黑" w:hAnsi="微软雅黑" w:eastAsia="微软雅黑" w:cs="微软雅黑"/>
          <w:i w:val="0"/>
          <w:iCs w:val="0"/>
          <w:caps w:val="0"/>
          <w:color w:val="auto"/>
          <w:spacing w:val="0"/>
          <w:sz w:val="24"/>
          <w:szCs w:val="24"/>
          <w:highlight w:val="none"/>
        </w:rPr>
        <w:t> 时间：</w:t>
      </w:r>
      <w:r>
        <w:rPr>
          <w:rFonts w:hint="eastAsia" w:ascii="微软雅黑" w:hAnsi="微软雅黑" w:eastAsia="微软雅黑" w:cs="微软雅黑"/>
          <w:i w:val="0"/>
          <w:iCs w:val="0"/>
          <w:caps w:val="0"/>
          <w:color w:val="auto"/>
          <w:spacing w:val="0"/>
          <w:sz w:val="24"/>
          <w:szCs w:val="24"/>
          <w:highlight w:val="none"/>
          <w:lang w:val="en-US" w:eastAsia="zh-CN"/>
        </w:rPr>
        <w:t xml:space="preserve"> 2025</w:t>
      </w:r>
      <w:r>
        <w:rPr>
          <w:rFonts w:hint="eastAsia" w:ascii="微软雅黑" w:hAnsi="微软雅黑" w:eastAsia="微软雅黑" w:cs="微软雅黑"/>
          <w:i w:val="0"/>
          <w:iCs w:val="0"/>
          <w:caps w:val="0"/>
          <w:color w:val="auto"/>
          <w:spacing w:val="0"/>
          <w:sz w:val="24"/>
          <w:szCs w:val="24"/>
          <w:highlight w:val="none"/>
        </w:rPr>
        <w:t>年</w:t>
      </w:r>
      <w:r>
        <w:rPr>
          <w:rFonts w:hint="eastAsia" w:ascii="微软雅黑" w:hAnsi="微软雅黑" w:eastAsia="微软雅黑" w:cs="微软雅黑"/>
          <w:i w:val="0"/>
          <w:iCs w:val="0"/>
          <w:caps w:val="0"/>
          <w:color w:val="auto"/>
          <w:spacing w:val="0"/>
          <w:sz w:val="24"/>
          <w:szCs w:val="24"/>
          <w:highlight w:val="none"/>
          <w:lang w:val="en-US" w:eastAsia="zh-CN"/>
        </w:rPr>
        <w:t>03</w:t>
      </w:r>
      <w:r>
        <w:rPr>
          <w:rFonts w:hint="eastAsia" w:ascii="微软雅黑" w:hAnsi="微软雅黑" w:eastAsia="微软雅黑" w:cs="微软雅黑"/>
          <w:i w:val="0"/>
          <w:iCs w:val="0"/>
          <w:caps w:val="0"/>
          <w:color w:val="auto"/>
          <w:spacing w:val="0"/>
          <w:sz w:val="24"/>
          <w:szCs w:val="24"/>
          <w:highlight w:val="none"/>
        </w:rPr>
        <w:t>月</w:t>
      </w:r>
      <w:r>
        <w:rPr>
          <w:rFonts w:hint="eastAsia" w:ascii="微软雅黑" w:hAnsi="微软雅黑" w:eastAsia="微软雅黑" w:cs="微软雅黑"/>
          <w:i w:val="0"/>
          <w:iCs w:val="0"/>
          <w:caps w:val="0"/>
          <w:color w:val="auto"/>
          <w:spacing w:val="0"/>
          <w:sz w:val="24"/>
          <w:szCs w:val="24"/>
          <w:highlight w:val="none"/>
          <w:lang w:val="en-US" w:eastAsia="zh-CN"/>
        </w:rPr>
        <w:t>28</w:t>
      </w:r>
      <w:r>
        <w:rPr>
          <w:rFonts w:hint="eastAsia" w:ascii="微软雅黑" w:hAnsi="微软雅黑" w:eastAsia="微软雅黑" w:cs="微软雅黑"/>
          <w:i w:val="0"/>
          <w:iCs w:val="0"/>
          <w:caps w:val="0"/>
          <w:color w:val="auto"/>
          <w:spacing w:val="0"/>
          <w:sz w:val="24"/>
          <w:szCs w:val="24"/>
          <w:highlight w:val="none"/>
        </w:rPr>
        <w:t>日至</w:t>
      </w:r>
      <w:r>
        <w:rPr>
          <w:rFonts w:hint="eastAsia" w:ascii="微软雅黑" w:hAnsi="微软雅黑" w:eastAsia="微软雅黑" w:cs="微软雅黑"/>
          <w:i w:val="0"/>
          <w:iCs w:val="0"/>
          <w:caps w:val="0"/>
          <w:color w:val="auto"/>
          <w:spacing w:val="0"/>
          <w:sz w:val="24"/>
          <w:szCs w:val="24"/>
          <w:highlight w:val="none"/>
          <w:lang w:val="en-US" w:eastAsia="zh-CN"/>
        </w:rPr>
        <w:t>2025</w:t>
      </w:r>
      <w:r>
        <w:rPr>
          <w:rFonts w:hint="eastAsia" w:ascii="微软雅黑" w:hAnsi="微软雅黑" w:eastAsia="微软雅黑" w:cs="微软雅黑"/>
          <w:i w:val="0"/>
          <w:iCs w:val="0"/>
          <w:caps w:val="0"/>
          <w:color w:val="auto"/>
          <w:spacing w:val="0"/>
          <w:sz w:val="24"/>
          <w:szCs w:val="24"/>
          <w:highlight w:val="none"/>
        </w:rPr>
        <w:t>年</w:t>
      </w:r>
      <w:r>
        <w:rPr>
          <w:rFonts w:hint="eastAsia" w:ascii="微软雅黑" w:hAnsi="微软雅黑" w:eastAsia="微软雅黑" w:cs="微软雅黑"/>
          <w:i w:val="0"/>
          <w:iCs w:val="0"/>
          <w:caps w:val="0"/>
          <w:color w:val="auto"/>
          <w:spacing w:val="0"/>
          <w:sz w:val="24"/>
          <w:szCs w:val="24"/>
          <w:highlight w:val="none"/>
          <w:lang w:val="en-US" w:eastAsia="zh-CN"/>
        </w:rPr>
        <w:t>04</w:t>
      </w:r>
      <w:r>
        <w:rPr>
          <w:rFonts w:hint="eastAsia" w:ascii="微软雅黑" w:hAnsi="微软雅黑" w:eastAsia="微软雅黑" w:cs="微软雅黑"/>
          <w:i w:val="0"/>
          <w:iCs w:val="0"/>
          <w:caps w:val="0"/>
          <w:color w:val="auto"/>
          <w:spacing w:val="0"/>
          <w:sz w:val="24"/>
          <w:szCs w:val="24"/>
          <w:highlight w:val="none"/>
        </w:rPr>
        <w:t>月</w:t>
      </w:r>
      <w:r>
        <w:rPr>
          <w:rFonts w:hint="eastAsia" w:ascii="微软雅黑" w:hAnsi="微软雅黑" w:eastAsia="微软雅黑" w:cs="微软雅黑"/>
          <w:i w:val="0"/>
          <w:iCs w:val="0"/>
          <w:caps w:val="0"/>
          <w:color w:val="auto"/>
          <w:spacing w:val="0"/>
          <w:sz w:val="24"/>
          <w:szCs w:val="24"/>
          <w:highlight w:val="none"/>
          <w:lang w:val="en-US" w:eastAsia="zh-CN"/>
        </w:rPr>
        <w:t>08</w:t>
      </w:r>
      <w:r>
        <w:rPr>
          <w:rFonts w:hint="eastAsia" w:ascii="微软雅黑" w:hAnsi="微软雅黑" w:eastAsia="微软雅黑" w:cs="微软雅黑"/>
          <w:i w:val="0"/>
          <w:iCs w:val="0"/>
          <w:caps w:val="0"/>
          <w:color w:val="auto"/>
          <w:spacing w:val="0"/>
          <w:sz w:val="24"/>
          <w:szCs w:val="24"/>
          <w:highlight w:val="none"/>
        </w:rPr>
        <w:t>日，每天上午00:00至12:00，下午12:00至23:59（北京时间，法定节假日除外）</w:t>
      </w:r>
    </w:p>
    <w:p w14:paraId="143BD6B2">
      <w:pPr>
        <w:pStyle w:val="3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left="0" w:right="0" w:firstLine="480" w:firstLineChars="200"/>
        <w:textAlignment w:val="auto"/>
        <w:rPr>
          <w:rFonts w:hint="eastAsia" w:ascii="微软雅黑" w:hAnsi="微软雅黑" w:eastAsia="微软雅黑" w:cs="微软雅黑"/>
          <w:i w:val="0"/>
          <w:iCs w:val="0"/>
          <w:caps w:val="0"/>
          <w:color w:val="auto"/>
          <w:spacing w:val="0"/>
          <w:sz w:val="24"/>
          <w:szCs w:val="24"/>
          <w:highlight w:val="none"/>
        </w:rPr>
      </w:pPr>
      <w:r>
        <w:rPr>
          <w:rFonts w:hint="eastAsia" w:ascii="微软雅黑" w:hAnsi="微软雅黑" w:eastAsia="微软雅黑" w:cs="微软雅黑"/>
          <w:i w:val="0"/>
          <w:iCs w:val="0"/>
          <w:caps w:val="0"/>
          <w:color w:val="auto"/>
          <w:spacing w:val="0"/>
          <w:sz w:val="24"/>
          <w:szCs w:val="24"/>
          <w:highlight w:val="none"/>
        </w:rPr>
        <w:t>地点：</w:t>
      </w:r>
      <w:r>
        <w:rPr>
          <w:rFonts w:hint="eastAsia" w:ascii="微软雅黑" w:hAnsi="微软雅黑" w:eastAsia="微软雅黑" w:cs="微软雅黑"/>
          <w:i w:val="0"/>
          <w:iCs w:val="0"/>
          <w:caps w:val="0"/>
          <w:color w:val="auto"/>
          <w:spacing w:val="0"/>
          <w:sz w:val="24"/>
          <w:szCs w:val="24"/>
          <w:highlight w:val="none"/>
          <w:lang w:val="en-US" w:eastAsia="zh-CN"/>
        </w:rPr>
        <w:t>政采云平台（https://www.zcygov.cn/） </w:t>
      </w:r>
    </w:p>
    <w:p w14:paraId="203F1C50">
      <w:pPr>
        <w:pStyle w:val="3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left="0" w:right="0" w:firstLine="480" w:firstLineChars="200"/>
        <w:textAlignment w:val="auto"/>
        <w:rPr>
          <w:rFonts w:hint="eastAsia" w:ascii="微软雅黑" w:hAnsi="微软雅黑" w:eastAsia="微软雅黑" w:cs="微软雅黑"/>
          <w:i w:val="0"/>
          <w:iCs w:val="0"/>
          <w:caps w:val="0"/>
          <w:color w:val="auto"/>
          <w:spacing w:val="0"/>
          <w:sz w:val="24"/>
          <w:szCs w:val="24"/>
          <w:highlight w:val="none"/>
          <w:lang w:val="en-US" w:eastAsia="zh-CN"/>
        </w:rPr>
      </w:pPr>
      <w:r>
        <w:rPr>
          <w:rFonts w:hint="eastAsia" w:ascii="微软雅黑" w:hAnsi="微软雅黑" w:eastAsia="微软雅黑" w:cs="微软雅黑"/>
          <w:i w:val="0"/>
          <w:iCs w:val="0"/>
          <w:caps w:val="0"/>
          <w:color w:val="auto"/>
          <w:spacing w:val="0"/>
          <w:sz w:val="24"/>
          <w:szCs w:val="24"/>
          <w:highlight w:val="none"/>
        </w:rPr>
        <w:t>方式：</w:t>
      </w:r>
      <w:r>
        <w:rPr>
          <w:rFonts w:hint="eastAsia" w:ascii="微软雅黑" w:hAnsi="微软雅黑" w:eastAsia="微软雅黑" w:cs="微软雅黑"/>
          <w:i w:val="0"/>
          <w:iCs w:val="0"/>
          <w:caps w:val="0"/>
          <w:color w:val="auto"/>
          <w:spacing w:val="0"/>
          <w:sz w:val="24"/>
          <w:szCs w:val="24"/>
          <w:highlight w:val="none"/>
          <w:lang w:val="en-US" w:eastAsia="zh-CN"/>
        </w:rPr>
        <w:t>（1）线上获取（登录政府采购云平台 → 项目采购 → 获取磋商文件）。（2）供应商获取磋商文件前应注册成为政府采购云平台正式供应商。</w:t>
      </w:r>
    </w:p>
    <w:p w14:paraId="1CF6484B">
      <w:pPr>
        <w:keepNext/>
        <w:keepLines/>
        <w:pageBreakBefore w:val="0"/>
        <w:kinsoku/>
        <w:wordWrap/>
        <w:overflowPunct/>
        <w:topLinePunct w:val="0"/>
        <w:autoSpaceDE/>
        <w:autoSpaceDN/>
        <w:bidi w:val="0"/>
        <w:adjustRightInd/>
        <w:spacing w:line="480" w:lineRule="exact"/>
        <w:textAlignment w:val="auto"/>
        <w:rPr>
          <w:rFonts w:ascii="微软雅黑" w:hAnsi="微软雅黑" w:eastAsia="微软雅黑" w:cs="微软雅黑"/>
          <w:b/>
          <w:color w:val="auto"/>
          <w:sz w:val="24"/>
        </w:rPr>
      </w:pPr>
      <w:r>
        <w:rPr>
          <w:rFonts w:hint="eastAsia" w:ascii="微软雅黑" w:hAnsi="微软雅黑" w:eastAsia="微软雅黑" w:cs="微软雅黑"/>
          <w:b/>
          <w:color w:val="auto"/>
          <w:sz w:val="24"/>
        </w:rPr>
        <w:t>四、响应文件提交</w:t>
      </w:r>
      <w:bookmarkEnd w:id="634"/>
      <w:bookmarkEnd w:id="635"/>
      <w:bookmarkEnd w:id="636"/>
      <w:bookmarkEnd w:id="637"/>
      <w:r>
        <w:rPr>
          <w:rFonts w:hint="eastAsia" w:ascii="微软雅黑" w:hAnsi="微软雅黑" w:eastAsia="微软雅黑" w:cs="微软雅黑"/>
          <w:b/>
          <w:color w:val="auto"/>
          <w:sz w:val="24"/>
        </w:rPr>
        <w:t>及开启</w:t>
      </w:r>
    </w:p>
    <w:p w14:paraId="6E1C7012">
      <w:pPr>
        <w:pageBreakBefore w:val="0"/>
        <w:kinsoku/>
        <w:wordWrap/>
        <w:overflowPunct/>
        <w:topLinePunct w:val="0"/>
        <w:autoSpaceDE/>
        <w:autoSpaceDN/>
        <w:bidi w:val="0"/>
        <w:adjustRightInd/>
        <w:spacing w:line="480" w:lineRule="exact"/>
        <w:ind w:firstLine="480" w:firstLineChars="200"/>
        <w:textAlignment w:val="auto"/>
        <w:rPr>
          <w:rFonts w:ascii="微软雅黑" w:hAnsi="微软雅黑" w:eastAsia="微软雅黑" w:cs="微软雅黑"/>
          <w:bCs/>
          <w:color w:val="auto"/>
          <w:sz w:val="24"/>
        </w:rPr>
      </w:pPr>
      <w:r>
        <w:rPr>
          <w:rFonts w:hint="eastAsia" w:ascii="微软雅黑" w:hAnsi="微软雅黑" w:eastAsia="微软雅黑" w:cs="微软雅黑"/>
          <w:color w:val="auto"/>
          <w:sz w:val="24"/>
        </w:rPr>
        <w:t>截止时间：</w:t>
      </w:r>
      <w:r>
        <w:rPr>
          <w:rFonts w:hint="eastAsia" w:ascii="微软雅黑" w:hAnsi="微软雅黑" w:eastAsia="微软雅黑" w:cs="微软雅黑"/>
          <w:color w:val="auto"/>
          <w:sz w:val="24"/>
          <w:lang w:val="en-US" w:eastAsia="zh-CN"/>
        </w:rPr>
        <w:t>2025</w:t>
      </w:r>
      <w:r>
        <w:rPr>
          <w:rFonts w:hint="eastAsia" w:ascii="微软雅黑" w:hAnsi="微软雅黑" w:eastAsia="微软雅黑" w:cs="微软雅黑"/>
          <w:color w:val="auto"/>
          <w:sz w:val="24"/>
        </w:rPr>
        <w:t>年</w:t>
      </w:r>
      <w:r>
        <w:rPr>
          <w:rFonts w:hint="eastAsia" w:ascii="微软雅黑" w:hAnsi="微软雅黑" w:eastAsia="微软雅黑" w:cs="微软雅黑"/>
          <w:color w:val="auto"/>
          <w:sz w:val="24"/>
          <w:lang w:val="en-US" w:eastAsia="zh-CN"/>
        </w:rPr>
        <w:t>04</w:t>
      </w:r>
      <w:r>
        <w:rPr>
          <w:rFonts w:hint="eastAsia" w:ascii="微软雅黑" w:hAnsi="微软雅黑" w:eastAsia="微软雅黑" w:cs="微软雅黑"/>
          <w:color w:val="auto"/>
          <w:sz w:val="24"/>
        </w:rPr>
        <w:t>月</w:t>
      </w:r>
      <w:r>
        <w:rPr>
          <w:rFonts w:hint="eastAsia" w:ascii="微软雅黑" w:hAnsi="微软雅黑" w:eastAsia="微软雅黑" w:cs="微软雅黑"/>
          <w:color w:val="auto"/>
          <w:sz w:val="24"/>
          <w:lang w:val="en-US" w:eastAsia="zh-CN"/>
        </w:rPr>
        <w:t>11</w:t>
      </w:r>
      <w:r>
        <w:rPr>
          <w:rFonts w:hint="eastAsia" w:ascii="微软雅黑" w:hAnsi="微软雅黑" w:eastAsia="微软雅黑" w:cs="微软雅黑"/>
          <w:color w:val="auto"/>
          <w:sz w:val="24"/>
        </w:rPr>
        <w:t>日</w:t>
      </w:r>
      <w:r>
        <w:rPr>
          <w:rFonts w:hint="eastAsia" w:ascii="微软雅黑" w:hAnsi="微软雅黑" w:eastAsia="微软雅黑" w:cs="微软雅黑"/>
          <w:color w:val="auto"/>
          <w:sz w:val="24"/>
          <w:lang w:val="en-US" w:eastAsia="zh-CN"/>
        </w:rPr>
        <w:t>11</w:t>
      </w:r>
      <w:r>
        <w:rPr>
          <w:rFonts w:hint="eastAsia" w:ascii="微软雅黑" w:hAnsi="微软雅黑" w:eastAsia="微软雅黑" w:cs="微软雅黑"/>
          <w:color w:val="auto"/>
          <w:sz w:val="24"/>
        </w:rPr>
        <w:t>点</w:t>
      </w:r>
      <w:r>
        <w:rPr>
          <w:rFonts w:hint="eastAsia" w:ascii="微软雅黑" w:hAnsi="微软雅黑" w:eastAsia="微软雅黑" w:cs="微软雅黑"/>
          <w:color w:val="auto"/>
          <w:sz w:val="24"/>
          <w:lang w:val="en-US" w:eastAsia="zh-CN"/>
        </w:rPr>
        <w:t>00</w:t>
      </w:r>
      <w:r>
        <w:rPr>
          <w:rFonts w:hint="eastAsia" w:ascii="微软雅黑" w:hAnsi="微软雅黑" w:eastAsia="微软雅黑" w:cs="微软雅黑"/>
          <w:color w:val="auto"/>
          <w:sz w:val="24"/>
        </w:rPr>
        <w:t>分（北京时间）</w:t>
      </w:r>
    </w:p>
    <w:p w14:paraId="32B56311">
      <w:pPr>
        <w:pageBreakBefore w:val="0"/>
        <w:kinsoku/>
        <w:wordWrap/>
        <w:overflowPunct/>
        <w:topLinePunct w:val="0"/>
        <w:autoSpaceDE/>
        <w:autoSpaceDN/>
        <w:bidi w:val="0"/>
        <w:adjustRightInd/>
        <w:spacing w:line="480" w:lineRule="exact"/>
        <w:ind w:firstLine="480" w:firstLineChars="200"/>
        <w:textAlignment w:val="auto"/>
        <w:rPr>
          <w:rFonts w:hint="default" w:ascii="微软雅黑" w:hAnsi="微软雅黑" w:eastAsia="微软雅黑" w:cs="微软雅黑"/>
          <w:color w:val="auto"/>
          <w:sz w:val="24"/>
          <w:lang w:val="en-US" w:eastAsia="zh-CN"/>
        </w:rPr>
      </w:pPr>
      <w:r>
        <w:rPr>
          <w:rFonts w:hint="eastAsia" w:ascii="微软雅黑" w:hAnsi="微软雅黑" w:eastAsia="微软雅黑" w:cs="微软雅黑"/>
          <w:color w:val="auto"/>
          <w:sz w:val="24"/>
          <w:lang w:val="en-US" w:eastAsia="zh-CN"/>
        </w:rPr>
        <w:t>地点：政采云平台（https://www.zcygov.cn/） </w:t>
      </w:r>
    </w:p>
    <w:p w14:paraId="0100317E">
      <w:pPr>
        <w:keepNext/>
        <w:keepLines/>
        <w:pageBreakBefore w:val="0"/>
        <w:kinsoku/>
        <w:wordWrap/>
        <w:overflowPunct/>
        <w:topLinePunct w:val="0"/>
        <w:autoSpaceDE/>
        <w:autoSpaceDN/>
        <w:bidi w:val="0"/>
        <w:adjustRightInd/>
        <w:spacing w:line="480" w:lineRule="exact"/>
        <w:textAlignment w:val="auto"/>
        <w:rPr>
          <w:rFonts w:ascii="微软雅黑" w:hAnsi="微软雅黑" w:eastAsia="微软雅黑" w:cs="微软雅黑"/>
          <w:b/>
          <w:color w:val="auto"/>
          <w:sz w:val="24"/>
        </w:rPr>
      </w:pPr>
      <w:bookmarkStart w:id="639" w:name="_Toc28359016"/>
      <w:bookmarkStart w:id="640" w:name="_Toc35393802"/>
      <w:bookmarkStart w:id="641" w:name="_Toc28359093"/>
      <w:bookmarkStart w:id="642" w:name="_Toc35393633"/>
      <w:r>
        <w:rPr>
          <w:rFonts w:hint="eastAsia" w:ascii="微软雅黑" w:hAnsi="微软雅黑" w:eastAsia="微软雅黑" w:cs="微软雅黑"/>
          <w:b/>
          <w:color w:val="auto"/>
          <w:sz w:val="24"/>
        </w:rPr>
        <w:t>五、</w:t>
      </w:r>
      <w:bookmarkEnd w:id="639"/>
      <w:bookmarkEnd w:id="640"/>
      <w:bookmarkEnd w:id="641"/>
      <w:bookmarkEnd w:id="642"/>
      <w:bookmarkStart w:id="643" w:name="_Toc28359094"/>
      <w:bookmarkStart w:id="644" w:name="_Toc28359017"/>
      <w:bookmarkStart w:id="645" w:name="_Toc35393803"/>
      <w:bookmarkStart w:id="646" w:name="_Toc35393634"/>
      <w:r>
        <w:rPr>
          <w:rFonts w:hint="eastAsia" w:ascii="微软雅黑" w:hAnsi="微软雅黑" w:eastAsia="微软雅黑" w:cs="微软雅黑"/>
          <w:b/>
          <w:color w:val="auto"/>
          <w:sz w:val="24"/>
        </w:rPr>
        <w:t>公告期限</w:t>
      </w:r>
      <w:bookmarkEnd w:id="643"/>
      <w:bookmarkEnd w:id="644"/>
      <w:bookmarkEnd w:id="645"/>
      <w:bookmarkEnd w:id="646"/>
    </w:p>
    <w:p w14:paraId="3A3199FD">
      <w:pPr>
        <w:pageBreakBefore w:val="0"/>
        <w:kinsoku/>
        <w:wordWrap/>
        <w:overflowPunct/>
        <w:topLinePunct w:val="0"/>
        <w:autoSpaceDE/>
        <w:autoSpaceDN/>
        <w:bidi w:val="0"/>
        <w:adjustRightInd/>
        <w:spacing w:line="480" w:lineRule="exact"/>
        <w:ind w:firstLine="480" w:firstLineChars="200"/>
        <w:textAlignment w:val="auto"/>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自本公告发布之日起3个工作日。</w:t>
      </w:r>
    </w:p>
    <w:p w14:paraId="0100276C">
      <w:pPr>
        <w:keepNext/>
        <w:keepLines/>
        <w:pageBreakBefore w:val="0"/>
        <w:kinsoku/>
        <w:wordWrap/>
        <w:overflowPunct/>
        <w:topLinePunct w:val="0"/>
        <w:autoSpaceDE/>
        <w:autoSpaceDN/>
        <w:bidi w:val="0"/>
        <w:adjustRightInd/>
        <w:spacing w:line="480" w:lineRule="exact"/>
        <w:textAlignment w:val="auto"/>
        <w:rPr>
          <w:rFonts w:hint="eastAsia" w:ascii="微软雅黑" w:hAnsi="微软雅黑" w:eastAsia="微软雅黑" w:cs="微软雅黑"/>
          <w:b/>
          <w:bCs/>
          <w:color w:val="auto"/>
          <w:kern w:val="0"/>
          <w:sz w:val="24"/>
        </w:rPr>
      </w:pPr>
      <w:r>
        <w:rPr>
          <w:rFonts w:hint="eastAsia" w:ascii="微软雅黑" w:hAnsi="微软雅黑" w:eastAsia="微软雅黑" w:cs="微软雅黑"/>
          <w:b/>
          <w:color w:val="auto"/>
          <w:sz w:val="24"/>
        </w:rPr>
        <w:t>六、其他补充事宜</w:t>
      </w:r>
    </w:p>
    <w:p w14:paraId="3FE9AEC6">
      <w:pPr>
        <w:keepNext w:val="0"/>
        <w:keepLines w:val="0"/>
        <w:pageBreakBefore w:val="0"/>
        <w:widowControl w:val="0"/>
        <w:shd w:val="clear" w:color="auto" w:fill="auto"/>
        <w:kinsoku/>
        <w:wordWrap/>
        <w:overflowPunct/>
        <w:topLinePunct w:val="0"/>
        <w:autoSpaceDE/>
        <w:autoSpaceDN/>
        <w:bidi w:val="0"/>
        <w:adjustRightInd/>
        <w:snapToGrid/>
        <w:spacing w:line="480" w:lineRule="exact"/>
        <w:ind w:left="0" w:leftChars="0" w:firstLine="54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w:t>
      </w:r>
    </w:p>
    <w:p w14:paraId="1D819A08">
      <w:pPr>
        <w:keepNext w:val="0"/>
        <w:keepLines w:val="0"/>
        <w:pageBreakBefore w:val="0"/>
        <w:widowControl w:val="0"/>
        <w:shd w:val="clear" w:color="auto" w:fill="auto"/>
        <w:kinsoku/>
        <w:wordWrap/>
        <w:overflowPunct/>
        <w:topLinePunct w:val="0"/>
        <w:autoSpaceDE/>
        <w:autoSpaceDN/>
        <w:bidi w:val="0"/>
        <w:adjustRightInd/>
        <w:snapToGrid/>
        <w:spacing w:line="480" w:lineRule="exact"/>
        <w:ind w:left="0" w:leftChars="0" w:firstLine="54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2.本项目实行网上投标，采用电子响应文件(供应商须使用CA加密设备通过政采云电子投标客户端制作响应文件)。若供应商参与投标，自行承担投标一切费用。</w:t>
      </w:r>
    </w:p>
    <w:p w14:paraId="7BA8EE63">
      <w:pPr>
        <w:keepNext w:val="0"/>
        <w:keepLines w:val="0"/>
        <w:pageBreakBefore w:val="0"/>
        <w:widowControl w:val="0"/>
        <w:shd w:val="clear" w:color="auto" w:fill="auto"/>
        <w:kinsoku/>
        <w:wordWrap/>
        <w:overflowPunct/>
        <w:topLinePunct w:val="0"/>
        <w:autoSpaceDE/>
        <w:autoSpaceDN/>
        <w:bidi w:val="0"/>
        <w:adjustRightInd/>
        <w:snapToGrid/>
        <w:spacing w:line="480" w:lineRule="exact"/>
        <w:ind w:left="0" w:leftChars="0" w:firstLine="54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3.各供应商应在开标前应确保成为新疆政府采购网正式注册入库供应商，并完成CA数字证书申领。因未注册入库、未办理CA数字证书等原因造成无法投标或投标失败等后果由供应商自行承担。</w:t>
      </w:r>
    </w:p>
    <w:p w14:paraId="544FB992">
      <w:pPr>
        <w:keepNext w:val="0"/>
        <w:keepLines w:val="0"/>
        <w:pageBreakBefore w:val="0"/>
        <w:widowControl w:val="0"/>
        <w:shd w:val="clear" w:color="auto" w:fill="auto"/>
        <w:kinsoku/>
        <w:wordWrap/>
        <w:overflowPunct/>
        <w:topLinePunct w:val="0"/>
        <w:autoSpaceDE/>
        <w:autoSpaceDN/>
        <w:bidi w:val="0"/>
        <w:adjustRightInd/>
        <w:snapToGrid/>
        <w:spacing w:line="480" w:lineRule="exact"/>
        <w:ind w:left="0" w:leftChars="0" w:firstLine="54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4.供应商将政采云电子交易客户端下载、安装完成后，可通过账号密码或CA登录客户端进行响应文件制作。在使用政采云投标客户端时，建议使用WIN7及以上操作系统。客户端请至新疆政府采购网（http://www.ccgp-xinjiang.gov.cn/）下载专区查看，如有问题可拨打政采云客户服务热线95763进行咨询。</w:t>
      </w:r>
    </w:p>
    <w:p w14:paraId="0D25C6A1">
      <w:pPr>
        <w:keepNext w:val="0"/>
        <w:keepLines w:val="0"/>
        <w:pageBreakBefore w:val="0"/>
        <w:widowControl w:val="0"/>
        <w:shd w:val="clear" w:color="auto" w:fill="auto"/>
        <w:kinsoku/>
        <w:wordWrap/>
        <w:overflowPunct/>
        <w:topLinePunct w:val="0"/>
        <w:autoSpaceDE/>
        <w:autoSpaceDN/>
        <w:bidi w:val="0"/>
        <w:adjustRightInd/>
        <w:snapToGrid/>
        <w:spacing w:line="480" w:lineRule="exact"/>
        <w:ind w:left="0" w:leftChars="0" w:firstLine="54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5.供应商在开标时须使用制作加密电子响应文件所使用的CA锁及电脑，电脑须提前配置好浏览器（建议使用谷歌浏览器），以便开标时解锁。</w:t>
      </w:r>
    </w:p>
    <w:p w14:paraId="3E33A906">
      <w:pPr>
        <w:keepNext w:val="0"/>
        <w:keepLines w:val="0"/>
        <w:pageBreakBefore w:val="0"/>
        <w:widowControl w:val="0"/>
        <w:shd w:val="clear" w:color="auto" w:fill="auto"/>
        <w:kinsoku/>
        <w:wordWrap/>
        <w:overflowPunct/>
        <w:topLinePunct w:val="0"/>
        <w:autoSpaceDE/>
        <w:autoSpaceDN/>
        <w:bidi w:val="0"/>
        <w:adjustRightInd/>
        <w:snapToGrid/>
        <w:spacing w:line="480" w:lineRule="exact"/>
        <w:ind w:left="0" w:leftChars="0" w:firstLine="54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6.投标保证金缴纳及确认时间：凡拟参加本次招标项目的供应商，必须在开标前将投标保证金汇入指定账户。投标保证金汇款凭证上用途栏应注明:招标项目名称+标项号+投标保证金。否则，届时其投标将被拒绝。</w:t>
      </w:r>
    </w:p>
    <w:p w14:paraId="22C59D42">
      <w:pPr>
        <w:keepNext w:val="0"/>
        <w:keepLines w:val="0"/>
        <w:pageBreakBefore w:val="0"/>
        <w:widowControl w:val="0"/>
        <w:shd w:val="clear" w:color="auto" w:fill="auto"/>
        <w:kinsoku/>
        <w:wordWrap/>
        <w:overflowPunct/>
        <w:topLinePunct w:val="0"/>
        <w:autoSpaceDE/>
        <w:autoSpaceDN/>
        <w:bidi w:val="0"/>
        <w:adjustRightInd/>
        <w:snapToGrid/>
        <w:spacing w:line="480" w:lineRule="exact"/>
        <w:ind w:left="0" w:leftChars="0" w:firstLine="540"/>
        <w:textAlignment w:val="auto"/>
        <w:rPr>
          <w:rFonts w:hint="eastAsia" w:ascii="微软雅黑" w:hAnsi="微软雅黑" w:eastAsia="微软雅黑" w:cs="微软雅黑"/>
          <w:b/>
          <w:bCs/>
          <w:color w:val="auto"/>
          <w:kern w:val="0"/>
          <w:sz w:val="24"/>
        </w:rPr>
      </w:pPr>
      <w:r>
        <w:rPr>
          <w:rFonts w:hint="eastAsia" w:ascii="微软雅黑" w:hAnsi="微软雅黑" w:eastAsia="微软雅黑" w:cs="微软雅黑"/>
          <w:color w:val="auto"/>
          <w:sz w:val="24"/>
          <w:szCs w:val="24"/>
          <w:highlight w:val="none"/>
          <w:lang w:val="en-US" w:eastAsia="zh-CN"/>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供应商服务1号群：30349928（如已加入1-11群，无需重复加入，十一个群联动直播），钉钉工具软件具有回放功能，直播培训结束后可在钉钉群中回放观看学习。</w:t>
      </w:r>
    </w:p>
    <w:p w14:paraId="342D6079">
      <w:pPr>
        <w:pStyle w:val="26"/>
        <w:pageBreakBefore w:val="0"/>
        <w:kinsoku/>
        <w:wordWrap/>
        <w:overflowPunct/>
        <w:topLinePunct w:val="0"/>
        <w:autoSpaceDE/>
        <w:autoSpaceDN/>
        <w:bidi w:val="0"/>
        <w:adjustRightInd/>
        <w:spacing w:line="480" w:lineRule="exact"/>
        <w:ind w:firstLine="240" w:firstLineChars="100"/>
        <w:textAlignment w:val="auto"/>
        <w:rPr>
          <w:rFonts w:ascii="微软雅黑" w:hAnsi="微软雅黑" w:eastAsia="微软雅黑" w:cs="微软雅黑"/>
          <w:b/>
          <w:bCs/>
          <w:color w:val="auto"/>
          <w:kern w:val="0"/>
          <w:sz w:val="24"/>
        </w:rPr>
      </w:pPr>
      <w:r>
        <w:rPr>
          <w:rFonts w:hint="eastAsia" w:ascii="微软雅黑" w:hAnsi="微软雅黑" w:eastAsia="微软雅黑" w:cs="微软雅黑"/>
          <w:b/>
          <w:bCs/>
          <w:color w:val="auto"/>
          <w:kern w:val="0"/>
          <w:sz w:val="24"/>
        </w:rPr>
        <w:t>特别提示：</w:t>
      </w:r>
    </w:p>
    <w:p w14:paraId="132BE0C5">
      <w:pPr>
        <w:pStyle w:val="26"/>
        <w:pageBreakBefore w:val="0"/>
        <w:kinsoku/>
        <w:wordWrap/>
        <w:overflowPunct/>
        <w:topLinePunct w:val="0"/>
        <w:autoSpaceDE/>
        <w:autoSpaceDN/>
        <w:bidi w:val="0"/>
        <w:adjustRightInd/>
        <w:spacing w:line="480" w:lineRule="exact"/>
        <w:ind w:firstLine="480" w:firstLineChars="200"/>
        <w:textAlignment w:val="auto"/>
        <w:rPr>
          <w:rFonts w:ascii="微软雅黑" w:hAnsi="微软雅黑" w:eastAsia="微软雅黑" w:cs="微软雅黑"/>
          <w:b w:val="0"/>
          <w:bCs w:val="0"/>
          <w:color w:val="auto"/>
          <w:sz w:val="24"/>
        </w:rPr>
      </w:pPr>
      <w:bookmarkStart w:id="647" w:name="_Toc35393804"/>
      <w:bookmarkStart w:id="648" w:name="_Toc35393635"/>
      <w:r>
        <w:rPr>
          <w:rFonts w:hint="eastAsia" w:ascii="微软雅黑" w:hAnsi="微软雅黑" w:eastAsia="微软雅黑" w:cs="微软雅黑"/>
          <w:b w:val="0"/>
          <w:bCs w:val="0"/>
          <w:color w:val="auto"/>
          <w:sz w:val="24"/>
        </w:rPr>
        <w:t>1、采购限额标准以上，200万元以下的货物和服务采购项目、400万元以下的工程采购项目，适宜由中小企业提供的，采购人应当专门面向中小企业采购。</w:t>
      </w:r>
    </w:p>
    <w:p w14:paraId="47E70DC7">
      <w:pPr>
        <w:pStyle w:val="26"/>
        <w:pageBreakBefore w:val="0"/>
        <w:kinsoku/>
        <w:wordWrap/>
        <w:overflowPunct/>
        <w:topLinePunct w:val="0"/>
        <w:autoSpaceDE/>
        <w:autoSpaceDN/>
        <w:bidi w:val="0"/>
        <w:adjustRightInd/>
        <w:spacing w:line="480" w:lineRule="exact"/>
        <w:ind w:firstLine="480" w:firstLineChars="200"/>
        <w:textAlignment w:val="auto"/>
        <w:rPr>
          <w:rFonts w:hint="eastAsia" w:ascii="微软雅黑" w:hAnsi="微软雅黑" w:eastAsia="微软雅黑" w:cs="微软雅黑"/>
          <w:b w:val="0"/>
          <w:bCs w:val="0"/>
          <w:color w:val="auto"/>
          <w:sz w:val="24"/>
        </w:rPr>
      </w:pPr>
      <w:r>
        <w:rPr>
          <w:rFonts w:hint="eastAsia" w:ascii="微软雅黑" w:hAnsi="微软雅黑" w:eastAsia="微软雅黑" w:cs="微软雅黑"/>
          <w:b w:val="0"/>
          <w:bCs w:val="0"/>
          <w:color w:val="auto"/>
          <w:sz w:val="24"/>
        </w:rPr>
        <w:t>2、超过200万元的货物和服务采购项目，预留该部分采购项目预算总额的30%以上专门面向中小企业采购，其中预留给小微企业的比例不低于60%。</w:t>
      </w:r>
    </w:p>
    <w:p w14:paraId="46410DCA">
      <w:pPr>
        <w:pStyle w:val="26"/>
        <w:pageBreakBefore w:val="0"/>
        <w:kinsoku/>
        <w:wordWrap/>
        <w:overflowPunct/>
        <w:topLinePunct w:val="0"/>
        <w:autoSpaceDE/>
        <w:autoSpaceDN/>
        <w:bidi w:val="0"/>
        <w:adjustRightInd/>
        <w:spacing w:line="480" w:lineRule="exact"/>
        <w:ind w:firstLine="480" w:firstLineChars="200"/>
        <w:textAlignment w:val="auto"/>
        <w:rPr>
          <w:rFonts w:hint="eastAsia" w:ascii="微软雅黑" w:hAnsi="微软雅黑" w:eastAsia="微软雅黑" w:cs="微软雅黑"/>
          <w:b w:val="0"/>
          <w:bCs w:val="0"/>
          <w:color w:val="auto"/>
          <w:sz w:val="24"/>
        </w:rPr>
      </w:pPr>
      <w:r>
        <w:rPr>
          <w:rFonts w:hint="eastAsia" w:ascii="微软雅黑" w:hAnsi="微软雅黑" w:eastAsia="微软雅黑" w:cs="微软雅黑"/>
          <w:b w:val="0"/>
          <w:bCs w:val="0"/>
          <w:color w:val="auto"/>
          <w:sz w:val="24"/>
        </w:rPr>
        <w:t>3、超过400万元的工程采购项目中适宜由中小企业提供的，预留该部分采购项目预算总额的40%以上专门面向中小企业采购，其中预留给小微企业的比例不低于60%。</w:t>
      </w:r>
    </w:p>
    <w:p w14:paraId="5B3266D7">
      <w:pPr>
        <w:pStyle w:val="26"/>
        <w:pageBreakBefore w:val="0"/>
        <w:kinsoku/>
        <w:wordWrap/>
        <w:overflowPunct/>
        <w:topLinePunct w:val="0"/>
        <w:autoSpaceDE/>
        <w:autoSpaceDN/>
        <w:bidi w:val="0"/>
        <w:adjustRightInd/>
        <w:spacing w:line="480" w:lineRule="exact"/>
        <w:ind w:firstLine="480" w:firstLineChars="200"/>
        <w:textAlignment w:val="auto"/>
        <w:rPr>
          <w:rFonts w:hint="eastAsia" w:ascii="微软雅黑" w:hAnsi="微软雅黑" w:eastAsia="微软雅黑" w:cs="微软雅黑"/>
          <w:b w:val="0"/>
          <w:bCs w:val="0"/>
          <w:color w:val="auto"/>
          <w:sz w:val="24"/>
        </w:rPr>
      </w:pPr>
      <w:r>
        <w:rPr>
          <w:rFonts w:hint="eastAsia" w:ascii="微软雅黑" w:hAnsi="微软雅黑" w:eastAsia="微软雅黑" w:cs="微软雅黑"/>
          <w:b w:val="0"/>
          <w:bCs w:val="0"/>
          <w:color w:val="auto"/>
          <w:sz w:val="24"/>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651E4819">
      <w:pPr>
        <w:pStyle w:val="26"/>
        <w:pageBreakBefore w:val="0"/>
        <w:kinsoku/>
        <w:wordWrap/>
        <w:overflowPunct/>
        <w:topLinePunct w:val="0"/>
        <w:autoSpaceDE/>
        <w:autoSpaceDN/>
        <w:bidi w:val="0"/>
        <w:adjustRightInd/>
        <w:spacing w:line="480" w:lineRule="exact"/>
        <w:ind w:firstLine="480" w:firstLineChars="200"/>
        <w:textAlignment w:val="auto"/>
        <w:rPr>
          <w:rFonts w:ascii="微软雅黑" w:hAnsi="微软雅黑" w:eastAsia="微软雅黑" w:cs="微软雅黑"/>
          <w:b w:val="0"/>
          <w:bCs w:val="0"/>
          <w:color w:val="auto"/>
          <w:sz w:val="24"/>
        </w:rPr>
      </w:pPr>
      <w:r>
        <w:rPr>
          <w:rFonts w:hint="eastAsia" w:ascii="微软雅黑" w:hAnsi="微软雅黑" w:eastAsia="微软雅黑" w:cs="微软雅黑"/>
          <w:b w:val="0"/>
          <w:bCs w:val="0"/>
          <w:color w:val="auto"/>
          <w:sz w:val="24"/>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3A5FC866">
      <w:pPr>
        <w:pStyle w:val="26"/>
        <w:pageBreakBefore w:val="0"/>
        <w:kinsoku/>
        <w:wordWrap/>
        <w:overflowPunct/>
        <w:topLinePunct w:val="0"/>
        <w:autoSpaceDE/>
        <w:autoSpaceDN/>
        <w:bidi w:val="0"/>
        <w:adjustRightInd/>
        <w:spacing w:line="480" w:lineRule="exact"/>
        <w:textAlignment w:val="auto"/>
        <w:rPr>
          <w:rFonts w:ascii="微软雅黑" w:hAnsi="微软雅黑" w:eastAsia="微软雅黑" w:cs="微软雅黑"/>
          <w:b/>
          <w:color w:val="auto"/>
          <w:sz w:val="24"/>
        </w:rPr>
      </w:pPr>
      <w:r>
        <w:rPr>
          <w:rFonts w:hint="eastAsia" w:ascii="微软雅黑" w:hAnsi="微软雅黑" w:eastAsia="微软雅黑" w:cs="微软雅黑"/>
          <w:b/>
          <w:color w:val="auto"/>
          <w:sz w:val="24"/>
        </w:rPr>
        <w:t>七、</w:t>
      </w:r>
      <w:bookmarkEnd w:id="647"/>
      <w:bookmarkEnd w:id="648"/>
      <w:bookmarkStart w:id="649" w:name="_Toc35393636"/>
      <w:bookmarkStart w:id="650" w:name="_Toc28359095"/>
      <w:bookmarkStart w:id="651" w:name="_Toc28359018"/>
      <w:bookmarkStart w:id="652" w:name="_Toc35393805"/>
      <w:r>
        <w:rPr>
          <w:rFonts w:hint="eastAsia" w:ascii="微软雅黑" w:hAnsi="微软雅黑" w:eastAsia="微软雅黑" w:cs="微软雅黑"/>
          <w:b/>
          <w:color w:val="auto"/>
          <w:sz w:val="24"/>
        </w:rPr>
        <w:t>凡对本次采购提出询问，请按以下方式联系。</w:t>
      </w:r>
      <w:bookmarkEnd w:id="649"/>
      <w:bookmarkEnd w:id="650"/>
      <w:bookmarkEnd w:id="651"/>
      <w:bookmarkEnd w:id="652"/>
      <w:bookmarkStart w:id="653" w:name="_Toc28359096"/>
      <w:bookmarkStart w:id="654" w:name="_Toc35393637"/>
      <w:bookmarkStart w:id="655" w:name="_Toc28359019"/>
      <w:bookmarkStart w:id="656" w:name="_Toc35393806"/>
      <w:bookmarkStart w:id="657" w:name="_Toc4002"/>
    </w:p>
    <w:bookmarkEnd w:id="653"/>
    <w:bookmarkEnd w:id="654"/>
    <w:bookmarkEnd w:id="655"/>
    <w:bookmarkEnd w:id="656"/>
    <w:bookmarkEnd w:id="657"/>
    <w:p w14:paraId="3C03990E">
      <w:pPr>
        <w:pStyle w:val="31"/>
        <w:widowControl/>
        <w:spacing w:before="75" w:beforeAutospacing="0" w:after="75" w:afterAutospacing="0" w:line="400" w:lineRule="exact"/>
        <w:ind w:firstLine="420"/>
        <w:rPr>
          <w:rFonts w:hint="eastAsia" w:ascii="微软雅黑" w:hAnsi="微软雅黑" w:eastAsia="微软雅黑" w:cs="微软雅黑"/>
          <w:b w:val="0"/>
          <w:bCs w:val="0"/>
          <w:color w:val="auto"/>
          <w:kern w:val="2"/>
          <w:sz w:val="24"/>
          <w:szCs w:val="24"/>
          <w:lang w:val="en-US" w:eastAsia="zh-CN" w:bidi="ar-SA"/>
        </w:rPr>
      </w:pPr>
      <w:r>
        <w:rPr>
          <w:rFonts w:hint="eastAsia" w:ascii="微软雅黑" w:hAnsi="微软雅黑" w:eastAsia="微软雅黑" w:cs="微软雅黑"/>
          <w:b w:val="0"/>
          <w:bCs w:val="0"/>
          <w:color w:val="auto"/>
          <w:kern w:val="2"/>
          <w:sz w:val="24"/>
          <w:szCs w:val="24"/>
          <w:lang w:val="en-US" w:eastAsia="zh-CN" w:bidi="ar-SA"/>
        </w:rPr>
        <w:t>1.采购人信息</w:t>
      </w:r>
    </w:p>
    <w:p w14:paraId="60DE0B07">
      <w:pPr>
        <w:pStyle w:val="31"/>
        <w:widowControl/>
        <w:spacing w:before="75" w:beforeAutospacing="0" w:after="75" w:afterAutospacing="0" w:line="400" w:lineRule="exact"/>
        <w:ind w:firstLine="420"/>
        <w:rPr>
          <w:rFonts w:hint="eastAsia" w:ascii="微软雅黑" w:hAnsi="微软雅黑" w:eastAsia="微软雅黑" w:cs="微软雅黑"/>
          <w:b w:val="0"/>
          <w:bCs w:val="0"/>
          <w:color w:val="auto"/>
          <w:kern w:val="2"/>
          <w:sz w:val="24"/>
          <w:szCs w:val="24"/>
          <w:lang w:val="en-US" w:eastAsia="zh-CN" w:bidi="ar-SA"/>
        </w:rPr>
      </w:pPr>
      <w:r>
        <w:rPr>
          <w:rFonts w:hint="eastAsia" w:ascii="微软雅黑" w:hAnsi="微软雅黑" w:eastAsia="微软雅黑" w:cs="微软雅黑"/>
          <w:b w:val="0"/>
          <w:bCs w:val="0"/>
          <w:color w:val="auto"/>
          <w:kern w:val="2"/>
          <w:sz w:val="24"/>
          <w:szCs w:val="24"/>
          <w:lang w:val="en-US" w:eastAsia="zh-CN" w:bidi="ar-SA"/>
        </w:rPr>
        <w:t>名 称：</w:t>
      </w:r>
      <w:bookmarkStart w:id="658" w:name="OLE_LINK46"/>
      <w:r>
        <w:rPr>
          <w:rFonts w:hint="eastAsia" w:ascii="微软雅黑" w:hAnsi="微软雅黑" w:eastAsia="微软雅黑" w:cs="微软雅黑"/>
          <w:b w:val="0"/>
          <w:bCs w:val="0"/>
          <w:color w:val="auto"/>
          <w:kern w:val="2"/>
          <w:sz w:val="24"/>
          <w:szCs w:val="24"/>
          <w:lang w:val="en-US" w:eastAsia="zh-CN" w:bidi="ar-SA"/>
        </w:rPr>
        <w:t>岳普湖县民政局</w:t>
      </w:r>
    </w:p>
    <w:p w14:paraId="6161C546">
      <w:pPr>
        <w:pStyle w:val="31"/>
        <w:widowControl/>
        <w:spacing w:before="75" w:beforeAutospacing="0" w:after="75" w:afterAutospacing="0" w:line="400" w:lineRule="exact"/>
        <w:ind w:firstLine="420"/>
        <w:rPr>
          <w:rFonts w:hint="eastAsia" w:ascii="微软雅黑" w:hAnsi="微软雅黑" w:eastAsia="微软雅黑" w:cs="微软雅黑"/>
          <w:b w:val="0"/>
          <w:bCs w:val="0"/>
          <w:color w:val="auto"/>
          <w:kern w:val="2"/>
          <w:sz w:val="24"/>
          <w:szCs w:val="24"/>
          <w:lang w:val="en-US" w:eastAsia="zh-CN" w:bidi="ar-SA"/>
        </w:rPr>
      </w:pPr>
      <w:r>
        <w:rPr>
          <w:rFonts w:hint="eastAsia" w:ascii="微软雅黑" w:hAnsi="微软雅黑" w:eastAsia="微软雅黑" w:cs="微软雅黑"/>
          <w:b w:val="0"/>
          <w:bCs w:val="0"/>
          <w:color w:val="auto"/>
          <w:kern w:val="2"/>
          <w:sz w:val="24"/>
          <w:szCs w:val="24"/>
          <w:lang w:val="en-US" w:eastAsia="zh-CN" w:bidi="ar-SA"/>
        </w:rPr>
        <w:t>地址：喀什地区岳普湖县市政大道</w:t>
      </w:r>
    </w:p>
    <w:bookmarkEnd w:id="658"/>
    <w:p w14:paraId="412C8ED0">
      <w:pPr>
        <w:pStyle w:val="31"/>
        <w:widowControl/>
        <w:spacing w:before="75" w:beforeAutospacing="0" w:after="75" w:afterAutospacing="0" w:line="400" w:lineRule="exact"/>
        <w:ind w:firstLine="420"/>
        <w:rPr>
          <w:rFonts w:hint="eastAsia" w:ascii="微软雅黑" w:hAnsi="微软雅黑" w:eastAsia="微软雅黑" w:cs="微软雅黑"/>
          <w:b w:val="0"/>
          <w:bCs w:val="0"/>
          <w:color w:val="auto"/>
          <w:kern w:val="2"/>
          <w:sz w:val="24"/>
          <w:szCs w:val="24"/>
          <w:lang w:val="en-US" w:eastAsia="zh-CN" w:bidi="ar-SA"/>
        </w:rPr>
      </w:pPr>
      <w:r>
        <w:rPr>
          <w:rFonts w:hint="eastAsia" w:ascii="微软雅黑" w:hAnsi="微软雅黑" w:eastAsia="微软雅黑" w:cs="微软雅黑"/>
          <w:b w:val="0"/>
          <w:bCs w:val="0"/>
          <w:color w:val="auto"/>
          <w:kern w:val="2"/>
          <w:sz w:val="24"/>
          <w:szCs w:val="24"/>
          <w:lang w:val="en-US" w:eastAsia="zh-CN" w:bidi="ar-SA"/>
        </w:rPr>
        <w:t>联系人：李俊杰</w:t>
      </w:r>
    </w:p>
    <w:p w14:paraId="360C7120">
      <w:pPr>
        <w:pStyle w:val="31"/>
        <w:widowControl/>
        <w:spacing w:before="75" w:beforeAutospacing="0" w:after="75" w:afterAutospacing="0" w:line="400" w:lineRule="exact"/>
        <w:ind w:firstLine="420"/>
        <w:rPr>
          <w:rFonts w:hint="eastAsia" w:ascii="微软雅黑" w:hAnsi="微软雅黑" w:eastAsia="微软雅黑" w:cs="微软雅黑"/>
          <w:b w:val="0"/>
          <w:bCs w:val="0"/>
          <w:color w:val="auto"/>
          <w:kern w:val="2"/>
          <w:sz w:val="24"/>
          <w:szCs w:val="24"/>
          <w:lang w:val="en-US" w:eastAsia="zh-CN" w:bidi="ar-SA"/>
        </w:rPr>
      </w:pPr>
      <w:r>
        <w:rPr>
          <w:rFonts w:hint="eastAsia" w:ascii="微软雅黑" w:hAnsi="微软雅黑" w:eastAsia="微软雅黑" w:cs="微软雅黑"/>
          <w:b w:val="0"/>
          <w:bCs w:val="0"/>
          <w:color w:val="auto"/>
          <w:kern w:val="2"/>
          <w:sz w:val="24"/>
          <w:szCs w:val="24"/>
          <w:lang w:val="en-US" w:eastAsia="zh-CN" w:bidi="ar-SA"/>
        </w:rPr>
        <w:t>联系方式：13657516996</w:t>
      </w:r>
    </w:p>
    <w:p w14:paraId="6B511D23">
      <w:pPr>
        <w:pStyle w:val="31"/>
        <w:widowControl/>
        <w:spacing w:before="75" w:beforeAutospacing="0" w:after="75" w:afterAutospacing="0" w:line="400" w:lineRule="exact"/>
        <w:ind w:firstLine="420"/>
        <w:rPr>
          <w:rFonts w:hint="eastAsia" w:ascii="微软雅黑" w:hAnsi="微软雅黑" w:eastAsia="微软雅黑" w:cs="微软雅黑"/>
          <w:b w:val="0"/>
          <w:bCs w:val="0"/>
          <w:color w:val="auto"/>
          <w:kern w:val="2"/>
          <w:sz w:val="24"/>
          <w:szCs w:val="24"/>
          <w:lang w:val="en-US" w:eastAsia="zh-CN" w:bidi="ar-SA"/>
        </w:rPr>
      </w:pPr>
      <w:r>
        <w:rPr>
          <w:rFonts w:hint="eastAsia" w:ascii="微软雅黑" w:hAnsi="微软雅黑" w:eastAsia="微软雅黑" w:cs="微软雅黑"/>
          <w:b w:val="0"/>
          <w:bCs w:val="0"/>
          <w:color w:val="auto"/>
          <w:kern w:val="2"/>
          <w:sz w:val="24"/>
          <w:szCs w:val="24"/>
          <w:lang w:val="en-US" w:eastAsia="zh-CN" w:bidi="ar-SA"/>
        </w:rPr>
        <w:t>2.采购代理机构信息</w:t>
      </w:r>
    </w:p>
    <w:p w14:paraId="24CCCD78">
      <w:pPr>
        <w:pStyle w:val="31"/>
        <w:widowControl/>
        <w:spacing w:before="75" w:beforeAutospacing="0" w:after="75" w:afterAutospacing="0" w:line="400" w:lineRule="exact"/>
        <w:ind w:firstLine="420"/>
        <w:rPr>
          <w:rFonts w:hint="eastAsia" w:ascii="微软雅黑" w:hAnsi="微软雅黑" w:eastAsia="微软雅黑" w:cs="微软雅黑"/>
          <w:b w:val="0"/>
          <w:bCs w:val="0"/>
          <w:color w:val="auto"/>
          <w:kern w:val="2"/>
          <w:sz w:val="24"/>
          <w:szCs w:val="24"/>
          <w:lang w:val="en-US" w:eastAsia="zh-CN" w:bidi="ar-SA"/>
        </w:rPr>
      </w:pPr>
      <w:bookmarkStart w:id="659" w:name="_Toc17272"/>
      <w:bookmarkStart w:id="660" w:name="_Toc24709"/>
      <w:bookmarkStart w:id="661" w:name="_Toc11627"/>
      <w:r>
        <w:rPr>
          <w:rFonts w:hint="eastAsia" w:ascii="微软雅黑" w:hAnsi="微软雅黑" w:eastAsia="微软雅黑" w:cs="微软雅黑"/>
          <w:b w:val="0"/>
          <w:bCs w:val="0"/>
          <w:color w:val="auto"/>
          <w:kern w:val="2"/>
          <w:sz w:val="24"/>
          <w:szCs w:val="24"/>
          <w:lang w:val="en-US" w:eastAsia="zh-CN" w:bidi="ar-SA"/>
        </w:rPr>
        <w:t>名    称：</w:t>
      </w:r>
      <w:bookmarkEnd w:id="659"/>
      <w:bookmarkEnd w:id="660"/>
      <w:bookmarkEnd w:id="661"/>
      <w:r>
        <w:rPr>
          <w:rFonts w:hint="eastAsia" w:ascii="微软雅黑" w:hAnsi="微软雅黑" w:eastAsia="微软雅黑" w:cs="微软雅黑"/>
          <w:b w:val="0"/>
          <w:bCs w:val="0"/>
          <w:color w:val="auto"/>
          <w:kern w:val="2"/>
          <w:sz w:val="24"/>
          <w:szCs w:val="24"/>
          <w:lang w:val="en-US" w:eastAsia="zh-CN" w:bidi="ar-SA"/>
        </w:rPr>
        <w:t>新疆乾行健招标有限公司</w:t>
      </w:r>
    </w:p>
    <w:p w14:paraId="67EAA071">
      <w:pPr>
        <w:pStyle w:val="31"/>
        <w:widowControl/>
        <w:spacing w:before="75" w:beforeAutospacing="0" w:after="75" w:afterAutospacing="0" w:line="400" w:lineRule="exact"/>
        <w:ind w:firstLine="420"/>
        <w:rPr>
          <w:rFonts w:hint="eastAsia" w:ascii="微软雅黑" w:hAnsi="微软雅黑" w:eastAsia="微软雅黑" w:cs="微软雅黑"/>
          <w:b w:val="0"/>
          <w:bCs w:val="0"/>
          <w:color w:val="auto"/>
          <w:kern w:val="2"/>
          <w:sz w:val="24"/>
          <w:szCs w:val="24"/>
          <w:lang w:val="en-US" w:eastAsia="zh-CN" w:bidi="ar-SA"/>
        </w:rPr>
      </w:pPr>
      <w:bookmarkStart w:id="662" w:name="_Toc21793"/>
      <w:bookmarkStart w:id="663" w:name="_Toc7142"/>
      <w:bookmarkStart w:id="664" w:name="_Toc31217"/>
      <w:r>
        <w:rPr>
          <w:rFonts w:hint="eastAsia" w:ascii="微软雅黑" w:hAnsi="微软雅黑" w:eastAsia="微软雅黑" w:cs="微软雅黑"/>
          <w:b w:val="0"/>
          <w:bCs w:val="0"/>
          <w:color w:val="auto"/>
          <w:kern w:val="2"/>
          <w:sz w:val="24"/>
          <w:szCs w:val="24"/>
          <w:lang w:val="en-US" w:eastAsia="zh-CN" w:bidi="ar-SA"/>
        </w:rPr>
        <w:t>地　　址：</w:t>
      </w:r>
      <w:bookmarkEnd w:id="662"/>
      <w:bookmarkEnd w:id="663"/>
      <w:bookmarkEnd w:id="664"/>
      <w:r>
        <w:rPr>
          <w:rFonts w:hint="eastAsia" w:ascii="微软雅黑" w:hAnsi="微软雅黑" w:eastAsia="微软雅黑" w:cs="微软雅黑"/>
          <w:b w:val="0"/>
          <w:bCs w:val="0"/>
          <w:color w:val="auto"/>
          <w:kern w:val="2"/>
          <w:sz w:val="24"/>
          <w:szCs w:val="24"/>
          <w:lang w:val="en-US" w:eastAsia="zh-CN" w:bidi="ar-SA"/>
        </w:rPr>
        <w:t xml:space="preserve">喀什市明宇广场写字楼5楼520室  </w:t>
      </w:r>
    </w:p>
    <w:p w14:paraId="7E0B2323">
      <w:pPr>
        <w:pStyle w:val="31"/>
        <w:widowControl/>
        <w:spacing w:before="75" w:beforeAutospacing="0" w:after="75" w:afterAutospacing="0" w:line="400" w:lineRule="exact"/>
        <w:ind w:firstLine="420"/>
        <w:rPr>
          <w:rFonts w:hint="eastAsia" w:ascii="微软雅黑" w:hAnsi="微软雅黑" w:eastAsia="微软雅黑" w:cs="微软雅黑"/>
          <w:b w:val="0"/>
          <w:bCs w:val="0"/>
          <w:color w:val="auto"/>
          <w:kern w:val="2"/>
          <w:sz w:val="24"/>
          <w:szCs w:val="24"/>
          <w:lang w:val="en-US" w:eastAsia="zh-CN" w:bidi="ar-SA"/>
        </w:rPr>
      </w:pPr>
      <w:bookmarkStart w:id="665" w:name="_Toc21494"/>
      <w:bookmarkStart w:id="666" w:name="_Toc9618"/>
      <w:bookmarkStart w:id="667" w:name="_Toc9353"/>
      <w:r>
        <w:rPr>
          <w:rFonts w:hint="eastAsia" w:ascii="微软雅黑" w:hAnsi="微软雅黑" w:eastAsia="微软雅黑" w:cs="微软雅黑"/>
          <w:b w:val="0"/>
          <w:bCs w:val="0"/>
          <w:color w:val="auto"/>
          <w:kern w:val="2"/>
          <w:sz w:val="24"/>
          <w:szCs w:val="24"/>
          <w:lang w:val="en-US" w:eastAsia="zh-CN" w:bidi="ar-SA"/>
        </w:rPr>
        <w:t>联 系 人：</w:t>
      </w:r>
      <w:bookmarkEnd w:id="665"/>
      <w:bookmarkEnd w:id="666"/>
      <w:bookmarkEnd w:id="667"/>
      <w:r>
        <w:rPr>
          <w:rFonts w:hint="eastAsia" w:ascii="微软雅黑" w:hAnsi="微软雅黑" w:eastAsia="微软雅黑" w:cs="微软雅黑"/>
          <w:b w:val="0"/>
          <w:bCs w:val="0"/>
          <w:color w:val="auto"/>
          <w:kern w:val="2"/>
          <w:sz w:val="24"/>
          <w:szCs w:val="24"/>
          <w:lang w:val="en-US" w:eastAsia="zh-CN" w:bidi="ar-SA"/>
        </w:rPr>
        <w:t>任亚茹</w:t>
      </w:r>
    </w:p>
    <w:p w14:paraId="4574A65D">
      <w:pPr>
        <w:pStyle w:val="31"/>
        <w:widowControl/>
        <w:spacing w:before="75" w:beforeAutospacing="0" w:after="75" w:afterAutospacing="0" w:line="400" w:lineRule="exact"/>
        <w:ind w:firstLine="420"/>
        <w:rPr>
          <w:rFonts w:hint="default" w:ascii="微软雅黑" w:hAnsi="微软雅黑" w:eastAsia="微软雅黑" w:cs="微软雅黑"/>
          <w:b w:val="0"/>
          <w:bCs w:val="0"/>
          <w:color w:val="auto"/>
          <w:kern w:val="2"/>
          <w:sz w:val="24"/>
          <w:szCs w:val="24"/>
          <w:lang w:val="en-US" w:eastAsia="zh-CN" w:bidi="ar-SA"/>
        </w:rPr>
      </w:pPr>
      <w:bookmarkStart w:id="668" w:name="_Toc18984"/>
      <w:bookmarkStart w:id="669" w:name="_Toc9066"/>
      <w:bookmarkStart w:id="670" w:name="_Toc6311"/>
      <w:r>
        <w:rPr>
          <w:rFonts w:hint="eastAsia" w:ascii="微软雅黑" w:hAnsi="微软雅黑" w:eastAsia="微软雅黑" w:cs="微软雅黑"/>
          <w:b w:val="0"/>
          <w:bCs w:val="0"/>
          <w:color w:val="auto"/>
          <w:kern w:val="2"/>
          <w:sz w:val="24"/>
          <w:szCs w:val="24"/>
          <w:lang w:val="en-US" w:eastAsia="zh-CN" w:bidi="ar-SA"/>
        </w:rPr>
        <w:t>联系电话：</w:t>
      </w:r>
      <w:bookmarkEnd w:id="668"/>
      <w:bookmarkEnd w:id="669"/>
      <w:bookmarkEnd w:id="670"/>
      <w:r>
        <w:rPr>
          <w:rFonts w:hint="eastAsia" w:ascii="微软雅黑" w:hAnsi="微软雅黑" w:eastAsia="微软雅黑" w:cs="微软雅黑"/>
          <w:b w:val="0"/>
          <w:bCs w:val="0"/>
          <w:color w:val="auto"/>
          <w:kern w:val="2"/>
          <w:sz w:val="24"/>
          <w:szCs w:val="24"/>
          <w:lang w:val="en-US" w:eastAsia="zh-CN" w:bidi="ar-SA"/>
        </w:rPr>
        <w:t>15599960705</w:t>
      </w:r>
    </w:p>
    <w:p w14:paraId="185EE55F">
      <w:pPr>
        <w:pStyle w:val="3"/>
        <w:tabs>
          <w:tab w:val="left" w:pos="0"/>
        </w:tabs>
        <w:snapToGrid w:val="0"/>
        <w:spacing w:before="0" w:after="0" w:line="240" w:lineRule="auto"/>
        <w:textAlignment w:val="baseline"/>
        <w:rPr>
          <w:rFonts w:ascii="微软雅黑" w:hAnsi="微软雅黑" w:eastAsia="微软雅黑" w:cs="微软雅黑"/>
          <w:color w:val="auto"/>
          <w:szCs w:val="32"/>
        </w:rPr>
      </w:pPr>
      <w:bookmarkStart w:id="671" w:name="_Toc903"/>
      <w:r>
        <w:rPr>
          <w:rFonts w:hint="eastAsia" w:ascii="微软雅黑" w:hAnsi="微软雅黑" w:eastAsia="微软雅黑" w:cs="微软雅黑"/>
          <w:color w:val="auto"/>
          <w:szCs w:val="32"/>
        </w:rPr>
        <w:t>第4章  供应商须知资料表</w:t>
      </w:r>
      <w:bookmarkEnd w:id="618"/>
      <w:bookmarkEnd w:id="619"/>
      <w:bookmarkEnd w:id="620"/>
      <w:bookmarkEnd w:id="621"/>
      <w:bookmarkEnd w:id="622"/>
      <w:bookmarkEnd w:id="623"/>
      <w:bookmarkEnd w:id="671"/>
    </w:p>
    <w:p w14:paraId="65794FBC">
      <w:pPr>
        <w:snapToGrid w:val="0"/>
        <w:spacing w:line="240" w:lineRule="atLeast"/>
        <w:ind w:firstLine="360" w:firstLineChars="150"/>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 xml:space="preserve"> 本表是本采购项目的具体资料，是对供应商须知的具体补充和修改，如有矛盾，应以本资料表为准。</w:t>
      </w:r>
    </w:p>
    <w:tbl>
      <w:tblPr>
        <w:tblStyle w:val="37"/>
        <w:tblW w:w="951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370"/>
        <w:gridCol w:w="8140"/>
      </w:tblGrid>
      <w:tr w14:paraId="1A90AE5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0" w:hRule="atLeast"/>
          <w:jc w:val="center"/>
        </w:trPr>
        <w:tc>
          <w:tcPr>
            <w:tcW w:w="1370" w:type="dxa"/>
            <w:vAlign w:val="center"/>
          </w:tcPr>
          <w:p w14:paraId="4D3F9A81">
            <w:pPr>
              <w:keepNext w:val="0"/>
              <w:keepLines w:val="0"/>
              <w:pageBreakBefore w:val="0"/>
              <w:kinsoku/>
              <w:wordWrap/>
              <w:overflowPunct/>
              <w:topLinePunct w:val="0"/>
              <w:bidi w:val="0"/>
              <w:snapToGrid w:val="0"/>
              <w:spacing w:line="480" w:lineRule="exact"/>
              <w:jc w:val="center"/>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条款号</w:t>
            </w:r>
          </w:p>
        </w:tc>
        <w:tc>
          <w:tcPr>
            <w:tcW w:w="8140" w:type="dxa"/>
            <w:vAlign w:val="center"/>
          </w:tcPr>
          <w:p w14:paraId="74D0A289">
            <w:pPr>
              <w:keepNext w:val="0"/>
              <w:keepLines w:val="0"/>
              <w:pageBreakBefore w:val="0"/>
              <w:kinsoku/>
              <w:wordWrap/>
              <w:overflowPunct/>
              <w:topLinePunct w:val="0"/>
              <w:bidi w:val="0"/>
              <w:snapToGrid w:val="0"/>
              <w:spacing w:line="480" w:lineRule="exact"/>
              <w:ind w:left="1080" w:leftChars="257" w:hanging="540"/>
              <w:textAlignment w:val="baseline"/>
              <w:rPr>
                <w:rFonts w:hint="eastAsia" w:ascii="微软雅黑" w:hAnsi="微软雅黑" w:eastAsia="微软雅黑" w:cs="微软雅黑"/>
                <w:b/>
                <w:color w:val="auto"/>
                <w:sz w:val="24"/>
                <w:szCs w:val="24"/>
              </w:rPr>
            </w:pPr>
            <w:r>
              <w:rPr>
                <w:rFonts w:hint="eastAsia" w:ascii="微软雅黑" w:hAnsi="微软雅黑" w:eastAsia="微软雅黑" w:cs="微软雅黑"/>
                <w:b/>
                <w:color w:val="auto"/>
                <w:sz w:val="24"/>
                <w:szCs w:val="24"/>
              </w:rPr>
              <w:t>内      容</w:t>
            </w:r>
          </w:p>
        </w:tc>
      </w:tr>
      <w:tr w14:paraId="3705D7C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76" w:hRule="atLeast"/>
          <w:jc w:val="center"/>
        </w:trPr>
        <w:tc>
          <w:tcPr>
            <w:tcW w:w="1370" w:type="dxa"/>
            <w:vAlign w:val="center"/>
          </w:tcPr>
          <w:p w14:paraId="62585B54">
            <w:pPr>
              <w:keepNext w:val="0"/>
              <w:keepLines w:val="0"/>
              <w:pageBreakBefore w:val="0"/>
              <w:kinsoku/>
              <w:wordWrap/>
              <w:overflowPunct/>
              <w:topLinePunct w:val="0"/>
              <w:bidi w:val="0"/>
              <w:snapToGrid w:val="0"/>
              <w:spacing w:line="480" w:lineRule="exact"/>
              <w:ind w:left="1080" w:leftChars="257" w:hanging="54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1.1</w:t>
            </w:r>
          </w:p>
        </w:tc>
        <w:tc>
          <w:tcPr>
            <w:tcW w:w="8140" w:type="dxa"/>
            <w:vAlign w:val="center"/>
          </w:tcPr>
          <w:p w14:paraId="390937D1">
            <w:pPr>
              <w:pStyle w:val="26"/>
              <w:keepNext w:val="0"/>
              <w:keepLines w:val="0"/>
              <w:pageBreakBefore w:val="0"/>
              <w:kinsoku/>
              <w:wordWrap/>
              <w:overflowPunct/>
              <w:topLinePunct w:val="0"/>
              <w:autoSpaceDE/>
              <w:autoSpaceDN/>
              <w:bidi w:val="0"/>
              <w:adjustRightInd/>
              <w:spacing w:line="480" w:lineRule="exact"/>
              <w:textAlignment w:val="auto"/>
              <w:rPr>
                <w:rFonts w:hint="eastAsia" w:ascii="微软雅黑" w:hAnsi="微软雅黑" w:eastAsia="微软雅黑" w:cs="微软雅黑"/>
                <w:color w:val="auto"/>
                <w:sz w:val="24"/>
                <w:szCs w:val="24"/>
                <w:lang w:eastAsia="zh-CN"/>
              </w:rPr>
            </w:pPr>
            <w:r>
              <w:rPr>
                <w:rFonts w:hint="eastAsia" w:ascii="微软雅黑" w:hAnsi="微软雅黑" w:eastAsia="微软雅黑" w:cs="微软雅黑"/>
                <w:color w:val="auto"/>
                <w:sz w:val="24"/>
                <w:szCs w:val="24"/>
              </w:rPr>
              <w:t>采</w:t>
            </w:r>
            <w:r>
              <w:rPr>
                <w:rFonts w:hint="eastAsia" w:ascii="微软雅黑" w:hAnsi="微软雅黑" w:eastAsia="微软雅黑" w:cs="微软雅黑"/>
                <w:color w:val="auto"/>
                <w:sz w:val="24"/>
                <w:szCs w:val="24"/>
                <w:lang w:val="en-US" w:eastAsia="zh-CN"/>
              </w:rPr>
              <w:t xml:space="preserve"> </w:t>
            </w:r>
            <w:r>
              <w:rPr>
                <w:rFonts w:hint="eastAsia" w:ascii="微软雅黑" w:hAnsi="微软雅黑" w:eastAsia="微软雅黑" w:cs="微软雅黑"/>
                <w:color w:val="auto"/>
                <w:sz w:val="24"/>
                <w:szCs w:val="24"/>
              </w:rPr>
              <w:t>购</w:t>
            </w:r>
            <w:r>
              <w:rPr>
                <w:rFonts w:hint="eastAsia" w:ascii="微软雅黑" w:hAnsi="微软雅黑" w:eastAsia="微软雅黑" w:cs="微软雅黑"/>
                <w:color w:val="auto"/>
                <w:sz w:val="24"/>
                <w:szCs w:val="24"/>
                <w:lang w:val="en-US" w:eastAsia="zh-CN"/>
              </w:rPr>
              <w:t xml:space="preserve"> </w:t>
            </w:r>
            <w:r>
              <w:rPr>
                <w:rFonts w:hint="eastAsia" w:ascii="微软雅黑" w:hAnsi="微软雅黑" w:eastAsia="微软雅黑" w:cs="微软雅黑"/>
                <w:color w:val="auto"/>
                <w:sz w:val="24"/>
                <w:szCs w:val="24"/>
              </w:rPr>
              <w:t>人：</w:t>
            </w:r>
            <w:r>
              <w:rPr>
                <w:rFonts w:hint="eastAsia" w:ascii="微软雅黑" w:hAnsi="微软雅黑" w:eastAsia="微软雅黑" w:cs="微软雅黑"/>
                <w:color w:val="auto"/>
                <w:sz w:val="24"/>
                <w:szCs w:val="24"/>
                <w:lang w:eastAsia="zh-CN"/>
              </w:rPr>
              <w:t>岳普湖县民政局</w:t>
            </w:r>
          </w:p>
          <w:p w14:paraId="2FEA58CF">
            <w:pPr>
              <w:pStyle w:val="26"/>
              <w:keepNext w:val="0"/>
              <w:keepLines w:val="0"/>
              <w:pageBreakBefore w:val="0"/>
              <w:kinsoku/>
              <w:wordWrap/>
              <w:overflowPunct/>
              <w:topLinePunct w:val="0"/>
              <w:autoSpaceDE/>
              <w:autoSpaceDN/>
              <w:bidi w:val="0"/>
              <w:adjustRightInd/>
              <w:spacing w:line="480" w:lineRule="exact"/>
              <w:textAlignment w:val="auto"/>
              <w:rPr>
                <w:rFonts w:hint="eastAsia" w:ascii="微软雅黑" w:hAnsi="微软雅黑" w:eastAsia="微软雅黑" w:cs="微软雅黑"/>
                <w:color w:val="auto"/>
                <w:sz w:val="24"/>
                <w:szCs w:val="24"/>
                <w:lang w:eastAsia="zh-CN"/>
              </w:rPr>
            </w:pPr>
            <w:r>
              <w:rPr>
                <w:rFonts w:hint="eastAsia" w:ascii="微软雅黑" w:hAnsi="微软雅黑" w:eastAsia="微软雅黑" w:cs="微软雅黑"/>
                <w:bCs/>
                <w:color w:val="auto"/>
                <w:sz w:val="24"/>
              </w:rPr>
              <w:t xml:space="preserve">地  </w:t>
            </w:r>
            <w:r>
              <w:rPr>
                <w:rFonts w:hint="eastAsia" w:ascii="微软雅黑" w:hAnsi="微软雅黑" w:eastAsia="微软雅黑" w:cs="微软雅黑"/>
                <w:bCs/>
                <w:color w:val="auto"/>
                <w:sz w:val="24"/>
                <w:lang w:val="en-US" w:eastAsia="zh-CN"/>
              </w:rPr>
              <w:t xml:space="preserve"> </w:t>
            </w:r>
            <w:r>
              <w:rPr>
                <w:rFonts w:hint="eastAsia" w:ascii="微软雅黑" w:hAnsi="微软雅黑" w:eastAsia="微软雅黑" w:cs="微软雅黑"/>
                <w:bCs/>
                <w:color w:val="auto"/>
                <w:sz w:val="24"/>
              </w:rPr>
              <w:t xml:space="preserve"> 址</w:t>
            </w:r>
            <w:r>
              <w:rPr>
                <w:rFonts w:hint="eastAsia" w:ascii="微软雅黑" w:hAnsi="微软雅黑" w:eastAsia="微软雅黑" w:cs="微软雅黑"/>
                <w:bCs/>
                <w:color w:val="auto"/>
                <w:sz w:val="24"/>
                <w:lang w:eastAsia="zh-CN"/>
              </w:rPr>
              <w:t>：岳普湖县市政大道</w:t>
            </w:r>
          </w:p>
          <w:p w14:paraId="5C30A71C">
            <w:pPr>
              <w:pStyle w:val="31"/>
              <w:keepNext w:val="0"/>
              <w:keepLines w:val="0"/>
              <w:pageBreakBefore w:val="0"/>
              <w:widowControl/>
              <w:kinsoku/>
              <w:wordWrap/>
              <w:overflowPunct/>
              <w:topLinePunct w:val="0"/>
              <w:bidi w:val="0"/>
              <w:snapToGrid w:val="0"/>
              <w:spacing w:before="0" w:after="0" w:line="480" w:lineRule="exact"/>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联 系 人：</w:t>
            </w:r>
            <w:r>
              <w:rPr>
                <w:rFonts w:hint="eastAsia" w:ascii="微软雅黑" w:hAnsi="微软雅黑" w:eastAsia="微软雅黑" w:cs="微软雅黑"/>
                <w:bCs/>
                <w:color w:val="auto"/>
                <w:sz w:val="24"/>
                <w:szCs w:val="24"/>
                <w:highlight w:val="none"/>
                <w:lang w:val="en-US" w:eastAsia="zh-CN"/>
              </w:rPr>
              <w:t>李俊杰</w:t>
            </w:r>
            <w:r>
              <w:rPr>
                <w:rFonts w:hint="eastAsia" w:ascii="微软雅黑" w:hAnsi="微软雅黑" w:eastAsia="微软雅黑" w:cs="微软雅黑"/>
                <w:color w:val="auto"/>
                <w:sz w:val="24"/>
                <w:szCs w:val="24"/>
                <w:lang w:val="en-US" w:eastAsia="zh-CN"/>
              </w:rPr>
              <w:t xml:space="preserve">    </w:t>
            </w:r>
            <w:r>
              <w:rPr>
                <w:rFonts w:hint="eastAsia" w:ascii="微软雅黑" w:hAnsi="微软雅黑" w:eastAsia="微软雅黑" w:cs="微软雅黑"/>
                <w:color w:val="auto"/>
                <w:sz w:val="24"/>
                <w:szCs w:val="24"/>
              </w:rPr>
              <w:t xml:space="preserve"> </w:t>
            </w:r>
            <w:r>
              <w:rPr>
                <w:rFonts w:hint="eastAsia" w:ascii="微软雅黑" w:hAnsi="微软雅黑" w:eastAsia="微软雅黑" w:cs="微软雅黑"/>
                <w:color w:val="auto"/>
                <w:sz w:val="24"/>
                <w:szCs w:val="24"/>
                <w:lang w:val="en-US" w:eastAsia="zh-CN"/>
              </w:rPr>
              <w:t xml:space="preserve"> </w:t>
            </w:r>
            <w:r>
              <w:rPr>
                <w:rFonts w:hint="eastAsia" w:ascii="微软雅黑" w:hAnsi="微软雅黑" w:eastAsia="微软雅黑" w:cs="微软雅黑"/>
                <w:color w:val="auto"/>
                <w:sz w:val="24"/>
                <w:szCs w:val="24"/>
              </w:rPr>
              <w:t>联系电话：</w:t>
            </w:r>
            <w:r>
              <w:rPr>
                <w:rFonts w:hint="eastAsia" w:ascii="微软雅黑" w:hAnsi="微软雅黑" w:eastAsia="微软雅黑" w:cs="微软雅黑"/>
                <w:bCs/>
                <w:color w:val="auto"/>
                <w:kern w:val="2"/>
                <w:sz w:val="24"/>
                <w:szCs w:val="24"/>
                <w:highlight w:val="none"/>
                <w:lang w:eastAsia="zh-CN"/>
              </w:rPr>
              <w:t>13657516996</w:t>
            </w:r>
            <w:r>
              <w:rPr>
                <w:rFonts w:hint="eastAsia" w:ascii="微软雅黑" w:hAnsi="微软雅黑" w:eastAsia="微软雅黑" w:cs="微软雅黑"/>
                <w:bCs/>
                <w:color w:val="auto"/>
                <w:kern w:val="2"/>
                <w:sz w:val="24"/>
                <w:szCs w:val="24"/>
                <w:highlight w:val="none"/>
                <w:lang w:val="en-US" w:eastAsia="zh-CN"/>
              </w:rPr>
              <w:t xml:space="preserve"> </w:t>
            </w:r>
          </w:p>
        </w:tc>
      </w:tr>
      <w:tr w14:paraId="6913AEF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1370" w:type="dxa"/>
            <w:vAlign w:val="center"/>
          </w:tcPr>
          <w:p w14:paraId="5011F7C6">
            <w:pPr>
              <w:keepNext w:val="0"/>
              <w:keepLines w:val="0"/>
              <w:pageBreakBefore w:val="0"/>
              <w:kinsoku/>
              <w:wordWrap/>
              <w:overflowPunct/>
              <w:topLinePunct w:val="0"/>
              <w:bidi w:val="0"/>
              <w:snapToGrid w:val="0"/>
              <w:spacing w:line="480" w:lineRule="exact"/>
              <w:ind w:left="1080" w:leftChars="257" w:hanging="54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1.2</w:t>
            </w:r>
          </w:p>
        </w:tc>
        <w:tc>
          <w:tcPr>
            <w:tcW w:w="8140" w:type="dxa"/>
            <w:vAlign w:val="center"/>
          </w:tcPr>
          <w:p w14:paraId="6B0D1F65">
            <w:pPr>
              <w:keepNext w:val="0"/>
              <w:keepLines w:val="0"/>
              <w:pageBreakBefore w:val="0"/>
              <w:kinsoku/>
              <w:wordWrap/>
              <w:overflowPunct/>
              <w:topLinePunct w:val="0"/>
              <w:bidi w:val="0"/>
              <w:spacing w:line="480" w:lineRule="exact"/>
              <w:rPr>
                <w:rFonts w:hint="eastAsia" w:ascii="微软雅黑" w:hAnsi="微软雅黑" w:eastAsia="微软雅黑" w:cs="微软雅黑"/>
                <w:bCs/>
                <w:color w:val="auto"/>
                <w:sz w:val="24"/>
                <w:szCs w:val="24"/>
                <w:lang w:eastAsia="zh-CN"/>
              </w:rPr>
            </w:pPr>
            <w:r>
              <w:rPr>
                <w:rFonts w:hint="eastAsia" w:ascii="微软雅黑" w:hAnsi="微软雅黑" w:eastAsia="微软雅黑" w:cs="微软雅黑"/>
                <w:color w:val="auto"/>
                <w:sz w:val="24"/>
                <w:highlight w:val="none"/>
              </w:rPr>
              <w:t>采购代理机构：</w:t>
            </w:r>
            <w:r>
              <w:rPr>
                <w:rFonts w:hint="eastAsia" w:ascii="微软雅黑" w:hAnsi="微软雅黑" w:eastAsia="微软雅黑" w:cs="微软雅黑"/>
                <w:bCs/>
                <w:color w:val="auto"/>
                <w:sz w:val="24"/>
                <w:szCs w:val="24"/>
                <w:lang w:eastAsia="zh-CN"/>
              </w:rPr>
              <w:t>新疆乾行健招标有限公司</w:t>
            </w:r>
          </w:p>
          <w:p w14:paraId="097E18CA">
            <w:pPr>
              <w:keepNext w:val="0"/>
              <w:keepLines w:val="0"/>
              <w:pageBreakBefore w:val="0"/>
              <w:kinsoku/>
              <w:wordWrap/>
              <w:overflowPunct/>
              <w:topLinePunct w:val="0"/>
              <w:bidi w:val="0"/>
              <w:spacing w:line="480" w:lineRule="exact"/>
              <w:rPr>
                <w:rFonts w:ascii="微软雅黑" w:hAnsi="微软雅黑" w:eastAsia="微软雅黑" w:cs="微软雅黑"/>
                <w:sz w:val="24"/>
                <w:u w:val="single"/>
              </w:rPr>
            </w:pPr>
            <w:r>
              <w:rPr>
                <w:rFonts w:hint="eastAsia" w:ascii="微软雅黑" w:hAnsi="微软雅黑" w:eastAsia="微软雅黑" w:cs="微软雅黑"/>
                <w:sz w:val="24"/>
              </w:rPr>
              <w:t xml:space="preserve">地址：喀什市明宇广场写字楼5楼520室 </w:t>
            </w:r>
          </w:p>
          <w:p w14:paraId="4F2FAA37">
            <w:pPr>
              <w:keepNext w:val="0"/>
              <w:keepLines w:val="0"/>
              <w:pageBreakBefore w:val="0"/>
              <w:kinsoku/>
              <w:wordWrap/>
              <w:overflowPunct/>
              <w:topLinePunct w:val="0"/>
              <w:bidi w:val="0"/>
              <w:snapToGrid w:val="0"/>
              <w:spacing w:line="480" w:lineRule="exact"/>
              <w:textAlignment w:val="baseline"/>
              <w:rPr>
                <w:rFonts w:hint="default" w:ascii="微软雅黑" w:hAnsi="微软雅黑" w:eastAsia="微软雅黑" w:cs="微软雅黑"/>
                <w:color w:val="auto"/>
                <w:sz w:val="24"/>
                <w:szCs w:val="24"/>
                <w:lang w:val="en-US" w:eastAsia="zh-CN"/>
              </w:rPr>
            </w:pPr>
            <w:r>
              <w:rPr>
                <w:rFonts w:hint="eastAsia" w:ascii="微软雅黑" w:hAnsi="微软雅黑" w:eastAsia="微软雅黑" w:cs="微软雅黑"/>
                <w:sz w:val="24"/>
              </w:rPr>
              <w:t>联系人：</w:t>
            </w:r>
            <w:r>
              <w:rPr>
                <w:rFonts w:hint="eastAsia" w:ascii="微软雅黑" w:hAnsi="微软雅黑" w:eastAsia="微软雅黑" w:cs="微软雅黑"/>
                <w:sz w:val="24"/>
                <w:lang w:eastAsia="zh-CN"/>
              </w:rPr>
              <w:t>任亚茹</w:t>
            </w:r>
            <w:r>
              <w:rPr>
                <w:rFonts w:hint="eastAsia" w:ascii="微软雅黑" w:hAnsi="微软雅黑" w:eastAsia="微软雅黑" w:cs="微软雅黑"/>
                <w:sz w:val="24"/>
              </w:rPr>
              <w:t>　      联系电话：</w:t>
            </w:r>
            <w:r>
              <w:rPr>
                <w:rFonts w:hint="eastAsia" w:ascii="微软雅黑" w:hAnsi="微软雅黑" w:eastAsia="微软雅黑" w:cs="微软雅黑"/>
                <w:sz w:val="24"/>
                <w:lang w:val="en-US" w:eastAsia="zh-CN"/>
              </w:rPr>
              <w:t>15599960705</w:t>
            </w:r>
          </w:p>
        </w:tc>
      </w:tr>
      <w:tr w14:paraId="29B58E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18" w:hRule="atLeast"/>
          <w:jc w:val="center"/>
        </w:trPr>
        <w:tc>
          <w:tcPr>
            <w:tcW w:w="1370" w:type="dxa"/>
            <w:vAlign w:val="center"/>
          </w:tcPr>
          <w:p w14:paraId="4F141650">
            <w:pPr>
              <w:keepNext w:val="0"/>
              <w:keepLines w:val="0"/>
              <w:pageBreakBefore w:val="0"/>
              <w:widowControl/>
              <w:kinsoku/>
              <w:wordWrap/>
              <w:overflowPunct/>
              <w:topLinePunct w:val="0"/>
              <w:bidi w:val="0"/>
              <w:snapToGrid w:val="0"/>
              <w:spacing w:line="480" w:lineRule="exact"/>
              <w:jc w:val="left"/>
              <w:textAlignment w:val="baseline"/>
              <w:rPr>
                <w:rFonts w:hint="eastAsia" w:ascii="微软雅黑" w:hAnsi="微软雅黑" w:eastAsia="微软雅黑" w:cs="微软雅黑"/>
                <w:color w:val="auto"/>
                <w:sz w:val="24"/>
                <w:szCs w:val="24"/>
                <w:lang w:val="en-US" w:eastAsia="zh-CN"/>
              </w:rPr>
            </w:pPr>
            <w:r>
              <w:rPr>
                <w:rFonts w:hint="eastAsia" w:ascii="微软雅黑" w:hAnsi="微软雅黑" w:eastAsia="微软雅黑" w:cs="微软雅黑"/>
                <w:color w:val="auto"/>
                <w:sz w:val="24"/>
                <w:szCs w:val="24"/>
                <w:lang w:val="en-US" w:eastAsia="zh-CN"/>
              </w:rPr>
              <w:t>1.3.4</w:t>
            </w:r>
          </w:p>
        </w:tc>
        <w:tc>
          <w:tcPr>
            <w:tcW w:w="8140" w:type="dxa"/>
            <w:vAlign w:val="center"/>
          </w:tcPr>
          <w:p w14:paraId="5BAEE604">
            <w:pPr>
              <w:keepNext w:val="0"/>
              <w:keepLines w:val="0"/>
              <w:pageBreakBefore w:val="0"/>
              <w:widowControl/>
              <w:kinsoku/>
              <w:wordWrap/>
              <w:overflowPunct/>
              <w:topLinePunct w:val="0"/>
              <w:bidi w:val="0"/>
              <w:snapToGrid w:val="0"/>
              <w:spacing w:line="480" w:lineRule="exact"/>
              <w:jc w:val="left"/>
              <w:textAlignment w:val="baseline"/>
              <w:rPr>
                <w:rFonts w:hint="eastAsia" w:ascii="微软雅黑" w:hAnsi="微软雅黑" w:eastAsia="微软雅黑" w:cs="微软雅黑"/>
                <w:b/>
                <w:bCs/>
                <w:color w:val="auto"/>
                <w:sz w:val="24"/>
                <w:szCs w:val="24"/>
                <w:lang w:val="en-US" w:eastAsia="zh-CN"/>
              </w:rPr>
            </w:pPr>
            <w:r>
              <w:rPr>
                <w:rFonts w:hint="eastAsia" w:ascii="微软雅黑" w:hAnsi="微软雅黑" w:eastAsia="微软雅黑" w:cs="微软雅黑"/>
                <w:b/>
                <w:bCs/>
                <w:color w:val="auto"/>
                <w:sz w:val="24"/>
                <w:szCs w:val="24"/>
                <w:lang w:val="en-US" w:eastAsia="zh-CN"/>
              </w:rPr>
              <w:t>合格供应商的其他资格要求：</w:t>
            </w:r>
          </w:p>
          <w:p w14:paraId="586B443B">
            <w:pPr>
              <w:keepNext w:val="0"/>
              <w:keepLines w:val="0"/>
              <w:pageBreakBefore w:val="0"/>
              <w:widowControl/>
              <w:kinsoku/>
              <w:wordWrap/>
              <w:overflowPunct/>
              <w:topLinePunct w:val="0"/>
              <w:bidi w:val="0"/>
              <w:snapToGrid w:val="0"/>
              <w:spacing w:line="480" w:lineRule="exact"/>
              <w:jc w:val="left"/>
              <w:textAlignment w:val="baseline"/>
              <w:rPr>
                <w:rFonts w:hint="eastAsia" w:ascii="微软雅黑" w:hAnsi="微软雅黑" w:eastAsia="微软雅黑" w:cs="微软雅黑"/>
                <w:color w:val="auto"/>
                <w:sz w:val="24"/>
                <w:szCs w:val="24"/>
                <w:lang w:val="en-US" w:eastAsia="zh-CN"/>
              </w:rPr>
            </w:pPr>
            <w:r>
              <w:rPr>
                <w:rFonts w:hint="eastAsia" w:ascii="微软雅黑" w:hAnsi="微软雅黑" w:eastAsia="微软雅黑" w:cs="微软雅黑"/>
                <w:color w:val="auto"/>
                <w:sz w:val="24"/>
                <w:szCs w:val="24"/>
                <w:lang w:val="en-US" w:eastAsia="zh-CN"/>
              </w:rPr>
              <w:t>1、符合《中华人民共和国政府采购法》第二十二条的规定；</w:t>
            </w:r>
          </w:p>
          <w:p w14:paraId="4F04B4F6">
            <w:pPr>
              <w:keepNext w:val="0"/>
              <w:keepLines w:val="0"/>
              <w:pageBreakBefore w:val="0"/>
              <w:widowControl/>
              <w:kinsoku/>
              <w:wordWrap/>
              <w:overflowPunct/>
              <w:topLinePunct w:val="0"/>
              <w:bidi w:val="0"/>
              <w:snapToGrid w:val="0"/>
              <w:spacing w:line="480" w:lineRule="exact"/>
              <w:jc w:val="left"/>
              <w:textAlignment w:val="baseline"/>
              <w:rPr>
                <w:rFonts w:hint="eastAsia" w:ascii="微软雅黑" w:hAnsi="微软雅黑" w:eastAsia="微软雅黑" w:cs="微软雅黑"/>
                <w:color w:val="auto"/>
                <w:sz w:val="24"/>
                <w:szCs w:val="24"/>
                <w:lang w:val="en-US" w:eastAsia="zh-CN"/>
              </w:rPr>
            </w:pPr>
            <w:r>
              <w:rPr>
                <w:rFonts w:hint="eastAsia" w:ascii="微软雅黑" w:hAnsi="微软雅黑" w:eastAsia="微软雅黑" w:cs="微软雅黑"/>
                <w:color w:val="auto"/>
                <w:sz w:val="24"/>
                <w:szCs w:val="24"/>
                <w:lang w:val="en-US" w:eastAsia="zh-CN"/>
              </w:rPr>
              <w:t>①具有独立承担民事责任的能力；（投标时，提供在中华人民共和国境内注册的法人或其他组织的营业执照或事业单位法人证书或社会团体法人登记证书）</w:t>
            </w:r>
          </w:p>
          <w:p w14:paraId="6AC94E97">
            <w:pPr>
              <w:keepNext w:val="0"/>
              <w:keepLines w:val="0"/>
              <w:pageBreakBefore w:val="0"/>
              <w:widowControl/>
              <w:kinsoku/>
              <w:wordWrap/>
              <w:overflowPunct/>
              <w:topLinePunct w:val="0"/>
              <w:bidi w:val="0"/>
              <w:snapToGrid w:val="0"/>
              <w:spacing w:line="480" w:lineRule="exact"/>
              <w:jc w:val="left"/>
              <w:textAlignment w:val="baseline"/>
              <w:rPr>
                <w:rFonts w:hint="eastAsia" w:ascii="微软雅黑" w:hAnsi="微软雅黑" w:eastAsia="微软雅黑" w:cs="微软雅黑"/>
                <w:color w:val="auto"/>
                <w:sz w:val="24"/>
                <w:szCs w:val="24"/>
                <w:lang w:val="en-US" w:eastAsia="zh-CN"/>
              </w:rPr>
            </w:pPr>
            <w:r>
              <w:rPr>
                <w:rFonts w:hint="eastAsia" w:ascii="微软雅黑" w:hAnsi="微软雅黑" w:eastAsia="微软雅黑" w:cs="微软雅黑"/>
                <w:color w:val="auto"/>
                <w:sz w:val="24"/>
                <w:szCs w:val="24"/>
                <w:lang w:val="en-US" w:eastAsia="zh-CN"/>
              </w:rPr>
              <w:t>②提供法定代表人资格证明及授权书、被授权人身份证；(法定代表人投标需提供法定代表人身份证)；</w:t>
            </w:r>
          </w:p>
          <w:p w14:paraId="116A03F8">
            <w:pPr>
              <w:keepNext w:val="0"/>
              <w:keepLines w:val="0"/>
              <w:pageBreakBefore w:val="0"/>
              <w:widowControl/>
              <w:kinsoku/>
              <w:wordWrap/>
              <w:overflowPunct/>
              <w:topLinePunct w:val="0"/>
              <w:bidi w:val="0"/>
              <w:snapToGrid w:val="0"/>
              <w:spacing w:line="480" w:lineRule="exact"/>
              <w:jc w:val="left"/>
              <w:textAlignment w:val="baseline"/>
              <w:rPr>
                <w:rFonts w:hint="eastAsia" w:ascii="微软雅黑" w:hAnsi="微软雅黑" w:eastAsia="微软雅黑" w:cs="微软雅黑"/>
                <w:color w:val="auto"/>
                <w:sz w:val="24"/>
                <w:szCs w:val="24"/>
                <w:lang w:val="en-US" w:eastAsia="zh-CN"/>
              </w:rPr>
            </w:pPr>
            <w:r>
              <w:rPr>
                <w:rFonts w:hint="eastAsia" w:ascii="微软雅黑" w:hAnsi="微软雅黑" w:eastAsia="微软雅黑" w:cs="微软雅黑"/>
                <w:color w:val="auto"/>
                <w:sz w:val="24"/>
                <w:szCs w:val="24"/>
                <w:lang w:val="en-US" w:eastAsia="zh-CN"/>
              </w:rPr>
              <w:t>③本单位依法缴纳的近3个月内任意一个月的社会保险的凭据（新成立公司提供相关证明文件）；</w:t>
            </w:r>
          </w:p>
          <w:p w14:paraId="534A6598">
            <w:pPr>
              <w:keepNext w:val="0"/>
              <w:keepLines w:val="0"/>
              <w:pageBreakBefore w:val="0"/>
              <w:widowControl/>
              <w:kinsoku/>
              <w:wordWrap/>
              <w:overflowPunct/>
              <w:topLinePunct w:val="0"/>
              <w:bidi w:val="0"/>
              <w:snapToGrid w:val="0"/>
              <w:spacing w:line="480" w:lineRule="exact"/>
              <w:jc w:val="left"/>
              <w:textAlignment w:val="baseline"/>
              <w:rPr>
                <w:rFonts w:hint="eastAsia" w:ascii="微软雅黑" w:hAnsi="微软雅黑" w:eastAsia="微软雅黑" w:cs="微软雅黑"/>
                <w:color w:val="auto"/>
                <w:sz w:val="24"/>
                <w:szCs w:val="24"/>
                <w:lang w:val="en-US" w:eastAsia="zh-CN"/>
              </w:rPr>
            </w:pPr>
            <w:r>
              <w:rPr>
                <w:rFonts w:hint="eastAsia" w:ascii="微软雅黑" w:hAnsi="微软雅黑" w:eastAsia="微软雅黑" w:cs="微软雅黑"/>
                <w:color w:val="auto"/>
                <w:sz w:val="24"/>
                <w:szCs w:val="24"/>
                <w:lang w:val="en-US" w:eastAsia="zh-CN"/>
              </w:rPr>
              <w:t>④税务部门出具的近3个月内任意一个月的完税证明（依法免缴的应提供依法免缴的相关证明文件或零申报报表）；</w:t>
            </w:r>
          </w:p>
          <w:p w14:paraId="1B5F7889">
            <w:pPr>
              <w:keepNext w:val="0"/>
              <w:keepLines w:val="0"/>
              <w:pageBreakBefore w:val="0"/>
              <w:widowControl/>
              <w:kinsoku/>
              <w:wordWrap/>
              <w:overflowPunct/>
              <w:topLinePunct w:val="0"/>
              <w:bidi w:val="0"/>
              <w:snapToGrid w:val="0"/>
              <w:spacing w:line="480" w:lineRule="exact"/>
              <w:jc w:val="left"/>
              <w:textAlignment w:val="baseline"/>
              <w:rPr>
                <w:rFonts w:hint="eastAsia" w:ascii="微软雅黑" w:hAnsi="微软雅黑" w:eastAsia="微软雅黑" w:cs="微软雅黑"/>
                <w:color w:val="auto"/>
                <w:sz w:val="24"/>
                <w:szCs w:val="24"/>
                <w:lang w:val="en-US" w:eastAsia="zh-CN"/>
              </w:rPr>
            </w:pPr>
            <w:r>
              <w:rPr>
                <w:rFonts w:hint="eastAsia" w:ascii="微软雅黑" w:hAnsi="微软雅黑" w:eastAsia="微软雅黑" w:cs="微软雅黑"/>
                <w:color w:val="auto"/>
                <w:sz w:val="24"/>
                <w:szCs w:val="24"/>
                <w:lang w:val="en-US" w:eastAsia="zh-CN"/>
              </w:rPr>
              <w:t>⑤提供近两年任意一年完整的财务审计报告或一个月的银行资信证明；</w:t>
            </w:r>
          </w:p>
          <w:p w14:paraId="031D0298">
            <w:pPr>
              <w:keepNext w:val="0"/>
              <w:keepLines w:val="0"/>
              <w:pageBreakBefore w:val="0"/>
              <w:widowControl/>
              <w:kinsoku/>
              <w:wordWrap/>
              <w:overflowPunct/>
              <w:topLinePunct w:val="0"/>
              <w:bidi w:val="0"/>
              <w:snapToGrid w:val="0"/>
              <w:spacing w:line="480" w:lineRule="exact"/>
              <w:jc w:val="left"/>
              <w:textAlignment w:val="baseline"/>
              <w:rPr>
                <w:rFonts w:hint="eastAsia" w:ascii="微软雅黑" w:hAnsi="微软雅黑" w:eastAsia="微软雅黑" w:cs="微软雅黑"/>
                <w:color w:val="auto"/>
                <w:sz w:val="24"/>
                <w:szCs w:val="24"/>
                <w:lang w:val="en-US" w:eastAsia="zh-CN"/>
              </w:rPr>
            </w:pPr>
            <w:r>
              <w:rPr>
                <w:rFonts w:hint="eastAsia" w:ascii="微软雅黑" w:hAnsi="微软雅黑" w:eastAsia="微软雅黑" w:cs="微软雅黑"/>
                <w:color w:val="auto"/>
                <w:sz w:val="24"/>
                <w:szCs w:val="24"/>
                <w:lang w:val="en-US" w:eastAsia="zh-CN"/>
              </w:rPr>
              <w:t>⑥参与政府采购活动前3年内未被列入失信、重大税收违法案件、财政部门禁止参加政府采购活动的承诺书；</w:t>
            </w:r>
          </w:p>
          <w:p w14:paraId="36E7ADFA">
            <w:pPr>
              <w:keepNext w:val="0"/>
              <w:keepLines w:val="0"/>
              <w:pageBreakBefore w:val="0"/>
              <w:widowControl/>
              <w:kinsoku/>
              <w:wordWrap/>
              <w:overflowPunct/>
              <w:topLinePunct w:val="0"/>
              <w:bidi w:val="0"/>
              <w:snapToGrid w:val="0"/>
              <w:spacing w:line="480" w:lineRule="exact"/>
              <w:jc w:val="left"/>
              <w:textAlignment w:val="baseline"/>
              <w:rPr>
                <w:rFonts w:hint="eastAsia" w:ascii="微软雅黑" w:hAnsi="微软雅黑" w:eastAsia="微软雅黑" w:cs="微软雅黑"/>
                <w:color w:val="auto"/>
                <w:sz w:val="24"/>
                <w:szCs w:val="24"/>
                <w:lang w:val="en-US" w:eastAsia="zh-CN"/>
              </w:rPr>
            </w:pPr>
            <w:r>
              <w:rPr>
                <w:rFonts w:hint="eastAsia" w:ascii="微软雅黑" w:hAnsi="微软雅黑" w:eastAsia="微软雅黑" w:cs="微软雅黑"/>
                <w:color w:val="auto"/>
                <w:sz w:val="24"/>
                <w:szCs w:val="24"/>
                <w:lang w:val="en-US" w:eastAsia="zh-CN"/>
              </w:rPr>
              <w:t>⑦提供针对本次项目的反商业贿赂承诺书。</w:t>
            </w:r>
          </w:p>
          <w:p w14:paraId="3F087FD3">
            <w:pPr>
              <w:keepNext w:val="0"/>
              <w:keepLines w:val="0"/>
              <w:pageBreakBefore w:val="0"/>
              <w:widowControl/>
              <w:kinsoku/>
              <w:wordWrap/>
              <w:overflowPunct/>
              <w:topLinePunct w:val="0"/>
              <w:bidi w:val="0"/>
              <w:snapToGrid w:val="0"/>
              <w:spacing w:line="480" w:lineRule="exact"/>
              <w:jc w:val="left"/>
              <w:textAlignment w:val="baseline"/>
              <w:rPr>
                <w:rFonts w:hint="eastAsia" w:ascii="微软雅黑" w:hAnsi="微软雅黑" w:eastAsia="微软雅黑" w:cs="微软雅黑"/>
                <w:color w:val="auto"/>
                <w:sz w:val="24"/>
                <w:szCs w:val="24"/>
                <w:lang w:val="en-US" w:eastAsia="zh-CN"/>
              </w:rPr>
            </w:pPr>
            <w:r>
              <w:rPr>
                <w:rFonts w:hint="eastAsia" w:ascii="微软雅黑" w:hAnsi="微软雅黑" w:eastAsia="微软雅黑" w:cs="微软雅黑"/>
                <w:color w:val="auto"/>
                <w:sz w:val="24"/>
                <w:szCs w:val="24"/>
                <w:lang w:val="en-US" w:eastAsia="zh-CN"/>
              </w:rPr>
              <w:t>⑧根据《政府采购领域“整顿市场秩序、建设法规体系、促进产业发展”三年行动方案（2024—2026年）》的通知，凡拟参加本次采购项目的供应商，必须为未被列入“信用中国”网站(www.creditchina.gov.cn)（失信被执行人名单、重大税收违法失信主体名单）、中国政府采购网(www.ccgp.gov.cn)（政府采购严重违法失信行为记录名单），国家企业公示信息系统（www.gsxt.gov.cn）（经营异常名录、严重违法失信名单）,（须提供查询记录截图并加盖公章）；</w:t>
            </w:r>
          </w:p>
          <w:p w14:paraId="5B35876F">
            <w:pPr>
              <w:keepNext w:val="0"/>
              <w:keepLines w:val="0"/>
              <w:pageBreakBefore w:val="0"/>
              <w:widowControl/>
              <w:kinsoku/>
              <w:wordWrap/>
              <w:overflowPunct/>
              <w:topLinePunct w:val="0"/>
              <w:bidi w:val="0"/>
              <w:snapToGrid w:val="0"/>
              <w:spacing w:line="480" w:lineRule="exact"/>
              <w:jc w:val="left"/>
              <w:textAlignment w:val="baseline"/>
              <w:rPr>
                <w:rFonts w:hint="eastAsia" w:ascii="微软雅黑" w:hAnsi="微软雅黑" w:eastAsia="微软雅黑" w:cs="微软雅黑"/>
                <w:color w:val="auto"/>
                <w:sz w:val="24"/>
                <w:szCs w:val="24"/>
                <w:lang w:val="en-US" w:eastAsia="zh-CN"/>
              </w:rPr>
            </w:pPr>
            <w:r>
              <w:rPr>
                <w:rFonts w:hint="eastAsia" w:ascii="微软雅黑" w:hAnsi="微软雅黑" w:eastAsia="微软雅黑" w:cs="微软雅黑"/>
                <w:color w:val="auto"/>
                <w:sz w:val="24"/>
                <w:szCs w:val="24"/>
                <w:lang w:val="en-US" w:eastAsia="zh-CN"/>
              </w:rPr>
              <w:t>2、缴纳磋商保证金有效凭证。</w:t>
            </w:r>
          </w:p>
          <w:p w14:paraId="52536162">
            <w:pPr>
              <w:keepNext w:val="0"/>
              <w:keepLines w:val="0"/>
              <w:pageBreakBefore w:val="0"/>
              <w:widowControl/>
              <w:kinsoku/>
              <w:wordWrap/>
              <w:overflowPunct/>
              <w:topLinePunct w:val="0"/>
              <w:bidi w:val="0"/>
              <w:snapToGrid w:val="0"/>
              <w:spacing w:line="480" w:lineRule="exact"/>
              <w:jc w:val="left"/>
              <w:textAlignment w:val="baseline"/>
              <w:rPr>
                <w:rFonts w:hint="eastAsia" w:ascii="微软雅黑" w:hAnsi="微软雅黑" w:eastAsia="微软雅黑" w:cs="微软雅黑"/>
                <w:b/>
                <w:bCs/>
                <w:color w:val="auto"/>
                <w:sz w:val="24"/>
                <w:szCs w:val="24"/>
                <w:lang w:val="en-US" w:eastAsia="zh-CN"/>
              </w:rPr>
            </w:pPr>
            <w:r>
              <w:rPr>
                <w:rFonts w:hint="eastAsia" w:ascii="微软雅黑" w:hAnsi="微软雅黑" w:eastAsia="微软雅黑" w:cs="微软雅黑"/>
                <w:b/>
                <w:bCs/>
                <w:color w:val="auto"/>
                <w:sz w:val="24"/>
                <w:szCs w:val="24"/>
                <w:lang w:val="en-US" w:eastAsia="zh-CN"/>
              </w:rPr>
              <w:t>注：</w:t>
            </w:r>
          </w:p>
          <w:p w14:paraId="307A7973">
            <w:pPr>
              <w:keepNext w:val="0"/>
              <w:keepLines w:val="0"/>
              <w:pageBreakBefore w:val="0"/>
              <w:widowControl/>
              <w:kinsoku/>
              <w:wordWrap/>
              <w:overflowPunct/>
              <w:topLinePunct w:val="0"/>
              <w:bidi w:val="0"/>
              <w:snapToGrid w:val="0"/>
              <w:spacing w:line="480" w:lineRule="exact"/>
              <w:jc w:val="left"/>
              <w:textAlignment w:val="baseline"/>
              <w:rPr>
                <w:rFonts w:hint="eastAsia" w:ascii="微软雅黑" w:hAnsi="微软雅黑" w:eastAsia="微软雅黑" w:cs="微软雅黑"/>
                <w:b/>
                <w:bCs/>
                <w:color w:val="auto"/>
                <w:sz w:val="24"/>
                <w:szCs w:val="24"/>
                <w:lang w:val="en-US" w:eastAsia="zh-CN"/>
              </w:rPr>
            </w:pPr>
            <w:r>
              <w:rPr>
                <w:rFonts w:hint="eastAsia" w:ascii="微软雅黑" w:hAnsi="微软雅黑" w:eastAsia="微软雅黑" w:cs="微软雅黑"/>
                <w:b/>
                <w:bCs/>
                <w:color w:val="auto"/>
                <w:sz w:val="24"/>
                <w:szCs w:val="24"/>
                <w:lang w:val="en-US" w:eastAsia="zh-CN"/>
              </w:rPr>
              <w:t>1、完税证明中“税种”非养老保险、医疗保险、失业保险、工伤保险和生育保险。请各供应商注意！</w:t>
            </w:r>
          </w:p>
          <w:p w14:paraId="4AFE820C">
            <w:pPr>
              <w:keepNext w:val="0"/>
              <w:keepLines w:val="0"/>
              <w:pageBreakBefore w:val="0"/>
              <w:widowControl/>
              <w:kinsoku/>
              <w:wordWrap/>
              <w:overflowPunct/>
              <w:topLinePunct w:val="0"/>
              <w:bidi w:val="0"/>
              <w:snapToGrid w:val="0"/>
              <w:spacing w:line="480" w:lineRule="exact"/>
              <w:jc w:val="left"/>
              <w:textAlignment w:val="baseline"/>
              <w:rPr>
                <w:rFonts w:hint="eastAsia" w:ascii="微软雅黑" w:hAnsi="微软雅黑" w:eastAsia="微软雅黑" w:cs="微软雅黑"/>
                <w:b/>
                <w:bCs/>
                <w:color w:val="auto"/>
                <w:sz w:val="24"/>
                <w:szCs w:val="24"/>
                <w:lang w:val="en-US" w:eastAsia="zh-CN"/>
              </w:rPr>
            </w:pPr>
            <w:r>
              <w:rPr>
                <w:rFonts w:hint="eastAsia" w:ascii="微软雅黑" w:hAnsi="微软雅黑" w:eastAsia="微软雅黑" w:cs="微软雅黑"/>
                <w:b/>
                <w:bCs/>
                <w:color w:val="auto"/>
                <w:sz w:val="24"/>
                <w:szCs w:val="24"/>
                <w:lang w:val="en-US" w:eastAsia="zh-CN"/>
              </w:rPr>
              <w:t>2、未通过资格审查的供应商不进入评标；通过资格审查的供应商少于不足三家的，不得评标。</w:t>
            </w:r>
          </w:p>
          <w:p w14:paraId="5440B5C9">
            <w:pPr>
              <w:keepNext w:val="0"/>
              <w:keepLines w:val="0"/>
              <w:pageBreakBefore w:val="0"/>
              <w:widowControl/>
              <w:kinsoku/>
              <w:wordWrap/>
              <w:overflowPunct/>
              <w:topLinePunct w:val="0"/>
              <w:bidi w:val="0"/>
              <w:snapToGrid w:val="0"/>
              <w:spacing w:line="480" w:lineRule="exact"/>
              <w:jc w:val="left"/>
              <w:textAlignment w:val="baseline"/>
              <w:rPr>
                <w:rFonts w:hint="eastAsia"/>
                <w:color w:val="auto"/>
                <w:lang w:val="en-US" w:eastAsia="zh-CN"/>
              </w:rPr>
            </w:pPr>
            <w:r>
              <w:rPr>
                <w:rFonts w:hint="eastAsia" w:ascii="微软雅黑" w:hAnsi="微软雅黑" w:eastAsia="微软雅黑" w:cs="微软雅黑"/>
                <w:b/>
                <w:bCs/>
                <w:color w:val="auto"/>
                <w:sz w:val="24"/>
                <w:szCs w:val="24"/>
                <w:lang w:val="en-US" w:eastAsia="zh-CN"/>
              </w:rPr>
              <w:t>3、上述资质能够通过官方网络查证的，均视为合格供应商。</w:t>
            </w:r>
          </w:p>
        </w:tc>
      </w:tr>
      <w:tr w14:paraId="675B8F2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1370" w:type="dxa"/>
            <w:vAlign w:val="center"/>
          </w:tcPr>
          <w:p w14:paraId="41F53ABD">
            <w:pPr>
              <w:keepNext w:val="0"/>
              <w:keepLines w:val="0"/>
              <w:pageBreakBefore w:val="0"/>
              <w:kinsoku/>
              <w:wordWrap/>
              <w:overflowPunct/>
              <w:topLinePunct w:val="0"/>
              <w:bidi w:val="0"/>
              <w:snapToGrid w:val="0"/>
              <w:spacing w:line="480" w:lineRule="exact"/>
              <w:ind w:left="1080" w:leftChars="257" w:hanging="54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 xml:space="preserve">1.3.5   </w:t>
            </w:r>
          </w:p>
        </w:tc>
        <w:tc>
          <w:tcPr>
            <w:tcW w:w="8140" w:type="dxa"/>
            <w:vAlign w:val="center"/>
          </w:tcPr>
          <w:p w14:paraId="2F18CCB3">
            <w:pPr>
              <w:keepNext w:val="0"/>
              <w:keepLines w:val="0"/>
              <w:pageBreakBefore w:val="0"/>
              <w:kinsoku/>
              <w:wordWrap/>
              <w:overflowPunct/>
              <w:topLinePunct w:val="0"/>
              <w:bidi w:val="0"/>
              <w:snapToGrid w:val="0"/>
              <w:spacing w:line="480" w:lineRule="exact"/>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是否允许采购进口产品：</w:t>
            </w:r>
            <w:r>
              <w:rPr>
                <w:rFonts w:hint="eastAsia" w:ascii="微软雅黑" w:hAnsi="微软雅黑" w:eastAsia="微软雅黑" w:cs="微软雅黑"/>
                <w:color w:val="auto"/>
                <w:sz w:val="24"/>
                <w:szCs w:val="24"/>
                <w:u w:val="single" w:color="000000"/>
              </w:rPr>
              <w:t xml:space="preserve">  否  </w:t>
            </w:r>
          </w:p>
        </w:tc>
      </w:tr>
      <w:tr w14:paraId="737948C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1370" w:type="dxa"/>
            <w:vAlign w:val="center"/>
          </w:tcPr>
          <w:p w14:paraId="14250C3E">
            <w:pPr>
              <w:keepNext w:val="0"/>
              <w:keepLines w:val="0"/>
              <w:pageBreakBefore w:val="0"/>
              <w:kinsoku/>
              <w:wordWrap/>
              <w:overflowPunct/>
              <w:topLinePunct w:val="0"/>
              <w:bidi w:val="0"/>
              <w:snapToGrid w:val="0"/>
              <w:spacing w:line="480" w:lineRule="exact"/>
              <w:ind w:left="1080" w:leftChars="257" w:hanging="54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1.3.6</w:t>
            </w:r>
          </w:p>
        </w:tc>
        <w:tc>
          <w:tcPr>
            <w:tcW w:w="8140" w:type="dxa"/>
            <w:vAlign w:val="center"/>
          </w:tcPr>
          <w:p w14:paraId="4FDF4E0B">
            <w:pPr>
              <w:keepNext w:val="0"/>
              <w:keepLines w:val="0"/>
              <w:pageBreakBefore w:val="0"/>
              <w:kinsoku/>
              <w:wordWrap/>
              <w:overflowPunct/>
              <w:topLinePunct w:val="0"/>
              <w:bidi w:val="0"/>
              <w:snapToGrid w:val="0"/>
              <w:spacing w:line="480" w:lineRule="exact"/>
              <w:textAlignment w:val="baseline"/>
              <w:rPr>
                <w:rFonts w:hint="eastAsia" w:ascii="微软雅黑" w:hAnsi="微软雅黑" w:eastAsia="微软雅黑" w:cs="微软雅黑"/>
                <w:color w:val="auto"/>
                <w:sz w:val="24"/>
                <w:szCs w:val="24"/>
                <w:u w:val="single" w:color="000000"/>
              </w:rPr>
            </w:pPr>
            <w:r>
              <w:rPr>
                <w:rFonts w:hint="eastAsia" w:ascii="微软雅黑" w:hAnsi="微软雅黑" w:eastAsia="微软雅黑" w:cs="微软雅黑"/>
                <w:color w:val="auto"/>
                <w:sz w:val="24"/>
                <w:szCs w:val="24"/>
              </w:rPr>
              <w:t>是否为专门面向中小企业采购：</w:t>
            </w:r>
            <w:r>
              <w:rPr>
                <w:rFonts w:hint="eastAsia" w:ascii="微软雅黑" w:hAnsi="微软雅黑" w:eastAsia="微软雅黑" w:cs="微软雅黑"/>
                <w:color w:val="auto"/>
                <w:sz w:val="24"/>
                <w:szCs w:val="24"/>
                <w:u w:val="single" w:color="000000"/>
              </w:rPr>
              <w:t xml:space="preserve">  </w:t>
            </w:r>
            <w:r>
              <w:rPr>
                <w:rFonts w:hint="eastAsia" w:ascii="微软雅黑" w:hAnsi="微软雅黑" w:eastAsia="微软雅黑" w:cs="微软雅黑"/>
                <w:color w:val="auto"/>
                <w:sz w:val="24"/>
                <w:szCs w:val="24"/>
                <w:u w:val="single" w:color="000000"/>
                <w:lang w:val="en-US" w:eastAsia="zh-CN"/>
              </w:rPr>
              <w:t>否</w:t>
            </w:r>
            <w:r>
              <w:rPr>
                <w:rFonts w:hint="eastAsia" w:ascii="微软雅黑" w:hAnsi="微软雅黑" w:eastAsia="微软雅黑" w:cs="微软雅黑"/>
                <w:color w:val="auto"/>
                <w:sz w:val="24"/>
                <w:szCs w:val="24"/>
                <w:u w:val="single" w:color="000000"/>
              </w:rPr>
              <w:t xml:space="preserve"> </w:t>
            </w:r>
          </w:p>
          <w:p w14:paraId="356DBAF4">
            <w:pPr>
              <w:keepNext w:val="0"/>
              <w:keepLines w:val="0"/>
              <w:pageBreakBefore w:val="0"/>
              <w:kinsoku/>
              <w:wordWrap/>
              <w:overflowPunct/>
              <w:topLinePunct w:val="0"/>
              <w:bidi w:val="0"/>
              <w:snapToGrid w:val="0"/>
              <w:spacing w:line="480" w:lineRule="exact"/>
              <w:ind w:firstLine="480" w:firstLineChars="20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b/>
                <w:bCs/>
                <w:i/>
                <w:iCs/>
                <w:color w:val="FF0000"/>
                <w:sz w:val="24"/>
                <w:szCs w:val="24"/>
                <w:highlight w:val="none"/>
                <w:lang w:val="en-US" w:eastAsia="zh-CN"/>
              </w:rPr>
              <w:t>（注：本项目不属于专门面向中小企业项目，承接企业为小型企业或微型企业的可享受价10%的价格扣除后参与评审。须根据磋商文件中的法定格式提供中小企业声明函。）</w:t>
            </w:r>
          </w:p>
        </w:tc>
      </w:tr>
      <w:tr w14:paraId="4EFB0C3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1370" w:type="dxa"/>
            <w:vAlign w:val="center"/>
          </w:tcPr>
          <w:p w14:paraId="5E26E5D1">
            <w:pPr>
              <w:keepNext w:val="0"/>
              <w:keepLines w:val="0"/>
              <w:pageBreakBefore w:val="0"/>
              <w:kinsoku/>
              <w:wordWrap/>
              <w:overflowPunct/>
              <w:topLinePunct w:val="0"/>
              <w:bidi w:val="0"/>
              <w:snapToGrid w:val="0"/>
              <w:spacing w:line="480" w:lineRule="exact"/>
              <w:ind w:left="1080" w:leftChars="257" w:hanging="54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1.4</w:t>
            </w:r>
          </w:p>
        </w:tc>
        <w:tc>
          <w:tcPr>
            <w:tcW w:w="8140" w:type="dxa"/>
            <w:vAlign w:val="center"/>
          </w:tcPr>
          <w:p w14:paraId="14B2E5F7">
            <w:pPr>
              <w:keepNext w:val="0"/>
              <w:keepLines w:val="0"/>
              <w:pageBreakBefore w:val="0"/>
              <w:kinsoku/>
              <w:wordWrap/>
              <w:overflowPunct/>
              <w:topLinePunct w:val="0"/>
              <w:bidi w:val="0"/>
              <w:snapToGrid w:val="0"/>
              <w:spacing w:line="480" w:lineRule="exact"/>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是否允许联合体磋商：</w:t>
            </w:r>
            <w:r>
              <w:rPr>
                <w:rFonts w:hint="eastAsia" w:ascii="微软雅黑" w:hAnsi="微软雅黑" w:eastAsia="微软雅黑" w:cs="微软雅黑"/>
                <w:color w:val="auto"/>
                <w:sz w:val="24"/>
                <w:szCs w:val="24"/>
                <w:u w:val="single" w:color="000000"/>
              </w:rPr>
              <w:t xml:space="preserve">   否   </w:t>
            </w:r>
          </w:p>
        </w:tc>
      </w:tr>
      <w:tr w14:paraId="038B6E8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56" w:hRule="atLeast"/>
          <w:jc w:val="center"/>
        </w:trPr>
        <w:tc>
          <w:tcPr>
            <w:tcW w:w="1370" w:type="dxa"/>
            <w:vAlign w:val="center"/>
          </w:tcPr>
          <w:p w14:paraId="4EB0A208">
            <w:pPr>
              <w:keepNext w:val="0"/>
              <w:keepLines w:val="0"/>
              <w:pageBreakBefore w:val="0"/>
              <w:kinsoku/>
              <w:wordWrap/>
              <w:overflowPunct/>
              <w:topLinePunct w:val="0"/>
              <w:bidi w:val="0"/>
              <w:snapToGrid w:val="0"/>
              <w:spacing w:line="480" w:lineRule="exact"/>
              <w:ind w:left="1080" w:leftChars="257" w:hanging="54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1.4.8</w:t>
            </w:r>
          </w:p>
        </w:tc>
        <w:tc>
          <w:tcPr>
            <w:tcW w:w="8140" w:type="dxa"/>
            <w:vAlign w:val="center"/>
          </w:tcPr>
          <w:p w14:paraId="50664010">
            <w:pPr>
              <w:keepNext w:val="0"/>
              <w:keepLines w:val="0"/>
              <w:pageBreakBefore w:val="0"/>
              <w:kinsoku/>
              <w:wordWrap/>
              <w:overflowPunct/>
              <w:topLinePunct w:val="0"/>
              <w:bidi w:val="0"/>
              <w:snapToGrid w:val="0"/>
              <w:spacing w:line="480" w:lineRule="exact"/>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联合体的其他资格要求：无</w:t>
            </w:r>
          </w:p>
        </w:tc>
      </w:tr>
      <w:tr w14:paraId="2076829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16" w:hRule="atLeast"/>
          <w:jc w:val="center"/>
        </w:trPr>
        <w:tc>
          <w:tcPr>
            <w:tcW w:w="1370" w:type="dxa"/>
            <w:vAlign w:val="center"/>
          </w:tcPr>
          <w:p w14:paraId="413131D7">
            <w:pPr>
              <w:keepNext w:val="0"/>
              <w:keepLines w:val="0"/>
              <w:pageBreakBefore w:val="0"/>
              <w:kinsoku/>
              <w:wordWrap/>
              <w:overflowPunct/>
              <w:topLinePunct w:val="0"/>
              <w:bidi w:val="0"/>
              <w:snapToGrid w:val="0"/>
              <w:spacing w:line="480" w:lineRule="exact"/>
              <w:ind w:left="1080" w:leftChars="257" w:hanging="54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2.2</w:t>
            </w:r>
          </w:p>
        </w:tc>
        <w:tc>
          <w:tcPr>
            <w:tcW w:w="8140" w:type="dxa"/>
            <w:vAlign w:val="center"/>
          </w:tcPr>
          <w:p w14:paraId="62E00AB0">
            <w:pPr>
              <w:pStyle w:val="7"/>
              <w:keepNext w:val="0"/>
              <w:keepLines w:val="0"/>
              <w:pageBreakBefore w:val="0"/>
              <w:kinsoku/>
              <w:wordWrap/>
              <w:overflowPunct/>
              <w:topLinePunct w:val="0"/>
              <w:bidi w:val="0"/>
              <w:snapToGrid w:val="0"/>
              <w:spacing w:line="480" w:lineRule="exact"/>
              <w:ind w:firstLine="0"/>
              <w:textAlignment w:val="baseline"/>
              <w:rPr>
                <w:rFonts w:hint="eastAsia" w:ascii="微软雅黑" w:hAnsi="微软雅黑" w:eastAsia="微软雅黑" w:cs="微软雅黑"/>
                <w:b/>
                <w:bCs/>
                <w:color w:val="auto"/>
                <w:kern w:val="2"/>
                <w:sz w:val="24"/>
                <w:szCs w:val="24"/>
              </w:rPr>
            </w:pPr>
            <w:r>
              <w:rPr>
                <w:rFonts w:hint="eastAsia" w:ascii="微软雅黑" w:hAnsi="微软雅黑" w:eastAsia="微软雅黑" w:cs="微软雅黑"/>
                <w:b/>
                <w:bCs/>
                <w:color w:val="auto"/>
                <w:kern w:val="2"/>
                <w:sz w:val="24"/>
                <w:szCs w:val="24"/>
              </w:rPr>
              <w:t>预算金额：</w:t>
            </w:r>
          </w:p>
          <w:p w14:paraId="3BC4A336">
            <w:pPr>
              <w:keepNext w:val="0"/>
              <w:keepLines w:val="0"/>
              <w:pageBreakBefore w:val="0"/>
              <w:kinsoku/>
              <w:wordWrap/>
              <w:overflowPunct/>
              <w:topLinePunct w:val="0"/>
              <w:bidi w:val="0"/>
              <w:spacing w:line="480" w:lineRule="exact"/>
              <w:rPr>
                <w:rFonts w:hint="default" w:eastAsia="微软雅黑"/>
                <w:lang w:val="en-US" w:eastAsia="zh-CN"/>
              </w:rPr>
            </w:pPr>
            <w:r>
              <w:rPr>
                <w:rFonts w:hint="eastAsia" w:ascii="微软雅黑" w:hAnsi="微软雅黑" w:eastAsia="微软雅黑" w:cs="微软雅黑"/>
                <w:b/>
                <w:bCs/>
                <w:color w:val="auto"/>
                <w:kern w:val="2"/>
                <w:sz w:val="24"/>
                <w:szCs w:val="24"/>
                <w:lang w:eastAsia="zh-CN"/>
              </w:rPr>
              <w:t>第一包：</w:t>
            </w:r>
            <w:r>
              <w:rPr>
                <w:rFonts w:hint="eastAsia" w:ascii="微软雅黑" w:hAnsi="微软雅黑" w:eastAsia="微软雅黑" w:cs="微软雅黑"/>
                <w:b/>
                <w:bCs/>
                <w:color w:val="auto"/>
                <w:kern w:val="2"/>
                <w:sz w:val="24"/>
                <w:szCs w:val="24"/>
                <w:lang w:val="en-US" w:eastAsia="zh-CN"/>
              </w:rPr>
              <w:t>371306元；第二包：447931元；第三包：338080元；第四包：402424元；</w:t>
            </w:r>
          </w:p>
        </w:tc>
      </w:tr>
      <w:tr w14:paraId="480311E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17" w:hRule="atLeast"/>
          <w:jc w:val="center"/>
        </w:trPr>
        <w:tc>
          <w:tcPr>
            <w:tcW w:w="1370" w:type="dxa"/>
            <w:vAlign w:val="center"/>
          </w:tcPr>
          <w:p w14:paraId="19365B26">
            <w:pPr>
              <w:keepNext w:val="0"/>
              <w:keepLines w:val="0"/>
              <w:pageBreakBefore w:val="0"/>
              <w:kinsoku/>
              <w:wordWrap/>
              <w:overflowPunct/>
              <w:topLinePunct w:val="0"/>
              <w:bidi w:val="0"/>
              <w:snapToGrid w:val="0"/>
              <w:spacing w:line="480" w:lineRule="exact"/>
              <w:ind w:left="1080" w:leftChars="257" w:hanging="54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12.1</w:t>
            </w:r>
          </w:p>
        </w:tc>
        <w:tc>
          <w:tcPr>
            <w:tcW w:w="8140" w:type="dxa"/>
            <w:vAlign w:val="center"/>
          </w:tcPr>
          <w:p w14:paraId="47061FD9">
            <w:pPr>
              <w:keepNext w:val="0"/>
              <w:keepLines w:val="0"/>
              <w:pageBreakBefore w:val="0"/>
              <w:kinsoku/>
              <w:wordWrap/>
              <w:overflowPunct/>
              <w:topLinePunct w:val="0"/>
              <w:bidi w:val="0"/>
              <w:snapToGrid w:val="0"/>
              <w:spacing w:line="480" w:lineRule="exact"/>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磋商保证金形式：</w:t>
            </w:r>
            <w:r>
              <w:rPr>
                <w:rFonts w:hint="eastAsia" w:ascii="微软雅黑" w:hAnsi="微软雅黑" w:eastAsia="微软雅黑" w:cs="微软雅黑"/>
                <w:color w:val="auto"/>
                <w:sz w:val="24"/>
                <w:szCs w:val="24"/>
                <w:lang w:eastAsia="zh-CN"/>
              </w:rPr>
              <w:t>☑</w:t>
            </w:r>
            <w:r>
              <w:rPr>
                <w:rFonts w:hint="eastAsia" w:ascii="微软雅黑" w:hAnsi="微软雅黑" w:eastAsia="微软雅黑" w:cs="微软雅黑"/>
                <w:color w:val="auto"/>
                <w:sz w:val="24"/>
                <w:szCs w:val="24"/>
              </w:rPr>
              <w:t xml:space="preserve">保函  </w:t>
            </w:r>
            <w:r>
              <w:rPr>
                <w:rFonts w:hint="eastAsia" w:ascii="微软雅黑" w:hAnsi="微软雅黑" w:eastAsia="微软雅黑" w:cs="微软雅黑"/>
                <w:color w:val="auto"/>
                <w:sz w:val="24"/>
                <w:szCs w:val="24"/>
                <w:lang w:eastAsia="zh-CN"/>
              </w:rPr>
              <w:t>☑</w:t>
            </w:r>
            <w:r>
              <w:rPr>
                <w:rFonts w:hint="eastAsia" w:ascii="微软雅黑" w:hAnsi="微软雅黑" w:eastAsia="微软雅黑" w:cs="微软雅黑"/>
                <w:color w:val="auto"/>
                <w:sz w:val="24"/>
                <w:szCs w:val="24"/>
              </w:rPr>
              <w:t xml:space="preserve">电汇  </w:t>
            </w:r>
            <w:r>
              <w:rPr>
                <w:rFonts w:hint="eastAsia" w:ascii="微软雅黑" w:hAnsi="微软雅黑" w:eastAsia="微软雅黑" w:cs="微软雅黑"/>
                <w:color w:val="auto"/>
                <w:sz w:val="24"/>
                <w:szCs w:val="24"/>
                <w:lang w:eastAsia="zh-CN"/>
              </w:rPr>
              <w:t>☑</w:t>
            </w:r>
            <w:r>
              <w:rPr>
                <w:rFonts w:hint="eastAsia" w:ascii="微软雅黑" w:hAnsi="微软雅黑" w:eastAsia="微软雅黑" w:cs="微软雅黑"/>
                <w:color w:val="auto"/>
                <w:sz w:val="24"/>
                <w:szCs w:val="24"/>
              </w:rPr>
              <w:t xml:space="preserve">支票   ☑对公转账   </w:t>
            </w:r>
          </w:p>
          <w:p w14:paraId="71F6A51A">
            <w:pPr>
              <w:keepNext w:val="0"/>
              <w:keepLines w:val="0"/>
              <w:pageBreakBefore w:val="0"/>
              <w:kinsoku/>
              <w:wordWrap/>
              <w:overflowPunct/>
              <w:topLinePunct w:val="0"/>
              <w:bidi w:val="0"/>
              <w:snapToGrid w:val="0"/>
              <w:spacing w:line="480" w:lineRule="exact"/>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磋商保证金金额：</w:t>
            </w:r>
          </w:p>
          <w:p w14:paraId="4815A738">
            <w:pPr>
              <w:keepNext w:val="0"/>
              <w:keepLines w:val="0"/>
              <w:pageBreakBefore w:val="0"/>
              <w:kinsoku/>
              <w:wordWrap/>
              <w:overflowPunct/>
              <w:topLinePunct w:val="0"/>
              <w:bidi w:val="0"/>
              <w:snapToGrid w:val="0"/>
              <w:spacing w:line="480" w:lineRule="exact"/>
              <w:textAlignment w:val="baseline"/>
              <w:rPr>
                <w:rFonts w:hint="eastAsia" w:ascii="微软雅黑" w:hAnsi="微软雅黑" w:eastAsia="微软雅黑" w:cs="微软雅黑"/>
                <w:b/>
                <w:bCs/>
                <w:color w:val="auto"/>
                <w:sz w:val="24"/>
                <w:szCs w:val="24"/>
              </w:rPr>
            </w:pPr>
            <w:r>
              <w:rPr>
                <w:rFonts w:hint="eastAsia" w:ascii="微软雅黑" w:hAnsi="微软雅黑" w:eastAsia="微软雅黑" w:cs="微软雅黑"/>
                <w:color w:val="auto"/>
                <w:sz w:val="24"/>
                <w:szCs w:val="24"/>
                <w:lang w:eastAsia="zh-CN"/>
              </w:rPr>
              <w:t>第一包：</w:t>
            </w:r>
            <w:r>
              <w:rPr>
                <w:rFonts w:hint="eastAsia" w:ascii="微软雅黑" w:hAnsi="微软雅黑" w:eastAsia="微软雅黑" w:cs="微软雅黑"/>
                <w:b/>
                <w:bCs/>
                <w:color w:val="auto"/>
                <w:sz w:val="24"/>
                <w:szCs w:val="24"/>
                <w:lang w:val="en-US" w:eastAsia="zh-CN"/>
              </w:rPr>
              <w:t>7400</w:t>
            </w:r>
            <w:r>
              <w:rPr>
                <w:rFonts w:hint="eastAsia" w:ascii="微软雅黑" w:hAnsi="微软雅黑" w:eastAsia="微软雅黑" w:cs="微软雅黑"/>
                <w:b/>
                <w:bCs/>
                <w:color w:val="auto"/>
                <w:sz w:val="24"/>
                <w:szCs w:val="24"/>
              </w:rPr>
              <w:t>元(大写：</w:t>
            </w:r>
            <w:r>
              <w:rPr>
                <w:rFonts w:hint="eastAsia" w:ascii="微软雅黑" w:hAnsi="微软雅黑" w:eastAsia="微软雅黑" w:cs="微软雅黑"/>
                <w:b/>
                <w:bCs/>
                <w:color w:val="auto"/>
                <w:sz w:val="24"/>
                <w:szCs w:val="24"/>
                <w:lang w:eastAsia="zh-CN"/>
              </w:rPr>
              <w:t>柒仟肆佰元整</w:t>
            </w:r>
            <w:r>
              <w:rPr>
                <w:rFonts w:hint="eastAsia" w:ascii="微软雅黑" w:hAnsi="微软雅黑" w:eastAsia="微软雅黑" w:cs="微软雅黑"/>
                <w:b/>
                <w:bCs/>
                <w:color w:val="auto"/>
                <w:sz w:val="24"/>
                <w:szCs w:val="24"/>
              </w:rPr>
              <w:t>）</w:t>
            </w:r>
          </w:p>
          <w:p w14:paraId="770D35A4">
            <w:pPr>
              <w:keepNext w:val="0"/>
              <w:keepLines w:val="0"/>
              <w:pageBreakBefore w:val="0"/>
              <w:kinsoku/>
              <w:wordWrap/>
              <w:overflowPunct/>
              <w:topLinePunct w:val="0"/>
              <w:bidi w:val="0"/>
              <w:snapToGrid w:val="0"/>
              <w:spacing w:line="480" w:lineRule="exact"/>
              <w:textAlignment w:val="baseline"/>
              <w:rPr>
                <w:rFonts w:hint="eastAsia" w:ascii="微软雅黑" w:hAnsi="微软雅黑" w:eastAsia="微软雅黑" w:cs="微软雅黑"/>
                <w:b/>
                <w:bCs/>
                <w:color w:val="auto"/>
                <w:sz w:val="24"/>
                <w:szCs w:val="24"/>
                <w:lang w:val="en-US" w:eastAsia="zh-CN"/>
              </w:rPr>
            </w:pPr>
            <w:r>
              <w:rPr>
                <w:rFonts w:hint="eastAsia" w:ascii="微软雅黑" w:hAnsi="微软雅黑" w:eastAsia="微软雅黑" w:cs="微软雅黑"/>
                <w:b/>
                <w:bCs/>
                <w:color w:val="auto"/>
                <w:sz w:val="24"/>
                <w:szCs w:val="24"/>
                <w:lang w:eastAsia="zh-CN"/>
              </w:rPr>
              <w:t>第二包：</w:t>
            </w:r>
            <w:r>
              <w:rPr>
                <w:rFonts w:hint="eastAsia" w:ascii="微软雅黑" w:hAnsi="微软雅黑" w:eastAsia="微软雅黑" w:cs="微软雅黑"/>
                <w:b/>
                <w:bCs/>
                <w:color w:val="auto"/>
                <w:sz w:val="24"/>
                <w:szCs w:val="24"/>
                <w:lang w:val="en-US" w:eastAsia="zh-CN"/>
              </w:rPr>
              <w:t>8900元（大写：捌仟玖佰元整）</w:t>
            </w:r>
          </w:p>
          <w:p w14:paraId="607E00B1">
            <w:pPr>
              <w:keepNext w:val="0"/>
              <w:keepLines w:val="0"/>
              <w:pageBreakBefore w:val="0"/>
              <w:kinsoku/>
              <w:wordWrap/>
              <w:overflowPunct/>
              <w:topLinePunct w:val="0"/>
              <w:bidi w:val="0"/>
              <w:snapToGrid w:val="0"/>
              <w:spacing w:line="480" w:lineRule="exact"/>
              <w:textAlignment w:val="baseline"/>
              <w:rPr>
                <w:rFonts w:hint="eastAsia" w:ascii="微软雅黑" w:hAnsi="微软雅黑" w:eastAsia="微软雅黑" w:cs="微软雅黑"/>
                <w:b/>
                <w:bCs/>
                <w:color w:val="auto"/>
                <w:sz w:val="24"/>
                <w:szCs w:val="24"/>
                <w:lang w:val="en-US" w:eastAsia="zh-CN"/>
              </w:rPr>
            </w:pPr>
            <w:r>
              <w:rPr>
                <w:rFonts w:hint="eastAsia" w:ascii="微软雅黑" w:hAnsi="微软雅黑" w:eastAsia="微软雅黑" w:cs="微软雅黑"/>
                <w:b/>
                <w:bCs/>
                <w:color w:val="auto"/>
                <w:sz w:val="24"/>
                <w:szCs w:val="24"/>
                <w:lang w:val="en-US" w:eastAsia="zh-CN"/>
              </w:rPr>
              <w:t>第三包：6700元（大写：陆仟柒佰元整）</w:t>
            </w:r>
          </w:p>
          <w:p w14:paraId="4A7E1019">
            <w:pPr>
              <w:keepNext w:val="0"/>
              <w:keepLines w:val="0"/>
              <w:pageBreakBefore w:val="0"/>
              <w:kinsoku/>
              <w:wordWrap/>
              <w:overflowPunct/>
              <w:topLinePunct w:val="0"/>
              <w:bidi w:val="0"/>
              <w:snapToGrid w:val="0"/>
              <w:spacing w:line="480" w:lineRule="exact"/>
              <w:textAlignment w:val="baseline"/>
              <w:rPr>
                <w:rFonts w:hint="default" w:ascii="微软雅黑" w:hAnsi="微软雅黑" w:eastAsia="微软雅黑" w:cs="微软雅黑"/>
                <w:b/>
                <w:bCs/>
                <w:color w:val="auto"/>
                <w:sz w:val="24"/>
                <w:szCs w:val="24"/>
                <w:lang w:val="en-US" w:eastAsia="zh-CN"/>
              </w:rPr>
            </w:pPr>
            <w:r>
              <w:rPr>
                <w:rFonts w:hint="eastAsia" w:ascii="微软雅黑" w:hAnsi="微软雅黑" w:eastAsia="微软雅黑" w:cs="微软雅黑"/>
                <w:b/>
                <w:bCs/>
                <w:color w:val="auto"/>
                <w:sz w:val="24"/>
                <w:szCs w:val="24"/>
                <w:lang w:val="en-US" w:eastAsia="zh-CN"/>
              </w:rPr>
              <w:t>第四包：8000元（大写：捌仟元整）</w:t>
            </w:r>
          </w:p>
          <w:p w14:paraId="5017AC38">
            <w:pPr>
              <w:keepNext w:val="0"/>
              <w:keepLines w:val="0"/>
              <w:pageBreakBefore w:val="0"/>
              <w:kinsoku/>
              <w:wordWrap/>
              <w:overflowPunct/>
              <w:topLinePunct w:val="0"/>
              <w:bidi w:val="0"/>
              <w:snapToGrid w:val="0"/>
              <w:spacing w:line="480" w:lineRule="exact"/>
              <w:textAlignment w:val="baseline"/>
              <w:rPr>
                <w:rFonts w:hint="eastAsia" w:ascii="微软雅黑" w:hAnsi="微软雅黑" w:eastAsia="微软雅黑" w:cs="微软雅黑"/>
                <w:b/>
                <w:color w:val="auto"/>
                <w:sz w:val="24"/>
                <w:szCs w:val="24"/>
              </w:rPr>
            </w:pPr>
            <w:r>
              <w:rPr>
                <w:rFonts w:hint="eastAsia" w:ascii="微软雅黑" w:hAnsi="微软雅黑" w:eastAsia="微软雅黑" w:cs="微软雅黑"/>
                <w:i/>
                <w:color w:val="auto"/>
                <w:sz w:val="24"/>
                <w:szCs w:val="24"/>
              </w:rPr>
              <w:t>（按照各分包控制金额2%以内的整数计算）</w:t>
            </w:r>
          </w:p>
          <w:p w14:paraId="0A6CA6F1">
            <w:pPr>
              <w:keepNext w:val="0"/>
              <w:keepLines w:val="0"/>
              <w:pageBreakBefore w:val="0"/>
              <w:kinsoku/>
              <w:wordWrap/>
              <w:overflowPunct/>
              <w:topLinePunct w:val="0"/>
              <w:bidi w:val="0"/>
              <w:spacing w:line="480" w:lineRule="exact"/>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保证金收款人：</w:t>
            </w:r>
          </w:p>
          <w:p w14:paraId="30E056F6">
            <w:pPr>
              <w:keepNext w:val="0"/>
              <w:keepLines w:val="0"/>
              <w:pageBreakBefore w:val="0"/>
              <w:kinsoku/>
              <w:wordWrap/>
              <w:overflowPunct/>
              <w:topLinePunct w:val="0"/>
              <w:bidi w:val="0"/>
              <w:spacing w:line="480" w:lineRule="exact"/>
              <w:rPr>
                <w:rFonts w:ascii="微软雅黑" w:hAnsi="微软雅黑" w:eastAsia="微软雅黑" w:cs="微软雅黑"/>
                <w:b/>
                <w:bCs/>
                <w:sz w:val="24"/>
                <w:szCs w:val="24"/>
              </w:rPr>
            </w:pPr>
            <w:r>
              <w:rPr>
                <w:rFonts w:hint="eastAsia" w:ascii="微软雅黑" w:hAnsi="微软雅黑" w:eastAsia="微软雅黑" w:cs="微软雅黑"/>
                <w:b/>
                <w:bCs/>
                <w:sz w:val="24"/>
                <w:szCs w:val="24"/>
              </w:rPr>
              <w:t>单位名称：</w:t>
            </w:r>
            <w:r>
              <w:rPr>
                <w:rFonts w:hint="eastAsia" w:ascii="微软雅黑" w:hAnsi="微软雅黑" w:eastAsia="微软雅黑" w:cs="微软雅黑"/>
                <w:b/>
                <w:bCs/>
                <w:sz w:val="24"/>
                <w:szCs w:val="24"/>
                <w:lang w:eastAsia="zh-CN"/>
              </w:rPr>
              <w:t>新疆乾行健招标有限公司</w:t>
            </w:r>
          </w:p>
          <w:p w14:paraId="4231CD44">
            <w:pPr>
              <w:keepNext w:val="0"/>
              <w:keepLines w:val="0"/>
              <w:pageBreakBefore w:val="0"/>
              <w:kinsoku/>
              <w:wordWrap/>
              <w:overflowPunct/>
              <w:topLinePunct w:val="0"/>
              <w:bidi w:val="0"/>
              <w:spacing w:line="480" w:lineRule="exact"/>
              <w:rPr>
                <w:rFonts w:ascii="微软雅黑" w:hAnsi="微软雅黑" w:eastAsia="微软雅黑" w:cs="微软雅黑"/>
                <w:b/>
                <w:bCs/>
                <w:sz w:val="24"/>
                <w:szCs w:val="24"/>
              </w:rPr>
            </w:pPr>
            <w:r>
              <w:rPr>
                <w:rFonts w:hint="eastAsia" w:ascii="微软雅黑" w:hAnsi="微软雅黑" w:eastAsia="微软雅黑" w:cs="微软雅黑"/>
                <w:b/>
                <w:bCs/>
                <w:sz w:val="24"/>
                <w:szCs w:val="24"/>
              </w:rPr>
              <w:t>开户行： 上海浦东发展银行股份有限公司喀什分行</w:t>
            </w:r>
          </w:p>
          <w:p w14:paraId="0E8E2496">
            <w:pPr>
              <w:keepNext w:val="0"/>
              <w:keepLines w:val="0"/>
              <w:pageBreakBefore w:val="0"/>
              <w:kinsoku/>
              <w:wordWrap/>
              <w:overflowPunct/>
              <w:topLinePunct w:val="0"/>
              <w:bidi w:val="0"/>
              <w:spacing w:line="480" w:lineRule="exact"/>
              <w:rPr>
                <w:rFonts w:ascii="微软雅黑" w:hAnsi="微软雅黑" w:eastAsia="微软雅黑" w:cs="微软雅黑"/>
                <w:b/>
                <w:bCs/>
                <w:sz w:val="24"/>
                <w:szCs w:val="24"/>
              </w:rPr>
            </w:pPr>
            <w:r>
              <w:rPr>
                <w:rFonts w:hint="eastAsia" w:ascii="微软雅黑" w:hAnsi="微软雅黑" w:eastAsia="微软雅黑" w:cs="微软雅黑"/>
                <w:b/>
                <w:bCs/>
                <w:sz w:val="24"/>
                <w:szCs w:val="24"/>
              </w:rPr>
              <w:t xml:space="preserve">账号：17210078801000000500  </w:t>
            </w:r>
          </w:p>
          <w:p w14:paraId="2E3EB4C4">
            <w:pPr>
              <w:keepNext w:val="0"/>
              <w:keepLines w:val="0"/>
              <w:pageBreakBefore w:val="0"/>
              <w:kinsoku/>
              <w:wordWrap/>
              <w:overflowPunct/>
              <w:topLinePunct w:val="0"/>
              <w:bidi w:val="0"/>
              <w:spacing w:line="480" w:lineRule="exact"/>
              <w:rPr>
                <w:rFonts w:hint="eastAsia" w:ascii="微软雅黑" w:hAnsi="微软雅黑" w:eastAsia="微软雅黑" w:cs="微软雅黑"/>
                <w:b/>
                <w:bCs/>
                <w:sz w:val="24"/>
                <w:szCs w:val="24"/>
                <w:lang w:eastAsia="zh-CN"/>
              </w:rPr>
            </w:pPr>
            <w:r>
              <w:rPr>
                <w:rFonts w:hint="eastAsia" w:ascii="微软雅黑" w:hAnsi="微软雅黑" w:eastAsia="微软雅黑" w:cs="微软雅黑"/>
                <w:b/>
                <w:bCs/>
                <w:sz w:val="24"/>
                <w:szCs w:val="24"/>
              </w:rPr>
              <w:t>联系人：</w:t>
            </w:r>
            <w:r>
              <w:rPr>
                <w:rFonts w:hint="eastAsia" w:ascii="微软雅黑" w:hAnsi="微软雅黑" w:eastAsia="微软雅黑" w:cs="微软雅黑"/>
                <w:b/>
                <w:bCs/>
                <w:sz w:val="24"/>
                <w:szCs w:val="24"/>
                <w:lang w:eastAsia="zh-CN"/>
              </w:rPr>
              <w:t>任亚茹</w:t>
            </w:r>
            <w:r>
              <w:rPr>
                <w:rFonts w:hint="eastAsia" w:ascii="微软雅黑" w:hAnsi="微软雅黑" w:eastAsia="微软雅黑" w:cs="微软雅黑"/>
                <w:b/>
                <w:bCs/>
                <w:sz w:val="24"/>
                <w:szCs w:val="24"/>
              </w:rPr>
              <w:t xml:space="preserve">  联系电话：</w:t>
            </w:r>
            <w:r>
              <w:rPr>
                <w:rFonts w:hint="eastAsia" w:ascii="微软雅黑" w:hAnsi="微软雅黑" w:eastAsia="微软雅黑" w:cs="微软雅黑"/>
                <w:b/>
                <w:bCs/>
                <w:sz w:val="24"/>
                <w:szCs w:val="24"/>
                <w:lang w:eastAsia="zh-CN"/>
              </w:rPr>
              <w:t>15599960705</w:t>
            </w:r>
          </w:p>
          <w:p w14:paraId="16B7DACC">
            <w:pPr>
              <w:keepNext w:val="0"/>
              <w:keepLines w:val="0"/>
              <w:pageBreakBefore w:val="0"/>
              <w:kinsoku/>
              <w:wordWrap/>
              <w:overflowPunct/>
              <w:topLinePunct w:val="0"/>
              <w:bidi w:val="0"/>
              <w:spacing w:line="480" w:lineRule="exact"/>
              <w:rPr>
                <w:rFonts w:hint="eastAsia" w:ascii="微软雅黑" w:hAnsi="微软雅黑" w:eastAsia="微软雅黑" w:cs="微软雅黑"/>
                <w:b w:val="0"/>
                <w:bCs w:val="0"/>
                <w:color w:val="auto"/>
                <w:sz w:val="24"/>
                <w:szCs w:val="24"/>
              </w:rPr>
            </w:pPr>
            <w:r>
              <w:rPr>
                <w:rFonts w:hint="eastAsia" w:ascii="微软雅黑" w:hAnsi="微软雅黑" w:eastAsia="微软雅黑" w:cs="微软雅黑"/>
                <w:b/>
                <w:bCs/>
                <w:color w:val="auto"/>
                <w:sz w:val="24"/>
                <w:szCs w:val="24"/>
              </w:rPr>
              <w:t>A:缴纳保证金要求：</w:t>
            </w:r>
            <w:r>
              <w:rPr>
                <w:rFonts w:hint="eastAsia" w:ascii="微软雅黑" w:hAnsi="微软雅黑" w:eastAsia="微软雅黑" w:cs="微软雅黑"/>
                <w:b w:val="0"/>
                <w:bCs w:val="0"/>
                <w:color w:val="auto"/>
                <w:sz w:val="24"/>
                <w:szCs w:val="24"/>
              </w:rPr>
              <w:t>供应商向银行办理保证金汇（转）款时，应在用途栏（备注栏）注明项目名称，并注明是</w:t>
            </w:r>
            <w:r>
              <w:rPr>
                <w:rFonts w:hint="eastAsia" w:ascii="微软雅黑" w:hAnsi="微软雅黑" w:eastAsia="微软雅黑" w:cs="微软雅黑"/>
                <w:b w:val="0"/>
                <w:bCs w:val="0"/>
                <w:color w:val="auto"/>
                <w:sz w:val="24"/>
                <w:szCs w:val="24"/>
                <w:lang w:eastAsia="zh-CN"/>
              </w:rPr>
              <w:t>磋商</w:t>
            </w:r>
            <w:r>
              <w:rPr>
                <w:rFonts w:hint="eastAsia" w:ascii="微软雅黑" w:hAnsi="微软雅黑" w:eastAsia="微软雅黑" w:cs="微软雅黑"/>
                <w:b w:val="0"/>
                <w:bCs w:val="0"/>
                <w:color w:val="auto"/>
                <w:sz w:val="24"/>
                <w:szCs w:val="24"/>
              </w:rPr>
              <w:t>保证金字样，如填写字数有要求可简写项目名称，由于未按要求注明信息而导致的一切后果由供应商自行承担。</w:t>
            </w:r>
          </w:p>
          <w:p w14:paraId="09F9EB2E">
            <w:pPr>
              <w:keepNext w:val="0"/>
              <w:keepLines w:val="0"/>
              <w:pageBreakBefore w:val="0"/>
              <w:kinsoku/>
              <w:wordWrap/>
              <w:overflowPunct/>
              <w:topLinePunct w:val="0"/>
              <w:bidi w:val="0"/>
              <w:snapToGrid w:val="0"/>
              <w:spacing w:line="480" w:lineRule="exact"/>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b/>
                <w:bCs/>
                <w:color w:val="auto"/>
                <w:sz w:val="24"/>
                <w:szCs w:val="24"/>
              </w:rPr>
              <w:t>B：</w:t>
            </w:r>
            <w:r>
              <w:rPr>
                <w:rFonts w:hint="eastAsia" w:ascii="微软雅黑" w:hAnsi="微软雅黑" w:eastAsia="微软雅黑" w:cs="微软雅黑"/>
                <w:b/>
                <w:bCs/>
                <w:color w:val="auto"/>
                <w:sz w:val="24"/>
                <w:szCs w:val="24"/>
                <w:lang w:eastAsia="zh-CN"/>
              </w:rPr>
              <w:t>保证金的退还</w:t>
            </w:r>
            <w:r>
              <w:rPr>
                <w:rFonts w:hint="eastAsia" w:ascii="微软雅黑" w:hAnsi="微软雅黑" w:eastAsia="微软雅黑" w:cs="微软雅黑"/>
                <w:b/>
                <w:bCs/>
                <w:color w:val="auto"/>
                <w:sz w:val="24"/>
                <w:szCs w:val="24"/>
              </w:rPr>
              <w:t>：</w:t>
            </w:r>
            <w:r>
              <w:rPr>
                <w:rFonts w:hint="eastAsia" w:ascii="微软雅黑" w:hAnsi="微软雅黑" w:eastAsia="微软雅黑" w:cs="微软雅黑"/>
                <w:b w:val="0"/>
                <w:bCs w:val="0"/>
                <w:color w:val="auto"/>
                <w:sz w:val="24"/>
                <w:szCs w:val="24"/>
                <w:lang w:eastAsia="zh-CN"/>
              </w:rPr>
              <w:t>根据</w:t>
            </w:r>
            <w:r>
              <w:rPr>
                <w:rFonts w:hint="eastAsia" w:ascii="微软雅黑" w:hAnsi="微软雅黑" w:eastAsia="微软雅黑" w:cs="微软雅黑"/>
                <w:b w:val="0"/>
                <w:bCs w:val="0"/>
                <w:color w:val="auto"/>
                <w:sz w:val="24"/>
                <w:szCs w:val="24"/>
                <w:highlight w:val="none"/>
                <w:lang w:val="en-US" w:eastAsia="zh-CN"/>
              </w:rPr>
              <w:fldChar w:fldCharType="begin"/>
            </w:r>
            <w:r>
              <w:rPr>
                <w:rFonts w:hint="eastAsia" w:ascii="微软雅黑" w:hAnsi="微软雅黑" w:eastAsia="微软雅黑" w:cs="微软雅黑"/>
                <w:b w:val="0"/>
                <w:bCs w:val="0"/>
                <w:color w:val="auto"/>
                <w:sz w:val="24"/>
                <w:szCs w:val="24"/>
                <w:highlight w:val="none"/>
                <w:lang w:val="en-US" w:eastAsia="zh-CN"/>
              </w:rPr>
              <w:instrText xml:space="preserve"> HYPERLINK "mailto:根据财库〔2014〕214号《政府采购竞争性磋商采购方式管理暂行办法》第三十一条规定，①未成交供应商的磋商保证金在成交通知书发出后5个工作日内退还；②成交供应商的磋商保证金在供应商与采购人采购合同签订后5个工作日内退还（供应商需将采购合同发至邮箱1543019885@qq.comhou" </w:instrText>
            </w:r>
            <w:r>
              <w:rPr>
                <w:rFonts w:hint="eastAsia" w:ascii="微软雅黑" w:hAnsi="微软雅黑" w:eastAsia="微软雅黑" w:cs="微软雅黑"/>
                <w:b w:val="0"/>
                <w:bCs w:val="0"/>
                <w:color w:val="auto"/>
                <w:sz w:val="24"/>
                <w:szCs w:val="24"/>
                <w:highlight w:val="none"/>
                <w:lang w:val="en-US" w:eastAsia="zh-CN"/>
              </w:rPr>
              <w:fldChar w:fldCharType="separate"/>
            </w:r>
            <w:r>
              <w:rPr>
                <w:rFonts w:hint="eastAsia" w:ascii="微软雅黑" w:hAnsi="微软雅黑" w:eastAsia="微软雅黑" w:cs="微软雅黑"/>
                <w:b w:val="0"/>
                <w:bCs w:val="0"/>
                <w:color w:val="auto"/>
                <w:sz w:val="24"/>
                <w:szCs w:val="24"/>
                <w:highlight w:val="none"/>
                <w:lang w:val="en-US" w:eastAsia="zh-CN"/>
              </w:rPr>
              <w:t>《政府采购竞争性磋商采购方式管理暂行办法》第三十一条规定，①未成交供应商的磋商保证金应在成交通知书发出后5个工作日内退还；②成交供应商的磋商保证金应在采购合同签订后5个工作日内退还（供应商需将采购合同发至邮箱1543019885@qq.com后</w:t>
            </w:r>
            <w:r>
              <w:rPr>
                <w:rFonts w:hint="eastAsia" w:ascii="微软雅黑" w:hAnsi="微软雅黑" w:eastAsia="微软雅黑" w:cs="微软雅黑"/>
                <w:b w:val="0"/>
                <w:bCs w:val="0"/>
                <w:color w:val="auto"/>
                <w:sz w:val="24"/>
                <w:szCs w:val="24"/>
                <w:highlight w:val="none"/>
                <w:lang w:val="en-US" w:eastAsia="zh-CN"/>
              </w:rPr>
              <w:fldChar w:fldCharType="end"/>
            </w:r>
            <w:r>
              <w:rPr>
                <w:rFonts w:hint="eastAsia" w:ascii="微软雅黑" w:hAnsi="微软雅黑" w:eastAsia="微软雅黑" w:cs="微软雅黑"/>
                <w:b w:val="0"/>
                <w:bCs w:val="0"/>
                <w:color w:val="auto"/>
                <w:sz w:val="24"/>
                <w:szCs w:val="24"/>
                <w:highlight w:val="none"/>
                <w:lang w:val="en-US" w:eastAsia="zh-CN"/>
              </w:rPr>
              <w:t>，5个工作日内原账户退回）。</w:t>
            </w:r>
          </w:p>
        </w:tc>
      </w:tr>
      <w:tr w14:paraId="5EF9E33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1370" w:type="dxa"/>
            <w:vAlign w:val="center"/>
          </w:tcPr>
          <w:p w14:paraId="7ADCC63D">
            <w:pPr>
              <w:keepNext w:val="0"/>
              <w:keepLines w:val="0"/>
              <w:pageBreakBefore w:val="0"/>
              <w:kinsoku/>
              <w:wordWrap/>
              <w:overflowPunct/>
              <w:topLinePunct w:val="0"/>
              <w:bidi w:val="0"/>
              <w:snapToGrid w:val="0"/>
              <w:spacing w:line="480" w:lineRule="exact"/>
              <w:ind w:left="1080" w:leftChars="257" w:hanging="54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13.1</w:t>
            </w:r>
          </w:p>
        </w:tc>
        <w:tc>
          <w:tcPr>
            <w:tcW w:w="8140" w:type="dxa"/>
            <w:vAlign w:val="center"/>
          </w:tcPr>
          <w:p w14:paraId="2370BAA7">
            <w:pPr>
              <w:keepNext w:val="0"/>
              <w:keepLines w:val="0"/>
              <w:pageBreakBefore w:val="0"/>
              <w:kinsoku/>
              <w:wordWrap/>
              <w:overflowPunct/>
              <w:topLinePunct w:val="0"/>
              <w:bidi w:val="0"/>
              <w:snapToGrid w:val="0"/>
              <w:spacing w:line="480" w:lineRule="exact"/>
              <w:textAlignment w:val="baseline"/>
              <w:rPr>
                <w:rFonts w:hint="eastAsia" w:ascii="微软雅黑" w:hAnsi="微软雅黑" w:eastAsia="微软雅黑" w:cs="微软雅黑"/>
                <w:color w:val="auto"/>
                <w:sz w:val="24"/>
                <w:szCs w:val="24"/>
                <w:u w:val="single" w:color="000000"/>
              </w:rPr>
            </w:pPr>
            <w:r>
              <w:rPr>
                <w:rFonts w:hint="eastAsia" w:ascii="微软雅黑" w:hAnsi="微软雅黑" w:eastAsia="微软雅黑" w:cs="微软雅黑"/>
                <w:color w:val="auto"/>
                <w:sz w:val="24"/>
                <w:szCs w:val="24"/>
              </w:rPr>
              <w:t>磋商有效期：</w:t>
            </w:r>
            <w:r>
              <w:rPr>
                <w:rFonts w:hint="eastAsia" w:ascii="微软雅黑" w:hAnsi="微软雅黑" w:eastAsia="微软雅黑" w:cs="微软雅黑"/>
                <w:color w:val="auto"/>
                <w:sz w:val="24"/>
                <w:szCs w:val="24"/>
                <w:u w:val="single" w:color="000000"/>
              </w:rPr>
              <w:t>　</w:t>
            </w:r>
            <w:r>
              <w:rPr>
                <w:rFonts w:hint="eastAsia" w:ascii="微软雅黑" w:hAnsi="微软雅黑" w:eastAsia="微软雅黑" w:cs="微软雅黑"/>
                <w:color w:val="auto"/>
                <w:sz w:val="24"/>
                <w:szCs w:val="24"/>
                <w:u w:val="single" w:color="000000"/>
                <w:lang w:val="en-US" w:eastAsia="zh-CN"/>
              </w:rPr>
              <w:t>60</w:t>
            </w:r>
            <w:r>
              <w:rPr>
                <w:rFonts w:hint="eastAsia" w:ascii="微软雅黑" w:hAnsi="微软雅黑" w:eastAsia="微软雅黑" w:cs="微软雅黑"/>
                <w:color w:val="auto"/>
                <w:sz w:val="24"/>
                <w:szCs w:val="24"/>
                <w:u w:val="single" w:color="000000"/>
              </w:rPr>
              <w:t>　</w:t>
            </w:r>
            <w:r>
              <w:rPr>
                <w:rFonts w:hint="eastAsia" w:ascii="微软雅黑" w:hAnsi="微软雅黑" w:eastAsia="微软雅黑" w:cs="微软雅黑"/>
                <w:color w:val="auto"/>
                <w:sz w:val="24"/>
                <w:szCs w:val="24"/>
              </w:rPr>
              <w:t>日历日</w:t>
            </w:r>
          </w:p>
        </w:tc>
      </w:tr>
      <w:tr w14:paraId="05C828A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50" w:hRule="atLeast"/>
          <w:jc w:val="center"/>
        </w:trPr>
        <w:tc>
          <w:tcPr>
            <w:tcW w:w="1370" w:type="dxa"/>
            <w:vAlign w:val="center"/>
          </w:tcPr>
          <w:p w14:paraId="4F8B1910">
            <w:pPr>
              <w:keepNext w:val="0"/>
              <w:keepLines w:val="0"/>
              <w:pageBreakBefore w:val="0"/>
              <w:kinsoku/>
              <w:wordWrap/>
              <w:overflowPunct/>
              <w:topLinePunct w:val="0"/>
              <w:bidi w:val="0"/>
              <w:snapToGrid w:val="0"/>
              <w:spacing w:line="480" w:lineRule="exact"/>
              <w:ind w:left="1080" w:leftChars="257" w:hanging="54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14.1</w:t>
            </w:r>
          </w:p>
        </w:tc>
        <w:tc>
          <w:tcPr>
            <w:tcW w:w="8140" w:type="dxa"/>
            <w:vAlign w:val="center"/>
          </w:tcPr>
          <w:p w14:paraId="3A20B84F">
            <w:pPr>
              <w:pStyle w:val="7"/>
              <w:keepNext w:val="0"/>
              <w:keepLines w:val="0"/>
              <w:pageBreakBefore w:val="0"/>
              <w:widowControl w:val="0"/>
              <w:kinsoku/>
              <w:wordWrap/>
              <w:overflowPunct/>
              <w:topLinePunct w:val="0"/>
              <w:bidi w:val="0"/>
              <w:snapToGrid/>
              <w:spacing w:line="480" w:lineRule="exact"/>
              <w:ind w:left="0" w:leftChars="0" w:firstLine="0" w:firstLineChars="0"/>
              <w:jc w:val="both"/>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如需咨询，请联系新疆CA服务热线0991-2819290（喀什办理地点喀什东城喀什市行政审批局一楼企业服务专区数字证书窗口，联系电话15001465669）</w:t>
            </w:r>
          </w:p>
          <w:p w14:paraId="4D7E32B4">
            <w:pPr>
              <w:pStyle w:val="7"/>
              <w:keepNext w:val="0"/>
              <w:keepLines w:val="0"/>
              <w:pageBreakBefore w:val="0"/>
              <w:widowControl w:val="0"/>
              <w:kinsoku/>
              <w:wordWrap/>
              <w:overflowPunct/>
              <w:topLinePunct w:val="0"/>
              <w:autoSpaceDE w:val="0"/>
              <w:autoSpaceDN w:val="0"/>
              <w:bidi w:val="0"/>
              <w:adjustRightInd w:val="0"/>
              <w:snapToGrid/>
              <w:spacing w:line="480" w:lineRule="exact"/>
              <w:ind w:left="0" w:leftChars="0" w:firstLine="0" w:firstLineChars="0"/>
              <w:jc w:val="both"/>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（2）本项目实行网上投标响应，采用电子响应文件(供应商须使用CA加密设备通过政采云电子投标客户端制作响应文件)。若供应商参与投标，自行承担投标一切费用。</w:t>
            </w:r>
          </w:p>
          <w:p w14:paraId="76493CFA">
            <w:pPr>
              <w:pStyle w:val="7"/>
              <w:keepNext w:val="0"/>
              <w:keepLines w:val="0"/>
              <w:pageBreakBefore w:val="0"/>
              <w:widowControl w:val="0"/>
              <w:kinsoku/>
              <w:wordWrap/>
              <w:overflowPunct/>
              <w:topLinePunct w:val="0"/>
              <w:autoSpaceDE w:val="0"/>
              <w:autoSpaceDN w:val="0"/>
              <w:bidi w:val="0"/>
              <w:adjustRightInd w:val="0"/>
              <w:snapToGrid/>
              <w:spacing w:line="480" w:lineRule="exact"/>
              <w:ind w:left="0" w:leftChars="0" w:firstLine="0" w:firstLineChars="0"/>
              <w:jc w:val="both"/>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（3）各供应商应在开标前应确保成为新疆政府采购网正式注册入库供应商，并完成CA数字证书申领。因未注册入库、未办理CA数字证书等原因造成无法投标或投标失败等后果由供应商自行承担。</w:t>
            </w:r>
          </w:p>
          <w:p w14:paraId="0B6DADD9">
            <w:pPr>
              <w:pStyle w:val="7"/>
              <w:keepNext w:val="0"/>
              <w:keepLines w:val="0"/>
              <w:pageBreakBefore w:val="0"/>
              <w:widowControl w:val="0"/>
              <w:kinsoku/>
              <w:wordWrap/>
              <w:overflowPunct/>
              <w:topLinePunct w:val="0"/>
              <w:autoSpaceDE w:val="0"/>
              <w:autoSpaceDN w:val="0"/>
              <w:bidi w:val="0"/>
              <w:adjustRightInd w:val="0"/>
              <w:snapToGrid/>
              <w:spacing w:line="480" w:lineRule="exact"/>
              <w:ind w:left="0" w:leftChars="0" w:firstLine="0" w:firstLineChars="0"/>
              <w:jc w:val="both"/>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4）供应商将政采云电子交易客户端下载、安装完成后，可通过账号密码或CA登录客户端进行响应文件制作。在使用政采云投标客户端时，建议使用WIN7及以上操作系统。客户端请至新疆政府采购网（http://www.ccgp-xinjiang.gov.cn/）下载专区查看，如有问题可拨打政采云客户服务热线95763进行咨询。</w:t>
            </w:r>
          </w:p>
          <w:p w14:paraId="27D08B86">
            <w:pPr>
              <w:pStyle w:val="7"/>
              <w:keepNext w:val="0"/>
              <w:keepLines w:val="0"/>
              <w:pageBreakBefore w:val="0"/>
              <w:widowControl w:val="0"/>
              <w:kinsoku/>
              <w:wordWrap/>
              <w:overflowPunct/>
              <w:topLinePunct w:val="0"/>
              <w:autoSpaceDE w:val="0"/>
              <w:autoSpaceDN w:val="0"/>
              <w:bidi w:val="0"/>
              <w:adjustRightInd w:val="0"/>
              <w:snapToGrid/>
              <w:spacing w:line="480" w:lineRule="exact"/>
              <w:ind w:left="0" w:leftChars="0" w:firstLine="0" w:firstLineChars="0"/>
              <w:jc w:val="both"/>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（5）供应商在开标时须使用制作加密电子响应文件所使用的CA锁及电脑，电脑须提前配置好浏览器（建议使用谷歌浏览器），以便开标时解锁。</w:t>
            </w:r>
          </w:p>
          <w:p w14:paraId="3558CC6C">
            <w:pPr>
              <w:pStyle w:val="7"/>
              <w:keepNext w:val="0"/>
              <w:keepLines w:val="0"/>
              <w:pageBreakBefore w:val="0"/>
              <w:widowControl w:val="0"/>
              <w:kinsoku/>
              <w:wordWrap/>
              <w:overflowPunct/>
              <w:topLinePunct w:val="0"/>
              <w:autoSpaceDE w:val="0"/>
              <w:autoSpaceDN w:val="0"/>
              <w:bidi w:val="0"/>
              <w:adjustRightInd w:val="0"/>
              <w:snapToGrid/>
              <w:spacing w:line="480" w:lineRule="exact"/>
              <w:ind w:left="0" w:leftChars="0" w:firstLine="0" w:firstLineChars="0"/>
              <w:jc w:val="both"/>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（6）投标保证金缴纳及确认时间：凡拟参加本次招标项目的供应商，必须在开标前将投标保证金汇入指定账户。投标保证金汇款凭证上用途栏应注明:招标项目名称+投标保证金。否则，届时其投标将被拒绝。</w:t>
            </w:r>
          </w:p>
          <w:p w14:paraId="76FA45C9">
            <w:pPr>
              <w:pStyle w:val="7"/>
              <w:keepNext w:val="0"/>
              <w:keepLines w:val="0"/>
              <w:pageBreakBefore w:val="0"/>
              <w:widowControl w:val="0"/>
              <w:kinsoku/>
              <w:wordWrap/>
              <w:overflowPunct/>
              <w:topLinePunct w:val="0"/>
              <w:autoSpaceDE w:val="0"/>
              <w:autoSpaceDN w:val="0"/>
              <w:bidi w:val="0"/>
              <w:adjustRightInd w:val="0"/>
              <w:snapToGrid/>
              <w:spacing w:line="480" w:lineRule="exact"/>
              <w:ind w:left="0" w:leftChars="0" w:firstLine="0" w:firstLineChars="0"/>
              <w:jc w:val="both"/>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供应商服务1号群：30349928（如已加入1-11群，无需重复加入，十一个群联动直播），钉钉工具软件具有回放功能，直播培训结束后可在钉钉群中回放观看学习。</w:t>
            </w:r>
          </w:p>
          <w:p w14:paraId="024D2260">
            <w:pPr>
              <w:pStyle w:val="7"/>
              <w:keepNext w:val="0"/>
              <w:keepLines w:val="0"/>
              <w:pageBreakBefore w:val="0"/>
              <w:widowControl w:val="0"/>
              <w:kinsoku/>
              <w:wordWrap/>
              <w:overflowPunct/>
              <w:topLinePunct w:val="0"/>
              <w:autoSpaceDE w:val="0"/>
              <w:autoSpaceDN w:val="0"/>
              <w:bidi w:val="0"/>
              <w:adjustRightInd w:val="0"/>
              <w:snapToGrid/>
              <w:spacing w:line="480" w:lineRule="exact"/>
              <w:ind w:left="0" w:leftChars="0" w:firstLine="0" w:firstLineChars="0"/>
              <w:jc w:val="both"/>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（8）各供应商</w:t>
            </w:r>
            <w:r>
              <w:rPr>
                <w:rFonts w:hint="eastAsia" w:ascii="微软雅黑" w:hAnsi="微软雅黑" w:eastAsia="微软雅黑" w:cs="微软雅黑"/>
                <w:color w:val="auto"/>
                <w:sz w:val="24"/>
                <w:szCs w:val="24"/>
                <w:highlight w:val="none"/>
              </w:rPr>
              <w:t>须在投标截止时间前完成在系统上递交电子</w:t>
            </w:r>
            <w:r>
              <w:rPr>
                <w:rFonts w:hint="eastAsia" w:ascii="微软雅黑" w:hAnsi="微软雅黑" w:eastAsia="微软雅黑" w:cs="微软雅黑"/>
                <w:color w:val="auto"/>
                <w:sz w:val="24"/>
                <w:szCs w:val="24"/>
                <w:highlight w:val="none"/>
                <w:lang w:val="en-US" w:eastAsia="zh-CN"/>
              </w:rPr>
              <w:t>响应文件</w:t>
            </w: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lang w:eastAsia="zh-CN"/>
              </w:rPr>
              <w:t>供应商</w:t>
            </w:r>
            <w:r>
              <w:rPr>
                <w:rFonts w:hint="eastAsia" w:ascii="微软雅黑" w:hAnsi="微软雅黑" w:eastAsia="微软雅黑" w:cs="微软雅黑"/>
                <w:color w:val="auto"/>
                <w:sz w:val="24"/>
                <w:szCs w:val="24"/>
                <w:highlight w:val="none"/>
              </w:rPr>
              <w:t>的电子</w:t>
            </w:r>
            <w:r>
              <w:rPr>
                <w:rFonts w:hint="eastAsia" w:ascii="微软雅黑" w:hAnsi="微软雅黑" w:eastAsia="微软雅黑" w:cs="微软雅黑"/>
                <w:color w:val="auto"/>
                <w:sz w:val="24"/>
                <w:szCs w:val="24"/>
                <w:highlight w:val="none"/>
                <w:lang w:eastAsia="zh-CN"/>
              </w:rPr>
              <w:t>响应文件</w:t>
            </w:r>
            <w:r>
              <w:rPr>
                <w:rFonts w:hint="eastAsia" w:ascii="微软雅黑" w:hAnsi="微软雅黑" w:eastAsia="微软雅黑" w:cs="微软雅黑"/>
                <w:color w:val="auto"/>
                <w:sz w:val="24"/>
                <w:szCs w:val="24"/>
                <w:highlight w:val="none"/>
              </w:rPr>
              <w:t>是经过CA证书加密后上传提交的，任何单位或个人均无法在投标截止时间(即开标时间)之前查看或篡改，不存在泄密风险。（严格按照政采云电子投标流程制作并上传电子</w:t>
            </w:r>
            <w:r>
              <w:rPr>
                <w:rFonts w:hint="eastAsia" w:ascii="微软雅黑" w:hAnsi="微软雅黑" w:eastAsia="微软雅黑" w:cs="微软雅黑"/>
                <w:color w:val="auto"/>
                <w:sz w:val="24"/>
                <w:szCs w:val="24"/>
                <w:highlight w:val="none"/>
                <w:lang w:eastAsia="zh-CN"/>
              </w:rPr>
              <w:t>响应文件</w:t>
            </w:r>
            <w:r>
              <w:rPr>
                <w:rFonts w:hint="eastAsia" w:ascii="微软雅黑" w:hAnsi="微软雅黑" w:eastAsia="微软雅黑" w:cs="微软雅黑"/>
                <w:color w:val="auto"/>
                <w:sz w:val="24"/>
                <w:szCs w:val="24"/>
                <w:highlight w:val="none"/>
              </w:rPr>
              <w:t>）</w:t>
            </w:r>
          </w:p>
          <w:p w14:paraId="3A556E5A">
            <w:pPr>
              <w:pStyle w:val="7"/>
              <w:keepNext w:val="0"/>
              <w:keepLines w:val="0"/>
              <w:pageBreakBefore w:val="0"/>
              <w:widowControl w:val="0"/>
              <w:kinsoku/>
              <w:wordWrap/>
              <w:overflowPunct/>
              <w:topLinePunct w:val="0"/>
              <w:autoSpaceDE w:val="0"/>
              <w:autoSpaceDN w:val="0"/>
              <w:bidi w:val="0"/>
              <w:adjustRightInd w:val="0"/>
              <w:snapToGrid/>
              <w:spacing w:line="480" w:lineRule="exact"/>
              <w:ind w:left="0" w:leftChars="0" w:firstLine="0" w:firstLineChars="0"/>
              <w:jc w:val="both"/>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lang w:val="en-US" w:eastAsia="zh-CN"/>
              </w:rPr>
              <w:t>9</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lang w:val="en-US" w:eastAsia="zh-CN"/>
              </w:rPr>
              <w:t>各供应商在投标截止时间前将“响应文件”上传至政采云平台。响应文件包括“开标一览表表及资格证明文件”与“商务及技术文件”两部分合并成一册。响应文件应按照磋商文件规定的格式填写、签署和盖章，并以.jmbs格式上传至政采云开评标平台（响应文件为正本扫描件）。</w:t>
            </w:r>
          </w:p>
          <w:p w14:paraId="175065FD">
            <w:pPr>
              <w:pStyle w:val="7"/>
              <w:keepNext w:val="0"/>
              <w:keepLines w:val="0"/>
              <w:pageBreakBefore w:val="0"/>
              <w:widowControl w:val="0"/>
              <w:kinsoku/>
              <w:wordWrap/>
              <w:overflowPunct/>
              <w:topLinePunct w:val="0"/>
              <w:autoSpaceDE w:val="0"/>
              <w:autoSpaceDN w:val="0"/>
              <w:bidi w:val="0"/>
              <w:adjustRightInd w:val="0"/>
              <w:snapToGrid/>
              <w:spacing w:line="480" w:lineRule="exact"/>
              <w:ind w:left="0" w:leftChars="0" w:firstLine="0" w:firstLineChars="0"/>
              <w:jc w:val="both"/>
              <w:textAlignment w:val="auto"/>
              <w:rPr>
                <w:rFonts w:hint="eastAsia" w:ascii="微软雅黑" w:hAnsi="微软雅黑" w:eastAsia="微软雅黑" w:cs="微软雅黑"/>
                <w:color w:val="auto"/>
                <w:sz w:val="24"/>
                <w:szCs w:val="24"/>
              </w:rPr>
            </w:pPr>
            <w:r>
              <w:rPr>
                <w:rFonts w:hint="eastAsia" w:ascii="微软雅黑" w:hAnsi="微软雅黑" w:eastAsia="微软雅黑" w:cs="微软雅黑"/>
                <w:b/>
                <w:bCs/>
                <w:color w:val="auto"/>
                <w:sz w:val="24"/>
                <w:szCs w:val="24"/>
                <w:highlight w:val="none"/>
                <w:lang w:val="en-US" w:eastAsia="zh-CN"/>
              </w:rPr>
              <w:t>（10）解密时长为30分钟，</w:t>
            </w:r>
            <w:r>
              <w:rPr>
                <w:rFonts w:hint="eastAsia" w:ascii="微软雅黑" w:hAnsi="微软雅黑" w:eastAsia="微软雅黑" w:cs="微软雅黑"/>
                <w:b/>
                <w:bCs/>
                <w:color w:val="auto"/>
                <w:sz w:val="24"/>
                <w:highlight w:val="none"/>
                <w:lang w:val="en-US" w:eastAsia="zh-CN"/>
              </w:rPr>
              <w:t>超出解密时长，作无效投标处理。</w:t>
            </w:r>
          </w:p>
        </w:tc>
      </w:tr>
      <w:tr w14:paraId="7F62761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84" w:hRule="atLeast"/>
          <w:jc w:val="center"/>
        </w:trPr>
        <w:tc>
          <w:tcPr>
            <w:tcW w:w="1370" w:type="dxa"/>
            <w:vAlign w:val="center"/>
          </w:tcPr>
          <w:p w14:paraId="2852EEF6">
            <w:pPr>
              <w:keepNext w:val="0"/>
              <w:keepLines w:val="0"/>
              <w:pageBreakBefore w:val="0"/>
              <w:kinsoku/>
              <w:wordWrap/>
              <w:overflowPunct/>
              <w:topLinePunct w:val="0"/>
              <w:bidi w:val="0"/>
              <w:snapToGrid w:val="0"/>
              <w:spacing w:line="480" w:lineRule="exact"/>
              <w:ind w:left="1080" w:leftChars="257" w:hanging="54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16.1</w:t>
            </w:r>
          </w:p>
        </w:tc>
        <w:tc>
          <w:tcPr>
            <w:tcW w:w="8140" w:type="dxa"/>
            <w:vAlign w:val="center"/>
          </w:tcPr>
          <w:p w14:paraId="4438384E">
            <w:pPr>
              <w:keepNext w:val="0"/>
              <w:keepLines w:val="0"/>
              <w:pageBreakBefore w:val="0"/>
              <w:kinsoku/>
              <w:wordWrap/>
              <w:overflowPunct/>
              <w:topLinePunct w:val="0"/>
              <w:bidi w:val="0"/>
              <w:snapToGrid w:val="0"/>
              <w:spacing w:line="480" w:lineRule="exact"/>
              <w:textAlignment w:val="baseline"/>
              <w:rPr>
                <w:rFonts w:hint="eastAsia" w:ascii="微软雅黑" w:hAnsi="微软雅黑" w:eastAsia="微软雅黑" w:cs="微软雅黑"/>
                <w:color w:val="auto"/>
                <w:kern w:val="0"/>
                <w:sz w:val="24"/>
                <w:szCs w:val="24"/>
                <w:highlight w:val="none"/>
                <w:lang w:val="en-US" w:eastAsia="zh-CN" w:bidi="ar-SA"/>
              </w:rPr>
            </w:pPr>
            <w:r>
              <w:rPr>
                <w:rFonts w:hint="eastAsia" w:ascii="微软雅黑" w:hAnsi="微软雅黑" w:eastAsia="微软雅黑" w:cs="微软雅黑"/>
                <w:color w:val="auto"/>
                <w:kern w:val="0"/>
                <w:sz w:val="24"/>
                <w:szCs w:val="24"/>
                <w:highlight w:val="none"/>
                <w:lang w:val="en-US" w:eastAsia="zh-CN" w:bidi="ar-SA"/>
              </w:rPr>
              <w:t>响应文件递交截止时间：</w:t>
            </w:r>
            <w:r>
              <w:rPr>
                <w:rFonts w:hint="eastAsia" w:ascii="微软雅黑" w:hAnsi="微软雅黑" w:eastAsia="微软雅黑" w:cs="微软雅黑"/>
                <w:color w:val="auto"/>
                <w:sz w:val="24"/>
                <w:lang w:val="en-US" w:eastAsia="zh-CN"/>
              </w:rPr>
              <w:t>2025</w:t>
            </w:r>
            <w:r>
              <w:rPr>
                <w:rFonts w:hint="eastAsia" w:ascii="微软雅黑" w:hAnsi="微软雅黑" w:eastAsia="微软雅黑" w:cs="微软雅黑"/>
                <w:color w:val="auto"/>
                <w:sz w:val="24"/>
              </w:rPr>
              <w:t>年</w:t>
            </w:r>
            <w:r>
              <w:rPr>
                <w:rFonts w:hint="eastAsia" w:ascii="微软雅黑" w:hAnsi="微软雅黑" w:eastAsia="微软雅黑" w:cs="微软雅黑"/>
                <w:color w:val="auto"/>
                <w:sz w:val="24"/>
                <w:lang w:val="en-US" w:eastAsia="zh-CN"/>
              </w:rPr>
              <w:t>04</w:t>
            </w:r>
            <w:r>
              <w:rPr>
                <w:rFonts w:hint="eastAsia" w:ascii="微软雅黑" w:hAnsi="微软雅黑" w:eastAsia="微软雅黑" w:cs="微软雅黑"/>
                <w:color w:val="auto"/>
                <w:sz w:val="24"/>
              </w:rPr>
              <w:t>月</w:t>
            </w:r>
            <w:r>
              <w:rPr>
                <w:rFonts w:hint="eastAsia" w:ascii="微软雅黑" w:hAnsi="微软雅黑" w:eastAsia="微软雅黑" w:cs="微软雅黑"/>
                <w:color w:val="auto"/>
                <w:sz w:val="24"/>
                <w:lang w:val="en-US" w:eastAsia="zh-CN"/>
              </w:rPr>
              <w:t>11</w:t>
            </w:r>
            <w:r>
              <w:rPr>
                <w:rFonts w:hint="eastAsia" w:ascii="微软雅黑" w:hAnsi="微软雅黑" w:eastAsia="微软雅黑" w:cs="微软雅黑"/>
                <w:color w:val="auto"/>
                <w:sz w:val="24"/>
              </w:rPr>
              <w:t>日</w:t>
            </w:r>
            <w:r>
              <w:rPr>
                <w:rFonts w:hint="eastAsia" w:ascii="微软雅黑" w:hAnsi="微软雅黑" w:eastAsia="微软雅黑" w:cs="微软雅黑"/>
                <w:color w:val="auto"/>
                <w:sz w:val="24"/>
                <w:lang w:val="en-US" w:eastAsia="zh-CN"/>
              </w:rPr>
              <w:t>11</w:t>
            </w:r>
            <w:r>
              <w:rPr>
                <w:rFonts w:hint="eastAsia" w:ascii="微软雅黑" w:hAnsi="微软雅黑" w:eastAsia="微软雅黑" w:cs="微软雅黑"/>
                <w:color w:val="auto"/>
                <w:sz w:val="24"/>
              </w:rPr>
              <w:t>点</w:t>
            </w:r>
            <w:r>
              <w:rPr>
                <w:rFonts w:hint="eastAsia" w:ascii="微软雅黑" w:hAnsi="微软雅黑" w:eastAsia="微软雅黑" w:cs="微软雅黑"/>
                <w:color w:val="auto"/>
                <w:sz w:val="24"/>
                <w:lang w:val="en-US" w:eastAsia="zh-CN"/>
              </w:rPr>
              <w:t>00</w:t>
            </w:r>
            <w:r>
              <w:rPr>
                <w:rFonts w:hint="eastAsia" w:ascii="微软雅黑" w:hAnsi="微软雅黑" w:eastAsia="微软雅黑" w:cs="微软雅黑"/>
                <w:color w:val="auto"/>
                <w:sz w:val="24"/>
              </w:rPr>
              <w:t>分（北京时间）</w:t>
            </w:r>
          </w:p>
          <w:p w14:paraId="3B899283">
            <w:pPr>
              <w:pStyle w:val="7"/>
              <w:keepNext w:val="0"/>
              <w:keepLines w:val="0"/>
              <w:pageBreakBefore w:val="0"/>
              <w:kinsoku/>
              <w:wordWrap/>
              <w:overflowPunct/>
              <w:topLinePunct w:val="0"/>
              <w:bidi w:val="0"/>
              <w:spacing w:line="480" w:lineRule="exact"/>
              <w:ind w:left="0" w:leftChars="0" w:firstLine="0" w:firstLineChars="0"/>
              <w:rPr>
                <w:rFonts w:hint="eastAsia"/>
                <w:color w:val="auto"/>
                <w:lang w:val="en-US" w:eastAsia="zh-CN"/>
              </w:rPr>
            </w:pPr>
            <w:r>
              <w:rPr>
                <w:rFonts w:hint="eastAsia" w:ascii="微软雅黑" w:hAnsi="微软雅黑" w:eastAsia="微软雅黑" w:cs="微软雅黑"/>
                <w:color w:val="auto"/>
                <w:kern w:val="0"/>
                <w:sz w:val="24"/>
                <w:szCs w:val="24"/>
                <w:highlight w:val="none"/>
                <w:lang w:val="en-US" w:eastAsia="zh-CN" w:bidi="ar-SA"/>
              </w:rPr>
              <w:t>响应文件递交地点：政采云平台（https://www.zcygov.cn/） </w:t>
            </w:r>
          </w:p>
        </w:tc>
      </w:tr>
      <w:tr w14:paraId="54414CC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1370" w:type="dxa"/>
            <w:vAlign w:val="center"/>
          </w:tcPr>
          <w:p w14:paraId="16FD31DF">
            <w:pPr>
              <w:keepNext w:val="0"/>
              <w:keepLines w:val="0"/>
              <w:pageBreakBefore w:val="0"/>
              <w:kinsoku/>
              <w:wordWrap/>
              <w:overflowPunct/>
              <w:topLinePunct w:val="0"/>
              <w:bidi w:val="0"/>
              <w:snapToGrid w:val="0"/>
              <w:spacing w:line="480" w:lineRule="exact"/>
              <w:ind w:left="1080" w:leftChars="257" w:hanging="54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18.1</w:t>
            </w:r>
          </w:p>
        </w:tc>
        <w:tc>
          <w:tcPr>
            <w:tcW w:w="8140" w:type="dxa"/>
            <w:vAlign w:val="center"/>
          </w:tcPr>
          <w:p w14:paraId="3B1ACEE6">
            <w:pPr>
              <w:keepNext w:val="0"/>
              <w:keepLines w:val="0"/>
              <w:pageBreakBefore w:val="0"/>
              <w:kinsoku/>
              <w:wordWrap/>
              <w:overflowPunct/>
              <w:topLinePunct w:val="0"/>
              <w:bidi w:val="0"/>
              <w:snapToGrid w:val="0"/>
              <w:spacing w:line="480" w:lineRule="exact"/>
              <w:textAlignment w:val="baseline"/>
              <w:rPr>
                <w:rFonts w:hint="eastAsia" w:ascii="微软雅黑" w:hAnsi="微软雅黑" w:eastAsia="微软雅黑" w:cs="微软雅黑"/>
                <w:color w:val="auto"/>
                <w:kern w:val="0"/>
                <w:sz w:val="24"/>
                <w:szCs w:val="24"/>
                <w:highlight w:val="none"/>
                <w:lang w:val="en-US" w:eastAsia="zh-CN" w:bidi="ar-SA"/>
              </w:rPr>
            </w:pPr>
            <w:r>
              <w:rPr>
                <w:rFonts w:hint="eastAsia" w:ascii="微软雅黑" w:hAnsi="微软雅黑" w:eastAsia="微软雅黑" w:cs="微软雅黑"/>
                <w:color w:val="auto"/>
                <w:kern w:val="0"/>
                <w:sz w:val="24"/>
                <w:szCs w:val="24"/>
                <w:highlight w:val="none"/>
                <w:lang w:val="en-US" w:eastAsia="zh-CN" w:bidi="ar-SA"/>
              </w:rPr>
              <w:t>磋商开启时间：</w:t>
            </w:r>
            <w:r>
              <w:rPr>
                <w:rFonts w:hint="eastAsia" w:ascii="微软雅黑" w:hAnsi="微软雅黑" w:eastAsia="微软雅黑" w:cs="微软雅黑"/>
                <w:color w:val="auto"/>
                <w:sz w:val="24"/>
                <w:lang w:val="en-US" w:eastAsia="zh-CN"/>
              </w:rPr>
              <w:t>2025</w:t>
            </w:r>
            <w:r>
              <w:rPr>
                <w:rFonts w:hint="eastAsia" w:ascii="微软雅黑" w:hAnsi="微软雅黑" w:eastAsia="微软雅黑" w:cs="微软雅黑"/>
                <w:color w:val="auto"/>
                <w:sz w:val="24"/>
              </w:rPr>
              <w:t>年</w:t>
            </w:r>
            <w:r>
              <w:rPr>
                <w:rFonts w:hint="eastAsia" w:ascii="微软雅黑" w:hAnsi="微软雅黑" w:eastAsia="微软雅黑" w:cs="微软雅黑"/>
                <w:color w:val="auto"/>
                <w:sz w:val="24"/>
                <w:lang w:val="en-US" w:eastAsia="zh-CN"/>
              </w:rPr>
              <w:t>04</w:t>
            </w:r>
            <w:r>
              <w:rPr>
                <w:rFonts w:hint="eastAsia" w:ascii="微软雅黑" w:hAnsi="微软雅黑" w:eastAsia="微软雅黑" w:cs="微软雅黑"/>
                <w:color w:val="auto"/>
                <w:sz w:val="24"/>
              </w:rPr>
              <w:t>月</w:t>
            </w:r>
            <w:r>
              <w:rPr>
                <w:rFonts w:hint="eastAsia" w:ascii="微软雅黑" w:hAnsi="微软雅黑" w:eastAsia="微软雅黑" w:cs="微软雅黑"/>
                <w:color w:val="auto"/>
                <w:sz w:val="24"/>
                <w:lang w:val="en-US" w:eastAsia="zh-CN"/>
              </w:rPr>
              <w:t>11</w:t>
            </w:r>
            <w:r>
              <w:rPr>
                <w:rFonts w:hint="eastAsia" w:ascii="微软雅黑" w:hAnsi="微软雅黑" w:eastAsia="微软雅黑" w:cs="微软雅黑"/>
                <w:color w:val="auto"/>
                <w:sz w:val="24"/>
              </w:rPr>
              <w:t>日</w:t>
            </w:r>
            <w:r>
              <w:rPr>
                <w:rFonts w:hint="eastAsia" w:ascii="微软雅黑" w:hAnsi="微软雅黑" w:eastAsia="微软雅黑" w:cs="微软雅黑"/>
                <w:color w:val="auto"/>
                <w:sz w:val="24"/>
                <w:lang w:val="en-US" w:eastAsia="zh-CN"/>
              </w:rPr>
              <w:t>11</w:t>
            </w:r>
            <w:r>
              <w:rPr>
                <w:rFonts w:hint="eastAsia" w:ascii="微软雅黑" w:hAnsi="微软雅黑" w:eastAsia="微软雅黑" w:cs="微软雅黑"/>
                <w:color w:val="auto"/>
                <w:sz w:val="24"/>
              </w:rPr>
              <w:t>点</w:t>
            </w:r>
            <w:r>
              <w:rPr>
                <w:rFonts w:hint="eastAsia" w:ascii="微软雅黑" w:hAnsi="微软雅黑" w:eastAsia="微软雅黑" w:cs="微软雅黑"/>
                <w:color w:val="auto"/>
                <w:sz w:val="24"/>
                <w:lang w:val="en-US" w:eastAsia="zh-CN"/>
              </w:rPr>
              <w:t>00</w:t>
            </w:r>
            <w:r>
              <w:rPr>
                <w:rFonts w:hint="eastAsia" w:ascii="微软雅黑" w:hAnsi="微软雅黑" w:eastAsia="微软雅黑" w:cs="微软雅黑"/>
                <w:color w:val="auto"/>
                <w:sz w:val="24"/>
              </w:rPr>
              <w:t>分（北京时间）</w:t>
            </w:r>
          </w:p>
          <w:p w14:paraId="728BD1D8">
            <w:pPr>
              <w:keepNext w:val="0"/>
              <w:keepLines w:val="0"/>
              <w:pageBreakBefore w:val="0"/>
              <w:kinsoku/>
              <w:wordWrap/>
              <w:overflowPunct/>
              <w:topLinePunct w:val="0"/>
              <w:bidi w:val="0"/>
              <w:snapToGrid w:val="0"/>
              <w:spacing w:line="480" w:lineRule="exact"/>
              <w:textAlignment w:val="baseline"/>
              <w:rPr>
                <w:rFonts w:hint="eastAsia" w:ascii="微软雅黑" w:hAnsi="微软雅黑" w:eastAsia="微软雅黑" w:cs="微软雅黑"/>
                <w:color w:val="auto"/>
                <w:kern w:val="0"/>
                <w:sz w:val="24"/>
                <w:szCs w:val="24"/>
                <w:highlight w:val="none"/>
                <w:lang w:val="en-US" w:eastAsia="zh-CN" w:bidi="ar-SA"/>
              </w:rPr>
            </w:pPr>
            <w:r>
              <w:rPr>
                <w:rFonts w:hint="eastAsia" w:ascii="微软雅黑" w:hAnsi="微软雅黑" w:eastAsia="微软雅黑" w:cs="微软雅黑"/>
                <w:color w:val="auto"/>
                <w:kern w:val="0"/>
                <w:sz w:val="24"/>
                <w:szCs w:val="24"/>
                <w:highlight w:val="none"/>
                <w:lang w:val="en-US" w:eastAsia="zh-CN" w:bidi="ar-SA"/>
              </w:rPr>
              <w:t>磋商开启地点：政采云平台（https://www.zcygov.cn/） </w:t>
            </w:r>
          </w:p>
        </w:tc>
      </w:tr>
      <w:tr w14:paraId="5676E37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0" w:hRule="atLeast"/>
          <w:jc w:val="center"/>
        </w:trPr>
        <w:tc>
          <w:tcPr>
            <w:tcW w:w="1370" w:type="dxa"/>
            <w:vAlign w:val="center"/>
          </w:tcPr>
          <w:p w14:paraId="55F0BA2D">
            <w:pPr>
              <w:keepNext w:val="0"/>
              <w:keepLines w:val="0"/>
              <w:pageBreakBefore w:val="0"/>
              <w:kinsoku/>
              <w:wordWrap/>
              <w:overflowPunct/>
              <w:topLinePunct w:val="0"/>
              <w:bidi w:val="0"/>
              <w:snapToGrid w:val="0"/>
              <w:spacing w:line="480" w:lineRule="exact"/>
              <w:ind w:left="1080" w:leftChars="257" w:hanging="54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23.2</w:t>
            </w:r>
          </w:p>
        </w:tc>
        <w:tc>
          <w:tcPr>
            <w:tcW w:w="8140" w:type="dxa"/>
            <w:vAlign w:val="center"/>
          </w:tcPr>
          <w:p w14:paraId="186219A0">
            <w:pPr>
              <w:keepNext w:val="0"/>
              <w:keepLines w:val="0"/>
              <w:pageBreakBefore w:val="0"/>
              <w:kinsoku/>
              <w:wordWrap/>
              <w:overflowPunct/>
              <w:topLinePunct w:val="0"/>
              <w:bidi w:val="0"/>
              <w:snapToGrid w:val="0"/>
              <w:spacing w:line="480" w:lineRule="exact"/>
              <w:textAlignment w:val="baseline"/>
              <w:rPr>
                <w:rFonts w:hint="eastAsia" w:ascii="微软雅黑" w:hAnsi="微软雅黑" w:eastAsia="微软雅黑" w:cs="微软雅黑"/>
                <w:i/>
                <w:color w:val="auto"/>
                <w:sz w:val="24"/>
                <w:szCs w:val="24"/>
              </w:rPr>
            </w:pPr>
            <w:r>
              <w:rPr>
                <w:rFonts w:hint="eastAsia" w:ascii="微软雅黑" w:hAnsi="微软雅黑" w:eastAsia="微软雅黑" w:cs="微软雅黑"/>
                <w:color w:val="auto"/>
                <w:sz w:val="24"/>
                <w:szCs w:val="24"/>
              </w:rPr>
              <w:t>评审方法：</w:t>
            </w:r>
            <w:r>
              <w:rPr>
                <w:rFonts w:hint="eastAsia" w:ascii="微软雅黑" w:hAnsi="微软雅黑" w:eastAsia="微软雅黑" w:cs="微软雅黑"/>
                <w:color w:val="auto"/>
                <w:sz w:val="24"/>
                <w:szCs w:val="24"/>
                <w:u w:val="single" w:color="000000"/>
              </w:rPr>
              <w:t>　综合评分法　</w:t>
            </w:r>
            <w:r>
              <w:rPr>
                <w:rFonts w:hint="eastAsia" w:ascii="微软雅黑" w:hAnsi="微软雅黑" w:eastAsia="微软雅黑" w:cs="微软雅黑"/>
                <w:color w:val="auto"/>
                <w:sz w:val="24"/>
                <w:szCs w:val="24"/>
              </w:rPr>
              <w:t>　　　　　</w:t>
            </w:r>
          </w:p>
        </w:tc>
      </w:tr>
      <w:tr w14:paraId="63898AE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0" w:hRule="atLeast"/>
          <w:jc w:val="center"/>
        </w:trPr>
        <w:tc>
          <w:tcPr>
            <w:tcW w:w="1370" w:type="dxa"/>
            <w:vAlign w:val="center"/>
          </w:tcPr>
          <w:p w14:paraId="0E4973E6">
            <w:pPr>
              <w:keepNext w:val="0"/>
              <w:keepLines w:val="0"/>
              <w:pageBreakBefore w:val="0"/>
              <w:kinsoku/>
              <w:wordWrap/>
              <w:overflowPunct/>
              <w:topLinePunct w:val="0"/>
              <w:bidi w:val="0"/>
              <w:snapToGrid w:val="0"/>
              <w:spacing w:line="480" w:lineRule="exact"/>
              <w:ind w:left="1080" w:leftChars="257" w:hanging="54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27</w:t>
            </w:r>
          </w:p>
        </w:tc>
        <w:tc>
          <w:tcPr>
            <w:tcW w:w="8140" w:type="dxa"/>
            <w:vAlign w:val="center"/>
          </w:tcPr>
          <w:p w14:paraId="4222A112">
            <w:pPr>
              <w:keepNext w:val="0"/>
              <w:keepLines w:val="0"/>
              <w:pageBreakBefore w:val="0"/>
              <w:kinsoku/>
              <w:wordWrap/>
              <w:overflowPunct/>
              <w:topLinePunct w:val="0"/>
              <w:bidi w:val="0"/>
              <w:snapToGrid w:val="0"/>
              <w:spacing w:line="480" w:lineRule="exact"/>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推荐成交候选供应商的数量：</w:t>
            </w:r>
            <w:r>
              <w:rPr>
                <w:rFonts w:hint="eastAsia" w:ascii="微软雅黑" w:hAnsi="微软雅黑" w:eastAsia="微软雅黑" w:cs="微软雅黑"/>
                <w:color w:val="auto"/>
                <w:sz w:val="24"/>
                <w:szCs w:val="24"/>
                <w:u w:val="single" w:color="000000"/>
              </w:rPr>
              <w:t>　   3　　</w:t>
            </w:r>
          </w:p>
        </w:tc>
      </w:tr>
      <w:tr w14:paraId="2ACDBC0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1370" w:type="dxa"/>
            <w:vAlign w:val="center"/>
          </w:tcPr>
          <w:p w14:paraId="3CA5C043">
            <w:pPr>
              <w:keepNext w:val="0"/>
              <w:keepLines w:val="0"/>
              <w:pageBreakBefore w:val="0"/>
              <w:kinsoku/>
              <w:wordWrap/>
              <w:overflowPunct/>
              <w:topLinePunct w:val="0"/>
              <w:bidi w:val="0"/>
              <w:snapToGrid w:val="0"/>
              <w:spacing w:line="480" w:lineRule="exact"/>
              <w:ind w:left="1080" w:leftChars="257" w:hanging="54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27</w:t>
            </w:r>
          </w:p>
        </w:tc>
        <w:tc>
          <w:tcPr>
            <w:tcW w:w="8140" w:type="dxa"/>
            <w:vAlign w:val="center"/>
          </w:tcPr>
          <w:p w14:paraId="23370300">
            <w:pPr>
              <w:keepNext w:val="0"/>
              <w:keepLines w:val="0"/>
              <w:pageBreakBefore w:val="0"/>
              <w:kinsoku/>
              <w:wordWrap/>
              <w:overflowPunct/>
              <w:topLinePunct w:val="0"/>
              <w:bidi w:val="0"/>
              <w:snapToGrid w:val="0"/>
              <w:spacing w:line="480" w:lineRule="exact"/>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采购人是否委托评审委员会直接确定成交人：</w:t>
            </w:r>
            <w:r>
              <w:rPr>
                <w:rFonts w:hint="eastAsia" w:ascii="微软雅黑" w:hAnsi="微软雅黑" w:eastAsia="微软雅黑" w:cs="微软雅黑"/>
                <w:color w:val="auto"/>
                <w:sz w:val="24"/>
                <w:szCs w:val="24"/>
                <w:u w:val="single" w:color="000000"/>
              </w:rPr>
              <w:t xml:space="preserve">  </w:t>
            </w:r>
            <w:r>
              <w:rPr>
                <w:rFonts w:hint="eastAsia" w:ascii="微软雅黑" w:hAnsi="微软雅黑" w:eastAsia="微软雅黑" w:cs="微软雅黑"/>
                <w:color w:val="auto"/>
                <w:sz w:val="24"/>
                <w:szCs w:val="24"/>
                <w:u w:val="single" w:color="000000"/>
                <w:lang w:eastAsia="zh-CN"/>
              </w:rPr>
              <w:t>否</w:t>
            </w:r>
            <w:r>
              <w:rPr>
                <w:rFonts w:hint="eastAsia" w:ascii="微软雅黑" w:hAnsi="微软雅黑" w:eastAsia="微软雅黑" w:cs="微软雅黑"/>
                <w:color w:val="auto"/>
                <w:sz w:val="24"/>
                <w:szCs w:val="24"/>
                <w:u w:val="single" w:color="000000"/>
              </w:rPr>
              <w:t xml:space="preserve">  </w:t>
            </w:r>
            <w:r>
              <w:rPr>
                <w:rFonts w:hint="eastAsia" w:ascii="微软雅黑" w:hAnsi="微软雅黑" w:eastAsia="微软雅黑" w:cs="微软雅黑"/>
                <w:color w:val="auto"/>
                <w:sz w:val="24"/>
                <w:szCs w:val="24"/>
              </w:rPr>
              <w:t xml:space="preserve"> </w:t>
            </w:r>
          </w:p>
        </w:tc>
      </w:tr>
      <w:tr w14:paraId="6608891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0" w:hRule="atLeast"/>
          <w:jc w:val="center"/>
        </w:trPr>
        <w:tc>
          <w:tcPr>
            <w:tcW w:w="1370" w:type="dxa"/>
            <w:vAlign w:val="center"/>
          </w:tcPr>
          <w:p w14:paraId="4D8E5538">
            <w:pPr>
              <w:keepNext w:val="0"/>
              <w:keepLines w:val="0"/>
              <w:pageBreakBefore w:val="0"/>
              <w:kinsoku/>
              <w:wordWrap/>
              <w:overflowPunct/>
              <w:topLinePunct w:val="0"/>
              <w:bidi w:val="0"/>
              <w:snapToGrid w:val="0"/>
              <w:spacing w:line="480" w:lineRule="exact"/>
              <w:ind w:left="1080" w:leftChars="257" w:hanging="54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31</w:t>
            </w:r>
          </w:p>
        </w:tc>
        <w:tc>
          <w:tcPr>
            <w:tcW w:w="8140" w:type="dxa"/>
            <w:vAlign w:val="center"/>
          </w:tcPr>
          <w:p w14:paraId="4BE3744E">
            <w:pPr>
              <w:keepNext w:val="0"/>
              <w:keepLines w:val="0"/>
              <w:pageBreakBefore w:val="0"/>
              <w:kinsoku/>
              <w:wordWrap/>
              <w:overflowPunct/>
              <w:topLinePunct w:val="0"/>
              <w:bidi w:val="0"/>
              <w:snapToGrid w:val="0"/>
              <w:spacing w:line="480" w:lineRule="exact"/>
              <w:textAlignment w:val="baseline"/>
              <w:rPr>
                <w:rFonts w:hint="eastAsia" w:ascii="微软雅黑" w:hAnsi="微软雅黑" w:eastAsia="微软雅黑" w:cs="微软雅黑"/>
                <w:color w:val="auto"/>
                <w:sz w:val="24"/>
                <w:szCs w:val="24"/>
                <w:u w:val="single" w:color="000000"/>
                <w:lang w:eastAsia="zh-CN"/>
              </w:rPr>
            </w:pPr>
            <w:r>
              <w:rPr>
                <w:rFonts w:hint="eastAsia" w:ascii="微软雅黑" w:hAnsi="微软雅黑" w:eastAsia="微软雅黑" w:cs="微软雅黑"/>
                <w:color w:val="auto"/>
                <w:sz w:val="24"/>
                <w:szCs w:val="24"/>
              </w:rPr>
              <w:t>履约保证金金额：合同总价的</w:t>
            </w:r>
            <w:r>
              <w:rPr>
                <w:rFonts w:hint="eastAsia" w:ascii="微软雅黑" w:hAnsi="微软雅黑" w:eastAsia="微软雅黑" w:cs="微软雅黑"/>
                <w:color w:val="auto"/>
                <w:sz w:val="24"/>
                <w:szCs w:val="24"/>
                <w:u w:val="single" w:color="000000"/>
              </w:rPr>
              <w:t>　</w:t>
            </w:r>
            <w:r>
              <w:rPr>
                <w:rFonts w:hint="eastAsia" w:ascii="微软雅黑" w:hAnsi="微软雅黑" w:eastAsia="微软雅黑" w:cs="微软雅黑"/>
                <w:color w:val="auto"/>
                <w:sz w:val="24"/>
                <w:szCs w:val="24"/>
                <w:u w:val="single" w:color="000000"/>
                <w:lang w:val="en-US" w:eastAsia="zh-CN"/>
              </w:rPr>
              <w:t>5</w:t>
            </w:r>
            <w:r>
              <w:rPr>
                <w:rFonts w:hint="eastAsia" w:ascii="微软雅黑" w:hAnsi="微软雅黑" w:eastAsia="微软雅黑" w:cs="微软雅黑"/>
                <w:color w:val="auto"/>
                <w:sz w:val="24"/>
                <w:szCs w:val="24"/>
                <w:u w:val="single" w:color="000000"/>
              </w:rPr>
              <w:t>%　</w:t>
            </w:r>
            <w:r>
              <w:rPr>
                <w:rFonts w:hint="eastAsia" w:ascii="微软雅黑" w:hAnsi="微软雅黑" w:eastAsia="微软雅黑" w:cs="微软雅黑"/>
                <w:color w:val="auto"/>
                <w:sz w:val="24"/>
                <w:szCs w:val="24"/>
                <w:u w:val="single" w:color="000000"/>
                <w:lang w:eastAsia="zh-CN"/>
              </w:rPr>
              <w:t>（具体以合同签订为准）</w:t>
            </w:r>
          </w:p>
          <w:p w14:paraId="56360C1A">
            <w:pPr>
              <w:keepNext w:val="0"/>
              <w:keepLines w:val="0"/>
              <w:pageBreakBefore w:val="0"/>
              <w:kinsoku/>
              <w:wordWrap/>
              <w:overflowPunct/>
              <w:topLinePunct w:val="0"/>
              <w:bidi w:val="0"/>
              <w:snapToGrid w:val="0"/>
              <w:spacing w:line="480" w:lineRule="exact"/>
              <w:textAlignment w:val="baseline"/>
              <w:rPr>
                <w:rFonts w:hint="eastAsia" w:ascii="微软雅黑" w:hAnsi="微软雅黑" w:eastAsia="微软雅黑" w:cs="微软雅黑"/>
                <w:color w:val="auto"/>
                <w:sz w:val="24"/>
                <w:szCs w:val="24"/>
                <w:u w:val="single" w:color="000000"/>
              </w:rPr>
            </w:pPr>
            <w:r>
              <w:rPr>
                <w:rFonts w:hint="eastAsia" w:ascii="微软雅黑" w:hAnsi="微软雅黑" w:eastAsia="微软雅黑" w:cs="微软雅黑"/>
                <w:color w:val="auto"/>
                <w:sz w:val="24"/>
                <w:szCs w:val="24"/>
              </w:rPr>
              <w:t xml:space="preserve">履约保证金形式：☑保函  ☑电汇  </w:t>
            </w:r>
            <w:r>
              <w:rPr>
                <w:rFonts w:hint="eastAsia" w:ascii="微软雅黑" w:hAnsi="微软雅黑" w:eastAsia="微软雅黑" w:cs="微软雅黑"/>
                <w:color w:val="auto"/>
                <w:sz w:val="24"/>
                <w:szCs w:val="24"/>
                <w:lang w:eastAsia="zh-CN"/>
              </w:rPr>
              <w:t>☑</w:t>
            </w:r>
            <w:r>
              <w:rPr>
                <w:rFonts w:hint="eastAsia" w:ascii="微软雅黑" w:hAnsi="微软雅黑" w:eastAsia="微软雅黑" w:cs="微软雅黑"/>
                <w:color w:val="auto"/>
                <w:sz w:val="24"/>
                <w:szCs w:val="24"/>
              </w:rPr>
              <w:t xml:space="preserve">支票   ☑对公转账 </w:t>
            </w:r>
          </w:p>
          <w:p w14:paraId="5D45E121">
            <w:pPr>
              <w:keepNext w:val="0"/>
              <w:keepLines w:val="0"/>
              <w:pageBreakBefore w:val="0"/>
              <w:kinsoku/>
              <w:wordWrap/>
              <w:overflowPunct/>
              <w:topLinePunct w:val="0"/>
              <w:bidi w:val="0"/>
              <w:snapToGrid w:val="0"/>
              <w:spacing w:line="480" w:lineRule="exact"/>
              <w:textAlignment w:val="baseline"/>
              <w:rPr>
                <w:rFonts w:hint="default" w:ascii="微软雅黑" w:hAnsi="微软雅黑" w:eastAsia="微软雅黑" w:cs="微软雅黑"/>
                <w:color w:val="auto"/>
                <w:sz w:val="24"/>
                <w:szCs w:val="24"/>
                <w:u w:val="single" w:color="000000"/>
                <w:lang w:val="en-US" w:eastAsia="zh-CN"/>
              </w:rPr>
            </w:pPr>
            <w:r>
              <w:rPr>
                <w:rFonts w:hint="eastAsia" w:ascii="微软雅黑" w:hAnsi="微软雅黑" w:eastAsia="微软雅黑" w:cs="微软雅黑"/>
                <w:color w:val="auto"/>
                <w:sz w:val="24"/>
                <w:szCs w:val="24"/>
                <w:u w:val="single" w:color="000000"/>
              </w:rPr>
              <w:t>提交履约保证金的时间：签订合同</w:t>
            </w:r>
            <w:r>
              <w:rPr>
                <w:rFonts w:hint="eastAsia" w:ascii="微软雅黑" w:hAnsi="微软雅黑" w:eastAsia="微软雅黑" w:cs="微软雅黑"/>
                <w:color w:val="auto"/>
                <w:sz w:val="24"/>
                <w:szCs w:val="24"/>
                <w:u w:val="single" w:color="000000"/>
                <w:lang w:val="en-US" w:eastAsia="zh-CN"/>
              </w:rPr>
              <w:t>后</w:t>
            </w:r>
            <w:r>
              <w:rPr>
                <w:rFonts w:hint="eastAsia" w:ascii="微软雅黑" w:hAnsi="微软雅黑" w:eastAsia="微软雅黑" w:cs="微软雅黑"/>
                <w:color w:val="auto"/>
                <w:sz w:val="24"/>
                <w:szCs w:val="24"/>
                <w:u w:val="single" w:color="000000"/>
              </w:rPr>
              <w:t>2</w:t>
            </w:r>
            <w:r>
              <w:rPr>
                <w:rFonts w:hint="eastAsia" w:ascii="微软雅黑" w:hAnsi="微软雅黑" w:eastAsia="微软雅黑" w:cs="微软雅黑"/>
                <w:color w:val="auto"/>
                <w:sz w:val="24"/>
                <w:szCs w:val="24"/>
                <w:u w:val="single" w:color="000000"/>
                <w:lang w:val="en-US" w:eastAsia="zh-CN"/>
              </w:rPr>
              <w:t>个工作日</w:t>
            </w:r>
          </w:p>
          <w:p w14:paraId="5ED5AD68">
            <w:pPr>
              <w:keepNext w:val="0"/>
              <w:keepLines w:val="0"/>
              <w:pageBreakBefore w:val="0"/>
              <w:kinsoku/>
              <w:wordWrap/>
              <w:overflowPunct/>
              <w:topLinePunct w:val="0"/>
              <w:bidi w:val="0"/>
              <w:snapToGrid w:val="0"/>
              <w:spacing w:line="480" w:lineRule="exact"/>
              <w:textAlignment w:val="baseline"/>
              <w:rPr>
                <w:rFonts w:hint="eastAsia"/>
                <w:color w:val="auto"/>
              </w:rPr>
            </w:pPr>
            <w:r>
              <w:rPr>
                <w:rFonts w:hint="eastAsia" w:ascii="微软雅黑" w:hAnsi="微软雅黑" w:eastAsia="微软雅黑" w:cs="微软雅黑"/>
                <w:color w:val="auto"/>
                <w:sz w:val="24"/>
                <w:szCs w:val="24"/>
                <w:u w:val="single" w:color="000000"/>
                <w:lang w:val="en-US" w:eastAsia="zh-CN"/>
              </w:rPr>
              <w:t>退还时间：待项目验收合格无质量问题后退还。</w:t>
            </w:r>
          </w:p>
        </w:tc>
      </w:tr>
      <w:tr w14:paraId="219BA19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jc w:val="center"/>
        </w:trPr>
        <w:tc>
          <w:tcPr>
            <w:tcW w:w="1370" w:type="dxa"/>
            <w:vAlign w:val="center"/>
          </w:tcPr>
          <w:p w14:paraId="783C0586">
            <w:pPr>
              <w:keepNext w:val="0"/>
              <w:keepLines w:val="0"/>
              <w:pageBreakBefore w:val="0"/>
              <w:kinsoku/>
              <w:wordWrap/>
              <w:overflowPunct/>
              <w:topLinePunct w:val="0"/>
              <w:bidi w:val="0"/>
              <w:snapToGrid w:val="0"/>
              <w:spacing w:line="480" w:lineRule="exact"/>
              <w:ind w:left="1080" w:leftChars="257" w:hanging="540"/>
              <w:textAlignment w:val="baseline"/>
              <w:rPr>
                <w:rFonts w:hint="default" w:ascii="微软雅黑" w:hAnsi="微软雅黑" w:eastAsia="微软雅黑" w:cs="微软雅黑"/>
                <w:color w:val="auto"/>
                <w:sz w:val="24"/>
                <w:szCs w:val="24"/>
                <w:lang w:val="en-US" w:eastAsia="zh-CN"/>
              </w:rPr>
            </w:pPr>
            <w:r>
              <w:rPr>
                <w:rFonts w:hint="eastAsia" w:ascii="微软雅黑" w:hAnsi="微软雅黑" w:eastAsia="微软雅黑" w:cs="微软雅黑"/>
                <w:color w:val="auto"/>
                <w:sz w:val="24"/>
                <w:szCs w:val="24"/>
                <w:lang w:val="en-US" w:eastAsia="zh-CN"/>
              </w:rPr>
              <w:t>32</w:t>
            </w:r>
          </w:p>
        </w:tc>
        <w:tc>
          <w:tcPr>
            <w:tcW w:w="8140" w:type="dxa"/>
            <w:vAlign w:val="center"/>
          </w:tcPr>
          <w:p w14:paraId="3203D00F">
            <w:pPr>
              <w:keepNext w:val="0"/>
              <w:keepLines w:val="0"/>
              <w:pageBreakBefore w:val="0"/>
              <w:kinsoku/>
              <w:wordWrap/>
              <w:overflowPunct/>
              <w:topLinePunct w:val="0"/>
              <w:bidi w:val="0"/>
              <w:snapToGrid w:val="0"/>
              <w:spacing w:line="480" w:lineRule="exact"/>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成交服务费：收费金额按照</w:t>
            </w:r>
            <w:r>
              <w:rPr>
                <w:rFonts w:hint="eastAsia" w:ascii="微软雅黑" w:hAnsi="微软雅黑" w:eastAsia="微软雅黑" w:cs="微软雅黑"/>
                <w:color w:val="auto"/>
                <w:sz w:val="24"/>
                <w:szCs w:val="24"/>
                <w:lang w:eastAsia="zh-CN"/>
              </w:rPr>
              <w:t>成交</w:t>
            </w:r>
            <w:r>
              <w:rPr>
                <w:rFonts w:hint="eastAsia" w:ascii="微软雅黑" w:hAnsi="微软雅黑" w:eastAsia="微软雅黑" w:cs="微软雅黑"/>
                <w:color w:val="auto"/>
                <w:sz w:val="24"/>
                <w:szCs w:val="24"/>
              </w:rPr>
              <w:t>金额为标准计取，根据发改委价格[2015]299文件：本项目服务费按照差额定律累进计费方式计算后下浮15%收取。标准如下：</w:t>
            </w:r>
          </w:p>
          <w:p w14:paraId="2FAF2BB0">
            <w:pPr>
              <w:keepNext w:val="0"/>
              <w:keepLines w:val="0"/>
              <w:pageBreakBefore w:val="0"/>
              <w:kinsoku/>
              <w:wordWrap/>
              <w:overflowPunct/>
              <w:topLinePunct w:val="0"/>
              <w:bidi w:val="0"/>
              <w:snapToGrid w:val="0"/>
              <w:spacing w:line="480" w:lineRule="exact"/>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lang w:eastAsia="zh-CN"/>
              </w:rPr>
              <w:t>成交</w:t>
            </w:r>
            <w:r>
              <w:rPr>
                <w:rFonts w:hint="eastAsia" w:ascii="微软雅黑" w:hAnsi="微软雅黑" w:eastAsia="微软雅黑" w:cs="微软雅黑"/>
                <w:color w:val="auto"/>
                <w:sz w:val="24"/>
                <w:szCs w:val="24"/>
              </w:rPr>
              <w:t>金额100万元以下的部分,服务类采购费率1.50%,</w:t>
            </w:r>
          </w:p>
          <w:p w14:paraId="63767B3B">
            <w:pPr>
              <w:keepNext w:val="0"/>
              <w:keepLines w:val="0"/>
              <w:pageBreakBefore w:val="0"/>
              <w:kinsoku/>
              <w:wordWrap/>
              <w:overflowPunct/>
              <w:topLinePunct w:val="0"/>
              <w:bidi w:val="0"/>
              <w:snapToGrid w:val="0"/>
              <w:spacing w:line="480" w:lineRule="exact"/>
              <w:textAlignment w:val="baseline"/>
              <w:rPr>
                <w:rFonts w:hint="eastAsia" w:ascii="微软雅黑" w:hAnsi="微软雅黑" w:eastAsia="微软雅黑" w:cs="微软雅黑"/>
                <w:color w:val="auto"/>
                <w:sz w:val="24"/>
                <w:szCs w:val="24"/>
                <w:lang w:eastAsia="zh-CN"/>
              </w:rPr>
            </w:pPr>
            <w:r>
              <w:rPr>
                <w:rFonts w:hint="eastAsia" w:ascii="微软雅黑" w:hAnsi="微软雅黑" w:eastAsia="微软雅黑" w:cs="微软雅黑"/>
                <w:color w:val="auto"/>
                <w:sz w:val="24"/>
                <w:szCs w:val="24"/>
                <w:lang w:eastAsia="zh-CN"/>
              </w:rPr>
              <w:t>成交</w:t>
            </w:r>
            <w:r>
              <w:rPr>
                <w:rFonts w:hint="eastAsia" w:ascii="微软雅黑" w:hAnsi="微软雅黑" w:eastAsia="微软雅黑" w:cs="微软雅黑"/>
                <w:color w:val="auto"/>
                <w:sz w:val="24"/>
                <w:szCs w:val="24"/>
              </w:rPr>
              <w:t>金额100万元至500万元的部分,服务类采购费率0.8%,</w:t>
            </w:r>
            <w:r>
              <w:rPr>
                <w:rFonts w:hint="eastAsia" w:ascii="微软雅黑" w:hAnsi="微软雅黑" w:eastAsia="微软雅黑" w:cs="微软雅黑"/>
                <w:color w:val="auto"/>
                <w:sz w:val="24"/>
                <w:szCs w:val="24"/>
                <w:lang w:eastAsia="zh-CN"/>
              </w:rPr>
              <w:t>（成交供应商支付）</w:t>
            </w:r>
          </w:p>
          <w:p w14:paraId="0534E3E2">
            <w:pPr>
              <w:keepNext w:val="0"/>
              <w:keepLines w:val="0"/>
              <w:pageBreakBefore w:val="0"/>
              <w:kinsoku/>
              <w:wordWrap/>
              <w:overflowPunct/>
              <w:topLinePunct w:val="0"/>
              <w:bidi w:val="0"/>
              <w:snapToGrid w:val="0"/>
              <w:spacing w:line="480" w:lineRule="exact"/>
              <w:textAlignment w:val="baseline"/>
              <w:rPr>
                <w:rFonts w:hint="eastAsia" w:ascii="微软雅黑" w:hAnsi="微软雅黑" w:eastAsia="微软雅黑" w:cs="微软雅黑"/>
                <w:color w:val="auto"/>
                <w:sz w:val="24"/>
                <w:szCs w:val="24"/>
                <w:lang w:val="en-US" w:eastAsia="zh-CN"/>
              </w:rPr>
            </w:pPr>
            <w:r>
              <w:rPr>
                <w:rFonts w:hint="eastAsia" w:ascii="微软雅黑" w:hAnsi="微软雅黑" w:eastAsia="微软雅黑" w:cs="微软雅黑"/>
                <w:color w:val="auto"/>
                <w:sz w:val="24"/>
                <w:szCs w:val="24"/>
              </w:rPr>
              <w:t>支付形式：</w:t>
            </w:r>
            <w:r>
              <w:rPr>
                <w:rFonts w:hint="eastAsia" w:ascii="微软雅黑" w:hAnsi="微软雅黑" w:eastAsia="微软雅黑" w:cs="微软雅黑"/>
                <w:color w:val="auto"/>
                <w:sz w:val="24"/>
                <w:szCs w:val="24"/>
                <w:u w:val="single" w:color="000000"/>
              </w:rPr>
              <w:t xml:space="preserve"> 对公转账  </w:t>
            </w:r>
            <w:r>
              <w:rPr>
                <w:rFonts w:hint="eastAsia" w:ascii="微软雅黑" w:hAnsi="微软雅黑" w:eastAsia="微软雅黑" w:cs="微软雅黑"/>
                <w:color w:val="auto"/>
                <w:sz w:val="24"/>
                <w:szCs w:val="24"/>
                <w:u w:val="single" w:color="000000"/>
                <w:lang w:val="en-US" w:eastAsia="zh-CN"/>
              </w:rPr>
              <w:t xml:space="preserve"> </w:t>
            </w:r>
          </w:p>
          <w:p w14:paraId="02A5FC2F">
            <w:pPr>
              <w:keepNext w:val="0"/>
              <w:keepLines w:val="0"/>
              <w:pageBreakBefore w:val="0"/>
              <w:kinsoku/>
              <w:wordWrap/>
              <w:overflowPunct/>
              <w:topLinePunct w:val="0"/>
              <w:bidi w:val="0"/>
              <w:snapToGrid w:val="0"/>
              <w:spacing w:line="480" w:lineRule="exact"/>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支付时间：</w:t>
            </w:r>
            <w:r>
              <w:rPr>
                <w:rFonts w:hint="eastAsia" w:ascii="微软雅黑" w:hAnsi="微软雅黑" w:eastAsia="微软雅黑" w:cs="微软雅黑"/>
                <w:color w:val="auto"/>
                <w:sz w:val="24"/>
                <w:szCs w:val="24"/>
                <w:u w:val="single" w:color="000000"/>
              </w:rPr>
              <w:t xml:space="preserve"> 领取成交通知书时 </w:t>
            </w:r>
          </w:p>
        </w:tc>
      </w:tr>
      <w:tr w14:paraId="4800DE4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jc w:val="center"/>
        </w:trPr>
        <w:tc>
          <w:tcPr>
            <w:tcW w:w="1370" w:type="dxa"/>
            <w:vAlign w:val="center"/>
          </w:tcPr>
          <w:p w14:paraId="7E5E879C">
            <w:pPr>
              <w:keepNext w:val="0"/>
              <w:keepLines w:val="0"/>
              <w:pageBreakBefore w:val="0"/>
              <w:kinsoku/>
              <w:wordWrap/>
              <w:overflowPunct/>
              <w:topLinePunct w:val="0"/>
              <w:bidi w:val="0"/>
              <w:snapToGrid w:val="0"/>
              <w:spacing w:line="480" w:lineRule="exact"/>
              <w:ind w:left="1080" w:leftChars="257" w:hanging="54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33.1</w:t>
            </w:r>
          </w:p>
        </w:tc>
        <w:tc>
          <w:tcPr>
            <w:tcW w:w="8140" w:type="dxa"/>
            <w:vAlign w:val="center"/>
          </w:tcPr>
          <w:p w14:paraId="5B26A0D3">
            <w:pPr>
              <w:keepNext w:val="0"/>
              <w:keepLines w:val="0"/>
              <w:pageBreakBefore w:val="0"/>
              <w:kinsoku/>
              <w:wordWrap/>
              <w:overflowPunct/>
              <w:topLinePunct w:val="0"/>
              <w:bidi w:val="0"/>
              <w:snapToGrid w:val="0"/>
              <w:spacing w:line="480" w:lineRule="exact"/>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本项目是否属于信用担保试点范围：</w:t>
            </w:r>
            <w:r>
              <w:rPr>
                <w:rFonts w:hint="eastAsia" w:ascii="微软雅黑" w:hAnsi="微软雅黑" w:eastAsia="微软雅黑" w:cs="微软雅黑"/>
                <w:color w:val="auto"/>
                <w:sz w:val="24"/>
                <w:szCs w:val="24"/>
                <w:u w:val="single" w:color="000000"/>
              </w:rPr>
              <w:t xml:space="preserve">  </w:t>
            </w:r>
            <w:r>
              <w:rPr>
                <w:rFonts w:hint="eastAsia" w:ascii="微软雅黑" w:hAnsi="微软雅黑" w:eastAsia="微软雅黑" w:cs="微软雅黑"/>
                <w:color w:val="auto"/>
                <w:sz w:val="24"/>
                <w:szCs w:val="24"/>
                <w:u w:val="single" w:color="000000"/>
                <w:lang w:val="en-US" w:eastAsia="zh-CN"/>
              </w:rPr>
              <w:t>是</w:t>
            </w:r>
            <w:r>
              <w:rPr>
                <w:rFonts w:hint="eastAsia" w:ascii="微软雅黑" w:hAnsi="微软雅黑" w:eastAsia="微软雅黑" w:cs="微软雅黑"/>
                <w:color w:val="auto"/>
                <w:sz w:val="24"/>
                <w:szCs w:val="24"/>
                <w:u w:val="single" w:color="000000"/>
              </w:rPr>
              <w:t xml:space="preserve"> </w:t>
            </w:r>
            <w:r>
              <w:rPr>
                <w:rFonts w:hint="eastAsia" w:ascii="微软雅黑" w:hAnsi="微软雅黑" w:eastAsia="微软雅黑" w:cs="微软雅黑"/>
                <w:color w:val="auto"/>
                <w:sz w:val="24"/>
                <w:szCs w:val="24"/>
              </w:rPr>
              <w:t xml:space="preserve"> </w:t>
            </w:r>
          </w:p>
        </w:tc>
      </w:tr>
      <w:tr w14:paraId="704C8E8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jc w:val="center"/>
        </w:trPr>
        <w:tc>
          <w:tcPr>
            <w:tcW w:w="9510" w:type="dxa"/>
            <w:gridSpan w:val="2"/>
            <w:vAlign w:val="center"/>
          </w:tcPr>
          <w:p w14:paraId="758864E6">
            <w:pPr>
              <w:keepNext w:val="0"/>
              <w:keepLines w:val="0"/>
              <w:pageBreakBefore w:val="0"/>
              <w:kinsoku/>
              <w:wordWrap/>
              <w:overflowPunct/>
              <w:topLinePunct w:val="0"/>
              <w:bidi w:val="0"/>
              <w:snapToGrid w:val="0"/>
              <w:spacing w:line="480" w:lineRule="exact"/>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sz w:val="24"/>
                <w:szCs w:val="24"/>
              </w:rPr>
              <w:t>适用于本投标人须知的额外增加的变动：</w:t>
            </w:r>
          </w:p>
        </w:tc>
      </w:tr>
      <w:tr w14:paraId="4808B34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jc w:val="center"/>
        </w:trPr>
        <w:tc>
          <w:tcPr>
            <w:tcW w:w="1370" w:type="dxa"/>
            <w:vAlign w:val="center"/>
          </w:tcPr>
          <w:p w14:paraId="04010859">
            <w:pPr>
              <w:keepNext w:val="0"/>
              <w:keepLines w:val="0"/>
              <w:pageBreakBefore w:val="0"/>
              <w:kinsoku/>
              <w:wordWrap/>
              <w:overflowPunct/>
              <w:topLinePunct w:val="0"/>
              <w:bidi w:val="0"/>
              <w:spacing w:line="480" w:lineRule="exact"/>
              <w:rPr>
                <w:rFonts w:hint="eastAsia" w:ascii="微软雅黑" w:hAnsi="微软雅黑" w:eastAsia="微软雅黑" w:cs="微软雅黑"/>
                <w:color w:val="auto"/>
                <w:sz w:val="24"/>
                <w:szCs w:val="24"/>
              </w:rPr>
            </w:pPr>
            <w:r>
              <w:rPr>
                <w:rFonts w:hint="eastAsia" w:ascii="微软雅黑" w:hAnsi="微软雅黑" w:eastAsia="微软雅黑" w:cs="微软雅黑"/>
                <w:sz w:val="22"/>
                <w:szCs w:val="22"/>
              </w:rPr>
              <w:t>1</w:t>
            </w:r>
          </w:p>
        </w:tc>
        <w:tc>
          <w:tcPr>
            <w:tcW w:w="8140" w:type="dxa"/>
            <w:vAlign w:val="center"/>
          </w:tcPr>
          <w:p w14:paraId="038C4372">
            <w:pPr>
              <w:keepNext w:val="0"/>
              <w:keepLines w:val="0"/>
              <w:pageBreakBefore w:val="0"/>
              <w:kinsoku/>
              <w:wordWrap/>
              <w:overflowPunct/>
              <w:topLinePunct w:val="0"/>
              <w:bidi w:val="0"/>
              <w:spacing w:line="480" w:lineRule="exact"/>
              <w:rPr>
                <w:rFonts w:hint="eastAsia" w:ascii="微软雅黑" w:hAnsi="微软雅黑" w:eastAsia="微软雅黑" w:cs="微软雅黑"/>
                <w:color w:val="auto"/>
                <w:sz w:val="24"/>
                <w:szCs w:val="24"/>
              </w:rPr>
            </w:pPr>
            <w:r>
              <w:rPr>
                <w:rFonts w:hint="eastAsia" w:ascii="微软雅黑" w:hAnsi="微软雅黑" w:eastAsia="微软雅黑" w:cs="微软雅黑"/>
                <w:sz w:val="24"/>
                <w:szCs w:val="24"/>
              </w:rPr>
              <w:t>本项目所属行业：</w:t>
            </w:r>
            <w:r>
              <w:rPr>
                <w:rFonts w:hint="eastAsia" w:ascii="微软雅黑" w:hAnsi="微软雅黑" w:eastAsia="微软雅黑" w:cs="微软雅黑"/>
                <w:b/>
                <w:bCs/>
                <w:sz w:val="24"/>
                <w:szCs w:val="24"/>
                <w:u w:val="single"/>
                <w:lang w:eastAsia="zh-CN"/>
              </w:rPr>
              <w:t>其他为列明行业</w:t>
            </w:r>
          </w:p>
        </w:tc>
      </w:tr>
      <w:tr w14:paraId="4F9D349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jc w:val="center"/>
        </w:trPr>
        <w:tc>
          <w:tcPr>
            <w:tcW w:w="1370" w:type="dxa"/>
            <w:vAlign w:val="center"/>
          </w:tcPr>
          <w:p w14:paraId="1C208D2F">
            <w:pPr>
              <w:keepNext w:val="0"/>
              <w:keepLines w:val="0"/>
              <w:pageBreakBefore w:val="0"/>
              <w:kinsoku/>
              <w:wordWrap/>
              <w:overflowPunct/>
              <w:topLinePunct w:val="0"/>
              <w:bidi w:val="0"/>
              <w:spacing w:line="480" w:lineRule="exact"/>
              <w:rPr>
                <w:rFonts w:hint="eastAsia" w:ascii="微软雅黑" w:hAnsi="微软雅黑" w:eastAsia="微软雅黑" w:cs="微软雅黑"/>
                <w:color w:val="auto"/>
                <w:sz w:val="24"/>
                <w:szCs w:val="24"/>
              </w:rPr>
            </w:pPr>
            <w:r>
              <w:rPr>
                <w:rFonts w:hint="eastAsia" w:ascii="微软雅黑" w:hAnsi="微软雅黑" w:eastAsia="微软雅黑" w:cs="微软雅黑"/>
                <w:sz w:val="22"/>
                <w:szCs w:val="22"/>
              </w:rPr>
              <w:t>2</w:t>
            </w:r>
          </w:p>
        </w:tc>
        <w:tc>
          <w:tcPr>
            <w:tcW w:w="8140" w:type="dxa"/>
            <w:vAlign w:val="center"/>
          </w:tcPr>
          <w:p w14:paraId="7584E6BD">
            <w:pPr>
              <w:keepNext w:val="0"/>
              <w:keepLines w:val="0"/>
              <w:pageBreakBefore w:val="0"/>
              <w:kinsoku/>
              <w:wordWrap/>
              <w:overflowPunct/>
              <w:topLinePunct w:val="0"/>
              <w:bidi w:val="0"/>
              <w:spacing w:line="480" w:lineRule="exact"/>
              <w:rPr>
                <w:rFonts w:hint="eastAsia" w:ascii="微软雅黑" w:hAnsi="微软雅黑" w:eastAsia="微软雅黑" w:cs="微软雅黑"/>
                <w:color w:val="auto"/>
                <w:sz w:val="24"/>
                <w:szCs w:val="24"/>
              </w:rPr>
            </w:pPr>
            <w:r>
              <w:rPr>
                <w:rFonts w:hint="eastAsia" w:ascii="微软雅黑" w:hAnsi="微软雅黑" w:eastAsia="微软雅黑" w:cs="微软雅黑"/>
                <w:sz w:val="24"/>
                <w:szCs w:val="24"/>
              </w:rPr>
              <w:t>为保证本项目服务质量，最低报价不作为中标的唯一依据。</w:t>
            </w:r>
          </w:p>
        </w:tc>
      </w:tr>
      <w:tr w14:paraId="7113ACA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jc w:val="center"/>
        </w:trPr>
        <w:tc>
          <w:tcPr>
            <w:tcW w:w="1370" w:type="dxa"/>
            <w:vAlign w:val="center"/>
          </w:tcPr>
          <w:p w14:paraId="2D61339C">
            <w:pPr>
              <w:keepNext w:val="0"/>
              <w:keepLines w:val="0"/>
              <w:pageBreakBefore w:val="0"/>
              <w:kinsoku/>
              <w:wordWrap/>
              <w:overflowPunct/>
              <w:topLinePunct w:val="0"/>
              <w:bidi w:val="0"/>
              <w:spacing w:line="480" w:lineRule="exact"/>
              <w:rPr>
                <w:rFonts w:hint="eastAsia" w:ascii="微软雅黑" w:hAnsi="微软雅黑" w:eastAsia="微软雅黑" w:cs="微软雅黑"/>
                <w:b/>
                <w:bCs/>
                <w:sz w:val="22"/>
                <w:szCs w:val="22"/>
                <w:lang w:val="en-US" w:eastAsia="zh-CN"/>
              </w:rPr>
            </w:pPr>
            <w:r>
              <w:rPr>
                <w:rFonts w:hint="eastAsia" w:ascii="微软雅黑" w:hAnsi="微软雅黑" w:eastAsia="微软雅黑" w:cs="微软雅黑"/>
                <w:b/>
                <w:bCs/>
                <w:sz w:val="22"/>
                <w:szCs w:val="22"/>
                <w:lang w:val="en-US" w:eastAsia="zh-CN"/>
              </w:rPr>
              <w:t>3</w:t>
            </w:r>
          </w:p>
        </w:tc>
        <w:tc>
          <w:tcPr>
            <w:tcW w:w="8140" w:type="dxa"/>
            <w:vAlign w:val="center"/>
          </w:tcPr>
          <w:p w14:paraId="790B12A5">
            <w:pPr>
              <w:keepNext w:val="0"/>
              <w:keepLines w:val="0"/>
              <w:pageBreakBefore w:val="0"/>
              <w:kinsoku/>
              <w:wordWrap/>
              <w:overflowPunct/>
              <w:topLinePunct w:val="0"/>
              <w:bidi w:val="0"/>
              <w:spacing w:line="480" w:lineRule="exact"/>
              <w:rPr>
                <w:rFonts w:hint="eastAsia" w:ascii="微软雅黑" w:hAnsi="微软雅黑" w:eastAsia="微软雅黑" w:cs="微软雅黑"/>
                <w:b/>
                <w:bCs/>
                <w:sz w:val="24"/>
                <w:szCs w:val="24"/>
                <w:lang w:eastAsia="zh-CN"/>
              </w:rPr>
            </w:pPr>
            <w:r>
              <w:rPr>
                <w:rFonts w:hint="eastAsia" w:ascii="微软雅黑" w:hAnsi="微软雅黑" w:eastAsia="微软雅黑" w:cs="微软雅黑"/>
                <w:b/>
                <w:bCs/>
                <w:sz w:val="24"/>
                <w:szCs w:val="24"/>
                <w:lang w:eastAsia="zh-CN"/>
              </w:rPr>
              <w:t>本项目一共</w:t>
            </w:r>
            <w:r>
              <w:rPr>
                <w:rFonts w:hint="eastAsia" w:ascii="微软雅黑" w:hAnsi="微软雅黑" w:eastAsia="微软雅黑" w:cs="微软雅黑"/>
                <w:b/>
                <w:bCs/>
                <w:sz w:val="24"/>
                <w:szCs w:val="24"/>
                <w:lang w:val="en-US" w:eastAsia="zh-CN"/>
              </w:rPr>
              <w:t>4个包</w:t>
            </w:r>
            <w:r>
              <w:rPr>
                <w:rFonts w:hint="eastAsia" w:ascii="微软雅黑" w:hAnsi="微软雅黑" w:eastAsia="微软雅黑" w:cs="微软雅黑"/>
                <w:b/>
                <w:bCs/>
                <w:sz w:val="24"/>
                <w:szCs w:val="24"/>
                <w:lang w:eastAsia="zh-CN"/>
              </w:rPr>
              <w:t>，每个供应商可同时投多个分包，但本项目只能成交一个分包，如供应商按分包号顺序在评审过程中确定成交的，后续分包的成交供应商则不再考虑该供应商。本项目不可兼投兼中。</w:t>
            </w:r>
          </w:p>
        </w:tc>
      </w:tr>
      <w:tr w14:paraId="1237D41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jc w:val="center"/>
        </w:trPr>
        <w:tc>
          <w:tcPr>
            <w:tcW w:w="9510" w:type="dxa"/>
            <w:gridSpan w:val="2"/>
            <w:vAlign w:val="center"/>
          </w:tcPr>
          <w:p w14:paraId="0D2F1B79">
            <w:pPr>
              <w:keepNext w:val="0"/>
              <w:keepLines w:val="0"/>
              <w:pageBreakBefore w:val="0"/>
              <w:widowControl w:val="0"/>
              <w:kinsoku/>
              <w:wordWrap/>
              <w:overflowPunct/>
              <w:topLinePunct w:val="0"/>
              <w:bidi w:val="0"/>
              <w:snapToGrid/>
              <w:spacing w:line="480" w:lineRule="exac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注：供应商通过PS造假等手段提供虚假证明材料，隐瞒事实、虚假投标并中标（成交），验收过程中经过严格验收发现问题后，立即终止并反馈当地采购办要求列入黑名单，并承担造成的一切后果。 </w:t>
            </w:r>
          </w:p>
          <w:p w14:paraId="19DF2A36">
            <w:pPr>
              <w:keepNext w:val="0"/>
              <w:keepLines w:val="0"/>
              <w:pageBreakBefore w:val="0"/>
              <w:widowControl w:val="0"/>
              <w:kinsoku/>
              <w:wordWrap/>
              <w:overflowPunct/>
              <w:topLinePunct w:val="0"/>
              <w:bidi w:val="0"/>
              <w:snapToGrid/>
              <w:spacing w:line="480" w:lineRule="exac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供应商以他人名义投标或者以其他方式弄虚作假，骗取中标（成交）的，中标（成交）无效，给采购人造成损失的，依法承担赔偿责任；构成犯罪的，依法追究刑事责任。</w:t>
            </w:r>
          </w:p>
        </w:tc>
      </w:tr>
    </w:tbl>
    <w:p w14:paraId="6A856EED">
      <w:pPr>
        <w:pStyle w:val="36"/>
        <w:ind w:firstLine="0" w:firstLineChars="0"/>
        <w:rPr>
          <w:rFonts w:ascii="微软雅黑" w:hAnsi="微软雅黑" w:eastAsia="微软雅黑" w:cs="微软雅黑"/>
          <w:b/>
          <w:bCs/>
          <w:color w:val="auto"/>
        </w:rPr>
        <w:sectPr>
          <w:footerReference r:id="rId4" w:type="default"/>
          <w:pgSz w:w="11905" w:h="16838"/>
          <w:pgMar w:top="1440" w:right="1080" w:bottom="1440" w:left="1080" w:header="851" w:footer="992" w:gutter="0"/>
          <w:pgNumType w:fmt="decimal" w:start="1"/>
          <w:cols w:space="0" w:num="1"/>
          <w:docGrid w:linePitch="312" w:charSpace="0"/>
        </w:sectPr>
      </w:pPr>
    </w:p>
    <w:p w14:paraId="29FD767A">
      <w:pPr>
        <w:pStyle w:val="3"/>
        <w:tabs>
          <w:tab w:val="left" w:pos="0"/>
        </w:tabs>
        <w:snapToGrid w:val="0"/>
        <w:spacing w:before="0" w:after="0" w:line="240" w:lineRule="atLeast"/>
        <w:jc w:val="center"/>
        <w:textAlignment w:val="baseline"/>
        <w:rPr>
          <w:color w:val="auto"/>
        </w:rPr>
      </w:pPr>
      <w:bookmarkStart w:id="672" w:name="_Toc13137"/>
      <w:bookmarkStart w:id="673" w:name="_Toc218935355"/>
      <w:bookmarkStart w:id="674" w:name="_Toc219175639"/>
      <w:bookmarkStart w:id="675" w:name="_Toc216582826"/>
      <w:r>
        <w:rPr>
          <w:rFonts w:hint="eastAsia" w:ascii="微软雅黑" w:hAnsi="微软雅黑" w:eastAsia="微软雅黑" w:cs="微软雅黑"/>
          <w:color w:val="auto"/>
        </w:rPr>
        <w:t>第5章</w:t>
      </w:r>
      <w:bookmarkStart w:id="676" w:name="_Toc18397"/>
      <w:bookmarkStart w:id="677" w:name="_Toc6081"/>
      <w:bookmarkStart w:id="678" w:name="_Toc13644"/>
      <w:r>
        <w:rPr>
          <w:rFonts w:hint="eastAsia" w:ascii="微软雅黑" w:hAnsi="微软雅黑" w:eastAsia="微软雅黑" w:cs="微软雅黑"/>
          <w:color w:val="auto"/>
          <w:lang w:val="en-US" w:eastAsia="zh-CN"/>
        </w:rPr>
        <w:t xml:space="preserve">  </w:t>
      </w:r>
      <w:r>
        <w:rPr>
          <w:rFonts w:hint="eastAsia" w:ascii="微软雅黑" w:hAnsi="微软雅黑" w:eastAsia="微软雅黑" w:cs="微软雅黑"/>
          <w:color w:val="auto"/>
        </w:rPr>
        <w:t>服务内容及项目需求</w:t>
      </w:r>
      <w:bookmarkEnd w:id="672"/>
    </w:p>
    <w:bookmarkEnd w:id="676"/>
    <w:bookmarkEnd w:id="677"/>
    <w:bookmarkEnd w:id="678"/>
    <w:p w14:paraId="5D8BF35E">
      <w:pPr>
        <w:keepNext w:val="0"/>
        <w:keepLines w:val="0"/>
        <w:pageBreakBefore w:val="0"/>
        <w:widowControl w:val="0"/>
        <w:numPr>
          <w:ilvl w:val="0"/>
          <w:numId w:val="0"/>
        </w:numPr>
        <w:shd w:val="clear" w:color="auto" w:fill="FFFFFF"/>
        <w:kinsoku/>
        <w:wordWrap/>
        <w:overflowPunct/>
        <w:topLinePunct w:val="0"/>
        <w:autoSpaceDE/>
        <w:autoSpaceDN/>
        <w:bidi w:val="0"/>
        <w:adjustRightInd w:val="0"/>
        <w:snapToGrid w:val="0"/>
        <w:spacing w:line="520" w:lineRule="exact"/>
        <w:ind w:firstLine="484" w:firstLineChars="200"/>
        <w:textAlignment w:val="auto"/>
        <w:rPr>
          <w:rFonts w:hint="eastAsia" w:ascii="微软雅黑" w:hAnsi="微软雅黑" w:eastAsia="微软雅黑" w:cs="微软雅黑"/>
          <w:b/>
          <w:bCs w:val="0"/>
          <w:color w:val="auto"/>
          <w:spacing w:val="1"/>
          <w:kern w:val="2"/>
          <w:sz w:val="24"/>
          <w:szCs w:val="24"/>
          <w:highlight w:val="none"/>
          <w:lang w:val="en-US" w:eastAsia="zh-CN" w:bidi="ar-SA"/>
        </w:rPr>
      </w:pPr>
      <w:r>
        <w:rPr>
          <w:rFonts w:hint="eastAsia" w:ascii="微软雅黑" w:hAnsi="微软雅黑" w:eastAsia="微软雅黑" w:cs="微软雅黑"/>
          <w:b/>
          <w:bCs w:val="0"/>
          <w:color w:val="auto"/>
          <w:spacing w:val="1"/>
          <w:kern w:val="2"/>
          <w:sz w:val="24"/>
          <w:szCs w:val="24"/>
          <w:highlight w:val="none"/>
          <w:lang w:val="en-US" w:eastAsia="zh-CN" w:bidi="ar-SA"/>
        </w:rPr>
        <w:t>一、项目背景</w:t>
      </w:r>
    </w:p>
    <w:p w14:paraId="293943CF">
      <w:pPr>
        <w:keepNext w:val="0"/>
        <w:keepLines w:val="0"/>
        <w:pageBreakBefore w:val="0"/>
        <w:widowControl w:val="0"/>
        <w:numPr>
          <w:ilvl w:val="0"/>
          <w:numId w:val="0"/>
        </w:numPr>
        <w:shd w:val="clear" w:color="auto" w:fill="FFFFFF"/>
        <w:kinsoku/>
        <w:wordWrap/>
        <w:overflowPunct/>
        <w:topLinePunct w:val="0"/>
        <w:autoSpaceDE/>
        <w:autoSpaceDN/>
        <w:bidi w:val="0"/>
        <w:adjustRightInd w:val="0"/>
        <w:snapToGrid w:val="0"/>
        <w:spacing w:line="520" w:lineRule="exact"/>
        <w:ind w:firstLine="484" w:firstLineChars="200"/>
        <w:textAlignment w:val="auto"/>
        <w:rPr>
          <w:rFonts w:hint="eastAsia" w:ascii="微软雅黑" w:hAnsi="微软雅黑" w:eastAsia="微软雅黑" w:cs="微软雅黑"/>
          <w:b w:val="0"/>
          <w:bCs/>
          <w:color w:val="auto"/>
          <w:spacing w:val="1"/>
          <w:kern w:val="2"/>
          <w:sz w:val="24"/>
          <w:szCs w:val="24"/>
          <w:highlight w:val="none"/>
          <w:lang w:val="en-US" w:eastAsia="zh-CN" w:bidi="ar-SA"/>
        </w:rPr>
      </w:pPr>
      <w:r>
        <w:rPr>
          <w:rFonts w:hint="eastAsia" w:ascii="微软雅黑" w:hAnsi="微软雅黑" w:eastAsia="微软雅黑" w:cs="微软雅黑"/>
          <w:b w:val="0"/>
          <w:bCs/>
          <w:color w:val="auto"/>
          <w:spacing w:val="1"/>
          <w:kern w:val="2"/>
          <w:sz w:val="24"/>
          <w:szCs w:val="24"/>
          <w:highlight w:val="none"/>
          <w:lang w:val="en-US" w:eastAsia="zh-CN" w:bidi="ar-SA"/>
        </w:rPr>
        <w:t>民政工作关系民生，连着民心，是党和政府的一项重要工作。通过购买社会工作服务，认真落实国家民政救助管理制度，加强社会救助服务性工作队伍政治理论、职业技能、业务能力培训，进一步提升综合素质和服务质量。认真践行“民政为民、民政爱民”的核心理念。</w:t>
      </w:r>
    </w:p>
    <w:p w14:paraId="0DAB75A9">
      <w:pPr>
        <w:keepNext w:val="0"/>
        <w:keepLines w:val="0"/>
        <w:pageBreakBefore w:val="0"/>
        <w:widowControl w:val="0"/>
        <w:numPr>
          <w:ilvl w:val="0"/>
          <w:numId w:val="0"/>
        </w:numPr>
        <w:shd w:val="clear" w:color="auto" w:fill="FFFFFF"/>
        <w:kinsoku/>
        <w:wordWrap/>
        <w:overflowPunct/>
        <w:topLinePunct w:val="0"/>
        <w:autoSpaceDE/>
        <w:autoSpaceDN/>
        <w:bidi w:val="0"/>
        <w:adjustRightInd w:val="0"/>
        <w:snapToGrid w:val="0"/>
        <w:spacing w:line="520" w:lineRule="exact"/>
        <w:ind w:firstLine="484" w:firstLineChars="200"/>
        <w:textAlignment w:val="auto"/>
        <w:rPr>
          <w:rFonts w:hint="eastAsia" w:ascii="微软雅黑" w:hAnsi="微软雅黑" w:eastAsia="微软雅黑" w:cs="微软雅黑"/>
          <w:b/>
          <w:bCs w:val="0"/>
          <w:color w:val="auto"/>
          <w:spacing w:val="1"/>
          <w:kern w:val="2"/>
          <w:sz w:val="24"/>
          <w:szCs w:val="24"/>
          <w:highlight w:val="none"/>
          <w:lang w:val="en-US" w:eastAsia="zh-CN" w:bidi="ar-SA"/>
        </w:rPr>
      </w:pPr>
      <w:r>
        <w:rPr>
          <w:rFonts w:hint="eastAsia" w:ascii="微软雅黑" w:hAnsi="微软雅黑" w:eastAsia="微软雅黑" w:cs="微软雅黑"/>
          <w:b/>
          <w:bCs w:val="0"/>
          <w:color w:val="auto"/>
          <w:spacing w:val="1"/>
          <w:kern w:val="2"/>
          <w:sz w:val="24"/>
          <w:szCs w:val="24"/>
          <w:highlight w:val="none"/>
          <w:lang w:val="en-US" w:eastAsia="zh-CN" w:bidi="ar-SA"/>
        </w:rPr>
        <w:t>二、项目实施主体</w:t>
      </w:r>
    </w:p>
    <w:p w14:paraId="578237DD">
      <w:pPr>
        <w:keepNext w:val="0"/>
        <w:keepLines w:val="0"/>
        <w:pageBreakBefore w:val="0"/>
        <w:widowControl w:val="0"/>
        <w:numPr>
          <w:ilvl w:val="0"/>
          <w:numId w:val="0"/>
        </w:numPr>
        <w:shd w:val="clear" w:color="auto" w:fill="FFFFFF"/>
        <w:kinsoku/>
        <w:wordWrap/>
        <w:overflowPunct/>
        <w:topLinePunct w:val="0"/>
        <w:autoSpaceDE/>
        <w:autoSpaceDN/>
        <w:bidi w:val="0"/>
        <w:adjustRightInd w:val="0"/>
        <w:snapToGrid w:val="0"/>
        <w:spacing w:line="520" w:lineRule="exact"/>
        <w:ind w:firstLine="484" w:firstLineChars="200"/>
        <w:textAlignment w:val="auto"/>
        <w:rPr>
          <w:rFonts w:hint="eastAsia" w:ascii="微软雅黑" w:hAnsi="微软雅黑" w:eastAsia="微软雅黑" w:cs="微软雅黑"/>
          <w:b w:val="0"/>
          <w:bCs/>
          <w:color w:val="auto"/>
          <w:spacing w:val="1"/>
          <w:kern w:val="2"/>
          <w:sz w:val="24"/>
          <w:szCs w:val="24"/>
          <w:highlight w:val="none"/>
          <w:lang w:val="en-US" w:eastAsia="zh-CN" w:bidi="ar-SA"/>
        </w:rPr>
      </w:pPr>
      <w:r>
        <w:rPr>
          <w:rFonts w:hint="eastAsia" w:ascii="微软雅黑" w:hAnsi="微软雅黑" w:eastAsia="微软雅黑" w:cs="微软雅黑"/>
          <w:b w:val="0"/>
          <w:bCs/>
          <w:color w:val="auto"/>
          <w:spacing w:val="1"/>
          <w:kern w:val="2"/>
          <w:sz w:val="24"/>
          <w:szCs w:val="24"/>
          <w:highlight w:val="none"/>
          <w:lang w:val="en-US" w:eastAsia="zh-CN" w:bidi="ar-SA"/>
        </w:rPr>
        <w:t>岳普湖县民政局负责具体实施</w:t>
      </w:r>
    </w:p>
    <w:p w14:paraId="03FCC140">
      <w:pPr>
        <w:keepNext w:val="0"/>
        <w:keepLines w:val="0"/>
        <w:pageBreakBefore w:val="0"/>
        <w:widowControl w:val="0"/>
        <w:numPr>
          <w:ilvl w:val="0"/>
          <w:numId w:val="10"/>
        </w:numPr>
        <w:shd w:val="clear" w:color="auto" w:fill="FFFFFF"/>
        <w:kinsoku/>
        <w:wordWrap/>
        <w:overflowPunct/>
        <w:topLinePunct w:val="0"/>
        <w:autoSpaceDE/>
        <w:autoSpaceDN/>
        <w:bidi w:val="0"/>
        <w:adjustRightInd w:val="0"/>
        <w:snapToGrid w:val="0"/>
        <w:spacing w:line="520" w:lineRule="exact"/>
        <w:ind w:firstLine="484" w:firstLineChars="200"/>
        <w:textAlignment w:val="auto"/>
        <w:rPr>
          <w:rFonts w:hint="eastAsia" w:ascii="微软雅黑" w:hAnsi="微软雅黑" w:eastAsia="微软雅黑" w:cs="微软雅黑"/>
          <w:b/>
          <w:bCs w:val="0"/>
          <w:color w:val="auto"/>
          <w:spacing w:val="1"/>
          <w:kern w:val="2"/>
          <w:sz w:val="24"/>
          <w:szCs w:val="24"/>
          <w:highlight w:val="none"/>
          <w:lang w:val="en-US" w:eastAsia="zh-CN" w:bidi="ar-SA"/>
        </w:rPr>
      </w:pPr>
      <w:r>
        <w:rPr>
          <w:rFonts w:hint="eastAsia" w:ascii="微软雅黑" w:hAnsi="微软雅黑" w:eastAsia="微软雅黑" w:cs="微软雅黑"/>
          <w:b/>
          <w:bCs w:val="0"/>
          <w:color w:val="auto"/>
          <w:spacing w:val="1"/>
          <w:kern w:val="2"/>
          <w:sz w:val="24"/>
          <w:szCs w:val="24"/>
          <w:highlight w:val="none"/>
          <w:lang w:val="en-US" w:eastAsia="zh-CN" w:bidi="ar-SA"/>
        </w:rPr>
        <w:t>实施地点基本情况</w:t>
      </w:r>
    </w:p>
    <w:tbl>
      <w:tblPr>
        <w:tblStyle w:val="3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98"/>
        <w:gridCol w:w="1160"/>
        <w:gridCol w:w="3480"/>
        <w:gridCol w:w="1600"/>
        <w:gridCol w:w="1263"/>
        <w:gridCol w:w="1661"/>
      </w:tblGrid>
      <w:tr w14:paraId="29EE7E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798" w:type="dxa"/>
            <w:vMerge w:val="restart"/>
          </w:tcPr>
          <w:p w14:paraId="653F02F4">
            <w:pPr>
              <w:keepNext w:val="0"/>
              <w:keepLines w:val="0"/>
              <w:pageBreakBefore w:val="0"/>
              <w:widowControl w:val="0"/>
              <w:numPr>
                <w:ilvl w:val="0"/>
                <w:numId w:val="0"/>
              </w:numPr>
              <w:kinsoku/>
              <w:wordWrap/>
              <w:overflowPunct/>
              <w:topLinePunct w:val="0"/>
              <w:autoSpaceDE/>
              <w:autoSpaceDN/>
              <w:bidi w:val="0"/>
              <w:adjustRightInd w:val="0"/>
              <w:snapToGrid w:val="0"/>
              <w:spacing w:line="520" w:lineRule="exact"/>
              <w:jc w:val="center"/>
              <w:textAlignment w:val="auto"/>
              <w:rPr>
                <w:rFonts w:hint="eastAsia" w:ascii="微软雅黑" w:hAnsi="微软雅黑" w:eastAsia="微软雅黑" w:cs="微软雅黑"/>
                <w:b w:val="0"/>
                <w:bCs/>
                <w:color w:val="auto"/>
                <w:spacing w:val="1"/>
                <w:kern w:val="2"/>
                <w:sz w:val="24"/>
                <w:szCs w:val="24"/>
                <w:highlight w:val="none"/>
                <w:vertAlign w:val="baseline"/>
                <w:lang w:val="en-US" w:eastAsia="zh-CN" w:bidi="ar-SA"/>
              </w:rPr>
            </w:pPr>
            <w:r>
              <w:rPr>
                <w:rFonts w:hint="eastAsia" w:ascii="微软雅黑" w:hAnsi="微软雅黑" w:eastAsia="微软雅黑" w:cs="微软雅黑"/>
                <w:b w:val="0"/>
                <w:bCs/>
                <w:color w:val="auto"/>
                <w:spacing w:val="1"/>
                <w:kern w:val="2"/>
                <w:sz w:val="24"/>
                <w:szCs w:val="24"/>
                <w:highlight w:val="none"/>
                <w:vertAlign w:val="baseline"/>
                <w:lang w:val="en-US" w:eastAsia="zh-CN" w:bidi="ar-SA"/>
              </w:rPr>
              <w:t>序号</w:t>
            </w:r>
          </w:p>
        </w:tc>
        <w:tc>
          <w:tcPr>
            <w:tcW w:w="1160" w:type="dxa"/>
            <w:vMerge w:val="restart"/>
          </w:tcPr>
          <w:p w14:paraId="27612065">
            <w:pPr>
              <w:keepNext w:val="0"/>
              <w:keepLines w:val="0"/>
              <w:pageBreakBefore w:val="0"/>
              <w:widowControl w:val="0"/>
              <w:numPr>
                <w:ilvl w:val="0"/>
                <w:numId w:val="0"/>
              </w:numPr>
              <w:kinsoku/>
              <w:wordWrap/>
              <w:overflowPunct/>
              <w:topLinePunct w:val="0"/>
              <w:autoSpaceDE/>
              <w:autoSpaceDN/>
              <w:bidi w:val="0"/>
              <w:adjustRightInd w:val="0"/>
              <w:snapToGrid w:val="0"/>
              <w:spacing w:line="520" w:lineRule="exact"/>
              <w:jc w:val="center"/>
              <w:textAlignment w:val="auto"/>
              <w:rPr>
                <w:rFonts w:hint="eastAsia" w:ascii="微软雅黑" w:hAnsi="微软雅黑" w:eastAsia="微软雅黑" w:cs="微软雅黑"/>
                <w:b w:val="0"/>
                <w:bCs/>
                <w:color w:val="auto"/>
                <w:spacing w:val="1"/>
                <w:kern w:val="2"/>
                <w:sz w:val="24"/>
                <w:szCs w:val="24"/>
                <w:highlight w:val="none"/>
                <w:vertAlign w:val="baseline"/>
                <w:lang w:val="en-US" w:eastAsia="zh-CN" w:bidi="ar-SA"/>
              </w:rPr>
            </w:pPr>
            <w:r>
              <w:rPr>
                <w:rFonts w:hint="eastAsia" w:ascii="微软雅黑" w:hAnsi="微软雅黑" w:eastAsia="微软雅黑" w:cs="微软雅黑"/>
                <w:b w:val="0"/>
                <w:bCs/>
                <w:color w:val="auto"/>
                <w:spacing w:val="1"/>
                <w:kern w:val="2"/>
                <w:sz w:val="24"/>
                <w:szCs w:val="24"/>
                <w:highlight w:val="none"/>
                <w:vertAlign w:val="baseline"/>
                <w:lang w:val="en-US" w:eastAsia="zh-CN" w:bidi="ar-SA"/>
              </w:rPr>
              <w:t>包号</w:t>
            </w:r>
          </w:p>
        </w:tc>
        <w:tc>
          <w:tcPr>
            <w:tcW w:w="3480" w:type="dxa"/>
            <w:vMerge w:val="restart"/>
          </w:tcPr>
          <w:p w14:paraId="07E45295">
            <w:pPr>
              <w:keepNext w:val="0"/>
              <w:keepLines w:val="0"/>
              <w:pageBreakBefore w:val="0"/>
              <w:widowControl w:val="0"/>
              <w:numPr>
                <w:ilvl w:val="0"/>
                <w:numId w:val="0"/>
              </w:numPr>
              <w:kinsoku/>
              <w:wordWrap/>
              <w:overflowPunct/>
              <w:topLinePunct w:val="0"/>
              <w:autoSpaceDE/>
              <w:autoSpaceDN/>
              <w:bidi w:val="0"/>
              <w:adjustRightInd w:val="0"/>
              <w:snapToGrid w:val="0"/>
              <w:spacing w:line="520" w:lineRule="exact"/>
              <w:jc w:val="center"/>
              <w:textAlignment w:val="auto"/>
              <w:rPr>
                <w:rFonts w:hint="eastAsia" w:ascii="微软雅黑" w:hAnsi="微软雅黑" w:eastAsia="微软雅黑" w:cs="微软雅黑"/>
                <w:b w:val="0"/>
                <w:bCs/>
                <w:color w:val="auto"/>
                <w:spacing w:val="1"/>
                <w:kern w:val="2"/>
                <w:sz w:val="24"/>
                <w:szCs w:val="24"/>
                <w:highlight w:val="none"/>
                <w:vertAlign w:val="baseline"/>
                <w:lang w:val="en-US" w:eastAsia="zh-CN" w:bidi="ar-SA"/>
              </w:rPr>
            </w:pPr>
            <w:r>
              <w:rPr>
                <w:rFonts w:hint="eastAsia" w:ascii="微软雅黑" w:hAnsi="微软雅黑" w:eastAsia="微软雅黑" w:cs="微软雅黑"/>
                <w:b w:val="0"/>
                <w:bCs/>
                <w:color w:val="auto"/>
                <w:spacing w:val="1"/>
                <w:kern w:val="2"/>
                <w:sz w:val="24"/>
                <w:szCs w:val="24"/>
                <w:highlight w:val="none"/>
                <w:vertAlign w:val="baseline"/>
                <w:lang w:val="en-US" w:eastAsia="zh-CN" w:bidi="ar-SA"/>
              </w:rPr>
              <w:t>乡镇</w:t>
            </w:r>
          </w:p>
        </w:tc>
        <w:tc>
          <w:tcPr>
            <w:tcW w:w="2863" w:type="dxa"/>
            <w:gridSpan w:val="2"/>
          </w:tcPr>
          <w:p w14:paraId="797105B5">
            <w:pPr>
              <w:keepNext w:val="0"/>
              <w:keepLines w:val="0"/>
              <w:pageBreakBefore w:val="0"/>
              <w:widowControl w:val="0"/>
              <w:numPr>
                <w:ilvl w:val="0"/>
                <w:numId w:val="0"/>
              </w:numPr>
              <w:kinsoku/>
              <w:wordWrap/>
              <w:overflowPunct/>
              <w:topLinePunct w:val="0"/>
              <w:autoSpaceDE/>
              <w:autoSpaceDN/>
              <w:bidi w:val="0"/>
              <w:adjustRightInd w:val="0"/>
              <w:snapToGrid w:val="0"/>
              <w:spacing w:line="520" w:lineRule="exact"/>
              <w:jc w:val="center"/>
              <w:textAlignment w:val="auto"/>
              <w:rPr>
                <w:rFonts w:hint="eastAsia" w:ascii="微软雅黑" w:hAnsi="微软雅黑" w:eastAsia="微软雅黑" w:cs="微软雅黑"/>
                <w:b w:val="0"/>
                <w:bCs/>
                <w:color w:val="auto"/>
                <w:spacing w:val="1"/>
                <w:kern w:val="2"/>
                <w:sz w:val="24"/>
                <w:szCs w:val="24"/>
                <w:highlight w:val="none"/>
                <w:vertAlign w:val="baseline"/>
                <w:lang w:val="en-US" w:eastAsia="zh-CN" w:bidi="ar-SA"/>
              </w:rPr>
            </w:pPr>
            <w:r>
              <w:rPr>
                <w:rFonts w:hint="eastAsia" w:ascii="微软雅黑" w:hAnsi="微软雅黑" w:eastAsia="微软雅黑" w:cs="微软雅黑"/>
                <w:b w:val="0"/>
                <w:bCs/>
                <w:color w:val="auto"/>
                <w:spacing w:val="1"/>
                <w:kern w:val="2"/>
                <w:sz w:val="24"/>
                <w:szCs w:val="24"/>
                <w:highlight w:val="none"/>
                <w:vertAlign w:val="baseline"/>
                <w:lang w:val="en-US" w:eastAsia="zh-CN" w:bidi="ar-SA"/>
              </w:rPr>
              <w:t>家计调查服务对象合计</w:t>
            </w:r>
          </w:p>
        </w:tc>
        <w:tc>
          <w:tcPr>
            <w:tcW w:w="1661" w:type="dxa"/>
            <w:vMerge w:val="restart"/>
          </w:tcPr>
          <w:p w14:paraId="54EF0B66">
            <w:pPr>
              <w:keepNext w:val="0"/>
              <w:keepLines w:val="0"/>
              <w:pageBreakBefore w:val="0"/>
              <w:widowControl w:val="0"/>
              <w:numPr>
                <w:ilvl w:val="0"/>
                <w:numId w:val="0"/>
              </w:numPr>
              <w:kinsoku/>
              <w:wordWrap/>
              <w:overflowPunct/>
              <w:topLinePunct w:val="0"/>
              <w:autoSpaceDE/>
              <w:autoSpaceDN/>
              <w:bidi w:val="0"/>
              <w:adjustRightInd w:val="0"/>
              <w:snapToGrid w:val="0"/>
              <w:spacing w:line="520" w:lineRule="exact"/>
              <w:jc w:val="center"/>
              <w:textAlignment w:val="auto"/>
              <w:rPr>
                <w:rFonts w:hint="eastAsia" w:ascii="微软雅黑" w:hAnsi="微软雅黑" w:eastAsia="微软雅黑" w:cs="微软雅黑"/>
                <w:b w:val="0"/>
                <w:bCs/>
                <w:color w:val="auto"/>
                <w:spacing w:val="1"/>
                <w:kern w:val="2"/>
                <w:sz w:val="24"/>
                <w:szCs w:val="24"/>
                <w:highlight w:val="none"/>
                <w:vertAlign w:val="baseline"/>
                <w:lang w:val="en-US" w:eastAsia="zh-CN" w:bidi="ar-SA"/>
              </w:rPr>
            </w:pPr>
            <w:r>
              <w:rPr>
                <w:rFonts w:hint="eastAsia" w:ascii="微软雅黑" w:hAnsi="微软雅黑" w:eastAsia="微软雅黑" w:cs="微软雅黑"/>
                <w:b w:val="0"/>
                <w:bCs/>
                <w:color w:val="auto"/>
                <w:spacing w:val="1"/>
                <w:kern w:val="2"/>
                <w:sz w:val="24"/>
                <w:szCs w:val="24"/>
                <w:highlight w:val="none"/>
                <w:vertAlign w:val="baseline"/>
                <w:lang w:val="en-US" w:eastAsia="zh-CN" w:bidi="ar-SA"/>
              </w:rPr>
              <w:t>预算金额（元）</w:t>
            </w:r>
          </w:p>
        </w:tc>
      </w:tr>
      <w:tr w14:paraId="1F1BC4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798" w:type="dxa"/>
            <w:vMerge w:val="continue"/>
          </w:tcPr>
          <w:p w14:paraId="54CB915F">
            <w:pPr>
              <w:keepNext w:val="0"/>
              <w:keepLines w:val="0"/>
              <w:pageBreakBefore w:val="0"/>
              <w:widowControl w:val="0"/>
              <w:kinsoku/>
              <w:wordWrap/>
              <w:overflowPunct/>
              <w:topLinePunct w:val="0"/>
              <w:autoSpaceDE/>
              <w:autoSpaceDN/>
              <w:bidi w:val="0"/>
              <w:adjustRightInd w:val="0"/>
              <w:snapToGrid w:val="0"/>
              <w:spacing w:line="520" w:lineRule="exact"/>
              <w:jc w:val="center"/>
              <w:textAlignment w:val="auto"/>
            </w:pPr>
          </w:p>
        </w:tc>
        <w:tc>
          <w:tcPr>
            <w:tcW w:w="1160" w:type="dxa"/>
            <w:vMerge w:val="continue"/>
          </w:tcPr>
          <w:p w14:paraId="2AAF467F">
            <w:pPr>
              <w:keepNext w:val="0"/>
              <w:keepLines w:val="0"/>
              <w:pageBreakBefore w:val="0"/>
              <w:widowControl w:val="0"/>
              <w:kinsoku/>
              <w:wordWrap/>
              <w:overflowPunct/>
              <w:topLinePunct w:val="0"/>
              <w:autoSpaceDE/>
              <w:autoSpaceDN/>
              <w:bidi w:val="0"/>
              <w:adjustRightInd w:val="0"/>
              <w:snapToGrid w:val="0"/>
              <w:spacing w:line="520" w:lineRule="exact"/>
              <w:jc w:val="center"/>
              <w:textAlignment w:val="auto"/>
            </w:pPr>
          </w:p>
        </w:tc>
        <w:tc>
          <w:tcPr>
            <w:tcW w:w="3480" w:type="dxa"/>
            <w:vMerge w:val="continue"/>
          </w:tcPr>
          <w:p w14:paraId="458759BA">
            <w:pPr>
              <w:keepNext w:val="0"/>
              <w:keepLines w:val="0"/>
              <w:pageBreakBefore w:val="0"/>
              <w:widowControl w:val="0"/>
              <w:kinsoku/>
              <w:wordWrap/>
              <w:overflowPunct/>
              <w:topLinePunct w:val="0"/>
              <w:autoSpaceDE/>
              <w:autoSpaceDN/>
              <w:bidi w:val="0"/>
              <w:adjustRightInd w:val="0"/>
              <w:snapToGrid w:val="0"/>
              <w:spacing w:line="520" w:lineRule="exact"/>
              <w:jc w:val="center"/>
              <w:textAlignment w:val="auto"/>
            </w:pPr>
          </w:p>
        </w:tc>
        <w:tc>
          <w:tcPr>
            <w:tcW w:w="1600" w:type="dxa"/>
          </w:tcPr>
          <w:p w14:paraId="097A0367">
            <w:pPr>
              <w:keepNext w:val="0"/>
              <w:keepLines w:val="0"/>
              <w:pageBreakBefore w:val="0"/>
              <w:widowControl w:val="0"/>
              <w:numPr>
                <w:ilvl w:val="0"/>
                <w:numId w:val="0"/>
              </w:numPr>
              <w:kinsoku/>
              <w:wordWrap/>
              <w:overflowPunct/>
              <w:topLinePunct w:val="0"/>
              <w:autoSpaceDE/>
              <w:autoSpaceDN/>
              <w:bidi w:val="0"/>
              <w:adjustRightInd w:val="0"/>
              <w:snapToGrid w:val="0"/>
              <w:spacing w:line="520" w:lineRule="exact"/>
              <w:jc w:val="center"/>
              <w:textAlignment w:val="auto"/>
              <w:rPr>
                <w:rFonts w:hint="eastAsia" w:ascii="微软雅黑" w:hAnsi="微软雅黑" w:eastAsia="微软雅黑" w:cs="微软雅黑"/>
                <w:b w:val="0"/>
                <w:bCs/>
                <w:color w:val="auto"/>
                <w:spacing w:val="1"/>
                <w:kern w:val="2"/>
                <w:sz w:val="24"/>
                <w:szCs w:val="24"/>
                <w:highlight w:val="none"/>
                <w:vertAlign w:val="baseline"/>
                <w:lang w:val="en-US" w:eastAsia="zh-CN" w:bidi="ar-SA"/>
              </w:rPr>
            </w:pPr>
            <w:r>
              <w:rPr>
                <w:rFonts w:hint="eastAsia" w:ascii="微软雅黑" w:hAnsi="微软雅黑" w:eastAsia="微软雅黑" w:cs="微软雅黑"/>
                <w:b w:val="0"/>
                <w:bCs/>
                <w:color w:val="auto"/>
                <w:spacing w:val="1"/>
                <w:kern w:val="2"/>
                <w:sz w:val="24"/>
                <w:szCs w:val="24"/>
                <w:highlight w:val="none"/>
                <w:vertAlign w:val="baseline"/>
                <w:lang w:val="en-US" w:eastAsia="zh-CN" w:bidi="ar-SA"/>
              </w:rPr>
              <w:t>户数（户）</w:t>
            </w:r>
          </w:p>
        </w:tc>
        <w:tc>
          <w:tcPr>
            <w:tcW w:w="1263" w:type="dxa"/>
          </w:tcPr>
          <w:p w14:paraId="27A6D70A">
            <w:pPr>
              <w:keepNext w:val="0"/>
              <w:keepLines w:val="0"/>
              <w:pageBreakBefore w:val="0"/>
              <w:widowControl w:val="0"/>
              <w:numPr>
                <w:ilvl w:val="0"/>
                <w:numId w:val="0"/>
              </w:numPr>
              <w:kinsoku/>
              <w:wordWrap/>
              <w:overflowPunct/>
              <w:topLinePunct w:val="0"/>
              <w:autoSpaceDE/>
              <w:autoSpaceDN/>
              <w:bidi w:val="0"/>
              <w:adjustRightInd w:val="0"/>
              <w:snapToGrid w:val="0"/>
              <w:spacing w:line="520" w:lineRule="exact"/>
              <w:jc w:val="center"/>
              <w:textAlignment w:val="auto"/>
              <w:rPr>
                <w:rFonts w:hint="eastAsia" w:ascii="微软雅黑" w:hAnsi="微软雅黑" w:eastAsia="微软雅黑" w:cs="微软雅黑"/>
                <w:b w:val="0"/>
                <w:bCs/>
                <w:color w:val="auto"/>
                <w:spacing w:val="1"/>
                <w:kern w:val="2"/>
                <w:sz w:val="24"/>
                <w:szCs w:val="24"/>
                <w:highlight w:val="none"/>
                <w:vertAlign w:val="baseline"/>
                <w:lang w:val="en-US" w:eastAsia="zh-CN" w:bidi="ar-SA"/>
              </w:rPr>
            </w:pPr>
            <w:r>
              <w:rPr>
                <w:rFonts w:hint="eastAsia" w:ascii="微软雅黑" w:hAnsi="微软雅黑" w:eastAsia="微软雅黑" w:cs="微软雅黑"/>
                <w:b w:val="0"/>
                <w:bCs/>
                <w:color w:val="auto"/>
                <w:spacing w:val="1"/>
                <w:kern w:val="2"/>
                <w:sz w:val="24"/>
                <w:szCs w:val="24"/>
                <w:highlight w:val="none"/>
                <w:vertAlign w:val="baseline"/>
                <w:lang w:val="en-US" w:eastAsia="zh-CN" w:bidi="ar-SA"/>
              </w:rPr>
              <w:t>人数（人）</w:t>
            </w:r>
          </w:p>
        </w:tc>
        <w:tc>
          <w:tcPr>
            <w:tcW w:w="1661" w:type="dxa"/>
            <w:vMerge w:val="continue"/>
          </w:tcPr>
          <w:p w14:paraId="2BDF9489">
            <w:pPr>
              <w:keepNext w:val="0"/>
              <w:keepLines w:val="0"/>
              <w:pageBreakBefore w:val="0"/>
              <w:widowControl w:val="0"/>
              <w:kinsoku/>
              <w:wordWrap/>
              <w:overflowPunct/>
              <w:topLinePunct w:val="0"/>
              <w:autoSpaceDE/>
              <w:autoSpaceDN/>
              <w:bidi w:val="0"/>
              <w:adjustRightInd w:val="0"/>
              <w:snapToGrid w:val="0"/>
              <w:spacing w:line="520" w:lineRule="exact"/>
              <w:jc w:val="center"/>
              <w:textAlignment w:val="auto"/>
              <w:rPr>
                <w:rFonts w:hint="eastAsia" w:ascii="微软雅黑" w:hAnsi="微软雅黑" w:eastAsia="微软雅黑" w:cs="微软雅黑"/>
                <w:b w:val="0"/>
                <w:bCs/>
                <w:color w:val="auto"/>
                <w:spacing w:val="1"/>
                <w:kern w:val="2"/>
                <w:sz w:val="24"/>
                <w:szCs w:val="24"/>
                <w:highlight w:val="none"/>
                <w:vertAlign w:val="baseline"/>
                <w:lang w:val="en-US" w:eastAsia="zh-CN" w:bidi="ar-SA"/>
              </w:rPr>
            </w:pPr>
          </w:p>
        </w:tc>
      </w:tr>
      <w:tr w14:paraId="039741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8" w:type="dxa"/>
          </w:tcPr>
          <w:p w14:paraId="703D5ACD">
            <w:pPr>
              <w:keepNext w:val="0"/>
              <w:keepLines w:val="0"/>
              <w:pageBreakBefore w:val="0"/>
              <w:widowControl w:val="0"/>
              <w:numPr>
                <w:ilvl w:val="0"/>
                <w:numId w:val="0"/>
              </w:numPr>
              <w:kinsoku/>
              <w:wordWrap/>
              <w:overflowPunct/>
              <w:topLinePunct w:val="0"/>
              <w:autoSpaceDE/>
              <w:autoSpaceDN/>
              <w:bidi w:val="0"/>
              <w:adjustRightInd w:val="0"/>
              <w:snapToGrid w:val="0"/>
              <w:spacing w:line="520" w:lineRule="exact"/>
              <w:jc w:val="center"/>
              <w:textAlignment w:val="auto"/>
              <w:rPr>
                <w:rFonts w:hint="default" w:ascii="微软雅黑" w:hAnsi="微软雅黑" w:eastAsia="微软雅黑" w:cs="微软雅黑"/>
                <w:b w:val="0"/>
                <w:bCs/>
                <w:color w:val="auto"/>
                <w:spacing w:val="1"/>
                <w:kern w:val="2"/>
                <w:sz w:val="24"/>
                <w:szCs w:val="24"/>
                <w:highlight w:val="none"/>
                <w:vertAlign w:val="baseline"/>
                <w:lang w:val="en-US" w:eastAsia="zh-CN" w:bidi="ar-SA"/>
              </w:rPr>
            </w:pPr>
            <w:r>
              <w:rPr>
                <w:rFonts w:hint="eastAsia" w:ascii="微软雅黑" w:hAnsi="微软雅黑" w:eastAsia="微软雅黑" w:cs="微软雅黑"/>
                <w:b w:val="0"/>
                <w:bCs/>
                <w:color w:val="auto"/>
                <w:spacing w:val="1"/>
                <w:kern w:val="2"/>
                <w:sz w:val="24"/>
                <w:szCs w:val="24"/>
                <w:highlight w:val="none"/>
                <w:vertAlign w:val="baseline"/>
                <w:lang w:val="en-US" w:eastAsia="zh-CN" w:bidi="ar-SA"/>
              </w:rPr>
              <w:t>1</w:t>
            </w:r>
          </w:p>
        </w:tc>
        <w:tc>
          <w:tcPr>
            <w:tcW w:w="1160" w:type="dxa"/>
          </w:tcPr>
          <w:p w14:paraId="3191C1BC">
            <w:pPr>
              <w:keepNext w:val="0"/>
              <w:keepLines w:val="0"/>
              <w:pageBreakBefore w:val="0"/>
              <w:widowControl w:val="0"/>
              <w:numPr>
                <w:ilvl w:val="0"/>
                <w:numId w:val="0"/>
              </w:numPr>
              <w:kinsoku/>
              <w:wordWrap/>
              <w:overflowPunct/>
              <w:topLinePunct w:val="0"/>
              <w:autoSpaceDE/>
              <w:autoSpaceDN/>
              <w:bidi w:val="0"/>
              <w:adjustRightInd w:val="0"/>
              <w:snapToGrid w:val="0"/>
              <w:spacing w:line="520" w:lineRule="exact"/>
              <w:jc w:val="center"/>
              <w:textAlignment w:val="auto"/>
              <w:rPr>
                <w:rFonts w:hint="eastAsia" w:ascii="微软雅黑" w:hAnsi="微软雅黑" w:eastAsia="微软雅黑" w:cs="微软雅黑"/>
                <w:b w:val="0"/>
                <w:bCs/>
                <w:color w:val="auto"/>
                <w:spacing w:val="1"/>
                <w:kern w:val="2"/>
                <w:sz w:val="24"/>
                <w:szCs w:val="24"/>
                <w:highlight w:val="none"/>
                <w:vertAlign w:val="baseline"/>
                <w:lang w:val="en-US" w:eastAsia="zh-CN" w:bidi="ar-SA"/>
              </w:rPr>
            </w:pPr>
            <w:r>
              <w:rPr>
                <w:rFonts w:hint="eastAsia" w:ascii="微软雅黑" w:hAnsi="微软雅黑" w:eastAsia="微软雅黑" w:cs="微软雅黑"/>
                <w:b w:val="0"/>
                <w:bCs/>
                <w:color w:val="auto"/>
                <w:spacing w:val="1"/>
                <w:kern w:val="2"/>
                <w:sz w:val="24"/>
                <w:szCs w:val="24"/>
                <w:highlight w:val="none"/>
                <w:vertAlign w:val="baseline"/>
                <w:lang w:val="en-US" w:eastAsia="zh-CN" w:bidi="ar-SA"/>
              </w:rPr>
              <w:t>第一包</w:t>
            </w:r>
          </w:p>
        </w:tc>
        <w:tc>
          <w:tcPr>
            <w:tcW w:w="3480" w:type="dxa"/>
          </w:tcPr>
          <w:p w14:paraId="2F0CA154">
            <w:pPr>
              <w:keepNext w:val="0"/>
              <w:keepLines w:val="0"/>
              <w:pageBreakBefore w:val="0"/>
              <w:widowControl w:val="0"/>
              <w:numPr>
                <w:ilvl w:val="0"/>
                <w:numId w:val="0"/>
              </w:numPr>
              <w:kinsoku/>
              <w:wordWrap/>
              <w:overflowPunct/>
              <w:topLinePunct w:val="0"/>
              <w:autoSpaceDE/>
              <w:autoSpaceDN/>
              <w:bidi w:val="0"/>
              <w:adjustRightInd w:val="0"/>
              <w:snapToGrid w:val="0"/>
              <w:spacing w:line="520" w:lineRule="exact"/>
              <w:jc w:val="left"/>
              <w:textAlignment w:val="auto"/>
              <w:rPr>
                <w:rFonts w:hint="eastAsia" w:ascii="微软雅黑" w:hAnsi="微软雅黑" w:eastAsia="微软雅黑" w:cs="微软雅黑"/>
                <w:b w:val="0"/>
                <w:bCs/>
                <w:color w:val="auto"/>
                <w:spacing w:val="1"/>
                <w:kern w:val="2"/>
                <w:sz w:val="24"/>
                <w:szCs w:val="24"/>
                <w:highlight w:val="none"/>
                <w:vertAlign w:val="baseline"/>
                <w:lang w:val="en-US" w:eastAsia="zh-CN" w:bidi="ar-SA"/>
              </w:rPr>
            </w:pPr>
            <w:r>
              <w:rPr>
                <w:rFonts w:hint="eastAsia" w:ascii="微软雅黑" w:hAnsi="微软雅黑" w:eastAsia="微软雅黑" w:cs="微软雅黑"/>
                <w:lang w:val="en-US" w:eastAsia="zh-CN"/>
              </w:rPr>
              <w:t>岳普湖镇、岳普湖乡</w:t>
            </w:r>
          </w:p>
        </w:tc>
        <w:tc>
          <w:tcPr>
            <w:tcW w:w="1600" w:type="dxa"/>
            <w:vAlign w:val="center"/>
          </w:tcPr>
          <w:p w14:paraId="434B5F99">
            <w:pPr>
              <w:keepNext w:val="0"/>
              <w:keepLines w:val="0"/>
              <w:pageBreakBefore w:val="0"/>
              <w:widowControl w:val="0"/>
              <w:numPr>
                <w:ilvl w:val="0"/>
                <w:numId w:val="0"/>
              </w:numPr>
              <w:kinsoku/>
              <w:wordWrap/>
              <w:overflowPunct/>
              <w:topLinePunct w:val="0"/>
              <w:autoSpaceDE/>
              <w:autoSpaceDN/>
              <w:bidi w:val="0"/>
              <w:adjustRightInd w:val="0"/>
              <w:snapToGrid w:val="0"/>
              <w:spacing w:line="520" w:lineRule="exact"/>
              <w:jc w:val="center"/>
              <w:textAlignment w:val="auto"/>
              <w:rPr>
                <w:rFonts w:hint="eastAsia" w:ascii="微软雅黑" w:hAnsi="微软雅黑" w:eastAsia="微软雅黑" w:cs="微软雅黑"/>
                <w:b w:val="0"/>
                <w:bCs/>
                <w:color w:val="auto"/>
                <w:spacing w:val="1"/>
                <w:kern w:val="2"/>
                <w:sz w:val="24"/>
                <w:szCs w:val="24"/>
                <w:highlight w:val="none"/>
                <w:vertAlign w:val="baseline"/>
                <w:lang w:val="en-US" w:eastAsia="zh-CN" w:bidi="ar-SA"/>
              </w:rPr>
            </w:pPr>
            <w:r>
              <w:rPr>
                <w:rFonts w:hint="eastAsia" w:ascii="微软雅黑" w:hAnsi="微软雅黑" w:eastAsia="微软雅黑" w:cs="微软雅黑"/>
                <w:lang w:val="en-US" w:eastAsia="zh-CN"/>
              </w:rPr>
              <w:t>3329</w:t>
            </w:r>
          </w:p>
        </w:tc>
        <w:tc>
          <w:tcPr>
            <w:tcW w:w="1263" w:type="dxa"/>
            <w:vAlign w:val="center"/>
          </w:tcPr>
          <w:p w14:paraId="6CB89736">
            <w:pPr>
              <w:keepNext w:val="0"/>
              <w:keepLines w:val="0"/>
              <w:pageBreakBefore w:val="0"/>
              <w:widowControl w:val="0"/>
              <w:numPr>
                <w:ilvl w:val="0"/>
                <w:numId w:val="0"/>
              </w:numPr>
              <w:kinsoku/>
              <w:wordWrap/>
              <w:overflowPunct/>
              <w:topLinePunct w:val="0"/>
              <w:autoSpaceDE/>
              <w:autoSpaceDN/>
              <w:bidi w:val="0"/>
              <w:adjustRightInd w:val="0"/>
              <w:snapToGrid w:val="0"/>
              <w:spacing w:line="520" w:lineRule="exact"/>
              <w:jc w:val="center"/>
              <w:textAlignment w:val="auto"/>
              <w:rPr>
                <w:rFonts w:hint="eastAsia" w:ascii="微软雅黑" w:hAnsi="微软雅黑" w:eastAsia="微软雅黑" w:cs="微软雅黑"/>
                <w:b w:val="0"/>
                <w:bCs/>
                <w:color w:val="auto"/>
                <w:spacing w:val="1"/>
                <w:kern w:val="2"/>
                <w:sz w:val="24"/>
                <w:szCs w:val="24"/>
                <w:highlight w:val="none"/>
                <w:vertAlign w:val="baseline"/>
                <w:lang w:val="en-US" w:eastAsia="zh-CN" w:bidi="ar-SA"/>
              </w:rPr>
            </w:pPr>
            <w:r>
              <w:rPr>
                <w:rFonts w:hint="eastAsia" w:ascii="微软雅黑" w:hAnsi="微软雅黑" w:eastAsia="微软雅黑" w:cs="微软雅黑"/>
                <w:lang w:val="en-US" w:eastAsia="zh-CN"/>
              </w:rPr>
              <w:t>8853</w:t>
            </w:r>
          </w:p>
        </w:tc>
        <w:tc>
          <w:tcPr>
            <w:tcW w:w="1661" w:type="dxa"/>
            <w:vAlign w:val="center"/>
          </w:tcPr>
          <w:p w14:paraId="2026CF5D">
            <w:pPr>
              <w:keepNext w:val="0"/>
              <w:keepLines w:val="0"/>
              <w:pageBreakBefore w:val="0"/>
              <w:widowControl w:val="0"/>
              <w:numPr>
                <w:ilvl w:val="0"/>
                <w:numId w:val="0"/>
              </w:numPr>
              <w:kinsoku/>
              <w:wordWrap/>
              <w:overflowPunct/>
              <w:topLinePunct w:val="0"/>
              <w:autoSpaceDE/>
              <w:autoSpaceDN/>
              <w:bidi w:val="0"/>
              <w:adjustRightInd w:val="0"/>
              <w:snapToGrid w:val="0"/>
              <w:spacing w:line="520" w:lineRule="exact"/>
              <w:jc w:val="center"/>
              <w:textAlignment w:val="auto"/>
              <w:rPr>
                <w:rFonts w:hint="eastAsia" w:ascii="微软雅黑" w:hAnsi="微软雅黑" w:eastAsia="微软雅黑" w:cs="微软雅黑"/>
                <w:b w:val="0"/>
                <w:bCs/>
                <w:color w:val="auto"/>
                <w:spacing w:val="1"/>
                <w:kern w:val="2"/>
                <w:sz w:val="24"/>
                <w:szCs w:val="24"/>
                <w:highlight w:val="none"/>
                <w:vertAlign w:val="baseline"/>
                <w:lang w:val="en-US" w:eastAsia="zh-CN" w:bidi="ar-SA"/>
              </w:rPr>
            </w:pPr>
            <w:r>
              <w:rPr>
                <w:rFonts w:hint="eastAsia" w:ascii="微软雅黑" w:hAnsi="微软雅黑" w:eastAsia="微软雅黑" w:cs="微软雅黑"/>
                <w:lang w:val="en-US" w:eastAsia="zh-CN"/>
              </w:rPr>
              <w:t>371306</w:t>
            </w:r>
          </w:p>
        </w:tc>
      </w:tr>
      <w:tr w14:paraId="68EFF6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8" w:type="dxa"/>
          </w:tcPr>
          <w:p w14:paraId="70179E56">
            <w:pPr>
              <w:keepNext w:val="0"/>
              <w:keepLines w:val="0"/>
              <w:pageBreakBefore w:val="0"/>
              <w:widowControl w:val="0"/>
              <w:numPr>
                <w:ilvl w:val="0"/>
                <w:numId w:val="0"/>
              </w:numPr>
              <w:kinsoku/>
              <w:wordWrap/>
              <w:overflowPunct/>
              <w:topLinePunct w:val="0"/>
              <w:autoSpaceDE/>
              <w:autoSpaceDN/>
              <w:bidi w:val="0"/>
              <w:adjustRightInd w:val="0"/>
              <w:snapToGrid w:val="0"/>
              <w:spacing w:line="520" w:lineRule="exact"/>
              <w:jc w:val="center"/>
              <w:textAlignment w:val="auto"/>
              <w:rPr>
                <w:rFonts w:hint="default" w:ascii="微软雅黑" w:hAnsi="微软雅黑" w:eastAsia="微软雅黑" w:cs="微软雅黑"/>
                <w:b w:val="0"/>
                <w:bCs/>
                <w:color w:val="auto"/>
                <w:spacing w:val="1"/>
                <w:kern w:val="2"/>
                <w:sz w:val="24"/>
                <w:szCs w:val="24"/>
                <w:highlight w:val="none"/>
                <w:vertAlign w:val="baseline"/>
                <w:lang w:val="en-US" w:eastAsia="zh-CN" w:bidi="ar-SA"/>
              </w:rPr>
            </w:pPr>
            <w:r>
              <w:rPr>
                <w:rFonts w:hint="eastAsia" w:ascii="微软雅黑" w:hAnsi="微软雅黑" w:eastAsia="微软雅黑" w:cs="微软雅黑"/>
                <w:b w:val="0"/>
                <w:bCs/>
                <w:color w:val="auto"/>
                <w:spacing w:val="1"/>
                <w:kern w:val="2"/>
                <w:sz w:val="24"/>
                <w:szCs w:val="24"/>
                <w:highlight w:val="none"/>
                <w:vertAlign w:val="baseline"/>
                <w:lang w:val="en-US" w:eastAsia="zh-CN" w:bidi="ar-SA"/>
              </w:rPr>
              <w:t>2</w:t>
            </w:r>
          </w:p>
        </w:tc>
        <w:tc>
          <w:tcPr>
            <w:tcW w:w="1160" w:type="dxa"/>
          </w:tcPr>
          <w:p w14:paraId="763D6FA7">
            <w:pPr>
              <w:keepNext w:val="0"/>
              <w:keepLines w:val="0"/>
              <w:pageBreakBefore w:val="0"/>
              <w:widowControl w:val="0"/>
              <w:numPr>
                <w:ilvl w:val="0"/>
                <w:numId w:val="0"/>
              </w:numPr>
              <w:kinsoku/>
              <w:wordWrap/>
              <w:overflowPunct/>
              <w:topLinePunct w:val="0"/>
              <w:autoSpaceDE/>
              <w:autoSpaceDN/>
              <w:bidi w:val="0"/>
              <w:adjustRightInd w:val="0"/>
              <w:snapToGrid w:val="0"/>
              <w:spacing w:line="520" w:lineRule="exact"/>
              <w:jc w:val="center"/>
              <w:textAlignment w:val="auto"/>
              <w:rPr>
                <w:rFonts w:hint="eastAsia" w:ascii="微软雅黑" w:hAnsi="微软雅黑" w:eastAsia="微软雅黑" w:cs="微软雅黑"/>
                <w:b w:val="0"/>
                <w:bCs/>
                <w:color w:val="auto"/>
                <w:spacing w:val="1"/>
                <w:kern w:val="2"/>
                <w:sz w:val="24"/>
                <w:szCs w:val="24"/>
                <w:highlight w:val="none"/>
                <w:vertAlign w:val="baseline"/>
                <w:lang w:val="en-US" w:eastAsia="zh-CN" w:bidi="ar-SA"/>
              </w:rPr>
            </w:pPr>
            <w:r>
              <w:rPr>
                <w:rFonts w:hint="eastAsia" w:ascii="微软雅黑" w:hAnsi="微软雅黑" w:eastAsia="微软雅黑" w:cs="微软雅黑"/>
                <w:b w:val="0"/>
                <w:bCs/>
                <w:color w:val="auto"/>
                <w:spacing w:val="1"/>
                <w:kern w:val="2"/>
                <w:sz w:val="24"/>
                <w:szCs w:val="24"/>
                <w:highlight w:val="none"/>
                <w:vertAlign w:val="baseline"/>
                <w:lang w:val="en-US" w:eastAsia="zh-CN" w:bidi="ar-SA"/>
              </w:rPr>
              <w:t>第二包</w:t>
            </w:r>
          </w:p>
        </w:tc>
        <w:tc>
          <w:tcPr>
            <w:tcW w:w="3480" w:type="dxa"/>
          </w:tcPr>
          <w:p w14:paraId="1D9EAA8F">
            <w:pPr>
              <w:keepNext w:val="0"/>
              <w:keepLines w:val="0"/>
              <w:pageBreakBefore w:val="0"/>
              <w:widowControl w:val="0"/>
              <w:numPr>
                <w:ilvl w:val="0"/>
                <w:numId w:val="0"/>
              </w:numPr>
              <w:kinsoku/>
              <w:wordWrap/>
              <w:overflowPunct/>
              <w:topLinePunct w:val="0"/>
              <w:autoSpaceDE/>
              <w:autoSpaceDN/>
              <w:bidi w:val="0"/>
              <w:adjustRightInd w:val="0"/>
              <w:snapToGrid w:val="0"/>
              <w:spacing w:line="520" w:lineRule="exact"/>
              <w:jc w:val="left"/>
              <w:textAlignment w:val="auto"/>
              <w:rPr>
                <w:rFonts w:hint="eastAsia" w:ascii="微软雅黑" w:hAnsi="微软雅黑" w:eastAsia="微软雅黑" w:cs="微软雅黑"/>
                <w:b w:val="0"/>
                <w:bCs/>
                <w:color w:val="auto"/>
                <w:spacing w:val="1"/>
                <w:kern w:val="2"/>
                <w:sz w:val="24"/>
                <w:szCs w:val="24"/>
                <w:highlight w:val="none"/>
                <w:vertAlign w:val="baseline"/>
                <w:lang w:val="en-US" w:eastAsia="zh-CN" w:bidi="ar-SA"/>
              </w:rPr>
            </w:pPr>
            <w:r>
              <w:rPr>
                <w:rFonts w:hint="eastAsia" w:ascii="微软雅黑" w:hAnsi="微软雅黑" w:eastAsia="微软雅黑" w:cs="微软雅黑"/>
                <w:lang w:val="en-US" w:eastAsia="zh-CN"/>
              </w:rPr>
              <w:t>也克先拜巴扎镇，艾西曼镇</w:t>
            </w:r>
          </w:p>
        </w:tc>
        <w:tc>
          <w:tcPr>
            <w:tcW w:w="1600" w:type="dxa"/>
            <w:vAlign w:val="center"/>
          </w:tcPr>
          <w:p w14:paraId="167852B3">
            <w:pPr>
              <w:keepNext w:val="0"/>
              <w:keepLines w:val="0"/>
              <w:pageBreakBefore w:val="0"/>
              <w:widowControl w:val="0"/>
              <w:numPr>
                <w:ilvl w:val="0"/>
                <w:numId w:val="0"/>
              </w:numPr>
              <w:kinsoku/>
              <w:wordWrap/>
              <w:overflowPunct/>
              <w:topLinePunct w:val="0"/>
              <w:autoSpaceDE/>
              <w:autoSpaceDN/>
              <w:bidi w:val="0"/>
              <w:adjustRightInd w:val="0"/>
              <w:snapToGrid w:val="0"/>
              <w:spacing w:line="520" w:lineRule="exact"/>
              <w:jc w:val="center"/>
              <w:textAlignment w:val="auto"/>
              <w:rPr>
                <w:rFonts w:hint="eastAsia" w:ascii="微软雅黑" w:hAnsi="微软雅黑" w:eastAsia="微软雅黑" w:cs="微软雅黑"/>
                <w:b w:val="0"/>
                <w:bCs/>
                <w:color w:val="auto"/>
                <w:spacing w:val="1"/>
                <w:kern w:val="2"/>
                <w:sz w:val="24"/>
                <w:szCs w:val="24"/>
                <w:highlight w:val="none"/>
                <w:vertAlign w:val="baseline"/>
                <w:lang w:val="en-US" w:eastAsia="zh-CN" w:bidi="ar-SA"/>
              </w:rPr>
            </w:pPr>
            <w:r>
              <w:rPr>
                <w:rFonts w:hint="eastAsia" w:ascii="微软雅黑" w:hAnsi="微软雅黑" w:eastAsia="微软雅黑" w:cs="微软雅黑"/>
                <w:lang w:val="en-US" w:eastAsia="zh-CN"/>
              </w:rPr>
              <w:t>4016</w:t>
            </w:r>
          </w:p>
        </w:tc>
        <w:tc>
          <w:tcPr>
            <w:tcW w:w="1263" w:type="dxa"/>
            <w:vAlign w:val="center"/>
          </w:tcPr>
          <w:p w14:paraId="3FEC9FD0">
            <w:pPr>
              <w:keepNext w:val="0"/>
              <w:keepLines w:val="0"/>
              <w:pageBreakBefore w:val="0"/>
              <w:widowControl w:val="0"/>
              <w:numPr>
                <w:ilvl w:val="0"/>
                <w:numId w:val="0"/>
              </w:numPr>
              <w:kinsoku/>
              <w:wordWrap/>
              <w:overflowPunct/>
              <w:topLinePunct w:val="0"/>
              <w:autoSpaceDE/>
              <w:autoSpaceDN/>
              <w:bidi w:val="0"/>
              <w:adjustRightInd w:val="0"/>
              <w:snapToGrid w:val="0"/>
              <w:spacing w:line="520" w:lineRule="exact"/>
              <w:jc w:val="center"/>
              <w:textAlignment w:val="auto"/>
              <w:rPr>
                <w:rFonts w:hint="eastAsia" w:ascii="微软雅黑" w:hAnsi="微软雅黑" w:eastAsia="微软雅黑" w:cs="微软雅黑"/>
                <w:b w:val="0"/>
                <w:bCs/>
                <w:color w:val="auto"/>
                <w:spacing w:val="1"/>
                <w:kern w:val="2"/>
                <w:sz w:val="24"/>
                <w:szCs w:val="24"/>
                <w:highlight w:val="none"/>
                <w:vertAlign w:val="baseline"/>
                <w:lang w:val="en-US" w:eastAsia="zh-CN" w:bidi="ar-SA"/>
              </w:rPr>
            </w:pPr>
            <w:r>
              <w:rPr>
                <w:rFonts w:hint="eastAsia" w:ascii="微软雅黑" w:hAnsi="微软雅黑" w:eastAsia="微软雅黑" w:cs="微软雅黑"/>
                <w:lang w:val="en-US" w:eastAsia="zh-CN"/>
              </w:rPr>
              <w:t>10271</w:t>
            </w:r>
          </w:p>
        </w:tc>
        <w:tc>
          <w:tcPr>
            <w:tcW w:w="1661" w:type="dxa"/>
            <w:vAlign w:val="center"/>
          </w:tcPr>
          <w:p w14:paraId="0865E0F1">
            <w:pPr>
              <w:keepNext w:val="0"/>
              <w:keepLines w:val="0"/>
              <w:pageBreakBefore w:val="0"/>
              <w:widowControl w:val="0"/>
              <w:numPr>
                <w:ilvl w:val="0"/>
                <w:numId w:val="0"/>
              </w:numPr>
              <w:kinsoku/>
              <w:wordWrap/>
              <w:overflowPunct/>
              <w:topLinePunct w:val="0"/>
              <w:autoSpaceDE/>
              <w:autoSpaceDN/>
              <w:bidi w:val="0"/>
              <w:adjustRightInd w:val="0"/>
              <w:snapToGrid w:val="0"/>
              <w:spacing w:line="520" w:lineRule="exact"/>
              <w:jc w:val="center"/>
              <w:textAlignment w:val="auto"/>
              <w:rPr>
                <w:rFonts w:hint="eastAsia" w:ascii="微软雅黑" w:hAnsi="微软雅黑" w:eastAsia="微软雅黑" w:cs="微软雅黑"/>
                <w:b w:val="0"/>
                <w:bCs/>
                <w:color w:val="auto"/>
                <w:spacing w:val="1"/>
                <w:kern w:val="2"/>
                <w:sz w:val="24"/>
                <w:szCs w:val="24"/>
                <w:highlight w:val="none"/>
                <w:vertAlign w:val="baseline"/>
                <w:lang w:val="en-US" w:eastAsia="zh-CN" w:bidi="ar-SA"/>
              </w:rPr>
            </w:pPr>
            <w:r>
              <w:rPr>
                <w:rFonts w:hint="eastAsia" w:ascii="微软雅黑" w:hAnsi="微软雅黑" w:eastAsia="微软雅黑" w:cs="微软雅黑"/>
                <w:lang w:val="en-US" w:eastAsia="zh-CN"/>
              </w:rPr>
              <w:t>447931</w:t>
            </w:r>
          </w:p>
        </w:tc>
      </w:tr>
      <w:tr w14:paraId="70A80F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8" w:type="dxa"/>
          </w:tcPr>
          <w:p w14:paraId="554CCD86">
            <w:pPr>
              <w:keepNext w:val="0"/>
              <w:keepLines w:val="0"/>
              <w:pageBreakBefore w:val="0"/>
              <w:widowControl w:val="0"/>
              <w:numPr>
                <w:ilvl w:val="0"/>
                <w:numId w:val="0"/>
              </w:numPr>
              <w:kinsoku/>
              <w:wordWrap/>
              <w:overflowPunct/>
              <w:topLinePunct w:val="0"/>
              <w:autoSpaceDE/>
              <w:autoSpaceDN/>
              <w:bidi w:val="0"/>
              <w:adjustRightInd w:val="0"/>
              <w:snapToGrid w:val="0"/>
              <w:spacing w:line="520" w:lineRule="exact"/>
              <w:jc w:val="center"/>
              <w:textAlignment w:val="auto"/>
              <w:rPr>
                <w:rFonts w:hint="default" w:ascii="微软雅黑" w:hAnsi="微软雅黑" w:eastAsia="微软雅黑" w:cs="微软雅黑"/>
                <w:b w:val="0"/>
                <w:bCs/>
                <w:color w:val="auto"/>
                <w:spacing w:val="1"/>
                <w:kern w:val="2"/>
                <w:sz w:val="24"/>
                <w:szCs w:val="24"/>
                <w:highlight w:val="none"/>
                <w:vertAlign w:val="baseline"/>
                <w:lang w:val="en-US" w:eastAsia="zh-CN" w:bidi="ar-SA"/>
              </w:rPr>
            </w:pPr>
            <w:r>
              <w:rPr>
                <w:rFonts w:hint="eastAsia" w:ascii="微软雅黑" w:hAnsi="微软雅黑" w:eastAsia="微软雅黑" w:cs="微软雅黑"/>
                <w:b w:val="0"/>
                <w:bCs/>
                <w:color w:val="auto"/>
                <w:spacing w:val="1"/>
                <w:kern w:val="2"/>
                <w:sz w:val="24"/>
                <w:szCs w:val="24"/>
                <w:highlight w:val="none"/>
                <w:vertAlign w:val="baseline"/>
                <w:lang w:val="en-US" w:eastAsia="zh-CN" w:bidi="ar-SA"/>
              </w:rPr>
              <w:t>3</w:t>
            </w:r>
          </w:p>
        </w:tc>
        <w:tc>
          <w:tcPr>
            <w:tcW w:w="1160" w:type="dxa"/>
          </w:tcPr>
          <w:p w14:paraId="7629B8DB">
            <w:pPr>
              <w:keepNext w:val="0"/>
              <w:keepLines w:val="0"/>
              <w:pageBreakBefore w:val="0"/>
              <w:widowControl w:val="0"/>
              <w:numPr>
                <w:ilvl w:val="0"/>
                <w:numId w:val="0"/>
              </w:numPr>
              <w:kinsoku/>
              <w:wordWrap/>
              <w:overflowPunct/>
              <w:topLinePunct w:val="0"/>
              <w:autoSpaceDE/>
              <w:autoSpaceDN/>
              <w:bidi w:val="0"/>
              <w:adjustRightInd w:val="0"/>
              <w:snapToGrid w:val="0"/>
              <w:spacing w:line="520" w:lineRule="exact"/>
              <w:jc w:val="center"/>
              <w:textAlignment w:val="auto"/>
              <w:rPr>
                <w:rFonts w:hint="eastAsia" w:ascii="微软雅黑" w:hAnsi="微软雅黑" w:eastAsia="微软雅黑" w:cs="微软雅黑"/>
                <w:b w:val="0"/>
                <w:bCs/>
                <w:color w:val="auto"/>
                <w:spacing w:val="1"/>
                <w:kern w:val="2"/>
                <w:sz w:val="24"/>
                <w:szCs w:val="24"/>
                <w:highlight w:val="none"/>
                <w:vertAlign w:val="baseline"/>
                <w:lang w:val="en-US" w:eastAsia="zh-CN" w:bidi="ar-SA"/>
              </w:rPr>
            </w:pPr>
            <w:r>
              <w:rPr>
                <w:rFonts w:hint="eastAsia" w:ascii="微软雅黑" w:hAnsi="微软雅黑" w:eastAsia="微软雅黑" w:cs="微软雅黑"/>
                <w:b w:val="0"/>
                <w:bCs/>
                <w:color w:val="auto"/>
                <w:spacing w:val="1"/>
                <w:kern w:val="2"/>
                <w:sz w:val="24"/>
                <w:szCs w:val="24"/>
                <w:highlight w:val="none"/>
                <w:vertAlign w:val="baseline"/>
                <w:lang w:val="en-US" w:eastAsia="zh-CN" w:bidi="ar-SA"/>
              </w:rPr>
              <w:t>第三包</w:t>
            </w:r>
          </w:p>
        </w:tc>
        <w:tc>
          <w:tcPr>
            <w:tcW w:w="3480" w:type="dxa"/>
          </w:tcPr>
          <w:p w14:paraId="388DA914">
            <w:pPr>
              <w:keepNext w:val="0"/>
              <w:keepLines w:val="0"/>
              <w:pageBreakBefore w:val="0"/>
              <w:widowControl w:val="0"/>
              <w:numPr>
                <w:ilvl w:val="0"/>
                <w:numId w:val="0"/>
              </w:numPr>
              <w:kinsoku/>
              <w:wordWrap/>
              <w:overflowPunct/>
              <w:topLinePunct w:val="0"/>
              <w:autoSpaceDE/>
              <w:autoSpaceDN/>
              <w:bidi w:val="0"/>
              <w:adjustRightInd w:val="0"/>
              <w:snapToGrid w:val="0"/>
              <w:spacing w:line="520" w:lineRule="exact"/>
              <w:jc w:val="left"/>
              <w:textAlignment w:val="auto"/>
              <w:rPr>
                <w:rFonts w:hint="eastAsia" w:ascii="微软雅黑" w:hAnsi="微软雅黑" w:eastAsia="微软雅黑" w:cs="微软雅黑"/>
                <w:b w:val="0"/>
                <w:bCs/>
                <w:color w:val="auto"/>
                <w:spacing w:val="1"/>
                <w:kern w:val="2"/>
                <w:sz w:val="24"/>
                <w:szCs w:val="24"/>
                <w:highlight w:val="none"/>
                <w:vertAlign w:val="baseline"/>
                <w:lang w:val="en-US" w:eastAsia="zh-CN" w:bidi="ar-SA"/>
              </w:rPr>
            </w:pPr>
            <w:r>
              <w:rPr>
                <w:rFonts w:hint="eastAsia" w:ascii="微软雅黑" w:hAnsi="微软雅黑" w:eastAsia="微软雅黑" w:cs="微软雅黑"/>
                <w:lang w:val="en-US" w:eastAsia="zh-CN"/>
              </w:rPr>
              <w:t>阿其克乡，色也克乡</w:t>
            </w:r>
          </w:p>
        </w:tc>
        <w:tc>
          <w:tcPr>
            <w:tcW w:w="1600" w:type="dxa"/>
            <w:vAlign w:val="center"/>
          </w:tcPr>
          <w:p w14:paraId="0EE34ECA">
            <w:pPr>
              <w:keepNext w:val="0"/>
              <w:keepLines w:val="0"/>
              <w:pageBreakBefore w:val="0"/>
              <w:widowControl w:val="0"/>
              <w:numPr>
                <w:ilvl w:val="0"/>
                <w:numId w:val="0"/>
              </w:numPr>
              <w:kinsoku/>
              <w:wordWrap/>
              <w:overflowPunct/>
              <w:topLinePunct w:val="0"/>
              <w:autoSpaceDE/>
              <w:autoSpaceDN/>
              <w:bidi w:val="0"/>
              <w:adjustRightInd w:val="0"/>
              <w:snapToGrid w:val="0"/>
              <w:spacing w:line="520" w:lineRule="exact"/>
              <w:jc w:val="center"/>
              <w:textAlignment w:val="auto"/>
              <w:rPr>
                <w:rFonts w:hint="eastAsia" w:ascii="微软雅黑" w:hAnsi="微软雅黑" w:eastAsia="微软雅黑" w:cs="微软雅黑"/>
                <w:b w:val="0"/>
                <w:bCs/>
                <w:color w:val="auto"/>
                <w:spacing w:val="1"/>
                <w:kern w:val="2"/>
                <w:sz w:val="24"/>
                <w:szCs w:val="24"/>
                <w:highlight w:val="none"/>
                <w:vertAlign w:val="baseline"/>
                <w:lang w:val="en-US" w:eastAsia="zh-CN" w:bidi="ar-SA"/>
              </w:rPr>
            </w:pPr>
            <w:r>
              <w:rPr>
                <w:rFonts w:hint="eastAsia" w:ascii="微软雅黑" w:hAnsi="微软雅黑" w:eastAsia="微软雅黑" w:cs="微软雅黑"/>
                <w:lang w:val="en-US" w:eastAsia="zh-CN"/>
              </w:rPr>
              <w:t>3031</w:t>
            </w:r>
          </w:p>
        </w:tc>
        <w:tc>
          <w:tcPr>
            <w:tcW w:w="1263" w:type="dxa"/>
            <w:vAlign w:val="center"/>
          </w:tcPr>
          <w:p w14:paraId="3A08C296">
            <w:pPr>
              <w:keepNext w:val="0"/>
              <w:keepLines w:val="0"/>
              <w:pageBreakBefore w:val="0"/>
              <w:widowControl w:val="0"/>
              <w:numPr>
                <w:ilvl w:val="0"/>
                <w:numId w:val="0"/>
              </w:numPr>
              <w:kinsoku/>
              <w:wordWrap/>
              <w:overflowPunct/>
              <w:topLinePunct w:val="0"/>
              <w:autoSpaceDE/>
              <w:autoSpaceDN/>
              <w:bidi w:val="0"/>
              <w:adjustRightInd w:val="0"/>
              <w:snapToGrid w:val="0"/>
              <w:spacing w:line="520" w:lineRule="exact"/>
              <w:jc w:val="center"/>
              <w:textAlignment w:val="auto"/>
              <w:rPr>
                <w:rFonts w:hint="eastAsia" w:ascii="微软雅黑" w:hAnsi="微软雅黑" w:eastAsia="微软雅黑" w:cs="微软雅黑"/>
                <w:b w:val="0"/>
                <w:bCs/>
                <w:color w:val="auto"/>
                <w:spacing w:val="1"/>
                <w:kern w:val="2"/>
                <w:sz w:val="24"/>
                <w:szCs w:val="24"/>
                <w:highlight w:val="none"/>
                <w:vertAlign w:val="baseline"/>
                <w:lang w:val="en-US" w:eastAsia="zh-CN" w:bidi="ar-SA"/>
              </w:rPr>
            </w:pPr>
            <w:r>
              <w:rPr>
                <w:rFonts w:hint="eastAsia" w:ascii="微软雅黑" w:hAnsi="微软雅黑" w:eastAsia="微软雅黑" w:cs="微软雅黑"/>
                <w:lang w:val="en-US" w:eastAsia="zh-CN"/>
              </w:rPr>
              <w:t>6444</w:t>
            </w:r>
          </w:p>
        </w:tc>
        <w:tc>
          <w:tcPr>
            <w:tcW w:w="1661" w:type="dxa"/>
            <w:vAlign w:val="center"/>
          </w:tcPr>
          <w:p w14:paraId="0BCDE6BC">
            <w:pPr>
              <w:keepNext w:val="0"/>
              <w:keepLines w:val="0"/>
              <w:pageBreakBefore w:val="0"/>
              <w:widowControl w:val="0"/>
              <w:numPr>
                <w:ilvl w:val="0"/>
                <w:numId w:val="0"/>
              </w:numPr>
              <w:kinsoku/>
              <w:wordWrap/>
              <w:overflowPunct/>
              <w:topLinePunct w:val="0"/>
              <w:autoSpaceDE/>
              <w:autoSpaceDN/>
              <w:bidi w:val="0"/>
              <w:adjustRightInd w:val="0"/>
              <w:snapToGrid w:val="0"/>
              <w:spacing w:line="520" w:lineRule="exact"/>
              <w:jc w:val="center"/>
              <w:textAlignment w:val="auto"/>
              <w:rPr>
                <w:rFonts w:hint="eastAsia" w:ascii="微软雅黑" w:hAnsi="微软雅黑" w:eastAsia="微软雅黑" w:cs="微软雅黑"/>
                <w:b w:val="0"/>
                <w:bCs/>
                <w:color w:val="auto"/>
                <w:spacing w:val="1"/>
                <w:kern w:val="2"/>
                <w:sz w:val="24"/>
                <w:szCs w:val="24"/>
                <w:highlight w:val="none"/>
                <w:vertAlign w:val="baseline"/>
                <w:lang w:val="en-US" w:eastAsia="zh-CN" w:bidi="ar-SA"/>
              </w:rPr>
            </w:pPr>
            <w:r>
              <w:rPr>
                <w:rFonts w:hint="eastAsia" w:ascii="微软雅黑" w:hAnsi="微软雅黑" w:eastAsia="微软雅黑" w:cs="微软雅黑"/>
                <w:lang w:val="en-US" w:eastAsia="zh-CN"/>
              </w:rPr>
              <w:t>338080</w:t>
            </w:r>
          </w:p>
        </w:tc>
      </w:tr>
      <w:tr w14:paraId="317FC3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8" w:type="dxa"/>
          </w:tcPr>
          <w:p w14:paraId="016ADBD7">
            <w:pPr>
              <w:keepNext w:val="0"/>
              <w:keepLines w:val="0"/>
              <w:pageBreakBefore w:val="0"/>
              <w:widowControl w:val="0"/>
              <w:numPr>
                <w:ilvl w:val="0"/>
                <w:numId w:val="0"/>
              </w:numPr>
              <w:kinsoku/>
              <w:wordWrap/>
              <w:overflowPunct/>
              <w:topLinePunct w:val="0"/>
              <w:autoSpaceDE/>
              <w:autoSpaceDN/>
              <w:bidi w:val="0"/>
              <w:adjustRightInd w:val="0"/>
              <w:snapToGrid w:val="0"/>
              <w:spacing w:line="520" w:lineRule="exact"/>
              <w:jc w:val="center"/>
              <w:textAlignment w:val="auto"/>
              <w:rPr>
                <w:rFonts w:hint="default" w:ascii="微软雅黑" w:hAnsi="微软雅黑" w:eastAsia="微软雅黑" w:cs="微软雅黑"/>
                <w:b w:val="0"/>
                <w:bCs/>
                <w:color w:val="auto"/>
                <w:spacing w:val="1"/>
                <w:kern w:val="2"/>
                <w:sz w:val="24"/>
                <w:szCs w:val="24"/>
                <w:highlight w:val="none"/>
                <w:vertAlign w:val="baseline"/>
                <w:lang w:val="en-US" w:eastAsia="zh-CN" w:bidi="ar-SA"/>
              </w:rPr>
            </w:pPr>
            <w:r>
              <w:rPr>
                <w:rFonts w:hint="eastAsia" w:ascii="微软雅黑" w:hAnsi="微软雅黑" w:eastAsia="微软雅黑" w:cs="微软雅黑"/>
                <w:b w:val="0"/>
                <w:bCs/>
                <w:color w:val="auto"/>
                <w:spacing w:val="1"/>
                <w:kern w:val="2"/>
                <w:sz w:val="24"/>
                <w:szCs w:val="24"/>
                <w:highlight w:val="none"/>
                <w:vertAlign w:val="baseline"/>
                <w:lang w:val="en-US" w:eastAsia="zh-CN" w:bidi="ar-SA"/>
              </w:rPr>
              <w:t>4</w:t>
            </w:r>
          </w:p>
        </w:tc>
        <w:tc>
          <w:tcPr>
            <w:tcW w:w="1160" w:type="dxa"/>
          </w:tcPr>
          <w:p w14:paraId="5BACBB71">
            <w:pPr>
              <w:keepNext w:val="0"/>
              <w:keepLines w:val="0"/>
              <w:pageBreakBefore w:val="0"/>
              <w:widowControl w:val="0"/>
              <w:numPr>
                <w:ilvl w:val="0"/>
                <w:numId w:val="0"/>
              </w:numPr>
              <w:kinsoku/>
              <w:wordWrap/>
              <w:overflowPunct/>
              <w:topLinePunct w:val="0"/>
              <w:autoSpaceDE/>
              <w:autoSpaceDN/>
              <w:bidi w:val="0"/>
              <w:adjustRightInd w:val="0"/>
              <w:snapToGrid w:val="0"/>
              <w:spacing w:line="520" w:lineRule="exact"/>
              <w:jc w:val="center"/>
              <w:textAlignment w:val="auto"/>
              <w:rPr>
                <w:rFonts w:hint="eastAsia" w:ascii="微软雅黑" w:hAnsi="微软雅黑" w:eastAsia="微软雅黑" w:cs="微软雅黑"/>
                <w:b w:val="0"/>
                <w:bCs/>
                <w:color w:val="auto"/>
                <w:spacing w:val="1"/>
                <w:kern w:val="2"/>
                <w:sz w:val="24"/>
                <w:szCs w:val="24"/>
                <w:highlight w:val="none"/>
                <w:vertAlign w:val="baseline"/>
                <w:lang w:val="en-US" w:eastAsia="zh-CN" w:bidi="ar-SA"/>
              </w:rPr>
            </w:pPr>
            <w:r>
              <w:rPr>
                <w:rFonts w:hint="eastAsia" w:ascii="微软雅黑" w:hAnsi="微软雅黑" w:eastAsia="微软雅黑" w:cs="微软雅黑"/>
                <w:b w:val="0"/>
                <w:bCs/>
                <w:color w:val="auto"/>
                <w:spacing w:val="1"/>
                <w:kern w:val="2"/>
                <w:sz w:val="24"/>
                <w:szCs w:val="24"/>
                <w:highlight w:val="none"/>
                <w:vertAlign w:val="baseline"/>
                <w:lang w:val="en-US" w:eastAsia="zh-CN" w:bidi="ar-SA"/>
              </w:rPr>
              <w:t>第四包</w:t>
            </w:r>
          </w:p>
        </w:tc>
        <w:tc>
          <w:tcPr>
            <w:tcW w:w="3480" w:type="dxa"/>
          </w:tcPr>
          <w:p w14:paraId="147725AF">
            <w:pPr>
              <w:keepNext w:val="0"/>
              <w:keepLines w:val="0"/>
              <w:pageBreakBefore w:val="0"/>
              <w:widowControl w:val="0"/>
              <w:numPr>
                <w:ilvl w:val="0"/>
                <w:numId w:val="0"/>
              </w:numPr>
              <w:kinsoku/>
              <w:wordWrap/>
              <w:overflowPunct/>
              <w:topLinePunct w:val="0"/>
              <w:autoSpaceDE/>
              <w:autoSpaceDN/>
              <w:bidi w:val="0"/>
              <w:adjustRightInd w:val="0"/>
              <w:snapToGrid w:val="0"/>
              <w:spacing w:line="520" w:lineRule="exact"/>
              <w:jc w:val="left"/>
              <w:textAlignment w:val="auto"/>
              <w:rPr>
                <w:rFonts w:hint="eastAsia" w:ascii="微软雅黑" w:hAnsi="微软雅黑" w:eastAsia="微软雅黑" w:cs="微软雅黑"/>
                <w:b w:val="0"/>
                <w:bCs/>
                <w:color w:val="auto"/>
                <w:spacing w:val="1"/>
                <w:kern w:val="2"/>
                <w:sz w:val="24"/>
                <w:szCs w:val="24"/>
                <w:highlight w:val="none"/>
                <w:vertAlign w:val="baseline"/>
                <w:lang w:val="en-US" w:eastAsia="zh-CN" w:bidi="ar-SA"/>
              </w:rPr>
            </w:pPr>
            <w:r>
              <w:rPr>
                <w:rFonts w:hint="eastAsia" w:ascii="微软雅黑" w:hAnsi="微软雅黑" w:eastAsia="微软雅黑" w:cs="微软雅黑"/>
                <w:lang w:val="en-US" w:eastAsia="zh-CN"/>
              </w:rPr>
              <w:t>铁热木镇，巴依阿瓦提多，阿洪鲁库木乡</w:t>
            </w:r>
          </w:p>
        </w:tc>
        <w:tc>
          <w:tcPr>
            <w:tcW w:w="1600" w:type="dxa"/>
            <w:vAlign w:val="center"/>
          </w:tcPr>
          <w:p w14:paraId="19370903">
            <w:pPr>
              <w:keepNext w:val="0"/>
              <w:keepLines w:val="0"/>
              <w:pageBreakBefore w:val="0"/>
              <w:widowControl w:val="0"/>
              <w:numPr>
                <w:ilvl w:val="0"/>
                <w:numId w:val="0"/>
              </w:numPr>
              <w:kinsoku/>
              <w:wordWrap/>
              <w:overflowPunct/>
              <w:topLinePunct w:val="0"/>
              <w:autoSpaceDE/>
              <w:autoSpaceDN/>
              <w:bidi w:val="0"/>
              <w:adjustRightInd w:val="0"/>
              <w:snapToGrid w:val="0"/>
              <w:spacing w:line="520" w:lineRule="exact"/>
              <w:jc w:val="center"/>
              <w:textAlignment w:val="auto"/>
              <w:rPr>
                <w:rFonts w:hint="eastAsia" w:ascii="微软雅黑" w:hAnsi="微软雅黑" w:eastAsia="微软雅黑" w:cs="微软雅黑"/>
                <w:b w:val="0"/>
                <w:bCs/>
                <w:color w:val="auto"/>
                <w:spacing w:val="1"/>
                <w:kern w:val="2"/>
                <w:sz w:val="24"/>
                <w:szCs w:val="24"/>
                <w:highlight w:val="none"/>
                <w:vertAlign w:val="baseline"/>
                <w:lang w:val="en-US" w:eastAsia="zh-CN" w:bidi="ar-SA"/>
              </w:rPr>
            </w:pPr>
            <w:r>
              <w:rPr>
                <w:rFonts w:hint="eastAsia" w:ascii="微软雅黑" w:hAnsi="微软雅黑" w:eastAsia="微软雅黑" w:cs="微软雅黑"/>
                <w:lang w:val="en-US" w:eastAsia="zh-CN"/>
              </w:rPr>
              <w:t>3608</w:t>
            </w:r>
          </w:p>
        </w:tc>
        <w:tc>
          <w:tcPr>
            <w:tcW w:w="1263" w:type="dxa"/>
            <w:vAlign w:val="center"/>
          </w:tcPr>
          <w:p w14:paraId="64A73189">
            <w:pPr>
              <w:keepNext w:val="0"/>
              <w:keepLines w:val="0"/>
              <w:pageBreakBefore w:val="0"/>
              <w:widowControl w:val="0"/>
              <w:numPr>
                <w:ilvl w:val="0"/>
                <w:numId w:val="0"/>
              </w:numPr>
              <w:kinsoku/>
              <w:wordWrap/>
              <w:overflowPunct/>
              <w:topLinePunct w:val="0"/>
              <w:autoSpaceDE/>
              <w:autoSpaceDN/>
              <w:bidi w:val="0"/>
              <w:adjustRightInd w:val="0"/>
              <w:snapToGrid w:val="0"/>
              <w:spacing w:line="520" w:lineRule="exact"/>
              <w:jc w:val="center"/>
              <w:textAlignment w:val="auto"/>
              <w:rPr>
                <w:rFonts w:hint="eastAsia" w:ascii="微软雅黑" w:hAnsi="微软雅黑" w:eastAsia="微软雅黑" w:cs="微软雅黑"/>
                <w:b w:val="0"/>
                <w:bCs/>
                <w:color w:val="auto"/>
                <w:spacing w:val="1"/>
                <w:kern w:val="2"/>
                <w:sz w:val="24"/>
                <w:szCs w:val="24"/>
                <w:highlight w:val="none"/>
                <w:vertAlign w:val="baseline"/>
                <w:lang w:val="en-US" w:eastAsia="zh-CN" w:bidi="ar-SA"/>
              </w:rPr>
            </w:pPr>
            <w:r>
              <w:rPr>
                <w:rFonts w:hint="eastAsia" w:ascii="微软雅黑" w:hAnsi="微软雅黑" w:eastAsia="微软雅黑" w:cs="微软雅黑"/>
                <w:lang w:val="en-US" w:eastAsia="zh-CN"/>
              </w:rPr>
              <w:t>8453</w:t>
            </w:r>
          </w:p>
        </w:tc>
        <w:tc>
          <w:tcPr>
            <w:tcW w:w="1661" w:type="dxa"/>
            <w:vAlign w:val="center"/>
          </w:tcPr>
          <w:p w14:paraId="6B26F410">
            <w:pPr>
              <w:keepNext w:val="0"/>
              <w:keepLines w:val="0"/>
              <w:pageBreakBefore w:val="0"/>
              <w:widowControl w:val="0"/>
              <w:numPr>
                <w:ilvl w:val="0"/>
                <w:numId w:val="0"/>
              </w:numPr>
              <w:kinsoku/>
              <w:wordWrap/>
              <w:overflowPunct/>
              <w:topLinePunct w:val="0"/>
              <w:autoSpaceDE/>
              <w:autoSpaceDN/>
              <w:bidi w:val="0"/>
              <w:adjustRightInd w:val="0"/>
              <w:snapToGrid w:val="0"/>
              <w:spacing w:line="520" w:lineRule="exact"/>
              <w:jc w:val="center"/>
              <w:textAlignment w:val="auto"/>
              <w:rPr>
                <w:rFonts w:hint="eastAsia" w:ascii="微软雅黑" w:hAnsi="微软雅黑" w:eastAsia="微软雅黑" w:cs="微软雅黑"/>
                <w:b w:val="0"/>
                <w:bCs/>
                <w:color w:val="auto"/>
                <w:spacing w:val="1"/>
                <w:kern w:val="2"/>
                <w:sz w:val="24"/>
                <w:szCs w:val="24"/>
                <w:highlight w:val="none"/>
                <w:vertAlign w:val="baseline"/>
                <w:lang w:val="en-US" w:eastAsia="zh-CN" w:bidi="ar-SA"/>
              </w:rPr>
            </w:pPr>
            <w:r>
              <w:rPr>
                <w:rFonts w:hint="eastAsia" w:ascii="微软雅黑" w:hAnsi="微软雅黑" w:eastAsia="微软雅黑" w:cs="微软雅黑"/>
                <w:lang w:val="en-US" w:eastAsia="zh-CN"/>
              </w:rPr>
              <w:t>402424</w:t>
            </w:r>
          </w:p>
        </w:tc>
      </w:tr>
    </w:tbl>
    <w:p w14:paraId="2399A6C5">
      <w:pPr>
        <w:keepNext w:val="0"/>
        <w:keepLines w:val="0"/>
        <w:pageBreakBefore w:val="0"/>
        <w:widowControl w:val="0"/>
        <w:numPr>
          <w:ilvl w:val="0"/>
          <w:numId w:val="0"/>
        </w:numPr>
        <w:shd w:val="clear" w:color="auto" w:fill="FFFFFF"/>
        <w:kinsoku/>
        <w:wordWrap/>
        <w:overflowPunct/>
        <w:topLinePunct w:val="0"/>
        <w:autoSpaceDE/>
        <w:autoSpaceDN/>
        <w:bidi w:val="0"/>
        <w:adjustRightInd w:val="0"/>
        <w:snapToGrid w:val="0"/>
        <w:spacing w:line="520" w:lineRule="exact"/>
        <w:textAlignment w:val="auto"/>
        <w:rPr>
          <w:rFonts w:hint="eastAsia" w:ascii="微软雅黑" w:hAnsi="微软雅黑" w:eastAsia="微软雅黑" w:cs="微软雅黑"/>
          <w:b w:val="0"/>
          <w:bCs/>
          <w:color w:val="auto"/>
          <w:spacing w:val="1"/>
          <w:kern w:val="2"/>
          <w:sz w:val="24"/>
          <w:szCs w:val="24"/>
          <w:highlight w:val="none"/>
          <w:lang w:val="en-US" w:eastAsia="zh-CN" w:bidi="ar-SA"/>
        </w:rPr>
      </w:pPr>
    </w:p>
    <w:p w14:paraId="647564FD">
      <w:pPr>
        <w:keepNext w:val="0"/>
        <w:keepLines w:val="0"/>
        <w:pageBreakBefore w:val="0"/>
        <w:widowControl w:val="0"/>
        <w:numPr>
          <w:ilvl w:val="0"/>
          <w:numId w:val="10"/>
        </w:numPr>
        <w:shd w:val="clear" w:color="auto" w:fill="FFFFFF"/>
        <w:kinsoku/>
        <w:wordWrap/>
        <w:overflowPunct/>
        <w:topLinePunct w:val="0"/>
        <w:autoSpaceDE/>
        <w:autoSpaceDN/>
        <w:bidi w:val="0"/>
        <w:adjustRightInd w:val="0"/>
        <w:snapToGrid w:val="0"/>
        <w:spacing w:line="520" w:lineRule="exact"/>
        <w:ind w:left="0" w:leftChars="0" w:firstLine="484" w:firstLineChars="200"/>
        <w:textAlignment w:val="auto"/>
        <w:rPr>
          <w:rFonts w:hint="eastAsia" w:ascii="微软雅黑" w:hAnsi="微软雅黑" w:eastAsia="微软雅黑" w:cs="微软雅黑"/>
          <w:b/>
          <w:bCs w:val="0"/>
          <w:color w:val="auto"/>
          <w:spacing w:val="1"/>
          <w:kern w:val="2"/>
          <w:sz w:val="24"/>
          <w:szCs w:val="24"/>
          <w:highlight w:val="none"/>
          <w:lang w:val="en-US" w:eastAsia="zh-CN" w:bidi="ar-SA"/>
        </w:rPr>
      </w:pPr>
      <w:r>
        <w:rPr>
          <w:rFonts w:hint="eastAsia" w:ascii="微软雅黑" w:hAnsi="微软雅黑" w:eastAsia="微软雅黑" w:cs="微软雅黑"/>
          <w:b/>
          <w:bCs w:val="0"/>
          <w:color w:val="auto"/>
          <w:spacing w:val="1"/>
          <w:kern w:val="2"/>
          <w:sz w:val="24"/>
          <w:szCs w:val="24"/>
          <w:highlight w:val="none"/>
          <w:lang w:val="en-US" w:eastAsia="zh-CN" w:bidi="ar-SA"/>
        </w:rPr>
        <w:t>实施周期（服务期）及付款方式：</w:t>
      </w:r>
    </w:p>
    <w:p w14:paraId="6168C68D">
      <w:pPr>
        <w:keepNext w:val="0"/>
        <w:keepLines w:val="0"/>
        <w:pageBreakBefore w:val="0"/>
        <w:widowControl w:val="0"/>
        <w:numPr>
          <w:ilvl w:val="0"/>
          <w:numId w:val="0"/>
        </w:numPr>
        <w:shd w:val="clear" w:color="auto" w:fill="FFFFFF"/>
        <w:kinsoku/>
        <w:wordWrap/>
        <w:overflowPunct/>
        <w:topLinePunct w:val="0"/>
        <w:autoSpaceDE/>
        <w:autoSpaceDN/>
        <w:bidi w:val="0"/>
        <w:adjustRightInd w:val="0"/>
        <w:snapToGrid w:val="0"/>
        <w:spacing w:line="520" w:lineRule="exact"/>
        <w:ind w:leftChars="200"/>
        <w:textAlignment w:val="auto"/>
        <w:rPr>
          <w:rFonts w:hint="eastAsia" w:ascii="微软雅黑" w:hAnsi="微软雅黑" w:eastAsia="微软雅黑" w:cs="微软雅黑"/>
          <w:b w:val="0"/>
          <w:bCs/>
          <w:color w:val="auto"/>
          <w:spacing w:val="1"/>
          <w:kern w:val="2"/>
          <w:sz w:val="24"/>
          <w:szCs w:val="24"/>
          <w:highlight w:val="none"/>
          <w:lang w:val="en-US" w:eastAsia="zh-CN" w:bidi="ar-SA"/>
        </w:rPr>
      </w:pPr>
      <w:r>
        <w:rPr>
          <w:rFonts w:hint="eastAsia" w:ascii="微软雅黑" w:hAnsi="微软雅黑" w:eastAsia="微软雅黑" w:cs="微软雅黑"/>
          <w:b w:val="0"/>
          <w:bCs/>
          <w:color w:val="auto"/>
          <w:spacing w:val="1"/>
          <w:kern w:val="2"/>
          <w:sz w:val="24"/>
          <w:szCs w:val="24"/>
          <w:highlight w:val="none"/>
          <w:lang w:val="en-US" w:eastAsia="zh-CN" w:bidi="ar-SA"/>
        </w:rPr>
        <w:t>4.1服务期：一年</w:t>
      </w:r>
    </w:p>
    <w:p w14:paraId="17160FAB">
      <w:pPr>
        <w:keepNext w:val="0"/>
        <w:keepLines w:val="0"/>
        <w:pageBreakBefore w:val="0"/>
        <w:widowControl w:val="0"/>
        <w:numPr>
          <w:ilvl w:val="0"/>
          <w:numId w:val="0"/>
        </w:numPr>
        <w:shd w:val="clear" w:color="auto" w:fill="FFFFFF"/>
        <w:kinsoku/>
        <w:wordWrap/>
        <w:overflowPunct/>
        <w:topLinePunct w:val="0"/>
        <w:autoSpaceDE/>
        <w:autoSpaceDN/>
        <w:bidi w:val="0"/>
        <w:adjustRightInd w:val="0"/>
        <w:snapToGrid w:val="0"/>
        <w:spacing w:line="520" w:lineRule="exact"/>
        <w:ind w:leftChars="200"/>
        <w:textAlignment w:val="auto"/>
        <w:rPr>
          <w:rFonts w:hint="eastAsia" w:ascii="微软雅黑" w:hAnsi="微软雅黑" w:eastAsia="微软雅黑" w:cs="微软雅黑"/>
          <w:b w:val="0"/>
          <w:bCs/>
          <w:color w:val="auto"/>
          <w:spacing w:val="1"/>
          <w:kern w:val="2"/>
          <w:sz w:val="24"/>
          <w:szCs w:val="24"/>
          <w:highlight w:val="none"/>
          <w:lang w:val="en-US" w:eastAsia="zh-CN" w:bidi="ar-SA"/>
        </w:rPr>
      </w:pPr>
      <w:r>
        <w:rPr>
          <w:rFonts w:hint="eastAsia" w:ascii="微软雅黑" w:hAnsi="微软雅黑" w:eastAsia="微软雅黑" w:cs="微软雅黑"/>
          <w:b w:val="0"/>
          <w:bCs/>
          <w:color w:val="auto"/>
          <w:spacing w:val="1"/>
          <w:kern w:val="2"/>
          <w:sz w:val="24"/>
          <w:szCs w:val="24"/>
          <w:highlight w:val="none"/>
          <w:lang w:val="en-US" w:eastAsia="zh-CN" w:bidi="ar-SA"/>
        </w:rPr>
        <w:t>4.2付款方式：合同签订为准。</w:t>
      </w:r>
    </w:p>
    <w:p w14:paraId="7195131C">
      <w:pPr>
        <w:keepNext w:val="0"/>
        <w:keepLines w:val="0"/>
        <w:pageBreakBefore w:val="0"/>
        <w:widowControl w:val="0"/>
        <w:numPr>
          <w:ilvl w:val="0"/>
          <w:numId w:val="0"/>
        </w:numPr>
        <w:shd w:val="clear" w:color="auto" w:fill="FFFFFF"/>
        <w:kinsoku/>
        <w:wordWrap/>
        <w:overflowPunct/>
        <w:topLinePunct w:val="0"/>
        <w:autoSpaceDE/>
        <w:autoSpaceDN/>
        <w:bidi w:val="0"/>
        <w:adjustRightInd w:val="0"/>
        <w:snapToGrid w:val="0"/>
        <w:spacing w:line="520" w:lineRule="exact"/>
        <w:ind w:firstLine="484" w:firstLineChars="200"/>
        <w:textAlignment w:val="auto"/>
        <w:rPr>
          <w:rFonts w:hint="eastAsia" w:ascii="微软雅黑" w:hAnsi="微软雅黑" w:eastAsia="微软雅黑" w:cs="微软雅黑"/>
          <w:b/>
          <w:bCs w:val="0"/>
          <w:color w:val="auto"/>
          <w:spacing w:val="1"/>
          <w:kern w:val="2"/>
          <w:sz w:val="24"/>
          <w:szCs w:val="24"/>
          <w:highlight w:val="none"/>
          <w:lang w:val="en-US" w:eastAsia="zh-CN" w:bidi="ar-SA"/>
        </w:rPr>
      </w:pPr>
      <w:r>
        <w:rPr>
          <w:rFonts w:hint="eastAsia" w:ascii="微软雅黑" w:hAnsi="微软雅黑" w:eastAsia="微软雅黑" w:cs="微软雅黑"/>
          <w:b/>
          <w:bCs w:val="0"/>
          <w:color w:val="auto"/>
          <w:spacing w:val="1"/>
          <w:kern w:val="2"/>
          <w:sz w:val="24"/>
          <w:szCs w:val="24"/>
          <w:highlight w:val="none"/>
          <w:lang w:val="en-US" w:eastAsia="zh-CN" w:bidi="ar-SA"/>
        </w:rPr>
        <w:t>五、承接主体资质条件</w:t>
      </w:r>
    </w:p>
    <w:p w14:paraId="5A035EA5">
      <w:pPr>
        <w:keepNext w:val="0"/>
        <w:keepLines w:val="0"/>
        <w:pageBreakBefore w:val="0"/>
        <w:widowControl w:val="0"/>
        <w:numPr>
          <w:ilvl w:val="0"/>
          <w:numId w:val="0"/>
        </w:numPr>
        <w:shd w:val="clear" w:color="auto" w:fill="FFFFFF"/>
        <w:kinsoku/>
        <w:wordWrap/>
        <w:overflowPunct/>
        <w:topLinePunct w:val="0"/>
        <w:autoSpaceDE/>
        <w:autoSpaceDN/>
        <w:bidi w:val="0"/>
        <w:adjustRightInd w:val="0"/>
        <w:snapToGrid w:val="0"/>
        <w:spacing w:line="520" w:lineRule="exact"/>
        <w:ind w:firstLine="484" w:firstLineChars="200"/>
        <w:jc w:val="left"/>
        <w:textAlignment w:val="auto"/>
        <w:rPr>
          <w:rFonts w:hint="eastAsia" w:ascii="微软雅黑" w:hAnsi="微软雅黑" w:eastAsia="微软雅黑" w:cs="微软雅黑"/>
          <w:b w:val="0"/>
          <w:bCs/>
          <w:color w:val="auto"/>
          <w:spacing w:val="1"/>
          <w:kern w:val="2"/>
          <w:sz w:val="24"/>
          <w:szCs w:val="24"/>
          <w:highlight w:val="none"/>
          <w:lang w:val="en-US" w:eastAsia="zh-CN" w:bidi="ar-SA"/>
        </w:rPr>
      </w:pPr>
      <w:r>
        <w:rPr>
          <w:rFonts w:hint="eastAsia" w:ascii="微软雅黑" w:hAnsi="微软雅黑" w:eastAsia="微软雅黑" w:cs="微软雅黑"/>
          <w:b w:val="0"/>
          <w:bCs/>
          <w:color w:val="auto"/>
          <w:spacing w:val="1"/>
          <w:kern w:val="2"/>
          <w:sz w:val="24"/>
          <w:szCs w:val="24"/>
          <w:highlight w:val="none"/>
          <w:lang w:val="en-US" w:eastAsia="zh-CN" w:bidi="ar-SA"/>
        </w:rPr>
        <w:t>（一）依法在民政部门登记成立或经国务院批准免予登记的社会组织；依法在工商管理或行业主管部门登记成立的企业、机构等社会力量的身份证明；</w:t>
      </w:r>
    </w:p>
    <w:p w14:paraId="621CCF76">
      <w:pPr>
        <w:keepNext w:val="0"/>
        <w:keepLines w:val="0"/>
        <w:pageBreakBefore w:val="0"/>
        <w:widowControl w:val="0"/>
        <w:numPr>
          <w:ilvl w:val="0"/>
          <w:numId w:val="11"/>
        </w:numPr>
        <w:shd w:val="clear" w:color="auto" w:fill="FFFFFF"/>
        <w:kinsoku/>
        <w:wordWrap/>
        <w:overflowPunct/>
        <w:topLinePunct w:val="0"/>
        <w:autoSpaceDE/>
        <w:autoSpaceDN/>
        <w:bidi w:val="0"/>
        <w:adjustRightInd w:val="0"/>
        <w:snapToGrid w:val="0"/>
        <w:spacing w:line="520" w:lineRule="exact"/>
        <w:ind w:left="479" w:leftChars="228" w:firstLine="0" w:firstLineChars="0"/>
        <w:jc w:val="left"/>
        <w:textAlignment w:val="auto"/>
        <w:rPr>
          <w:rFonts w:hint="eastAsia" w:ascii="微软雅黑" w:hAnsi="微软雅黑" w:eastAsia="微软雅黑" w:cs="微软雅黑"/>
          <w:b w:val="0"/>
          <w:bCs/>
          <w:color w:val="auto"/>
          <w:spacing w:val="1"/>
          <w:kern w:val="2"/>
          <w:sz w:val="24"/>
          <w:szCs w:val="24"/>
          <w:highlight w:val="none"/>
          <w:lang w:val="en-US" w:eastAsia="zh-CN" w:bidi="ar-SA"/>
        </w:rPr>
      </w:pPr>
      <w:r>
        <w:rPr>
          <w:rFonts w:hint="eastAsia" w:ascii="微软雅黑" w:hAnsi="微软雅黑" w:eastAsia="微软雅黑" w:cs="微软雅黑"/>
          <w:b w:val="0"/>
          <w:bCs/>
          <w:color w:val="auto"/>
          <w:spacing w:val="1"/>
          <w:kern w:val="2"/>
          <w:sz w:val="24"/>
          <w:szCs w:val="24"/>
          <w:highlight w:val="none"/>
          <w:lang w:val="en-US" w:eastAsia="zh-CN" w:bidi="ar-SA"/>
        </w:rPr>
        <w:t>具备从事社会工作服务所必需的能力、办公场所、工作人员和工作条件。</w:t>
      </w:r>
    </w:p>
    <w:p w14:paraId="133A8B03">
      <w:pPr>
        <w:keepNext w:val="0"/>
        <w:keepLines w:val="0"/>
        <w:pageBreakBefore w:val="0"/>
        <w:widowControl w:val="0"/>
        <w:numPr>
          <w:ilvl w:val="0"/>
          <w:numId w:val="0"/>
        </w:numPr>
        <w:shd w:val="clear" w:color="auto" w:fill="FFFFFF"/>
        <w:kinsoku/>
        <w:wordWrap/>
        <w:overflowPunct/>
        <w:topLinePunct w:val="0"/>
        <w:autoSpaceDE/>
        <w:autoSpaceDN/>
        <w:bidi w:val="0"/>
        <w:adjustRightInd w:val="0"/>
        <w:snapToGrid w:val="0"/>
        <w:spacing w:line="520" w:lineRule="exact"/>
        <w:ind w:firstLine="484" w:firstLineChars="200"/>
        <w:jc w:val="left"/>
        <w:textAlignment w:val="auto"/>
        <w:rPr>
          <w:rFonts w:hint="eastAsia" w:ascii="微软雅黑" w:hAnsi="微软雅黑" w:eastAsia="微软雅黑" w:cs="微软雅黑"/>
          <w:b w:val="0"/>
          <w:bCs/>
          <w:color w:val="auto"/>
          <w:spacing w:val="1"/>
          <w:kern w:val="2"/>
          <w:sz w:val="24"/>
          <w:szCs w:val="24"/>
          <w:highlight w:val="none"/>
          <w:lang w:val="en-US" w:eastAsia="zh-CN" w:bidi="ar-SA"/>
        </w:rPr>
      </w:pPr>
      <w:r>
        <w:rPr>
          <w:rFonts w:hint="eastAsia" w:ascii="微软雅黑" w:hAnsi="微软雅黑" w:eastAsia="微软雅黑" w:cs="微软雅黑"/>
          <w:b w:val="0"/>
          <w:bCs/>
          <w:color w:val="auto"/>
          <w:spacing w:val="1"/>
          <w:kern w:val="2"/>
          <w:sz w:val="24"/>
          <w:szCs w:val="24"/>
          <w:highlight w:val="none"/>
          <w:lang w:val="en-US" w:eastAsia="zh-CN" w:bidi="ar-SA"/>
        </w:rPr>
        <w:t>（三）具备从事政府购买社会工作服务经验。需提供相关证明文件。</w:t>
      </w:r>
    </w:p>
    <w:p w14:paraId="6E13938A">
      <w:pPr>
        <w:keepNext w:val="0"/>
        <w:keepLines w:val="0"/>
        <w:pageBreakBefore w:val="0"/>
        <w:widowControl w:val="0"/>
        <w:numPr>
          <w:ilvl w:val="0"/>
          <w:numId w:val="0"/>
        </w:numPr>
        <w:shd w:val="clear" w:color="auto" w:fill="FFFFFF"/>
        <w:kinsoku/>
        <w:wordWrap/>
        <w:overflowPunct/>
        <w:topLinePunct w:val="0"/>
        <w:autoSpaceDE/>
        <w:autoSpaceDN/>
        <w:bidi w:val="0"/>
        <w:adjustRightInd w:val="0"/>
        <w:snapToGrid w:val="0"/>
        <w:spacing w:line="520" w:lineRule="exact"/>
        <w:ind w:firstLine="484" w:firstLineChars="200"/>
        <w:jc w:val="left"/>
        <w:textAlignment w:val="auto"/>
        <w:rPr>
          <w:rFonts w:hint="eastAsia" w:ascii="微软雅黑" w:hAnsi="微软雅黑" w:eastAsia="微软雅黑" w:cs="微软雅黑"/>
          <w:b w:val="0"/>
          <w:bCs/>
          <w:color w:val="auto"/>
          <w:spacing w:val="1"/>
          <w:kern w:val="2"/>
          <w:sz w:val="24"/>
          <w:szCs w:val="24"/>
          <w:highlight w:val="none"/>
          <w:lang w:val="en-US" w:eastAsia="zh-CN" w:bidi="ar-SA"/>
        </w:rPr>
      </w:pPr>
      <w:r>
        <w:rPr>
          <w:rFonts w:hint="eastAsia" w:ascii="微软雅黑" w:hAnsi="微软雅黑" w:eastAsia="微软雅黑" w:cs="微软雅黑"/>
          <w:b w:val="0"/>
          <w:bCs/>
          <w:color w:val="auto"/>
          <w:spacing w:val="1"/>
          <w:kern w:val="2"/>
          <w:sz w:val="24"/>
          <w:szCs w:val="24"/>
          <w:highlight w:val="none"/>
          <w:lang w:val="en-US" w:eastAsia="zh-CN" w:bidi="ar-SA"/>
        </w:rPr>
        <w:t>（四）社会信誉良好，按时参加年检，无违法违纪行为。</w:t>
      </w:r>
    </w:p>
    <w:p w14:paraId="173D7DE1">
      <w:pPr>
        <w:keepNext w:val="0"/>
        <w:keepLines w:val="0"/>
        <w:pageBreakBefore w:val="0"/>
        <w:widowControl w:val="0"/>
        <w:numPr>
          <w:ilvl w:val="0"/>
          <w:numId w:val="0"/>
        </w:numPr>
        <w:shd w:val="clear" w:color="auto" w:fill="FFFFFF"/>
        <w:kinsoku/>
        <w:wordWrap/>
        <w:overflowPunct/>
        <w:topLinePunct w:val="0"/>
        <w:autoSpaceDE/>
        <w:autoSpaceDN/>
        <w:bidi w:val="0"/>
        <w:adjustRightInd w:val="0"/>
        <w:snapToGrid w:val="0"/>
        <w:spacing w:line="520" w:lineRule="exact"/>
        <w:ind w:firstLine="484" w:firstLineChars="200"/>
        <w:jc w:val="left"/>
        <w:textAlignment w:val="auto"/>
        <w:rPr>
          <w:rFonts w:hint="eastAsia" w:ascii="微软雅黑" w:hAnsi="微软雅黑" w:eastAsia="微软雅黑" w:cs="微软雅黑"/>
          <w:b w:val="0"/>
          <w:bCs/>
          <w:color w:val="auto"/>
          <w:spacing w:val="1"/>
          <w:kern w:val="2"/>
          <w:sz w:val="24"/>
          <w:szCs w:val="24"/>
          <w:highlight w:val="none"/>
          <w:lang w:val="en-US" w:eastAsia="zh-CN" w:bidi="ar-SA"/>
        </w:rPr>
      </w:pPr>
      <w:r>
        <w:rPr>
          <w:rFonts w:hint="eastAsia" w:ascii="微软雅黑" w:hAnsi="微软雅黑" w:eastAsia="微软雅黑" w:cs="微软雅黑"/>
          <w:b w:val="0"/>
          <w:bCs/>
          <w:color w:val="auto"/>
          <w:spacing w:val="1"/>
          <w:kern w:val="2"/>
          <w:sz w:val="24"/>
          <w:szCs w:val="24"/>
          <w:highlight w:val="none"/>
          <w:lang w:val="en-US" w:eastAsia="zh-CN" w:bidi="ar-SA"/>
        </w:rPr>
        <w:t>（五）符合国家有关政事分开、政社分开、政企分开要求。</w:t>
      </w:r>
    </w:p>
    <w:p w14:paraId="640B6799">
      <w:pPr>
        <w:keepNext w:val="0"/>
        <w:keepLines w:val="0"/>
        <w:pageBreakBefore w:val="0"/>
        <w:widowControl w:val="0"/>
        <w:numPr>
          <w:ilvl w:val="0"/>
          <w:numId w:val="0"/>
        </w:numPr>
        <w:shd w:val="clear" w:color="auto" w:fill="FFFFFF"/>
        <w:kinsoku/>
        <w:wordWrap/>
        <w:overflowPunct/>
        <w:topLinePunct w:val="0"/>
        <w:autoSpaceDE/>
        <w:autoSpaceDN/>
        <w:bidi w:val="0"/>
        <w:adjustRightInd w:val="0"/>
        <w:snapToGrid w:val="0"/>
        <w:spacing w:line="520" w:lineRule="exact"/>
        <w:ind w:firstLine="484" w:firstLineChars="200"/>
        <w:jc w:val="left"/>
        <w:textAlignment w:val="auto"/>
        <w:rPr>
          <w:rFonts w:hint="eastAsia" w:ascii="微软雅黑" w:hAnsi="微软雅黑" w:eastAsia="微软雅黑" w:cs="微软雅黑"/>
          <w:b w:val="0"/>
          <w:bCs/>
          <w:color w:val="auto"/>
          <w:spacing w:val="1"/>
          <w:kern w:val="2"/>
          <w:sz w:val="24"/>
          <w:szCs w:val="24"/>
          <w:highlight w:val="none"/>
          <w:lang w:val="en-US" w:eastAsia="zh-CN" w:bidi="ar-SA"/>
        </w:rPr>
      </w:pPr>
      <w:r>
        <w:rPr>
          <w:rFonts w:hint="eastAsia" w:ascii="微软雅黑" w:hAnsi="微软雅黑" w:eastAsia="微软雅黑" w:cs="微软雅黑"/>
          <w:b w:val="0"/>
          <w:bCs/>
          <w:color w:val="auto"/>
          <w:spacing w:val="1"/>
          <w:kern w:val="2"/>
          <w:sz w:val="24"/>
          <w:szCs w:val="24"/>
          <w:highlight w:val="none"/>
          <w:lang w:val="en-US" w:eastAsia="zh-CN" w:bidi="ar-SA"/>
        </w:rPr>
        <w:t>（六）承接购买社会工作服务机构主要负责人员应具有大专以上学历，从事过社会服务相关工作或取得相关职业资格，且懂双语（汉语、维语）人员优先。</w:t>
      </w:r>
    </w:p>
    <w:p w14:paraId="20EEDB0F">
      <w:pPr>
        <w:keepNext w:val="0"/>
        <w:keepLines w:val="0"/>
        <w:pageBreakBefore w:val="0"/>
        <w:widowControl w:val="0"/>
        <w:numPr>
          <w:ilvl w:val="0"/>
          <w:numId w:val="0"/>
        </w:numPr>
        <w:shd w:val="clear" w:color="auto" w:fill="FFFFFF"/>
        <w:kinsoku/>
        <w:wordWrap/>
        <w:overflowPunct/>
        <w:topLinePunct w:val="0"/>
        <w:autoSpaceDE/>
        <w:autoSpaceDN/>
        <w:bidi w:val="0"/>
        <w:adjustRightInd w:val="0"/>
        <w:snapToGrid w:val="0"/>
        <w:spacing w:line="520" w:lineRule="exact"/>
        <w:ind w:firstLine="484" w:firstLineChars="200"/>
        <w:textAlignment w:val="auto"/>
        <w:rPr>
          <w:rFonts w:hint="eastAsia" w:ascii="微软雅黑" w:hAnsi="微软雅黑" w:eastAsia="微软雅黑" w:cs="微软雅黑"/>
          <w:b/>
          <w:bCs w:val="0"/>
          <w:color w:val="auto"/>
          <w:spacing w:val="1"/>
          <w:kern w:val="2"/>
          <w:sz w:val="24"/>
          <w:szCs w:val="24"/>
          <w:highlight w:val="none"/>
          <w:lang w:val="en-US" w:eastAsia="zh-CN" w:bidi="ar-SA"/>
        </w:rPr>
      </w:pPr>
      <w:r>
        <w:rPr>
          <w:rFonts w:hint="eastAsia" w:ascii="微软雅黑" w:hAnsi="微软雅黑" w:eastAsia="微软雅黑" w:cs="微软雅黑"/>
          <w:b/>
          <w:bCs w:val="0"/>
          <w:color w:val="auto"/>
          <w:spacing w:val="1"/>
          <w:kern w:val="2"/>
          <w:sz w:val="24"/>
          <w:szCs w:val="24"/>
          <w:highlight w:val="none"/>
          <w:lang w:val="en-US" w:eastAsia="zh-CN" w:bidi="ar-SA"/>
        </w:rPr>
        <w:t>六、购买社会工作服务项目内容</w:t>
      </w:r>
    </w:p>
    <w:p w14:paraId="6AEEC02B">
      <w:pPr>
        <w:keepNext w:val="0"/>
        <w:keepLines w:val="0"/>
        <w:pageBreakBefore w:val="0"/>
        <w:widowControl w:val="0"/>
        <w:numPr>
          <w:ilvl w:val="0"/>
          <w:numId w:val="0"/>
        </w:numPr>
        <w:shd w:val="clear" w:color="auto" w:fill="FFFFFF"/>
        <w:kinsoku/>
        <w:wordWrap/>
        <w:overflowPunct/>
        <w:topLinePunct w:val="0"/>
        <w:autoSpaceDE/>
        <w:autoSpaceDN/>
        <w:bidi w:val="0"/>
        <w:adjustRightInd w:val="0"/>
        <w:snapToGrid w:val="0"/>
        <w:spacing w:line="520" w:lineRule="exact"/>
        <w:ind w:firstLine="484" w:firstLineChars="200"/>
        <w:textAlignment w:val="auto"/>
        <w:rPr>
          <w:rFonts w:hint="eastAsia" w:ascii="微软雅黑" w:hAnsi="微软雅黑" w:eastAsia="微软雅黑" w:cs="微软雅黑"/>
          <w:b/>
          <w:bCs w:val="0"/>
          <w:color w:val="auto"/>
          <w:spacing w:val="1"/>
          <w:kern w:val="2"/>
          <w:sz w:val="24"/>
          <w:szCs w:val="24"/>
          <w:highlight w:val="none"/>
          <w:lang w:val="en-US" w:eastAsia="zh-CN" w:bidi="ar-SA"/>
        </w:rPr>
      </w:pPr>
      <w:r>
        <w:rPr>
          <w:rFonts w:hint="eastAsia" w:ascii="微软雅黑" w:hAnsi="微软雅黑" w:eastAsia="微软雅黑" w:cs="微软雅黑"/>
          <w:b/>
          <w:bCs w:val="0"/>
          <w:color w:val="auto"/>
          <w:spacing w:val="1"/>
          <w:kern w:val="2"/>
          <w:sz w:val="24"/>
          <w:szCs w:val="24"/>
          <w:highlight w:val="none"/>
          <w:lang w:val="en-US" w:eastAsia="zh-CN" w:bidi="ar-SA"/>
        </w:rPr>
        <w:t>（一）协助做好服务对象信息收集整理。</w:t>
      </w:r>
    </w:p>
    <w:p w14:paraId="0427E5E3">
      <w:pPr>
        <w:keepNext w:val="0"/>
        <w:keepLines w:val="0"/>
        <w:pageBreakBefore w:val="0"/>
        <w:widowControl w:val="0"/>
        <w:numPr>
          <w:ilvl w:val="0"/>
          <w:numId w:val="0"/>
        </w:numPr>
        <w:shd w:val="clear" w:color="auto" w:fill="FFFFFF"/>
        <w:kinsoku/>
        <w:wordWrap/>
        <w:overflowPunct/>
        <w:topLinePunct w:val="0"/>
        <w:autoSpaceDE/>
        <w:autoSpaceDN/>
        <w:bidi w:val="0"/>
        <w:adjustRightInd w:val="0"/>
        <w:snapToGrid w:val="0"/>
        <w:spacing w:line="520" w:lineRule="exact"/>
        <w:ind w:firstLine="484" w:firstLineChars="200"/>
        <w:textAlignment w:val="auto"/>
        <w:rPr>
          <w:rFonts w:hint="eastAsia" w:ascii="微软雅黑" w:hAnsi="微软雅黑" w:eastAsia="微软雅黑" w:cs="微软雅黑"/>
          <w:b w:val="0"/>
          <w:bCs/>
          <w:color w:val="auto"/>
          <w:spacing w:val="1"/>
          <w:kern w:val="2"/>
          <w:sz w:val="24"/>
          <w:szCs w:val="24"/>
          <w:highlight w:val="none"/>
          <w:lang w:val="en-US" w:eastAsia="zh-CN" w:bidi="ar-SA"/>
        </w:rPr>
      </w:pPr>
      <w:r>
        <w:rPr>
          <w:rFonts w:hint="eastAsia" w:ascii="微软雅黑" w:hAnsi="微软雅黑" w:eastAsia="微软雅黑" w:cs="微软雅黑"/>
          <w:b w:val="0"/>
          <w:bCs/>
          <w:color w:val="auto"/>
          <w:spacing w:val="1"/>
          <w:kern w:val="2"/>
          <w:sz w:val="24"/>
          <w:szCs w:val="24"/>
          <w:highlight w:val="none"/>
          <w:lang w:val="en-US" w:eastAsia="zh-CN" w:bidi="ar-SA"/>
        </w:rPr>
        <w:t>协助做好服务对象信息收集整理，了解、收集困难群众的现状信息，掌握、核实辖区内居民生活困难及遭遇突发事件、意外事故、罹患重病等急难情况，并及时告相关部门。将辖区内的分散困难老人、单人纳保的残疾人、重病患者、困难家庭单人纳保的大学生等易陷入生活困境的人群作为重点，通过融入村居、入户调查、邻里访问,协助评估社会救助申请对象的身体状况、财产状况、居住条件和其他实际生活状况,精准识别服务对象。</w:t>
      </w:r>
    </w:p>
    <w:p w14:paraId="0B2C56B7">
      <w:pPr>
        <w:keepNext w:val="0"/>
        <w:keepLines w:val="0"/>
        <w:pageBreakBefore w:val="0"/>
        <w:widowControl w:val="0"/>
        <w:numPr>
          <w:ilvl w:val="0"/>
          <w:numId w:val="0"/>
        </w:numPr>
        <w:shd w:val="clear" w:color="auto" w:fill="FFFFFF"/>
        <w:kinsoku/>
        <w:wordWrap/>
        <w:overflowPunct/>
        <w:topLinePunct w:val="0"/>
        <w:autoSpaceDE/>
        <w:autoSpaceDN/>
        <w:bidi w:val="0"/>
        <w:adjustRightInd w:val="0"/>
        <w:snapToGrid w:val="0"/>
        <w:spacing w:line="520" w:lineRule="exact"/>
        <w:ind w:firstLine="484" w:firstLineChars="200"/>
        <w:textAlignment w:val="auto"/>
        <w:rPr>
          <w:rFonts w:hint="eastAsia" w:ascii="微软雅黑" w:hAnsi="微软雅黑" w:eastAsia="微软雅黑" w:cs="微软雅黑"/>
          <w:b/>
          <w:bCs w:val="0"/>
          <w:color w:val="auto"/>
          <w:spacing w:val="1"/>
          <w:kern w:val="2"/>
          <w:sz w:val="24"/>
          <w:szCs w:val="24"/>
          <w:highlight w:val="none"/>
          <w:lang w:val="en-US" w:eastAsia="zh-CN" w:bidi="ar-SA"/>
        </w:rPr>
      </w:pPr>
      <w:r>
        <w:rPr>
          <w:rFonts w:hint="eastAsia" w:ascii="微软雅黑" w:hAnsi="微软雅黑" w:eastAsia="微软雅黑" w:cs="微软雅黑"/>
          <w:b/>
          <w:bCs w:val="0"/>
          <w:color w:val="auto"/>
          <w:spacing w:val="1"/>
          <w:kern w:val="2"/>
          <w:sz w:val="24"/>
          <w:szCs w:val="24"/>
          <w:highlight w:val="none"/>
          <w:lang w:val="en-US" w:eastAsia="zh-CN" w:bidi="ar-SA"/>
        </w:rPr>
        <w:t>（二）做好社会工作服务政策宣传及资源链接工作。</w:t>
      </w:r>
    </w:p>
    <w:p w14:paraId="7E24ACF1">
      <w:pPr>
        <w:keepNext w:val="0"/>
        <w:keepLines w:val="0"/>
        <w:pageBreakBefore w:val="0"/>
        <w:widowControl w:val="0"/>
        <w:numPr>
          <w:ilvl w:val="0"/>
          <w:numId w:val="0"/>
        </w:numPr>
        <w:shd w:val="clear" w:color="auto" w:fill="FFFFFF"/>
        <w:kinsoku/>
        <w:wordWrap/>
        <w:overflowPunct/>
        <w:topLinePunct w:val="0"/>
        <w:autoSpaceDE/>
        <w:autoSpaceDN/>
        <w:bidi w:val="0"/>
        <w:adjustRightInd w:val="0"/>
        <w:snapToGrid w:val="0"/>
        <w:spacing w:line="520" w:lineRule="exact"/>
        <w:ind w:firstLine="484" w:firstLineChars="200"/>
        <w:textAlignment w:val="auto"/>
        <w:rPr>
          <w:rFonts w:hint="eastAsia" w:ascii="微软雅黑" w:hAnsi="微软雅黑" w:eastAsia="微软雅黑" w:cs="微软雅黑"/>
          <w:b w:val="0"/>
          <w:bCs/>
          <w:color w:val="auto"/>
          <w:spacing w:val="1"/>
          <w:kern w:val="2"/>
          <w:sz w:val="24"/>
          <w:szCs w:val="24"/>
          <w:highlight w:val="none"/>
          <w:lang w:val="en-US" w:eastAsia="zh-CN" w:bidi="ar-SA"/>
        </w:rPr>
      </w:pPr>
      <w:r>
        <w:rPr>
          <w:rFonts w:hint="eastAsia" w:ascii="微软雅黑" w:hAnsi="微软雅黑" w:eastAsia="微软雅黑" w:cs="微软雅黑"/>
          <w:b w:val="0"/>
          <w:bCs/>
          <w:color w:val="auto"/>
          <w:spacing w:val="1"/>
          <w:kern w:val="2"/>
          <w:sz w:val="24"/>
          <w:szCs w:val="24"/>
          <w:highlight w:val="none"/>
          <w:lang w:val="en-US" w:eastAsia="zh-CN" w:bidi="ar-SA"/>
        </w:rPr>
        <w:t>利用公示栏、信息宣传栏、制作宣传册、组织现场政策解答等群众喜闻乐见的途径和形式，不断加大社会服务工作政策宣传普及力度， 使社会服务政策法规深入人心、家喻户晓。要重点向群众宣传最低生活保障、特困人员供养、医疗救助、教育救助、住房救助、就业救助和临时救助等政策的资格条件和申请审批程序，不断提高社会救助政策的透明度和知晓度。</w:t>
      </w:r>
    </w:p>
    <w:p w14:paraId="27BE4B59">
      <w:pPr>
        <w:keepNext w:val="0"/>
        <w:keepLines w:val="0"/>
        <w:pageBreakBefore w:val="0"/>
        <w:widowControl w:val="0"/>
        <w:numPr>
          <w:ilvl w:val="0"/>
          <w:numId w:val="0"/>
        </w:numPr>
        <w:shd w:val="clear" w:color="auto" w:fill="FFFFFF"/>
        <w:kinsoku/>
        <w:wordWrap/>
        <w:overflowPunct/>
        <w:topLinePunct w:val="0"/>
        <w:autoSpaceDE/>
        <w:autoSpaceDN/>
        <w:bidi w:val="0"/>
        <w:adjustRightInd w:val="0"/>
        <w:snapToGrid w:val="0"/>
        <w:spacing w:line="520" w:lineRule="exact"/>
        <w:ind w:firstLine="484" w:firstLineChars="200"/>
        <w:textAlignment w:val="auto"/>
        <w:rPr>
          <w:rFonts w:hint="eastAsia" w:ascii="微软雅黑" w:hAnsi="微软雅黑" w:eastAsia="微软雅黑" w:cs="微软雅黑"/>
          <w:b/>
          <w:bCs w:val="0"/>
          <w:color w:val="auto"/>
          <w:spacing w:val="1"/>
          <w:kern w:val="2"/>
          <w:sz w:val="24"/>
          <w:szCs w:val="24"/>
          <w:highlight w:val="none"/>
          <w:lang w:val="en-US" w:eastAsia="zh-CN" w:bidi="ar-SA"/>
        </w:rPr>
      </w:pPr>
      <w:r>
        <w:rPr>
          <w:rFonts w:hint="eastAsia" w:ascii="微软雅黑" w:hAnsi="微软雅黑" w:eastAsia="微软雅黑" w:cs="微软雅黑"/>
          <w:b/>
          <w:bCs w:val="0"/>
          <w:color w:val="auto"/>
          <w:spacing w:val="1"/>
          <w:kern w:val="2"/>
          <w:sz w:val="24"/>
          <w:szCs w:val="24"/>
          <w:highlight w:val="none"/>
          <w:lang w:val="en-US" w:eastAsia="zh-CN" w:bidi="ar-SA"/>
        </w:rPr>
        <w:t>（三）做好社会救助对象的照料护理、康复训练、送医陪护、心理疏导、社会关爱服务。</w:t>
      </w:r>
    </w:p>
    <w:p w14:paraId="1866164A">
      <w:pPr>
        <w:keepNext w:val="0"/>
        <w:keepLines w:val="0"/>
        <w:pageBreakBefore w:val="0"/>
        <w:widowControl w:val="0"/>
        <w:numPr>
          <w:ilvl w:val="0"/>
          <w:numId w:val="0"/>
        </w:numPr>
        <w:shd w:val="clear" w:color="auto" w:fill="FFFFFF"/>
        <w:kinsoku/>
        <w:wordWrap/>
        <w:overflowPunct/>
        <w:topLinePunct w:val="0"/>
        <w:autoSpaceDE/>
        <w:autoSpaceDN/>
        <w:bidi w:val="0"/>
        <w:adjustRightInd w:val="0"/>
        <w:snapToGrid w:val="0"/>
        <w:spacing w:line="520" w:lineRule="exact"/>
        <w:ind w:firstLine="484" w:firstLineChars="200"/>
        <w:textAlignment w:val="auto"/>
        <w:rPr>
          <w:rFonts w:hint="eastAsia" w:ascii="微软雅黑" w:hAnsi="微软雅黑" w:eastAsia="微软雅黑" w:cs="微软雅黑"/>
          <w:b w:val="0"/>
          <w:bCs/>
          <w:color w:val="auto"/>
          <w:spacing w:val="1"/>
          <w:kern w:val="2"/>
          <w:sz w:val="24"/>
          <w:szCs w:val="24"/>
          <w:highlight w:val="none"/>
          <w:lang w:val="en-US" w:eastAsia="zh-CN" w:bidi="ar-SA"/>
        </w:rPr>
      </w:pPr>
      <w:r>
        <w:rPr>
          <w:rFonts w:hint="eastAsia" w:ascii="微软雅黑" w:hAnsi="微软雅黑" w:eastAsia="微软雅黑" w:cs="微软雅黑"/>
          <w:b w:val="0"/>
          <w:bCs/>
          <w:color w:val="auto"/>
          <w:spacing w:val="1"/>
          <w:kern w:val="2"/>
          <w:sz w:val="24"/>
          <w:szCs w:val="24"/>
          <w:highlight w:val="none"/>
          <w:lang w:val="en-US" w:eastAsia="zh-CN" w:bidi="ar-SA"/>
        </w:rPr>
        <w:t>1、社会救助对象的照料护理、康复训练、送医陪护、心理疏导服。提供与老年人身心健康直接相关的健康风险评估、老年健康知识宣传推广、老年健康咨询等服务。评估和诊断社会救助对象的问题和需求,提供心理支持,缓解个人及其家庭成员的心理焦虑和精神压力等。</w:t>
      </w:r>
    </w:p>
    <w:p w14:paraId="5AB366E0">
      <w:pPr>
        <w:keepNext w:val="0"/>
        <w:keepLines w:val="0"/>
        <w:pageBreakBefore w:val="0"/>
        <w:widowControl w:val="0"/>
        <w:numPr>
          <w:ilvl w:val="0"/>
          <w:numId w:val="0"/>
        </w:numPr>
        <w:shd w:val="clear" w:color="auto" w:fill="FFFFFF"/>
        <w:kinsoku/>
        <w:wordWrap/>
        <w:overflowPunct/>
        <w:topLinePunct w:val="0"/>
        <w:autoSpaceDE/>
        <w:autoSpaceDN/>
        <w:bidi w:val="0"/>
        <w:adjustRightInd w:val="0"/>
        <w:snapToGrid w:val="0"/>
        <w:spacing w:line="520" w:lineRule="exact"/>
        <w:ind w:firstLine="484"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b w:val="0"/>
          <w:bCs/>
          <w:color w:val="auto"/>
          <w:spacing w:val="1"/>
          <w:kern w:val="2"/>
          <w:sz w:val="24"/>
          <w:szCs w:val="24"/>
          <w:highlight w:val="none"/>
          <w:lang w:val="en-US" w:eastAsia="zh-CN" w:bidi="ar-SA"/>
        </w:rPr>
        <w:t>2、</w:t>
      </w:r>
      <w:r>
        <w:rPr>
          <w:rFonts w:hint="eastAsia" w:ascii="微软雅黑" w:hAnsi="微软雅黑" w:eastAsia="微软雅黑" w:cs="微软雅黑"/>
          <w:b w:val="0"/>
          <w:bCs/>
          <w:color w:val="auto"/>
          <w:spacing w:val="1"/>
          <w:kern w:val="2"/>
          <w:sz w:val="24"/>
          <w:szCs w:val="24"/>
          <w:highlight w:val="none"/>
          <w:rtl w:val="0"/>
          <w:cs w:val="0"/>
          <w:lang w:val="en-US" w:eastAsia="zh-CN" w:bidi="ar-SA"/>
        </w:rPr>
        <w:t>协助(村)居委会开展农村留守儿童、困境儿童学业帮扶及安全教育等活动,提供儿童心理健康教育和心理支持,开展儿童社会化引导,促进社会融入。积极参与建儿童关爱示范社区,链接公益项目,志愿服务等社会资源,开展专业儿童社会工作服务</w:t>
      </w:r>
      <w:r>
        <w:rPr>
          <w:rFonts w:hint="eastAsia" w:ascii="微软雅黑" w:hAnsi="微软雅黑" w:eastAsia="微软雅黑" w:cs="微软雅黑"/>
          <w:b w:val="0"/>
          <w:bCs/>
          <w:color w:val="auto"/>
          <w:spacing w:val="1"/>
          <w:kern w:val="2"/>
          <w:sz w:val="24"/>
          <w:szCs w:val="24"/>
          <w:highlight w:val="none"/>
          <w:lang w:val="en-US" w:eastAsia="zh-CN" w:bidi="ar-SA"/>
        </w:rPr>
        <w:t>。</w:t>
      </w:r>
    </w:p>
    <w:p w14:paraId="00F4A0D9">
      <w:pPr>
        <w:keepNext w:val="0"/>
        <w:keepLines w:val="0"/>
        <w:pageBreakBefore w:val="0"/>
        <w:widowControl w:val="0"/>
        <w:numPr>
          <w:ilvl w:val="0"/>
          <w:numId w:val="0"/>
        </w:numPr>
        <w:shd w:val="clear" w:color="auto" w:fill="FFFFFF"/>
        <w:kinsoku/>
        <w:wordWrap/>
        <w:overflowPunct/>
        <w:topLinePunct w:val="0"/>
        <w:autoSpaceDE/>
        <w:autoSpaceDN/>
        <w:bidi w:val="0"/>
        <w:adjustRightInd w:val="0"/>
        <w:snapToGrid w:val="0"/>
        <w:spacing w:line="520" w:lineRule="exact"/>
        <w:ind w:firstLine="484" w:firstLineChars="200"/>
        <w:textAlignment w:val="auto"/>
        <w:rPr>
          <w:rFonts w:hint="eastAsia" w:ascii="微软雅黑" w:hAnsi="微软雅黑" w:eastAsia="微软雅黑" w:cs="微软雅黑"/>
          <w:b/>
          <w:bCs w:val="0"/>
          <w:color w:val="auto"/>
          <w:spacing w:val="1"/>
          <w:kern w:val="2"/>
          <w:sz w:val="24"/>
          <w:szCs w:val="24"/>
          <w:highlight w:val="none"/>
          <w:lang w:val="en-US" w:eastAsia="zh-CN" w:bidi="ar-SA"/>
        </w:rPr>
      </w:pPr>
      <w:r>
        <w:rPr>
          <w:rFonts w:hint="eastAsia" w:ascii="微软雅黑" w:hAnsi="微软雅黑" w:eastAsia="微软雅黑" w:cs="微软雅黑"/>
          <w:b/>
          <w:bCs w:val="0"/>
          <w:color w:val="auto"/>
          <w:spacing w:val="1"/>
          <w:kern w:val="2"/>
          <w:sz w:val="24"/>
          <w:szCs w:val="24"/>
          <w:highlight w:val="none"/>
          <w:lang w:val="en-US" w:eastAsia="zh-CN" w:bidi="ar-SA"/>
        </w:rPr>
        <w:t>（四）做服务对象的社会融入、能力提升工作。</w:t>
      </w:r>
    </w:p>
    <w:p w14:paraId="0312FDF6">
      <w:pPr>
        <w:keepNext w:val="0"/>
        <w:keepLines w:val="0"/>
        <w:pageBreakBefore w:val="0"/>
        <w:widowControl w:val="0"/>
        <w:numPr>
          <w:ilvl w:val="0"/>
          <w:numId w:val="0"/>
        </w:numPr>
        <w:shd w:val="clear" w:color="auto" w:fill="FFFFFF"/>
        <w:kinsoku/>
        <w:wordWrap/>
        <w:overflowPunct/>
        <w:topLinePunct w:val="0"/>
        <w:autoSpaceDE/>
        <w:autoSpaceDN/>
        <w:bidi w:val="0"/>
        <w:adjustRightInd w:val="0"/>
        <w:snapToGrid w:val="0"/>
        <w:spacing w:line="520" w:lineRule="exact"/>
        <w:ind w:firstLine="484" w:firstLineChars="200"/>
        <w:textAlignment w:val="auto"/>
        <w:rPr>
          <w:rFonts w:hint="eastAsia" w:ascii="微软雅黑" w:hAnsi="微软雅黑" w:eastAsia="微软雅黑" w:cs="微软雅黑"/>
          <w:b w:val="0"/>
          <w:bCs/>
          <w:color w:val="auto"/>
          <w:spacing w:val="1"/>
          <w:kern w:val="2"/>
          <w:sz w:val="24"/>
          <w:szCs w:val="24"/>
          <w:highlight w:val="none"/>
          <w:lang w:val="en-US" w:eastAsia="zh-CN" w:bidi="ar-SA"/>
        </w:rPr>
      </w:pPr>
      <w:r>
        <w:rPr>
          <w:rFonts w:hint="eastAsia" w:ascii="微软雅黑" w:hAnsi="微软雅黑" w:eastAsia="微软雅黑" w:cs="微软雅黑"/>
          <w:b w:val="0"/>
          <w:bCs/>
          <w:color w:val="auto"/>
          <w:spacing w:val="1"/>
          <w:kern w:val="2"/>
          <w:sz w:val="24"/>
          <w:szCs w:val="24"/>
          <w:highlight w:val="none"/>
          <w:lang w:val="en-US" w:eastAsia="zh-CN" w:bidi="ar-SA"/>
        </w:rPr>
        <w:t>1、引导服务对象参与社区活动、社区公共服务,做好邻里互助小组、社区支持网络化建设。</w:t>
      </w:r>
    </w:p>
    <w:p w14:paraId="3CDE776C">
      <w:pPr>
        <w:keepNext w:val="0"/>
        <w:keepLines w:val="0"/>
        <w:pageBreakBefore w:val="0"/>
        <w:widowControl w:val="0"/>
        <w:numPr>
          <w:ilvl w:val="0"/>
          <w:numId w:val="0"/>
        </w:numPr>
        <w:shd w:val="clear" w:color="auto" w:fill="FFFFFF"/>
        <w:kinsoku/>
        <w:wordWrap/>
        <w:overflowPunct/>
        <w:topLinePunct w:val="0"/>
        <w:autoSpaceDE/>
        <w:autoSpaceDN/>
        <w:bidi w:val="0"/>
        <w:adjustRightInd w:val="0"/>
        <w:snapToGrid w:val="0"/>
        <w:spacing w:line="520" w:lineRule="exact"/>
        <w:ind w:firstLine="484" w:firstLineChars="200"/>
        <w:textAlignment w:val="auto"/>
        <w:rPr>
          <w:rFonts w:hint="eastAsia" w:ascii="微软雅黑" w:hAnsi="微软雅黑" w:eastAsia="微软雅黑" w:cs="微软雅黑"/>
          <w:b w:val="0"/>
          <w:bCs/>
          <w:color w:val="auto"/>
          <w:spacing w:val="1"/>
          <w:kern w:val="2"/>
          <w:sz w:val="24"/>
          <w:szCs w:val="24"/>
          <w:highlight w:val="none"/>
          <w:rtl w:val="0"/>
          <w:cs w:val="0"/>
          <w:lang w:val="en-US" w:eastAsia="zh-CN" w:bidi="ar-SA"/>
        </w:rPr>
      </w:pPr>
      <w:r>
        <w:rPr>
          <w:rFonts w:hint="eastAsia" w:ascii="微软雅黑" w:hAnsi="微软雅黑" w:eastAsia="微软雅黑" w:cs="微软雅黑"/>
          <w:b w:val="0"/>
          <w:bCs/>
          <w:color w:val="auto"/>
          <w:spacing w:val="1"/>
          <w:kern w:val="2"/>
          <w:sz w:val="24"/>
          <w:szCs w:val="24"/>
          <w:highlight w:val="none"/>
          <w:lang w:val="en-US" w:eastAsia="zh-CN" w:bidi="ar-SA"/>
        </w:rPr>
        <w:t>2、</w:t>
      </w:r>
      <w:r>
        <w:rPr>
          <w:rFonts w:hint="eastAsia" w:ascii="微软雅黑" w:hAnsi="微软雅黑" w:eastAsia="微软雅黑" w:cs="微软雅黑"/>
          <w:b w:val="0"/>
          <w:bCs/>
          <w:color w:val="auto"/>
          <w:spacing w:val="1"/>
          <w:kern w:val="2"/>
          <w:sz w:val="24"/>
          <w:szCs w:val="24"/>
          <w:highlight w:val="none"/>
          <w:rtl w:val="0"/>
          <w:cs w:val="0"/>
          <w:lang w:val="en-US" w:eastAsia="zh-CN" w:bidi="ar-SA"/>
        </w:rPr>
        <w:t>落实政策宣传、转变观念,挖掘服务对象的优势和资源，培养服务对象应对风险能力；开展技能培训,协助服务对象实现就业创业。</w:t>
      </w:r>
    </w:p>
    <w:p w14:paraId="0F336DB2">
      <w:pPr>
        <w:keepNext w:val="0"/>
        <w:keepLines w:val="0"/>
        <w:pageBreakBefore w:val="0"/>
        <w:widowControl w:val="0"/>
        <w:numPr>
          <w:ilvl w:val="0"/>
          <w:numId w:val="0"/>
        </w:numPr>
        <w:shd w:val="clear" w:color="auto" w:fill="FFFFFF"/>
        <w:kinsoku/>
        <w:wordWrap/>
        <w:overflowPunct/>
        <w:topLinePunct w:val="0"/>
        <w:autoSpaceDE/>
        <w:autoSpaceDN/>
        <w:bidi w:val="0"/>
        <w:adjustRightInd w:val="0"/>
        <w:snapToGrid w:val="0"/>
        <w:spacing w:line="520" w:lineRule="exact"/>
        <w:ind w:firstLine="484" w:firstLineChars="200"/>
        <w:textAlignment w:val="auto"/>
        <w:rPr>
          <w:rFonts w:hint="eastAsia" w:ascii="微软雅黑" w:hAnsi="微软雅黑" w:eastAsia="微软雅黑" w:cs="微软雅黑"/>
          <w:b w:val="0"/>
          <w:bCs/>
          <w:color w:val="auto"/>
          <w:spacing w:val="1"/>
          <w:kern w:val="2"/>
          <w:sz w:val="24"/>
          <w:szCs w:val="24"/>
          <w:highlight w:val="none"/>
          <w:lang w:val="en-US" w:eastAsia="zh-CN" w:bidi="ar-SA"/>
        </w:rPr>
      </w:pPr>
      <w:r>
        <w:rPr>
          <w:rFonts w:hint="eastAsia" w:ascii="微软雅黑" w:hAnsi="微软雅黑" w:eastAsia="微软雅黑" w:cs="微软雅黑"/>
          <w:b w:val="0"/>
          <w:bCs/>
          <w:color w:val="auto"/>
          <w:spacing w:val="1"/>
          <w:kern w:val="2"/>
          <w:sz w:val="24"/>
          <w:szCs w:val="24"/>
          <w:highlight w:val="none"/>
          <w:lang w:val="en-US" w:eastAsia="zh-CN" w:bidi="ar-SA"/>
        </w:rPr>
        <w:t>3、按照民政部门要求社会救助服务工作队伍每月至少开展一次业务培训活动，制定具体实施方案，提供必要的场地和设备，印制相应培训材料，以保证服务质量。</w:t>
      </w:r>
    </w:p>
    <w:p w14:paraId="37F8B432">
      <w:pPr>
        <w:keepNext w:val="0"/>
        <w:keepLines w:val="0"/>
        <w:pageBreakBefore w:val="0"/>
        <w:widowControl w:val="0"/>
        <w:numPr>
          <w:ilvl w:val="0"/>
          <w:numId w:val="0"/>
        </w:numPr>
        <w:shd w:val="clear" w:color="auto" w:fill="FFFFFF"/>
        <w:kinsoku/>
        <w:wordWrap/>
        <w:overflowPunct/>
        <w:topLinePunct w:val="0"/>
        <w:autoSpaceDE/>
        <w:autoSpaceDN/>
        <w:bidi w:val="0"/>
        <w:adjustRightInd w:val="0"/>
        <w:snapToGrid w:val="0"/>
        <w:spacing w:line="520" w:lineRule="exact"/>
        <w:ind w:firstLine="484" w:firstLineChars="200"/>
        <w:textAlignment w:val="auto"/>
        <w:rPr>
          <w:rFonts w:hint="eastAsia" w:ascii="微软雅黑" w:hAnsi="微软雅黑" w:eastAsia="微软雅黑" w:cs="微软雅黑"/>
          <w:b/>
          <w:bCs w:val="0"/>
          <w:color w:val="auto"/>
          <w:spacing w:val="1"/>
          <w:kern w:val="2"/>
          <w:sz w:val="24"/>
          <w:szCs w:val="24"/>
          <w:highlight w:val="none"/>
          <w:lang w:val="en-US" w:eastAsia="zh-CN" w:bidi="ar-SA"/>
        </w:rPr>
      </w:pPr>
      <w:r>
        <w:rPr>
          <w:rFonts w:hint="eastAsia" w:ascii="微软雅黑" w:hAnsi="微软雅黑" w:eastAsia="微软雅黑" w:cs="微软雅黑"/>
          <w:b/>
          <w:bCs w:val="0"/>
          <w:color w:val="auto"/>
          <w:spacing w:val="1"/>
          <w:kern w:val="2"/>
          <w:sz w:val="24"/>
          <w:szCs w:val="24"/>
          <w:highlight w:val="none"/>
          <w:lang w:val="en-US" w:eastAsia="zh-CN" w:bidi="ar-SA"/>
        </w:rPr>
        <w:t>（五）做好能力提升、绩效评价工作。</w:t>
      </w:r>
    </w:p>
    <w:p w14:paraId="5BBE7723">
      <w:pPr>
        <w:keepNext w:val="0"/>
        <w:keepLines w:val="0"/>
        <w:pageBreakBefore w:val="0"/>
        <w:widowControl w:val="0"/>
        <w:numPr>
          <w:ilvl w:val="0"/>
          <w:numId w:val="0"/>
        </w:numPr>
        <w:shd w:val="clear" w:color="auto" w:fill="FFFFFF"/>
        <w:kinsoku/>
        <w:wordWrap/>
        <w:overflowPunct/>
        <w:topLinePunct w:val="0"/>
        <w:autoSpaceDE/>
        <w:autoSpaceDN/>
        <w:bidi w:val="0"/>
        <w:adjustRightInd w:val="0"/>
        <w:snapToGrid w:val="0"/>
        <w:spacing w:line="520" w:lineRule="exact"/>
        <w:ind w:firstLine="484" w:firstLineChars="200"/>
        <w:textAlignment w:val="auto"/>
        <w:rPr>
          <w:rFonts w:hint="eastAsia" w:ascii="微软雅黑" w:hAnsi="微软雅黑" w:eastAsia="微软雅黑" w:cs="微软雅黑"/>
          <w:b w:val="0"/>
          <w:bCs/>
          <w:color w:val="auto"/>
          <w:spacing w:val="1"/>
          <w:kern w:val="2"/>
          <w:sz w:val="24"/>
          <w:szCs w:val="24"/>
          <w:highlight w:val="none"/>
          <w:lang w:val="en-US" w:eastAsia="zh-CN" w:bidi="ar-SA"/>
        </w:rPr>
      </w:pPr>
      <w:r>
        <w:rPr>
          <w:rFonts w:hint="eastAsia" w:ascii="微软雅黑" w:hAnsi="微软雅黑" w:eastAsia="微软雅黑" w:cs="微软雅黑"/>
          <w:b w:val="0"/>
          <w:bCs/>
          <w:color w:val="auto"/>
          <w:spacing w:val="1"/>
          <w:kern w:val="2"/>
          <w:sz w:val="24"/>
          <w:szCs w:val="24"/>
          <w:highlight w:val="none"/>
          <w:lang w:val="en-US" w:eastAsia="zh-CN" w:bidi="ar-SA"/>
        </w:rPr>
        <w:t>由县级民政部门会同服务对象，对项目实施情况分期评估，委托第三方对购买项目实施情况进行终期绩效评价。主要包括：对救助对象服务质量及满意度、建立救助对象工作台账和救助对象档案情况、救助政策宣传情况等。</w:t>
      </w:r>
    </w:p>
    <w:p w14:paraId="5D40E833">
      <w:pPr>
        <w:keepNext w:val="0"/>
        <w:keepLines w:val="0"/>
        <w:pageBreakBefore w:val="0"/>
        <w:widowControl w:val="0"/>
        <w:shd w:val="clear" w:color="auto" w:fill="FFFFFF"/>
        <w:kinsoku/>
        <w:wordWrap/>
        <w:overflowPunct/>
        <w:topLinePunct w:val="0"/>
        <w:autoSpaceDE/>
        <w:autoSpaceDN/>
        <w:bidi w:val="0"/>
        <w:adjustRightInd w:val="0"/>
        <w:snapToGrid w:val="0"/>
        <w:spacing w:line="520" w:lineRule="exact"/>
        <w:ind w:firstLine="484" w:firstLineChars="200"/>
        <w:textAlignment w:val="auto"/>
        <w:rPr>
          <w:rFonts w:hint="eastAsia" w:ascii="微软雅黑" w:hAnsi="微软雅黑" w:eastAsia="微软雅黑" w:cs="微软雅黑"/>
          <w:b/>
          <w:bCs w:val="0"/>
          <w:color w:val="auto"/>
          <w:spacing w:val="1"/>
          <w:sz w:val="24"/>
          <w:szCs w:val="24"/>
          <w:highlight w:val="none"/>
          <w:rtl w:val="0"/>
          <w:cs w:val="0"/>
          <w:lang w:val="en-US" w:eastAsia="zh-CN"/>
        </w:rPr>
      </w:pPr>
      <w:r>
        <w:rPr>
          <w:rFonts w:hint="eastAsia" w:ascii="微软雅黑" w:hAnsi="微软雅黑" w:eastAsia="微软雅黑" w:cs="微软雅黑"/>
          <w:b/>
          <w:bCs w:val="0"/>
          <w:color w:val="auto"/>
          <w:spacing w:val="1"/>
          <w:sz w:val="24"/>
          <w:szCs w:val="24"/>
          <w:highlight w:val="none"/>
          <w:rtl w:val="0"/>
          <w:cs w:val="0"/>
          <w:lang w:val="en-US" w:eastAsia="zh-CN"/>
        </w:rPr>
        <w:t>七、考核（验收）标准和方法</w:t>
      </w:r>
    </w:p>
    <w:p w14:paraId="629FC3A8">
      <w:pPr>
        <w:keepNext w:val="0"/>
        <w:keepLines w:val="0"/>
        <w:pageBreakBefore w:val="0"/>
        <w:widowControl w:val="0"/>
        <w:numPr>
          <w:ilvl w:val="0"/>
          <w:numId w:val="0"/>
        </w:numPr>
        <w:shd w:val="clear" w:color="auto" w:fill="FFFFFF"/>
        <w:kinsoku/>
        <w:wordWrap/>
        <w:overflowPunct/>
        <w:topLinePunct w:val="0"/>
        <w:autoSpaceDE/>
        <w:autoSpaceDN/>
        <w:bidi w:val="0"/>
        <w:adjustRightInd w:val="0"/>
        <w:snapToGrid w:val="0"/>
        <w:spacing w:line="520" w:lineRule="exact"/>
        <w:ind w:firstLine="484" w:firstLineChars="200"/>
        <w:textAlignment w:val="auto"/>
        <w:rPr>
          <w:rFonts w:hint="eastAsia" w:ascii="微软雅黑" w:hAnsi="微软雅黑" w:eastAsia="微软雅黑" w:cs="微软雅黑"/>
          <w:b w:val="0"/>
          <w:bCs/>
          <w:color w:val="auto"/>
          <w:spacing w:val="1"/>
          <w:kern w:val="2"/>
          <w:sz w:val="24"/>
          <w:szCs w:val="24"/>
          <w:highlight w:val="none"/>
          <w:rtl w:val="0"/>
          <w:cs w:val="0"/>
          <w:lang w:val="en-US" w:eastAsia="zh-CN" w:bidi="ar-SA"/>
        </w:rPr>
      </w:pPr>
      <w:r>
        <w:rPr>
          <w:rFonts w:hint="eastAsia" w:ascii="微软雅黑" w:hAnsi="微软雅黑" w:eastAsia="微软雅黑" w:cs="微软雅黑"/>
          <w:b w:val="0"/>
          <w:bCs/>
          <w:color w:val="auto"/>
          <w:spacing w:val="1"/>
          <w:kern w:val="2"/>
          <w:sz w:val="24"/>
          <w:szCs w:val="24"/>
          <w:highlight w:val="none"/>
          <w:rtl w:val="0"/>
          <w:cs w:val="0"/>
          <w:lang w:val="en-US" w:eastAsia="zh-CN" w:bidi="ar-SA"/>
        </w:rPr>
        <w:t>（1）验收标准:采购人与成交供应商按照招标文件、投标文件和国家、行业相关标准、政府采购相关法律法规以及《财政部关于进一步加强政府采购需求和履约验收管理的指导意见》(财库(2016) 205号)的要求进行验收。</w:t>
      </w:r>
    </w:p>
    <w:p w14:paraId="2CF66F4E">
      <w:pPr>
        <w:keepNext w:val="0"/>
        <w:keepLines w:val="0"/>
        <w:pageBreakBefore w:val="0"/>
        <w:widowControl w:val="0"/>
        <w:numPr>
          <w:ilvl w:val="0"/>
          <w:numId w:val="0"/>
        </w:numPr>
        <w:shd w:val="clear" w:color="auto" w:fill="FFFFFF"/>
        <w:kinsoku/>
        <w:wordWrap/>
        <w:overflowPunct/>
        <w:topLinePunct w:val="0"/>
        <w:autoSpaceDE/>
        <w:autoSpaceDN/>
        <w:bidi w:val="0"/>
        <w:adjustRightInd w:val="0"/>
        <w:snapToGrid w:val="0"/>
        <w:spacing w:line="520" w:lineRule="exact"/>
        <w:ind w:firstLine="484" w:firstLineChars="200"/>
        <w:textAlignment w:val="auto"/>
        <w:rPr>
          <w:rFonts w:hint="eastAsia" w:ascii="微软雅黑" w:hAnsi="微软雅黑" w:eastAsia="微软雅黑" w:cs="微软雅黑"/>
          <w:b w:val="0"/>
          <w:bCs/>
          <w:color w:val="auto"/>
          <w:spacing w:val="1"/>
          <w:kern w:val="2"/>
          <w:sz w:val="24"/>
          <w:szCs w:val="24"/>
          <w:highlight w:val="none"/>
          <w:rtl w:val="0"/>
          <w:cs w:val="0"/>
          <w:lang w:val="en-US" w:eastAsia="zh-CN" w:bidi="ar-SA"/>
        </w:rPr>
      </w:pPr>
      <w:r>
        <w:rPr>
          <w:rFonts w:hint="eastAsia" w:ascii="微软雅黑" w:hAnsi="微软雅黑" w:eastAsia="微软雅黑" w:cs="微软雅黑"/>
          <w:b w:val="0"/>
          <w:bCs/>
          <w:color w:val="auto"/>
          <w:spacing w:val="1"/>
          <w:kern w:val="2"/>
          <w:sz w:val="24"/>
          <w:szCs w:val="24"/>
          <w:highlight w:val="none"/>
          <w:rtl w:val="0"/>
          <w:cs w:val="0"/>
          <w:lang w:val="en-US" w:eastAsia="zh-CN" w:bidi="ar-SA"/>
        </w:rPr>
        <w:t>（2） 验收方法:服务类项目，可根据项目特点对服务期内的服务实施情况进行分期考核，结合考核情况和服务效果进行验收。</w:t>
      </w:r>
    </w:p>
    <w:p w14:paraId="26C46F13">
      <w:pPr>
        <w:keepNext w:val="0"/>
        <w:keepLines w:val="0"/>
        <w:pageBreakBefore w:val="0"/>
        <w:widowControl w:val="0"/>
        <w:numPr>
          <w:ilvl w:val="0"/>
          <w:numId w:val="0"/>
        </w:numPr>
        <w:shd w:val="clear" w:color="auto" w:fill="FFFFFF"/>
        <w:kinsoku/>
        <w:wordWrap/>
        <w:overflowPunct/>
        <w:topLinePunct w:val="0"/>
        <w:autoSpaceDE/>
        <w:autoSpaceDN/>
        <w:bidi w:val="0"/>
        <w:adjustRightInd w:val="0"/>
        <w:snapToGrid w:val="0"/>
        <w:spacing w:line="520" w:lineRule="exact"/>
        <w:ind w:firstLine="484" w:firstLineChars="200"/>
        <w:textAlignment w:val="auto"/>
        <w:rPr>
          <w:rFonts w:hint="eastAsia" w:ascii="微软雅黑" w:hAnsi="微软雅黑" w:eastAsia="微软雅黑" w:cs="微软雅黑"/>
          <w:b w:val="0"/>
          <w:bCs/>
          <w:color w:val="auto"/>
          <w:spacing w:val="1"/>
          <w:kern w:val="2"/>
          <w:sz w:val="24"/>
          <w:szCs w:val="24"/>
          <w:highlight w:val="none"/>
          <w:rtl w:val="0"/>
          <w:cs w:val="0"/>
          <w:lang w:val="en-US" w:eastAsia="zh-CN" w:bidi="ar-SA"/>
        </w:rPr>
      </w:pPr>
      <w:r>
        <w:rPr>
          <w:rFonts w:hint="eastAsia" w:ascii="微软雅黑" w:hAnsi="微软雅黑" w:eastAsia="微软雅黑" w:cs="微软雅黑"/>
          <w:b w:val="0"/>
          <w:bCs/>
          <w:color w:val="auto"/>
          <w:spacing w:val="1"/>
          <w:kern w:val="2"/>
          <w:sz w:val="24"/>
          <w:szCs w:val="24"/>
          <w:highlight w:val="none"/>
          <w:rtl w:val="0"/>
          <w:cs w:val="0"/>
          <w:lang w:val="en-US" w:eastAsia="zh-CN" w:bidi="ar-SA"/>
        </w:rPr>
        <w:t>（3）供应商按照项目需求，制定具体实施方案，必须提供场地，设备，印制相应的宣传、培训资料；甲方定期和不定期地对乙方管理服务进行检查、抽查和考核。</w:t>
      </w:r>
    </w:p>
    <w:p w14:paraId="60FE1C52">
      <w:pPr>
        <w:keepNext w:val="0"/>
        <w:keepLines w:val="0"/>
        <w:pageBreakBefore w:val="0"/>
        <w:widowControl w:val="0"/>
        <w:numPr>
          <w:ilvl w:val="0"/>
          <w:numId w:val="12"/>
        </w:numPr>
        <w:shd w:val="clear" w:color="auto" w:fill="FFFFFF"/>
        <w:kinsoku/>
        <w:wordWrap/>
        <w:overflowPunct/>
        <w:topLinePunct w:val="0"/>
        <w:autoSpaceDE/>
        <w:autoSpaceDN/>
        <w:bidi w:val="0"/>
        <w:adjustRightInd w:val="0"/>
        <w:snapToGrid w:val="0"/>
        <w:spacing w:line="520" w:lineRule="exact"/>
        <w:ind w:firstLine="484" w:firstLineChars="200"/>
        <w:textAlignment w:val="auto"/>
        <w:rPr>
          <w:rFonts w:hint="eastAsia" w:ascii="微软雅黑" w:hAnsi="微软雅黑" w:eastAsia="微软雅黑" w:cs="微软雅黑"/>
          <w:b w:val="0"/>
          <w:bCs/>
          <w:color w:val="auto"/>
          <w:spacing w:val="1"/>
          <w:kern w:val="2"/>
          <w:sz w:val="24"/>
          <w:szCs w:val="24"/>
          <w:highlight w:val="none"/>
          <w:rtl w:val="0"/>
          <w:cs w:val="0"/>
          <w:lang w:val="en-US" w:eastAsia="zh-CN" w:bidi="ar-SA"/>
        </w:rPr>
      </w:pPr>
      <w:r>
        <w:rPr>
          <w:rFonts w:hint="eastAsia" w:ascii="微软雅黑" w:hAnsi="微软雅黑" w:eastAsia="微软雅黑" w:cs="微软雅黑"/>
          <w:b w:val="0"/>
          <w:bCs/>
          <w:color w:val="auto"/>
          <w:spacing w:val="1"/>
          <w:kern w:val="2"/>
          <w:sz w:val="24"/>
          <w:szCs w:val="24"/>
          <w:highlight w:val="none"/>
          <w:rtl w:val="0"/>
          <w:cs w:val="0"/>
          <w:lang w:val="en-US" w:eastAsia="zh-CN" w:bidi="ar-SA"/>
        </w:rPr>
        <w:t>项目评估以机构自评和实地评估的方式开展，同时引入第三方进行评估。</w:t>
      </w:r>
    </w:p>
    <w:p w14:paraId="1A0B9640">
      <w:pPr>
        <w:keepNext w:val="0"/>
        <w:keepLines w:val="0"/>
        <w:pageBreakBefore w:val="0"/>
        <w:widowControl w:val="0"/>
        <w:numPr>
          <w:ilvl w:val="0"/>
          <w:numId w:val="0"/>
        </w:numPr>
        <w:shd w:val="clear" w:color="auto" w:fill="FFFFFF"/>
        <w:kinsoku/>
        <w:wordWrap/>
        <w:overflowPunct/>
        <w:topLinePunct w:val="0"/>
        <w:autoSpaceDE/>
        <w:autoSpaceDN/>
        <w:bidi w:val="0"/>
        <w:adjustRightInd w:val="0"/>
        <w:snapToGrid w:val="0"/>
        <w:spacing w:line="520" w:lineRule="exact"/>
        <w:ind w:firstLine="484" w:firstLineChars="200"/>
        <w:textAlignment w:val="auto"/>
        <w:rPr>
          <w:rFonts w:hint="eastAsia" w:ascii="微软雅黑" w:hAnsi="微软雅黑" w:eastAsia="微软雅黑" w:cs="微软雅黑"/>
          <w:b/>
          <w:bCs w:val="0"/>
          <w:color w:val="auto"/>
          <w:spacing w:val="1"/>
          <w:kern w:val="2"/>
          <w:sz w:val="24"/>
          <w:szCs w:val="24"/>
          <w:highlight w:val="none"/>
          <w:rtl w:val="0"/>
          <w:cs w:val="0"/>
          <w:lang w:val="en-US" w:eastAsia="zh-CN" w:bidi="ar-SA"/>
        </w:rPr>
      </w:pPr>
      <w:r>
        <w:rPr>
          <w:rFonts w:hint="eastAsia" w:ascii="微软雅黑" w:hAnsi="微软雅黑" w:eastAsia="微软雅黑" w:cs="微软雅黑"/>
          <w:b/>
          <w:bCs w:val="0"/>
          <w:color w:val="auto"/>
          <w:spacing w:val="1"/>
          <w:kern w:val="2"/>
          <w:sz w:val="24"/>
          <w:szCs w:val="24"/>
          <w:highlight w:val="none"/>
          <w:rtl w:val="0"/>
          <w:cs w:val="0"/>
          <w:lang w:val="en-US" w:eastAsia="zh-CN" w:bidi="ar-SA"/>
        </w:rPr>
        <w:t>八、合同签订</w:t>
      </w:r>
    </w:p>
    <w:p w14:paraId="0B5665E0">
      <w:pPr>
        <w:keepNext w:val="0"/>
        <w:keepLines w:val="0"/>
        <w:pageBreakBefore w:val="0"/>
        <w:widowControl w:val="0"/>
        <w:numPr>
          <w:ilvl w:val="0"/>
          <w:numId w:val="0"/>
        </w:numPr>
        <w:shd w:val="clear" w:color="auto" w:fill="FFFFFF"/>
        <w:kinsoku/>
        <w:wordWrap/>
        <w:overflowPunct/>
        <w:topLinePunct w:val="0"/>
        <w:autoSpaceDE/>
        <w:autoSpaceDN/>
        <w:bidi w:val="0"/>
        <w:adjustRightInd w:val="0"/>
        <w:snapToGrid w:val="0"/>
        <w:spacing w:line="520" w:lineRule="exact"/>
        <w:ind w:firstLine="484" w:firstLineChars="200"/>
        <w:textAlignment w:val="auto"/>
        <w:rPr>
          <w:rFonts w:hint="eastAsia" w:ascii="微软雅黑" w:hAnsi="微软雅黑" w:eastAsia="微软雅黑" w:cs="微软雅黑"/>
          <w:b w:val="0"/>
          <w:bCs/>
          <w:color w:val="auto"/>
          <w:spacing w:val="1"/>
          <w:kern w:val="2"/>
          <w:sz w:val="24"/>
          <w:szCs w:val="24"/>
          <w:highlight w:val="none"/>
          <w:rtl w:val="0"/>
          <w:cs w:val="0"/>
          <w:lang w:val="en-US" w:eastAsia="zh-CN" w:bidi="ar-SA"/>
        </w:rPr>
      </w:pPr>
      <w:r>
        <w:rPr>
          <w:rFonts w:hint="eastAsia" w:ascii="微软雅黑" w:hAnsi="微软雅黑" w:eastAsia="微软雅黑" w:cs="微软雅黑"/>
          <w:b w:val="0"/>
          <w:bCs/>
          <w:color w:val="auto"/>
          <w:spacing w:val="1"/>
          <w:kern w:val="2"/>
          <w:sz w:val="24"/>
          <w:szCs w:val="24"/>
          <w:highlight w:val="none"/>
          <w:rtl w:val="0"/>
          <w:cs w:val="0"/>
          <w:lang w:val="en-US" w:eastAsia="zh-CN" w:bidi="ar-SA"/>
        </w:rPr>
        <w:t>采购人应当自中标通知书发出之日起30日内，按照招标文件和中标人投标文件的规定，与中标人签订书面合同。所签订的合同不得对招标文件确定的事项和中标人投标文件作实质性修改。</w:t>
      </w:r>
    </w:p>
    <w:p w14:paraId="5CEE98A2">
      <w:pPr>
        <w:keepNext w:val="0"/>
        <w:keepLines w:val="0"/>
        <w:pageBreakBefore w:val="0"/>
        <w:widowControl w:val="0"/>
        <w:shd w:val="clear" w:color="auto" w:fill="FFFFFF"/>
        <w:kinsoku/>
        <w:wordWrap/>
        <w:overflowPunct/>
        <w:topLinePunct w:val="0"/>
        <w:autoSpaceDE/>
        <w:autoSpaceDN/>
        <w:bidi w:val="0"/>
        <w:adjustRightInd w:val="0"/>
        <w:snapToGrid w:val="0"/>
        <w:spacing w:line="520" w:lineRule="exact"/>
        <w:ind w:firstLine="484" w:firstLineChars="200"/>
        <w:textAlignment w:val="auto"/>
        <w:rPr>
          <w:rFonts w:hint="eastAsia" w:ascii="微软雅黑" w:hAnsi="微软雅黑" w:eastAsia="微软雅黑" w:cs="微软雅黑"/>
          <w:b w:val="0"/>
          <w:bCs/>
          <w:color w:val="auto"/>
          <w:spacing w:val="1"/>
          <w:kern w:val="2"/>
          <w:sz w:val="24"/>
          <w:szCs w:val="24"/>
          <w:highlight w:val="none"/>
          <w:rtl w:val="0"/>
          <w:cs w:val="0"/>
          <w:lang w:val="en-US" w:eastAsia="zh-CN" w:bidi="ar-SA"/>
        </w:rPr>
      </w:pPr>
      <w:r>
        <w:rPr>
          <w:rFonts w:hint="eastAsia" w:ascii="微软雅黑" w:hAnsi="微软雅黑" w:eastAsia="微软雅黑" w:cs="微软雅黑"/>
          <w:b w:val="0"/>
          <w:bCs/>
          <w:color w:val="auto"/>
          <w:spacing w:val="1"/>
          <w:kern w:val="2"/>
          <w:sz w:val="24"/>
          <w:szCs w:val="24"/>
          <w:highlight w:val="none"/>
          <w:rtl w:val="0"/>
          <w:cs w:val="0"/>
          <w:lang w:val="en-US" w:eastAsia="zh-CN" w:bidi="ar-SA"/>
        </w:rPr>
        <w:t>签订合同时，可将中标人的投标保证金转为中标人的履约保证金或中标人应当以支票、汇票、本票等非现金形式向采购人指定的账户交纳履约保证金。履约保证金的数额由采购人确定，但不得超出采购合同总金额的10%。</w:t>
      </w:r>
    </w:p>
    <w:p w14:paraId="1D1E4761">
      <w:pPr>
        <w:keepNext w:val="0"/>
        <w:keepLines w:val="0"/>
        <w:pageBreakBefore w:val="0"/>
        <w:widowControl w:val="0"/>
        <w:shd w:val="clear" w:color="auto" w:fill="FFFFFF"/>
        <w:kinsoku/>
        <w:wordWrap/>
        <w:overflowPunct/>
        <w:topLinePunct w:val="0"/>
        <w:autoSpaceDE/>
        <w:autoSpaceDN/>
        <w:bidi w:val="0"/>
        <w:adjustRightInd w:val="0"/>
        <w:snapToGrid w:val="0"/>
        <w:spacing w:line="520" w:lineRule="exact"/>
        <w:ind w:firstLine="484" w:firstLineChars="200"/>
        <w:textAlignment w:val="auto"/>
        <w:rPr>
          <w:rFonts w:hint="eastAsia" w:ascii="微软雅黑" w:hAnsi="微软雅黑" w:eastAsia="微软雅黑" w:cs="微软雅黑"/>
          <w:b w:val="0"/>
          <w:bCs/>
          <w:color w:val="auto"/>
          <w:spacing w:val="1"/>
          <w:kern w:val="2"/>
          <w:sz w:val="24"/>
          <w:szCs w:val="24"/>
          <w:highlight w:val="none"/>
          <w:rtl w:val="0"/>
          <w:cs w:val="0"/>
          <w:lang w:val="en-US" w:eastAsia="zh-CN" w:bidi="ar-SA"/>
        </w:rPr>
      </w:pPr>
      <w:r>
        <w:rPr>
          <w:rFonts w:hint="eastAsia" w:ascii="微软雅黑" w:hAnsi="微软雅黑" w:eastAsia="微软雅黑" w:cs="微软雅黑"/>
          <w:b w:val="0"/>
          <w:bCs/>
          <w:color w:val="auto"/>
          <w:spacing w:val="1"/>
          <w:kern w:val="2"/>
          <w:sz w:val="24"/>
          <w:szCs w:val="24"/>
          <w:highlight w:val="none"/>
          <w:rtl w:val="0"/>
          <w:cs w:val="0"/>
          <w:lang w:val="en-US" w:eastAsia="zh-CN" w:bidi="ar-SA"/>
        </w:rPr>
        <w:t>中标人拒绝与采购人签订合同的，采购人可以按照评标报告推荐的中标候选人名单排序，确定下一候选人为中标人，也可重新开展政府采购活动。</w:t>
      </w:r>
    </w:p>
    <w:p w14:paraId="2019223D">
      <w:pPr>
        <w:keepNext w:val="0"/>
        <w:keepLines w:val="0"/>
        <w:pageBreakBefore w:val="0"/>
        <w:widowControl w:val="0"/>
        <w:shd w:val="clear" w:color="auto" w:fill="FFFFFF"/>
        <w:kinsoku/>
        <w:wordWrap/>
        <w:overflowPunct/>
        <w:topLinePunct w:val="0"/>
        <w:autoSpaceDE/>
        <w:autoSpaceDN/>
        <w:bidi w:val="0"/>
        <w:adjustRightInd w:val="0"/>
        <w:snapToGrid w:val="0"/>
        <w:spacing w:line="520" w:lineRule="exact"/>
        <w:ind w:firstLine="484" w:firstLineChars="200"/>
        <w:textAlignment w:val="auto"/>
        <w:rPr>
          <w:rFonts w:hint="eastAsia" w:ascii="微软雅黑" w:hAnsi="微软雅黑" w:eastAsia="微软雅黑" w:cs="微软雅黑"/>
          <w:b w:val="0"/>
          <w:bCs/>
          <w:color w:val="auto"/>
          <w:spacing w:val="1"/>
          <w:kern w:val="2"/>
          <w:sz w:val="24"/>
          <w:szCs w:val="24"/>
          <w:highlight w:val="none"/>
          <w:rtl w:val="0"/>
          <w:cs w:val="0"/>
          <w:lang w:val="en-US" w:eastAsia="zh-CN" w:bidi="ar-SA"/>
        </w:rPr>
      </w:pPr>
      <w:r>
        <w:rPr>
          <w:rFonts w:hint="eastAsia" w:ascii="微软雅黑" w:hAnsi="微软雅黑" w:eastAsia="微软雅黑" w:cs="微软雅黑"/>
          <w:b w:val="0"/>
          <w:bCs/>
          <w:color w:val="auto"/>
          <w:spacing w:val="1"/>
          <w:kern w:val="2"/>
          <w:sz w:val="24"/>
          <w:szCs w:val="24"/>
          <w:highlight w:val="none"/>
          <w:rtl w:val="0"/>
          <w:cs w:val="0"/>
          <w:lang w:val="en-US" w:eastAsia="zh-CN" w:bidi="ar-SA"/>
        </w:rPr>
        <w:t>招标文件、中标人的投标文件、《中标通知书》及其澄清、说明文件、承诺等，均为签订采购合同的依据，作为采购合同的组成部分。</w:t>
      </w:r>
    </w:p>
    <w:p w14:paraId="6286A11E">
      <w:pPr>
        <w:keepNext w:val="0"/>
        <w:keepLines w:val="0"/>
        <w:pageBreakBefore w:val="0"/>
        <w:widowControl w:val="0"/>
        <w:shd w:val="clear" w:color="auto" w:fill="FFFFFF"/>
        <w:kinsoku/>
        <w:wordWrap/>
        <w:overflowPunct/>
        <w:topLinePunct w:val="0"/>
        <w:autoSpaceDE/>
        <w:autoSpaceDN/>
        <w:bidi w:val="0"/>
        <w:adjustRightInd w:val="0"/>
        <w:snapToGrid w:val="0"/>
        <w:spacing w:line="520" w:lineRule="exact"/>
        <w:ind w:firstLine="484" w:firstLineChars="200"/>
        <w:textAlignment w:val="auto"/>
        <w:rPr>
          <w:rFonts w:hint="eastAsia" w:ascii="微软雅黑" w:hAnsi="微软雅黑" w:eastAsia="微软雅黑" w:cs="微软雅黑"/>
          <w:b w:val="0"/>
          <w:bCs/>
          <w:color w:val="auto"/>
          <w:spacing w:val="1"/>
          <w:kern w:val="2"/>
          <w:sz w:val="24"/>
          <w:szCs w:val="24"/>
          <w:highlight w:val="none"/>
          <w:rtl w:val="0"/>
          <w:cs w:val="0"/>
          <w:lang w:val="en-US" w:eastAsia="zh-CN" w:bidi="ar-SA"/>
        </w:rPr>
      </w:pPr>
      <w:r>
        <w:rPr>
          <w:rFonts w:hint="eastAsia" w:ascii="微软雅黑" w:hAnsi="微软雅黑" w:eastAsia="微软雅黑" w:cs="微软雅黑"/>
          <w:b w:val="0"/>
          <w:bCs/>
          <w:color w:val="auto"/>
          <w:spacing w:val="1"/>
          <w:kern w:val="2"/>
          <w:sz w:val="24"/>
          <w:szCs w:val="24"/>
          <w:highlight w:val="none"/>
          <w:rtl w:val="0"/>
          <w:cs w:val="0"/>
          <w:lang w:val="en-US" w:eastAsia="zh-CN" w:bidi="ar-SA"/>
        </w:rPr>
        <w:t>采购合同签订之后将采购合同在新疆政府采购网上公告，但采购合同中涉及国家秘密、商业秘密的内容除外。</w:t>
      </w:r>
    </w:p>
    <w:p w14:paraId="40623B77">
      <w:pPr>
        <w:keepNext w:val="0"/>
        <w:keepLines w:val="0"/>
        <w:pageBreakBefore w:val="0"/>
        <w:widowControl w:val="0"/>
        <w:shd w:val="clear" w:color="auto" w:fill="FFFFFF"/>
        <w:kinsoku/>
        <w:wordWrap/>
        <w:overflowPunct/>
        <w:topLinePunct w:val="0"/>
        <w:autoSpaceDE/>
        <w:autoSpaceDN/>
        <w:bidi w:val="0"/>
        <w:adjustRightInd w:val="0"/>
        <w:snapToGrid w:val="0"/>
        <w:spacing w:line="520" w:lineRule="exact"/>
        <w:ind w:firstLine="484" w:firstLineChars="200"/>
        <w:textAlignment w:val="auto"/>
        <w:rPr>
          <w:rFonts w:hint="eastAsia"/>
          <w:rtl w:val="0"/>
          <w:cs w:val="0"/>
          <w:lang w:val="en-US" w:eastAsia="zh-CN"/>
        </w:rPr>
      </w:pPr>
      <w:r>
        <w:rPr>
          <w:rFonts w:hint="eastAsia" w:ascii="微软雅黑" w:hAnsi="微软雅黑" w:eastAsia="微软雅黑" w:cs="微软雅黑"/>
          <w:b w:val="0"/>
          <w:bCs/>
          <w:color w:val="auto"/>
          <w:spacing w:val="1"/>
          <w:kern w:val="2"/>
          <w:sz w:val="24"/>
          <w:szCs w:val="24"/>
          <w:highlight w:val="none"/>
          <w:rtl w:val="0"/>
          <w:cs w:val="0"/>
          <w:lang w:val="en-US" w:eastAsia="zh-CN" w:bidi="ar-SA"/>
        </w:rPr>
        <w:t>采购人与中标人应当根据合同的约定依法履行合同义务。政府采购合同的履行、违约责任和解决争议的方法等适用《中华人民共和国合同法》。</w:t>
      </w:r>
    </w:p>
    <w:p w14:paraId="2B35FB6A">
      <w:pPr>
        <w:keepNext w:val="0"/>
        <w:keepLines w:val="0"/>
        <w:pageBreakBefore w:val="0"/>
        <w:widowControl w:val="0"/>
        <w:numPr>
          <w:ilvl w:val="0"/>
          <w:numId w:val="0"/>
        </w:numPr>
        <w:shd w:val="clear" w:color="auto" w:fill="FFFFFF"/>
        <w:kinsoku/>
        <w:wordWrap/>
        <w:overflowPunct/>
        <w:topLinePunct w:val="0"/>
        <w:autoSpaceDE/>
        <w:autoSpaceDN/>
        <w:bidi w:val="0"/>
        <w:adjustRightInd w:val="0"/>
        <w:snapToGrid w:val="0"/>
        <w:spacing w:line="520" w:lineRule="exact"/>
        <w:ind w:firstLine="484" w:firstLineChars="200"/>
        <w:textAlignment w:val="auto"/>
        <w:rPr>
          <w:rFonts w:hint="eastAsia" w:ascii="微软雅黑" w:hAnsi="微软雅黑" w:eastAsia="微软雅黑" w:cs="微软雅黑"/>
          <w:b/>
          <w:bCs w:val="0"/>
          <w:color w:val="auto"/>
          <w:spacing w:val="1"/>
          <w:kern w:val="2"/>
          <w:sz w:val="24"/>
          <w:szCs w:val="24"/>
          <w:highlight w:val="none"/>
          <w:lang w:val="en-US" w:eastAsia="zh-CN" w:bidi="ar-SA"/>
        </w:rPr>
      </w:pPr>
      <w:r>
        <w:rPr>
          <w:rFonts w:hint="eastAsia" w:ascii="微软雅黑" w:hAnsi="微软雅黑" w:eastAsia="微软雅黑" w:cs="微软雅黑"/>
          <w:b/>
          <w:bCs w:val="0"/>
          <w:color w:val="auto"/>
          <w:spacing w:val="1"/>
          <w:kern w:val="2"/>
          <w:sz w:val="24"/>
          <w:szCs w:val="24"/>
          <w:highlight w:val="none"/>
          <w:lang w:val="en-US" w:eastAsia="zh-CN" w:bidi="ar-SA"/>
        </w:rPr>
        <w:t>九、其他要求</w:t>
      </w:r>
    </w:p>
    <w:p w14:paraId="520ED525">
      <w:pPr>
        <w:keepNext w:val="0"/>
        <w:keepLines w:val="0"/>
        <w:pageBreakBefore w:val="0"/>
        <w:widowControl w:val="0"/>
        <w:numPr>
          <w:ilvl w:val="0"/>
          <w:numId w:val="0"/>
        </w:numPr>
        <w:shd w:val="clear" w:color="auto" w:fill="FFFFFF"/>
        <w:kinsoku/>
        <w:wordWrap/>
        <w:overflowPunct/>
        <w:topLinePunct w:val="0"/>
        <w:autoSpaceDE/>
        <w:autoSpaceDN/>
        <w:bidi w:val="0"/>
        <w:adjustRightInd w:val="0"/>
        <w:snapToGrid w:val="0"/>
        <w:spacing w:line="520" w:lineRule="exact"/>
        <w:ind w:firstLine="484" w:firstLineChars="200"/>
        <w:textAlignment w:val="auto"/>
        <w:rPr>
          <w:rFonts w:hint="eastAsia" w:ascii="微软雅黑" w:hAnsi="微软雅黑" w:eastAsia="微软雅黑" w:cs="微软雅黑"/>
          <w:bCs/>
          <w:color w:val="auto"/>
          <w:spacing w:val="1"/>
          <w:kern w:val="2"/>
          <w:sz w:val="24"/>
          <w:szCs w:val="24"/>
          <w:highlight w:val="none"/>
          <w:lang w:val="en-US" w:eastAsia="zh-CN" w:bidi="ar-SA"/>
        </w:rPr>
      </w:pPr>
      <w:r>
        <w:rPr>
          <w:rFonts w:hint="eastAsia" w:ascii="微软雅黑" w:hAnsi="微软雅黑" w:eastAsia="微软雅黑" w:cs="微软雅黑"/>
          <w:bCs/>
          <w:color w:val="auto"/>
          <w:spacing w:val="1"/>
          <w:kern w:val="2"/>
          <w:sz w:val="24"/>
          <w:szCs w:val="24"/>
          <w:highlight w:val="none"/>
          <w:lang w:val="en-US" w:eastAsia="zh-CN" w:bidi="ar-SA"/>
        </w:rPr>
        <w:t>（1）供应商结合本项目服务内容及要求自行配备该项目</w:t>
      </w:r>
      <w:r>
        <w:rPr>
          <w:rFonts w:hint="eastAsia" w:ascii="微软雅黑" w:hAnsi="微软雅黑" w:eastAsia="微软雅黑" w:cs="微软雅黑"/>
          <w:bCs/>
          <w:color w:val="auto"/>
          <w:spacing w:val="1"/>
          <w:sz w:val="24"/>
          <w:szCs w:val="24"/>
          <w:highlight w:val="none"/>
          <w:lang w:val="en-US" w:eastAsia="zh-CN"/>
        </w:rPr>
        <w:t>服务</w:t>
      </w:r>
      <w:r>
        <w:rPr>
          <w:rFonts w:hint="eastAsia" w:ascii="微软雅黑" w:hAnsi="微软雅黑" w:eastAsia="微软雅黑" w:cs="微软雅黑"/>
          <w:bCs/>
          <w:color w:val="auto"/>
          <w:spacing w:val="1"/>
          <w:kern w:val="2"/>
          <w:sz w:val="24"/>
          <w:szCs w:val="24"/>
          <w:highlight w:val="none"/>
          <w:lang w:val="en-US" w:eastAsia="zh-CN" w:bidi="ar-SA"/>
        </w:rPr>
        <w:t>工作人员（具体人数以投标人承诺和服务合同签订为准），专职人员包括中标单位派出或拟聘用的工作人员；服务团队人员具有社会工作及相关专业能力（社会工作及其相关专业毕业，或持有全国社会工作者职业水平资格证书及其他相关证书）；办公场所、设备需提供相应的证明材料。</w:t>
      </w:r>
    </w:p>
    <w:p w14:paraId="7F67F07F">
      <w:pPr>
        <w:keepNext w:val="0"/>
        <w:keepLines w:val="0"/>
        <w:pageBreakBefore w:val="0"/>
        <w:widowControl w:val="0"/>
        <w:shd w:val="clear" w:color="auto" w:fill="FFFFFF"/>
        <w:kinsoku/>
        <w:wordWrap/>
        <w:overflowPunct/>
        <w:topLinePunct w:val="0"/>
        <w:autoSpaceDE/>
        <w:autoSpaceDN/>
        <w:bidi w:val="0"/>
        <w:adjustRightInd w:val="0"/>
        <w:snapToGrid w:val="0"/>
        <w:spacing w:line="520" w:lineRule="exact"/>
        <w:ind w:firstLine="484" w:firstLineChars="200"/>
        <w:textAlignment w:val="auto"/>
        <w:rPr>
          <w:rFonts w:hint="eastAsia" w:ascii="微软雅黑" w:hAnsi="微软雅黑" w:eastAsia="微软雅黑" w:cs="微软雅黑"/>
          <w:bCs/>
          <w:color w:val="auto"/>
          <w:spacing w:val="1"/>
          <w:kern w:val="2"/>
          <w:sz w:val="24"/>
          <w:szCs w:val="24"/>
          <w:highlight w:val="none"/>
          <w:lang w:val="en-US" w:eastAsia="zh-CN" w:bidi="ar-SA"/>
        </w:rPr>
      </w:pPr>
      <w:r>
        <w:rPr>
          <w:rFonts w:hint="eastAsia" w:ascii="微软雅黑" w:hAnsi="微软雅黑" w:eastAsia="微软雅黑" w:cs="微软雅黑"/>
          <w:bCs/>
          <w:color w:val="auto"/>
          <w:spacing w:val="1"/>
          <w:kern w:val="2"/>
          <w:sz w:val="24"/>
          <w:szCs w:val="24"/>
          <w:highlight w:val="none"/>
          <w:lang w:val="en-US" w:eastAsia="zh-CN" w:bidi="ar-SA"/>
        </w:rPr>
        <w:t>（2）所有岗位工作人员须身体健康。(供应商须提供承诺函，并且加盖供应商单位公章)</w:t>
      </w:r>
    </w:p>
    <w:p w14:paraId="2F41318E">
      <w:pPr>
        <w:keepNext w:val="0"/>
        <w:keepLines w:val="0"/>
        <w:pageBreakBefore w:val="0"/>
        <w:widowControl w:val="0"/>
        <w:shd w:val="clear" w:color="auto" w:fill="FFFFFF"/>
        <w:kinsoku/>
        <w:wordWrap/>
        <w:overflowPunct/>
        <w:topLinePunct w:val="0"/>
        <w:autoSpaceDE/>
        <w:autoSpaceDN/>
        <w:bidi w:val="0"/>
        <w:adjustRightInd w:val="0"/>
        <w:snapToGrid w:val="0"/>
        <w:spacing w:line="520" w:lineRule="exact"/>
        <w:ind w:firstLine="484" w:firstLineChars="200"/>
        <w:textAlignment w:val="auto"/>
        <w:rPr>
          <w:rFonts w:hint="eastAsia" w:ascii="微软雅黑" w:hAnsi="微软雅黑" w:eastAsia="微软雅黑" w:cs="微软雅黑"/>
          <w:bCs/>
          <w:color w:val="auto"/>
          <w:spacing w:val="1"/>
          <w:kern w:val="2"/>
          <w:sz w:val="24"/>
          <w:szCs w:val="24"/>
          <w:highlight w:val="none"/>
          <w:lang w:val="en-US" w:eastAsia="zh-CN" w:bidi="ar-SA"/>
        </w:rPr>
      </w:pPr>
      <w:r>
        <w:rPr>
          <w:rFonts w:hint="eastAsia" w:ascii="微软雅黑" w:hAnsi="微软雅黑" w:eastAsia="微软雅黑" w:cs="微软雅黑"/>
          <w:bCs/>
          <w:color w:val="auto"/>
          <w:spacing w:val="1"/>
          <w:kern w:val="2"/>
          <w:sz w:val="24"/>
          <w:szCs w:val="24"/>
          <w:highlight w:val="none"/>
          <w:lang w:val="en-US" w:eastAsia="zh-CN" w:bidi="ar-SA"/>
        </w:rPr>
        <w:t>（3）聘用的工作人员的劳资关系属于成交供应商，采购人与成交供应商聘用的工作人员不建立任何劳资关系。服务期限内，聘用人员在服务期间内出现各种事故(包括但不限于劳资纠纷、安全、交通、意外、疾病或其他伤亡事故)，由成交供应商承担全部责任。( 供应商须提供承诺函，并且加盖供应商单位公章)</w:t>
      </w:r>
    </w:p>
    <w:p w14:paraId="5011DC6C">
      <w:pPr>
        <w:keepNext w:val="0"/>
        <w:keepLines w:val="0"/>
        <w:pageBreakBefore w:val="0"/>
        <w:widowControl w:val="0"/>
        <w:shd w:val="clear" w:color="auto" w:fill="FFFFFF"/>
        <w:kinsoku/>
        <w:wordWrap/>
        <w:overflowPunct/>
        <w:topLinePunct w:val="0"/>
        <w:autoSpaceDE/>
        <w:autoSpaceDN/>
        <w:bidi w:val="0"/>
        <w:adjustRightInd w:val="0"/>
        <w:snapToGrid w:val="0"/>
        <w:spacing w:line="520" w:lineRule="exact"/>
        <w:ind w:firstLine="484" w:firstLineChars="200"/>
        <w:textAlignment w:val="auto"/>
        <w:rPr>
          <w:rFonts w:hint="eastAsia" w:ascii="微软雅黑" w:hAnsi="微软雅黑" w:eastAsia="微软雅黑" w:cs="微软雅黑"/>
          <w:bCs/>
          <w:color w:val="auto"/>
          <w:spacing w:val="1"/>
          <w:kern w:val="2"/>
          <w:sz w:val="24"/>
          <w:szCs w:val="24"/>
          <w:highlight w:val="none"/>
          <w:lang w:val="en-US" w:eastAsia="zh-CN" w:bidi="ar-SA"/>
        </w:rPr>
      </w:pPr>
      <w:r>
        <w:rPr>
          <w:rFonts w:hint="eastAsia" w:ascii="微软雅黑" w:hAnsi="微软雅黑" w:eastAsia="微软雅黑" w:cs="微软雅黑"/>
          <w:bCs/>
          <w:color w:val="auto"/>
          <w:spacing w:val="1"/>
          <w:kern w:val="2"/>
          <w:sz w:val="24"/>
          <w:szCs w:val="24"/>
          <w:highlight w:val="none"/>
          <w:lang w:val="en-US" w:eastAsia="zh-CN" w:bidi="ar-SA"/>
        </w:rPr>
        <w:t xml:space="preserve">（4）供应商聘用人员的工资不得低于当地最低工资标准，在参加采购活动时应综合考虑最低工资标准调整等政策变化因素，如遇最低工资标准调整等政策变化原因导致供应商运营成本增加，供应商应自行解决采购人不承担任何与此相关的费用。(供应商须提供承诺函，并且加盖供应商单位公章) </w:t>
      </w:r>
    </w:p>
    <w:p w14:paraId="3CE105D5">
      <w:pPr>
        <w:keepNext w:val="0"/>
        <w:keepLines w:val="0"/>
        <w:pageBreakBefore w:val="0"/>
        <w:widowControl w:val="0"/>
        <w:shd w:val="clear" w:color="auto" w:fill="FFFFFF"/>
        <w:kinsoku/>
        <w:wordWrap/>
        <w:overflowPunct/>
        <w:topLinePunct w:val="0"/>
        <w:autoSpaceDE/>
        <w:autoSpaceDN/>
        <w:bidi w:val="0"/>
        <w:adjustRightInd w:val="0"/>
        <w:snapToGrid w:val="0"/>
        <w:spacing w:line="520" w:lineRule="exact"/>
        <w:ind w:firstLine="484" w:firstLineChars="200"/>
        <w:textAlignment w:val="auto"/>
        <w:rPr>
          <w:rFonts w:hint="eastAsia" w:ascii="微软雅黑" w:hAnsi="微软雅黑" w:eastAsia="微软雅黑" w:cs="微软雅黑"/>
          <w:bCs/>
          <w:color w:val="auto"/>
          <w:spacing w:val="1"/>
          <w:kern w:val="2"/>
          <w:sz w:val="24"/>
          <w:szCs w:val="24"/>
          <w:highlight w:val="none"/>
          <w:lang w:val="en-US" w:eastAsia="zh-CN" w:bidi="ar-SA"/>
        </w:rPr>
      </w:pPr>
      <w:r>
        <w:rPr>
          <w:rFonts w:hint="eastAsia" w:ascii="微软雅黑" w:hAnsi="微软雅黑" w:eastAsia="微软雅黑" w:cs="微软雅黑"/>
          <w:bCs/>
          <w:color w:val="auto"/>
          <w:spacing w:val="1"/>
          <w:kern w:val="2"/>
          <w:sz w:val="24"/>
          <w:szCs w:val="24"/>
          <w:highlight w:val="none"/>
          <w:lang w:val="en-US" w:eastAsia="zh-CN" w:bidi="ar-SA"/>
        </w:rPr>
        <w:t>（5）供应商必须承诺在成交并签订采购合同后5个工作日内完成所有员工的招聘、采购人确认、劳动或劳务合同的签订等工作，根据采购人要求安排员工到岗，未经采购人同意不得更换。( 供应商须提供承诺函，并且加盖供应商单位公章)</w:t>
      </w:r>
    </w:p>
    <w:p w14:paraId="0180F1C1">
      <w:pPr>
        <w:keepNext w:val="0"/>
        <w:keepLines w:val="0"/>
        <w:pageBreakBefore w:val="0"/>
        <w:widowControl w:val="0"/>
        <w:shd w:val="clear" w:color="auto" w:fill="FFFFFF"/>
        <w:kinsoku/>
        <w:wordWrap/>
        <w:overflowPunct/>
        <w:topLinePunct w:val="0"/>
        <w:autoSpaceDE/>
        <w:autoSpaceDN/>
        <w:bidi w:val="0"/>
        <w:adjustRightInd w:val="0"/>
        <w:snapToGrid w:val="0"/>
        <w:spacing w:line="520" w:lineRule="exact"/>
        <w:ind w:firstLine="484" w:firstLineChars="200"/>
        <w:textAlignment w:val="auto"/>
        <w:rPr>
          <w:rFonts w:hint="eastAsia" w:ascii="微软雅黑" w:hAnsi="微软雅黑" w:eastAsia="微软雅黑" w:cs="微软雅黑"/>
          <w:b w:val="0"/>
          <w:bCs/>
          <w:color w:val="auto"/>
          <w:spacing w:val="1"/>
          <w:kern w:val="2"/>
          <w:sz w:val="24"/>
          <w:szCs w:val="24"/>
          <w:highlight w:val="none"/>
          <w:rtl w:val="0"/>
          <w:cs w:val="0"/>
          <w:lang w:val="en-US" w:eastAsia="zh-CN" w:bidi="ar-SA"/>
        </w:rPr>
      </w:pPr>
      <w:r>
        <w:rPr>
          <w:rFonts w:hint="eastAsia" w:ascii="微软雅黑" w:hAnsi="微软雅黑" w:eastAsia="微软雅黑" w:cs="微软雅黑"/>
          <w:b w:val="0"/>
          <w:bCs/>
          <w:color w:val="auto"/>
          <w:spacing w:val="1"/>
          <w:kern w:val="2"/>
          <w:sz w:val="24"/>
          <w:szCs w:val="24"/>
          <w:highlight w:val="none"/>
          <w:rtl w:val="0"/>
          <w:cs w:val="0"/>
          <w:lang w:val="en-US" w:eastAsia="zh-CN" w:bidi="ar-SA"/>
        </w:rPr>
        <w:t>（6）成交供应商聘用的工作人员应当接受成交供应商和采购人的双重领导和管理在合同框架内双方协商一致的前提下服从并遵守采购人的合理化安排及管理。</w:t>
      </w:r>
    </w:p>
    <w:p w14:paraId="4FB39382">
      <w:pPr>
        <w:keepNext w:val="0"/>
        <w:keepLines w:val="0"/>
        <w:pageBreakBefore w:val="0"/>
        <w:widowControl w:val="0"/>
        <w:shd w:val="clear" w:color="auto" w:fill="FFFFFF"/>
        <w:kinsoku/>
        <w:wordWrap/>
        <w:overflowPunct/>
        <w:topLinePunct w:val="0"/>
        <w:autoSpaceDE/>
        <w:autoSpaceDN/>
        <w:bidi w:val="0"/>
        <w:adjustRightInd w:val="0"/>
        <w:snapToGrid w:val="0"/>
        <w:spacing w:line="520" w:lineRule="exact"/>
        <w:ind w:firstLine="484" w:firstLineChars="200"/>
        <w:textAlignment w:val="auto"/>
        <w:rPr>
          <w:rFonts w:hint="eastAsia" w:ascii="微软雅黑" w:hAnsi="微软雅黑" w:eastAsia="微软雅黑" w:cs="微软雅黑"/>
          <w:b w:val="0"/>
          <w:bCs/>
          <w:color w:val="auto"/>
          <w:spacing w:val="1"/>
          <w:kern w:val="2"/>
          <w:sz w:val="24"/>
          <w:szCs w:val="24"/>
          <w:highlight w:val="none"/>
          <w:rtl w:val="0"/>
          <w:cs w:val="0"/>
          <w:lang w:val="en-US" w:eastAsia="zh-CN" w:bidi="ar-SA"/>
        </w:rPr>
      </w:pPr>
      <w:r>
        <w:rPr>
          <w:rFonts w:hint="eastAsia" w:ascii="微软雅黑" w:hAnsi="微软雅黑" w:eastAsia="微软雅黑" w:cs="微软雅黑"/>
          <w:b w:val="0"/>
          <w:bCs/>
          <w:color w:val="auto"/>
          <w:spacing w:val="1"/>
          <w:kern w:val="2"/>
          <w:sz w:val="24"/>
          <w:szCs w:val="24"/>
          <w:highlight w:val="none"/>
          <w:rtl w:val="0"/>
          <w:cs w:val="0"/>
          <w:lang w:val="en-US" w:eastAsia="zh-CN" w:bidi="ar-SA"/>
        </w:rPr>
        <w:t>（7）确保聘用员工的稳定，并加强对聘用员工的管理。</w:t>
      </w:r>
    </w:p>
    <w:p w14:paraId="777092F1">
      <w:pPr>
        <w:keepNext w:val="0"/>
        <w:keepLines w:val="0"/>
        <w:pageBreakBefore w:val="0"/>
        <w:widowControl w:val="0"/>
        <w:shd w:val="clear" w:color="auto" w:fill="FFFFFF"/>
        <w:kinsoku/>
        <w:wordWrap/>
        <w:overflowPunct/>
        <w:topLinePunct w:val="0"/>
        <w:autoSpaceDE/>
        <w:autoSpaceDN/>
        <w:bidi w:val="0"/>
        <w:adjustRightInd w:val="0"/>
        <w:snapToGrid w:val="0"/>
        <w:spacing w:line="520" w:lineRule="exact"/>
        <w:ind w:firstLine="484" w:firstLineChars="200"/>
        <w:textAlignment w:val="auto"/>
        <w:rPr>
          <w:rFonts w:hint="eastAsia" w:ascii="微软雅黑" w:hAnsi="微软雅黑" w:eastAsia="微软雅黑" w:cs="微软雅黑"/>
          <w:b w:val="0"/>
          <w:bCs/>
          <w:color w:val="auto"/>
          <w:spacing w:val="1"/>
          <w:kern w:val="2"/>
          <w:sz w:val="24"/>
          <w:szCs w:val="24"/>
          <w:highlight w:val="none"/>
          <w:rtl w:val="0"/>
          <w:cs w:val="0"/>
          <w:lang w:val="en-US" w:eastAsia="zh-CN" w:bidi="ar-SA"/>
        </w:rPr>
      </w:pPr>
      <w:r>
        <w:rPr>
          <w:rFonts w:hint="eastAsia" w:ascii="微软雅黑" w:hAnsi="微软雅黑" w:eastAsia="微软雅黑" w:cs="微软雅黑"/>
          <w:b w:val="0"/>
          <w:bCs/>
          <w:color w:val="auto"/>
          <w:spacing w:val="1"/>
          <w:kern w:val="2"/>
          <w:sz w:val="24"/>
          <w:szCs w:val="24"/>
          <w:highlight w:val="none"/>
          <w:rtl w:val="0"/>
          <w:cs w:val="0"/>
          <w:lang w:val="en-US" w:eastAsia="zh-CN" w:bidi="ar-SA"/>
        </w:rPr>
        <w:t>①成交供应商须按照相关法律法规的要求按月足额发放聘用的工作人员的工资。</w:t>
      </w:r>
    </w:p>
    <w:p w14:paraId="75AC9C5C">
      <w:pPr>
        <w:keepNext w:val="0"/>
        <w:keepLines w:val="0"/>
        <w:pageBreakBefore w:val="0"/>
        <w:widowControl w:val="0"/>
        <w:numPr>
          <w:ilvl w:val="0"/>
          <w:numId w:val="0"/>
        </w:numPr>
        <w:shd w:val="clear" w:color="auto" w:fill="FFFFFF"/>
        <w:kinsoku/>
        <w:wordWrap/>
        <w:overflowPunct/>
        <w:topLinePunct w:val="0"/>
        <w:autoSpaceDE/>
        <w:autoSpaceDN/>
        <w:bidi w:val="0"/>
        <w:adjustRightInd w:val="0"/>
        <w:snapToGrid w:val="0"/>
        <w:spacing w:line="520" w:lineRule="exact"/>
        <w:ind w:firstLine="484" w:firstLineChars="200"/>
        <w:jc w:val="left"/>
        <w:textAlignment w:val="auto"/>
        <w:rPr>
          <w:rFonts w:hint="eastAsia" w:ascii="微软雅黑" w:hAnsi="微软雅黑" w:eastAsia="微软雅黑" w:cs="微软雅黑"/>
          <w:b w:val="0"/>
          <w:bCs/>
          <w:color w:val="auto"/>
          <w:spacing w:val="1"/>
          <w:kern w:val="2"/>
          <w:sz w:val="24"/>
          <w:szCs w:val="24"/>
          <w:highlight w:val="none"/>
          <w:rtl w:val="0"/>
          <w:cs w:val="0"/>
          <w:lang w:val="en-US" w:eastAsia="zh-CN" w:bidi="ar-SA"/>
        </w:rPr>
      </w:pPr>
      <w:r>
        <w:rPr>
          <w:rFonts w:hint="eastAsia" w:ascii="微软雅黑" w:hAnsi="微软雅黑" w:eastAsia="微软雅黑" w:cs="微软雅黑"/>
          <w:b w:val="0"/>
          <w:bCs/>
          <w:color w:val="auto"/>
          <w:spacing w:val="1"/>
          <w:kern w:val="2"/>
          <w:sz w:val="24"/>
          <w:szCs w:val="24"/>
          <w:highlight w:val="none"/>
          <w:rtl w:val="0"/>
          <w:cs w:val="0"/>
          <w:lang w:val="en-US" w:eastAsia="zh-CN" w:bidi="ar-SA"/>
        </w:rPr>
        <w:t>②成交供应商应确保聘用的工作人员接受采购人监督、检查、指导、管理，对采购人提出的合理化建议及时予以改进，并保证及时更换不符合采购人工作要求或在工作中有重大失误的人员。</w:t>
      </w:r>
    </w:p>
    <w:p w14:paraId="461CBD82">
      <w:pPr>
        <w:keepNext w:val="0"/>
        <w:keepLines w:val="0"/>
        <w:pageBreakBefore w:val="0"/>
        <w:widowControl w:val="0"/>
        <w:numPr>
          <w:ilvl w:val="0"/>
          <w:numId w:val="0"/>
        </w:numPr>
        <w:shd w:val="clear" w:color="auto" w:fill="FFFFFF"/>
        <w:kinsoku/>
        <w:wordWrap/>
        <w:overflowPunct/>
        <w:topLinePunct w:val="0"/>
        <w:autoSpaceDE/>
        <w:autoSpaceDN/>
        <w:bidi w:val="0"/>
        <w:adjustRightInd w:val="0"/>
        <w:snapToGrid w:val="0"/>
        <w:spacing w:line="520" w:lineRule="exact"/>
        <w:ind w:firstLine="484" w:firstLineChars="200"/>
        <w:jc w:val="left"/>
        <w:textAlignment w:val="auto"/>
        <w:rPr>
          <w:rFonts w:hint="eastAsia" w:ascii="微软雅黑" w:hAnsi="微软雅黑" w:eastAsia="微软雅黑" w:cs="微软雅黑"/>
          <w:b w:val="0"/>
          <w:bCs/>
          <w:color w:val="auto"/>
          <w:spacing w:val="1"/>
          <w:kern w:val="2"/>
          <w:sz w:val="24"/>
          <w:szCs w:val="24"/>
          <w:highlight w:val="none"/>
          <w:rtl w:val="0"/>
          <w:cs w:val="0"/>
          <w:lang w:val="en-US" w:eastAsia="zh-CN" w:bidi="ar-SA"/>
        </w:rPr>
      </w:pPr>
      <w:r>
        <w:rPr>
          <w:rFonts w:hint="eastAsia" w:ascii="微软雅黑" w:hAnsi="微软雅黑" w:eastAsia="微软雅黑" w:cs="微软雅黑"/>
          <w:b w:val="0"/>
          <w:bCs/>
          <w:color w:val="auto"/>
          <w:spacing w:val="1"/>
          <w:kern w:val="2"/>
          <w:sz w:val="24"/>
          <w:szCs w:val="24"/>
          <w:highlight w:val="none"/>
          <w:rtl w:val="0"/>
          <w:cs w:val="0"/>
          <w:lang w:val="en-US" w:eastAsia="zh-CN" w:bidi="ar-SA"/>
        </w:rPr>
        <w:t>（8）因采购人实际情况需调整工作安排，成交供应商须配合采购人作出相应调整。</w:t>
      </w:r>
    </w:p>
    <w:p w14:paraId="1DF2F7DA">
      <w:pPr>
        <w:keepNext w:val="0"/>
        <w:keepLines w:val="0"/>
        <w:pageBreakBefore w:val="0"/>
        <w:widowControl w:val="0"/>
        <w:numPr>
          <w:ilvl w:val="0"/>
          <w:numId w:val="0"/>
        </w:numPr>
        <w:shd w:val="clear" w:color="auto" w:fill="FFFFFF"/>
        <w:kinsoku/>
        <w:wordWrap/>
        <w:overflowPunct/>
        <w:topLinePunct w:val="0"/>
        <w:autoSpaceDE/>
        <w:autoSpaceDN/>
        <w:bidi w:val="0"/>
        <w:adjustRightInd w:val="0"/>
        <w:snapToGrid w:val="0"/>
        <w:spacing w:line="520" w:lineRule="exact"/>
        <w:ind w:left="479" w:leftChars="228" w:firstLine="0" w:firstLineChars="0"/>
        <w:jc w:val="left"/>
        <w:textAlignment w:val="auto"/>
        <w:rPr>
          <w:rFonts w:hint="eastAsia" w:ascii="微软雅黑" w:hAnsi="微软雅黑" w:eastAsia="微软雅黑" w:cs="微软雅黑"/>
          <w:b w:val="0"/>
          <w:bCs/>
          <w:color w:val="auto"/>
          <w:spacing w:val="1"/>
          <w:kern w:val="2"/>
          <w:sz w:val="24"/>
          <w:szCs w:val="24"/>
          <w:highlight w:val="none"/>
          <w:rtl w:val="0"/>
          <w:cs w:val="0"/>
          <w:lang w:val="en-US" w:eastAsia="zh-CN" w:bidi="ar-SA"/>
        </w:rPr>
      </w:pPr>
      <w:r>
        <w:rPr>
          <w:rFonts w:hint="eastAsia" w:ascii="微软雅黑" w:hAnsi="微软雅黑" w:eastAsia="微软雅黑" w:cs="微软雅黑"/>
          <w:b w:val="0"/>
          <w:bCs/>
          <w:color w:val="auto"/>
          <w:spacing w:val="1"/>
          <w:kern w:val="2"/>
          <w:sz w:val="24"/>
          <w:szCs w:val="24"/>
          <w:highlight w:val="none"/>
          <w:rtl w:val="0"/>
          <w:cs w:val="0"/>
          <w:lang w:val="en-US" w:eastAsia="zh-CN" w:bidi="ar-SA"/>
        </w:rPr>
        <w:t>（9）成交供应商应提供所有聘用的工作人员的个人档案资料，经采购人确认后上岗。</w:t>
      </w:r>
    </w:p>
    <w:p w14:paraId="26EFD462">
      <w:pPr>
        <w:keepNext w:val="0"/>
        <w:keepLines w:val="0"/>
        <w:pageBreakBefore w:val="0"/>
        <w:widowControl w:val="0"/>
        <w:numPr>
          <w:ilvl w:val="0"/>
          <w:numId w:val="0"/>
        </w:numPr>
        <w:shd w:val="clear" w:color="auto" w:fill="FFFFFF"/>
        <w:kinsoku/>
        <w:wordWrap/>
        <w:overflowPunct/>
        <w:topLinePunct w:val="0"/>
        <w:autoSpaceDE/>
        <w:autoSpaceDN/>
        <w:bidi w:val="0"/>
        <w:adjustRightInd w:val="0"/>
        <w:snapToGrid w:val="0"/>
        <w:spacing w:line="520" w:lineRule="exact"/>
        <w:ind w:firstLine="484" w:firstLineChars="200"/>
        <w:jc w:val="left"/>
        <w:textAlignment w:val="auto"/>
        <w:rPr>
          <w:rFonts w:hint="eastAsia" w:ascii="微软雅黑" w:hAnsi="微软雅黑" w:eastAsia="微软雅黑" w:cs="微软雅黑"/>
          <w:b w:val="0"/>
          <w:bCs/>
          <w:color w:val="auto"/>
          <w:spacing w:val="1"/>
          <w:kern w:val="2"/>
          <w:sz w:val="24"/>
          <w:szCs w:val="24"/>
          <w:highlight w:val="none"/>
          <w:rtl w:val="0"/>
          <w:cs w:val="0"/>
          <w:lang w:val="en-US" w:eastAsia="zh-CN" w:bidi="ar-SA"/>
        </w:rPr>
      </w:pPr>
      <w:r>
        <w:rPr>
          <w:rFonts w:hint="eastAsia" w:ascii="微软雅黑" w:hAnsi="微软雅黑" w:eastAsia="微软雅黑" w:cs="微软雅黑"/>
          <w:b w:val="0"/>
          <w:bCs/>
          <w:color w:val="auto"/>
          <w:spacing w:val="1"/>
          <w:kern w:val="2"/>
          <w:sz w:val="24"/>
          <w:szCs w:val="24"/>
          <w:highlight w:val="none"/>
          <w:rtl w:val="0"/>
          <w:cs w:val="0"/>
          <w:lang w:val="en-US" w:eastAsia="zh-CN" w:bidi="ar-SA"/>
        </w:rPr>
        <w:t>（10）采购人对成交供应商提供的人员不满意要求更换时，成交供应商必须及时且无条件为采购人更换合格的人员。</w:t>
      </w:r>
    </w:p>
    <w:p w14:paraId="6A0EB95A">
      <w:pPr>
        <w:keepNext w:val="0"/>
        <w:keepLines w:val="0"/>
        <w:pageBreakBefore w:val="0"/>
        <w:widowControl w:val="0"/>
        <w:numPr>
          <w:ilvl w:val="0"/>
          <w:numId w:val="0"/>
        </w:numPr>
        <w:shd w:val="clear" w:color="auto" w:fill="FFFFFF"/>
        <w:kinsoku/>
        <w:wordWrap/>
        <w:overflowPunct/>
        <w:topLinePunct w:val="0"/>
        <w:autoSpaceDE/>
        <w:autoSpaceDN/>
        <w:bidi w:val="0"/>
        <w:adjustRightInd w:val="0"/>
        <w:snapToGrid w:val="0"/>
        <w:spacing w:line="520" w:lineRule="exact"/>
        <w:ind w:firstLine="484" w:firstLineChars="200"/>
        <w:jc w:val="left"/>
        <w:textAlignment w:val="auto"/>
        <w:rPr>
          <w:rFonts w:hint="eastAsia"/>
          <w:rtl w:val="0"/>
          <w:cs w:val="0"/>
          <w:lang w:val="en-US" w:eastAsia="zh-CN"/>
        </w:rPr>
      </w:pPr>
      <w:r>
        <w:rPr>
          <w:rFonts w:hint="eastAsia" w:ascii="微软雅黑" w:hAnsi="微软雅黑" w:eastAsia="微软雅黑" w:cs="微软雅黑"/>
          <w:b w:val="0"/>
          <w:bCs/>
          <w:color w:val="auto"/>
          <w:spacing w:val="1"/>
          <w:kern w:val="2"/>
          <w:sz w:val="24"/>
          <w:szCs w:val="24"/>
          <w:highlight w:val="none"/>
          <w:rtl w:val="0"/>
          <w:cs w:val="0"/>
          <w:lang w:val="en-US" w:eastAsia="zh-CN" w:bidi="ar-SA"/>
        </w:rPr>
        <w:t>（11）如有补充事宜以双方合同约定为准。</w:t>
      </w:r>
    </w:p>
    <w:p w14:paraId="025B6E75">
      <w:pPr>
        <w:pStyle w:val="11"/>
        <w:keepNext w:val="0"/>
        <w:keepLines w:val="0"/>
        <w:pageBreakBefore w:val="0"/>
        <w:widowControl w:val="0"/>
        <w:numPr>
          <w:ilvl w:val="0"/>
          <w:numId w:val="0"/>
        </w:numPr>
        <w:kinsoku/>
        <w:wordWrap/>
        <w:overflowPunct/>
        <w:topLinePunct w:val="0"/>
        <w:autoSpaceDE/>
        <w:autoSpaceDN/>
        <w:bidi w:val="0"/>
        <w:spacing w:before="0" w:line="520" w:lineRule="exact"/>
        <w:ind w:firstLine="484" w:firstLineChars="200"/>
        <w:textAlignment w:val="auto"/>
        <w:rPr>
          <w:rFonts w:hint="eastAsia" w:ascii="微软雅黑" w:hAnsi="微软雅黑" w:eastAsia="微软雅黑" w:cs="微软雅黑"/>
          <w:b/>
          <w:bCs w:val="0"/>
          <w:color w:val="auto"/>
          <w:spacing w:val="1"/>
          <w:sz w:val="24"/>
          <w:szCs w:val="24"/>
          <w:highlight w:val="none"/>
          <w:rtl w:val="0"/>
          <w:cs w:val="0"/>
          <w:lang w:val="en-US" w:eastAsia="zh-CN"/>
        </w:rPr>
      </w:pPr>
    </w:p>
    <w:p w14:paraId="7A79BFCB">
      <w:pPr>
        <w:pStyle w:val="11"/>
        <w:keepNext w:val="0"/>
        <w:keepLines w:val="0"/>
        <w:pageBreakBefore w:val="0"/>
        <w:widowControl w:val="0"/>
        <w:numPr>
          <w:ilvl w:val="0"/>
          <w:numId w:val="0"/>
        </w:numPr>
        <w:kinsoku/>
        <w:wordWrap/>
        <w:overflowPunct/>
        <w:topLinePunct w:val="0"/>
        <w:autoSpaceDE/>
        <w:autoSpaceDN/>
        <w:bidi w:val="0"/>
        <w:spacing w:before="0" w:line="520" w:lineRule="exact"/>
        <w:ind w:firstLine="484" w:firstLineChars="200"/>
        <w:textAlignment w:val="auto"/>
        <w:rPr>
          <w:rFonts w:hint="eastAsia" w:ascii="微软雅黑" w:hAnsi="微软雅黑" w:eastAsia="微软雅黑" w:cs="微软雅黑"/>
          <w:b/>
          <w:bCs w:val="0"/>
          <w:color w:val="auto"/>
          <w:spacing w:val="1"/>
          <w:sz w:val="24"/>
          <w:szCs w:val="24"/>
          <w:highlight w:val="none"/>
          <w:rtl w:val="0"/>
          <w:cs w:val="0"/>
          <w:lang w:val="en-US" w:eastAsia="zh-CN"/>
        </w:rPr>
      </w:pPr>
      <w:r>
        <w:rPr>
          <w:rFonts w:hint="eastAsia" w:ascii="微软雅黑" w:hAnsi="微软雅黑" w:eastAsia="微软雅黑" w:cs="微软雅黑"/>
          <w:b/>
          <w:bCs w:val="0"/>
          <w:color w:val="auto"/>
          <w:spacing w:val="1"/>
          <w:sz w:val="24"/>
          <w:szCs w:val="24"/>
          <w:highlight w:val="none"/>
          <w:rtl w:val="0"/>
          <w:cs w:val="0"/>
          <w:lang w:val="en-US" w:eastAsia="zh-CN"/>
        </w:rPr>
        <w:t>十、服务清单</w:t>
      </w:r>
    </w:p>
    <w:p w14:paraId="6318E37F">
      <w:pPr>
        <w:rPr>
          <w:rFonts w:hint="eastAsia"/>
          <w:rtl w:val="0"/>
          <w:cs w:val="0"/>
          <w:lang w:val="en-US" w:eastAsia="zh-CN"/>
        </w:rPr>
      </w:pPr>
    </w:p>
    <w:p w14:paraId="378BCF85">
      <w:pPr>
        <w:keepNext w:val="0"/>
        <w:keepLines w:val="0"/>
        <w:pageBreakBefore w:val="0"/>
        <w:kinsoku/>
        <w:wordWrap/>
        <w:overflowPunct/>
        <w:topLinePunct w:val="0"/>
        <w:autoSpaceDE/>
        <w:autoSpaceDN/>
        <w:bidi w:val="0"/>
        <w:adjustRightInd/>
        <w:snapToGrid/>
        <w:spacing w:line="480" w:lineRule="exact"/>
        <w:jc w:val="both"/>
        <w:rPr>
          <w:rFonts w:hint="eastAsia" w:ascii="微软雅黑" w:hAnsi="微软雅黑" w:eastAsia="微软雅黑" w:cs="微软雅黑"/>
          <w:sz w:val="24"/>
          <w:szCs w:val="24"/>
          <w:lang w:val="en-US" w:eastAsia="zh-CN"/>
        </w:rPr>
      </w:pPr>
      <w:r>
        <w:rPr>
          <w:rFonts w:hint="eastAsia" w:ascii="微软雅黑" w:hAnsi="微软雅黑" w:eastAsia="微软雅黑" w:cs="微软雅黑"/>
          <w:sz w:val="24"/>
          <w:szCs w:val="24"/>
          <w:lang w:eastAsia="zh-CN"/>
        </w:rPr>
        <w:t>附件</w:t>
      </w:r>
      <w:r>
        <w:rPr>
          <w:rFonts w:hint="eastAsia" w:ascii="微软雅黑" w:hAnsi="微软雅黑" w:eastAsia="微软雅黑" w:cs="微软雅黑"/>
          <w:sz w:val="24"/>
          <w:szCs w:val="24"/>
          <w:lang w:val="en-US" w:eastAsia="zh-CN"/>
        </w:rPr>
        <w:t>1</w:t>
      </w:r>
    </w:p>
    <w:p w14:paraId="2A46F590">
      <w:pPr>
        <w:keepNext w:val="0"/>
        <w:keepLines w:val="0"/>
        <w:pageBreakBefore w:val="0"/>
        <w:kinsoku/>
        <w:wordWrap/>
        <w:overflowPunct/>
        <w:topLinePunct w:val="0"/>
        <w:autoSpaceDE/>
        <w:autoSpaceDN/>
        <w:bidi w:val="0"/>
        <w:adjustRightInd/>
        <w:snapToGrid/>
        <w:spacing w:line="480" w:lineRule="exact"/>
        <w:jc w:val="both"/>
        <w:rPr>
          <w:rFonts w:hint="eastAsia" w:ascii="微软雅黑" w:hAnsi="微软雅黑" w:eastAsia="微软雅黑" w:cs="微软雅黑"/>
          <w:sz w:val="24"/>
          <w:szCs w:val="24"/>
        </w:rPr>
      </w:pPr>
    </w:p>
    <w:tbl>
      <w:tblPr>
        <w:tblStyle w:val="37"/>
        <w:tblW w:w="0" w:type="auto"/>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176"/>
        <w:gridCol w:w="1909"/>
        <w:gridCol w:w="6781"/>
      </w:tblGrid>
      <w:tr w14:paraId="5B3F29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8073B4">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微软雅黑" w:hAnsi="微软雅黑" w:eastAsia="微软雅黑" w:cs="微软雅黑"/>
                <w:b/>
                <w:bCs/>
                <w:i w:val="0"/>
                <w:iCs w:val="0"/>
                <w:color w:val="000000"/>
                <w:sz w:val="24"/>
                <w:szCs w:val="24"/>
                <w:u w:val="none"/>
              </w:rPr>
            </w:pPr>
            <w:r>
              <w:rPr>
                <w:rFonts w:hint="eastAsia" w:ascii="微软雅黑" w:hAnsi="微软雅黑" w:eastAsia="微软雅黑" w:cs="微软雅黑"/>
                <w:b/>
                <w:bCs/>
                <w:i w:val="0"/>
                <w:iCs w:val="0"/>
                <w:color w:val="000000"/>
                <w:kern w:val="0"/>
                <w:sz w:val="24"/>
                <w:szCs w:val="24"/>
                <w:u w:val="none"/>
                <w:lang w:val="en-US" w:eastAsia="zh-CN" w:bidi="ar"/>
              </w:rPr>
              <w:t>服务领域</w:t>
            </w:r>
          </w:p>
        </w:tc>
        <w:tc>
          <w:tcPr>
            <w:tcW w:w="19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95DF2D">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微软雅黑" w:hAnsi="微软雅黑" w:eastAsia="微软雅黑" w:cs="微软雅黑"/>
                <w:b/>
                <w:bCs/>
                <w:i w:val="0"/>
                <w:iCs w:val="0"/>
                <w:color w:val="000000"/>
                <w:sz w:val="24"/>
                <w:szCs w:val="24"/>
                <w:u w:val="none"/>
              </w:rPr>
            </w:pPr>
            <w:r>
              <w:rPr>
                <w:rFonts w:hint="eastAsia" w:ascii="微软雅黑" w:hAnsi="微软雅黑" w:eastAsia="微软雅黑" w:cs="微软雅黑"/>
                <w:b/>
                <w:bCs/>
                <w:i w:val="0"/>
                <w:iCs w:val="0"/>
                <w:color w:val="000000"/>
                <w:kern w:val="0"/>
                <w:sz w:val="24"/>
                <w:szCs w:val="24"/>
                <w:u w:val="none"/>
                <w:lang w:val="en-US" w:eastAsia="zh-CN" w:bidi="ar"/>
              </w:rPr>
              <w:t>服务内容</w:t>
            </w:r>
          </w:p>
        </w:tc>
        <w:tc>
          <w:tcPr>
            <w:tcW w:w="6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3D7576">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微软雅黑" w:hAnsi="微软雅黑" w:eastAsia="微软雅黑" w:cs="微软雅黑"/>
                <w:b/>
                <w:bCs/>
                <w:i w:val="0"/>
                <w:iCs w:val="0"/>
                <w:color w:val="000000"/>
                <w:sz w:val="24"/>
                <w:szCs w:val="24"/>
                <w:u w:val="none"/>
              </w:rPr>
            </w:pPr>
            <w:r>
              <w:rPr>
                <w:rFonts w:hint="eastAsia" w:ascii="微软雅黑" w:hAnsi="微软雅黑" w:eastAsia="微软雅黑" w:cs="微软雅黑"/>
                <w:b/>
                <w:bCs/>
                <w:i w:val="0"/>
                <w:iCs w:val="0"/>
                <w:color w:val="000000"/>
                <w:kern w:val="0"/>
                <w:sz w:val="24"/>
                <w:szCs w:val="24"/>
                <w:u w:val="none"/>
                <w:lang w:val="en-US" w:eastAsia="zh-CN" w:bidi="ar"/>
              </w:rPr>
              <w:t>具体服务内容</w:t>
            </w:r>
          </w:p>
        </w:tc>
      </w:tr>
      <w:tr w14:paraId="0FECD1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20"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7BFEC1">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社会救助</w:t>
            </w:r>
          </w:p>
        </w:tc>
        <w:tc>
          <w:tcPr>
            <w:tcW w:w="19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8EB5F1">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1.对象排查</w:t>
            </w:r>
          </w:p>
        </w:tc>
        <w:tc>
          <w:tcPr>
            <w:tcW w:w="6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72F6BC">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通过部门数据信息比对、入户摸底排查、主动发现等方式，开展社会救助对象和其他困难群众的摸排工作,了解其基本生活是否存在问题，以及基本生活保障、住房、医疗、教育、就业等政策落实方面是否存在问题。</w:t>
            </w:r>
          </w:p>
        </w:tc>
      </w:tr>
      <w:tr w14:paraId="50E327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2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8D356C">
            <w:pPr>
              <w:keepNext w:val="0"/>
              <w:keepLines w:val="0"/>
              <w:pageBreakBefore w:val="0"/>
              <w:kinsoku/>
              <w:wordWrap/>
              <w:overflowPunct/>
              <w:topLinePunct w:val="0"/>
              <w:autoSpaceDE/>
              <w:autoSpaceDN/>
              <w:bidi w:val="0"/>
              <w:adjustRightInd/>
              <w:snapToGrid/>
              <w:spacing w:line="440" w:lineRule="exact"/>
              <w:jc w:val="center"/>
              <w:rPr>
                <w:rFonts w:hint="eastAsia" w:ascii="微软雅黑" w:hAnsi="微软雅黑" w:eastAsia="微软雅黑" w:cs="微软雅黑"/>
                <w:i w:val="0"/>
                <w:iCs w:val="0"/>
                <w:color w:val="000000"/>
                <w:sz w:val="24"/>
                <w:szCs w:val="24"/>
                <w:u w:val="none"/>
              </w:rPr>
            </w:pPr>
          </w:p>
        </w:tc>
        <w:tc>
          <w:tcPr>
            <w:tcW w:w="19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CFCA3E">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2.家计调查</w:t>
            </w:r>
          </w:p>
        </w:tc>
        <w:tc>
          <w:tcPr>
            <w:tcW w:w="6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90948B">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结合年度动态调整工作，采取入户调查、邻里访问等方式，对辖区内民政服务对象开展全面家计调查，了解居民家庭经济状况、居住条件、文化程度、身体状况及家庭成员的就业、收入、支出、困难类型及程度等相关情况，进行信息采集、录入、数据更新等相关工作。</w:t>
            </w:r>
          </w:p>
        </w:tc>
      </w:tr>
      <w:tr w14:paraId="51DE20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4"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D16497">
            <w:pPr>
              <w:keepNext w:val="0"/>
              <w:keepLines w:val="0"/>
              <w:pageBreakBefore w:val="0"/>
              <w:kinsoku/>
              <w:wordWrap/>
              <w:overflowPunct/>
              <w:topLinePunct w:val="0"/>
              <w:autoSpaceDE/>
              <w:autoSpaceDN/>
              <w:bidi w:val="0"/>
              <w:adjustRightInd/>
              <w:snapToGrid/>
              <w:spacing w:line="440" w:lineRule="exact"/>
              <w:jc w:val="center"/>
              <w:rPr>
                <w:rFonts w:hint="eastAsia" w:ascii="微软雅黑" w:hAnsi="微软雅黑" w:eastAsia="微软雅黑" w:cs="微软雅黑"/>
                <w:i w:val="0"/>
                <w:iCs w:val="0"/>
                <w:color w:val="000000"/>
                <w:sz w:val="24"/>
                <w:szCs w:val="24"/>
                <w:u w:val="none"/>
              </w:rPr>
            </w:pPr>
          </w:p>
        </w:tc>
        <w:tc>
          <w:tcPr>
            <w:tcW w:w="19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272B43">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3.业务培训</w:t>
            </w:r>
          </w:p>
        </w:tc>
        <w:tc>
          <w:tcPr>
            <w:tcW w:w="6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32B52E">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对各级经办人员和承接主体人员进行社会救助业务培训，讲解社会救助领域相关专业知识以及开展社会救助服务相关注意事项、工作要求等，提升其专业服务水平。</w:t>
            </w:r>
          </w:p>
        </w:tc>
      </w:tr>
      <w:tr w14:paraId="634DFB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6"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07FA56">
            <w:pPr>
              <w:keepNext w:val="0"/>
              <w:keepLines w:val="0"/>
              <w:pageBreakBefore w:val="0"/>
              <w:kinsoku/>
              <w:wordWrap/>
              <w:overflowPunct/>
              <w:topLinePunct w:val="0"/>
              <w:autoSpaceDE/>
              <w:autoSpaceDN/>
              <w:bidi w:val="0"/>
              <w:adjustRightInd/>
              <w:snapToGrid/>
              <w:spacing w:line="440" w:lineRule="exact"/>
              <w:jc w:val="center"/>
              <w:rPr>
                <w:rFonts w:hint="eastAsia" w:ascii="微软雅黑" w:hAnsi="微软雅黑" w:eastAsia="微软雅黑" w:cs="微软雅黑"/>
                <w:i w:val="0"/>
                <w:iCs w:val="0"/>
                <w:color w:val="000000"/>
                <w:sz w:val="24"/>
                <w:szCs w:val="24"/>
                <w:u w:val="none"/>
              </w:rPr>
            </w:pPr>
          </w:p>
        </w:tc>
        <w:tc>
          <w:tcPr>
            <w:tcW w:w="19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D995DA">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4.政策宣传</w:t>
            </w:r>
          </w:p>
        </w:tc>
        <w:tc>
          <w:tcPr>
            <w:tcW w:w="6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6D6DFA">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通过多渠道宣传党的惠民政策，进一步筑牢中华民族共同意识，让各族困难群众明白惠从何来，凝聚人心汇聚民心。</w:t>
            </w:r>
          </w:p>
        </w:tc>
      </w:tr>
      <w:tr w14:paraId="6FAB39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4"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3CB853">
            <w:pPr>
              <w:keepNext w:val="0"/>
              <w:keepLines w:val="0"/>
              <w:pageBreakBefore w:val="0"/>
              <w:kinsoku/>
              <w:wordWrap/>
              <w:overflowPunct/>
              <w:topLinePunct w:val="0"/>
              <w:autoSpaceDE/>
              <w:autoSpaceDN/>
              <w:bidi w:val="0"/>
              <w:adjustRightInd/>
              <w:snapToGrid/>
              <w:spacing w:line="440" w:lineRule="exact"/>
              <w:jc w:val="center"/>
              <w:rPr>
                <w:rFonts w:hint="eastAsia" w:ascii="微软雅黑" w:hAnsi="微软雅黑" w:eastAsia="微软雅黑" w:cs="微软雅黑"/>
                <w:i w:val="0"/>
                <w:iCs w:val="0"/>
                <w:color w:val="000000"/>
                <w:sz w:val="24"/>
                <w:szCs w:val="24"/>
                <w:u w:val="none"/>
              </w:rPr>
            </w:pPr>
          </w:p>
        </w:tc>
        <w:tc>
          <w:tcPr>
            <w:tcW w:w="19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27723D">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5.绩效评价</w:t>
            </w:r>
          </w:p>
        </w:tc>
        <w:tc>
          <w:tcPr>
            <w:tcW w:w="6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FA7A9B">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通过入户调查、访谈、查阅资料等方式，对当地困难群众基本生活救助政策执行、标准落实、资金发放情况、政策知晓率及社会满意度等指标开展评价和审计。</w:t>
            </w:r>
          </w:p>
        </w:tc>
      </w:tr>
      <w:tr w14:paraId="5B0556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6"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A44960">
            <w:pPr>
              <w:keepNext w:val="0"/>
              <w:keepLines w:val="0"/>
              <w:pageBreakBefore w:val="0"/>
              <w:kinsoku/>
              <w:wordWrap/>
              <w:overflowPunct/>
              <w:topLinePunct w:val="0"/>
              <w:autoSpaceDE/>
              <w:autoSpaceDN/>
              <w:bidi w:val="0"/>
              <w:adjustRightInd/>
              <w:snapToGrid/>
              <w:spacing w:line="440" w:lineRule="exact"/>
              <w:jc w:val="center"/>
              <w:rPr>
                <w:rFonts w:hint="eastAsia" w:ascii="微软雅黑" w:hAnsi="微软雅黑" w:eastAsia="微软雅黑" w:cs="微软雅黑"/>
                <w:i w:val="0"/>
                <w:iCs w:val="0"/>
                <w:color w:val="000000"/>
                <w:sz w:val="24"/>
                <w:szCs w:val="24"/>
                <w:u w:val="none"/>
              </w:rPr>
            </w:pPr>
          </w:p>
        </w:tc>
        <w:tc>
          <w:tcPr>
            <w:tcW w:w="19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3DBD2C">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8.康复训练</w:t>
            </w:r>
          </w:p>
        </w:tc>
        <w:tc>
          <w:tcPr>
            <w:tcW w:w="6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9D6A50">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制定康复训练计划，充分利用社区或家庭康复设施，帮助指导有康复需求的困难群众进行康复训练等</w:t>
            </w:r>
          </w:p>
        </w:tc>
      </w:tr>
      <w:tr w14:paraId="6ABEC8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C684C7">
            <w:pPr>
              <w:keepNext w:val="0"/>
              <w:keepLines w:val="0"/>
              <w:pageBreakBefore w:val="0"/>
              <w:kinsoku/>
              <w:wordWrap/>
              <w:overflowPunct/>
              <w:topLinePunct w:val="0"/>
              <w:autoSpaceDE/>
              <w:autoSpaceDN/>
              <w:bidi w:val="0"/>
              <w:adjustRightInd/>
              <w:snapToGrid/>
              <w:spacing w:line="440" w:lineRule="exact"/>
              <w:jc w:val="center"/>
              <w:rPr>
                <w:rFonts w:hint="eastAsia" w:ascii="微软雅黑" w:hAnsi="微软雅黑" w:eastAsia="微软雅黑" w:cs="微软雅黑"/>
                <w:i w:val="0"/>
                <w:iCs w:val="0"/>
                <w:color w:val="000000"/>
                <w:sz w:val="24"/>
                <w:szCs w:val="24"/>
                <w:u w:val="none"/>
              </w:rPr>
            </w:pPr>
          </w:p>
        </w:tc>
        <w:tc>
          <w:tcPr>
            <w:tcW w:w="19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49F9A0">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9.送医陪护</w:t>
            </w:r>
          </w:p>
        </w:tc>
        <w:tc>
          <w:tcPr>
            <w:tcW w:w="6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2F0C0F">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陪送服务对象就医，并代为挂号、取药，陪同就诊、检查及住院陪护等</w:t>
            </w:r>
          </w:p>
        </w:tc>
      </w:tr>
      <w:tr w14:paraId="519DA7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6"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3173D9">
            <w:pPr>
              <w:keepNext w:val="0"/>
              <w:keepLines w:val="0"/>
              <w:pageBreakBefore w:val="0"/>
              <w:kinsoku/>
              <w:wordWrap/>
              <w:overflowPunct/>
              <w:topLinePunct w:val="0"/>
              <w:autoSpaceDE/>
              <w:autoSpaceDN/>
              <w:bidi w:val="0"/>
              <w:adjustRightInd/>
              <w:snapToGrid/>
              <w:spacing w:line="440" w:lineRule="exact"/>
              <w:jc w:val="center"/>
              <w:rPr>
                <w:rFonts w:hint="eastAsia" w:ascii="微软雅黑" w:hAnsi="微软雅黑" w:eastAsia="微软雅黑" w:cs="微软雅黑"/>
                <w:i w:val="0"/>
                <w:iCs w:val="0"/>
                <w:color w:val="000000"/>
                <w:sz w:val="24"/>
                <w:szCs w:val="24"/>
                <w:u w:val="none"/>
              </w:rPr>
            </w:pPr>
          </w:p>
        </w:tc>
        <w:tc>
          <w:tcPr>
            <w:tcW w:w="19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F5BBA0">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10.心理疏导</w:t>
            </w:r>
          </w:p>
        </w:tc>
        <w:tc>
          <w:tcPr>
            <w:tcW w:w="6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E65BBF">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帮助困难群众抚慰消极和敌视情绪、缓解心理压力、矫正不良行为、改变负面看法，建立积极乐观上进的心态。</w:t>
            </w:r>
          </w:p>
        </w:tc>
      </w:tr>
      <w:tr w14:paraId="71D53F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D41851">
            <w:pPr>
              <w:keepNext w:val="0"/>
              <w:keepLines w:val="0"/>
              <w:pageBreakBefore w:val="0"/>
              <w:kinsoku/>
              <w:wordWrap/>
              <w:overflowPunct/>
              <w:topLinePunct w:val="0"/>
              <w:autoSpaceDE/>
              <w:autoSpaceDN/>
              <w:bidi w:val="0"/>
              <w:adjustRightInd/>
              <w:snapToGrid/>
              <w:spacing w:line="440" w:lineRule="exact"/>
              <w:jc w:val="center"/>
              <w:rPr>
                <w:rFonts w:hint="eastAsia" w:ascii="微软雅黑" w:hAnsi="微软雅黑" w:eastAsia="微软雅黑" w:cs="微软雅黑"/>
                <w:i w:val="0"/>
                <w:iCs w:val="0"/>
                <w:color w:val="000000"/>
                <w:sz w:val="24"/>
                <w:szCs w:val="24"/>
                <w:u w:val="none"/>
              </w:rPr>
            </w:pPr>
          </w:p>
        </w:tc>
        <w:tc>
          <w:tcPr>
            <w:tcW w:w="19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D949DF">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11.医疗救治</w:t>
            </w:r>
          </w:p>
        </w:tc>
        <w:tc>
          <w:tcPr>
            <w:tcW w:w="6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850DF3">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对流浪乞讨人员提供疾病救治、卫生防疫、医疗康复等基本医疗服务。</w:t>
            </w:r>
          </w:p>
        </w:tc>
      </w:tr>
      <w:tr w14:paraId="397262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4B83B1">
            <w:pPr>
              <w:keepNext w:val="0"/>
              <w:keepLines w:val="0"/>
              <w:pageBreakBefore w:val="0"/>
              <w:kinsoku/>
              <w:wordWrap/>
              <w:overflowPunct/>
              <w:topLinePunct w:val="0"/>
              <w:autoSpaceDE/>
              <w:autoSpaceDN/>
              <w:bidi w:val="0"/>
              <w:adjustRightInd/>
              <w:snapToGrid/>
              <w:spacing w:line="440" w:lineRule="exact"/>
              <w:jc w:val="center"/>
              <w:rPr>
                <w:rFonts w:hint="eastAsia" w:ascii="微软雅黑" w:hAnsi="微软雅黑" w:eastAsia="微软雅黑" w:cs="微软雅黑"/>
                <w:i w:val="0"/>
                <w:iCs w:val="0"/>
                <w:color w:val="000000"/>
                <w:sz w:val="24"/>
                <w:szCs w:val="24"/>
                <w:u w:val="none"/>
              </w:rPr>
            </w:pPr>
          </w:p>
        </w:tc>
        <w:tc>
          <w:tcPr>
            <w:tcW w:w="19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937E2E">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12.教育矫治</w:t>
            </w:r>
          </w:p>
        </w:tc>
        <w:tc>
          <w:tcPr>
            <w:tcW w:w="6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6FA2BD">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对流浪乞讨人员提供文化法制教育、心理疏导、行为矫治等服务。</w:t>
            </w:r>
          </w:p>
        </w:tc>
      </w:tr>
      <w:tr w14:paraId="53E45D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6"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8B61C8">
            <w:pPr>
              <w:keepNext w:val="0"/>
              <w:keepLines w:val="0"/>
              <w:pageBreakBefore w:val="0"/>
              <w:kinsoku/>
              <w:wordWrap/>
              <w:overflowPunct/>
              <w:topLinePunct w:val="0"/>
              <w:autoSpaceDE/>
              <w:autoSpaceDN/>
              <w:bidi w:val="0"/>
              <w:adjustRightInd/>
              <w:snapToGrid/>
              <w:spacing w:line="440" w:lineRule="exact"/>
              <w:jc w:val="center"/>
              <w:rPr>
                <w:rFonts w:hint="eastAsia" w:ascii="微软雅黑" w:hAnsi="微软雅黑" w:eastAsia="微软雅黑" w:cs="微软雅黑"/>
                <w:i w:val="0"/>
                <w:iCs w:val="0"/>
                <w:color w:val="000000"/>
                <w:sz w:val="24"/>
                <w:szCs w:val="24"/>
                <w:u w:val="none"/>
              </w:rPr>
            </w:pPr>
          </w:p>
        </w:tc>
        <w:tc>
          <w:tcPr>
            <w:tcW w:w="19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B14134">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13.临时安置</w:t>
            </w:r>
          </w:p>
        </w:tc>
        <w:tc>
          <w:tcPr>
            <w:tcW w:w="6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5BD4DC">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对暂时查找不到户籍、无家可归的流浪乞讨人员提供养育照料、生活护理等服务。</w:t>
            </w:r>
          </w:p>
        </w:tc>
      </w:tr>
      <w:tr w14:paraId="43277C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4"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D3F054">
            <w:pPr>
              <w:keepNext w:val="0"/>
              <w:keepLines w:val="0"/>
              <w:pageBreakBefore w:val="0"/>
              <w:kinsoku/>
              <w:wordWrap/>
              <w:overflowPunct/>
              <w:topLinePunct w:val="0"/>
              <w:autoSpaceDE/>
              <w:autoSpaceDN/>
              <w:bidi w:val="0"/>
              <w:adjustRightInd/>
              <w:snapToGrid/>
              <w:spacing w:line="440" w:lineRule="exact"/>
              <w:jc w:val="center"/>
              <w:rPr>
                <w:rFonts w:hint="eastAsia" w:ascii="微软雅黑" w:hAnsi="微软雅黑" w:eastAsia="微软雅黑" w:cs="微软雅黑"/>
                <w:i w:val="0"/>
                <w:iCs w:val="0"/>
                <w:color w:val="000000"/>
                <w:sz w:val="24"/>
                <w:szCs w:val="24"/>
                <w:u w:val="none"/>
              </w:rPr>
            </w:pPr>
          </w:p>
        </w:tc>
        <w:tc>
          <w:tcPr>
            <w:tcW w:w="19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65A7AE">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14.未成年人社会保护</w:t>
            </w:r>
          </w:p>
        </w:tc>
        <w:tc>
          <w:tcPr>
            <w:tcW w:w="6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2EEDC2">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未成年人保护机构、救助管理站开展的对留守儿童、困境儿童、流浪乞讨儿童的应急处置、救助帮扶、监护支持、精神关爱等未成年人社会保护性服务。</w:t>
            </w:r>
          </w:p>
        </w:tc>
      </w:tr>
      <w:tr w14:paraId="3DCF2E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4"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3BC9DC">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养老服务</w:t>
            </w:r>
          </w:p>
        </w:tc>
        <w:tc>
          <w:tcPr>
            <w:tcW w:w="19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9721A3">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1.开展特殊困难老年人居家探视巡访</w:t>
            </w:r>
          </w:p>
        </w:tc>
        <w:tc>
          <w:tcPr>
            <w:tcW w:w="6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09F503">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协助建立高龄、空巢、留守等特殊困难老年人信息台账，重点排查存在安全风险和生活困难的老年人；对高龄、空巢、留守等特殊困难老年人开展探视巡访，了解老年人健康状况、精神状态、居所安全、居住卫生环境等，依据其困难情况，帮助链接资源对其进行救助帮扶。</w:t>
            </w:r>
          </w:p>
        </w:tc>
      </w:tr>
      <w:tr w14:paraId="4F2A2F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4"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E4F7FA">
            <w:pPr>
              <w:keepNext w:val="0"/>
              <w:keepLines w:val="0"/>
              <w:pageBreakBefore w:val="0"/>
              <w:kinsoku/>
              <w:wordWrap/>
              <w:overflowPunct/>
              <w:topLinePunct w:val="0"/>
              <w:autoSpaceDE/>
              <w:autoSpaceDN/>
              <w:bidi w:val="0"/>
              <w:adjustRightInd/>
              <w:snapToGrid/>
              <w:spacing w:line="440" w:lineRule="exact"/>
              <w:jc w:val="center"/>
              <w:rPr>
                <w:rFonts w:hint="eastAsia" w:ascii="微软雅黑" w:hAnsi="微软雅黑" w:eastAsia="微软雅黑" w:cs="微软雅黑"/>
                <w:i w:val="0"/>
                <w:iCs w:val="0"/>
                <w:color w:val="000000"/>
                <w:sz w:val="24"/>
                <w:szCs w:val="24"/>
                <w:u w:val="none"/>
              </w:rPr>
            </w:pPr>
          </w:p>
        </w:tc>
        <w:tc>
          <w:tcPr>
            <w:tcW w:w="19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972F8C">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2.救助服务</w:t>
            </w:r>
          </w:p>
        </w:tc>
        <w:tc>
          <w:tcPr>
            <w:tcW w:w="6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E256DF">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协助评估特殊困难老年人身体状况、居住环境、经济状况等，摸底排查特殊困难老年人生活状况，确立风险等级。协助符合条件的老年人申请最低生活保障、特困人员供养、医疗救助、住房救助等社会救助政策。链接公益慈善、志愿服务等社会资源为特殊困难老年人提供援助。</w:t>
            </w:r>
          </w:p>
        </w:tc>
      </w:tr>
      <w:tr w14:paraId="790760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6"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AC100B">
            <w:pPr>
              <w:keepNext w:val="0"/>
              <w:keepLines w:val="0"/>
              <w:pageBreakBefore w:val="0"/>
              <w:kinsoku/>
              <w:wordWrap/>
              <w:overflowPunct/>
              <w:topLinePunct w:val="0"/>
              <w:autoSpaceDE/>
              <w:autoSpaceDN/>
              <w:bidi w:val="0"/>
              <w:adjustRightInd/>
              <w:snapToGrid/>
              <w:spacing w:line="440" w:lineRule="exact"/>
              <w:jc w:val="center"/>
              <w:rPr>
                <w:rFonts w:hint="eastAsia" w:ascii="微软雅黑" w:hAnsi="微软雅黑" w:eastAsia="微软雅黑" w:cs="微软雅黑"/>
                <w:i w:val="0"/>
                <w:iCs w:val="0"/>
                <w:color w:val="000000"/>
                <w:sz w:val="24"/>
                <w:szCs w:val="24"/>
                <w:u w:val="none"/>
              </w:rPr>
            </w:pPr>
          </w:p>
        </w:tc>
        <w:tc>
          <w:tcPr>
            <w:tcW w:w="19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DA8450">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3.参与社区居家养老服务</w:t>
            </w:r>
          </w:p>
        </w:tc>
        <w:tc>
          <w:tcPr>
            <w:tcW w:w="6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111439">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在社区居家养老服务中心;开展多种形式的社会支持、学习教育、文化娱乐等活动，协助有需要的老年人获得居家照顾和社区日间照料等服务，帮助链接居家社区、机构养老服务资源。</w:t>
            </w:r>
          </w:p>
        </w:tc>
      </w:tr>
      <w:tr w14:paraId="32E014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708AF3">
            <w:pPr>
              <w:keepNext w:val="0"/>
              <w:keepLines w:val="0"/>
              <w:pageBreakBefore w:val="0"/>
              <w:kinsoku/>
              <w:wordWrap/>
              <w:overflowPunct/>
              <w:topLinePunct w:val="0"/>
              <w:autoSpaceDE/>
              <w:autoSpaceDN/>
              <w:bidi w:val="0"/>
              <w:adjustRightInd/>
              <w:snapToGrid/>
              <w:spacing w:line="440" w:lineRule="exact"/>
              <w:jc w:val="center"/>
              <w:rPr>
                <w:rFonts w:hint="eastAsia" w:ascii="微软雅黑" w:hAnsi="微软雅黑" w:eastAsia="微软雅黑" w:cs="微软雅黑"/>
                <w:i w:val="0"/>
                <w:iCs w:val="0"/>
                <w:color w:val="000000"/>
                <w:sz w:val="24"/>
                <w:szCs w:val="24"/>
                <w:u w:val="none"/>
              </w:rPr>
            </w:pPr>
          </w:p>
        </w:tc>
        <w:tc>
          <w:tcPr>
            <w:tcW w:w="19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46647D">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5.权益保障</w:t>
            </w:r>
          </w:p>
        </w:tc>
        <w:tc>
          <w:tcPr>
            <w:tcW w:w="6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C16CD9">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与有关部门和专业人士共同维护和保障老年人的财产处置和婚姻自由等合法权益不受侵犯。排查老年人有可能遭遇的风险，包括受虐待、被遗弃或疏于照顾等特殊问题，经发现后及时开展危机介入服务。协助老年人开展养老规划，帮助和引导符合条件的老年人申请和享受来自街道(镇)、社区(村)和养老机构的有关服务和政策支持。开展社区宣传和社区教育，防止老年人遭遇不公平对待或社会歧视，防范化解以养老服务为名的非法集资风险。</w:t>
            </w:r>
          </w:p>
        </w:tc>
      </w:tr>
    </w:tbl>
    <w:p w14:paraId="0A73BDCD">
      <w:pPr>
        <w:keepNext w:val="0"/>
        <w:keepLines w:val="0"/>
        <w:pageBreakBefore w:val="0"/>
        <w:kinsoku/>
        <w:wordWrap/>
        <w:overflowPunct/>
        <w:topLinePunct w:val="0"/>
        <w:autoSpaceDE/>
        <w:autoSpaceDN/>
        <w:bidi w:val="0"/>
        <w:adjustRightInd/>
        <w:snapToGrid/>
        <w:spacing w:line="480" w:lineRule="exact"/>
        <w:jc w:val="both"/>
        <w:rPr>
          <w:rFonts w:hint="eastAsia" w:ascii="微软雅黑" w:hAnsi="微软雅黑" w:eastAsia="微软雅黑" w:cs="微软雅黑"/>
          <w:sz w:val="24"/>
          <w:szCs w:val="24"/>
        </w:rPr>
        <w:sectPr>
          <w:pgSz w:w="11906" w:h="16838"/>
          <w:pgMar w:top="1440" w:right="1080" w:bottom="1440" w:left="1080" w:header="851" w:footer="992" w:gutter="0"/>
          <w:pgNumType w:fmt="decimal"/>
          <w:cols w:space="425" w:num="1"/>
          <w:docGrid w:type="lines" w:linePitch="312" w:charSpace="0"/>
        </w:sectPr>
      </w:pPr>
    </w:p>
    <w:p w14:paraId="52C448CF">
      <w:pPr>
        <w:keepNext w:val="0"/>
        <w:keepLines w:val="0"/>
        <w:pageBreakBefore w:val="0"/>
        <w:kinsoku/>
        <w:wordWrap/>
        <w:overflowPunct/>
        <w:topLinePunct w:val="0"/>
        <w:autoSpaceDE/>
        <w:autoSpaceDN/>
        <w:bidi w:val="0"/>
        <w:adjustRightInd/>
        <w:snapToGrid/>
        <w:spacing w:line="480" w:lineRule="exact"/>
        <w:jc w:val="both"/>
        <w:rPr>
          <w:rFonts w:hint="eastAsia" w:ascii="微软雅黑" w:hAnsi="微软雅黑" w:eastAsia="微软雅黑" w:cs="微软雅黑"/>
          <w:sz w:val="24"/>
          <w:szCs w:val="24"/>
          <w:lang w:val="en-US" w:eastAsia="zh-CN"/>
        </w:rPr>
      </w:pPr>
      <w:r>
        <w:rPr>
          <w:rFonts w:hint="eastAsia" w:ascii="微软雅黑" w:hAnsi="微软雅黑" w:eastAsia="微软雅黑" w:cs="微软雅黑"/>
          <w:sz w:val="24"/>
          <w:szCs w:val="24"/>
          <w:lang w:eastAsia="zh-CN"/>
        </w:rPr>
        <w:t>附件</w:t>
      </w:r>
      <w:r>
        <w:rPr>
          <w:rFonts w:hint="eastAsia" w:ascii="微软雅黑" w:hAnsi="微软雅黑" w:eastAsia="微软雅黑" w:cs="微软雅黑"/>
          <w:sz w:val="24"/>
          <w:szCs w:val="24"/>
          <w:lang w:val="en-US" w:eastAsia="zh-CN"/>
        </w:rPr>
        <w:t>2</w:t>
      </w:r>
    </w:p>
    <w:p w14:paraId="19D4A173">
      <w:pPr>
        <w:jc w:val="both"/>
        <w:rPr>
          <w:rFonts w:hint="eastAsia"/>
          <w:lang w:val="en-US" w:eastAsia="zh-CN"/>
        </w:rPr>
      </w:pPr>
    </w:p>
    <w:p w14:paraId="5156AA2F">
      <w:pPr>
        <w:jc w:val="center"/>
        <w:sectPr>
          <w:pgSz w:w="11906" w:h="16838"/>
          <w:pgMar w:top="1440" w:right="1080" w:bottom="1440" w:left="1080" w:header="851" w:footer="992" w:gutter="0"/>
          <w:pgNumType w:fmt="decimal"/>
          <w:cols w:space="0" w:num="1"/>
          <w:rtlGutter w:val="0"/>
          <w:docGrid w:type="lines" w:linePitch="312" w:charSpace="0"/>
        </w:sectPr>
      </w:pPr>
      <w:r>
        <w:drawing>
          <wp:inline distT="0" distB="0" distL="114300" distR="114300">
            <wp:extent cx="4229100" cy="3779520"/>
            <wp:effectExtent l="0" t="0" r="762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14"/>
                    <a:stretch>
                      <a:fillRect/>
                    </a:stretch>
                  </pic:blipFill>
                  <pic:spPr>
                    <a:xfrm>
                      <a:off x="0" y="0"/>
                      <a:ext cx="4229100" cy="3779520"/>
                    </a:xfrm>
                    <a:prstGeom prst="rect">
                      <a:avLst/>
                    </a:prstGeom>
                    <a:noFill/>
                    <a:ln>
                      <a:noFill/>
                    </a:ln>
                  </pic:spPr>
                </pic:pic>
              </a:graphicData>
            </a:graphic>
          </wp:inline>
        </w:drawing>
      </w:r>
    </w:p>
    <w:p w14:paraId="58442B09">
      <w:pPr>
        <w:rPr>
          <w:rFonts w:hint="eastAsia" w:ascii="微软雅黑" w:hAnsi="微软雅黑" w:eastAsia="微软雅黑" w:cs="微软雅黑"/>
          <w:color w:val="auto"/>
        </w:rPr>
      </w:pPr>
    </w:p>
    <w:p w14:paraId="5A17E48E">
      <w:pPr>
        <w:pStyle w:val="3"/>
        <w:tabs>
          <w:tab w:val="left" w:pos="0"/>
        </w:tabs>
        <w:snapToGrid w:val="0"/>
        <w:spacing w:before="0" w:after="0" w:line="240" w:lineRule="atLeast"/>
        <w:textAlignment w:val="baseline"/>
        <w:rPr>
          <w:rFonts w:ascii="微软雅黑" w:hAnsi="微软雅黑" w:eastAsia="微软雅黑" w:cs="微软雅黑"/>
          <w:b w:val="0"/>
          <w:color w:val="auto"/>
          <w:sz w:val="24"/>
        </w:rPr>
      </w:pPr>
      <w:bookmarkStart w:id="679" w:name="_Toc24660"/>
      <w:r>
        <w:rPr>
          <w:rFonts w:hint="eastAsia" w:ascii="微软雅黑" w:hAnsi="微软雅黑" w:eastAsia="微软雅黑" w:cs="微软雅黑"/>
          <w:color w:val="auto"/>
        </w:rPr>
        <w:t xml:space="preserve">第6章 </w:t>
      </w:r>
      <w:bookmarkStart w:id="680" w:name="_Toc515647832"/>
      <w:bookmarkStart w:id="681" w:name="_Toc507399907"/>
      <w:bookmarkStart w:id="682" w:name="_Toc32647"/>
      <w:bookmarkStart w:id="683" w:name="_Toc7971"/>
      <w:r>
        <w:rPr>
          <w:rFonts w:hint="eastAsia" w:ascii="微软雅黑" w:hAnsi="微软雅黑" w:eastAsia="微软雅黑" w:cs="微软雅黑"/>
          <w:color w:val="auto"/>
        </w:rPr>
        <w:t>评审方法和标准</w:t>
      </w:r>
      <w:bookmarkEnd w:id="673"/>
      <w:bookmarkEnd w:id="674"/>
      <w:bookmarkEnd w:id="675"/>
      <w:bookmarkEnd w:id="679"/>
      <w:bookmarkEnd w:id="680"/>
      <w:bookmarkEnd w:id="681"/>
      <w:bookmarkEnd w:id="682"/>
      <w:bookmarkEnd w:id="683"/>
    </w:p>
    <w:p w14:paraId="34A0A7C2">
      <w:pPr>
        <w:pStyle w:val="11"/>
        <w:keepNext w:val="0"/>
        <w:keepLines w:val="0"/>
        <w:pageBreakBefore w:val="0"/>
        <w:kinsoku/>
        <w:wordWrap/>
        <w:overflowPunct/>
        <w:topLinePunct w:val="0"/>
        <w:bidi w:val="0"/>
        <w:snapToGrid w:val="0"/>
        <w:spacing w:before="0" w:beforeAutospacing="0" w:after="0" w:afterAutospacing="0" w:line="520" w:lineRule="exact"/>
        <w:ind w:firstLine="540" w:firstLineChars="225"/>
        <w:jc w:val="both"/>
        <w:textAlignment w:val="baseline"/>
        <w:rPr>
          <w:rFonts w:hint="eastAsia" w:ascii="微软雅黑" w:hAnsi="微软雅黑" w:eastAsia="微软雅黑" w:cs="微软雅黑"/>
          <w:b w:val="0"/>
          <w:i w:val="0"/>
          <w:caps w:val="0"/>
          <w:color w:val="auto"/>
          <w:spacing w:val="0"/>
          <w:w w:val="100"/>
          <w:sz w:val="24"/>
          <w:highlight w:val="none"/>
        </w:rPr>
      </w:pPr>
      <w:r>
        <w:rPr>
          <w:rFonts w:hint="eastAsia" w:ascii="微软雅黑" w:hAnsi="微软雅黑" w:eastAsia="微软雅黑" w:cs="微软雅黑"/>
          <w:b w:val="0"/>
          <w:i w:val="0"/>
          <w:caps w:val="0"/>
          <w:color w:val="auto"/>
          <w:spacing w:val="0"/>
          <w:w w:val="100"/>
          <w:sz w:val="24"/>
          <w:highlight w:val="none"/>
        </w:rPr>
        <w:t>本项目将按照磋商文件第一章供应商须知中“五 磋商开启及评审”、“六 确定成交”及本章的规定评标。</w:t>
      </w:r>
    </w:p>
    <w:p w14:paraId="1CC27CEF">
      <w:pPr>
        <w:keepNext w:val="0"/>
        <w:keepLines w:val="0"/>
        <w:pageBreakBefore w:val="0"/>
        <w:shd w:val="clear" w:color="auto" w:fill="auto"/>
        <w:kinsoku/>
        <w:wordWrap/>
        <w:overflowPunct/>
        <w:topLinePunct w:val="0"/>
        <w:bidi w:val="0"/>
        <w:spacing w:line="480" w:lineRule="exact"/>
        <w:ind w:firstLine="240" w:firstLineChars="100"/>
        <w:jc w:val="left"/>
        <w:rPr>
          <w:rFonts w:hint="default"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1、落实政府采购政策</w:t>
      </w:r>
    </w:p>
    <w:p w14:paraId="0A3D193D">
      <w:pPr>
        <w:keepNext w:val="0"/>
        <w:keepLines w:val="0"/>
        <w:pageBreakBefore w:val="0"/>
        <w:widowControl/>
        <w:kinsoku/>
        <w:wordWrap/>
        <w:overflowPunct/>
        <w:topLinePunct w:val="0"/>
        <w:autoSpaceDE/>
        <w:autoSpaceDN/>
        <w:bidi w:val="0"/>
        <w:adjustRightInd/>
        <w:spacing w:line="480" w:lineRule="exact"/>
        <w:ind w:firstLine="480" w:firstLineChars="200"/>
        <w:rPr>
          <w:rFonts w:hint="eastAsia" w:ascii="微软雅黑" w:hAnsi="微软雅黑" w:eastAsia="微软雅黑" w:cs="微软雅黑"/>
          <w:b/>
          <w:bCs/>
          <w:color w:val="auto"/>
          <w:kern w:val="2"/>
          <w:sz w:val="24"/>
          <w:szCs w:val="24"/>
          <w:highlight w:val="none"/>
          <w:lang w:val="en-US" w:eastAsia="zh-CN" w:bidi="ar-SA"/>
        </w:rPr>
      </w:pPr>
      <w:r>
        <w:rPr>
          <w:rFonts w:hint="eastAsia" w:ascii="微软雅黑" w:hAnsi="微软雅黑" w:eastAsia="微软雅黑" w:cs="微软雅黑"/>
          <w:b/>
          <w:bCs/>
          <w:color w:val="auto"/>
          <w:kern w:val="2"/>
          <w:sz w:val="24"/>
          <w:szCs w:val="24"/>
          <w:highlight w:val="none"/>
          <w:lang w:val="en-US" w:eastAsia="zh-CN" w:bidi="ar-SA"/>
        </w:rPr>
        <w:t>①本项目属于专门面向中小微企业的项目，根据《政府采购促进中小企业发展管理办法》（财库﹝2020﹞46 号）</w:t>
      </w:r>
      <w:r>
        <w:rPr>
          <w:rFonts w:hint="eastAsia" w:ascii="微软雅黑" w:hAnsi="微软雅黑" w:eastAsia="微软雅黑" w:cs="微软雅黑"/>
          <w:b/>
          <w:bCs/>
          <w:color w:val="auto"/>
          <w:sz w:val="24"/>
          <w:szCs w:val="24"/>
          <w:lang w:eastAsia="zh-CN"/>
        </w:rPr>
        <w:t>、《</w:t>
      </w:r>
      <w:r>
        <w:rPr>
          <w:rFonts w:hint="eastAsia" w:ascii="微软雅黑" w:hAnsi="微软雅黑" w:eastAsia="微软雅黑" w:cs="微软雅黑"/>
          <w:b/>
          <w:bCs/>
          <w:color w:val="auto"/>
          <w:sz w:val="24"/>
          <w:szCs w:val="24"/>
          <w:lang w:val="en-US" w:eastAsia="zh-CN"/>
        </w:rPr>
        <w:t>关于落实好政府采购支持中小企业发展的通知</w:t>
      </w:r>
      <w:r>
        <w:rPr>
          <w:rFonts w:hint="eastAsia" w:ascii="微软雅黑" w:hAnsi="微软雅黑" w:eastAsia="微软雅黑" w:cs="微软雅黑"/>
          <w:b/>
          <w:bCs/>
          <w:color w:val="auto"/>
          <w:sz w:val="24"/>
          <w:szCs w:val="24"/>
          <w:lang w:eastAsia="zh-CN"/>
        </w:rPr>
        <w:t>》（</w:t>
      </w:r>
      <w:r>
        <w:rPr>
          <w:rFonts w:hint="eastAsia" w:ascii="微软雅黑" w:hAnsi="微软雅黑" w:eastAsia="微软雅黑" w:cs="微软雅黑"/>
          <w:b/>
          <w:bCs/>
          <w:color w:val="auto"/>
          <w:sz w:val="24"/>
          <w:szCs w:val="24"/>
        </w:rPr>
        <w:t>新财购 〔2022〕22号</w:t>
      </w:r>
      <w:r>
        <w:rPr>
          <w:rFonts w:hint="eastAsia" w:ascii="微软雅黑" w:hAnsi="微软雅黑" w:eastAsia="微软雅黑" w:cs="微软雅黑"/>
          <w:b/>
          <w:bCs/>
          <w:color w:val="auto"/>
          <w:sz w:val="24"/>
          <w:szCs w:val="24"/>
          <w:lang w:eastAsia="zh-CN"/>
        </w:rPr>
        <w:t>）</w:t>
      </w:r>
      <w:r>
        <w:rPr>
          <w:rFonts w:hint="eastAsia" w:ascii="微软雅黑" w:hAnsi="微软雅黑" w:eastAsia="微软雅黑" w:cs="微软雅黑"/>
          <w:b/>
          <w:bCs/>
          <w:color w:val="auto"/>
          <w:kern w:val="2"/>
          <w:sz w:val="24"/>
          <w:szCs w:val="24"/>
          <w:highlight w:val="none"/>
          <w:lang w:val="en-US" w:eastAsia="zh-CN" w:bidi="ar-SA"/>
        </w:rPr>
        <w:t>、《财政部司法部关于政府采购支持监狱企业发展有关问题的通知》（财库〔2014〕68号）和《三部门联合发布关于促进残疾人就业政府采购政策的通知》（财库〔2017〕141号）的规定，其中小型、微型企业在响应文件中提交了《中小企业声明函》、《残疾人福利性单位声明函》或省级以上监狱管理局、戒毒管理局（含新疆生产建设兵团）出具的属于监狱企业的证明文件的供应商，其报价扣除</w:t>
      </w:r>
      <w:r>
        <w:rPr>
          <w:rFonts w:hint="eastAsia" w:ascii="微软雅黑" w:hAnsi="微软雅黑" w:eastAsia="微软雅黑" w:cs="微软雅黑"/>
          <w:b/>
          <w:bCs/>
          <w:color w:val="auto"/>
          <w:kern w:val="2"/>
          <w:sz w:val="24"/>
          <w:szCs w:val="24"/>
          <w:highlight w:val="none"/>
          <w:u w:val="single"/>
          <w:lang w:val="en-US" w:eastAsia="zh-CN" w:bidi="ar-SA"/>
        </w:rPr>
        <w:t xml:space="preserve">  / </w:t>
      </w:r>
      <w:r>
        <w:rPr>
          <w:rFonts w:hint="eastAsia" w:ascii="微软雅黑" w:hAnsi="微软雅黑" w:eastAsia="微软雅黑" w:cs="微软雅黑"/>
          <w:b/>
          <w:bCs/>
          <w:color w:val="auto"/>
          <w:kern w:val="2"/>
          <w:sz w:val="24"/>
          <w:szCs w:val="24"/>
          <w:highlight w:val="none"/>
          <w:lang w:val="en-US" w:eastAsia="zh-CN" w:bidi="ar-SA"/>
        </w:rPr>
        <w:t>%后参与评审。对于同时属于小型、微型及小微企业、监狱企业或残疾人福利性单位的，不重复进行报价扣除。</w:t>
      </w:r>
    </w:p>
    <w:p w14:paraId="35B31BB7">
      <w:pPr>
        <w:pStyle w:val="7"/>
        <w:keepNext w:val="0"/>
        <w:keepLines w:val="0"/>
        <w:pageBreakBefore w:val="0"/>
        <w:widowControl w:val="0"/>
        <w:kinsoku/>
        <w:wordWrap/>
        <w:overflowPunct/>
        <w:topLinePunct w:val="0"/>
        <w:bidi w:val="0"/>
        <w:snapToGrid w:val="0"/>
        <w:spacing w:before="0" w:beforeAutospacing="0" w:after="0" w:afterAutospacing="0" w:line="480" w:lineRule="exact"/>
        <w:ind w:firstLine="480" w:firstLineChars="200"/>
        <w:jc w:val="left"/>
        <w:textAlignment w:val="baseline"/>
        <w:rPr>
          <w:rFonts w:hint="eastAsia" w:ascii="微软雅黑" w:hAnsi="微软雅黑" w:eastAsia="微软雅黑" w:cs="微软雅黑"/>
          <w:b/>
          <w:bCs/>
          <w:i w:val="0"/>
          <w:caps w:val="0"/>
          <w:color w:val="auto"/>
          <w:spacing w:val="0"/>
          <w:w w:val="100"/>
          <w:sz w:val="24"/>
          <w:szCs w:val="24"/>
          <w:highlight w:val="none"/>
        </w:rPr>
      </w:pPr>
      <w:r>
        <w:rPr>
          <w:rFonts w:hint="eastAsia" w:ascii="微软雅黑" w:hAnsi="微软雅黑" w:eastAsia="微软雅黑" w:cs="微软雅黑"/>
          <w:b/>
          <w:bCs/>
          <w:i w:val="0"/>
          <w:caps w:val="0"/>
          <w:color w:val="auto"/>
          <w:spacing w:val="0"/>
          <w:w w:val="100"/>
          <w:sz w:val="24"/>
          <w:szCs w:val="24"/>
          <w:highlight w:val="none"/>
          <w:lang w:eastAsia="zh-CN"/>
        </w:rPr>
        <w:t>②</w:t>
      </w:r>
      <w:r>
        <w:rPr>
          <w:rFonts w:hint="eastAsia" w:ascii="微软雅黑" w:hAnsi="微软雅黑" w:eastAsia="微软雅黑" w:cs="微软雅黑"/>
          <w:b/>
          <w:bCs/>
          <w:i w:val="0"/>
          <w:caps w:val="0"/>
          <w:color w:val="auto"/>
          <w:spacing w:val="0"/>
          <w:w w:val="100"/>
          <w:sz w:val="24"/>
          <w:szCs w:val="24"/>
          <w:highlight w:val="none"/>
        </w:rPr>
        <w:t>联合协议中约定，小型、微型企业和监狱企业的协议合同金额占到联合体协议合同总金额40%以上的，可给予联合体4%~6%的价格扣除。（本项目不适用）</w:t>
      </w:r>
    </w:p>
    <w:p w14:paraId="05FEAB35">
      <w:pPr>
        <w:pStyle w:val="7"/>
        <w:keepNext w:val="0"/>
        <w:keepLines w:val="0"/>
        <w:pageBreakBefore w:val="0"/>
        <w:widowControl w:val="0"/>
        <w:kinsoku/>
        <w:wordWrap/>
        <w:overflowPunct/>
        <w:topLinePunct w:val="0"/>
        <w:bidi w:val="0"/>
        <w:snapToGrid w:val="0"/>
        <w:spacing w:before="0" w:beforeAutospacing="0" w:after="0" w:afterAutospacing="0" w:line="480" w:lineRule="exact"/>
        <w:ind w:firstLine="0"/>
        <w:jc w:val="left"/>
        <w:textAlignment w:val="baseline"/>
        <w:rPr>
          <w:rFonts w:hint="eastAsia" w:ascii="微软雅黑" w:hAnsi="微软雅黑" w:eastAsia="微软雅黑" w:cs="微软雅黑"/>
          <w:b/>
          <w:bCs/>
          <w:i w:val="0"/>
          <w:caps w:val="0"/>
          <w:color w:val="auto"/>
          <w:spacing w:val="0"/>
          <w:w w:val="100"/>
          <w:sz w:val="24"/>
          <w:szCs w:val="24"/>
          <w:highlight w:val="none"/>
        </w:rPr>
      </w:pPr>
      <w:r>
        <w:rPr>
          <w:rFonts w:hint="eastAsia" w:ascii="微软雅黑" w:hAnsi="微软雅黑" w:eastAsia="微软雅黑" w:cs="微软雅黑"/>
          <w:b/>
          <w:bCs/>
          <w:i w:val="0"/>
          <w:caps w:val="0"/>
          <w:color w:val="auto"/>
          <w:spacing w:val="0"/>
          <w:w w:val="100"/>
          <w:sz w:val="24"/>
          <w:szCs w:val="24"/>
          <w:highlight w:val="none"/>
        </w:rPr>
        <w:t>联合体各方均为小型、微型企业和监狱企业的，联合体视同为小型、微型企业和监狱企业。</w:t>
      </w:r>
    </w:p>
    <w:p w14:paraId="2D72B885">
      <w:pPr>
        <w:pStyle w:val="7"/>
        <w:keepNext w:val="0"/>
        <w:keepLines w:val="0"/>
        <w:pageBreakBefore w:val="0"/>
        <w:widowControl w:val="0"/>
        <w:kinsoku/>
        <w:wordWrap/>
        <w:overflowPunct/>
        <w:topLinePunct w:val="0"/>
        <w:bidi w:val="0"/>
        <w:snapToGrid w:val="0"/>
        <w:spacing w:before="0" w:beforeAutospacing="0" w:after="0" w:afterAutospacing="0" w:line="480" w:lineRule="exact"/>
        <w:ind w:firstLine="480" w:firstLineChars="200"/>
        <w:jc w:val="left"/>
        <w:textAlignment w:val="baseline"/>
        <w:rPr>
          <w:rFonts w:hint="eastAsia" w:ascii="微软雅黑" w:hAnsi="微软雅黑" w:eastAsia="微软雅黑" w:cs="微软雅黑"/>
          <w:b/>
          <w:bCs/>
          <w:i w:val="0"/>
          <w:caps w:val="0"/>
          <w:color w:val="auto"/>
          <w:spacing w:val="0"/>
          <w:w w:val="100"/>
          <w:sz w:val="24"/>
          <w:szCs w:val="24"/>
          <w:highlight w:val="none"/>
        </w:rPr>
      </w:pPr>
      <w:r>
        <w:rPr>
          <w:rFonts w:hint="eastAsia" w:ascii="微软雅黑" w:hAnsi="微软雅黑" w:eastAsia="微软雅黑" w:cs="微软雅黑"/>
          <w:b/>
          <w:bCs/>
          <w:i w:val="0"/>
          <w:caps w:val="0"/>
          <w:color w:val="auto"/>
          <w:spacing w:val="0"/>
          <w:w w:val="100"/>
          <w:sz w:val="24"/>
          <w:szCs w:val="24"/>
          <w:highlight w:val="none"/>
          <w:lang w:eastAsia="zh-CN"/>
        </w:rPr>
        <w:t>③</w:t>
      </w:r>
      <w:r>
        <w:rPr>
          <w:rFonts w:hint="eastAsia" w:ascii="微软雅黑" w:hAnsi="微软雅黑" w:eastAsia="微软雅黑" w:cs="微软雅黑"/>
          <w:b/>
          <w:bCs/>
          <w:i w:val="0"/>
          <w:caps w:val="0"/>
          <w:color w:val="auto"/>
          <w:spacing w:val="0"/>
          <w:w w:val="100"/>
          <w:sz w:val="24"/>
          <w:szCs w:val="24"/>
          <w:highlight w:val="none"/>
        </w:rPr>
        <w:t>供应商所投产品如被列入财政部与国家主管部门颁发的节能产品目录或环境标志产品目录或无线局域网产品目录，应提供相关证明，在评标时予以优先采购，具体优惠措施为： 投标商所投产品应优先选择《财政部 国家发展改革委关于调整公布第二十四期节能产品政府采购清单的通知》（财库〔2018〕73号）、《财政部 环境保护部关于调整公布第二十二期环境标志产品政府采购清单的通知》（财库〔2018〕70号）目录内的产品（须提供节能、环保认证证书复印件加盖公章）。</w:t>
      </w:r>
    </w:p>
    <w:p w14:paraId="51D17936">
      <w:pPr>
        <w:pStyle w:val="7"/>
        <w:keepNext w:val="0"/>
        <w:keepLines w:val="0"/>
        <w:pageBreakBefore w:val="0"/>
        <w:widowControl w:val="0"/>
        <w:kinsoku/>
        <w:wordWrap/>
        <w:overflowPunct/>
        <w:topLinePunct w:val="0"/>
        <w:bidi w:val="0"/>
        <w:snapToGrid w:val="0"/>
        <w:spacing w:before="0" w:beforeAutospacing="0" w:after="0" w:afterAutospacing="0" w:line="480" w:lineRule="exact"/>
        <w:ind w:firstLine="480" w:firstLineChars="200"/>
        <w:jc w:val="left"/>
        <w:textAlignment w:val="baseline"/>
        <w:rPr>
          <w:rFonts w:hint="eastAsia" w:ascii="微软雅黑" w:hAnsi="微软雅黑" w:eastAsia="微软雅黑" w:cs="微软雅黑"/>
          <w:b/>
          <w:bCs/>
          <w:i w:val="0"/>
          <w:caps w:val="0"/>
          <w:color w:val="auto"/>
          <w:spacing w:val="0"/>
          <w:w w:val="100"/>
          <w:sz w:val="24"/>
          <w:szCs w:val="24"/>
          <w:highlight w:val="none"/>
        </w:rPr>
      </w:pPr>
      <w:r>
        <w:rPr>
          <w:rFonts w:hint="eastAsia" w:ascii="微软雅黑" w:hAnsi="微软雅黑" w:eastAsia="微软雅黑" w:cs="微软雅黑"/>
          <w:b/>
          <w:bCs/>
          <w:i w:val="0"/>
          <w:caps w:val="0"/>
          <w:color w:val="auto"/>
          <w:spacing w:val="0"/>
          <w:w w:val="100"/>
          <w:sz w:val="24"/>
          <w:szCs w:val="24"/>
          <w:highlight w:val="none"/>
          <w:lang w:eastAsia="zh-CN"/>
        </w:rPr>
        <w:t>④</w:t>
      </w:r>
      <w:r>
        <w:rPr>
          <w:rFonts w:hint="eastAsia" w:ascii="微软雅黑" w:hAnsi="微软雅黑" w:eastAsia="微软雅黑" w:cs="微软雅黑"/>
          <w:b/>
          <w:bCs/>
          <w:i w:val="0"/>
          <w:caps w:val="0"/>
          <w:color w:val="auto"/>
          <w:spacing w:val="0"/>
          <w:w w:val="100"/>
          <w:sz w:val="24"/>
          <w:szCs w:val="24"/>
          <w:highlight w:val="none"/>
        </w:rPr>
        <w:t>如采购人所采购产品为政府强制采购的节能产品，供应商所投产品的品牌及型号必须为清单中有效期内产品并提供证明文件，否则其投标将被认定为投标无效。</w:t>
      </w:r>
    </w:p>
    <w:p w14:paraId="27419672">
      <w:pPr>
        <w:ind w:firstLine="480" w:firstLineChars="200"/>
        <w:rPr>
          <w:rFonts w:hint="eastAsia"/>
          <w:color w:val="auto"/>
        </w:rPr>
      </w:pPr>
      <w:r>
        <w:rPr>
          <w:rFonts w:hint="eastAsia" w:ascii="微软雅黑" w:hAnsi="微软雅黑" w:eastAsia="微软雅黑" w:cs="微软雅黑"/>
          <w:b/>
          <w:bCs/>
          <w:i w:val="0"/>
          <w:caps w:val="0"/>
          <w:color w:val="auto"/>
          <w:spacing w:val="0"/>
          <w:w w:val="100"/>
          <w:sz w:val="24"/>
          <w:szCs w:val="24"/>
          <w:highlight w:val="none"/>
          <w:lang w:eastAsia="zh-CN"/>
        </w:rPr>
        <w:t>⑤</w:t>
      </w:r>
      <w:r>
        <w:rPr>
          <w:rFonts w:hint="eastAsia" w:ascii="微软雅黑" w:hAnsi="微软雅黑" w:eastAsia="微软雅黑" w:cs="微软雅黑"/>
          <w:b/>
          <w:bCs/>
          <w:i w:val="0"/>
          <w:caps w:val="0"/>
          <w:color w:val="auto"/>
          <w:spacing w:val="0"/>
          <w:w w:val="100"/>
          <w:sz w:val="24"/>
          <w:szCs w:val="24"/>
          <w:highlight w:val="none"/>
        </w:rPr>
        <w:t>对创新产品或创新性企业的优惠措施为：</w:t>
      </w:r>
      <w:r>
        <w:rPr>
          <w:rFonts w:hint="eastAsia" w:ascii="微软雅黑" w:hAnsi="微软雅黑" w:eastAsia="微软雅黑" w:cs="微软雅黑"/>
          <w:b/>
          <w:bCs/>
          <w:i w:val="0"/>
          <w:caps w:val="0"/>
          <w:color w:val="auto"/>
          <w:spacing w:val="0"/>
          <w:w w:val="100"/>
          <w:sz w:val="24"/>
          <w:szCs w:val="24"/>
          <w:highlight w:val="none"/>
          <w:u w:val="single"/>
        </w:rPr>
        <w:t xml:space="preserve">    / </w:t>
      </w:r>
      <w:r>
        <w:rPr>
          <w:rFonts w:hint="eastAsia" w:ascii="微软雅黑" w:hAnsi="微软雅黑" w:eastAsia="微软雅黑" w:cs="微软雅黑"/>
          <w:b w:val="0"/>
          <w:color w:val="auto"/>
          <w:kern w:val="2"/>
          <w:sz w:val="24"/>
          <w:szCs w:val="24"/>
          <w:u w:val="single"/>
          <w:lang w:val="en-US" w:eastAsia="zh-CN" w:bidi="ar-SA"/>
        </w:rPr>
        <w:t xml:space="preserve">    </w:t>
      </w:r>
    </w:p>
    <w:p w14:paraId="1D7AB984">
      <w:pPr>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b/>
          <w:bCs/>
          <w:color w:val="auto"/>
          <w:sz w:val="24"/>
          <w:szCs w:val="24"/>
          <w:highlight w:val="none"/>
          <w:lang w:val="en-US" w:eastAsia="zh-CN"/>
        </w:rPr>
      </w:pPr>
      <w:bookmarkStart w:id="684" w:name="_Toc9048"/>
      <w:bookmarkStart w:id="685" w:name="_Toc4729"/>
      <w:bookmarkStart w:id="686" w:name="_Toc15607"/>
      <w:bookmarkStart w:id="687" w:name="_Toc5997"/>
      <w:bookmarkStart w:id="688" w:name="_Toc18284"/>
      <w:bookmarkStart w:id="689" w:name="_Toc11629"/>
      <w:bookmarkStart w:id="690" w:name="_Toc19292"/>
      <w:bookmarkStart w:id="691" w:name="_Toc25450"/>
      <w:bookmarkStart w:id="692" w:name="_Toc5480"/>
      <w:bookmarkStart w:id="693" w:name="_Toc3722"/>
      <w:r>
        <w:rPr>
          <w:rFonts w:hint="eastAsia" w:ascii="微软雅黑" w:hAnsi="微软雅黑" w:eastAsia="微软雅黑" w:cs="微软雅黑"/>
          <w:b/>
          <w:bCs/>
          <w:color w:val="auto"/>
          <w:sz w:val="24"/>
          <w:szCs w:val="24"/>
          <w:highlight w:val="none"/>
          <w:lang w:val="en-US" w:eastAsia="zh-CN"/>
        </w:rPr>
        <w:t>2、 开标</w:t>
      </w:r>
    </w:p>
    <w:p w14:paraId="53A3F76F">
      <w:pPr>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b/>
          <w:bCs/>
          <w:color w:val="auto"/>
          <w:sz w:val="24"/>
          <w:szCs w:val="24"/>
          <w:highlight w:val="none"/>
          <w:lang w:val="en-US" w:eastAsia="zh-CN"/>
        </w:rPr>
      </w:pPr>
      <w:bookmarkStart w:id="694" w:name="_Toc73975822"/>
      <w:r>
        <w:rPr>
          <w:rFonts w:hint="eastAsia" w:ascii="微软雅黑" w:hAnsi="微软雅黑" w:eastAsia="微软雅黑" w:cs="微软雅黑"/>
          <w:b/>
          <w:bCs/>
          <w:color w:val="auto"/>
          <w:sz w:val="24"/>
          <w:szCs w:val="24"/>
          <w:highlight w:val="none"/>
          <w:lang w:val="en-US" w:eastAsia="zh-CN"/>
        </w:rPr>
        <w:t>2.1开标邀请</w:t>
      </w:r>
      <w:bookmarkEnd w:id="694"/>
    </w:p>
    <w:p w14:paraId="52DFA6A3">
      <w:pPr>
        <w:pStyle w:val="16"/>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lang w:eastAsia="zh-CN"/>
        </w:rPr>
        <w:t>（</w:t>
      </w:r>
      <w:r>
        <w:rPr>
          <w:rFonts w:hint="eastAsia" w:ascii="微软雅黑" w:hAnsi="微软雅黑" w:eastAsia="微软雅黑" w:cs="微软雅黑"/>
          <w:b w:val="0"/>
          <w:bCs/>
          <w:color w:val="auto"/>
          <w:sz w:val="24"/>
          <w:szCs w:val="24"/>
          <w:highlight w:val="none"/>
          <w:lang w:val="en-US" w:eastAsia="zh-CN"/>
        </w:rPr>
        <w:t>1</w:t>
      </w:r>
      <w:r>
        <w:rPr>
          <w:rFonts w:hint="eastAsia" w:ascii="微软雅黑" w:hAnsi="微软雅黑" w:eastAsia="微软雅黑" w:cs="微软雅黑"/>
          <w:b w:val="0"/>
          <w:bCs/>
          <w:color w:val="auto"/>
          <w:sz w:val="24"/>
          <w:szCs w:val="24"/>
          <w:highlight w:val="none"/>
          <w:lang w:eastAsia="zh-CN"/>
        </w:rPr>
        <w:t>）</w:t>
      </w:r>
      <w:r>
        <w:rPr>
          <w:rFonts w:hint="eastAsia" w:ascii="微软雅黑" w:hAnsi="微软雅黑" w:eastAsia="微软雅黑" w:cs="微软雅黑"/>
          <w:b w:val="0"/>
          <w:bCs/>
          <w:color w:val="auto"/>
          <w:sz w:val="24"/>
          <w:szCs w:val="24"/>
          <w:highlight w:val="none"/>
        </w:rPr>
        <w:t>开标准备：本项目开标的准备工作由采购组织机构负责落实，开标过程由采购组织机构负责记录；</w:t>
      </w:r>
    </w:p>
    <w:p w14:paraId="036102BA">
      <w:pPr>
        <w:pStyle w:val="16"/>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lang w:eastAsia="zh-CN"/>
        </w:rPr>
        <w:t>（</w:t>
      </w:r>
      <w:r>
        <w:rPr>
          <w:rFonts w:hint="eastAsia" w:ascii="微软雅黑" w:hAnsi="微软雅黑" w:eastAsia="微软雅黑" w:cs="微软雅黑"/>
          <w:b w:val="0"/>
          <w:bCs/>
          <w:color w:val="auto"/>
          <w:sz w:val="24"/>
          <w:szCs w:val="24"/>
          <w:highlight w:val="none"/>
          <w:lang w:val="en-US" w:eastAsia="zh-CN"/>
        </w:rPr>
        <w:t>2）</w:t>
      </w:r>
      <w:r>
        <w:rPr>
          <w:rFonts w:hint="eastAsia" w:ascii="微软雅黑" w:hAnsi="微软雅黑" w:eastAsia="微软雅黑" w:cs="微软雅黑"/>
          <w:b w:val="0"/>
          <w:bCs/>
          <w:color w:val="auto"/>
          <w:sz w:val="24"/>
          <w:szCs w:val="24"/>
          <w:highlight w:val="none"/>
        </w:rPr>
        <w:t>开标主持：本项目开标由采购人或者采购代理机构主持；</w:t>
      </w:r>
    </w:p>
    <w:p w14:paraId="067E6FA7">
      <w:pPr>
        <w:pStyle w:val="16"/>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b w:val="0"/>
          <w:color w:val="auto"/>
          <w:sz w:val="24"/>
          <w:szCs w:val="24"/>
          <w:highlight w:val="none"/>
        </w:rPr>
      </w:pPr>
      <w:r>
        <w:rPr>
          <w:rFonts w:hint="eastAsia" w:ascii="微软雅黑" w:hAnsi="微软雅黑" w:eastAsia="微软雅黑" w:cs="微软雅黑"/>
          <w:b w:val="0"/>
          <w:color w:val="auto"/>
          <w:sz w:val="24"/>
          <w:szCs w:val="24"/>
          <w:highlight w:val="none"/>
          <w:lang w:eastAsia="zh-CN"/>
        </w:rPr>
        <w:t>（</w:t>
      </w:r>
      <w:r>
        <w:rPr>
          <w:rFonts w:hint="eastAsia" w:ascii="微软雅黑" w:hAnsi="微软雅黑" w:eastAsia="微软雅黑" w:cs="微软雅黑"/>
          <w:b w:val="0"/>
          <w:color w:val="auto"/>
          <w:sz w:val="24"/>
          <w:szCs w:val="24"/>
          <w:highlight w:val="none"/>
          <w:lang w:val="en-US" w:eastAsia="zh-CN"/>
        </w:rPr>
        <w:t>3</w:t>
      </w:r>
      <w:r>
        <w:rPr>
          <w:rFonts w:hint="eastAsia" w:ascii="微软雅黑" w:hAnsi="微软雅黑" w:eastAsia="微软雅黑" w:cs="微软雅黑"/>
          <w:b w:val="0"/>
          <w:color w:val="auto"/>
          <w:sz w:val="24"/>
          <w:szCs w:val="24"/>
          <w:highlight w:val="none"/>
          <w:lang w:eastAsia="zh-CN"/>
        </w:rPr>
        <w:t>）</w:t>
      </w:r>
      <w:r>
        <w:rPr>
          <w:rFonts w:hint="eastAsia" w:ascii="微软雅黑" w:hAnsi="微软雅黑" w:eastAsia="微软雅黑" w:cs="微软雅黑"/>
          <w:b w:val="0"/>
          <w:color w:val="auto"/>
          <w:sz w:val="24"/>
          <w:szCs w:val="24"/>
          <w:highlight w:val="none"/>
        </w:rPr>
        <w:t>开标邀请：本项目采用电子交易，采购组织机构将按照</w:t>
      </w:r>
      <w:r>
        <w:rPr>
          <w:rFonts w:hint="eastAsia" w:ascii="微软雅黑" w:hAnsi="微软雅黑" w:eastAsia="微软雅黑" w:cs="微软雅黑"/>
          <w:b w:val="0"/>
          <w:color w:val="auto"/>
          <w:sz w:val="24"/>
          <w:szCs w:val="24"/>
          <w:highlight w:val="none"/>
          <w:lang w:eastAsia="zh-CN"/>
        </w:rPr>
        <w:t>竞争性磋商文件</w:t>
      </w:r>
      <w:r>
        <w:rPr>
          <w:rFonts w:hint="eastAsia" w:ascii="微软雅黑" w:hAnsi="微软雅黑" w:eastAsia="微软雅黑" w:cs="微软雅黑"/>
          <w:b w:val="0"/>
          <w:color w:val="auto"/>
          <w:sz w:val="24"/>
          <w:szCs w:val="24"/>
          <w:highlight w:val="none"/>
        </w:rPr>
        <w:t>规定的时间通过“</w:t>
      </w:r>
      <w:r>
        <w:rPr>
          <w:rFonts w:hint="eastAsia" w:ascii="微软雅黑" w:hAnsi="微软雅黑" w:eastAsia="微软雅黑" w:cs="微软雅黑"/>
          <w:b w:val="0"/>
          <w:color w:val="auto"/>
          <w:sz w:val="24"/>
          <w:szCs w:val="24"/>
          <w:highlight w:val="none"/>
          <w:lang w:eastAsia="zh-CN"/>
        </w:rPr>
        <w:t>新疆</w:t>
      </w:r>
      <w:r>
        <w:rPr>
          <w:rFonts w:hint="eastAsia" w:ascii="微软雅黑" w:hAnsi="微软雅黑" w:eastAsia="微软雅黑" w:cs="微软雅黑"/>
          <w:b w:val="0"/>
          <w:color w:val="auto"/>
          <w:sz w:val="24"/>
          <w:szCs w:val="24"/>
          <w:highlight w:val="none"/>
        </w:rPr>
        <w:t>政府采购云平台，网址：</w:t>
      </w:r>
      <w:r>
        <w:rPr>
          <w:rFonts w:hint="eastAsia" w:ascii="微软雅黑" w:hAnsi="微软雅黑" w:eastAsia="微软雅黑" w:cs="微软雅黑"/>
          <w:b w:val="0"/>
          <w:color w:val="auto"/>
          <w:sz w:val="24"/>
          <w:szCs w:val="24"/>
          <w:highlight w:val="none"/>
        </w:rPr>
        <w:fldChar w:fldCharType="begin"/>
      </w:r>
      <w:r>
        <w:rPr>
          <w:rFonts w:hint="eastAsia" w:ascii="微软雅黑" w:hAnsi="微软雅黑" w:eastAsia="微软雅黑" w:cs="微软雅黑"/>
          <w:b w:val="0"/>
          <w:color w:val="auto"/>
          <w:sz w:val="24"/>
          <w:szCs w:val="24"/>
          <w:highlight w:val="none"/>
        </w:rPr>
        <w:instrText xml:space="preserve">HYPERLINK "http://www.zcygov.cn"</w:instrText>
      </w:r>
      <w:r>
        <w:rPr>
          <w:rFonts w:hint="eastAsia" w:ascii="微软雅黑" w:hAnsi="微软雅黑" w:eastAsia="微软雅黑" w:cs="微软雅黑"/>
          <w:b w:val="0"/>
          <w:color w:val="auto"/>
          <w:sz w:val="24"/>
          <w:szCs w:val="24"/>
          <w:highlight w:val="none"/>
        </w:rPr>
        <w:fldChar w:fldCharType="separate"/>
      </w:r>
      <w:r>
        <w:rPr>
          <w:rStyle w:val="44"/>
          <w:rFonts w:hint="eastAsia" w:ascii="微软雅黑" w:hAnsi="微软雅黑" w:eastAsia="微软雅黑" w:cs="微软雅黑"/>
          <w:b w:val="0"/>
          <w:color w:val="auto"/>
          <w:sz w:val="24"/>
          <w:szCs w:val="24"/>
          <w:highlight w:val="none"/>
          <w:u w:val="none"/>
        </w:rPr>
        <w:t>www.zcygov.cn</w:t>
      </w:r>
      <w:r>
        <w:rPr>
          <w:rFonts w:hint="eastAsia" w:ascii="微软雅黑" w:hAnsi="微软雅黑" w:eastAsia="微软雅黑" w:cs="微软雅黑"/>
          <w:color w:val="auto"/>
          <w:sz w:val="24"/>
          <w:szCs w:val="24"/>
          <w:highlight w:val="none"/>
        </w:rPr>
        <w:fldChar w:fldCharType="end"/>
      </w:r>
      <w:r>
        <w:rPr>
          <w:rFonts w:hint="eastAsia" w:ascii="微软雅黑" w:hAnsi="微软雅黑" w:eastAsia="微软雅黑" w:cs="微软雅黑"/>
          <w:b w:val="0"/>
          <w:color w:val="auto"/>
          <w:sz w:val="24"/>
          <w:szCs w:val="24"/>
          <w:highlight w:val="none"/>
        </w:rPr>
        <w:t>”组织开标、开启投标响应文件，所有供应商均应当准时在线参加。</w:t>
      </w:r>
    </w:p>
    <w:p w14:paraId="4F6D5CE7">
      <w:pPr>
        <w:pStyle w:val="16"/>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b w:val="0"/>
          <w:color w:val="auto"/>
          <w:sz w:val="24"/>
          <w:szCs w:val="24"/>
          <w:highlight w:val="none"/>
        </w:rPr>
      </w:pPr>
      <w:r>
        <w:rPr>
          <w:rFonts w:hint="eastAsia" w:ascii="微软雅黑" w:hAnsi="微软雅黑" w:eastAsia="微软雅黑" w:cs="微软雅黑"/>
          <w:b w:val="0"/>
          <w:color w:val="auto"/>
          <w:sz w:val="24"/>
          <w:szCs w:val="24"/>
          <w:highlight w:val="none"/>
          <w:lang w:eastAsia="zh-CN"/>
        </w:rPr>
        <w:t>（</w:t>
      </w:r>
      <w:r>
        <w:rPr>
          <w:rFonts w:hint="eastAsia" w:ascii="微软雅黑" w:hAnsi="微软雅黑" w:eastAsia="微软雅黑" w:cs="微软雅黑"/>
          <w:b w:val="0"/>
          <w:color w:val="auto"/>
          <w:sz w:val="24"/>
          <w:szCs w:val="24"/>
          <w:highlight w:val="none"/>
          <w:lang w:val="en-US" w:eastAsia="zh-CN"/>
        </w:rPr>
        <w:t>4</w:t>
      </w:r>
      <w:r>
        <w:rPr>
          <w:rFonts w:hint="eastAsia" w:ascii="微软雅黑" w:hAnsi="微软雅黑" w:eastAsia="微软雅黑" w:cs="微软雅黑"/>
          <w:b w:val="0"/>
          <w:color w:val="auto"/>
          <w:sz w:val="24"/>
          <w:szCs w:val="24"/>
          <w:highlight w:val="none"/>
          <w:lang w:eastAsia="zh-CN"/>
        </w:rPr>
        <w:t>）</w:t>
      </w:r>
      <w:r>
        <w:rPr>
          <w:rFonts w:hint="eastAsia" w:ascii="微软雅黑" w:hAnsi="微软雅黑" w:eastAsia="微软雅黑" w:cs="微软雅黑"/>
          <w:b w:val="0"/>
          <w:color w:val="auto"/>
          <w:sz w:val="24"/>
          <w:szCs w:val="24"/>
          <w:highlight w:val="none"/>
        </w:rPr>
        <w:t>供应商对开标过程和开标记录有疑义，以及认为采购人、采购代理机构相关工作人员有需要回避的情形的，应当场提出询问或回避申请。供应商未参加开标的视同认可开标结果，事后不得对采购相关人员、开标过程和开标结果提出异议，同时</w:t>
      </w:r>
      <w:r>
        <w:rPr>
          <w:rFonts w:hint="eastAsia" w:ascii="微软雅黑" w:hAnsi="微软雅黑" w:eastAsia="微软雅黑" w:cs="微软雅黑"/>
          <w:b w:val="0"/>
          <w:color w:val="auto"/>
          <w:sz w:val="24"/>
          <w:szCs w:val="24"/>
          <w:highlight w:val="none"/>
          <w:lang w:eastAsia="zh-CN"/>
        </w:rPr>
        <w:t>供应商</w:t>
      </w:r>
      <w:r>
        <w:rPr>
          <w:rFonts w:hint="eastAsia" w:ascii="微软雅黑" w:hAnsi="微软雅黑" w:eastAsia="微软雅黑" w:cs="微软雅黑"/>
          <w:b w:val="0"/>
          <w:color w:val="auto"/>
          <w:sz w:val="24"/>
          <w:szCs w:val="24"/>
          <w:highlight w:val="none"/>
        </w:rPr>
        <w:t>因未在线参加开标而导致</w:t>
      </w:r>
      <w:r>
        <w:rPr>
          <w:rFonts w:hint="eastAsia" w:ascii="微软雅黑" w:hAnsi="微软雅黑" w:eastAsia="微软雅黑" w:cs="微软雅黑"/>
          <w:b w:val="0"/>
          <w:color w:val="auto"/>
          <w:sz w:val="24"/>
          <w:szCs w:val="24"/>
          <w:highlight w:val="none"/>
          <w:lang w:eastAsia="zh-CN"/>
        </w:rPr>
        <w:t>响应文件</w:t>
      </w:r>
      <w:r>
        <w:rPr>
          <w:rFonts w:hint="eastAsia" w:ascii="微软雅黑" w:hAnsi="微软雅黑" w:eastAsia="微软雅黑" w:cs="微软雅黑"/>
          <w:b w:val="0"/>
          <w:color w:val="auto"/>
          <w:sz w:val="24"/>
          <w:szCs w:val="24"/>
          <w:highlight w:val="none"/>
        </w:rPr>
        <w:t>无法按时解密等一切后果由供应商自行承担。</w:t>
      </w:r>
    </w:p>
    <w:p w14:paraId="6F475456">
      <w:pPr>
        <w:keepNext w:val="0"/>
        <w:keepLines w:val="0"/>
        <w:pageBreakBefore w:val="0"/>
        <w:shd w:val="clear" w:color="auto" w:fill="auto"/>
        <w:kinsoku/>
        <w:wordWrap/>
        <w:overflowPunct/>
        <w:topLinePunct w:val="0"/>
        <w:bidi w:val="0"/>
        <w:snapToGrid w:val="0"/>
        <w:spacing w:line="480" w:lineRule="exact"/>
        <w:ind w:firstLine="480" w:firstLineChars="200"/>
        <w:outlineLvl w:val="9"/>
        <w:rPr>
          <w:rFonts w:hint="eastAsia" w:ascii="微软雅黑" w:hAnsi="微软雅黑" w:eastAsia="微软雅黑" w:cs="微软雅黑"/>
          <w:b/>
          <w:color w:val="auto"/>
          <w:sz w:val="24"/>
          <w:szCs w:val="24"/>
          <w:highlight w:val="none"/>
        </w:rPr>
      </w:pPr>
      <w:bookmarkStart w:id="695" w:name="_Toc32193"/>
      <w:bookmarkStart w:id="696" w:name="_Toc21384"/>
      <w:bookmarkStart w:id="697" w:name="_Toc27602"/>
      <w:bookmarkStart w:id="698" w:name="_Toc22653"/>
      <w:bookmarkStart w:id="699" w:name="_Toc19065"/>
      <w:bookmarkStart w:id="700" w:name="_Toc32017"/>
      <w:bookmarkStart w:id="701" w:name="_Toc73975823"/>
      <w:r>
        <w:rPr>
          <w:rFonts w:hint="eastAsia" w:ascii="微软雅黑" w:hAnsi="微软雅黑" w:eastAsia="微软雅黑" w:cs="微软雅黑"/>
          <w:b/>
          <w:color w:val="auto"/>
          <w:sz w:val="24"/>
          <w:szCs w:val="24"/>
          <w:highlight w:val="none"/>
          <w:lang w:val="en-US" w:eastAsia="zh-CN"/>
        </w:rPr>
        <w:t>2.2</w:t>
      </w:r>
      <w:r>
        <w:rPr>
          <w:rFonts w:hint="eastAsia" w:ascii="微软雅黑" w:hAnsi="微软雅黑" w:eastAsia="微软雅黑" w:cs="微软雅黑"/>
          <w:b/>
          <w:bCs/>
          <w:color w:val="auto"/>
          <w:sz w:val="24"/>
          <w:szCs w:val="24"/>
          <w:highlight w:val="none"/>
        </w:rPr>
        <w:t>开标程序（</w:t>
      </w:r>
      <w:r>
        <w:rPr>
          <w:rFonts w:hint="eastAsia" w:ascii="微软雅黑" w:hAnsi="微软雅黑" w:eastAsia="微软雅黑" w:cs="微软雅黑"/>
          <w:b/>
          <w:bCs/>
          <w:color w:val="auto"/>
          <w:sz w:val="24"/>
          <w:szCs w:val="24"/>
          <w:highlight w:val="none"/>
          <w:lang w:val="en-US" w:eastAsia="zh-CN"/>
        </w:rPr>
        <w:t>先资格性</w:t>
      </w:r>
      <w:r>
        <w:rPr>
          <w:rFonts w:hint="eastAsia" w:ascii="微软雅黑" w:hAnsi="微软雅黑" w:eastAsia="微软雅黑" w:cs="微软雅黑"/>
          <w:b/>
          <w:bCs/>
          <w:color w:val="auto"/>
          <w:sz w:val="24"/>
          <w:szCs w:val="24"/>
          <w:highlight w:val="none"/>
        </w:rPr>
        <w:t>、</w:t>
      </w:r>
      <w:r>
        <w:rPr>
          <w:rFonts w:hint="eastAsia" w:ascii="微软雅黑" w:hAnsi="微软雅黑" w:eastAsia="微软雅黑" w:cs="微软雅黑"/>
          <w:b/>
          <w:bCs/>
          <w:color w:val="auto"/>
          <w:sz w:val="24"/>
          <w:szCs w:val="24"/>
          <w:highlight w:val="none"/>
          <w:lang w:val="en-US" w:eastAsia="zh-CN"/>
        </w:rPr>
        <w:t>后符合性、最终报价、再商务</w:t>
      </w:r>
      <w:r>
        <w:rPr>
          <w:rFonts w:hint="eastAsia" w:ascii="微软雅黑" w:hAnsi="微软雅黑" w:eastAsia="微软雅黑" w:cs="微软雅黑"/>
          <w:b/>
          <w:bCs/>
          <w:color w:val="auto"/>
          <w:sz w:val="24"/>
          <w:szCs w:val="24"/>
          <w:highlight w:val="none"/>
        </w:rPr>
        <w:t>技术）</w:t>
      </w:r>
      <w:bookmarkEnd w:id="695"/>
      <w:bookmarkEnd w:id="696"/>
      <w:bookmarkEnd w:id="697"/>
      <w:bookmarkEnd w:id="698"/>
      <w:bookmarkEnd w:id="699"/>
      <w:bookmarkEnd w:id="700"/>
      <w:bookmarkEnd w:id="701"/>
    </w:p>
    <w:p w14:paraId="4BE25CF0">
      <w:pPr>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lang w:val="en-US" w:eastAsia="zh-CN"/>
        </w:rPr>
        <w:t>1</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rPr>
        <w:t>开标时间到后，主持人宣布开标会议开始。</w:t>
      </w:r>
    </w:p>
    <w:p w14:paraId="2B376EF6">
      <w:pPr>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lang w:val="en-US" w:eastAsia="zh-CN"/>
        </w:rPr>
        <w:t>2</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kern w:val="0"/>
          <w:sz w:val="24"/>
          <w:szCs w:val="24"/>
          <w:highlight w:val="none"/>
          <w:lang w:eastAsia="zh-CN"/>
        </w:rPr>
        <w:t>响应文件</w:t>
      </w:r>
      <w:r>
        <w:rPr>
          <w:rFonts w:hint="eastAsia" w:ascii="微软雅黑" w:hAnsi="微软雅黑" w:eastAsia="微软雅黑" w:cs="微软雅黑"/>
          <w:color w:val="auto"/>
          <w:kern w:val="0"/>
          <w:sz w:val="24"/>
          <w:szCs w:val="24"/>
          <w:highlight w:val="none"/>
        </w:rPr>
        <w:t>解密（</w:t>
      </w:r>
      <w:r>
        <w:rPr>
          <w:rFonts w:hint="eastAsia" w:ascii="微软雅黑" w:hAnsi="微软雅黑" w:eastAsia="微软雅黑" w:cs="微软雅黑"/>
          <w:b/>
          <w:color w:val="auto"/>
          <w:kern w:val="0"/>
          <w:sz w:val="24"/>
          <w:szCs w:val="24"/>
          <w:highlight w:val="none"/>
        </w:rPr>
        <w:t>解密规定见《供应商须知前附表》</w:t>
      </w:r>
      <w:r>
        <w:rPr>
          <w:rFonts w:hint="eastAsia" w:ascii="微软雅黑" w:hAnsi="微软雅黑" w:eastAsia="微软雅黑" w:cs="微软雅黑"/>
          <w:color w:val="auto"/>
          <w:kern w:val="0"/>
          <w:sz w:val="24"/>
          <w:szCs w:val="24"/>
          <w:highlight w:val="none"/>
        </w:rPr>
        <w:t>）</w:t>
      </w:r>
      <w:r>
        <w:rPr>
          <w:rFonts w:hint="eastAsia" w:ascii="微软雅黑" w:hAnsi="微软雅黑" w:eastAsia="微软雅黑" w:cs="微软雅黑"/>
          <w:color w:val="auto"/>
          <w:sz w:val="24"/>
          <w:szCs w:val="24"/>
          <w:highlight w:val="none"/>
        </w:rPr>
        <w:t>。</w:t>
      </w:r>
    </w:p>
    <w:p w14:paraId="4090AF71">
      <w:pPr>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lang w:val="en-US" w:eastAsia="zh-CN"/>
        </w:rPr>
        <w:t>3</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kern w:val="0"/>
          <w:sz w:val="24"/>
          <w:szCs w:val="24"/>
          <w:highlight w:val="none"/>
          <w:lang w:eastAsia="zh-CN"/>
        </w:rPr>
        <w:t>响应文件</w:t>
      </w:r>
      <w:r>
        <w:rPr>
          <w:rFonts w:hint="eastAsia" w:ascii="微软雅黑" w:hAnsi="微软雅黑" w:eastAsia="微软雅黑" w:cs="微软雅黑"/>
          <w:color w:val="auto"/>
          <w:kern w:val="0"/>
          <w:sz w:val="24"/>
          <w:szCs w:val="24"/>
          <w:highlight w:val="none"/>
        </w:rPr>
        <w:t>解密异常情况处理（</w:t>
      </w:r>
      <w:r>
        <w:rPr>
          <w:rFonts w:hint="eastAsia" w:ascii="微软雅黑" w:hAnsi="微软雅黑" w:eastAsia="微软雅黑" w:cs="微软雅黑"/>
          <w:b/>
          <w:color w:val="auto"/>
          <w:kern w:val="0"/>
          <w:sz w:val="24"/>
          <w:szCs w:val="24"/>
          <w:highlight w:val="none"/>
        </w:rPr>
        <w:t>处理办法见《供应商须知前附表》</w:t>
      </w:r>
      <w:r>
        <w:rPr>
          <w:rFonts w:hint="eastAsia" w:ascii="微软雅黑" w:hAnsi="微软雅黑" w:eastAsia="微软雅黑" w:cs="微软雅黑"/>
          <w:color w:val="auto"/>
          <w:kern w:val="0"/>
          <w:sz w:val="24"/>
          <w:szCs w:val="24"/>
          <w:highlight w:val="none"/>
        </w:rPr>
        <w:t>）</w:t>
      </w:r>
      <w:r>
        <w:rPr>
          <w:rFonts w:hint="eastAsia" w:ascii="微软雅黑" w:hAnsi="微软雅黑" w:eastAsia="微软雅黑" w:cs="微软雅黑"/>
          <w:color w:val="auto"/>
          <w:sz w:val="24"/>
          <w:szCs w:val="24"/>
          <w:highlight w:val="none"/>
        </w:rPr>
        <w:t>。</w:t>
      </w:r>
    </w:p>
    <w:p w14:paraId="7FF92C35">
      <w:pPr>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lang w:eastAsia="zh-CN"/>
        </w:rPr>
        <w:t>（</w:t>
      </w:r>
      <w:r>
        <w:rPr>
          <w:rFonts w:hint="eastAsia" w:ascii="微软雅黑" w:hAnsi="微软雅黑" w:eastAsia="微软雅黑" w:cs="微软雅黑"/>
          <w:color w:val="auto"/>
          <w:kern w:val="0"/>
          <w:sz w:val="24"/>
          <w:szCs w:val="24"/>
          <w:highlight w:val="none"/>
          <w:lang w:val="en-US" w:eastAsia="zh-CN"/>
        </w:rPr>
        <w:t>4</w:t>
      </w:r>
      <w:r>
        <w:rPr>
          <w:rFonts w:hint="eastAsia" w:ascii="微软雅黑" w:hAnsi="微软雅黑" w:eastAsia="微软雅黑" w:cs="微软雅黑"/>
          <w:color w:val="auto"/>
          <w:kern w:val="0"/>
          <w:sz w:val="24"/>
          <w:szCs w:val="24"/>
          <w:highlight w:val="none"/>
          <w:lang w:eastAsia="zh-CN"/>
        </w:rPr>
        <w:t>）</w:t>
      </w:r>
      <w:r>
        <w:rPr>
          <w:rFonts w:hint="eastAsia" w:ascii="微软雅黑" w:hAnsi="微软雅黑" w:eastAsia="微软雅黑" w:cs="微软雅黑"/>
          <w:color w:val="auto"/>
          <w:kern w:val="0"/>
          <w:sz w:val="24"/>
          <w:szCs w:val="24"/>
          <w:highlight w:val="none"/>
        </w:rPr>
        <w:t>公布</w:t>
      </w:r>
      <w:r>
        <w:rPr>
          <w:rFonts w:hint="eastAsia" w:ascii="微软雅黑" w:hAnsi="微软雅黑" w:eastAsia="微软雅黑" w:cs="微软雅黑"/>
          <w:color w:val="auto"/>
          <w:kern w:val="0"/>
          <w:sz w:val="24"/>
          <w:szCs w:val="24"/>
          <w:highlight w:val="none"/>
          <w:lang w:eastAsia="zh-CN"/>
        </w:rPr>
        <w:t>响应文件</w:t>
      </w:r>
      <w:r>
        <w:rPr>
          <w:rFonts w:hint="eastAsia" w:ascii="微软雅黑" w:hAnsi="微软雅黑" w:eastAsia="微软雅黑" w:cs="微软雅黑"/>
          <w:color w:val="auto"/>
          <w:kern w:val="0"/>
          <w:sz w:val="24"/>
          <w:szCs w:val="24"/>
          <w:highlight w:val="none"/>
        </w:rPr>
        <w:t>解密情况（</w:t>
      </w:r>
      <w:r>
        <w:rPr>
          <w:rFonts w:hint="eastAsia" w:ascii="微软雅黑" w:hAnsi="微软雅黑" w:eastAsia="微软雅黑" w:cs="微软雅黑"/>
          <w:color w:val="auto"/>
          <w:kern w:val="0"/>
          <w:sz w:val="24"/>
          <w:szCs w:val="24"/>
          <w:highlight w:val="none"/>
          <w:lang w:eastAsia="zh-CN"/>
        </w:rPr>
        <w:t>响应文件</w:t>
      </w:r>
      <w:r>
        <w:rPr>
          <w:rFonts w:hint="eastAsia" w:ascii="微软雅黑" w:hAnsi="微软雅黑" w:eastAsia="微软雅黑" w:cs="微软雅黑"/>
          <w:color w:val="auto"/>
          <w:kern w:val="0"/>
          <w:sz w:val="24"/>
          <w:szCs w:val="24"/>
          <w:highlight w:val="none"/>
        </w:rPr>
        <w:t>成功解密的供应商名单等信息）。</w:t>
      </w:r>
    </w:p>
    <w:p w14:paraId="3062820A">
      <w:pPr>
        <w:keepNext w:val="0"/>
        <w:keepLines w:val="0"/>
        <w:pageBreakBefore w:val="0"/>
        <w:shd w:val="clear" w:color="auto" w:fill="auto"/>
        <w:kinsoku/>
        <w:wordWrap/>
        <w:overflowPunct/>
        <w:topLinePunct w:val="0"/>
        <w:bidi w:val="0"/>
        <w:snapToGrid w:val="0"/>
        <w:spacing w:line="48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kern w:val="0"/>
          <w:sz w:val="24"/>
          <w:szCs w:val="24"/>
          <w:highlight w:val="none"/>
          <w:lang w:eastAsia="zh-CN"/>
        </w:rPr>
        <w:t>（</w:t>
      </w:r>
      <w:r>
        <w:rPr>
          <w:rFonts w:hint="eastAsia" w:ascii="微软雅黑" w:hAnsi="微软雅黑" w:eastAsia="微软雅黑" w:cs="微软雅黑"/>
          <w:color w:val="auto"/>
          <w:kern w:val="0"/>
          <w:sz w:val="24"/>
          <w:szCs w:val="24"/>
          <w:highlight w:val="none"/>
          <w:lang w:val="en-US" w:eastAsia="zh-CN"/>
        </w:rPr>
        <w:t>5</w:t>
      </w:r>
      <w:r>
        <w:rPr>
          <w:rFonts w:hint="eastAsia" w:ascii="微软雅黑" w:hAnsi="微软雅黑" w:eastAsia="微软雅黑" w:cs="微软雅黑"/>
          <w:color w:val="auto"/>
          <w:kern w:val="0"/>
          <w:sz w:val="24"/>
          <w:szCs w:val="24"/>
          <w:highlight w:val="none"/>
          <w:lang w:eastAsia="zh-CN"/>
        </w:rPr>
        <w:t>）</w:t>
      </w:r>
      <w:r>
        <w:rPr>
          <w:rFonts w:hint="eastAsia" w:ascii="微软雅黑" w:hAnsi="微软雅黑" w:eastAsia="微软雅黑" w:cs="微软雅黑"/>
          <w:color w:val="auto"/>
          <w:kern w:val="0"/>
          <w:sz w:val="24"/>
          <w:szCs w:val="24"/>
          <w:highlight w:val="none"/>
        </w:rPr>
        <w:t>开启标书信息（资格</w:t>
      </w:r>
      <w:r>
        <w:rPr>
          <w:rFonts w:hint="eastAsia" w:ascii="微软雅黑" w:hAnsi="微软雅黑" w:eastAsia="微软雅黑" w:cs="微软雅黑"/>
          <w:color w:val="auto"/>
          <w:kern w:val="0"/>
          <w:sz w:val="24"/>
          <w:szCs w:val="24"/>
          <w:highlight w:val="none"/>
          <w:lang w:eastAsia="zh-CN"/>
        </w:rPr>
        <w:t>证明</w:t>
      </w:r>
      <w:r>
        <w:rPr>
          <w:rFonts w:hint="eastAsia" w:ascii="微软雅黑" w:hAnsi="微软雅黑" w:eastAsia="微软雅黑" w:cs="微软雅黑"/>
          <w:color w:val="auto"/>
          <w:kern w:val="0"/>
          <w:sz w:val="24"/>
          <w:szCs w:val="24"/>
          <w:highlight w:val="none"/>
        </w:rPr>
        <w:t>文件、商务技术文件）。标书信息开启后，首先由采购人或采购代理机构依法对供应商的资格</w:t>
      </w:r>
      <w:r>
        <w:rPr>
          <w:rFonts w:hint="eastAsia" w:ascii="微软雅黑" w:hAnsi="微软雅黑" w:eastAsia="微软雅黑" w:cs="微软雅黑"/>
          <w:color w:val="auto"/>
          <w:kern w:val="0"/>
          <w:sz w:val="24"/>
          <w:szCs w:val="24"/>
          <w:highlight w:val="none"/>
          <w:lang w:eastAsia="zh-CN"/>
        </w:rPr>
        <w:t>证明</w:t>
      </w:r>
      <w:r>
        <w:rPr>
          <w:rFonts w:hint="eastAsia" w:ascii="微软雅黑" w:hAnsi="微软雅黑" w:eastAsia="微软雅黑" w:cs="微软雅黑"/>
          <w:color w:val="auto"/>
          <w:kern w:val="0"/>
          <w:sz w:val="24"/>
          <w:szCs w:val="24"/>
          <w:highlight w:val="none"/>
        </w:rPr>
        <w:t>文件进行审查， 审查结束公布供应商的资格符合情况。资格审查未获通过的供应商，其</w:t>
      </w:r>
      <w:r>
        <w:rPr>
          <w:rFonts w:hint="eastAsia" w:ascii="微软雅黑" w:hAnsi="微软雅黑" w:eastAsia="微软雅黑" w:cs="微软雅黑"/>
          <w:color w:val="auto"/>
          <w:kern w:val="0"/>
          <w:sz w:val="24"/>
          <w:szCs w:val="24"/>
          <w:highlight w:val="none"/>
          <w:lang w:eastAsia="zh-CN"/>
        </w:rPr>
        <w:t>符合性</w:t>
      </w:r>
      <w:r>
        <w:rPr>
          <w:rFonts w:hint="eastAsia" w:ascii="微软雅黑" w:hAnsi="微软雅黑" w:eastAsia="微软雅黑" w:cs="微软雅黑"/>
          <w:color w:val="auto"/>
          <w:kern w:val="0"/>
          <w:sz w:val="24"/>
          <w:szCs w:val="24"/>
          <w:highlight w:val="none"/>
        </w:rPr>
        <w:t>不再进入评审。</w:t>
      </w:r>
    </w:p>
    <w:p w14:paraId="5D32C253">
      <w:pPr>
        <w:keepNext w:val="0"/>
        <w:keepLines w:val="0"/>
        <w:pageBreakBefore w:val="0"/>
        <w:shd w:val="clear" w:color="auto" w:fill="auto"/>
        <w:kinsoku/>
        <w:wordWrap/>
        <w:overflowPunct/>
        <w:topLinePunct w:val="0"/>
        <w:bidi w:val="0"/>
        <w:snapToGrid w:val="0"/>
        <w:spacing w:line="480" w:lineRule="exact"/>
        <w:ind w:firstLine="480" w:firstLineChars="200"/>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lang w:eastAsia="zh-CN"/>
        </w:rPr>
        <w:t>（</w:t>
      </w:r>
      <w:r>
        <w:rPr>
          <w:rFonts w:hint="eastAsia" w:ascii="微软雅黑" w:hAnsi="微软雅黑" w:eastAsia="微软雅黑" w:cs="微软雅黑"/>
          <w:color w:val="auto"/>
          <w:kern w:val="0"/>
          <w:sz w:val="24"/>
          <w:szCs w:val="24"/>
          <w:highlight w:val="none"/>
          <w:lang w:val="en-US" w:eastAsia="zh-CN"/>
        </w:rPr>
        <w:t>6</w:t>
      </w:r>
      <w:r>
        <w:rPr>
          <w:rFonts w:hint="eastAsia" w:ascii="微软雅黑" w:hAnsi="微软雅黑" w:eastAsia="微软雅黑" w:cs="微软雅黑"/>
          <w:color w:val="auto"/>
          <w:kern w:val="0"/>
          <w:sz w:val="24"/>
          <w:szCs w:val="24"/>
          <w:highlight w:val="none"/>
          <w:lang w:eastAsia="zh-CN"/>
        </w:rPr>
        <w:t>）</w:t>
      </w:r>
      <w:r>
        <w:rPr>
          <w:rFonts w:hint="eastAsia" w:ascii="微软雅黑" w:hAnsi="微软雅黑" w:eastAsia="微软雅黑" w:cs="微软雅黑"/>
          <w:color w:val="auto"/>
          <w:kern w:val="0"/>
          <w:sz w:val="24"/>
          <w:szCs w:val="24"/>
          <w:highlight w:val="none"/>
          <w:lang w:val="en-US" w:eastAsia="zh-CN"/>
        </w:rPr>
        <w:t>通过资格性审查的供应商，</w:t>
      </w:r>
      <w:r>
        <w:rPr>
          <w:rFonts w:hint="eastAsia" w:ascii="微软雅黑" w:hAnsi="微软雅黑" w:eastAsia="微软雅黑" w:cs="微软雅黑"/>
          <w:color w:val="auto"/>
          <w:kern w:val="0"/>
          <w:sz w:val="24"/>
          <w:szCs w:val="24"/>
          <w:highlight w:val="none"/>
          <w:lang w:eastAsia="zh-CN"/>
        </w:rPr>
        <w:t>评审小组</w:t>
      </w:r>
      <w:r>
        <w:rPr>
          <w:rFonts w:hint="eastAsia" w:ascii="微软雅黑" w:hAnsi="微软雅黑" w:eastAsia="微软雅黑" w:cs="微软雅黑"/>
          <w:color w:val="auto"/>
          <w:kern w:val="0"/>
          <w:sz w:val="24"/>
          <w:szCs w:val="24"/>
          <w:highlight w:val="none"/>
        </w:rPr>
        <w:t>依法对供应商的</w:t>
      </w:r>
      <w:r>
        <w:rPr>
          <w:rFonts w:hint="eastAsia" w:ascii="微软雅黑" w:hAnsi="微软雅黑" w:eastAsia="微软雅黑" w:cs="微软雅黑"/>
          <w:color w:val="auto"/>
          <w:kern w:val="0"/>
          <w:sz w:val="24"/>
          <w:szCs w:val="24"/>
          <w:highlight w:val="none"/>
          <w:lang w:eastAsia="zh-CN"/>
        </w:rPr>
        <w:t>符合性证明</w:t>
      </w:r>
      <w:r>
        <w:rPr>
          <w:rFonts w:hint="eastAsia" w:ascii="微软雅黑" w:hAnsi="微软雅黑" w:eastAsia="微软雅黑" w:cs="微软雅黑"/>
          <w:color w:val="auto"/>
          <w:kern w:val="0"/>
          <w:sz w:val="24"/>
          <w:szCs w:val="24"/>
          <w:highlight w:val="none"/>
        </w:rPr>
        <w:t>文件进行审查， 审查结束公布</w:t>
      </w:r>
      <w:r>
        <w:rPr>
          <w:rFonts w:hint="eastAsia" w:ascii="微软雅黑" w:hAnsi="微软雅黑" w:eastAsia="微软雅黑" w:cs="微软雅黑"/>
          <w:color w:val="auto"/>
          <w:kern w:val="0"/>
          <w:sz w:val="24"/>
          <w:szCs w:val="24"/>
          <w:highlight w:val="none"/>
          <w:lang w:eastAsia="zh-CN"/>
        </w:rPr>
        <w:t>供应商</w:t>
      </w:r>
      <w:r>
        <w:rPr>
          <w:rFonts w:hint="eastAsia" w:ascii="微软雅黑" w:hAnsi="微软雅黑" w:eastAsia="微软雅黑" w:cs="微软雅黑"/>
          <w:color w:val="auto"/>
          <w:kern w:val="0"/>
          <w:sz w:val="24"/>
          <w:szCs w:val="24"/>
          <w:highlight w:val="none"/>
        </w:rPr>
        <w:t>的</w:t>
      </w:r>
      <w:r>
        <w:rPr>
          <w:rFonts w:hint="eastAsia" w:ascii="微软雅黑" w:hAnsi="微软雅黑" w:eastAsia="微软雅黑" w:cs="微软雅黑"/>
          <w:color w:val="auto"/>
          <w:kern w:val="0"/>
          <w:sz w:val="24"/>
          <w:szCs w:val="24"/>
          <w:highlight w:val="none"/>
          <w:lang w:val="en-US" w:eastAsia="zh-CN"/>
        </w:rPr>
        <w:t>符合性</w:t>
      </w:r>
      <w:r>
        <w:rPr>
          <w:rFonts w:hint="eastAsia" w:ascii="微软雅黑" w:hAnsi="微软雅黑" w:eastAsia="微软雅黑" w:cs="微软雅黑"/>
          <w:color w:val="auto"/>
          <w:kern w:val="0"/>
          <w:sz w:val="24"/>
          <w:szCs w:val="24"/>
          <w:highlight w:val="none"/>
        </w:rPr>
        <w:t>审查情况。</w:t>
      </w:r>
      <w:r>
        <w:rPr>
          <w:rFonts w:hint="eastAsia" w:ascii="微软雅黑" w:hAnsi="微软雅黑" w:eastAsia="微软雅黑" w:cs="微软雅黑"/>
          <w:color w:val="auto"/>
          <w:kern w:val="0"/>
          <w:sz w:val="24"/>
          <w:szCs w:val="24"/>
          <w:highlight w:val="none"/>
          <w:lang w:val="en-US" w:eastAsia="zh-CN"/>
        </w:rPr>
        <w:t>符合性</w:t>
      </w:r>
      <w:r>
        <w:rPr>
          <w:rFonts w:hint="eastAsia" w:ascii="微软雅黑" w:hAnsi="微软雅黑" w:eastAsia="微软雅黑" w:cs="微软雅黑"/>
          <w:color w:val="auto"/>
          <w:kern w:val="0"/>
          <w:sz w:val="24"/>
          <w:szCs w:val="24"/>
          <w:highlight w:val="none"/>
        </w:rPr>
        <w:t>审查未获通过的供应商，其</w:t>
      </w:r>
      <w:r>
        <w:rPr>
          <w:rFonts w:hint="eastAsia" w:ascii="微软雅黑" w:hAnsi="微软雅黑" w:eastAsia="微软雅黑" w:cs="微软雅黑"/>
          <w:color w:val="auto"/>
          <w:kern w:val="0"/>
          <w:sz w:val="24"/>
          <w:szCs w:val="24"/>
          <w:highlight w:val="none"/>
          <w:lang w:eastAsia="zh-CN"/>
        </w:rPr>
        <w:t>不再进入磋商环节</w:t>
      </w:r>
      <w:r>
        <w:rPr>
          <w:rFonts w:hint="eastAsia" w:ascii="微软雅黑" w:hAnsi="微软雅黑" w:eastAsia="微软雅黑" w:cs="微软雅黑"/>
          <w:color w:val="auto"/>
          <w:kern w:val="0"/>
          <w:sz w:val="24"/>
          <w:szCs w:val="24"/>
          <w:highlight w:val="none"/>
        </w:rPr>
        <w:t>。</w:t>
      </w:r>
    </w:p>
    <w:p w14:paraId="28835447">
      <w:pPr>
        <w:keepNext w:val="0"/>
        <w:keepLines w:val="0"/>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（7）通过符合性审查的供应商，评审小组所有成员集中于单一供应商分别进行磋商；</w:t>
      </w:r>
      <w:r>
        <w:rPr>
          <w:rFonts w:hint="eastAsia" w:ascii="微软雅黑" w:hAnsi="微软雅黑" w:eastAsia="微软雅黑" w:cs="微软雅黑"/>
          <w:color w:val="auto"/>
          <w:sz w:val="24"/>
          <w:szCs w:val="24"/>
          <w:lang w:val="en-US" w:eastAsia="zh-CN"/>
        </w:rPr>
        <w:t>并给予所有参加磋商的供应商平等的磋商机会。在磋商中，磋商的任何一方不得透露与磋商有关的其他供应商的技术资料、价格和其他信息。磋商文件有实质性变动的，磋商小组应当以书面</w:t>
      </w:r>
      <w:r>
        <w:rPr>
          <w:rFonts w:hint="eastAsia" w:ascii="微软雅黑" w:hAnsi="微软雅黑" w:eastAsia="微软雅黑" w:cs="微软雅黑"/>
          <w:color w:val="auto"/>
          <w:kern w:val="0"/>
          <w:sz w:val="24"/>
          <w:szCs w:val="24"/>
          <w:highlight w:val="none"/>
          <w:lang w:val="en-US" w:eastAsia="zh-CN"/>
        </w:rPr>
        <w:t>形式通知所有参加磋商的供应商。</w:t>
      </w:r>
    </w:p>
    <w:p w14:paraId="491B22A2">
      <w:pPr>
        <w:keepNext w:val="0"/>
        <w:keepLines w:val="0"/>
        <w:pageBreakBefore w:val="0"/>
        <w:shd w:val="clear" w:color="auto" w:fill="auto"/>
        <w:kinsoku/>
        <w:wordWrap/>
        <w:overflowPunct/>
        <w:topLinePunct w:val="0"/>
        <w:bidi w:val="0"/>
        <w:snapToGrid w:val="0"/>
        <w:spacing w:line="480" w:lineRule="exact"/>
        <w:ind w:firstLine="480" w:firstLineChars="200"/>
        <w:jc w:val="left"/>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（8）磋商结束后，磋商小组应当要求所有实质性响应的供应商在规定时间内提交最终报价，</w:t>
      </w:r>
      <w:r>
        <w:rPr>
          <w:rFonts w:hint="eastAsia" w:ascii="微软雅黑" w:hAnsi="微软雅黑" w:eastAsia="微软雅黑" w:cs="微软雅黑"/>
          <w:color w:val="auto"/>
          <w:sz w:val="24"/>
          <w:szCs w:val="24"/>
          <w:highlight w:val="none"/>
          <w:lang w:bidi="zh-CN"/>
        </w:rPr>
        <w:t>供应商对</w:t>
      </w:r>
      <w:r>
        <w:rPr>
          <w:rFonts w:hint="eastAsia" w:ascii="微软雅黑" w:hAnsi="微软雅黑" w:eastAsia="微软雅黑" w:cs="微软雅黑"/>
          <w:color w:val="auto"/>
          <w:sz w:val="24"/>
          <w:szCs w:val="24"/>
          <w:highlight w:val="none"/>
          <w:lang w:val="en-US" w:bidi="zh-CN"/>
        </w:rPr>
        <w:t>最终报价</w:t>
      </w:r>
      <w:r>
        <w:rPr>
          <w:rFonts w:hint="eastAsia" w:ascii="微软雅黑" w:hAnsi="微软雅黑" w:eastAsia="微软雅黑" w:cs="微软雅黑"/>
          <w:color w:val="auto"/>
          <w:sz w:val="24"/>
          <w:szCs w:val="24"/>
          <w:highlight w:val="none"/>
          <w:lang w:bidi="zh-CN"/>
        </w:rPr>
        <w:t>进行在线签字确认（不予确认的应说明理由，否则视为无异议）</w:t>
      </w:r>
      <w:r>
        <w:rPr>
          <w:rFonts w:hint="eastAsia" w:ascii="微软雅黑" w:hAnsi="微软雅黑" w:eastAsia="微软雅黑" w:cs="微软雅黑"/>
          <w:color w:val="auto"/>
          <w:kern w:val="0"/>
          <w:sz w:val="24"/>
          <w:szCs w:val="24"/>
          <w:highlight w:val="none"/>
        </w:rPr>
        <w:t>。开标结束后，由评标委员会对报价的合理性、准确性等进行审查核实</w:t>
      </w:r>
      <w:r>
        <w:rPr>
          <w:rFonts w:hint="eastAsia" w:ascii="微软雅黑" w:hAnsi="微软雅黑" w:eastAsia="微软雅黑" w:cs="微软雅黑"/>
          <w:color w:val="auto"/>
          <w:sz w:val="24"/>
          <w:szCs w:val="24"/>
          <w:highlight w:val="none"/>
        </w:rPr>
        <w:t>。</w:t>
      </w:r>
    </w:p>
    <w:p w14:paraId="39ED0119">
      <w:pPr>
        <w:keepNext w:val="0"/>
        <w:keepLines w:val="0"/>
        <w:pageBreakBefore w:val="0"/>
        <w:shd w:val="clear" w:color="auto" w:fill="auto"/>
        <w:kinsoku/>
        <w:wordWrap/>
        <w:overflowPunct/>
        <w:topLinePunct w:val="0"/>
        <w:bidi w:val="0"/>
        <w:snapToGrid w:val="0"/>
        <w:spacing w:line="480" w:lineRule="exact"/>
        <w:ind w:firstLine="480" w:firstLineChars="200"/>
        <w:jc w:val="left"/>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kern w:val="0"/>
          <w:sz w:val="24"/>
          <w:szCs w:val="24"/>
          <w:highlight w:val="none"/>
          <w:lang w:val="en-US" w:eastAsia="zh-CN"/>
        </w:rPr>
        <w:t>（9）最终报价结束后，</w:t>
      </w:r>
      <w:r>
        <w:rPr>
          <w:rFonts w:hint="eastAsia" w:ascii="微软雅黑" w:hAnsi="微软雅黑" w:eastAsia="微软雅黑" w:cs="微软雅黑"/>
          <w:color w:val="auto"/>
          <w:kern w:val="0"/>
          <w:sz w:val="24"/>
          <w:szCs w:val="24"/>
          <w:highlight w:val="none"/>
          <w:lang w:eastAsia="zh-CN"/>
        </w:rPr>
        <w:t>评审小组</w:t>
      </w:r>
      <w:r>
        <w:rPr>
          <w:rFonts w:hint="eastAsia" w:ascii="微软雅黑" w:hAnsi="微软雅黑" w:eastAsia="微软雅黑" w:cs="微软雅黑"/>
          <w:color w:val="auto"/>
          <w:kern w:val="0"/>
          <w:sz w:val="24"/>
          <w:szCs w:val="24"/>
          <w:highlight w:val="none"/>
        </w:rPr>
        <w:t>依法对</w:t>
      </w:r>
      <w:r>
        <w:rPr>
          <w:rFonts w:hint="eastAsia" w:ascii="微软雅黑" w:hAnsi="微软雅黑" w:eastAsia="微软雅黑" w:cs="微软雅黑"/>
          <w:color w:val="auto"/>
          <w:kern w:val="0"/>
          <w:sz w:val="24"/>
          <w:szCs w:val="24"/>
          <w:highlight w:val="none"/>
          <w:lang w:eastAsia="zh-CN"/>
        </w:rPr>
        <w:t>供应商</w:t>
      </w:r>
      <w:r>
        <w:rPr>
          <w:rFonts w:hint="eastAsia" w:ascii="微软雅黑" w:hAnsi="微软雅黑" w:eastAsia="微软雅黑" w:cs="微软雅黑"/>
          <w:color w:val="auto"/>
          <w:kern w:val="0"/>
          <w:sz w:val="24"/>
          <w:szCs w:val="24"/>
          <w:highlight w:val="none"/>
        </w:rPr>
        <w:t>的</w:t>
      </w:r>
      <w:r>
        <w:rPr>
          <w:rFonts w:hint="eastAsia" w:ascii="微软雅黑" w:hAnsi="微软雅黑" w:eastAsia="微软雅黑" w:cs="微软雅黑"/>
          <w:color w:val="auto"/>
          <w:kern w:val="0"/>
          <w:sz w:val="24"/>
          <w:szCs w:val="24"/>
          <w:highlight w:val="none"/>
          <w:lang w:eastAsia="zh-CN"/>
        </w:rPr>
        <w:t>商务</w:t>
      </w:r>
      <w:r>
        <w:rPr>
          <w:rFonts w:hint="eastAsia" w:ascii="微软雅黑" w:hAnsi="微软雅黑" w:eastAsia="微软雅黑" w:cs="微软雅黑"/>
          <w:color w:val="auto"/>
          <w:kern w:val="0"/>
          <w:sz w:val="24"/>
          <w:szCs w:val="24"/>
          <w:highlight w:val="none"/>
          <w:lang w:val="en-US" w:eastAsia="zh-CN"/>
        </w:rPr>
        <w:t>技术</w:t>
      </w:r>
      <w:r>
        <w:rPr>
          <w:rFonts w:hint="eastAsia" w:ascii="微软雅黑" w:hAnsi="微软雅黑" w:eastAsia="微软雅黑" w:cs="微软雅黑"/>
          <w:color w:val="auto"/>
          <w:kern w:val="0"/>
          <w:sz w:val="24"/>
          <w:szCs w:val="24"/>
          <w:highlight w:val="none"/>
        </w:rPr>
        <w:t>进行</w:t>
      </w:r>
      <w:r>
        <w:rPr>
          <w:rFonts w:hint="eastAsia" w:ascii="微软雅黑" w:hAnsi="微软雅黑" w:eastAsia="微软雅黑" w:cs="微软雅黑"/>
          <w:color w:val="auto"/>
          <w:kern w:val="0"/>
          <w:sz w:val="24"/>
          <w:szCs w:val="24"/>
          <w:highlight w:val="none"/>
          <w:lang w:val="en-US" w:eastAsia="zh-CN"/>
        </w:rPr>
        <w:t>评分</w:t>
      </w:r>
      <w:r>
        <w:rPr>
          <w:rFonts w:hint="eastAsia" w:ascii="微软雅黑" w:hAnsi="微软雅黑" w:eastAsia="微软雅黑" w:cs="微软雅黑"/>
          <w:color w:val="auto"/>
          <w:kern w:val="0"/>
          <w:sz w:val="24"/>
          <w:szCs w:val="24"/>
          <w:highlight w:val="none"/>
          <w:lang w:eastAsia="zh-CN"/>
        </w:rPr>
        <w:t>。</w:t>
      </w:r>
    </w:p>
    <w:p w14:paraId="404C7209">
      <w:pPr>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lang w:val="en-US" w:eastAsia="zh-CN"/>
        </w:rPr>
        <w:t>8</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kern w:val="0"/>
          <w:sz w:val="24"/>
          <w:szCs w:val="24"/>
          <w:highlight w:val="none"/>
        </w:rPr>
        <w:t>评审结束后，采购代理机构在系统上公布评审结果。</w:t>
      </w:r>
    </w:p>
    <w:p w14:paraId="6FE11875">
      <w:pPr>
        <w:keepNext w:val="0"/>
        <w:keepLines w:val="0"/>
        <w:pageBreakBefore w:val="0"/>
        <w:shd w:val="clear" w:color="auto" w:fill="auto"/>
        <w:kinsoku/>
        <w:wordWrap/>
        <w:overflowPunct/>
        <w:topLinePunct w:val="0"/>
        <w:bidi w:val="0"/>
        <w:snapToGrid w:val="0"/>
        <w:spacing w:line="480" w:lineRule="exact"/>
        <w:ind w:left="480"/>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rPr>
        <w:t>特别情况说明：</w:t>
      </w:r>
    </w:p>
    <w:p w14:paraId="3FE07726">
      <w:pPr>
        <w:keepNext w:val="0"/>
        <w:keepLines w:val="0"/>
        <w:pageBreakBefore w:val="0"/>
        <w:shd w:val="clear" w:color="auto" w:fill="auto"/>
        <w:kinsoku/>
        <w:wordWrap/>
        <w:overflowPunct/>
        <w:topLinePunct w:val="0"/>
        <w:bidi w:val="0"/>
        <w:snapToGrid w:val="0"/>
        <w:spacing w:line="480" w:lineRule="exact"/>
        <w:ind w:firstLine="425" w:firstLineChars="177"/>
        <w:jc w:val="left"/>
        <w:rPr>
          <w:rFonts w:hint="eastAsia" w:ascii="微软雅黑" w:hAnsi="微软雅黑" w:eastAsia="微软雅黑" w:cs="微软雅黑"/>
          <w:b/>
          <w:color w:val="auto"/>
          <w:kern w:val="0"/>
          <w:sz w:val="24"/>
          <w:szCs w:val="24"/>
          <w:highlight w:val="none"/>
        </w:rPr>
      </w:pPr>
      <w:r>
        <w:rPr>
          <w:rFonts w:hint="eastAsia" w:ascii="微软雅黑" w:hAnsi="微软雅黑" w:eastAsia="微软雅黑" w:cs="微软雅黑"/>
          <w:b/>
          <w:color w:val="auto"/>
          <w:kern w:val="0"/>
          <w:sz w:val="24"/>
          <w:szCs w:val="24"/>
          <w:highlight w:val="none"/>
        </w:rPr>
        <w:t>（1）本项目采用电子交易，如遇“</w:t>
      </w:r>
      <w:r>
        <w:rPr>
          <w:rFonts w:hint="eastAsia" w:ascii="微软雅黑" w:hAnsi="微软雅黑" w:eastAsia="微软雅黑" w:cs="微软雅黑"/>
          <w:b/>
          <w:color w:val="auto"/>
          <w:kern w:val="0"/>
          <w:sz w:val="24"/>
          <w:szCs w:val="24"/>
          <w:highlight w:val="none"/>
          <w:lang w:eastAsia="zh-CN"/>
        </w:rPr>
        <w:t>新疆</w:t>
      </w:r>
      <w:r>
        <w:rPr>
          <w:rFonts w:hint="eastAsia" w:ascii="微软雅黑" w:hAnsi="微软雅黑" w:eastAsia="微软雅黑" w:cs="微软雅黑"/>
          <w:b/>
          <w:color w:val="auto"/>
          <w:kern w:val="0"/>
          <w:sz w:val="24"/>
          <w:szCs w:val="24"/>
          <w:highlight w:val="none"/>
        </w:rPr>
        <w:t>政府采购云平台”电子化开标或评审程序调整的，按调整后程序执行。</w:t>
      </w:r>
    </w:p>
    <w:p w14:paraId="011D7079">
      <w:pPr>
        <w:keepNext w:val="0"/>
        <w:keepLines w:val="0"/>
        <w:pageBreakBefore w:val="0"/>
        <w:shd w:val="clear" w:color="auto" w:fill="auto"/>
        <w:kinsoku/>
        <w:wordWrap/>
        <w:overflowPunct/>
        <w:topLinePunct w:val="0"/>
        <w:bidi w:val="0"/>
        <w:snapToGrid w:val="0"/>
        <w:spacing w:line="480" w:lineRule="exact"/>
        <w:ind w:firstLine="425" w:firstLineChars="177"/>
        <w:jc w:val="left"/>
        <w:rPr>
          <w:rFonts w:hint="eastAsia" w:ascii="微软雅黑" w:hAnsi="微软雅黑" w:eastAsia="微软雅黑" w:cs="微软雅黑"/>
          <w:b/>
          <w:color w:val="auto"/>
          <w:kern w:val="0"/>
          <w:sz w:val="24"/>
          <w:szCs w:val="24"/>
          <w:highlight w:val="none"/>
        </w:rPr>
      </w:pPr>
      <w:r>
        <w:rPr>
          <w:rFonts w:hint="eastAsia" w:ascii="微软雅黑" w:hAnsi="微软雅黑" w:eastAsia="微软雅黑" w:cs="微软雅黑"/>
          <w:b/>
          <w:color w:val="auto"/>
          <w:kern w:val="0"/>
          <w:sz w:val="24"/>
          <w:szCs w:val="24"/>
          <w:highlight w:val="none"/>
        </w:rPr>
        <w:t>（2）开标过程中需要相关当事人进行签字或盖章确认的材料将通过“政府采购云平台”进行，若因“政府采购云平台”技术问题无法进行签字或盖章确认的，采购组织机构将通过电子邮件等形式予以确认，</w:t>
      </w:r>
      <w:r>
        <w:rPr>
          <w:rFonts w:hint="eastAsia" w:ascii="微软雅黑" w:hAnsi="微软雅黑" w:eastAsia="微软雅黑" w:cs="微软雅黑"/>
          <w:b/>
          <w:color w:val="auto"/>
          <w:kern w:val="0"/>
          <w:sz w:val="24"/>
          <w:szCs w:val="24"/>
          <w:highlight w:val="none"/>
          <w:u w:val="single"/>
        </w:rPr>
        <w:t>请供应商保证办理投标事宜人员电话畅通、网络在线，签字或盖章确认的时间为20分钟。如未及时签字或盖章确认的，视为无异议</w:t>
      </w:r>
      <w:r>
        <w:rPr>
          <w:rFonts w:hint="eastAsia" w:ascii="微软雅黑" w:hAnsi="微软雅黑" w:eastAsia="微软雅黑" w:cs="微软雅黑"/>
          <w:b/>
          <w:color w:val="auto"/>
          <w:kern w:val="0"/>
          <w:sz w:val="24"/>
          <w:szCs w:val="24"/>
          <w:highlight w:val="none"/>
        </w:rPr>
        <w:t>。</w:t>
      </w:r>
    </w:p>
    <w:p w14:paraId="41082587">
      <w:pPr>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b/>
          <w:color w:val="auto"/>
          <w:kern w:val="0"/>
          <w:sz w:val="24"/>
          <w:szCs w:val="24"/>
          <w:highlight w:val="none"/>
        </w:rPr>
      </w:pPr>
      <w:r>
        <w:rPr>
          <w:rFonts w:hint="eastAsia" w:ascii="微软雅黑" w:hAnsi="微软雅黑" w:eastAsia="微软雅黑" w:cs="微软雅黑"/>
          <w:b/>
          <w:color w:val="auto"/>
          <w:kern w:val="0"/>
          <w:sz w:val="24"/>
          <w:szCs w:val="24"/>
          <w:highlight w:val="none"/>
          <w:lang w:val="en-US" w:eastAsia="zh-CN"/>
        </w:rPr>
        <w:t>2.3</w:t>
      </w:r>
      <w:r>
        <w:rPr>
          <w:rFonts w:hint="eastAsia" w:ascii="微软雅黑" w:hAnsi="微软雅黑" w:eastAsia="微软雅黑" w:cs="微软雅黑"/>
          <w:b/>
          <w:color w:val="auto"/>
          <w:kern w:val="0"/>
          <w:sz w:val="24"/>
          <w:szCs w:val="24"/>
          <w:highlight w:val="none"/>
        </w:rPr>
        <w:t xml:space="preserve"> </w:t>
      </w:r>
      <w:r>
        <w:rPr>
          <w:rFonts w:hint="eastAsia" w:ascii="微软雅黑" w:hAnsi="微软雅黑" w:eastAsia="微软雅黑" w:cs="微软雅黑"/>
          <w:b/>
          <w:color w:val="auto"/>
          <w:kern w:val="0"/>
          <w:sz w:val="24"/>
          <w:szCs w:val="24"/>
          <w:highlight w:val="none"/>
          <w:lang w:eastAsia="zh-CN"/>
        </w:rPr>
        <w:t>供应商</w:t>
      </w:r>
      <w:r>
        <w:rPr>
          <w:rFonts w:hint="eastAsia" w:ascii="微软雅黑" w:hAnsi="微软雅黑" w:eastAsia="微软雅黑" w:cs="微软雅黑"/>
          <w:b/>
          <w:color w:val="auto"/>
          <w:kern w:val="0"/>
          <w:sz w:val="24"/>
          <w:szCs w:val="24"/>
          <w:highlight w:val="none"/>
        </w:rPr>
        <w:t>资格审查：</w:t>
      </w:r>
    </w:p>
    <w:p w14:paraId="11DB42D9">
      <w:pPr>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w:t>
      </w:r>
      <w:r>
        <w:rPr>
          <w:rFonts w:hint="eastAsia" w:ascii="微软雅黑" w:hAnsi="微软雅黑" w:eastAsia="微软雅黑" w:cs="微软雅黑"/>
          <w:bCs/>
          <w:color w:val="auto"/>
          <w:kern w:val="0"/>
          <w:sz w:val="24"/>
          <w:szCs w:val="24"/>
          <w:highlight w:val="none"/>
        </w:rPr>
        <w:t>开标（标书信息开启）后，采购人或采购代理机构首先依法对</w:t>
      </w:r>
      <w:r>
        <w:rPr>
          <w:rFonts w:hint="eastAsia" w:ascii="微软雅黑" w:hAnsi="微软雅黑" w:eastAsia="微软雅黑" w:cs="微软雅黑"/>
          <w:bCs/>
          <w:color w:val="auto"/>
          <w:kern w:val="0"/>
          <w:sz w:val="24"/>
          <w:szCs w:val="24"/>
          <w:highlight w:val="none"/>
          <w:lang w:eastAsia="zh-CN"/>
        </w:rPr>
        <w:t>供应商</w:t>
      </w:r>
      <w:r>
        <w:rPr>
          <w:rFonts w:hint="eastAsia" w:ascii="微软雅黑" w:hAnsi="微软雅黑" w:eastAsia="微软雅黑" w:cs="微软雅黑"/>
          <w:bCs/>
          <w:color w:val="auto"/>
          <w:kern w:val="0"/>
          <w:sz w:val="24"/>
          <w:szCs w:val="24"/>
          <w:highlight w:val="none"/>
        </w:rPr>
        <w:t>的资格文件进行审查，审查各</w:t>
      </w:r>
      <w:r>
        <w:rPr>
          <w:rFonts w:hint="eastAsia" w:ascii="微软雅黑" w:hAnsi="微软雅黑" w:eastAsia="微软雅黑" w:cs="微软雅黑"/>
          <w:bCs/>
          <w:color w:val="auto"/>
          <w:kern w:val="0"/>
          <w:sz w:val="24"/>
          <w:szCs w:val="24"/>
          <w:highlight w:val="none"/>
          <w:lang w:eastAsia="zh-CN"/>
        </w:rPr>
        <w:t>供应商</w:t>
      </w:r>
      <w:r>
        <w:rPr>
          <w:rFonts w:hint="eastAsia" w:ascii="微软雅黑" w:hAnsi="微软雅黑" w:eastAsia="微软雅黑" w:cs="微软雅黑"/>
          <w:bCs/>
          <w:color w:val="auto"/>
          <w:kern w:val="0"/>
          <w:sz w:val="24"/>
          <w:szCs w:val="24"/>
          <w:highlight w:val="none"/>
        </w:rPr>
        <w:t>的资格符合情况。</w:t>
      </w:r>
      <w:r>
        <w:rPr>
          <w:rFonts w:hint="eastAsia" w:ascii="微软雅黑" w:hAnsi="微软雅黑" w:eastAsia="微软雅黑" w:cs="微软雅黑"/>
          <w:color w:val="auto"/>
          <w:sz w:val="24"/>
          <w:szCs w:val="24"/>
          <w:highlight w:val="none"/>
        </w:rPr>
        <w:t>采购人或采购代理机构对</w:t>
      </w:r>
      <w:r>
        <w:rPr>
          <w:rFonts w:hint="eastAsia" w:ascii="微软雅黑" w:hAnsi="微软雅黑" w:eastAsia="微软雅黑" w:cs="微软雅黑"/>
          <w:color w:val="auto"/>
          <w:sz w:val="24"/>
          <w:szCs w:val="24"/>
          <w:highlight w:val="none"/>
          <w:lang w:eastAsia="zh-CN"/>
        </w:rPr>
        <w:t>供应商</w:t>
      </w:r>
      <w:r>
        <w:rPr>
          <w:rFonts w:hint="eastAsia" w:ascii="微软雅黑" w:hAnsi="微软雅黑" w:eastAsia="微软雅黑" w:cs="微软雅黑"/>
          <w:color w:val="auto"/>
          <w:sz w:val="24"/>
          <w:szCs w:val="24"/>
          <w:highlight w:val="none"/>
        </w:rPr>
        <w:t>所提交的资格证明材料仅负审核的责任。如发现</w:t>
      </w:r>
      <w:r>
        <w:rPr>
          <w:rFonts w:hint="eastAsia" w:ascii="微软雅黑" w:hAnsi="微软雅黑" w:eastAsia="微软雅黑" w:cs="微软雅黑"/>
          <w:color w:val="auto"/>
          <w:sz w:val="24"/>
          <w:szCs w:val="24"/>
          <w:highlight w:val="none"/>
          <w:lang w:eastAsia="zh-CN"/>
        </w:rPr>
        <w:t>供应商</w:t>
      </w:r>
      <w:r>
        <w:rPr>
          <w:rFonts w:hint="eastAsia" w:ascii="微软雅黑" w:hAnsi="微软雅黑" w:eastAsia="微软雅黑" w:cs="微软雅黑"/>
          <w:color w:val="auto"/>
          <w:sz w:val="24"/>
          <w:szCs w:val="24"/>
          <w:highlight w:val="none"/>
        </w:rPr>
        <w:t>所提交的资格证明材料不合法或与事实不符，采购人可取消其中标</w:t>
      </w:r>
      <w:r>
        <w:rPr>
          <w:rFonts w:hint="eastAsia" w:ascii="微软雅黑" w:hAnsi="微软雅黑" w:eastAsia="微软雅黑" w:cs="微软雅黑"/>
          <w:color w:val="auto"/>
          <w:sz w:val="24"/>
          <w:szCs w:val="24"/>
          <w:highlight w:val="none"/>
          <w:lang w:val="en-US" w:eastAsia="zh-CN"/>
        </w:rPr>
        <w:t>(成交)</w:t>
      </w:r>
      <w:r>
        <w:rPr>
          <w:rFonts w:hint="eastAsia" w:ascii="微软雅黑" w:hAnsi="微软雅黑" w:eastAsia="微软雅黑" w:cs="微软雅黑"/>
          <w:color w:val="auto"/>
          <w:sz w:val="24"/>
          <w:szCs w:val="24"/>
          <w:highlight w:val="none"/>
        </w:rPr>
        <w:t>资格并追究</w:t>
      </w:r>
      <w:r>
        <w:rPr>
          <w:rFonts w:hint="eastAsia" w:ascii="微软雅黑" w:hAnsi="微软雅黑" w:eastAsia="微软雅黑" w:cs="微软雅黑"/>
          <w:color w:val="auto"/>
          <w:sz w:val="24"/>
          <w:szCs w:val="24"/>
          <w:highlight w:val="none"/>
          <w:lang w:eastAsia="zh-CN"/>
        </w:rPr>
        <w:t>供应商</w:t>
      </w:r>
      <w:r>
        <w:rPr>
          <w:rFonts w:hint="eastAsia" w:ascii="微软雅黑" w:hAnsi="微软雅黑" w:eastAsia="微软雅黑" w:cs="微软雅黑"/>
          <w:color w:val="auto"/>
          <w:sz w:val="24"/>
          <w:szCs w:val="24"/>
          <w:highlight w:val="none"/>
        </w:rPr>
        <w:t>的法律责任。</w:t>
      </w:r>
    </w:p>
    <w:p w14:paraId="1B4A13EA">
      <w:pPr>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val="0"/>
          <w:bCs/>
          <w:color w:val="auto"/>
          <w:sz w:val="24"/>
          <w:szCs w:val="24"/>
          <w:highlight w:val="none"/>
        </w:rPr>
        <w:t>（2</w:t>
      </w: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lang w:eastAsia="zh-CN"/>
        </w:rPr>
        <w:t>供应商</w:t>
      </w:r>
      <w:r>
        <w:rPr>
          <w:rFonts w:hint="eastAsia" w:ascii="微软雅黑" w:hAnsi="微软雅黑" w:eastAsia="微软雅黑" w:cs="微软雅黑"/>
          <w:color w:val="auto"/>
          <w:sz w:val="24"/>
          <w:szCs w:val="24"/>
          <w:highlight w:val="none"/>
        </w:rPr>
        <w:t>提交的资格证明材料无法证明其符合</w:t>
      </w:r>
      <w:r>
        <w:rPr>
          <w:rFonts w:hint="eastAsia" w:ascii="微软雅黑" w:hAnsi="微软雅黑" w:eastAsia="微软雅黑" w:cs="微软雅黑"/>
          <w:color w:val="auto"/>
          <w:sz w:val="24"/>
          <w:szCs w:val="24"/>
          <w:highlight w:val="none"/>
          <w:lang w:eastAsia="zh-CN"/>
        </w:rPr>
        <w:t>竞争性磋商文件</w:t>
      </w:r>
      <w:r>
        <w:rPr>
          <w:rFonts w:hint="eastAsia" w:ascii="微软雅黑" w:hAnsi="微软雅黑" w:eastAsia="微软雅黑" w:cs="微软雅黑"/>
          <w:color w:val="auto"/>
          <w:sz w:val="24"/>
          <w:szCs w:val="24"/>
          <w:highlight w:val="none"/>
        </w:rPr>
        <w:t>规定的“</w:t>
      </w:r>
      <w:r>
        <w:rPr>
          <w:rFonts w:hint="eastAsia" w:ascii="微软雅黑" w:hAnsi="微软雅黑" w:eastAsia="微软雅黑" w:cs="微软雅黑"/>
          <w:color w:val="auto"/>
          <w:sz w:val="24"/>
          <w:szCs w:val="24"/>
          <w:highlight w:val="none"/>
          <w:lang w:eastAsia="zh-CN"/>
        </w:rPr>
        <w:t>供应商</w:t>
      </w:r>
      <w:r>
        <w:rPr>
          <w:rFonts w:hint="eastAsia" w:ascii="微软雅黑" w:hAnsi="微软雅黑" w:eastAsia="微软雅黑" w:cs="微软雅黑"/>
          <w:color w:val="auto"/>
          <w:sz w:val="24"/>
          <w:szCs w:val="24"/>
          <w:highlight w:val="none"/>
        </w:rPr>
        <w:t>资格要求”的，采购人或采购代理机构将对其作“资格审查不合格”处理（无效投标），并不再将其投标提交评标委员会进行后续评审。</w:t>
      </w:r>
    </w:p>
    <w:p w14:paraId="3AA0E07F">
      <w:pPr>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（3）供应商信用记录查询与使用：见《供应商须知前附表》。</w:t>
      </w:r>
    </w:p>
    <w:p w14:paraId="03967828">
      <w:pPr>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3、</w:t>
      </w:r>
      <w:r>
        <w:rPr>
          <w:rFonts w:hint="eastAsia" w:ascii="微软雅黑" w:hAnsi="微软雅黑" w:eastAsia="微软雅黑" w:cs="微软雅黑"/>
          <w:b/>
          <w:bCs/>
          <w:color w:val="auto"/>
          <w:sz w:val="24"/>
          <w:szCs w:val="24"/>
          <w:highlight w:val="none"/>
        </w:rPr>
        <w:t>评审工作的组织</w:t>
      </w:r>
    </w:p>
    <w:p w14:paraId="7F0AD4E3">
      <w:pPr>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采购人或采购代理机构负责组织本项目的评审工作，并依据《政府采购货物和服务招标投标管理办法（财政部第87号令）》第四十五条的相关规定履行职责。</w:t>
      </w:r>
    </w:p>
    <w:p w14:paraId="189D0551">
      <w:pPr>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4、</w:t>
      </w:r>
      <w:r>
        <w:rPr>
          <w:rFonts w:hint="eastAsia" w:ascii="微软雅黑" w:hAnsi="微软雅黑" w:eastAsia="微软雅黑" w:cs="微软雅黑"/>
          <w:b/>
          <w:bCs/>
          <w:color w:val="auto"/>
          <w:sz w:val="24"/>
          <w:szCs w:val="24"/>
          <w:highlight w:val="none"/>
        </w:rPr>
        <w:t>评标委员会的组建</w:t>
      </w:r>
    </w:p>
    <w:p w14:paraId="515A9C36">
      <w:pPr>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4</w:t>
      </w:r>
      <w:r>
        <w:rPr>
          <w:rFonts w:hint="eastAsia" w:ascii="微软雅黑" w:hAnsi="微软雅黑" w:eastAsia="微软雅黑" w:cs="微软雅黑"/>
          <w:color w:val="auto"/>
          <w:sz w:val="24"/>
          <w:szCs w:val="24"/>
          <w:highlight w:val="none"/>
        </w:rPr>
        <w:t>.1评标委员会由采购人或采购代理机构依法组建，成员由采购人代表和评审专家组成，成员人数为</w:t>
      </w:r>
      <w:r>
        <w:rPr>
          <w:rFonts w:hint="eastAsia" w:ascii="微软雅黑" w:hAnsi="微软雅黑" w:eastAsia="微软雅黑" w:cs="微软雅黑"/>
          <w:color w:val="auto"/>
          <w:sz w:val="24"/>
          <w:szCs w:val="24"/>
          <w:highlight w:val="none"/>
          <w:lang w:val="en-US" w:eastAsia="zh-CN"/>
        </w:rPr>
        <w:t>3</w:t>
      </w:r>
      <w:r>
        <w:rPr>
          <w:rFonts w:hint="eastAsia" w:ascii="微软雅黑" w:hAnsi="微软雅黑" w:eastAsia="微软雅黑" w:cs="微软雅黑"/>
          <w:color w:val="auto"/>
          <w:sz w:val="24"/>
          <w:szCs w:val="24"/>
          <w:highlight w:val="none"/>
        </w:rPr>
        <w:t>人或以上单数，其中评审专家不少于成员总数的三分之二。</w:t>
      </w:r>
    </w:p>
    <w:p w14:paraId="556F931C">
      <w:pPr>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4</w:t>
      </w:r>
      <w:r>
        <w:rPr>
          <w:rFonts w:hint="eastAsia" w:ascii="微软雅黑" w:hAnsi="微软雅黑" w:eastAsia="微软雅黑" w:cs="微软雅黑"/>
          <w:color w:val="auto"/>
          <w:sz w:val="24"/>
          <w:szCs w:val="24"/>
          <w:highlight w:val="none"/>
        </w:rPr>
        <w:t>.2</w:t>
      </w:r>
      <w:r>
        <w:rPr>
          <w:rFonts w:hint="eastAsia" w:ascii="微软雅黑" w:hAnsi="微软雅黑" w:eastAsia="微软雅黑" w:cs="微软雅黑"/>
          <w:b/>
          <w:bCs/>
          <w:color w:val="auto"/>
          <w:sz w:val="24"/>
        </w:rPr>
        <w:t>按照《中华人民共和国政府采购法》、《中华人民共和国政府采购法实施条例》及本项目本级和上级财政部门的有关规定依法在政采云平台</w:t>
      </w:r>
      <w:r>
        <w:rPr>
          <w:rFonts w:hint="eastAsia" w:ascii="微软雅黑" w:hAnsi="微软雅黑" w:eastAsia="微软雅黑" w:cs="微软雅黑"/>
          <w:b/>
          <w:bCs/>
          <w:color w:val="auto"/>
          <w:sz w:val="24"/>
          <w:lang w:eastAsia="zh-CN"/>
        </w:rPr>
        <w:t>随机</w:t>
      </w:r>
      <w:r>
        <w:rPr>
          <w:rFonts w:hint="eastAsia" w:ascii="微软雅黑" w:hAnsi="微软雅黑" w:eastAsia="微软雅黑" w:cs="微软雅黑"/>
          <w:b/>
          <w:bCs/>
          <w:color w:val="auto"/>
          <w:sz w:val="24"/>
        </w:rPr>
        <w:t>抽取3人，组成</w:t>
      </w:r>
      <w:r>
        <w:rPr>
          <w:rFonts w:hint="eastAsia" w:ascii="微软雅黑" w:hAnsi="微软雅黑" w:eastAsia="微软雅黑" w:cs="微软雅黑"/>
          <w:b/>
          <w:bCs/>
          <w:color w:val="auto"/>
          <w:sz w:val="24"/>
          <w:lang w:eastAsia="zh-CN"/>
        </w:rPr>
        <w:t>磋商</w:t>
      </w:r>
      <w:r>
        <w:rPr>
          <w:rFonts w:hint="eastAsia" w:ascii="微软雅黑" w:hAnsi="微软雅黑" w:eastAsia="微软雅黑" w:cs="微软雅黑"/>
          <w:b/>
          <w:bCs/>
          <w:color w:val="auto"/>
          <w:sz w:val="24"/>
        </w:rPr>
        <w:t>小组，负责评审工作</w:t>
      </w:r>
      <w:r>
        <w:rPr>
          <w:rFonts w:hint="eastAsia" w:ascii="微软雅黑" w:hAnsi="微软雅黑" w:eastAsia="微软雅黑" w:cs="微软雅黑"/>
          <w:color w:val="auto"/>
          <w:sz w:val="24"/>
          <w:szCs w:val="24"/>
          <w:highlight w:val="none"/>
        </w:rPr>
        <w:t>。</w:t>
      </w:r>
    </w:p>
    <w:p w14:paraId="68DA1030">
      <w:pPr>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5、</w:t>
      </w:r>
      <w:r>
        <w:rPr>
          <w:rFonts w:hint="eastAsia" w:ascii="微软雅黑" w:hAnsi="微软雅黑" w:eastAsia="微软雅黑" w:cs="微软雅黑"/>
          <w:b/>
          <w:bCs/>
          <w:color w:val="auto"/>
          <w:sz w:val="24"/>
          <w:szCs w:val="24"/>
          <w:highlight w:val="none"/>
        </w:rPr>
        <w:t>评标委员会的职责</w:t>
      </w:r>
    </w:p>
    <w:p w14:paraId="2B00D876">
      <w:pPr>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5</w:t>
      </w:r>
      <w:r>
        <w:rPr>
          <w:rFonts w:hint="eastAsia" w:ascii="微软雅黑" w:hAnsi="微软雅黑" w:eastAsia="微软雅黑" w:cs="微软雅黑"/>
          <w:color w:val="auto"/>
          <w:sz w:val="24"/>
          <w:szCs w:val="24"/>
          <w:highlight w:val="none"/>
        </w:rPr>
        <w:t>.1审查、评价</w:t>
      </w:r>
      <w:r>
        <w:rPr>
          <w:rFonts w:hint="eastAsia" w:ascii="微软雅黑" w:hAnsi="微软雅黑" w:eastAsia="微软雅黑" w:cs="微软雅黑"/>
          <w:color w:val="auto"/>
          <w:sz w:val="24"/>
          <w:szCs w:val="24"/>
          <w:highlight w:val="none"/>
          <w:lang w:eastAsia="zh-CN"/>
        </w:rPr>
        <w:t>响应文件</w:t>
      </w:r>
      <w:r>
        <w:rPr>
          <w:rFonts w:hint="eastAsia" w:ascii="微软雅黑" w:hAnsi="微软雅黑" w:eastAsia="微软雅黑" w:cs="微软雅黑"/>
          <w:color w:val="auto"/>
          <w:sz w:val="24"/>
          <w:szCs w:val="24"/>
          <w:highlight w:val="none"/>
        </w:rPr>
        <w:t>是否符合</w:t>
      </w:r>
      <w:r>
        <w:rPr>
          <w:rFonts w:hint="eastAsia" w:ascii="微软雅黑" w:hAnsi="微软雅黑" w:eastAsia="微软雅黑" w:cs="微软雅黑"/>
          <w:color w:val="auto"/>
          <w:sz w:val="24"/>
          <w:szCs w:val="24"/>
          <w:highlight w:val="none"/>
          <w:lang w:eastAsia="zh-CN"/>
        </w:rPr>
        <w:t>竞争性磋商文件</w:t>
      </w:r>
      <w:r>
        <w:rPr>
          <w:rFonts w:hint="eastAsia" w:ascii="微软雅黑" w:hAnsi="微软雅黑" w:eastAsia="微软雅黑" w:cs="微软雅黑"/>
          <w:color w:val="auto"/>
          <w:sz w:val="24"/>
          <w:szCs w:val="24"/>
          <w:highlight w:val="none"/>
        </w:rPr>
        <w:t>的商务、技术等实质性要求。</w:t>
      </w:r>
    </w:p>
    <w:p w14:paraId="6530D213">
      <w:pPr>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5</w:t>
      </w:r>
      <w:r>
        <w:rPr>
          <w:rFonts w:hint="eastAsia" w:ascii="微软雅黑" w:hAnsi="微软雅黑" w:eastAsia="微软雅黑" w:cs="微软雅黑"/>
          <w:color w:val="auto"/>
          <w:sz w:val="24"/>
          <w:szCs w:val="24"/>
          <w:highlight w:val="none"/>
        </w:rPr>
        <w:t>.2要求供应商对</w:t>
      </w:r>
      <w:r>
        <w:rPr>
          <w:rFonts w:hint="eastAsia" w:ascii="微软雅黑" w:hAnsi="微软雅黑" w:eastAsia="微软雅黑" w:cs="微软雅黑"/>
          <w:color w:val="auto"/>
          <w:sz w:val="24"/>
          <w:szCs w:val="24"/>
          <w:highlight w:val="none"/>
          <w:lang w:eastAsia="zh-CN"/>
        </w:rPr>
        <w:t>响应文件</w:t>
      </w:r>
      <w:r>
        <w:rPr>
          <w:rFonts w:hint="eastAsia" w:ascii="微软雅黑" w:hAnsi="微软雅黑" w:eastAsia="微软雅黑" w:cs="微软雅黑"/>
          <w:color w:val="auto"/>
          <w:sz w:val="24"/>
          <w:szCs w:val="24"/>
          <w:highlight w:val="none"/>
        </w:rPr>
        <w:t>有关事项作出澄清或者说明。</w:t>
      </w:r>
    </w:p>
    <w:p w14:paraId="68994414">
      <w:pPr>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5</w:t>
      </w:r>
      <w:r>
        <w:rPr>
          <w:rFonts w:hint="eastAsia" w:ascii="微软雅黑" w:hAnsi="微软雅黑" w:eastAsia="微软雅黑" w:cs="微软雅黑"/>
          <w:color w:val="auto"/>
          <w:sz w:val="24"/>
          <w:szCs w:val="24"/>
          <w:highlight w:val="none"/>
        </w:rPr>
        <w:t>.3对</w:t>
      </w:r>
      <w:r>
        <w:rPr>
          <w:rFonts w:hint="eastAsia" w:ascii="微软雅黑" w:hAnsi="微软雅黑" w:eastAsia="微软雅黑" w:cs="微软雅黑"/>
          <w:color w:val="auto"/>
          <w:sz w:val="24"/>
          <w:szCs w:val="24"/>
          <w:highlight w:val="none"/>
          <w:lang w:eastAsia="zh-CN"/>
        </w:rPr>
        <w:t>响应文件</w:t>
      </w:r>
      <w:r>
        <w:rPr>
          <w:rFonts w:hint="eastAsia" w:ascii="微软雅黑" w:hAnsi="微软雅黑" w:eastAsia="微软雅黑" w:cs="微软雅黑"/>
          <w:color w:val="auto"/>
          <w:sz w:val="24"/>
          <w:szCs w:val="24"/>
          <w:highlight w:val="none"/>
        </w:rPr>
        <w:t>进行比较和评价。</w:t>
      </w:r>
    </w:p>
    <w:p w14:paraId="74992938">
      <w:pPr>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5</w:t>
      </w:r>
      <w:r>
        <w:rPr>
          <w:rFonts w:hint="eastAsia" w:ascii="微软雅黑" w:hAnsi="微软雅黑" w:eastAsia="微软雅黑" w:cs="微软雅黑"/>
          <w:color w:val="auto"/>
          <w:sz w:val="24"/>
          <w:szCs w:val="24"/>
          <w:highlight w:val="none"/>
        </w:rPr>
        <w:t>.4确定中标候选人名单，以及根据采购人委托直接确定中标人。</w:t>
      </w:r>
    </w:p>
    <w:p w14:paraId="6365F3F5">
      <w:pPr>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5</w:t>
      </w:r>
      <w:r>
        <w:rPr>
          <w:rFonts w:hint="eastAsia" w:ascii="微软雅黑" w:hAnsi="微软雅黑" w:eastAsia="微软雅黑" w:cs="微软雅黑"/>
          <w:color w:val="auto"/>
          <w:sz w:val="24"/>
          <w:szCs w:val="24"/>
          <w:highlight w:val="none"/>
        </w:rPr>
        <w:t>.5向采购人、采购代理机构或者有关部门报告评审中发现的违法行为。</w:t>
      </w:r>
    </w:p>
    <w:p w14:paraId="5004BCF4">
      <w:pPr>
        <w:keepNext w:val="0"/>
        <w:keepLines w:val="0"/>
        <w:pageBreakBefore w:val="0"/>
        <w:widowControl/>
        <w:shd w:val="clear" w:color="auto" w:fill="auto"/>
        <w:kinsoku/>
        <w:wordWrap/>
        <w:overflowPunct/>
        <w:topLinePunct w:val="0"/>
        <w:autoSpaceDE/>
        <w:autoSpaceDN/>
        <w:bidi w:val="0"/>
        <w:spacing w:line="480" w:lineRule="exact"/>
        <w:ind w:firstLine="480" w:firstLineChars="200"/>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6、</w:t>
      </w:r>
      <w:r>
        <w:rPr>
          <w:rFonts w:hint="eastAsia" w:ascii="微软雅黑" w:hAnsi="微软雅黑" w:eastAsia="微软雅黑" w:cs="微软雅黑"/>
          <w:b/>
          <w:bCs/>
          <w:color w:val="auto"/>
          <w:sz w:val="24"/>
          <w:szCs w:val="24"/>
          <w:highlight w:val="none"/>
        </w:rPr>
        <w:t>评标原则</w:t>
      </w:r>
    </w:p>
    <w:p w14:paraId="67EC227B">
      <w:pPr>
        <w:keepNext w:val="0"/>
        <w:keepLines w:val="0"/>
        <w:pageBreakBefore w:val="0"/>
        <w:widowControl/>
        <w:shd w:val="clear" w:color="auto" w:fill="auto"/>
        <w:kinsoku/>
        <w:wordWrap/>
        <w:overflowPunct/>
        <w:topLinePunct w:val="0"/>
        <w:autoSpaceDE/>
        <w:autoSpaceDN/>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6</w:t>
      </w:r>
      <w:r>
        <w:rPr>
          <w:rFonts w:hint="eastAsia" w:ascii="微软雅黑" w:hAnsi="微软雅黑" w:eastAsia="微软雅黑" w:cs="微软雅黑"/>
          <w:color w:val="auto"/>
          <w:sz w:val="24"/>
          <w:szCs w:val="24"/>
          <w:highlight w:val="none"/>
        </w:rPr>
        <w:t>.1评标委员会将遵循公平、公正、科学的原则，对供应商提交的</w:t>
      </w:r>
      <w:r>
        <w:rPr>
          <w:rFonts w:hint="eastAsia" w:ascii="微软雅黑" w:hAnsi="微软雅黑" w:eastAsia="微软雅黑" w:cs="微软雅黑"/>
          <w:color w:val="auto"/>
          <w:sz w:val="24"/>
          <w:szCs w:val="24"/>
          <w:highlight w:val="none"/>
          <w:lang w:eastAsia="zh-CN"/>
        </w:rPr>
        <w:t>响应文件</w:t>
      </w:r>
      <w:r>
        <w:rPr>
          <w:rFonts w:hint="eastAsia" w:ascii="微软雅黑" w:hAnsi="微软雅黑" w:eastAsia="微软雅黑" w:cs="微软雅黑"/>
          <w:color w:val="auto"/>
          <w:sz w:val="24"/>
          <w:szCs w:val="24"/>
          <w:highlight w:val="none"/>
        </w:rPr>
        <w:t>进行综合评审，评标委员会按照</w:t>
      </w:r>
      <w:r>
        <w:rPr>
          <w:rFonts w:hint="eastAsia" w:ascii="微软雅黑" w:hAnsi="微软雅黑" w:eastAsia="微软雅黑" w:cs="微软雅黑"/>
          <w:color w:val="auto"/>
          <w:sz w:val="24"/>
          <w:szCs w:val="24"/>
          <w:highlight w:val="none"/>
          <w:lang w:eastAsia="zh-CN"/>
        </w:rPr>
        <w:t>竞争性磋商文件</w:t>
      </w:r>
      <w:r>
        <w:rPr>
          <w:rFonts w:hint="eastAsia" w:ascii="微软雅黑" w:hAnsi="微软雅黑" w:eastAsia="微软雅黑" w:cs="微软雅黑"/>
          <w:color w:val="auto"/>
          <w:sz w:val="24"/>
          <w:szCs w:val="24"/>
          <w:highlight w:val="none"/>
        </w:rPr>
        <w:t>规定的评标细则进行评分。</w:t>
      </w:r>
    </w:p>
    <w:p w14:paraId="46C1663A">
      <w:pPr>
        <w:keepNext w:val="0"/>
        <w:keepLines w:val="0"/>
        <w:pageBreakBefore w:val="0"/>
        <w:widowControl/>
        <w:shd w:val="clear" w:color="auto" w:fill="auto"/>
        <w:kinsoku/>
        <w:wordWrap/>
        <w:overflowPunct/>
        <w:topLinePunct w:val="0"/>
        <w:autoSpaceDE/>
        <w:autoSpaceDN/>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6</w:t>
      </w:r>
      <w:r>
        <w:rPr>
          <w:rFonts w:hint="eastAsia" w:ascii="微软雅黑" w:hAnsi="微软雅黑" w:eastAsia="微软雅黑" w:cs="微软雅黑"/>
          <w:color w:val="auto"/>
          <w:sz w:val="24"/>
          <w:szCs w:val="24"/>
          <w:highlight w:val="none"/>
        </w:rPr>
        <w:t xml:space="preserve">.2客观公正对待所有供应商，对所有投标评价均采用相同的程序和标准。 </w:t>
      </w:r>
    </w:p>
    <w:p w14:paraId="519F6F08">
      <w:pPr>
        <w:keepNext w:val="0"/>
        <w:keepLines w:val="0"/>
        <w:pageBreakBefore w:val="0"/>
        <w:widowControl/>
        <w:shd w:val="clear" w:color="auto" w:fill="auto"/>
        <w:kinsoku/>
        <w:wordWrap/>
        <w:overflowPunct/>
        <w:topLinePunct w:val="0"/>
        <w:autoSpaceDE/>
        <w:autoSpaceDN/>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6</w:t>
      </w:r>
      <w:r>
        <w:rPr>
          <w:rFonts w:hint="eastAsia" w:ascii="微软雅黑" w:hAnsi="微软雅黑" w:eastAsia="微软雅黑" w:cs="微软雅黑"/>
          <w:color w:val="auto"/>
          <w:sz w:val="24"/>
          <w:szCs w:val="24"/>
          <w:highlight w:val="none"/>
        </w:rPr>
        <w:t>.3评标委员会成员对需要共同认定的事项存在争议的，按照少数服从多数的原则作出结论。持不同意见的评标委员会成员应当在评审报告上签署不同意见及理由，否则视为同意评审报告。</w:t>
      </w:r>
    </w:p>
    <w:p w14:paraId="2A10FBF1">
      <w:pPr>
        <w:keepNext w:val="0"/>
        <w:keepLines w:val="0"/>
        <w:pageBreakBefore w:val="0"/>
        <w:widowControl/>
        <w:shd w:val="clear" w:color="auto" w:fill="auto"/>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6</w:t>
      </w:r>
      <w:r>
        <w:rPr>
          <w:rFonts w:hint="eastAsia" w:ascii="微软雅黑" w:hAnsi="微软雅黑" w:eastAsia="微软雅黑" w:cs="微软雅黑"/>
          <w:color w:val="auto"/>
          <w:sz w:val="24"/>
          <w:szCs w:val="24"/>
          <w:highlight w:val="none"/>
        </w:rPr>
        <w:t>.4 财政部令第87号《政府采购货物和服务招标投标管理办法》第三十一条规定：使用综合评分法的采购项目，提供相同品牌产品且通过资格审查、符合性审查的不同供应商参加同一合同项下投标的，按一家供应商计算，评审后得分最高的同品牌供应商获得中标</w:t>
      </w:r>
      <w:r>
        <w:rPr>
          <w:rFonts w:hint="eastAsia" w:ascii="微软雅黑" w:hAnsi="微软雅黑" w:eastAsia="微软雅黑" w:cs="微软雅黑"/>
          <w:color w:val="auto"/>
          <w:sz w:val="24"/>
          <w:szCs w:val="24"/>
          <w:highlight w:val="none"/>
          <w:lang w:val="en-US" w:eastAsia="zh-CN"/>
        </w:rPr>
        <w:t>(成交)</w:t>
      </w:r>
      <w:r>
        <w:rPr>
          <w:rFonts w:hint="eastAsia" w:ascii="微软雅黑" w:hAnsi="微软雅黑" w:eastAsia="微软雅黑" w:cs="微软雅黑"/>
          <w:color w:val="auto"/>
          <w:sz w:val="24"/>
          <w:szCs w:val="24"/>
          <w:highlight w:val="none"/>
        </w:rPr>
        <w:t>人推荐资格；评审得分相同的，由采购人或者采购人委托评标委员会按照</w:t>
      </w:r>
      <w:r>
        <w:rPr>
          <w:rFonts w:hint="eastAsia" w:ascii="微软雅黑" w:hAnsi="微软雅黑" w:eastAsia="微软雅黑" w:cs="微软雅黑"/>
          <w:color w:val="auto"/>
          <w:sz w:val="24"/>
          <w:szCs w:val="24"/>
          <w:highlight w:val="none"/>
          <w:lang w:eastAsia="zh-CN"/>
        </w:rPr>
        <w:t>竞争性磋商文件</w:t>
      </w:r>
      <w:r>
        <w:rPr>
          <w:rFonts w:hint="eastAsia" w:ascii="微软雅黑" w:hAnsi="微软雅黑" w:eastAsia="微软雅黑" w:cs="微软雅黑"/>
          <w:color w:val="auto"/>
          <w:sz w:val="24"/>
          <w:szCs w:val="24"/>
          <w:highlight w:val="none"/>
        </w:rPr>
        <w:t>规定的方式确定一个供应商获得中标</w:t>
      </w:r>
      <w:r>
        <w:rPr>
          <w:rFonts w:hint="eastAsia" w:ascii="微软雅黑" w:hAnsi="微软雅黑" w:eastAsia="微软雅黑" w:cs="微软雅黑"/>
          <w:color w:val="auto"/>
          <w:sz w:val="24"/>
          <w:szCs w:val="24"/>
          <w:highlight w:val="none"/>
          <w:lang w:val="en-US" w:eastAsia="zh-CN"/>
        </w:rPr>
        <w:t>(成交)</w:t>
      </w:r>
      <w:r>
        <w:rPr>
          <w:rFonts w:hint="eastAsia" w:ascii="微软雅黑" w:hAnsi="微软雅黑" w:eastAsia="微软雅黑" w:cs="微软雅黑"/>
          <w:color w:val="auto"/>
          <w:sz w:val="24"/>
          <w:szCs w:val="24"/>
          <w:highlight w:val="none"/>
        </w:rPr>
        <w:t>人推荐资格，</w:t>
      </w:r>
      <w:r>
        <w:rPr>
          <w:rFonts w:hint="eastAsia" w:ascii="微软雅黑" w:hAnsi="微软雅黑" w:eastAsia="微软雅黑" w:cs="微软雅黑"/>
          <w:color w:val="auto"/>
          <w:sz w:val="24"/>
          <w:szCs w:val="24"/>
          <w:highlight w:val="none"/>
          <w:lang w:eastAsia="zh-CN"/>
        </w:rPr>
        <w:t>竞争性磋商文件</w:t>
      </w:r>
      <w:r>
        <w:rPr>
          <w:rFonts w:hint="eastAsia" w:ascii="微软雅黑" w:hAnsi="微软雅黑" w:eastAsia="微软雅黑" w:cs="微软雅黑"/>
          <w:color w:val="auto"/>
          <w:sz w:val="24"/>
          <w:szCs w:val="24"/>
          <w:highlight w:val="none"/>
        </w:rPr>
        <w:t>未规定的采取随机抽取方式确定，其他同品牌供应商不作为中标</w:t>
      </w:r>
      <w:r>
        <w:rPr>
          <w:rFonts w:hint="eastAsia" w:ascii="微软雅黑" w:hAnsi="微软雅黑" w:eastAsia="微软雅黑" w:cs="微软雅黑"/>
          <w:color w:val="auto"/>
          <w:sz w:val="24"/>
          <w:szCs w:val="24"/>
          <w:highlight w:val="none"/>
          <w:lang w:val="en-US" w:eastAsia="zh-CN"/>
        </w:rPr>
        <w:t>(成交)</w:t>
      </w:r>
      <w:r>
        <w:rPr>
          <w:rFonts w:hint="eastAsia" w:ascii="微软雅黑" w:hAnsi="微软雅黑" w:eastAsia="微软雅黑" w:cs="微软雅黑"/>
          <w:color w:val="auto"/>
          <w:sz w:val="24"/>
          <w:szCs w:val="24"/>
          <w:highlight w:val="none"/>
        </w:rPr>
        <w:t>候选人。</w:t>
      </w:r>
    </w:p>
    <w:p w14:paraId="72182E52">
      <w:pPr>
        <w:keepNext w:val="0"/>
        <w:keepLines w:val="0"/>
        <w:pageBreakBefore w:val="0"/>
        <w:widowControl/>
        <w:shd w:val="clear" w:color="auto" w:fill="auto"/>
        <w:kinsoku/>
        <w:wordWrap/>
        <w:overflowPunct/>
        <w:topLinePunct w:val="0"/>
        <w:bidi w:val="0"/>
        <w:spacing w:line="480" w:lineRule="exact"/>
        <w:ind w:firstLine="240" w:firstLineChars="1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非单一产品采购项目，采购人应当根据采购项目技术构成、产品价格比重等合理确定核心产品，并在</w:t>
      </w:r>
      <w:r>
        <w:rPr>
          <w:rFonts w:hint="eastAsia" w:ascii="微软雅黑" w:hAnsi="微软雅黑" w:eastAsia="微软雅黑" w:cs="微软雅黑"/>
          <w:color w:val="auto"/>
          <w:sz w:val="24"/>
          <w:szCs w:val="24"/>
          <w:highlight w:val="none"/>
          <w:lang w:eastAsia="zh-CN"/>
        </w:rPr>
        <w:t>竞争性磋商文件</w:t>
      </w:r>
      <w:r>
        <w:rPr>
          <w:rFonts w:hint="eastAsia" w:ascii="微软雅黑" w:hAnsi="微软雅黑" w:eastAsia="微软雅黑" w:cs="微软雅黑"/>
          <w:color w:val="auto"/>
          <w:sz w:val="24"/>
          <w:szCs w:val="24"/>
          <w:highlight w:val="none"/>
        </w:rPr>
        <w:t xml:space="preserve">中载明。多家供应商提供的核心产品品牌相同的，按前款规定处理。      </w:t>
      </w:r>
    </w:p>
    <w:p w14:paraId="5760BF3C">
      <w:pPr>
        <w:keepNext w:val="0"/>
        <w:keepLines w:val="0"/>
        <w:pageBreakBefore w:val="0"/>
        <w:widowControl/>
        <w:shd w:val="clear" w:color="auto" w:fill="auto"/>
        <w:kinsoku/>
        <w:wordWrap/>
        <w:overflowPunct/>
        <w:topLinePunct w:val="0"/>
        <w:bidi w:val="0"/>
        <w:spacing w:line="480" w:lineRule="exact"/>
        <w:ind w:firstLine="480" w:firstLineChars="200"/>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7、</w:t>
      </w:r>
      <w:r>
        <w:rPr>
          <w:rFonts w:hint="eastAsia" w:ascii="微软雅黑" w:hAnsi="微软雅黑" w:eastAsia="微软雅黑" w:cs="微软雅黑"/>
          <w:b/>
          <w:bCs/>
          <w:color w:val="auto"/>
          <w:sz w:val="24"/>
          <w:szCs w:val="24"/>
          <w:highlight w:val="none"/>
        </w:rPr>
        <w:t>评委纪律</w:t>
      </w:r>
    </w:p>
    <w:p w14:paraId="3ABD26DC">
      <w:pPr>
        <w:keepNext w:val="0"/>
        <w:keepLines w:val="0"/>
        <w:pageBreakBefore w:val="0"/>
        <w:widowControl/>
        <w:shd w:val="clear" w:color="auto" w:fill="auto"/>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7.1</w:t>
      </w:r>
      <w:r>
        <w:rPr>
          <w:rFonts w:hint="eastAsia" w:ascii="微软雅黑" w:hAnsi="微软雅黑" w:eastAsia="微软雅黑" w:cs="微软雅黑"/>
          <w:color w:val="auto"/>
          <w:sz w:val="24"/>
          <w:szCs w:val="24"/>
          <w:highlight w:val="none"/>
        </w:rPr>
        <w:t>评标委员会成员必须严格遵守保密规定</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lang w:val="en-US" w:eastAsia="zh-CN"/>
        </w:rPr>
        <w:t>不得携带手机进入评标场所</w:t>
      </w:r>
      <w:r>
        <w:rPr>
          <w:rFonts w:hint="eastAsia" w:ascii="微软雅黑" w:hAnsi="微软雅黑" w:eastAsia="微软雅黑" w:cs="微软雅黑"/>
          <w:color w:val="auto"/>
          <w:sz w:val="24"/>
          <w:szCs w:val="24"/>
          <w:highlight w:val="none"/>
        </w:rPr>
        <w:t>，不得泄露评审的有关情况，任何单位和个人不得干扰、影响评标的正常进行，评标委员会成员不得私下与</w:t>
      </w:r>
      <w:r>
        <w:rPr>
          <w:rFonts w:hint="eastAsia" w:ascii="微软雅黑" w:hAnsi="微软雅黑" w:eastAsia="微软雅黑" w:cs="微软雅黑"/>
          <w:color w:val="auto"/>
          <w:sz w:val="24"/>
          <w:szCs w:val="24"/>
          <w:highlight w:val="none"/>
          <w:lang w:eastAsia="zh-CN"/>
        </w:rPr>
        <w:t>供应商</w:t>
      </w:r>
      <w:r>
        <w:rPr>
          <w:rFonts w:hint="eastAsia" w:ascii="微软雅黑" w:hAnsi="微软雅黑" w:eastAsia="微软雅黑" w:cs="微软雅黑"/>
          <w:color w:val="auto"/>
          <w:sz w:val="24"/>
          <w:szCs w:val="24"/>
          <w:highlight w:val="none"/>
        </w:rPr>
        <w:t>接触，不得出现</w:t>
      </w:r>
      <w:r>
        <w:rPr>
          <w:rFonts w:hint="eastAsia" w:ascii="微软雅黑" w:hAnsi="微软雅黑" w:eastAsia="微软雅黑" w:cs="微软雅黑"/>
          <w:color w:val="auto"/>
          <w:sz w:val="24"/>
          <w:szCs w:val="24"/>
          <w:highlight w:val="none"/>
          <w:lang w:val="en-US" w:eastAsia="zh-CN"/>
        </w:rPr>
        <w:t>新疆</w:t>
      </w:r>
      <w:r>
        <w:rPr>
          <w:rFonts w:hint="eastAsia" w:ascii="微软雅黑" w:hAnsi="微软雅黑" w:eastAsia="微软雅黑" w:cs="微软雅黑"/>
          <w:color w:val="auto"/>
          <w:sz w:val="24"/>
          <w:szCs w:val="24"/>
          <w:highlight w:val="none"/>
        </w:rPr>
        <w:t>政府采购活动现场组织管理办法中规定的其他禁止行为。</w:t>
      </w:r>
    </w:p>
    <w:p w14:paraId="3D780826">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微软雅黑" w:hAnsi="微软雅黑" w:eastAsia="微软雅黑" w:cs="微软雅黑"/>
          <w:b/>
          <w:bCs/>
          <w:color w:val="auto"/>
          <w:sz w:val="24"/>
          <w:szCs w:val="24"/>
        </w:rPr>
      </w:pPr>
      <w:r>
        <w:rPr>
          <w:rFonts w:hint="eastAsia" w:ascii="微软雅黑" w:hAnsi="微软雅黑" w:eastAsia="微软雅黑" w:cs="微软雅黑"/>
          <w:b/>
          <w:bCs/>
          <w:color w:val="auto"/>
          <w:sz w:val="24"/>
          <w:szCs w:val="24"/>
          <w:lang w:val="en-US" w:eastAsia="zh-CN"/>
        </w:rPr>
        <w:t>7.2</w:t>
      </w:r>
      <w:r>
        <w:rPr>
          <w:rFonts w:hint="eastAsia" w:ascii="微软雅黑" w:hAnsi="微软雅黑" w:eastAsia="微软雅黑" w:cs="微软雅黑"/>
          <w:b/>
          <w:bCs/>
          <w:color w:val="auto"/>
          <w:sz w:val="24"/>
          <w:szCs w:val="24"/>
        </w:rPr>
        <w:t>评标专家</w:t>
      </w:r>
      <w:r>
        <w:rPr>
          <w:rFonts w:hint="eastAsia" w:ascii="微软雅黑" w:hAnsi="微软雅黑" w:eastAsia="微软雅黑" w:cs="微软雅黑"/>
          <w:b/>
          <w:bCs/>
          <w:color w:val="auto"/>
          <w:kern w:val="0"/>
          <w:sz w:val="24"/>
          <w:szCs w:val="24"/>
        </w:rPr>
        <w:t>与供应商有下列利害关系之一的人员，应当回避</w:t>
      </w:r>
    </w:p>
    <w:p w14:paraId="47A1374A">
      <w:pPr>
        <w:pStyle w:val="51"/>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微软雅黑" w:hAnsi="微软雅黑" w:eastAsia="微软雅黑" w:cs="微软雅黑"/>
          <w:color w:val="auto"/>
          <w:sz w:val="24"/>
          <w:szCs w:val="24"/>
          <w:lang w:eastAsia="zh-CN"/>
        </w:rPr>
      </w:pPr>
      <w:r>
        <w:rPr>
          <w:rFonts w:hint="eastAsia" w:ascii="微软雅黑" w:hAnsi="微软雅黑" w:eastAsia="微软雅黑" w:cs="微软雅黑"/>
          <w:color w:val="auto"/>
          <w:sz w:val="24"/>
          <w:szCs w:val="24"/>
        </w:rPr>
        <w:t>1）参加采购活动前3年内与供应商存在劳动关系；</w:t>
      </w:r>
    </w:p>
    <w:p w14:paraId="6E239A0C">
      <w:pPr>
        <w:pStyle w:val="51"/>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微软雅黑" w:hAnsi="微软雅黑" w:eastAsia="微软雅黑" w:cs="微软雅黑"/>
          <w:color w:val="auto"/>
          <w:sz w:val="24"/>
          <w:szCs w:val="24"/>
          <w:lang w:eastAsia="zh-CN"/>
        </w:rPr>
      </w:pPr>
      <w:r>
        <w:rPr>
          <w:rFonts w:hint="eastAsia" w:ascii="微软雅黑" w:hAnsi="微软雅黑" w:eastAsia="微软雅黑" w:cs="微软雅黑"/>
          <w:color w:val="auto"/>
          <w:sz w:val="24"/>
          <w:szCs w:val="24"/>
        </w:rPr>
        <w:t>　</w:t>
      </w:r>
      <w:r>
        <w:rPr>
          <w:rFonts w:hint="eastAsia" w:ascii="微软雅黑" w:hAnsi="微软雅黑" w:eastAsia="微软雅黑" w:cs="微软雅黑"/>
          <w:color w:val="auto"/>
          <w:sz w:val="24"/>
          <w:szCs w:val="24"/>
          <w:lang w:val="en-US" w:eastAsia="zh-CN"/>
        </w:rPr>
        <w:t xml:space="preserve"> </w:t>
      </w:r>
      <w:r>
        <w:rPr>
          <w:rFonts w:hint="eastAsia" w:ascii="微软雅黑" w:hAnsi="微软雅黑" w:eastAsia="微软雅黑" w:cs="微软雅黑"/>
          <w:color w:val="auto"/>
          <w:sz w:val="24"/>
          <w:szCs w:val="24"/>
        </w:rPr>
        <w:t>2）参加采购活动前3年内担任供应商的董事、监事；</w:t>
      </w:r>
    </w:p>
    <w:p w14:paraId="28006BF4">
      <w:pPr>
        <w:pStyle w:val="51"/>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微软雅黑" w:hAnsi="微软雅黑" w:eastAsia="微软雅黑" w:cs="微软雅黑"/>
          <w:color w:val="auto"/>
          <w:sz w:val="24"/>
          <w:szCs w:val="24"/>
          <w:lang w:eastAsia="zh-CN"/>
        </w:rPr>
      </w:pPr>
      <w:r>
        <w:rPr>
          <w:rFonts w:hint="eastAsia" w:ascii="微软雅黑" w:hAnsi="微软雅黑" w:eastAsia="微软雅黑" w:cs="微软雅黑"/>
          <w:color w:val="auto"/>
          <w:sz w:val="24"/>
          <w:szCs w:val="24"/>
        </w:rPr>
        <w:t>　</w:t>
      </w:r>
      <w:r>
        <w:rPr>
          <w:rFonts w:hint="eastAsia" w:ascii="微软雅黑" w:hAnsi="微软雅黑" w:eastAsia="微软雅黑" w:cs="微软雅黑"/>
          <w:color w:val="auto"/>
          <w:sz w:val="24"/>
          <w:szCs w:val="24"/>
          <w:lang w:val="en-US" w:eastAsia="zh-CN"/>
        </w:rPr>
        <w:t xml:space="preserve"> </w:t>
      </w:r>
      <w:r>
        <w:rPr>
          <w:rFonts w:hint="eastAsia" w:ascii="微软雅黑" w:hAnsi="微软雅黑" w:eastAsia="微软雅黑" w:cs="微软雅黑"/>
          <w:color w:val="auto"/>
          <w:sz w:val="24"/>
          <w:szCs w:val="24"/>
        </w:rPr>
        <w:t>3）参加采购活动前3年内是供应商的控股股东或者实际控制人；</w:t>
      </w:r>
    </w:p>
    <w:p w14:paraId="49104E0C">
      <w:pPr>
        <w:pStyle w:val="51"/>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color w:val="auto"/>
        </w:rPr>
      </w:pPr>
      <w:r>
        <w:rPr>
          <w:rFonts w:hint="eastAsia" w:ascii="微软雅黑" w:hAnsi="微软雅黑" w:eastAsia="微软雅黑" w:cs="微软雅黑"/>
          <w:color w:val="auto"/>
          <w:sz w:val="24"/>
          <w:szCs w:val="24"/>
        </w:rPr>
        <w:t>　</w:t>
      </w:r>
      <w:r>
        <w:rPr>
          <w:rFonts w:hint="eastAsia" w:ascii="微软雅黑" w:hAnsi="微软雅黑" w:eastAsia="微软雅黑" w:cs="微软雅黑"/>
          <w:color w:val="auto"/>
          <w:sz w:val="24"/>
          <w:szCs w:val="24"/>
          <w:lang w:val="en-US" w:eastAsia="zh-CN"/>
        </w:rPr>
        <w:t xml:space="preserve"> </w:t>
      </w:r>
      <w:r>
        <w:rPr>
          <w:rFonts w:hint="eastAsia" w:ascii="微软雅黑" w:hAnsi="微软雅黑" w:eastAsia="微软雅黑" w:cs="微软雅黑"/>
          <w:color w:val="auto"/>
          <w:sz w:val="24"/>
          <w:szCs w:val="24"/>
        </w:rPr>
        <w:t>4）与供应商的法定代表人或者负责人有夫妻、直系血亲、三代以内旁系血亲或者近姻亲关系。</w:t>
      </w:r>
    </w:p>
    <w:p w14:paraId="630C0ED7">
      <w:pPr>
        <w:keepNext w:val="0"/>
        <w:keepLines w:val="0"/>
        <w:pageBreakBefore w:val="0"/>
        <w:widowControl/>
        <w:shd w:val="clear" w:color="auto" w:fill="auto"/>
        <w:kinsoku/>
        <w:wordWrap/>
        <w:overflowPunct/>
        <w:topLinePunct w:val="0"/>
        <w:bidi w:val="0"/>
        <w:spacing w:line="480" w:lineRule="exact"/>
        <w:ind w:firstLine="480" w:firstLineChars="200"/>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8、</w:t>
      </w:r>
      <w:r>
        <w:rPr>
          <w:rFonts w:hint="eastAsia" w:ascii="微软雅黑" w:hAnsi="微软雅黑" w:eastAsia="微软雅黑" w:cs="微软雅黑"/>
          <w:b/>
          <w:bCs/>
          <w:color w:val="auto"/>
          <w:sz w:val="24"/>
          <w:szCs w:val="24"/>
          <w:highlight w:val="none"/>
        </w:rPr>
        <w:t>评标程序</w:t>
      </w:r>
    </w:p>
    <w:p w14:paraId="132B4CA0">
      <w:pPr>
        <w:keepNext w:val="0"/>
        <w:keepLines w:val="0"/>
        <w:pageBreakBefore w:val="0"/>
        <w:widowControl/>
        <w:shd w:val="clear" w:color="auto" w:fill="auto"/>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8.</w:t>
      </w:r>
      <w:r>
        <w:rPr>
          <w:rFonts w:hint="eastAsia" w:ascii="微软雅黑" w:hAnsi="微软雅黑" w:eastAsia="微软雅黑" w:cs="微软雅黑"/>
          <w:color w:val="auto"/>
          <w:sz w:val="24"/>
          <w:szCs w:val="24"/>
          <w:highlight w:val="none"/>
        </w:rPr>
        <w:t>1 在评审专家中推选评标委员会组长，采购人代表不得担任评标委员会组长。</w:t>
      </w:r>
    </w:p>
    <w:p w14:paraId="29963E39">
      <w:pPr>
        <w:keepNext w:val="0"/>
        <w:keepLines w:val="0"/>
        <w:pageBreakBefore w:val="0"/>
        <w:widowControl/>
        <w:shd w:val="clear" w:color="auto" w:fill="auto"/>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8.</w:t>
      </w:r>
      <w:r>
        <w:rPr>
          <w:rFonts w:hint="eastAsia" w:ascii="微软雅黑" w:hAnsi="微软雅黑" w:eastAsia="微软雅黑" w:cs="微软雅黑"/>
          <w:color w:val="auto"/>
          <w:sz w:val="24"/>
          <w:szCs w:val="24"/>
          <w:highlight w:val="none"/>
        </w:rPr>
        <w:t>2 评标委员会组长召集成员认真阅读</w:t>
      </w:r>
      <w:r>
        <w:rPr>
          <w:rFonts w:hint="eastAsia" w:ascii="微软雅黑" w:hAnsi="微软雅黑" w:eastAsia="微软雅黑" w:cs="微软雅黑"/>
          <w:color w:val="auto"/>
          <w:sz w:val="24"/>
          <w:szCs w:val="24"/>
          <w:highlight w:val="none"/>
          <w:lang w:eastAsia="zh-CN"/>
        </w:rPr>
        <w:t>竞争性磋商文件</w:t>
      </w:r>
      <w:r>
        <w:rPr>
          <w:rFonts w:hint="eastAsia" w:ascii="微软雅黑" w:hAnsi="微软雅黑" w:eastAsia="微软雅黑" w:cs="微软雅黑"/>
          <w:color w:val="auto"/>
          <w:sz w:val="24"/>
          <w:szCs w:val="24"/>
          <w:highlight w:val="none"/>
        </w:rPr>
        <w:t>以及相关补充、质疑、答复文件、项目书面说明等材料，熟悉采购项目的基本概况，采购项目的质量要求、数量、主要技术标准或服务需求，采购合同主要条款，</w:t>
      </w:r>
      <w:r>
        <w:rPr>
          <w:rFonts w:hint="eastAsia" w:ascii="微软雅黑" w:hAnsi="微软雅黑" w:eastAsia="微软雅黑" w:cs="微软雅黑"/>
          <w:color w:val="auto"/>
          <w:sz w:val="24"/>
          <w:szCs w:val="24"/>
          <w:highlight w:val="none"/>
          <w:lang w:eastAsia="zh-CN"/>
        </w:rPr>
        <w:t>响应文件</w:t>
      </w:r>
      <w:r>
        <w:rPr>
          <w:rFonts w:hint="eastAsia" w:ascii="微软雅黑" w:hAnsi="微软雅黑" w:eastAsia="微软雅黑" w:cs="微软雅黑"/>
          <w:color w:val="auto"/>
          <w:sz w:val="24"/>
          <w:szCs w:val="24"/>
          <w:highlight w:val="none"/>
        </w:rPr>
        <w:t>无效情形，评审方法、评审依据、评审标准等。</w:t>
      </w:r>
    </w:p>
    <w:p w14:paraId="1625F68C">
      <w:pPr>
        <w:keepNext w:val="0"/>
        <w:keepLines w:val="0"/>
        <w:pageBreakBefore w:val="0"/>
        <w:widowControl/>
        <w:shd w:val="clear" w:color="auto" w:fill="auto"/>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8.</w:t>
      </w:r>
      <w:r>
        <w:rPr>
          <w:rFonts w:hint="eastAsia" w:ascii="微软雅黑" w:hAnsi="微软雅黑" w:eastAsia="微软雅黑" w:cs="微软雅黑"/>
          <w:color w:val="auto"/>
          <w:sz w:val="24"/>
          <w:szCs w:val="24"/>
          <w:highlight w:val="none"/>
        </w:rPr>
        <w:t xml:space="preserve">3 </w:t>
      </w:r>
      <w:r>
        <w:rPr>
          <w:rFonts w:hint="eastAsia" w:ascii="微软雅黑" w:hAnsi="微软雅黑" w:eastAsia="微软雅黑" w:cs="微软雅黑"/>
          <w:color w:val="auto"/>
          <w:sz w:val="24"/>
          <w:szCs w:val="24"/>
          <w:highlight w:val="none"/>
          <w:lang w:eastAsia="zh-CN"/>
        </w:rPr>
        <w:t>评审专家</w:t>
      </w:r>
      <w:r>
        <w:rPr>
          <w:rFonts w:hint="eastAsia" w:ascii="微软雅黑" w:hAnsi="微软雅黑" w:eastAsia="微软雅黑" w:cs="微软雅黑"/>
          <w:color w:val="auto"/>
          <w:sz w:val="24"/>
          <w:szCs w:val="24"/>
          <w:highlight w:val="none"/>
        </w:rPr>
        <w:t>对符合资格的供应商的</w:t>
      </w:r>
      <w:r>
        <w:rPr>
          <w:rFonts w:hint="eastAsia" w:ascii="微软雅黑" w:hAnsi="微软雅黑" w:eastAsia="微软雅黑" w:cs="微软雅黑"/>
          <w:color w:val="auto"/>
          <w:sz w:val="24"/>
          <w:szCs w:val="24"/>
          <w:highlight w:val="none"/>
          <w:lang w:eastAsia="zh-CN"/>
        </w:rPr>
        <w:t>响应文件</w:t>
      </w:r>
      <w:r>
        <w:rPr>
          <w:rFonts w:hint="eastAsia" w:ascii="微软雅黑" w:hAnsi="微软雅黑" w:eastAsia="微软雅黑" w:cs="微软雅黑"/>
          <w:color w:val="auto"/>
          <w:sz w:val="24"/>
          <w:szCs w:val="24"/>
          <w:highlight w:val="none"/>
        </w:rPr>
        <w:t>的有效性、符合性、完整性和响应程度进行审查，确定是否对</w:t>
      </w:r>
      <w:r>
        <w:rPr>
          <w:rFonts w:hint="eastAsia" w:ascii="微软雅黑" w:hAnsi="微软雅黑" w:eastAsia="微软雅黑" w:cs="微软雅黑"/>
          <w:color w:val="auto"/>
          <w:sz w:val="24"/>
          <w:szCs w:val="24"/>
          <w:highlight w:val="none"/>
          <w:lang w:eastAsia="zh-CN"/>
        </w:rPr>
        <w:t>竞争性磋商文件</w:t>
      </w:r>
      <w:r>
        <w:rPr>
          <w:rFonts w:hint="eastAsia" w:ascii="微软雅黑" w:hAnsi="微软雅黑" w:eastAsia="微软雅黑" w:cs="微软雅黑"/>
          <w:color w:val="auto"/>
          <w:sz w:val="24"/>
          <w:szCs w:val="24"/>
          <w:highlight w:val="none"/>
        </w:rPr>
        <w:t>作出实质性响应。</w:t>
      </w:r>
    </w:p>
    <w:p w14:paraId="4540FFB6">
      <w:pPr>
        <w:ind w:firstLine="480" w:firstLineChars="200"/>
        <w:jc w:val="both"/>
        <w:outlineLvl w:val="9"/>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8.4竞争性磋商共有两次报价，二次报价为最终报价，对竞争性磋商文件做出实质性响应的供应商，评审专家所有成员应当集中与单一供应商分别进行磋商，并给予所有参加磋商的供应商平等的磋商机会。评审专家要求所有实质性响应的供应商在规定时间内提交最后报价（提交最后报价的供应商不得少于3家），最后报价是供应商响应文件的有效组成部分，经磋商确定最终采购需求和提交最后报价的供应商后，由评审专家采用综合评分法对提交最后报价的供应商的响应文件进行综合评分。</w:t>
      </w:r>
    </w:p>
    <w:p w14:paraId="62E6F79E">
      <w:pPr>
        <w:keepNext w:val="0"/>
        <w:keepLines w:val="0"/>
        <w:pageBreakBefore w:val="0"/>
        <w:widowControl/>
        <w:shd w:val="clear" w:color="auto" w:fill="auto"/>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8.5</w:t>
      </w:r>
      <w:r>
        <w:rPr>
          <w:rFonts w:hint="eastAsia" w:ascii="微软雅黑" w:hAnsi="微软雅黑" w:eastAsia="微软雅黑" w:cs="微软雅黑"/>
          <w:color w:val="auto"/>
          <w:sz w:val="24"/>
          <w:szCs w:val="24"/>
          <w:highlight w:val="none"/>
          <w:lang w:eastAsia="zh-CN"/>
        </w:rPr>
        <w:t>评审专家</w:t>
      </w:r>
      <w:r>
        <w:rPr>
          <w:rFonts w:hint="eastAsia" w:ascii="微软雅黑" w:hAnsi="微软雅黑" w:eastAsia="微软雅黑" w:cs="微软雅黑"/>
          <w:color w:val="auto"/>
          <w:sz w:val="24"/>
          <w:szCs w:val="24"/>
          <w:highlight w:val="none"/>
        </w:rPr>
        <w:t>按</w:t>
      </w:r>
      <w:r>
        <w:rPr>
          <w:rFonts w:hint="eastAsia" w:ascii="微软雅黑" w:hAnsi="微软雅黑" w:eastAsia="微软雅黑" w:cs="微软雅黑"/>
          <w:color w:val="auto"/>
          <w:sz w:val="24"/>
          <w:szCs w:val="24"/>
          <w:highlight w:val="none"/>
          <w:lang w:eastAsia="zh-CN"/>
        </w:rPr>
        <w:t>竞争性磋商文件</w:t>
      </w:r>
      <w:r>
        <w:rPr>
          <w:rFonts w:hint="eastAsia" w:ascii="微软雅黑" w:hAnsi="微软雅黑" w:eastAsia="微软雅黑" w:cs="微软雅黑"/>
          <w:color w:val="auto"/>
          <w:sz w:val="24"/>
          <w:szCs w:val="24"/>
          <w:highlight w:val="none"/>
        </w:rPr>
        <w:t>规定的评审方法和评审标准，依法独立对供应商</w:t>
      </w:r>
      <w:r>
        <w:rPr>
          <w:rFonts w:hint="eastAsia" w:ascii="微软雅黑" w:hAnsi="微软雅黑" w:eastAsia="微软雅黑" w:cs="微软雅黑"/>
          <w:color w:val="auto"/>
          <w:sz w:val="24"/>
          <w:szCs w:val="24"/>
          <w:highlight w:val="none"/>
          <w:lang w:eastAsia="zh-CN"/>
        </w:rPr>
        <w:t>响应文件</w:t>
      </w:r>
      <w:r>
        <w:rPr>
          <w:rFonts w:hint="eastAsia" w:ascii="微软雅黑" w:hAnsi="微软雅黑" w:eastAsia="微软雅黑" w:cs="微软雅黑"/>
          <w:color w:val="auto"/>
          <w:sz w:val="24"/>
          <w:szCs w:val="24"/>
          <w:highlight w:val="none"/>
        </w:rPr>
        <w:t>进行评估、比较，并给予评价或打分，不受任何单位和个人的干预。</w:t>
      </w:r>
    </w:p>
    <w:p w14:paraId="276ED2C8">
      <w:pPr>
        <w:keepNext w:val="0"/>
        <w:keepLines w:val="0"/>
        <w:pageBreakBefore w:val="0"/>
        <w:widowControl/>
        <w:shd w:val="clear" w:color="auto" w:fill="auto"/>
        <w:kinsoku/>
        <w:wordWrap/>
        <w:overflowPunct/>
        <w:topLinePunct w:val="0"/>
        <w:bidi w:val="0"/>
        <w:spacing w:line="480" w:lineRule="exact"/>
        <w:ind w:firstLine="480"/>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b/>
          <w:bCs/>
          <w:color w:val="auto"/>
          <w:kern w:val="0"/>
          <w:sz w:val="24"/>
          <w:szCs w:val="24"/>
          <w:highlight w:val="none"/>
          <w:lang w:eastAsia="zh-CN"/>
        </w:rPr>
        <w:t>本项目采用：</w:t>
      </w:r>
      <w:r>
        <w:rPr>
          <w:rFonts w:hint="eastAsia" w:ascii="微软雅黑" w:hAnsi="微软雅黑" w:eastAsia="微软雅黑" w:cs="微软雅黑"/>
          <w:b/>
          <w:bCs/>
          <w:color w:val="auto"/>
          <w:kern w:val="0"/>
          <w:sz w:val="24"/>
          <w:szCs w:val="24"/>
          <w:highlight w:val="none"/>
        </w:rPr>
        <w:t>综合评分法</w:t>
      </w:r>
      <w:r>
        <w:rPr>
          <w:rFonts w:hint="eastAsia" w:ascii="微软雅黑" w:hAnsi="微软雅黑" w:eastAsia="微软雅黑" w:cs="微软雅黑"/>
          <w:b/>
          <w:bCs/>
          <w:color w:val="auto"/>
          <w:kern w:val="0"/>
          <w:sz w:val="24"/>
          <w:szCs w:val="24"/>
          <w:highlight w:val="none"/>
          <w:lang w:eastAsia="zh-CN"/>
        </w:rPr>
        <w:t>，</w:t>
      </w:r>
      <w:r>
        <w:rPr>
          <w:rFonts w:hint="eastAsia" w:ascii="微软雅黑" w:hAnsi="微软雅黑" w:eastAsia="微软雅黑" w:cs="微软雅黑"/>
          <w:color w:val="auto"/>
          <w:kern w:val="0"/>
          <w:sz w:val="24"/>
          <w:szCs w:val="24"/>
          <w:highlight w:val="none"/>
        </w:rPr>
        <w:t>是指响应文件满足磋商文件全部实质性要求且按评审因素的量化指标评审得分最高的供应商为成交候选供应商的评审方法。</w:t>
      </w:r>
    </w:p>
    <w:p w14:paraId="291C9A92">
      <w:pPr>
        <w:keepNext w:val="0"/>
        <w:keepLines w:val="0"/>
        <w:pageBreakBefore w:val="0"/>
        <w:widowControl/>
        <w:shd w:val="clear" w:color="auto" w:fill="auto"/>
        <w:kinsoku/>
        <w:wordWrap/>
        <w:overflowPunct/>
        <w:topLinePunct w:val="0"/>
        <w:bidi w:val="0"/>
        <w:spacing w:line="480" w:lineRule="exact"/>
        <w:ind w:firstLine="480"/>
        <w:rPr>
          <w:rFonts w:hint="default" w:ascii="微软雅黑" w:hAnsi="微软雅黑" w:eastAsia="微软雅黑" w:cs="微软雅黑"/>
          <w:b/>
          <w:bCs/>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rPr>
        <w:t>综合评分法中的价格分统一采用低价优先法计算，即满足</w:t>
      </w:r>
      <w:r>
        <w:rPr>
          <w:rFonts w:hint="eastAsia" w:ascii="微软雅黑" w:hAnsi="微软雅黑" w:eastAsia="微软雅黑" w:cs="微软雅黑"/>
          <w:color w:val="auto"/>
          <w:kern w:val="0"/>
          <w:sz w:val="24"/>
          <w:szCs w:val="24"/>
          <w:highlight w:val="none"/>
          <w:lang w:eastAsia="zh-CN"/>
        </w:rPr>
        <w:t>磋商文件</w:t>
      </w:r>
      <w:r>
        <w:rPr>
          <w:rFonts w:hint="eastAsia" w:ascii="微软雅黑" w:hAnsi="微软雅黑" w:eastAsia="微软雅黑" w:cs="微软雅黑"/>
          <w:color w:val="auto"/>
          <w:kern w:val="0"/>
          <w:sz w:val="24"/>
          <w:szCs w:val="24"/>
          <w:highlight w:val="none"/>
        </w:rPr>
        <w:t>要求且最后报价最低的供应商的价格为</w:t>
      </w:r>
      <w:r>
        <w:rPr>
          <w:rFonts w:hint="eastAsia" w:ascii="微软雅黑" w:hAnsi="微软雅黑" w:eastAsia="微软雅黑" w:cs="微软雅黑"/>
          <w:color w:val="auto"/>
          <w:kern w:val="0"/>
          <w:sz w:val="24"/>
          <w:szCs w:val="24"/>
          <w:highlight w:val="none"/>
          <w:lang w:eastAsia="zh-CN"/>
        </w:rPr>
        <w:t>招标</w:t>
      </w:r>
      <w:r>
        <w:rPr>
          <w:rFonts w:hint="eastAsia" w:ascii="微软雅黑" w:hAnsi="微软雅黑" w:eastAsia="微软雅黑" w:cs="微软雅黑"/>
          <w:color w:val="auto"/>
          <w:kern w:val="0"/>
          <w:sz w:val="24"/>
          <w:szCs w:val="24"/>
          <w:highlight w:val="none"/>
        </w:rPr>
        <w:t>基准价，其价格分为满分。</w:t>
      </w:r>
    </w:p>
    <w:p w14:paraId="73A97E30">
      <w:pPr>
        <w:keepNext w:val="0"/>
        <w:keepLines w:val="0"/>
        <w:pageBreakBefore w:val="0"/>
        <w:widowControl/>
        <w:shd w:val="clear" w:color="auto" w:fill="auto"/>
        <w:kinsoku/>
        <w:wordWrap/>
        <w:overflowPunct/>
        <w:topLinePunct w:val="0"/>
        <w:bidi w:val="0"/>
        <w:spacing w:line="480" w:lineRule="exact"/>
        <w:ind w:firstLine="480"/>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kern w:val="0"/>
          <w:sz w:val="24"/>
          <w:szCs w:val="24"/>
          <w:highlight w:val="none"/>
        </w:rPr>
        <w:t>项目评审过程中，不得去掉最后报价中的最高报价和最低报价。</w:t>
      </w:r>
    </w:p>
    <w:p w14:paraId="5BF9BA1C">
      <w:pPr>
        <w:keepNext w:val="0"/>
        <w:keepLines w:val="0"/>
        <w:pageBreakBefore w:val="0"/>
        <w:widowControl/>
        <w:shd w:val="clear" w:color="auto" w:fill="auto"/>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8.6</w:t>
      </w:r>
      <w:r>
        <w:rPr>
          <w:rFonts w:hint="eastAsia" w:ascii="微软雅黑" w:hAnsi="微软雅黑" w:eastAsia="微软雅黑" w:cs="微软雅黑"/>
          <w:color w:val="auto"/>
          <w:sz w:val="24"/>
          <w:szCs w:val="24"/>
          <w:highlight w:val="none"/>
          <w:lang w:eastAsia="zh-CN"/>
        </w:rPr>
        <w:t>评审专家</w:t>
      </w:r>
      <w:r>
        <w:rPr>
          <w:rFonts w:hint="eastAsia" w:ascii="微软雅黑" w:hAnsi="微软雅黑" w:eastAsia="微软雅黑" w:cs="微软雅黑"/>
          <w:color w:val="auto"/>
          <w:sz w:val="24"/>
          <w:szCs w:val="24"/>
          <w:highlight w:val="none"/>
        </w:rPr>
        <w:t>对各供应商</w:t>
      </w:r>
      <w:r>
        <w:rPr>
          <w:rFonts w:hint="eastAsia" w:ascii="微软雅黑" w:hAnsi="微软雅黑" w:eastAsia="微软雅黑" w:cs="微软雅黑"/>
          <w:color w:val="auto"/>
          <w:sz w:val="24"/>
          <w:szCs w:val="24"/>
          <w:highlight w:val="none"/>
          <w:lang w:eastAsia="zh-CN"/>
        </w:rPr>
        <w:t>响应文件</w:t>
      </w:r>
      <w:r>
        <w:rPr>
          <w:rFonts w:hint="eastAsia" w:ascii="微软雅黑" w:hAnsi="微软雅黑" w:eastAsia="微软雅黑" w:cs="微软雅黑"/>
          <w:color w:val="auto"/>
          <w:sz w:val="24"/>
          <w:szCs w:val="24"/>
          <w:highlight w:val="none"/>
        </w:rPr>
        <w:t>非实质性内容有疑议或异议，或者审查发现明显的文字或计算错误等，及时向评标委员会组长提出。经评标委员会商议认为需要供应商作出必要澄清、说明或者补正的，应当以在线询标形式要求供应商作出必要的澄清、说明或者补正。澄清、说明或者补正的内容应作为政府采购项目档案归档留存。</w:t>
      </w:r>
    </w:p>
    <w:p w14:paraId="0FCA6128">
      <w:pPr>
        <w:keepNext w:val="0"/>
        <w:keepLines w:val="0"/>
        <w:pageBreakBefore w:val="0"/>
        <w:widowControl/>
        <w:shd w:val="clear" w:color="auto" w:fill="auto"/>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8.7</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z w:val="24"/>
          <w:szCs w:val="24"/>
          <w:highlight w:val="none"/>
          <w:lang w:eastAsia="zh-CN"/>
        </w:rPr>
        <w:t>评审专家</w:t>
      </w:r>
      <w:r>
        <w:rPr>
          <w:rFonts w:hint="eastAsia" w:ascii="微软雅黑" w:hAnsi="微软雅黑" w:eastAsia="微软雅黑" w:cs="微软雅黑"/>
          <w:color w:val="auto"/>
          <w:sz w:val="24"/>
          <w:szCs w:val="24"/>
          <w:highlight w:val="none"/>
        </w:rPr>
        <w:t>需对采购方工作人员唱票或统计的评审结果进行确认，现场监督员应对评审结果签署监督意见。如发现分值汇总计算错误、分项评分超出评分标准范围、客观评分不一致以及存在评分畸高、畸低情形的，应由相关人员当场改正或作出书面说明；拒不改正又不作书面说明的，由现场监督员如实记载后存入项目档案资料。</w:t>
      </w:r>
    </w:p>
    <w:p w14:paraId="700C9767">
      <w:pPr>
        <w:keepNext w:val="0"/>
        <w:keepLines w:val="0"/>
        <w:pageBreakBefore w:val="0"/>
        <w:widowControl/>
        <w:shd w:val="clear" w:color="auto" w:fill="auto"/>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8.8</w:t>
      </w:r>
      <w:r>
        <w:rPr>
          <w:rFonts w:hint="eastAsia" w:ascii="微软雅黑" w:hAnsi="微软雅黑" w:eastAsia="微软雅黑" w:cs="微软雅黑"/>
          <w:color w:val="auto"/>
          <w:sz w:val="24"/>
          <w:szCs w:val="24"/>
          <w:highlight w:val="none"/>
        </w:rPr>
        <w:t xml:space="preserve"> 评标委员会根据评审汇总情况和</w:t>
      </w:r>
      <w:r>
        <w:rPr>
          <w:rFonts w:hint="eastAsia" w:ascii="微软雅黑" w:hAnsi="微软雅黑" w:eastAsia="微软雅黑" w:cs="微软雅黑"/>
          <w:color w:val="auto"/>
          <w:sz w:val="24"/>
          <w:szCs w:val="24"/>
          <w:highlight w:val="none"/>
          <w:lang w:eastAsia="zh-CN"/>
        </w:rPr>
        <w:t>竞争性磋商文件</w:t>
      </w:r>
      <w:r>
        <w:rPr>
          <w:rFonts w:hint="eastAsia" w:ascii="微软雅黑" w:hAnsi="微软雅黑" w:eastAsia="微软雅黑" w:cs="微软雅黑"/>
          <w:color w:val="auto"/>
          <w:sz w:val="24"/>
          <w:szCs w:val="24"/>
          <w:highlight w:val="none"/>
        </w:rPr>
        <w:t>规定</w:t>
      </w:r>
      <w:r>
        <w:rPr>
          <w:rFonts w:hint="eastAsia" w:ascii="微软雅黑" w:hAnsi="微软雅黑" w:eastAsia="微软雅黑" w:cs="微软雅黑"/>
          <w:color w:val="auto"/>
          <w:sz w:val="24"/>
          <w:szCs w:val="24"/>
          <w:highlight w:val="none"/>
          <w:lang w:eastAsia="zh-CN"/>
        </w:rPr>
        <w:t>推荐</w:t>
      </w:r>
      <w:r>
        <w:rPr>
          <w:rFonts w:hint="eastAsia" w:ascii="微软雅黑" w:hAnsi="微软雅黑" w:eastAsia="微软雅黑" w:cs="微软雅黑"/>
          <w:color w:val="auto"/>
          <w:sz w:val="24"/>
          <w:szCs w:val="24"/>
          <w:highlight w:val="none"/>
        </w:rPr>
        <w:t>中标中标</w:t>
      </w:r>
      <w:r>
        <w:rPr>
          <w:rFonts w:hint="eastAsia" w:ascii="微软雅黑" w:hAnsi="微软雅黑" w:eastAsia="微软雅黑" w:cs="微软雅黑"/>
          <w:color w:val="auto"/>
          <w:sz w:val="24"/>
          <w:szCs w:val="24"/>
          <w:highlight w:val="none"/>
          <w:lang w:val="en-US" w:eastAsia="zh-CN"/>
        </w:rPr>
        <w:t>(成交)</w:t>
      </w:r>
      <w:r>
        <w:rPr>
          <w:rFonts w:hint="eastAsia" w:ascii="微软雅黑" w:hAnsi="微软雅黑" w:eastAsia="微软雅黑" w:cs="微软雅黑"/>
          <w:color w:val="auto"/>
          <w:sz w:val="24"/>
          <w:szCs w:val="24"/>
          <w:highlight w:val="none"/>
        </w:rPr>
        <w:t>候选供应商排序名单。</w:t>
      </w:r>
    </w:p>
    <w:p w14:paraId="3BF6851D">
      <w:pPr>
        <w:keepNext w:val="0"/>
        <w:keepLines w:val="0"/>
        <w:pageBreakBefore w:val="0"/>
        <w:widowControl/>
        <w:shd w:val="clear" w:color="auto" w:fill="auto"/>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8.9</w:t>
      </w:r>
      <w:r>
        <w:rPr>
          <w:rFonts w:hint="eastAsia" w:ascii="微软雅黑" w:hAnsi="微软雅黑" w:eastAsia="微软雅黑" w:cs="微软雅黑"/>
          <w:color w:val="auto"/>
          <w:sz w:val="24"/>
          <w:szCs w:val="24"/>
          <w:highlight w:val="none"/>
        </w:rPr>
        <w:t xml:space="preserve"> 起草评审报告，所有</w:t>
      </w:r>
      <w:r>
        <w:rPr>
          <w:rFonts w:hint="eastAsia" w:ascii="微软雅黑" w:hAnsi="微软雅黑" w:eastAsia="微软雅黑" w:cs="微软雅黑"/>
          <w:color w:val="auto"/>
          <w:sz w:val="24"/>
          <w:szCs w:val="24"/>
          <w:highlight w:val="none"/>
          <w:lang w:eastAsia="zh-CN"/>
        </w:rPr>
        <w:t>评审专家</w:t>
      </w:r>
      <w:r>
        <w:rPr>
          <w:rFonts w:hint="eastAsia" w:ascii="微软雅黑" w:hAnsi="微软雅黑" w:eastAsia="微软雅黑" w:cs="微软雅黑"/>
          <w:color w:val="auto"/>
          <w:sz w:val="24"/>
          <w:szCs w:val="24"/>
          <w:highlight w:val="none"/>
        </w:rPr>
        <w:t xml:space="preserve">须在评审报告上签字确认，对自己的评审意见承担法律责任。 </w:t>
      </w:r>
    </w:p>
    <w:p w14:paraId="7B79E625">
      <w:pPr>
        <w:keepNext w:val="0"/>
        <w:keepLines w:val="0"/>
        <w:pageBreakBefore w:val="0"/>
        <w:widowControl/>
        <w:shd w:val="clear" w:color="auto" w:fill="auto"/>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8.10</w:t>
      </w:r>
      <w:r>
        <w:rPr>
          <w:rFonts w:hint="eastAsia" w:ascii="微软雅黑" w:hAnsi="微软雅黑" w:eastAsia="微软雅黑" w:cs="微软雅黑"/>
          <w:color w:val="auto"/>
          <w:sz w:val="24"/>
          <w:szCs w:val="24"/>
          <w:highlight w:val="none"/>
        </w:rPr>
        <w:t xml:space="preserve"> 采购组织机构对评标委员会评审专家进行评价。</w:t>
      </w:r>
    </w:p>
    <w:p w14:paraId="1DDE58E4">
      <w:pPr>
        <w:keepNext w:val="0"/>
        <w:keepLines w:val="0"/>
        <w:pageBreakBefore w:val="0"/>
        <w:widowControl/>
        <w:shd w:val="clear" w:color="auto" w:fill="auto"/>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8.11</w:t>
      </w:r>
      <w:r>
        <w:rPr>
          <w:rFonts w:hint="eastAsia" w:ascii="微软雅黑" w:hAnsi="微软雅黑" w:eastAsia="微软雅黑" w:cs="微软雅黑"/>
          <w:color w:val="auto"/>
          <w:sz w:val="24"/>
          <w:szCs w:val="24"/>
          <w:highlight w:val="none"/>
        </w:rPr>
        <w:t>修改评审结果</w:t>
      </w:r>
    </w:p>
    <w:p w14:paraId="2B08B91B">
      <w:pPr>
        <w:keepNext w:val="0"/>
        <w:keepLines w:val="0"/>
        <w:pageBreakBefore w:val="0"/>
        <w:widowControl/>
        <w:shd w:val="clear" w:color="auto" w:fill="auto"/>
        <w:kinsoku/>
        <w:wordWrap/>
        <w:overflowPunct/>
        <w:topLinePunct w:val="0"/>
        <w:bidi w:val="0"/>
        <w:spacing w:line="480" w:lineRule="exact"/>
        <w:ind w:firstLine="240" w:firstLineChars="1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评标结果汇总完成后，除下列情形外，任何人不得修改评标结果：</w:t>
      </w:r>
    </w:p>
    <w:p w14:paraId="4A2B7993">
      <w:pPr>
        <w:keepNext w:val="0"/>
        <w:keepLines w:val="0"/>
        <w:pageBreakBefore w:val="0"/>
        <w:widowControl/>
        <w:shd w:val="clear" w:color="auto" w:fill="auto"/>
        <w:kinsoku/>
        <w:wordWrap/>
        <w:overflowPunct/>
        <w:topLinePunct w:val="0"/>
        <w:bidi w:val="0"/>
        <w:spacing w:line="480" w:lineRule="exact"/>
        <w:ind w:firstLine="240" w:firstLineChars="1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（1）分值汇总计算错误的；</w:t>
      </w:r>
    </w:p>
    <w:p w14:paraId="4C28E539">
      <w:pPr>
        <w:keepNext w:val="0"/>
        <w:keepLines w:val="0"/>
        <w:pageBreakBefore w:val="0"/>
        <w:widowControl/>
        <w:shd w:val="clear" w:color="auto" w:fill="auto"/>
        <w:kinsoku/>
        <w:wordWrap/>
        <w:overflowPunct/>
        <w:topLinePunct w:val="0"/>
        <w:bidi w:val="0"/>
        <w:spacing w:line="480" w:lineRule="exact"/>
        <w:ind w:firstLine="240" w:firstLineChars="1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（2）分项评分超出评分标准范围的；</w:t>
      </w:r>
    </w:p>
    <w:p w14:paraId="54D901E6">
      <w:pPr>
        <w:keepNext w:val="0"/>
        <w:keepLines w:val="0"/>
        <w:pageBreakBefore w:val="0"/>
        <w:widowControl/>
        <w:shd w:val="clear" w:color="auto" w:fill="auto"/>
        <w:kinsoku/>
        <w:wordWrap/>
        <w:overflowPunct/>
        <w:topLinePunct w:val="0"/>
        <w:bidi w:val="0"/>
        <w:spacing w:line="480" w:lineRule="exact"/>
        <w:ind w:firstLine="240" w:firstLineChars="1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（3）评标委员会成员对客观评审因素评分不一致的；</w:t>
      </w:r>
    </w:p>
    <w:p w14:paraId="230D9622">
      <w:pPr>
        <w:keepNext w:val="0"/>
        <w:keepLines w:val="0"/>
        <w:pageBreakBefore w:val="0"/>
        <w:widowControl/>
        <w:shd w:val="clear" w:color="auto" w:fill="auto"/>
        <w:kinsoku/>
        <w:wordWrap/>
        <w:overflowPunct/>
        <w:topLinePunct w:val="0"/>
        <w:bidi w:val="0"/>
        <w:spacing w:line="480" w:lineRule="exact"/>
        <w:ind w:firstLine="240" w:firstLineChars="1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（4）经评标委员会认定评分畸高、畸低的。</w:t>
      </w:r>
    </w:p>
    <w:p w14:paraId="0588C19E">
      <w:pPr>
        <w:keepNext w:val="0"/>
        <w:keepLines w:val="0"/>
        <w:pageBreakBefore w:val="0"/>
        <w:widowControl/>
        <w:shd w:val="clear" w:color="auto" w:fill="auto"/>
        <w:kinsoku/>
        <w:wordWrap/>
        <w:overflowPunct/>
        <w:topLinePunct w:val="0"/>
        <w:bidi w:val="0"/>
        <w:spacing w:line="480" w:lineRule="exact"/>
        <w:ind w:firstLine="240" w:firstLineChars="1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14:paraId="130F6118">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9、澄清、说明或补正的形式</w:t>
      </w:r>
    </w:p>
    <w:p w14:paraId="54491C6C">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9.1对于响应文件中含义不明确、同类问题表述不一致或者有明显文字和计算错误的内容，评标委员会将通过“政府采购云平台”在线询标的方式要求供应商在规定的时间内作出必要的澄清、说明或者补正，</w:t>
      </w:r>
      <w:r>
        <w:rPr>
          <w:rFonts w:hint="eastAsia" w:ascii="微软雅黑" w:hAnsi="微软雅黑" w:eastAsia="微软雅黑" w:cs="微软雅黑"/>
          <w:b/>
          <w:bCs/>
          <w:color w:val="auto"/>
          <w:sz w:val="24"/>
          <w:szCs w:val="24"/>
          <w:highlight w:val="none"/>
          <w:lang w:val="en-US" w:eastAsia="zh-CN"/>
        </w:rPr>
        <w:t>供应商澄清、说明或补正时间为20分钟</w:t>
      </w:r>
      <w:r>
        <w:rPr>
          <w:rFonts w:hint="eastAsia" w:ascii="微软雅黑" w:hAnsi="微软雅黑" w:eastAsia="微软雅黑" w:cs="微软雅黑"/>
          <w:b w:val="0"/>
          <w:bCs w:val="0"/>
          <w:color w:val="auto"/>
          <w:sz w:val="24"/>
          <w:szCs w:val="24"/>
          <w:highlight w:val="none"/>
          <w:lang w:val="en-US" w:eastAsia="zh-CN"/>
        </w:rPr>
        <w:t>。</w:t>
      </w:r>
    </w:p>
    <w:p w14:paraId="54CFD34C">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9.2供应商的澄清、说明或者补正应当通过“政府采购云平台”在线答复的方式提交，并加盖公章（电子印章），或者由法定代表人（负责人）或其授权的代表签字。供应商的澄清、说明或者补正不得超出响应文件的范围或者改变响应文件的实质性内容，不接受供应商主动对响应文件的澄清、说明或者补正。</w:t>
      </w:r>
    </w:p>
    <w:p w14:paraId="4778A3E2">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9.3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14:paraId="45DCD7AF">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10、错误修正的原则</w:t>
      </w:r>
    </w:p>
    <w:p w14:paraId="1D1D748F">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10.1电子交易平台客户端里开标一览表录入的磋商报价或优惠率与扫描上传的报价文件信息不一致的，以扫描上传的报价文件信息为准进行修正。</w:t>
      </w:r>
    </w:p>
    <w:p w14:paraId="3DC72F06">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10.2响应文件报价出现前后不一致的，除竞争性磋商文件另有规定外，按照下列规定修正：</w:t>
      </w:r>
    </w:p>
    <w:p w14:paraId="61494CDF">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10.3投标函中表述的内容与报价表中不一致的，以报价表为准；报价表中的内容与报价明细表不一致的，以报价表为准；</w:t>
      </w:r>
    </w:p>
    <w:p w14:paraId="54735898">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10.4响应文件中的大写金额和小写金额不一致的，以大写金额为准；</w:t>
      </w:r>
    </w:p>
    <w:p w14:paraId="6B7212AD">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10.5单价金额小数点或者百分比有明显错位的，以开标一览表的总价为准，并修改单价；</w:t>
      </w:r>
    </w:p>
    <w:p w14:paraId="117ACA9E">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10.6总价金额与按单价汇总金额不一致的，以单价金额计算结果为准；</w:t>
      </w:r>
    </w:p>
    <w:p w14:paraId="2065A1BE">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10.7若用文字表示的数值与用数字表示的数值不一致，以文字表示的数值为准；</w:t>
      </w:r>
    </w:p>
    <w:p w14:paraId="3E073E35">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10.8如有多报（指数量超出竞争性磋商文件需求）、重报（指同一货物重复报价），其投标总价在评标过程中不予调整，如其中标，其合同价按其投标单价予以调整；</w:t>
      </w:r>
    </w:p>
    <w:p w14:paraId="52F5E392">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10.9对不同文字文本响应文件的解释发生异议的，以中文文本为准；</w:t>
      </w:r>
    </w:p>
    <w:p w14:paraId="2F30C640">
      <w:pPr>
        <w:keepNext w:val="0"/>
        <w:keepLines w:val="0"/>
        <w:pageBreakBefore w:val="0"/>
        <w:shd w:val="clear" w:color="auto" w:fill="auto"/>
        <w:kinsoku/>
        <w:wordWrap/>
        <w:overflowPunct/>
        <w:topLinePunct w:val="0"/>
        <w:bidi w:val="0"/>
        <w:spacing w:line="480" w:lineRule="exact"/>
        <w:ind w:firstLine="240" w:firstLineChars="100"/>
        <w:jc w:val="left"/>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同时出现两种以上不一致的，按照前款规定的顺序修正。按上述修正错误的原则及方法调整或修正响应文件的投标报价，供应商确认后，以调整或修正后的投标报价为准。如供应商拒绝调整或修正的，其响应文件按无效标处理。</w:t>
      </w:r>
      <w:r>
        <w:rPr>
          <w:rFonts w:hint="eastAsia" w:ascii="微软雅黑" w:hAnsi="微软雅黑" w:eastAsia="微软雅黑" w:cs="微软雅黑"/>
          <w:b/>
          <w:bCs/>
          <w:color w:val="auto"/>
          <w:sz w:val="24"/>
          <w:szCs w:val="24"/>
          <w:highlight w:val="none"/>
          <w:lang w:val="en-US" w:eastAsia="zh-CN"/>
        </w:rPr>
        <w:t>修正应当采用电子标的形式，并加盖公章（电子印章）。</w:t>
      </w:r>
    </w:p>
    <w:p w14:paraId="2B5BCE77">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11、有下列情形之一的，响应文件按无效标处理：</w:t>
      </w:r>
    </w:p>
    <w:p w14:paraId="5ED137F2">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11.1 报名的供应商与参加投标的供应商发生实质性变更的且未提供有效证明的；</w:t>
      </w:r>
    </w:p>
    <w:p w14:paraId="5376D7FE">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11.2供应商提交两份或两份以上内容不同的响应文件，未声明哪一份有效的；</w:t>
      </w:r>
    </w:p>
    <w:p w14:paraId="376FD2EC">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11.3 响应文件非供应商法定代表人签署的，未提供或提供无效的法定代表人授权书的；</w:t>
      </w:r>
    </w:p>
    <w:p w14:paraId="66E81ABB">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11.4响应文件内容未按</w:t>
      </w:r>
      <w:r>
        <w:rPr>
          <w:rFonts w:hint="eastAsia" w:ascii="微软雅黑" w:hAnsi="微软雅黑" w:eastAsia="微软雅黑" w:cs="微软雅黑"/>
          <w:color w:val="auto"/>
          <w:sz w:val="24"/>
          <w:szCs w:val="24"/>
          <w:highlight w:val="none"/>
          <w:lang w:eastAsia="zh-CN"/>
        </w:rPr>
        <w:t>竞争性</w:t>
      </w:r>
      <w:r>
        <w:rPr>
          <w:rFonts w:hint="eastAsia" w:ascii="微软雅黑" w:hAnsi="微软雅黑" w:eastAsia="微软雅黑" w:cs="微软雅黑"/>
          <w:b w:val="0"/>
          <w:bCs w:val="0"/>
          <w:color w:val="auto"/>
          <w:sz w:val="24"/>
          <w:szCs w:val="24"/>
          <w:highlight w:val="none"/>
          <w:lang w:val="en-US" w:eastAsia="zh-CN"/>
        </w:rPr>
        <w:t>磋商文件规定签字或盖章的；</w:t>
      </w:r>
    </w:p>
    <w:p w14:paraId="7DBA716C">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11.5 响应文件组成漏项或未按规定的格式编制或上传的响应文件内容不全或内容字迹模糊辨认不清的而导致评标活动无法正常进行；</w:t>
      </w:r>
    </w:p>
    <w:p w14:paraId="0861BC75">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11.6供应商未按</w:t>
      </w:r>
      <w:r>
        <w:rPr>
          <w:rFonts w:hint="eastAsia" w:ascii="微软雅黑" w:hAnsi="微软雅黑" w:eastAsia="微软雅黑" w:cs="微软雅黑"/>
          <w:color w:val="auto"/>
          <w:sz w:val="24"/>
          <w:szCs w:val="24"/>
          <w:highlight w:val="none"/>
          <w:lang w:eastAsia="zh-CN"/>
        </w:rPr>
        <w:t>竞争性</w:t>
      </w:r>
      <w:r>
        <w:rPr>
          <w:rFonts w:hint="eastAsia" w:ascii="微软雅黑" w:hAnsi="微软雅黑" w:eastAsia="微软雅黑" w:cs="微软雅黑"/>
          <w:b w:val="0"/>
          <w:bCs w:val="0"/>
          <w:color w:val="auto"/>
          <w:sz w:val="24"/>
          <w:szCs w:val="24"/>
          <w:highlight w:val="none"/>
          <w:lang w:val="en-US" w:eastAsia="zh-CN"/>
        </w:rPr>
        <w:t>磋商文件变更通知更改响应文件的；</w:t>
      </w:r>
    </w:p>
    <w:p w14:paraId="691C312E">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11.7《开标一览表》和《投标分项报价表》内容不完整且不接受修正意见或字迹不能辨认的或未提供的；</w:t>
      </w:r>
    </w:p>
    <w:p w14:paraId="6578E57F">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11.8标项投标报价超过</w:t>
      </w:r>
      <w:r>
        <w:rPr>
          <w:rFonts w:hint="eastAsia" w:ascii="微软雅黑" w:hAnsi="微软雅黑" w:eastAsia="微软雅黑" w:cs="微软雅黑"/>
          <w:color w:val="auto"/>
          <w:sz w:val="24"/>
          <w:szCs w:val="24"/>
          <w:highlight w:val="none"/>
          <w:lang w:eastAsia="zh-CN"/>
        </w:rPr>
        <w:t>竞争性</w:t>
      </w:r>
      <w:r>
        <w:rPr>
          <w:rFonts w:hint="eastAsia" w:ascii="微软雅黑" w:hAnsi="微软雅黑" w:eastAsia="微软雅黑" w:cs="微软雅黑"/>
          <w:b w:val="0"/>
          <w:bCs w:val="0"/>
          <w:color w:val="auto"/>
          <w:sz w:val="24"/>
          <w:szCs w:val="24"/>
          <w:highlight w:val="none"/>
          <w:lang w:val="en-US" w:eastAsia="zh-CN"/>
        </w:rPr>
        <w:t>磋商文件规定的预算金额或最高限价；</w:t>
      </w:r>
    </w:p>
    <w:p w14:paraId="7804EA48">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11.9 因供应商原因编制错误造成经评标委员会修正后的报价达到或超过投标报价的0.5%；</w:t>
      </w:r>
    </w:p>
    <w:p w14:paraId="49B2C1C0">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11.10供应商的报价明显低于其他通过符合性审查供应商的报价，有可能影响产品质量或者不能诚信履约的，且在规定时间内不能合理说明原因并提供证明材料的；</w:t>
      </w:r>
    </w:p>
    <w:p w14:paraId="4EE8A2BA">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11.11未实质性响应</w:t>
      </w:r>
      <w:r>
        <w:rPr>
          <w:rFonts w:hint="eastAsia" w:ascii="微软雅黑" w:hAnsi="微软雅黑" w:eastAsia="微软雅黑" w:cs="微软雅黑"/>
          <w:color w:val="auto"/>
          <w:sz w:val="24"/>
          <w:szCs w:val="24"/>
          <w:highlight w:val="none"/>
          <w:lang w:eastAsia="zh-CN"/>
        </w:rPr>
        <w:t>竞争性</w:t>
      </w:r>
      <w:r>
        <w:rPr>
          <w:rFonts w:hint="eastAsia" w:ascii="微软雅黑" w:hAnsi="微软雅黑" w:eastAsia="微软雅黑" w:cs="微软雅黑"/>
          <w:b w:val="0"/>
          <w:bCs w:val="0"/>
          <w:color w:val="auto"/>
          <w:sz w:val="24"/>
          <w:szCs w:val="24"/>
          <w:highlight w:val="none"/>
          <w:lang w:val="en-US" w:eastAsia="zh-CN"/>
        </w:rPr>
        <w:t>磋商文件中条款要求的响应文件；</w:t>
      </w:r>
    </w:p>
    <w:p w14:paraId="40E6737A">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11.12不符合招标范围、技术规格、技术标准的要求无法满足采购人使用要求；</w:t>
      </w:r>
    </w:p>
    <w:p w14:paraId="43D1F6DC">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11.13响应文件附有采购人不能接受的条款；</w:t>
      </w:r>
    </w:p>
    <w:p w14:paraId="204F8677">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11.14响应文件中提供了赠品或者与本项目采购无关的其他商品、服务；</w:t>
      </w:r>
    </w:p>
    <w:p w14:paraId="2A98724C">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11.15响应文件中承诺的投标有效期少于磋商文件中载明的投标有效期；</w:t>
      </w:r>
    </w:p>
    <w:p w14:paraId="18AEE8C9">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11.16供应商串通投标，妨碍其他供应商的竞争行为，损害采购人或者其他供应商的合法权益；</w:t>
      </w:r>
    </w:p>
    <w:p w14:paraId="18F750E7">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11.17违反国家及政府部门相关法律、法规、文件规定或经评标委员会认定的其他属于重大偏离；</w:t>
      </w:r>
    </w:p>
    <w:p w14:paraId="68488C18">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12、废标</w:t>
      </w:r>
    </w:p>
    <w:p w14:paraId="34CF8746">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12.1符合</w:t>
      </w:r>
      <w:r>
        <w:rPr>
          <w:rFonts w:hint="eastAsia" w:ascii="微软雅黑" w:hAnsi="微软雅黑" w:eastAsia="微软雅黑" w:cs="微软雅黑"/>
          <w:color w:val="auto"/>
          <w:sz w:val="24"/>
          <w:szCs w:val="24"/>
          <w:highlight w:val="none"/>
          <w:lang w:eastAsia="zh-CN"/>
        </w:rPr>
        <w:t>竞争性</w:t>
      </w:r>
      <w:r>
        <w:rPr>
          <w:rFonts w:hint="eastAsia" w:ascii="微软雅黑" w:hAnsi="微软雅黑" w:eastAsia="微软雅黑" w:cs="微软雅黑"/>
          <w:b w:val="0"/>
          <w:bCs w:val="0"/>
          <w:color w:val="auto"/>
          <w:sz w:val="24"/>
          <w:szCs w:val="24"/>
          <w:highlight w:val="none"/>
          <w:lang w:val="en-US" w:eastAsia="zh-CN"/>
        </w:rPr>
        <w:t>磋商文件规定废标情形的；</w:t>
      </w:r>
    </w:p>
    <w:p w14:paraId="5BD19D49">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12.2出现影响采购公正的违法、违规行为的；</w:t>
      </w:r>
    </w:p>
    <w:p w14:paraId="73BC8959">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12.3供应商的报价均超过了采购预算（或最高限价），采购人不能支付的;</w:t>
      </w:r>
    </w:p>
    <w:p w14:paraId="1BA60CFA">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12.4因重大变故，采购任务取消的。</w:t>
      </w:r>
    </w:p>
    <w:p w14:paraId="07CE0B2E">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13、突发情况处理</w:t>
      </w:r>
    </w:p>
    <w:p w14:paraId="15811ADA">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13.1采购过程中出现以下情形，导致电子交易平台无法正常运行，或者无法保证电子交易的公平、公正和安全时，采购组织机构可中止电子交易活动：</w:t>
      </w:r>
    </w:p>
    <w:p w14:paraId="4BB2E1EF">
      <w:pPr>
        <w:keepNext w:val="0"/>
        <w:keepLines w:val="0"/>
        <w:pageBreakBefore w:val="0"/>
        <w:shd w:val="clear" w:color="auto" w:fill="auto"/>
        <w:kinsoku/>
        <w:wordWrap/>
        <w:overflowPunct/>
        <w:topLinePunct w:val="0"/>
        <w:bidi w:val="0"/>
        <w:spacing w:line="480" w:lineRule="exact"/>
        <w:ind w:firstLine="240" w:firstLineChars="1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 xml:space="preserve">（1）电子交易平台发生故障而无法登录访问的； </w:t>
      </w:r>
    </w:p>
    <w:p w14:paraId="69A7991D">
      <w:pPr>
        <w:keepNext w:val="0"/>
        <w:keepLines w:val="0"/>
        <w:pageBreakBefore w:val="0"/>
        <w:shd w:val="clear" w:color="auto" w:fill="auto"/>
        <w:kinsoku/>
        <w:wordWrap/>
        <w:overflowPunct/>
        <w:topLinePunct w:val="0"/>
        <w:bidi w:val="0"/>
        <w:spacing w:line="480" w:lineRule="exact"/>
        <w:ind w:firstLine="240" w:firstLineChars="1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（2）电子交易平台应用或数据库出现错误，不能进行正常操作的；</w:t>
      </w:r>
    </w:p>
    <w:p w14:paraId="6E2D6FAA">
      <w:pPr>
        <w:keepNext w:val="0"/>
        <w:keepLines w:val="0"/>
        <w:pageBreakBefore w:val="0"/>
        <w:shd w:val="clear" w:color="auto" w:fill="auto"/>
        <w:kinsoku/>
        <w:wordWrap/>
        <w:overflowPunct/>
        <w:topLinePunct w:val="0"/>
        <w:bidi w:val="0"/>
        <w:spacing w:line="480" w:lineRule="exact"/>
        <w:ind w:firstLine="240" w:firstLineChars="1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（3）电子交易平台发现严重安全漏洞，有潜在泄密危险的；</w:t>
      </w:r>
    </w:p>
    <w:p w14:paraId="424DD610">
      <w:pPr>
        <w:keepNext w:val="0"/>
        <w:keepLines w:val="0"/>
        <w:pageBreakBefore w:val="0"/>
        <w:shd w:val="clear" w:color="auto" w:fill="auto"/>
        <w:kinsoku/>
        <w:wordWrap/>
        <w:overflowPunct/>
        <w:topLinePunct w:val="0"/>
        <w:bidi w:val="0"/>
        <w:spacing w:line="480" w:lineRule="exact"/>
        <w:ind w:firstLine="240" w:firstLineChars="1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 xml:space="preserve">（4）病毒发作导致不能进行正常操作的； </w:t>
      </w:r>
    </w:p>
    <w:p w14:paraId="38C73DB5">
      <w:pPr>
        <w:keepNext w:val="0"/>
        <w:keepLines w:val="0"/>
        <w:pageBreakBefore w:val="0"/>
        <w:shd w:val="clear" w:color="auto" w:fill="auto"/>
        <w:kinsoku/>
        <w:wordWrap/>
        <w:overflowPunct/>
        <w:topLinePunct w:val="0"/>
        <w:bidi w:val="0"/>
        <w:spacing w:line="480" w:lineRule="exact"/>
        <w:ind w:firstLine="240" w:firstLineChars="1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（5）其他无法保证电子交易的公平、公正和安全的情况。</w:t>
      </w:r>
    </w:p>
    <w:p w14:paraId="338F547D">
      <w:pPr>
        <w:keepNext w:val="0"/>
        <w:keepLines w:val="0"/>
        <w:pageBreakBefore w:val="0"/>
        <w:shd w:val="clear" w:color="auto" w:fill="auto"/>
        <w:kinsoku/>
        <w:wordWrap/>
        <w:overflowPunct/>
        <w:topLinePunct w:val="0"/>
        <w:bidi w:val="0"/>
        <w:spacing w:line="480" w:lineRule="exact"/>
        <w:ind w:firstLine="240" w:firstLineChars="1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14:paraId="058BE388">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13.2采购代理机构或评审小组因不可抗力（不可抗力包括但不限于自然灾害、断电、传播疫病等）原因造成电子交易活动无法正常运行的，将采取以下措施：</w:t>
      </w:r>
    </w:p>
    <w:p w14:paraId="146EFA39">
      <w:pPr>
        <w:keepNext w:val="0"/>
        <w:keepLines w:val="0"/>
        <w:pageBreakBefore w:val="0"/>
        <w:shd w:val="clear" w:color="auto" w:fill="auto"/>
        <w:kinsoku/>
        <w:wordWrap/>
        <w:overflowPunct/>
        <w:topLinePunct w:val="0"/>
        <w:bidi w:val="0"/>
        <w:spacing w:line="480" w:lineRule="exact"/>
        <w:ind w:firstLine="240" w:firstLineChars="1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 xml:space="preserve">（1）短时间内能消除不可抗力因素的，采购代理机构或评审小组在消除不可抗力因素后继续组织电子交易活动； </w:t>
      </w:r>
    </w:p>
    <w:p w14:paraId="529FAF68">
      <w:pPr>
        <w:keepNext w:val="0"/>
        <w:keepLines w:val="0"/>
        <w:pageBreakBefore w:val="0"/>
        <w:shd w:val="clear" w:color="auto" w:fill="auto"/>
        <w:kinsoku/>
        <w:wordWrap/>
        <w:overflowPunct/>
        <w:topLinePunct w:val="0"/>
        <w:bidi w:val="0"/>
        <w:spacing w:line="480" w:lineRule="exact"/>
        <w:ind w:firstLine="240" w:firstLineChars="1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（2）长时间内无法消除不可抗力因素的，采购代理机构或评审小组将中止电子交易活动。中止电子交易活动的，采购人应当重新组织政府采购活动。</w:t>
      </w:r>
    </w:p>
    <w:p w14:paraId="709F4E03">
      <w:pPr>
        <w:pStyle w:val="11"/>
        <w:keepNext w:val="0"/>
        <w:keepLines w:val="0"/>
        <w:pageBreakBefore w:val="0"/>
        <w:widowControl w:val="0"/>
        <w:kinsoku/>
        <w:wordWrap/>
        <w:overflowPunct/>
        <w:topLinePunct w:val="0"/>
        <w:autoSpaceDE/>
        <w:autoSpaceDN/>
        <w:bidi w:val="0"/>
        <w:adjustRightInd/>
        <w:snapToGrid w:val="0"/>
        <w:spacing w:before="0" w:beforeAutospacing="0" w:after="0" w:afterAutospacing="0" w:line="480" w:lineRule="exact"/>
        <w:ind w:firstLine="480" w:firstLineChars="200"/>
        <w:jc w:val="both"/>
        <w:textAlignment w:val="baseline"/>
        <w:rPr>
          <w:rFonts w:hint="eastAsia" w:ascii="微软雅黑" w:hAnsi="微软雅黑" w:eastAsia="微软雅黑" w:cs="微软雅黑"/>
          <w:b/>
          <w:bCs/>
          <w:i w:val="0"/>
          <w:caps w:val="0"/>
          <w:color w:val="auto"/>
          <w:spacing w:val="0"/>
          <w:w w:val="100"/>
          <w:sz w:val="24"/>
          <w:szCs w:val="24"/>
          <w:highlight w:val="none"/>
          <w:lang w:val="en-US" w:eastAsia="zh-CN"/>
        </w:rPr>
      </w:pPr>
      <w:r>
        <w:rPr>
          <w:rFonts w:hint="eastAsia" w:ascii="微软雅黑" w:hAnsi="微软雅黑" w:eastAsia="微软雅黑" w:cs="微软雅黑"/>
          <w:b/>
          <w:bCs/>
          <w:i w:val="0"/>
          <w:caps w:val="0"/>
          <w:color w:val="auto"/>
          <w:spacing w:val="0"/>
          <w:w w:val="100"/>
          <w:sz w:val="24"/>
          <w:szCs w:val="24"/>
          <w:highlight w:val="none"/>
          <w:lang w:val="en-US" w:eastAsia="zh-CN"/>
        </w:rPr>
        <w:t>14.保密要求：</w:t>
      </w:r>
    </w:p>
    <w:p w14:paraId="73A60DC5">
      <w:pPr>
        <w:keepNext w:val="0"/>
        <w:keepLines w:val="0"/>
        <w:pageBreakBefore w:val="0"/>
        <w:widowControl/>
        <w:kinsoku/>
        <w:wordWrap/>
        <w:overflowPunct/>
        <w:topLinePunct w:val="0"/>
        <w:autoSpaceDE/>
        <w:autoSpaceDN/>
        <w:bidi w:val="0"/>
        <w:adjustRightInd/>
        <w:snapToGrid/>
        <w:spacing w:line="480" w:lineRule="exact"/>
        <w:ind w:firstLine="240" w:firstLineChars="100"/>
        <w:textAlignment w:val="auto"/>
        <w:rPr>
          <w:rFonts w:hint="eastAsia" w:ascii="微软雅黑" w:hAnsi="微软雅黑" w:eastAsia="微软雅黑" w:cs="微软雅黑"/>
          <w:color w:val="auto"/>
          <w:kern w:val="0"/>
          <w:sz w:val="24"/>
          <w:szCs w:val="24"/>
        </w:rPr>
      </w:pPr>
      <w:r>
        <w:rPr>
          <w:rFonts w:hint="eastAsia" w:ascii="微软雅黑" w:hAnsi="微软雅黑" w:eastAsia="微软雅黑" w:cs="微软雅黑"/>
          <w:color w:val="auto"/>
          <w:kern w:val="0"/>
          <w:sz w:val="24"/>
          <w:szCs w:val="24"/>
        </w:rPr>
        <w:t>采购人、采购代理机构确保</w:t>
      </w:r>
      <w:r>
        <w:rPr>
          <w:rFonts w:hint="eastAsia" w:ascii="微软雅黑" w:hAnsi="微软雅黑" w:eastAsia="微软雅黑" w:cs="微软雅黑"/>
          <w:color w:val="auto"/>
          <w:kern w:val="0"/>
          <w:sz w:val="24"/>
          <w:szCs w:val="24"/>
          <w:lang w:val="en-US" w:eastAsia="zh-CN"/>
        </w:rPr>
        <w:t>评标</w:t>
      </w:r>
      <w:r>
        <w:rPr>
          <w:rFonts w:hint="eastAsia" w:ascii="微软雅黑" w:hAnsi="微软雅黑" w:eastAsia="微软雅黑" w:cs="微软雅黑"/>
          <w:color w:val="auto"/>
          <w:kern w:val="0"/>
          <w:sz w:val="24"/>
          <w:szCs w:val="24"/>
        </w:rPr>
        <w:t>活动在严格保密的情况下进行。在采购结果确定前，采购人、采购代理机构对</w:t>
      </w:r>
      <w:r>
        <w:rPr>
          <w:rFonts w:hint="eastAsia" w:ascii="微软雅黑" w:hAnsi="微软雅黑" w:eastAsia="微软雅黑" w:cs="微软雅黑"/>
          <w:color w:val="auto"/>
          <w:kern w:val="0"/>
          <w:sz w:val="24"/>
          <w:szCs w:val="24"/>
          <w:lang w:val="en-US" w:eastAsia="zh-CN"/>
        </w:rPr>
        <w:t>评审专家</w:t>
      </w:r>
      <w:r>
        <w:rPr>
          <w:rFonts w:hint="eastAsia" w:ascii="微软雅黑" w:hAnsi="微软雅黑" w:eastAsia="微软雅黑" w:cs="微软雅黑"/>
          <w:color w:val="auto"/>
          <w:kern w:val="0"/>
          <w:sz w:val="24"/>
          <w:szCs w:val="24"/>
        </w:rPr>
        <w:t>名单保密。</w:t>
      </w:r>
      <w:r>
        <w:rPr>
          <w:rFonts w:hint="eastAsia" w:ascii="微软雅黑" w:hAnsi="微软雅黑" w:eastAsia="微软雅黑" w:cs="微软雅黑"/>
          <w:color w:val="auto"/>
          <w:sz w:val="24"/>
          <w:szCs w:val="24"/>
        </w:rPr>
        <w:t>与</w:t>
      </w:r>
      <w:r>
        <w:rPr>
          <w:rFonts w:hint="eastAsia" w:ascii="微软雅黑" w:hAnsi="微软雅黑" w:eastAsia="微软雅黑" w:cs="微软雅黑"/>
          <w:color w:val="auto"/>
          <w:sz w:val="24"/>
          <w:szCs w:val="24"/>
          <w:lang w:eastAsia="zh-CN"/>
        </w:rPr>
        <w:t>评审</w:t>
      </w:r>
      <w:r>
        <w:rPr>
          <w:rFonts w:hint="eastAsia" w:ascii="微软雅黑" w:hAnsi="微软雅黑" w:eastAsia="微软雅黑" w:cs="微软雅黑"/>
          <w:color w:val="auto"/>
          <w:sz w:val="24"/>
          <w:szCs w:val="24"/>
        </w:rPr>
        <w:t>工作无关的人员不得进入现场</w:t>
      </w:r>
      <w:r>
        <w:rPr>
          <w:rFonts w:hint="eastAsia" w:ascii="微软雅黑" w:hAnsi="微软雅黑" w:eastAsia="微软雅黑" w:cs="微软雅黑"/>
          <w:color w:val="auto"/>
          <w:kern w:val="0"/>
          <w:sz w:val="24"/>
          <w:szCs w:val="24"/>
          <w:lang w:val="en-US" w:eastAsia="zh-CN"/>
        </w:rPr>
        <w:t>。有关人员须对评审情况以及在评审过程中获悉的国家秘密、商业秘密负有保密责任</w:t>
      </w:r>
      <w:r>
        <w:rPr>
          <w:rFonts w:hint="eastAsia" w:ascii="微软雅黑" w:hAnsi="微软雅黑" w:eastAsia="微软雅黑" w:cs="微软雅黑"/>
          <w:color w:val="auto"/>
          <w:kern w:val="0"/>
          <w:sz w:val="24"/>
          <w:szCs w:val="24"/>
        </w:rPr>
        <w:t>。</w:t>
      </w:r>
    </w:p>
    <w:p w14:paraId="3203FAD3">
      <w:pPr>
        <w:keepNext w:val="0"/>
        <w:keepLines w:val="0"/>
        <w:pageBreakBefore w:val="0"/>
        <w:numPr>
          <w:ilvl w:val="0"/>
          <w:numId w:val="0"/>
        </w:numPr>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lang w:val="en-US" w:eastAsia="zh-CN"/>
        </w:rPr>
        <w:t>15.</w:t>
      </w:r>
      <w:r>
        <w:rPr>
          <w:rFonts w:hint="eastAsia" w:ascii="微软雅黑" w:hAnsi="微软雅黑" w:eastAsia="微软雅黑" w:cs="微软雅黑"/>
          <w:b/>
          <w:color w:val="auto"/>
          <w:sz w:val="24"/>
          <w:szCs w:val="24"/>
          <w:highlight w:val="none"/>
        </w:rPr>
        <w:t>定标</w:t>
      </w:r>
    </w:p>
    <w:p w14:paraId="3B037732">
      <w:pPr>
        <w:keepNext w:val="0"/>
        <w:keepLines w:val="0"/>
        <w:pageBreakBefore w:val="0"/>
        <w:numPr>
          <w:ilvl w:val="0"/>
          <w:numId w:val="0"/>
        </w:numPr>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15.1采购结果确认（确定</w:t>
      </w:r>
      <w:r>
        <w:rPr>
          <w:rFonts w:hint="eastAsia" w:ascii="微软雅黑" w:hAnsi="微软雅黑" w:eastAsia="微软雅黑" w:cs="微软雅黑"/>
          <w:color w:val="auto"/>
          <w:sz w:val="24"/>
          <w:szCs w:val="24"/>
          <w:highlight w:val="none"/>
        </w:rPr>
        <w:t>中标</w:t>
      </w:r>
      <w:r>
        <w:rPr>
          <w:rFonts w:hint="eastAsia" w:ascii="微软雅黑" w:hAnsi="微软雅黑" w:eastAsia="微软雅黑" w:cs="微软雅黑"/>
          <w:color w:val="auto"/>
          <w:sz w:val="24"/>
          <w:szCs w:val="24"/>
          <w:highlight w:val="none"/>
          <w:lang w:val="en-US" w:eastAsia="zh-CN"/>
        </w:rPr>
        <w:t>(成交)</w:t>
      </w:r>
      <w:r>
        <w:rPr>
          <w:rFonts w:hint="eastAsia" w:ascii="微软雅黑" w:hAnsi="微软雅黑" w:eastAsia="微软雅黑" w:cs="微软雅黑"/>
          <w:b w:val="0"/>
          <w:bCs w:val="0"/>
          <w:color w:val="auto"/>
          <w:sz w:val="24"/>
          <w:szCs w:val="24"/>
          <w:highlight w:val="none"/>
          <w:lang w:val="en-US" w:eastAsia="zh-CN"/>
        </w:rPr>
        <w:t>供应商）</w:t>
      </w:r>
    </w:p>
    <w:p w14:paraId="6171A243">
      <w:pPr>
        <w:keepNext w:val="0"/>
        <w:keepLines w:val="0"/>
        <w:pageBreakBefore w:val="0"/>
        <w:shd w:val="clear" w:color="auto" w:fill="auto"/>
        <w:kinsoku/>
        <w:wordWrap/>
        <w:overflowPunct/>
        <w:topLinePunct w:val="0"/>
        <w:bidi w:val="0"/>
        <w:spacing w:line="480" w:lineRule="exact"/>
        <w:ind w:firstLine="240" w:firstLineChars="1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采购结果确认（确定</w:t>
      </w:r>
      <w:r>
        <w:rPr>
          <w:rFonts w:hint="eastAsia" w:ascii="微软雅黑" w:hAnsi="微软雅黑" w:eastAsia="微软雅黑" w:cs="微软雅黑"/>
          <w:color w:val="auto"/>
          <w:sz w:val="24"/>
          <w:szCs w:val="24"/>
          <w:highlight w:val="none"/>
        </w:rPr>
        <w:t>中标</w:t>
      </w:r>
      <w:r>
        <w:rPr>
          <w:rFonts w:hint="eastAsia" w:ascii="微软雅黑" w:hAnsi="微软雅黑" w:eastAsia="微软雅黑" w:cs="微软雅黑"/>
          <w:color w:val="auto"/>
          <w:sz w:val="24"/>
          <w:szCs w:val="24"/>
          <w:highlight w:val="none"/>
          <w:lang w:val="en-US" w:eastAsia="zh-CN"/>
        </w:rPr>
        <w:t>(成交)</w:t>
      </w:r>
      <w:r>
        <w:rPr>
          <w:rFonts w:hint="eastAsia" w:ascii="微软雅黑" w:hAnsi="微软雅黑" w:eastAsia="微软雅黑" w:cs="微软雅黑"/>
          <w:b w:val="0"/>
          <w:bCs w:val="0"/>
          <w:color w:val="auto"/>
          <w:sz w:val="24"/>
          <w:szCs w:val="24"/>
          <w:highlight w:val="none"/>
          <w:lang w:val="en-US" w:eastAsia="zh-CN"/>
        </w:rPr>
        <w:t>供应商）：本项目由采购人根据评审专家提交的《评审报告》，通过“政府采购云平台”依法确认采购结果、确定</w:t>
      </w:r>
      <w:r>
        <w:rPr>
          <w:rFonts w:hint="eastAsia" w:ascii="微软雅黑" w:hAnsi="微软雅黑" w:eastAsia="微软雅黑" w:cs="微软雅黑"/>
          <w:color w:val="auto"/>
          <w:sz w:val="24"/>
          <w:szCs w:val="24"/>
          <w:highlight w:val="none"/>
        </w:rPr>
        <w:t>中标</w:t>
      </w:r>
      <w:r>
        <w:rPr>
          <w:rFonts w:hint="eastAsia" w:ascii="微软雅黑" w:hAnsi="微软雅黑" w:eastAsia="微软雅黑" w:cs="微软雅黑"/>
          <w:color w:val="auto"/>
          <w:sz w:val="24"/>
          <w:szCs w:val="24"/>
          <w:highlight w:val="none"/>
          <w:lang w:val="en-US" w:eastAsia="zh-CN"/>
        </w:rPr>
        <w:t>(成交)</w:t>
      </w:r>
      <w:r>
        <w:rPr>
          <w:rFonts w:hint="eastAsia" w:ascii="微软雅黑" w:hAnsi="微软雅黑" w:eastAsia="微软雅黑" w:cs="微软雅黑"/>
          <w:b w:val="0"/>
          <w:bCs w:val="0"/>
          <w:color w:val="auto"/>
          <w:sz w:val="24"/>
          <w:szCs w:val="24"/>
          <w:highlight w:val="none"/>
          <w:lang w:val="en-US" w:eastAsia="zh-CN"/>
        </w:rPr>
        <w:t>供应商。具体流程如下：</w:t>
      </w:r>
    </w:p>
    <w:p w14:paraId="3631504A">
      <w:pPr>
        <w:keepNext w:val="0"/>
        <w:keepLines w:val="0"/>
        <w:pageBreakBefore w:val="0"/>
        <w:shd w:val="clear" w:color="auto" w:fill="auto"/>
        <w:kinsoku/>
        <w:wordWrap/>
        <w:overflowPunct/>
        <w:topLinePunct w:val="0"/>
        <w:bidi w:val="0"/>
        <w:spacing w:line="480" w:lineRule="exact"/>
        <w:ind w:firstLine="240" w:firstLineChars="1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（1）采购代理机构将在评审结束后2个工作日内将评审报告送采购人，同时在政采云平台提交采购结果至采购人确认。</w:t>
      </w:r>
    </w:p>
    <w:p w14:paraId="2933952F">
      <w:pPr>
        <w:keepNext w:val="0"/>
        <w:keepLines w:val="0"/>
        <w:pageBreakBefore w:val="0"/>
        <w:shd w:val="clear" w:color="auto" w:fill="auto"/>
        <w:kinsoku/>
        <w:wordWrap/>
        <w:overflowPunct/>
        <w:topLinePunct w:val="0"/>
        <w:bidi w:val="0"/>
        <w:spacing w:line="480" w:lineRule="exact"/>
        <w:ind w:firstLine="240" w:firstLineChars="1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（2）采购人将在收到评审报告之日起5个工作日内，在评审报告推荐的</w:t>
      </w:r>
      <w:r>
        <w:rPr>
          <w:rFonts w:hint="eastAsia" w:ascii="微软雅黑" w:hAnsi="微软雅黑" w:eastAsia="微软雅黑" w:cs="微软雅黑"/>
          <w:color w:val="auto"/>
          <w:sz w:val="24"/>
          <w:szCs w:val="24"/>
          <w:highlight w:val="none"/>
        </w:rPr>
        <w:t>中标</w:t>
      </w:r>
      <w:r>
        <w:rPr>
          <w:rFonts w:hint="eastAsia" w:ascii="微软雅黑" w:hAnsi="微软雅黑" w:eastAsia="微软雅黑" w:cs="微软雅黑"/>
          <w:color w:val="auto"/>
          <w:sz w:val="24"/>
          <w:szCs w:val="24"/>
          <w:highlight w:val="none"/>
          <w:lang w:val="en-US" w:eastAsia="zh-CN"/>
        </w:rPr>
        <w:t>(成交)</w:t>
      </w:r>
      <w:r>
        <w:rPr>
          <w:rFonts w:hint="eastAsia" w:ascii="微软雅黑" w:hAnsi="微软雅黑" w:eastAsia="微软雅黑" w:cs="微软雅黑"/>
          <w:b w:val="0"/>
          <w:bCs w:val="0"/>
          <w:color w:val="auto"/>
          <w:sz w:val="24"/>
          <w:szCs w:val="24"/>
          <w:highlight w:val="none"/>
          <w:lang w:val="en-US" w:eastAsia="zh-CN"/>
        </w:rPr>
        <w:t>候选供应商名单中按顺序确定</w:t>
      </w:r>
      <w:r>
        <w:rPr>
          <w:rFonts w:hint="eastAsia" w:ascii="微软雅黑" w:hAnsi="微软雅黑" w:eastAsia="微软雅黑" w:cs="微软雅黑"/>
          <w:color w:val="auto"/>
          <w:sz w:val="24"/>
          <w:szCs w:val="24"/>
          <w:highlight w:val="none"/>
        </w:rPr>
        <w:t>中标</w:t>
      </w:r>
      <w:r>
        <w:rPr>
          <w:rFonts w:hint="eastAsia" w:ascii="微软雅黑" w:hAnsi="微软雅黑" w:eastAsia="微软雅黑" w:cs="微软雅黑"/>
          <w:color w:val="auto"/>
          <w:sz w:val="24"/>
          <w:szCs w:val="24"/>
          <w:highlight w:val="none"/>
          <w:lang w:val="en-US" w:eastAsia="zh-CN"/>
        </w:rPr>
        <w:t>(成交)</w:t>
      </w:r>
      <w:r>
        <w:rPr>
          <w:rFonts w:hint="eastAsia" w:ascii="微软雅黑" w:hAnsi="微软雅黑" w:eastAsia="微软雅黑" w:cs="微软雅黑"/>
          <w:b w:val="0"/>
          <w:bCs w:val="0"/>
          <w:color w:val="auto"/>
          <w:sz w:val="24"/>
          <w:szCs w:val="24"/>
          <w:highlight w:val="none"/>
          <w:lang w:val="en-US" w:eastAsia="zh-CN"/>
        </w:rPr>
        <w:t xml:space="preserve">供应商，并将确认意见以书面形式回复采购代理机构，同时在政采云平台线上确认采购结果。 </w:t>
      </w:r>
    </w:p>
    <w:p w14:paraId="54A34410">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15.2采购结果经采购人确认后2个工作日内，采购代理机构将在</w:t>
      </w:r>
      <w:r>
        <w:rPr>
          <w:rFonts w:hint="eastAsia" w:ascii="微软雅黑" w:hAnsi="微软雅黑" w:eastAsia="微软雅黑" w:cs="微软雅黑"/>
          <w:b/>
          <w:bCs/>
          <w:color w:val="auto"/>
          <w:sz w:val="24"/>
          <w:szCs w:val="24"/>
          <w:highlight w:val="none"/>
          <w:lang w:val="en-US" w:eastAsia="zh-CN"/>
        </w:rPr>
        <w:t>新疆政府采购网（www.zjzfcg.gov.cn）上公示采购结果，中标（成交）公示期限为1个工作日。</w:t>
      </w:r>
    </w:p>
    <w:p w14:paraId="12F2CF69">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16.中标（成交）通知书</w:t>
      </w:r>
    </w:p>
    <w:p w14:paraId="3241F704">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16.1</w:t>
      </w:r>
      <w:r>
        <w:rPr>
          <w:rFonts w:hint="eastAsia" w:ascii="微软雅黑" w:hAnsi="微软雅黑" w:eastAsia="微软雅黑" w:cs="微软雅黑"/>
          <w:color w:val="auto"/>
          <w:sz w:val="24"/>
          <w:szCs w:val="24"/>
          <w:highlight w:val="none"/>
        </w:rPr>
        <w:t>在</w:t>
      </w:r>
      <w:r>
        <w:rPr>
          <w:rFonts w:hint="eastAsia" w:ascii="微软雅黑" w:hAnsi="微软雅黑" w:eastAsia="微软雅黑" w:cs="微软雅黑"/>
          <w:color w:val="auto"/>
          <w:sz w:val="24"/>
          <w:szCs w:val="24"/>
          <w:highlight w:val="none"/>
          <w:lang w:val="en-US" w:eastAsia="zh-CN"/>
        </w:rPr>
        <w:t>中标（成交）</w:t>
      </w:r>
      <w:r>
        <w:rPr>
          <w:rFonts w:hint="eastAsia" w:ascii="微软雅黑" w:hAnsi="微软雅黑" w:eastAsia="微软雅黑" w:cs="微软雅黑"/>
          <w:color w:val="auto"/>
          <w:sz w:val="24"/>
          <w:szCs w:val="24"/>
          <w:highlight w:val="none"/>
        </w:rPr>
        <w:t>通知书发出前，</w:t>
      </w:r>
      <w:r>
        <w:rPr>
          <w:rFonts w:hint="eastAsia" w:ascii="微软雅黑" w:hAnsi="微软雅黑" w:eastAsia="微软雅黑" w:cs="微软雅黑"/>
          <w:color w:val="auto"/>
          <w:sz w:val="24"/>
          <w:szCs w:val="24"/>
          <w:highlight w:val="none"/>
          <w:lang w:eastAsia="zh-CN"/>
        </w:rPr>
        <w:t>采购人</w:t>
      </w:r>
      <w:r>
        <w:rPr>
          <w:rFonts w:hint="eastAsia" w:ascii="微软雅黑" w:hAnsi="微软雅黑" w:eastAsia="微软雅黑" w:cs="微软雅黑"/>
          <w:color w:val="auto"/>
          <w:sz w:val="24"/>
          <w:szCs w:val="24"/>
          <w:highlight w:val="none"/>
        </w:rPr>
        <w:t>将</w:t>
      </w:r>
      <w:r>
        <w:rPr>
          <w:rFonts w:hint="eastAsia" w:ascii="微软雅黑" w:hAnsi="微软雅黑" w:eastAsia="微软雅黑" w:cs="微软雅黑"/>
          <w:color w:val="auto"/>
          <w:sz w:val="24"/>
          <w:szCs w:val="24"/>
          <w:highlight w:val="none"/>
          <w:lang w:eastAsia="zh-CN"/>
        </w:rPr>
        <w:t>中标（成交）供应商</w:t>
      </w:r>
      <w:r>
        <w:rPr>
          <w:rFonts w:hint="eastAsia" w:ascii="微软雅黑" w:hAnsi="微软雅黑" w:eastAsia="微软雅黑" w:cs="微软雅黑"/>
          <w:color w:val="auto"/>
          <w:sz w:val="24"/>
          <w:szCs w:val="24"/>
          <w:highlight w:val="none"/>
        </w:rPr>
        <w:t>的情况在</w:t>
      </w:r>
      <w:r>
        <w:rPr>
          <w:rFonts w:hint="eastAsia" w:ascii="微软雅黑" w:hAnsi="微软雅黑" w:eastAsia="微软雅黑" w:cs="微软雅黑"/>
          <w:color w:val="auto"/>
          <w:sz w:val="24"/>
          <w:szCs w:val="24"/>
          <w:highlight w:val="none"/>
          <w:lang w:eastAsia="zh-CN"/>
        </w:rPr>
        <w:t>新疆政府采购网</w:t>
      </w:r>
      <w:r>
        <w:rPr>
          <w:rFonts w:hint="eastAsia" w:ascii="微软雅黑" w:hAnsi="微软雅黑" w:eastAsia="微软雅黑" w:cs="微软雅黑"/>
          <w:color w:val="auto"/>
          <w:sz w:val="24"/>
          <w:szCs w:val="24"/>
          <w:highlight w:val="none"/>
        </w:rPr>
        <w:t>予以公示，</w:t>
      </w:r>
      <w:r>
        <w:rPr>
          <w:rFonts w:hint="eastAsia" w:ascii="微软雅黑" w:hAnsi="微软雅黑" w:eastAsia="微软雅黑" w:cs="微软雅黑"/>
          <w:b/>
          <w:bCs/>
          <w:color w:val="auto"/>
          <w:sz w:val="24"/>
          <w:szCs w:val="24"/>
          <w:highlight w:val="none"/>
        </w:rPr>
        <w:t>公示期为</w:t>
      </w:r>
      <w:r>
        <w:rPr>
          <w:rFonts w:hint="eastAsia" w:ascii="微软雅黑" w:hAnsi="微软雅黑" w:eastAsia="微软雅黑" w:cs="微软雅黑"/>
          <w:b/>
          <w:bCs/>
          <w:color w:val="auto"/>
          <w:sz w:val="24"/>
          <w:szCs w:val="24"/>
          <w:highlight w:val="none"/>
          <w:lang w:eastAsia="zh-CN"/>
        </w:rPr>
        <w:t>一</w:t>
      </w:r>
      <w:r>
        <w:rPr>
          <w:rFonts w:hint="eastAsia" w:ascii="微软雅黑" w:hAnsi="微软雅黑" w:eastAsia="微软雅黑" w:cs="微软雅黑"/>
          <w:b/>
          <w:bCs/>
          <w:color w:val="auto"/>
          <w:sz w:val="24"/>
          <w:szCs w:val="24"/>
          <w:highlight w:val="none"/>
        </w:rPr>
        <w:t>个工作日。</w:t>
      </w:r>
      <w:r>
        <w:rPr>
          <w:rFonts w:hint="eastAsia" w:ascii="微软雅黑" w:hAnsi="微软雅黑" w:eastAsia="微软雅黑" w:cs="微软雅黑"/>
          <w:b/>
          <w:bCs/>
          <w:color w:val="auto"/>
          <w:sz w:val="24"/>
          <w:szCs w:val="24"/>
          <w:highlight w:val="none"/>
          <w:lang w:eastAsia="zh-CN"/>
        </w:rPr>
        <w:t>待公示期结束后，</w:t>
      </w:r>
      <w:r>
        <w:rPr>
          <w:rFonts w:hint="eastAsia" w:ascii="微软雅黑" w:hAnsi="微软雅黑" w:eastAsia="微软雅黑" w:cs="微软雅黑"/>
          <w:b w:val="0"/>
          <w:bCs w:val="0"/>
          <w:color w:val="auto"/>
          <w:sz w:val="24"/>
          <w:szCs w:val="24"/>
          <w:highlight w:val="none"/>
          <w:lang w:val="en-US" w:eastAsia="zh-CN"/>
        </w:rPr>
        <w:t>采购组织机构向</w:t>
      </w:r>
      <w:r>
        <w:rPr>
          <w:rFonts w:hint="eastAsia" w:ascii="微软雅黑" w:hAnsi="微软雅黑" w:eastAsia="微软雅黑" w:cs="微软雅黑"/>
          <w:color w:val="auto"/>
          <w:sz w:val="24"/>
          <w:szCs w:val="24"/>
          <w:highlight w:val="none"/>
        </w:rPr>
        <w:t>中标</w:t>
      </w:r>
      <w:r>
        <w:rPr>
          <w:rFonts w:hint="eastAsia" w:ascii="微软雅黑" w:hAnsi="微软雅黑" w:eastAsia="微软雅黑" w:cs="微软雅黑"/>
          <w:color w:val="auto"/>
          <w:sz w:val="24"/>
          <w:szCs w:val="24"/>
          <w:highlight w:val="none"/>
          <w:lang w:val="en-US" w:eastAsia="zh-CN"/>
        </w:rPr>
        <w:t>(成交)供应商</w:t>
      </w:r>
      <w:r>
        <w:rPr>
          <w:rFonts w:hint="eastAsia" w:ascii="微软雅黑" w:hAnsi="微软雅黑" w:eastAsia="微软雅黑" w:cs="微软雅黑"/>
          <w:b w:val="0"/>
          <w:bCs w:val="0"/>
          <w:color w:val="auto"/>
          <w:sz w:val="24"/>
          <w:szCs w:val="24"/>
          <w:highlight w:val="none"/>
          <w:lang w:val="en-US" w:eastAsia="zh-CN"/>
        </w:rPr>
        <w:t>发出中标</w:t>
      </w:r>
      <w:r>
        <w:rPr>
          <w:rFonts w:hint="eastAsia" w:ascii="微软雅黑" w:hAnsi="微软雅黑" w:eastAsia="微软雅黑" w:cs="微软雅黑"/>
          <w:color w:val="auto"/>
          <w:sz w:val="24"/>
          <w:szCs w:val="24"/>
          <w:highlight w:val="none"/>
          <w:lang w:val="en-US" w:eastAsia="zh-CN"/>
        </w:rPr>
        <w:t>（成交）</w:t>
      </w:r>
      <w:r>
        <w:rPr>
          <w:rFonts w:hint="eastAsia" w:ascii="微软雅黑" w:hAnsi="微软雅黑" w:eastAsia="微软雅黑" w:cs="微软雅黑"/>
          <w:b w:val="0"/>
          <w:bCs w:val="0"/>
          <w:color w:val="auto"/>
          <w:sz w:val="24"/>
          <w:szCs w:val="24"/>
          <w:highlight w:val="none"/>
          <w:lang w:val="en-US" w:eastAsia="zh-CN"/>
        </w:rPr>
        <w:t>通知书。</w:t>
      </w:r>
    </w:p>
    <w:p w14:paraId="6B84CA4F">
      <w:pPr>
        <w:pStyle w:val="7"/>
        <w:keepNext w:val="0"/>
        <w:keepLines w:val="0"/>
        <w:pageBreakBefore w:val="0"/>
        <w:widowControl w:val="0"/>
        <w:kinsoku/>
        <w:wordWrap/>
        <w:overflowPunct/>
        <w:topLinePunct w:val="0"/>
        <w:bidi w:val="0"/>
        <w:snapToGrid w:val="0"/>
        <w:spacing w:before="0" w:beforeAutospacing="0" w:after="0" w:afterAutospacing="0" w:line="480" w:lineRule="exact"/>
        <w:ind w:firstLine="480" w:firstLineChars="200"/>
        <w:jc w:val="left"/>
        <w:textAlignment w:val="baseline"/>
        <w:rPr>
          <w:rFonts w:hint="eastAsia" w:ascii="微软雅黑" w:hAnsi="微软雅黑" w:eastAsia="微软雅黑" w:cs="微软雅黑"/>
          <w:b w:val="0"/>
          <w:bCs w:val="0"/>
          <w:color w:val="auto"/>
          <w:kern w:val="2"/>
          <w:sz w:val="24"/>
          <w:szCs w:val="24"/>
          <w:highlight w:val="none"/>
          <w:lang w:val="en-US" w:eastAsia="zh-CN" w:bidi="ar-SA"/>
        </w:rPr>
      </w:pPr>
      <w:r>
        <w:rPr>
          <w:rFonts w:hint="eastAsia" w:ascii="微软雅黑" w:hAnsi="微软雅黑" w:eastAsia="微软雅黑" w:cs="微软雅黑"/>
          <w:b w:val="0"/>
          <w:bCs w:val="0"/>
          <w:color w:val="auto"/>
          <w:kern w:val="2"/>
          <w:sz w:val="24"/>
          <w:szCs w:val="24"/>
          <w:highlight w:val="none"/>
          <w:lang w:val="en-US" w:eastAsia="zh-CN" w:bidi="ar-SA"/>
        </w:rPr>
        <w:t>16.2中标（成交）通知书作为签订合同的重要依据，对采购人和中标（成交）供应商均具有法律效力。采购人改变中标（成交）结果或者中标（成交）供应商放弃中标（成交）项目的都应承担法律责任。成交供应商不得向他人转让中标（成交）项目，也不得将中标（成交）项目肢解后分别向他人转让。</w:t>
      </w:r>
    </w:p>
    <w:p w14:paraId="526DA4DC">
      <w:pPr>
        <w:pStyle w:val="7"/>
        <w:keepNext w:val="0"/>
        <w:keepLines w:val="0"/>
        <w:pageBreakBefore w:val="0"/>
        <w:widowControl w:val="0"/>
        <w:kinsoku/>
        <w:wordWrap/>
        <w:overflowPunct/>
        <w:topLinePunct w:val="0"/>
        <w:bidi w:val="0"/>
        <w:snapToGrid w:val="0"/>
        <w:spacing w:before="0" w:beforeAutospacing="0" w:after="0" w:afterAutospacing="0" w:line="480" w:lineRule="exact"/>
        <w:ind w:firstLine="480" w:firstLineChars="200"/>
        <w:jc w:val="left"/>
        <w:textAlignment w:val="baseline"/>
        <w:rPr>
          <w:rFonts w:hint="eastAsia" w:ascii="微软雅黑" w:hAnsi="微软雅黑" w:eastAsia="微软雅黑" w:cs="微软雅黑"/>
          <w:b/>
          <w:bCs/>
          <w:color w:val="auto"/>
          <w:kern w:val="2"/>
          <w:sz w:val="24"/>
          <w:szCs w:val="24"/>
          <w:highlight w:val="none"/>
          <w:lang w:val="en-US" w:eastAsia="zh-CN" w:bidi="ar-SA"/>
        </w:rPr>
      </w:pPr>
      <w:r>
        <w:rPr>
          <w:rFonts w:hint="eastAsia" w:ascii="微软雅黑" w:hAnsi="微软雅黑" w:eastAsia="微软雅黑" w:cs="微软雅黑"/>
          <w:b/>
          <w:bCs/>
          <w:color w:val="auto"/>
          <w:kern w:val="2"/>
          <w:sz w:val="24"/>
          <w:szCs w:val="24"/>
          <w:highlight w:val="none"/>
          <w:lang w:val="en-US" w:eastAsia="zh-CN" w:bidi="ar-SA"/>
        </w:rPr>
        <w:t>17.磋商小组推荐成交候选供应商的数量</w:t>
      </w:r>
      <w:r>
        <w:rPr>
          <w:rFonts w:hint="eastAsia" w:ascii="微软雅黑" w:hAnsi="微软雅黑" w:eastAsia="微软雅黑" w:cs="微软雅黑"/>
          <w:b/>
          <w:bCs/>
          <w:color w:val="auto"/>
          <w:kern w:val="2"/>
          <w:sz w:val="24"/>
          <w:szCs w:val="24"/>
          <w:highlight w:val="none"/>
          <w:u w:val="single"/>
          <w:lang w:val="en-US" w:eastAsia="zh-CN" w:bidi="ar-SA"/>
        </w:rPr>
        <w:t>：3</w:t>
      </w:r>
      <w:r>
        <w:rPr>
          <w:rFonts w:hint="eastAsia" w:ascii="微软雅黑" w:hAnsi="微软雅黑" w:eastAsia="微软雅黑" w:cs="微软雅黑"/>
          <w:b/>
          <w:bCs/>
          <w:color w:val="auto"/>
          <w:kern w:val="2"/>
          <w:sz w:val="24"/>
          <w:szCs w:val="24"/>
          <w:highlight w:val="none"/>
          <w:lang w:val="en-US" w:eastAsia="zh-CN" w:bidi="ar-SA"/>
        </w:rPr>
        <w:t xml:space="preserve">。 </w:t>
      </w:r>
    </w:p>
    <w:p w14:paraId="150E7A98">
      <w:pPr>
        <w:pStyle w:val="36"/>
        <w:widowControl w:val="0"/>
        <w:numPr>
          <w:ilvl w:val="0"/>
          <w:numId w:val="0"/>
        </w:numPr>
        <w:spacing w:line="360" w:lineRule="auto"/>
        <w:jc w:val="both"/>
        <w:rPr>
          <w:rFonts w:hint="eastAsia"/>
          <w:color w:val="auto"/>
          <w:lang w:val="en-US" w:eastAsia="zh-CN"/>
        </w:rPr>
      </w:pPr>
    </w:p>
    <w:p w14:paraId="46709388">
      <w:pPr>
        <w:pStyle w:val="7"/>
        <w:rPr>
          <w:rFonts w:hint="eastAsia"/>
          <w:color w:val="auto"/>
          <w:lang w:val="en-US" w:eastAsia="zh-CN"/>
        </w:rPr>
      </w:pPr>
    </w:p>
    <w:p w14:paraId="61550C56">
      <w:pPr>
        <w:pStyle w:val="9"/>
        <w:rPr>
          <w:rFonts w:hint="eastAsia"/>
          <w:color w:val="auto"/>
          <w:lang w:val="en-US" w:eastAsia="zh-CN"/>
        </w:rPr>
      </w:pPr>
    </w:p>
    <w:p w14:paraId="07F6AB4F">
      <w:pPr>
        <w:snapToGrid w:val="0"/>
        <w:spacing w:line="360" w:lineRule="exact"/>
        <w:jc w:val="center"/>
        <w:textAlignment w:val="baseline"/>
        <w:outlineLvl w:val="1"/>
        <w:rPr>
          <w:rFonts w:ascii="微软雅黑" w:hAnsi="微软雅黑" w:eastAsia="微软雅黑" w:cs="微软雅黑"/>
          <w:b/>
          <w:bCs/>
          <w:color w:val="auto"/>
          <w:sz w:val="24"/>
        </w:rPr>
      </w:pPr>
      <w:bookmarkStart w:id="702" w:name="_Toc1826"/>
      <w:bookmarkStart w:id="703" w:name="_Toc31379"/>
      <w:bookmarkStart w:id="704" w:name="_Toc10077"/>
      <w:r>
        <w:rPr>
          <w:rFonts w:hint="eastAsia" w:ascii="微软雅黑" w:hAnsi="微软雅黑" w:eastAsia="微软雅黑" w:cs="微软雅黑"/>
          <w:b/>
          <w:bCs/>
          <w:color w:val="auto"/>
          <w:sz w:val="24"/>
        </w:rPr>
        <w:t>初步评审—资格性审查表</w:t>
      </w:r>
      <w:bookmarkEnd w:id="684"/>
      <w:bookmarkEnd w:id="685"/>
      <w:bookmarkEnd w:id="686"/>
      <w:bookmarkEnd w:id="687"/>
      <w:bookmarkEnd w:id="688"/>
      <w:bookmarkEnd w:id="689"/>
      <w:bookmarkEnd w:id="690"/>
      <w:bookmarkEnd w:id="691"/>
      <w:bookmarkEnd w:id="692"/>
      <w:bookmarkEnd w:id="693"/>
      <w:bookmarkEnd w:id="702"/>
      <w:bookmarkEnd w:id="703"/>
      <w:bookmarkEnd w:id="704"/>
    </w:p>
    <w:tbl>
      <w:tblPr>
        <w:tblStyle w:val="37"/>
        <w:tblpPr w:leftFromText="180" w:rightFromText="180" w:vertAnchor="text" w:horzAnchor="page" w:tblpXSpec="center" w:tblpY="116"/>
        <w:tblOverlap w:val="never"/>
        <w:tblW w:w="102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3"/>
        <w:gridCol w:w="7225"/>
        <w:gridCol w:w="912"/>
        <w:gridCol w:w="750"/>
        <w:gridCol w:w="727"/>
      </w:tblGrid>
      <w:tr w14:paraId="210914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jc w:val="center"/>
        </w:trPr>
        <w:tc>
          <w:tcPr>
            <w:tcW w:w="653" w:type="dxa"/>
            <w:vMerge w:val="restart"/>
            <w:vAlign w:val="center"/>
          </w:tcPr>
          <w:p w14:paraId="4E9F57E3">
            <w:pPr>
              <w:keepNext w:val="0"/>
              <w:keepLines w:val="0"/>
              <w:pageBreakBefore w:val="0"/>
              <w:kinsoku/>
              <w:wordWrap/>
              <w:overflowPunct/>
              <w:topLinePunct w:val="0"/>
              <w:autoSpaceDE/>
              <w:autoSpaceDN/>
              <w:bidi w:val="0"/>
              <w:adjustRightInd/>
              <w:snapToGrid w:val="0"/>
              <w:spacing w:line="340" w:lineRule="exact"/>
              <w:jc w:val="center"/>
              <w:textAlignment w:val="baseline"/>
              <w:rPr>
                <w:rFonts w:ascii="微软雅黑" w:hAnsi="微软雅黑" w:eastAsia="微软雅黑" w:cs="微软雅黑"/>
                <w:bCs/>
                <w:color w:val="auto"/>
                <w:sz w:val="24"/>
              </w:rPr>
            </w:pPr>
            <w:r>
              <w:rPr>
                <w:rFonts w:hint="eastAsia" w:ascii="微软雅黑" w:hAnsi="微软雅黑" w:eastAsia="微软雅黑" w:cs="微软雅黑"/>
                <w:bCs/>
                <w:color w:val="auto"/>
                <w:sz w:val="24"/>
              </w:rPr>
              <w:t>序号</w:t>
            </w:r>
          </w:p>
        </w:tc>
        <w:tc>
          <w:tcPr>
            <w:tcW w:w="7225" w:type="dxa"/>
            <w:vMerge w:val="restart"/>
            <w:vAlign w:val="center"/>
          </w:tcPr>
          <w:p w14:paraId="2460BDB9">
            <w:pPr>
              <w:keepNext w:val="0"/>
              <w:keepLines w:val="0"/>
              <w:pageBreakBefore w:val="0"/>
              <w:kinsoku/>
              <w:wordWrap/>
              <w:overflowPunct/>
              <w:topLinePunct w:val="0"/>
              <w:autoSpaceDE/>
              <w:autoSpaceDN/>
              <w:bidi w:val="0"/>
              <w:adjustRightInd/>
              <w:snapToGrid w:val="0"/>
              <w:spacing w:line="340" w:lineRule="exact"/>
              <w:jc w:val="center"/>
              <w:textAlignment w:val="baseline"/>
              <w:rPr>
                <w:rFonts w:ascii="微软雅黑" w:hAnsi="微软雅黑" w:eastAsia="微软雅黑" w:cs="微软雅黑"/>
                <w:bCs/>
                <w:color w:val="auto"/>
                <w:sz w:val="24"/>
              </w:rPr>
            </w:pPr>
            <w:r>
              <w:rPr>
                <w:rFonts w:hint="eastAsia" w:ascii="微软雅黑" w:hAnsi="微软雅黑" w:eastAsia="微软雅黑" w:cs="微软雅黑"/>
                <w:bCs/>
                <w:color w:val="auto"/>
                <w:sz w:val="24"/>
              </w:rPr>
              <w:t>评审内容</w:t>
            </w:r>
          </w:p>
        </w:tc>
        <w:tc>
          <w:tcPr>
            <w:tcW w:w="2389" w:type="dxa"/>
            <w:gridSpan w:val="3"/>
            <w:vAlign w:val="center"/>
          </w:tcPr>
          <w:p w14:paraId="415F8D5E">
            <w:pPr>
              <w:keepNext w:val="0"/>
              <w:keepLines w:val="0"/>
              <w:pageBreakBefore w:val="0"/>
              <w:kinsoku/>
              <w:wordWrap/>
              <w:overflowPunct/>
              <w:topLinePunct w:val="0"/>
              <w:autoSpaceDE/>
              <w:autoSpaceDN/>
              <w:bidi w:val="0"/>
              <w:adjustRightInd/>
              <w:snapToGrid w:val="0"/>
              <w:spacing w:line="340" w:lineRule="exact"/>
              <w:jc w:val="center"/>
              <w:textAlignment w:val="baseline"/>
              <w:rPr>
                <w:rFonts w:ascii="微软雅黑" w:hAnsi="微软雅黑" w:eastAsia="微软雅黑" w:cs="微软雅黑"/>
                <w:b/>
                <w:color w:val="auto"/>
                <w:sz w:val="24"/>
              </w:rPr>
            </w:pPr>
            <w:r>
              <w:rPr>
                <w:rFonts w:hint="eastAsia" w:ascii="微软雅黑" w:hAnsi="微软雅黑" w:eastAsia="微软雅黑" w:cs="微软雅黑"/>
                <w:b/>
                <w:color w:val="auto"/>
                <w:sz w:val="24"/>
              </w:rPr>
              <w:t>供应商</w:t>
            </w:r>
          </w:p>
        </w:tc>
      </w:tr>
      <w:tr w14:paraId="1D44F7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653" w:type="dxa"/>
            <w:vMerge w:val="continue"/>
            <w:vAlign w:val="center"/>
          </w:tcPr>
          <w:p w14:paraId="602C7ECC">
            <w:pPr>
              <w:keepNext w:val="0"/>
              <w:keepLines w:val="0"/>
              <w:pageBreakBefore w:val="0"/>
              <w:kinsoku/>
              <w:wordWrap/>
              <w:overflowPunct/>
              <w:topLinePunct w:val="0"/>
              <w:autoSpaceDE/>
              <w:autoSpaceDN/>
              <w:bidi w:val="0"/>
              <w:adjustRightInd/>
              <w:snapToGrid w:val="0"/>
              <w:spacing w:line="340" w:lineRule="exact"/>
              <w:jc w:val="center"/>
              <w:textAlignment w:val="baseline"/>
              <w:rPr>
                <w:rFonts w:ascii="微软雅黑" w:hAnsi="微软雅黑" w:eastAsia="微软雅黑" w:cs="微软雅黑"/>
                <w:bCs/>
                <w:color w:val="auto"/>
                <w:sz w:val="24"/>
              </w:rPr>
            </w:pPr>
          </w:p>
        </w:tc>
        <w:tc>
          <w:tcPr>
            <w:tcW w:w="7225" w:type="dxa"/>
            <w:vMerge w:val="continue"/>
            <w:vAlign w:val="center"/>
          </w:tcPr>
          <w:p w14:paraId="293186A4">
            <w:pPr>
              <w:keepNext w:val="0"/>
              <w:keepLines w:val="0"/>
              <w:pageBreakBefore w:val="0"/>
              <w:kinsoku/>
              <w:wordWrap/>
              <w:overflowPunct/>
              <w:topLinePunct w:val="0"/>
              <w:autoSpaceDE/>
              <w:autoSpaceDN/>
              <w:bidi w:val="0"/>
              <w:adjustRightInd/>
              <w:snapToGrid w:val="0"/>
              <w:spacing w:line="340" w:lineRule="exact"/>
              <w:jc w:val="center"/>
              <w:textAlignment w:val="baseline"/>
              <w:rPr>
                <w:rFonts w:ascii="微软雅黑" w:hAnsi="微软雅黑" w:eastAsia="微软雅黑" w:cs="微软雅黑"/>
                <w:bCs/>
                <w:color w:val="auto"/>
                <w:sz w:val="24"/>
              </w:rPr>
            </w:pPr>
          </w:p>
        </w:tc>
        <w:tc>
          <w:tcPr>
            <w:tcW w:w="912" w:type="dxa"/>
            <w:vAlign w:val="center"/>
          </w:tcPr>
          <w:p w14:paraId="193AC436">
            <w:pPr>
              <w:keepNext w:val="0"/>
              <w:keepLines w:val="0"/>
              <w:pageBreakBefore w:val="0"/>
              <w:kinsoku/>
              <w:wordWrap/>
              <w:overflowPunct/>
              <w:topLinePunct w:val="0"/>
              <w:autoSpaceDE/>
              <w:autoSpaceDN/>
              <w:bidi w:val="0"/>
              <w:adjustRightInd/>
              <w:snapToGrid w:val="0"/>
              <w:spacing w:line="340" w:lineRule="exact"/>
              <w:jc w:val="center"/>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是否合格</w:t>
            </w:r>
          </w:p>
        </w:tc>
        <w:tc>
          <w:tcPr>
            <w:tcW w:w="750" w:type="dxa"/>
            <w:vAlign w:val="center"/>
          </w:tcPr>
          <w:p w14:paraId="20E54861">
            <w:pPr>
              <w:keepNext w:val="0"/>
              <w:keepLines w:val="0"/>
              <w:pageBreakBefore w:val="0"/>
              <w:kinsoku/>
              <w:wordWrap/>
              <w:overflowPunct/>
              <w:topLinePunct w:val="0"/>
              <w:autoSpaceDE/>
              <w:autoSpaceDN/>
              <w:bidi w:val="0"/>
              <w:adjustRightInd/>
              <w:snapToGrid w:val="0"/>
              <w:spacing w:line="340" w:lineRule="exact"/>
              <w:jc w:val="center"/>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是否合格</w:t>
            </w:r>
          </w:p>
        </w:tc>
        <w:tc>
          <w:tcPr>
            <w:tcW w:w="727" w:type="dxa"/>
            <w:vAlign w:val="center"/>
          </w:tcPr>
          <w:p w14:paraId="4C0E74A7">
            <w:pPr>
              <w:keepNext w:val="0"/>
              <w:keepLines w:val="0"/>
              <w:pageBreakBefore w:val="0"/>
              <w:kinsoku/>
              <w:wordWrap/>
              <w:overflowPunct/>
              <w:topLinePunct w:val="0"/>
              <w:autoSpaceDE/>
              <w:autoSpaceDN/>
              <w:bidi w:val="0"/>
              <w:adjustRightInd/>
              <w:snapToGrid w:val="0"/>
              <w:spacing w:line="340" w:lineRule="exact"/>
              <w:jc w:val="center"/>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是否合格</w:t>
            </w:r>
          </w:p>
        </w:tc>
      </w:tr>
      <w:tr w14:paraId="0FEC9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653" w:type="dxa"/>
            <w:vAlign w:val="center"/>
          </w:tcPr>
          <w:p w14:paraId="0A21DBA7">
            <w:pPr>
              <w:keepNext w:val="0"/>
              <w:keepLines w:val="0"/>
              <w:pageBreakBefore w:val="0"/>
              <w:widowControl/>
              <w:kinsoku/>
              <w:wordWrap/>
              <w:overflowPunct/>
              <w:topLinePunct w:val="0"/>
              <w:autoSpaceDE/>
              <w:autoSpaceDN/>
              <w:bidi w:val="0"/>
              <w:adjustRightInd/>
              <w:snapToGrid w:val="0"/>
              <w:spacing w:line="340" w:lineRule="exact"/>
              <w:jc w:val="center"/>
              <w:textAlignment w:val="baseline"/>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w:t>
            </w:r>
          </w:p>
        </w:tc>
        <w:tc>
          <w:tcPr>
            <w:tcW w:w="7225" w:type="dxa"/>
            <w:vAlign w:val="center"/>
          </w:tcPr>
          <w:p w14:paraId="59DB4D91">
            <w:pPr>
              <w:keepNext w:val="0"/>
              <w:keepLines w:val="0"/>
              <w:pageBreakBefore w:val="0"/>
              <w:widowControl/>
              <w:kinsoku/>
              <w:wordWrap/>
              <w:overflowPunct/>
              <w:topLinePunct w:val="0"/>
              <w:autoSpaceDE/>
              <w:autoSpaceDN/>
              <w:bidi w:val="0"/>
              <w:adjustRightInd/>
              <w:snapToGrid w:val="0"/>
              <w:spacing w:line="340" w:lineRule="exact"/>
              <w:jc w:val="left"/>
              <w:textAlignment w:val="baseline"/>
              <w:rPr>
                <w:rFonts w:hint="eastAsia" w:ascii="微软雅黑" w:hAnsi="微软雅黑" w:eastAsia="微软雅黑" w:cs="微软雅黑"/>
                <w:color w:val="auto"/>
                <w:sz w:val="24"/>
                <w:highlight w:val="none"/>
                <w:lang w:eastAsia="zh-CN"/>
              </w:rPr>
            </w:pPr>
            <w:r>
              <w:rPr>
                <w:rFonts w:hint="eastAsia" w:ascii="微软雅黑" w:hAnsi="微软雅黑" w:eastAsia="微软雅黑" w:cs="微软雅黑"/>
                <w:i w:val="0"/>
                <w:iCs w:val="0"/>
                <w:caps w:val="0"/>
                <w:color w:val="auto"/>
                <w:spacing w:val="0"/>
                <w:sz w:val="24"/>
                <w:szCs w:val="24"/>
                <w:highlight w:val="none"/>
                <w:lang w:val="en-US" w:eastAsia="zh-CN"/>
              </w:rPr>
              <w:t>具有独立承担民事责任的能力；（提供在中华人民共和国境内注册的法人或其他组织的营业执照或事业单位法人证书或社会团体法人登记证书）；</w:t>
            </w:r>
          </w:p>
        </w:tc>
        <w:tc>
          <w:tcPr>
            <w:tcW w:w="912" w:type="dxa"/>
          </w:tcPr>
          <w:p w14:paraId="5F2089F6">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c>
          <w:tcPr>
            <w:tcW w:w="750" w:type="dxa"/>
          </w:tcPr>
          <w:p w14:paraId="188F97C4">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c>
          <w:tcPr>
            <w:tcW w:w="727" w:type="dxa"/>
          </w:tcPr>
          <w:p w14:paraId="00C973D4">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r>
      <w:tr w14:paraId="59C22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3" w:hRule="atLeast"/>
          <w:jc w:val="center"/>
        </w:trPr>
        <w:tc>
          <w:tcPr>
            <w:tcW w:w="653" w:type="dxa"/>
            <w:vAlign w:val="center"/>
          </w:tcPr>
          <w:p w14:paraId="4412E468">
            <w:pPr>
              <w:keepNext w:val="0"/>
              <w:keepLines w:val="0"/>
              <w:pageBreakBefore w:val="0"/>
              <w:widowControl/>
              <w:kinsoku/>
              <w:wordWrap/>
              <w:overflowPunct/>
              <w:topLinePunct w:val="0"/>
              <w:autoSpaceDE/>
              <w:autoSpaceDN/>
              <w:bidi w:val="0"/>
              <w:adjustRightInd/>
              <w:snapToGrid w:val="0"/>
              <w:spacing w:line="340" w:lineRule="exact"/>
              <w:jc w:val="center"/>
              <w:textAlignment w:val="baseline"/>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w:t>
            </w:r>
          </w:p>
        </w:tc>
        <w:tc>
          <w:tcPr>
            <w:tcW w:w="7225" w:type="dxa"/>
            <w:vAlign w:val="center"/>
          </w:tcPr>
          <w:p w14:paraId="5C3D8140">
            <w:pPr>
              <w:pStyle w:val="3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40" w:lineRule="exact"/>
              <w:ind w:right="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i w:val="0"/>
                <w:iCs w:val="0"/>
                <w:caps w:val="0"/>
                <w:color w:val="auto"/>
                <w:spacing w:val="0"/>
                <w:sz w:val="24"/>
                <w:szCs w:val="24"/>
                <w:highlight w:val="none"/>
                <w:lang w:val="en-US" w:eastAsia="zh-CN"/>
              </w:rPr>
              <w:t>法定代表人资格证明及授权书、被授权人身份证；(法定代表人投标需提供法定代表人身份证)；</w:t>
            </w:r>
          </w:p>
        </w:tc>
        <w:tc>
          <w:tcPr>
            <w:tcW w:w="912" w:type="dxa"/>
          </w:tcPr>
          <w:p w14:paraId="52696A6E">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c>
          <w:tcPr>
            <w:tcW w:w="750" w:type="dxa"/>
          </w:tcPr>
          <w:p w14:paraId="1490223C">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c>
          <w:tcPr>
            <w:tcW w:w="727" w:type="dxa"/>
          </w:tcPr>
          <w:p w14:paraId="49FE997A">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r>
      <w:tr w14:paraId="03F59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653" w:type="dxa"/>
            <w:vAlign w:val="center"/>
          </w:tcPr>
          <w:p w14:paraId="62EC48E9">
            <w:pPr>
              <w:keepNext w:val="0"/>
              <w:keepLines w:val="0"/>
              <w:pageBreakBefore w:val="0"/>
              <w:widowControl/>
              <w:kinsoku/>
              <w:wordWrap/>
              <w:overflowPunct/>
              <w:topLinePunct w:val="0"/>
              <w:autoSpaceDE/>
              <w:autoSpaceDN/>
              <w:bidi w:val="0"/>
              <w:adjustRightInd/>
              <w:snapToGrid w:val="0"/>
              <w:spacing w:line="340" w:lineRule="exact"/>
              <w:jc w:val="center"/>
              <w:textAlignment w:val="baseline"/>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w:t>
            </w:r>
          </w:p>
        </w:tc>
        <w:tc>
          <w:tcPr>
            <w:tcW w:w="7225" w:type="dxa"/>
            <w:vAlign w:val="center"/>
          </w:tcPr>
          <w:p w14:paraId="58672F1E">
            <w:pPr>
              <w:keepNext w:val="0"/>
              <w:keepLines w:val="0"/>
              <w:pageBreakBefore w:val="0"/>
              <w:widowControl/>
              <w:kinsoku/>
              <w:wordWrap/>
              <w:overflowPunct/>
              <w:topLinePunct w:val="0"/>
              <w:autoSpaceDE/>
              <w:autoSpaceDN/>
              <w:bidi w:val="0"/>
              <w:adjustRightInd/>
              <w:snapToGrid w:val="0"/>
              <w:spacing w:line="340" w:lineRule="exact"/>
              <w:jc w:val="left"/>
              <w:textAlignment w:val="baseline"/>
              <w:rPr>
                <w:rFonts w:hint="eastAsia" w:ascii="微软雅黑" w:hAnsi="微软雅黑" w:eastAsia="微软雅黑" w:cs="微软雅黑"/>
                <w:color w:val="auto"/>
                <w:sz w:val="24"/>
                <w:highlight w:val="none"/>
              </w:rPr>
            </w:pPr>
            <w:r>
              <w:rPr>
                <w:rFonts w:hint="eastAsia" w:ascii="微软雅黑" w:hAnsi="微软雅黑" w:eastAsia="微软雅黑" w:cs="微软雅黑"/>
                <w:i w:val="0"/>
                <w:iCs w:val="0"/>
                <w:caps w:val="0"/>
                <w:color w:val="auto"/>
                <w:spacing w:val="0"/>
                <w:sz w:val="24"/>
                <w:szCs w:val="24"/>
                <w:highlight w:val="none"/>
                <w:lang w:eastAsia="zh-CN"/>
              </w:rPr>
              <w:t>本单位依法缴纳的近3个月内任意一个月的社会保险的凭据（新成立公司提供相关证明文件）；</w:t>
            </w:r>
          </w:p>
        </w:tc>
        <w:tc>
          <w:tcPr>
            <w:tcW w:w="912" w:type="dxa"/>
          </w:tcPr>
          <w:p w14:paraId="13B63D52">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c>
          <w:tcPr>
            <w:tcW w:w="750" w:type="dxa"/>
          </w:tcPr>
          <w:p w14:paraId="05BDB576">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c>
          <w:tcPr>
            <w:tcW w:w="727" w:type="dxa"/>
          </w:tcPr>
          <w:p w14:paraId="5B46CDEA">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r>
      <w:tr w14:paraId="476B7C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653" w:type="dxa"/>
            <w:vAlign w:val="center"/>
          </w:tcPr>
          <w:p w14:paraId="6F6CB2E4">
            <w:pPr>
              <w:keepNext w:val="0"/>
              <w:keepLines w:val="0"/>
              <w:pageBreakBefore w:val="0"/>
              <w:kinsoku/>
              <w:wordWrap/>
              <w:overflowPunct/>
              <w:topLinePunct w:val="0"/>
              <w:autoSpaceDE/>
              <w:autoSpaceDN/>
              <w:bidi w:val="0"/>
              <w:adjustRightInd/>
              <w:snapToGrid w:val="0"/>
              <w:spacing w:line="340" w:lineRule="exact"/>
              <w:jc w:val="center"/>
              <w:textAlignment w:val="baseline"/>
              <w:rPr>
                <w:rFonts w:ascii="微软雅黑" w:hAnsi="微软雅黑" w:eastAsia="微软雅黑" w:cs="微软雅黑"/>
                <w:bCs/>
                <w:color w:val="auto"/>
                <w:sz w:val="24"/>
              </w:rPr>
            </w:pPr>
            <w:r>
              <w:rPr>
                <w:rFonts w:hint="eastAsia" w:ascii="微软雅黑" w:hAnsi="微软雅黑" w:eastAsia="微软雅黑" w:cs="微软雅黑"/>
                <w:bCs/>
                <w:color w:val="auto"/>
                <w:sz w:val="24"/>
              </w:rPr>
              <w:t>4</w:t>
            </w:r>
          </w:p>
        </w:tc>
        <w:tc>
          <w:tcPr>
            <w:tcW w:w="7225" w:type="dxa"/>
            <w:vAlign w:val="center"/>
          </w:tcPr>
          <w:p w14:paraId="123AC101">
            <w:pPr>
              <w:keepNext w:val="0"/>
              <w:keepLines w:val="0"/>
              <w:pageBreakBefore w:val="0"/>
              <w:widowControl/>
              <w:kinsoku/>
              <w:wordWrap/>
              <w:overflowPunct/>
              <w:topLinePunct w:val="0"/>
              <w:autoSpaceDE/>
              <w:autoSpaceDN/>
              <w:bidi w:val="0"/>
              <w:adjustRightInd/>
              <w:snapToGrid w:val="0"/>
              <w:spacing w:line="340" w:lineRule="exact"/>
              <w:jc w:val="left"/>
              <w:textAlignment w:val="baseline"/>
              <w:rPr>
                <w:rFonts w:ascii="微软雅黑" w:hAnsi="微软雅黑" w:eastAsia="微软雅黑" w:cs="微软雅黑"/>
                <w:color w:val="auto"/>
                <w:sz w:val="24"/>
                <w:highlight w:val="none"/>
              </w:rPr>
            </w:pPr>
            <w:r>
              <w:rPr>
                <w:rFonts w:hint="eastAsia" w:ascii="微软雅黑" w:hAnsi="微软雅黑" w:eastAsia="微软雅黑" w:cs="微软雅黑"/>
                <w:i w:val="0"/>
                <w:iCs w:val="0"/>
                <w:caps w:val="0"/>
                <w:color w:val="auto"/>
                <w:spacing w:val="0"/>
                <w:sz w:val="24"/>
                <w:szCs w:val="24"/>
                <w:highlight w:val="none"/>
                <w:lang w:eastAsia="zh-CN"/>
              </w:rPr>
              <w:t>税务部门出具的近</w:t>
            </w:r>
            <w:r>
              <w:rPr>
                <w:rFonts w:hint="eastAsia" w:ascii="微软雅黑" w:hAnsi="微软雅黑" w:eastAsia="微软雅黑" w:cs="微软雅黑"/>
                <w:i w:val="0"/>
                <w:iCs w:val="0"/>
                <w:caps w:val="0"/>
                <w:color w:val="auto"/>
                <w:spacing w:val="0"/>
                <w:sz w:val="24"/>
                <w:szCs w:val="24"/>
                <w:highlight w:val="none"/>
                <w:lang w:val="en-US" w:eastAsia="zh-CN"/>
              </w:rPr>
              <w:t>3</w:t>
            </w:r>
            <w:r>
              <w:rPr>
                <w:rFonts w:hint="eastAsia" w:ascii="微软雅黑" w:hAnsi="微软雅黑" w:eastAsia="微软雅黑" w:cs="微软雅黑"/>
                <w:i w:val="0"/>
                <w:iCs w:val="0"/>
                <w:caps w:val="0"/>
                <w:color w:val="auto"/>
                <w:spacing w:val="0"/>
                <w:sz w:val="24"/>
                <w:szCs w:val="24"/>
                <w:highlight w:val="none"/>
                <w:lang w:eastAsia="zh-CN"/>
              </w:rPr>
              <w:t>个月内任意一个月的完税证明（</w:t>
            </w:r>
            <w:r>
              <w:rPr>
                <w:rFonts w:hint="eastAsia" w:ascii="微软雅黑" w:hAnsi="微软雅黑" w:eastAsia="微软雅黑" w:cs="微软雅黑"/>
                <w:i w:val="0"/>
                <w:iCs w:val="0"/>
                <w:caps w:val="0"/>
                <w:color w:val="auto"/>
                <w:spacing w:val="0"/>
                <w:sz w:val="24"/>
                <w:szCs w:val="24"/>
                <w:highlight w:val="none"/>
              </w:rPr>
              <w:t>依法免缴的应提供依法免缴的相关证明文件</w:t>
            </w:r>
            <w:r>
              <w:rPr>
                <w:rFonts w:hint="eastAsia" w:ascii="微软雅黑" w:hAnsi="微软雅黑" w:eastAsia="微软雅黑" w:cs="微软雅黑"/>
                <w:i w:val="0"/>
                <w:iCs w:val="0"/>
                <w:caps w:val="0"/>
                <w:color w:val="auto"/>
                <w:spacing w:val="0"/>
                <w:sz w:val="24"/>
                <w:szCs w:val="24"/>
                <w:highlight w:val="none"/>
                <w:lang w:val="en-US" w:eastAsia="zh-CN"/>
              </w:rPr>
              <w:t>或</w:t>
            </w:r>
            <w:r>
              <w:rPr>
                <w:rFonts w:hint="eastAsia" w:ascii="微软雅黑" w:hAnsi="微软雅黑" w:eastAsia="微软雅黑" w:cs="微软雅黑"/>
                <w:i w:val="0"/>
                <w:iCs w:val="0"/>
                <w:caps w:val="0"/>
                <w:color w:val="auto"/>
                <w:spacing w:val="0"/>
                <w:sz w:val="24"/>
                <w:szCs w:val="24"/>
                <w:highlight w:val="none"/>
              </w:rPr>
              <w:t>零申报报表</w:t>
            </w:r>
            <w:r>
              <w:rPr>
                <w:rFonts w:hint="eastAsia" w:ascii="微软雅黑" w:hAnsi="微软雅黑" w:eastAsia="微软雅黑" w:cs="微软雅黑"/>
                <w:i w:val="0"/>
                <w:iCs w:val="0"/>
                <w:caps w:val="0"/>
                <w:color w:val="auto"/>
                <w:spacing w:val="0"/>
                <w:sz w:val="24"/>
                <w:szCs w:val="24"/>
                <w:highlight w:val="none"/>
                <w:lang w:eastAsia="zh-CN"/>
              </w:rPr>
              <w:t>）</w:t>
            </w:r>
            <w:r>
              <w:rPr>
                <w:rFonts w:hint="eastAsia" w:ascii="微软雅黑" w:hAnsi="微软雅黑" w:eastAsia="微软雅黑" w:cs="微软雅黑"/>
                <w:i w:val="0"/>
                <w:iCs w:val="0"/>
                <w:caps w:val="0"/>
                <w:color w:val="auto"/>
                <w:spacing w:val="0"/>
                <w:sz w:val="24"/>
                <w:szCs w:val="24"/>
                <w:highlight w:val="none"/>
              </w:rPr>
              <w:t>；</w:t>
            </w:r>
          </w:p>
        </w:tc>
        <w:tc>
          <w:tcPr>
            <w:tcW w:w="912" w:type="dxa"/>
          </w:tcPr>
          <w:p w14:paraId="5E5C0A6A">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c>
          <w:tcPr>
            <w:tcW w:w="750" w:type="dxa"/>
          </w:tcPr>
          <w:p w14:paraId="774BFEF7">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c>
          <w:tcPr>
            <w:tcW w:w="727" w:type="dxa"/>
          </w:tcPr>
          <w:p w14:paraId="6B529108">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r>
      <w:tr w14:paraId="734E3A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653" w:type="dxa"/>
            <w:vAlign w:val="center"/>
          </w:tcPr>
          <w:p w14:paraId="64606694">
            <w:pPr>
              <w:keepNext w:val="0"/>
              <w:keepLines w:val="0"/>
              <w:pageBreakBefore w:val="0"/>
              <w:kinsoku/>
              <w:wordWrap/>
              <w:overflowPunct/>
              <w:topLinePunct w:val="0"/>
              <w:autoSpaceDE/>
              <w:autoSpaceDN/>
              <w:bidi w:val="0"/>
              <w:adjustRightInd/>
              <w:snapToGrid w:val="0"/>
              <w:spacing w:line="340" w:lineRule="exact"/>
              <w:jc w:val="center"/>
              <w:textAlignment w:val="baseline"/>
              <w:rPr>
                <w:rFonts w:ascii="微软雅黑" w:hAnsi="微软雅黑" w:eastAsia="微软雅黑" w:cs="微软雅黑"/>
                <w:bCs/>
                <w:color w:val="auto"/>
                <w:sz w:val="24"/>
              </w:rPr>
            </w:pPr>
            <w:r>
              <w:rPr>
                <w:rFonts w:hint="eastAsia" w:ascii="微软雅黑" w:hAnsi="微软雅黑" w:eastAsia="微软雅黑" w:cs="微软雅黑"/>
                <w:color w:val="auto"/>
                <w:kern w:val="0"/>
                <w:sz w:val="24"/>
              </w:rPr>
              <w:t>5</w:t>
            </w:r>
          </w:p>
        </w:tc>
        <w:tc>
          <w:tcPr>
            <w:tcW w:w="7225" w:type="dxa"/>
            <w:vAlign w:val="center"/>
          </w:tcPr>
          <w:p w14:paraId="6C55A365">
            <w:pPr>
              <w:keepNext w:val="0"/>
              <w:keepLines w:val="0"/>
              <w:pageBreakBefore w:val="0"/>
              <w:widowControl/>
              <w:kinsoku/>
              <w:wordWrap/>
              <w:overflowPunct/>
              <w:topLinePunct w:val="0"/>
              <w:autoSpaceDE/>
              <w:autoSpaceDN/>
              <w:bidi w:val="0"/>
              <w:adjustRightInd/>
              <w:snapToGrid w:val="0"/>
              <w:spacing w:line="340" w:lineRule="exact"/>
              <w:jc w:val="left"/>
              <w:textAlignment w:val="baseline"/>
              <w:rPr>
                <w:rFonts w:ascii="微软雅黑" w:hAnsi="微软雅黑" w:eastAsia="微软雅黑" w:cs="微软雅黑"/>
                <w:color w:val="auto"/>
                <w:sz w:val="24"/>
                <w:highlight w:val="none"/>
              </w:rPr>
            </w:pPr>
            <w:r>
              <w:rPr>
                <w:rFonts w:hint="eastAsia" w:ascii="微软雅黑" w:hAnsi="微软雅黑" w:eastAsia="微软雅黑" w:cs="微软雅黑"/>
                <w:i w:val="0"/>
                <w:iCs w:val="0"/>
                <w:caps w:val="0"/>
                <w:color w:val="auto"/>
                <w:spacing w:val="0"/>
                <w:sz w:val="24"/>
                <w:szCs w:val="24"/>
                <w:highlight w:val="none"/>
                <w:lang w:val="en-US" w:eastAsia="zh-CN"/>
              </w:rPr>
              <w:t>提供近两年任意一年完整的财务审计报告或近一个月的银行资信证明；</w:t>
            </w:r>
          </w:p>
        </w:tc>
        <w:tc>
          <w:tcPr>
            <w:tcW w:w="912" w:type="dxa"/>
          </w:tcPr>
          <w:p w14:paraId="540C24B4">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c>
          <w:tcPr>
            <w:tcW w:w="750" w:type="dxa"/>
          </w:tcPr>
          <w:p w14:paraId="5810256D">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c>
          <w:tcPr>
            <w:tcW w:w="727" w:type="dxa"/>
          </w:tcPr>
          <w:p w14:paraId="6C91EB9D">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r>
      <w:tr w14:paraId="074A96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653" w:type="dxa"/>
            <w:vAlign w:val="center"/>
          </w:tcPr>
          <w:p w14:paraId="1F8B94DD">
            <w:pPr>
              <w:keepNext w:val="0"/>
              <w:keepLines w:val="0"/>
              <w:pageBreakBefore w:val="0"/>
              <w:kinsoku/>
              <w:wordWrap/>
              <w:overflowPunct/>
              <w:topLinePunct w:val="0"/>
              <w:autoSpaceDE/>
              <w:autoSpaceDN/>
              <w:bidi w:val="0"/>
              <w:adjustRightInd/>
              <w:snapToGrid w:val="0"/>
              <w:spacing w:line="340" w:lineRule="exact"/>
              <w:jc w:val="center"/>
              <w:textAlignment w:val="baseline"/>
              <w:rPr>
                <w:rFonts w:hint="eastAsia" w:ascii="微软雅黑" w:hAnsi="微软雅黑" w:eastAsia="微软雅黑" w:cs="微软雅黑"/>
                <w:color w:val="auto"/>
                <w:kern w:val="0"/>
                <w:sz w:val="24"/>
                <w:lang w:val="en-US" w:eastAsia="zh-CN"/>
              </w:rPr>
            </w:pPr>
            <w:r>
              <w:rPr>
                <w:rFonts w:hint="eastAsia" w:ascii="微软雅黑" w:hAnsi="微软雅黑" w:eastAsia="微软雅黑" w:cs="微软雅黑"/>
                <w:color w:val="auto"/>
                <w:kern w:val="0"/>
                <w:sz w:val="24"/>
                <w:lang w:val="en-US" w:eastAsia="zh-CN"/>
              </w:rPr>
              <w:t>6</w:t>
            </w:r>
          </w:p>
        </w:tc>
        <w:tc>
          <w:tcPr>
            <w:tcW w:w="7225" w:type="dxa"/>
            <w:vAlign w:val="center"/>
          </w:tcPr>
          <w:p w14:paraId="7CFEDADE">
            <w:pPr>
              <w:pStyle w:val="3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40" w:lineRule="exact"/>
              <w:ind w:right="0"/>
              <w:textAlignment w:val="auto"/>
              <w:rPr>
                <w:rFonts w:hint="eastAsia" w:ascii="微软雅黑" w:hAnsi="微软雅黑" w:eastAsia="微软雅黑" w:cs="微软雅黑"/>
                <w:i w:val="0"/>
                <w:iCs w:val="0"/>
                <w:caps w:val="0"/>
                <w:color w:val="auto"/>
                <w:spacing w:val="0"/>
                <w:sz w:val="24"/>
                <w:szCs w:val="24"/>
                <w:highlight w:val="none"/>
                <w:lang w:val="en-US" w:eastAsia="zh-CN"/>
              </w:rPr>
            </w:pPr>
            <w:r>
              <w:rPr>
                <w:rFonts w:hint="eastAsia" w:ascii="微软雅黑" w:hAnsi="微软雅黑" w:eastAsia="微软雅黑" w:cs="微软雅黑"/>
                <w:i w:val="0"/>
                <w:iCs w:val="0"/>
                <w:caps w:val="0"/>
                <w:color w:val="auto"/>
                <w:spacing w:val="0"/>
                <w:sz w:val="24"/>
                <w:szCs w:val="24"/>
                <w:highlight w:val="none"/>
              </w:rPr>
              <w:t>参与政府采购活动前3年内未被列入失信、重大税收违法案件、财政部门禁止参加政府采购活动的承诺书；</w:t>
            </w:r>
          </w:p>
        </w:tc>
        <w:tc>
          <w:tcPr>
            <w:tcW w:w="912" w:type="dxa"/>
          </w:tcPr>
          <w:p w14:paraId="610F0F0E">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c>
          <w:tcPr>
            <w:tcW w:w="750" w:type="dxa"/>
          </w:tcPr>
          <w:p w14:paraId="4B62A0F1">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c>
          <w:tcPr>
            <w:tcW w:w="727" w:type="dxa"/>
          </w:tcPr>
          <w:p w14:paraId="5D58471E">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r>
      <w:tr w14:paraId="73B674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653" w:type="dxa"/>
            <w:vAlign w:val="center"/>
          </w:tcPr>
          <w:p w14:paraId="44A0729C">
            <w:pPr>
              <w:keepNext w:val="0"/>
              <w:keepLines w:val="0"/>
              <w:pageBreakBefore w:val="0"/>
              <w:kinsoku/>
              <w:wordWrap/>
              <w:overflowPunct/>
              <w:topLinePunct w:val="0"/>
              <w:autoSpaceDE/>
              <w:autoSpaceDN/>
              <w:bidi w:val="0"/>
              <w:adjustRightInd/>
              <w:snapToGrid w:val="0"/>
              <w:spacing w:line="340" w:lineRule="exact"/>
              <w:jc w:val="center"/>
              <w:textAlignment w:val="baseline"/>
              <w:rPr>
                <w:rFonts w:hint="eastAsia" w:ascii="微软雅黑" w:hAnsi="微软雅黑" w:eastAsia="微软雅黑" w:cs="微软雅黑"/>
                <w:color w:val="auto"/>
                <w:kern w:val="0"/>
                <w:sz w:val="24"/>
                <w:lang w:val="en-US" w:eastAsia="zh-CN"/>
              </w:rPr>
            </w:pPr>
            <w:r>
              <w:rPr>
                <w:rFonts w:hint="eastAsia" w:ascii="微软雅黑" w:hAnsi="微软雅黑" w:eastAsia="微软雅黑" w:cs="微软雅黑"/>
                <w:color w:val="auto"/>
                <w:kern w:val="0"/>
                <w:sz w:val="24"/>
                <w:lang w:val="en-US" w:eastAsia="zh-CN"/>
              </w:rPr>
              <w:t>7</w:t>
            </w:r>
          </w:p>
        </w:tc>
        <w:tc>
          <w:tcPr>
            <w:tcW w:w="7225" w:type="dxa"/>
            <w:vAlign w:val="center"/>
          </w:tcPr>
          <w:p w14:paraId="3ACD2A1C">
            <w:pPr>
              <w:keepNext w:val="0"/>
              <w:keepLines w:val="0"/>
              <w:pageBreakBefore w:val="0"/>
              <w:widowControl/>
              <w:kinsoku/>
              <w:wordWrap/>
              <w:overflowPunct/>
              <w:topLinePunct w:val="0"/>
              <w:autoSpaceDE/>
              <w:autoSpaceDN/>
              <w:bidi w:val="0"/>
              <w:adjustRightInd/>
              <w:snapToGrid w:val="0"/>
              <w:spacing w:line="340" w:lineRule="exact"/>
              <w:jc w:val="left"/>
              <w:textAlignment w:val="baseline"/>
              <w:rPr>
                <w:rFonts w:ascii="微软雅黑" w:hAnsi="微软雅黑" w:eastAsia="微软雅黑" w:cs="微软雅黑"/>
                <w:color w:val="auto"/>
                <w:kern w:val="0"/>
                <w:sz w:val="24"/>
                <w:szCs w:val="24"/>
                <w:highlight w:val="none"/>
                <w:lang w:val="en-US" w:eastAsia="zh-CN" w:bidi="ar-SA"/>
              </w:rPr>
            </w:pPr>
            <w:r>
              <w:rPr>
                <w:rFonts w:hint="eastAsia" w:ascii="微软雅黑" w:hAnsi="微软雅黑" w:eastAsia="微软雅黑" w:cs="微软雅黑"/>
                <w:i w:val="0"/>
                <w:iCs w:val="0"/>
                <w:caps w:val="0"/>
                <w:color w:val="auto"/>
                <w:spacing w:val="0"/>
                <w:sz w:val="24"/>
                <w:szCs w:val="24"/>
                <w:highlight w:val="none"/>
              </w:rPr>
              <w:t>提供针对本次项目的反商业贿赂承诺书。</w:t>
            </w:r>
          </w:p>
        </w:tc>
        <w:tc>
          <w:tcPr>
            <w:tcW w:w="912" w:type="dxa"/>
          </w:tcPr>
          <w:p w14:paraId="2177F495">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c>
          <w:tcPr>
            <w:tcW w:w="750" w:type="dxa"/>
          </w:tcPr>
          <w:p w14:paraId="0A70E6FC">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c>
          <w:tcPr>
            <w:tcW w:w="727" w:type="dxa"/>
          </w:tcPr>
          <w:p w14:paraId="652AD501">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r>
      <w:tr w14:paraId="0D2297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653" w:type="dxa"/>
            <w:vAlign w:val="center"/>
          </w:tcPr>
          <w:p w14:paraId="50C126EA">
            <w:pPr>
              <w:keepNext w:val="0"/>
              <w:keepLines w:val="0"/>
              <w:pageBreakBefore w:val="0"/>
              <w:kinsoku/>
              <w:wordWrap/>
              <w:overflowPunct/>
              <w:topLinePunct w:val="0"/>
              <w:autoSpaceDE/>
              <w:autoSpaceDN/>
              <w:bidi w:val="0"/>
              <w:adjustRightInd/>
              <w:snapToGrid w:val="0"/>
              <w:spacing w:line="340" w:lineRule="exact"/>
              <w:jc w:val="center"/>
              <w:textAlignment w:val="baseline"/>
              <w:rPr>
                <w:rFonts w:hint="eastAsia" w:ascii="微软雅黑" w:hAnsi="微软雅黑" w:eastAsia="微软雅黑" w:cs="微软雅黑"/>
                <w:color w:val="auto"/>
                <w:kern w:val="0"/>
                <w:sz w:val="24"/>
                <w:lang w:val="en-US" w:eastAsia="zh-CN"/>
              </w:rPr>
            </w:pPr>
            <w:r>
              <w:rPr>
                <w:rFonts w:hint="eastAsia" w:ascii="微软雅黑" w:hAnsi="微软雅黑" w:eastAsia="微软雅黑" w:cs="微软雅黑"/>
                <w:color w:val="auto"/>
                <w:kern w:val="0"/>
                <w:sz w:val="24"/>
                <w:lang w:val="en-US" w:eastAsia="zh-CN"/>
              </w:rPr>
              <w:t>8</w:t>
            </w:r>
          </w:p>
        </w:tc>
        <w:tc>
          <w:tcPr>
            <w:tcW w:w="7225" w:type="dxa"/>
            <w:vAlign w:val="center"/>
          </w:tcPr>
          <w:p w14:paraId="27E8234B">
            <w:pPr>
              <w:pStyle w:val="3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40" w:lineRule="exact"/>
              <w:ind w:right="0"/>
              <w:textAlignment w:val="auto"/>
              <w:rPr>
                <w:rFonts w:hint="eastAsia" w:ascii="微软雅黑" w:hAnsi="微软雅黑" w:eastAsia="微软雅黑" w:cs="微软雅黑"/>
                <w:i w:val="0"/>
                <w:iCs w:val="0"/>
                <w:caps w:val="0"/>
                <w:color w:val="auto"/>
                <w:spacing w:val="0"/>
                <w:sz w:val="24"/>
                <w:szCs w:val="24"/>
                <w:highlight w:val="none"/>
              </w:rPr>
            </w:pPr>
            <w:r>
              <w:rPr>
                <w:rFonts w:hint="eastAsia" w:ascii="微软雅黑" w:hAnsi="微软雅黑" w:eastAsia="微软雅黑" w:cs="微软雅黑"/>
                <w:i w:val="0"/>
                <w:iCs w:val="0"/>
                <w:caps w:val="0"/>
                <w:color w:val="auto"/>
                <w:spacing w:val="0"/>
                <w:sz w:val="24"/>
                <w:szCs w:val="24"/>
                <w:highlight w:val="none"/>
                <w:lang w:val="en-US" w:eastAsia="zh-CN"/>
              </w:rPr>
              <w:t>根据《政府采购领域“整顿市场秩序、建设法规体系、促进产业发展”三年行动方案（2024—2026年）》的通知，凡拟参加本次采购项目的供应商，必须为未被列入“信用中国”网站(www.creditchina.gov.cn)（失信被执行人名单、重大税收违法失信主体名单）、中国政府采购网(www.ccgp.gov.cn)（政府采购严重违法失信行为记录名单），国家企业公示信息系统（www.gsxt.gov.cn）（经营异常名录、严重违法失信名单）,（须提供查询记录截图并加盖公章）</w:t>
            </w:r>
            <w:r>
              <w:rPr>
                <w:rFonts w:hint="eastAsia" w:ascii="微软雅黑" w:hAnsi="微软雅黑" w:eastAsia="微软雅黑" w:cs="微软雅黑"/>
                <w:i w:val="0"/>
                <w:iCs w:val="0"/>
                <w:caps w:val="0"/>
                <w:color w:val="auto"/>
                <w:spacing w:val="0"/>
                <w:sz w:val="24"/>
                <w:szCs w:val="24"/>
                <w:highlight w:val="none"/>
              </w:rPr>
              <w:t>；</w:t>
            </w:r>
          </w:p>
        </w:tc>
        <w:tc>
          <w:tcPr>
            <w:tcW w:w="912" w:type="dxa"/>
          </w:tcPr>
          <w:p w14:paraId="2C32B91E">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c>
          <w:tcPr>
            <w:tcW w:w="750" w:type="dxa"/>
          </w:tcPr>
          <w:p w14:paraId="0F5F11CB">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c>
          <w:tcPr>
            <w:tcW w:w="727" w:type="dxa"/>
          </w:tcPr>
          <w:p w14:paraId="048FDC1F">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r>
      <w:tr w14:paraId="53511B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653" w:type="dxa"/>
            <w:vAlign w:val="center"/>
          </w:tcPr>
          <w:p w14:paraId="55C36B68">
            <w:pPr>
              <w:keepNext w:val="0"/>
              <w:keepLines w:val="0"/>
              <w:pageBreakBefore w:val="0"/>
              <w:kinsoku/>
              <w:wordWrap/>
              <w:overflowPunct/>
              <w:topLinePunct w:val="0"/>
              <w:autoSpaceDE/>
              <w:autoSpaceDN/>
              <w:bidi w:val="0"/>
              <w:adjustRightInd/>
              <w:snapToGrid w:val="0"/>
              <w:spacing w:line="340" w:lineRule="exact"/>
              <w:jc w:val="center"/>
              <w:textAlignment w:val="baseline"/>
              <w:rPr>
                <w:rFonts w:hint="default" w:ascii="微软雅黑" w:hAnsi="微软雅黑" w:eastAsia="微软雅黑" w:cs="微软雅黑"/>
                <w:color w:val="auto"/>
                <w:kern w:val="0"/>
                <w:sz w:val="24"/>
                <w:lang w:val="en-US" w:eastAsia="zh-CN"/>
              </w:rPr>
            </w:pPr>
            <w:r>
              <w:rPr>
                <w:rFonts w:hint="eastAsia" w:ascii="微软雅黑" w:hAnsi="微软雅黑" w:eastAsia="微软雅黑" w:cs="微软雅黑"/>
                <w:color w:val="auto"/>
                <w:kern w:val="0"/>
                <w:sz w:val="24"/>
                <w:lang w:val="en-US" w:eastAsia="zh-CN"/>
              </w:rPr>
              <w:t>9</w:t>
            </w:r>
          </w:p>
        </w:tc>
        <w:tc>
          <w:tcPr>
            <w:tcW w:w="7225" w:type="dxa"/>
            <w:vAlign w:val="center"/>
          </w:tcPr>
          <w:p w14:paraId="7B334FEA">
            <w:pPr>
              <w:keepNext w:val="0"/>
              <w:keepLines w:val="0"/>
              <w:pageBreakBefore w:val="0"/>
              <w:widowControl/>
              <w:kinsoku/>
              <w:wordWrap/>
              <w:overflowPunct/>
              <w:topLinePunct w:val="0"/>
              <w:autoSpaceDE/>
              <w:autoSpaceDN/>
              <w:bidi w:val="0"/>
              <w:adjustRightInd/>
              <w:snapToGrid w:val="0"/>
              <w:spacing w:line="340" w:lineRule="exact"/>
              <w:jc w:val="left"/>
              <w:textAlignment w:val="baseline"/>
              <w:rPr>
                <w:rFonts w:hint="eastAsia" w:ascii="微软雅黑" w:hAnsi="微软雅黑" w:eastAsia="微软雅黑" w:cs="微软雅黑"/>
                <w:color w:val="auto"/>
                <w:kern w:val="0"/>
                <w:sz w:val="24"/>
                <w:highlight w:val="none"/>
                <w:lang w:eastAsia="zh-CN"/>
              </w:rPr>
            </w:pPr>
            <w:r>
              <w:rPr>
                <w:rFonts w:hint="eastAsia" w:ascii="微软雅黑" w:hAnsi="微软雅黑" w:eastAsia="微软雅黑" w:cs="微软雅黑"/>
                <w:color w:val="auto"/>
                <w:sz w:val="24"/>
                <w:highlight w:val="none"/>
              </w:rPr>
              <w:t>缴纳磋商保证金有效凭证</w:t>
            </w:r>
            <w:r>
              <w:rPr>
                <w:rFonts w:hint="eastAsia" w:ascii="微软雅黑" w:hAnsi="微软雅黑" w:eastAsia="微软雅黑" w:cs="微软雅黑"/>
                <w:color w:val="auto"/>
                <w:sz w:val="24"/>
                <w:highlight w:val="none"/>
                <w:lang w:eastAsia="zh-CN"/>
              </w:rPr>
              <w:t>；</w:t>
            </w:r>
          </w:p>
        </w:tc>
        <w:tc>
          <w:tcPr>
            <w:tcW w:w="912" w:type="dxa"/>
          </w:tcPr>
          <w:p w14:paraId="17ACEB99">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c>
          <w:tcPr>
            <w:tcW w:w="750" w:type="dxa"/>
          </w:tcPr>
          <w:p w14:paraId="67CDB6D8">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c>
          <w:tcPr>
            <w:tcW w:w="727" w:type="dxa"/>
          </w:tcPr>
          <w:p w14:paraId="7C8B81A6">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r>
      <w:tr w14:paraId="7B12DD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653" w:type="dxa"/>
            <w:vAlign w:val="center"/>
          </w:tcPr>
          <w:p w14:paraId="581B273E">
            <w:pPr>
              <w:keepNext w:val="0"/>
              <w:keepLines w:val="0"/>
              <w:pageBreakBefore w:val="0"/>
              <w:kinsoku/>
              <w:wordWrap/>
              <w:overflowPunct/>
              <w:topLinePunct w:val="0"/>
              <w:autoSpaceDE/>
              <w:autoSpaceDN/>
              <w:bidi w:val="0"/>
              <w:adjustRightInd/>
              <w:snapToGrid w:val="0"/>
              <w:spacing w:line="340" w:lineRule="exact"/>
              <w:jc w:val="center"/>
              <w:textAlignment w:val="baseline"/>
              <w:rPr>
                <w:rFonts w:ascii="微软雅黑" w:hAnsi="微软雅黑" w:eastAsia="微软雅黑" w:cs="微软雅黑"/>
                <w:color w:val="auto"/>
                <w:sz w:val="24"/>
              </w:rPr>
            </w:pPr>
          </w:p>
        </w:tc>
        <w:tc>
          <w:tcPr>
            <w:tcW w:w="7225" w:type="dxa"/>
            <w:vAlign w:val="center"/>
          </w:tcPr>
          <w:p w14:paraId="7A3EFFEC">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结论</w:t>
            </w:r>
          </w:p>
        </w:tc>
        <w:tc>
          <w:tcPr>
            <w:tcW w:w="912" w:type="dxa"/>
          </w:tcPr>
          <w:p w14:paraId="2B973F96">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c>
          <w:tcPr>
            <w:tcW w:w="750" w:type="dxa"/>
          </w:tcPr>
          <w:p w14:paraId="377C931A">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c>
          <w:tcPr>
            <w:tcW w:w="727" w:type="dxa"/>
          </w:tcPr>
          <w:p w14:paraId="6F636BD3">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r>
    </w:tbl>
    <w:p w14:paraId="709F5A8D">
      <w:pPr>
        <w:snapToGrid w:val="0"/>
        <w:spacing w:line="360" w:lineRule="exact"/>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说明：（1）上述各项中用“</w:t>
      </w:r>
      <w:r>
        <w:rPr>
          <w:rFonts w:hint="eastAsia" w:ascii="微软雅黑" w:hAnsi="微软雅黑" w:eastAsia="微软雅黑" w:cs="微软雅黑"/>
          <w:color w:val="auto"/>
          <w:sz w:val="24"/>
          <w:lang w:val="en-US" w:eastAsia="zh-CN"/>
        </w:rPr>
        <w:t>符合</w:t>
      </w:r>
      <w:r>
        <w:rPr>
          <w:rFonts w:hint="eastAsia" w:ascii="微软雅黑" w:hAnsi="微软雅黑" w:eastAsia="微软雅黑" w:cs="微软雅黑"/>
          <w:color w:val="auto"/>
          <w:sz w:val="24"/>
        </w:rPr>
        <w:t>”表示通过，“</w:t>
      </w:r>
      <w:r>
        <w:rPr>
          <w:rFonts w:hint="eastAsia" w:ascii="微软雅黑" w:hAnsi="微软雅黑" w:eastAsia="微软雅黑" w:cs="微软雅黑"/>
          <w:color w:val="auto"/>
          <w:sz w:val="24"/>
          <w:lang w:val="en-US" w:eastAsia="zh-CN"/>
        </w:rPr>
        <w:t>不符合</w:t>
      </w:r>
      <w:r>
        <w:rPr>
          <w:rFonts w:hint="eastAsia" w:ascii="微软雅黑" w:hAnsi="微软雅黑" w:eastAsia="微软雅黑" w:cs="微软雅黑"/>
          <w:color w:val="auto"/>
          <w:sz w:val="24"/>
        </w:rPr>
        <w:t>”表示不通过；</w:t>
      </w:r>
    </w:p>
    <w:p w14:paraId="13EE5369">
      <w:pPr>
        <w:snapToGrid w:val="0"/>
        <w:spacing w:line="360" w:lineRule="exact"/>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（2）上述各项中如有一项为“</w:t>
      </w:r>
      <w:r>
        <w:rPr>
          <w:rFonts w:hint="eastAsia" w:ascii="微软雅黑" w:hAnsi="微软雅黑" w:eastAsia="微软雅黑" w:cs="微软雅黑"/>
          <w:color w:val="auto"/>
          <w:sz w:val="24"/>
          <w:lang w:val="en-US" w:eastAsia="zh-CN"/>
        </w:rPr>
        <w:t>不符合</w:t>
      </w:r>
      <w:r>
        <w:rPr>
          <w:rFonts w:hint="eastAsia" w:ascii="微软雅黑" w:hAnsi="微软雅黑" w:eastAsia="微软雅黑" w:cs="微软雅黑"/>
          <w:color w:val="auto"/>
          <w:sz w:val="24"/>
        </w:rPr>
        <w:t>”，则结论为“</w:t>
      </w:r>
      <w:r>
        <w:rPr>
          <w:rFonts w:hint="eastAsia" w:ascii="微软雅黑" w:hAnsi="微软雅黑" w:eastAsia="微软雅黑" w:cs="微软雅黑"/>
          <w:color w:val="auto"/>
          <w:sz w:val="24"/>
          <w:lang w:val="en-US" w:eastAsia="zh-CN"/>
        </w:rPr>
        <w:t>不通过</w:t>
      </w:r>
      <w:r>
        <w:rPr>
          <w:rFonts w:hint="eastAsia" w:ascii="微软雅黑" w:hAnsi="微软雅黑" w:eastAsia="微软雅黑" w:cs="微软雅黑"/>
          <w:color w:val="auto"/>
          <w:sz w:val="24"/>
        </w:rPr>
        <w:t>”，表示该磋商文件中存在重大偏差，不能通过初步评审；评委对某一分项评审认为不合格时，必须要写明原因。</w:t>
      </w:r>
    </w:p>
    <w:p w14:paraId="4876F0E5">
      <w:pPr>
        <w:snapToGrid w:val="0"/>
        <w:spacing w:line="360" w:lineRule="exact"/>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（3）磋商文件最终合格与否，以所有评委的评审意见中少数服从多数为原则定论。</w:t>
      </w:r>
    </w:p>
    <w:p w14:paraId="716BCC3A">
      <w:pPr>
        <w:snapToGrid w:val="0"/>
        <w:spacing w:line="360" w:lineRule="exact"/>
        <w:textAlignment w:val="baseline"/>
        <w:rPr>
          <w:rFonts w:hint="eastAsia" w:ascii="微软雅黑" w:hAnsi="微软雅黑" w:eastAsia="微软雅黑" w:cs="微软雅黑"/>
          <w:b/>
          <w:bCs/>
          <w:color w:val="auto"/>
          <w:sz w:val="24"/>
        </w:rPr>
      </w:pPr>
      <w:r>
        <w:rPr>
          <w:rFonts w:hint="eastAsia" w:ascii="微软雅黑" w:hAnsi="微软雅黑" w:eastAsia="微软雅黑" w:cs="微软雅黑"/>
          <w:b/>
          <w:bCs/>
          <w:color w:val="auto"/>
          <w:sz w:val="24"/>
        </w:rPr>
        <w:t>备注：如果磋商文件中有一项未通过上述审查标准，评审委员会将认定整个磋商文件未响应磋商文件而予以废标处理。</w:t>
      </w:r>
      <w:bookmarkStart w:id="705" w:name="_Toc19552"/>
      <w:bookmarkStart w:id="706" w:name="_Toc22896"/>
    </w:p>
    <w:p w14:paraId="5F8719AE">
      <w:pPr>
        <w:pStyle w:val="26"/>
        <w:rPr>
          <w:rFonts w:hint="eastAsia" w:ascii="微软雅黑" w:hAnsi="微软雅黑" w:eastAsia="微软雅黑" w:cs="微软雅黑"/>
          <w:b/>
          <w:bCs/>
          <w:color w:val="auto"/>
          <w:sz w:val="24"/>
        </w:rPr>
      </w:pPr>
    </w:p>
    <w:p w14:paraId="104C30B3">
      <w:pPr>
        <w:pStyle w:val="26"/>
        <w:rPr>
          <w:rFonts w:hint="eastAsia" w:ascii="微软雅黑" w:hAnsi="微软雅黑" w:eastAsia="微软雅黑" w:cs="微软雅黑"/>
          <w:b/>
          <w:bCs/>
          <w:color w:val="auto"/>
          <w:sz w:val="24"/>
        </w:rPr>
      </w:pPr>
    </w:p>
    <w:p w14:paraId="6186355A">
      <w:pPr>
        <w:pStyle w:val="7"/>
        <w:snapToGrid w:val="0"/>
        <w:spacing w:line="300" w:lineRule="auto"/>
        <w:ind w:firstLine="0"/>
        <w:jc w:val="center"/>
        <w:textAlignment w:val="baseline"/>
        <w:outlineLvl w:val="1"/>
        <w:rPr>
          <w:rFonts w:ascii="微软雅黑" w:hAnsi="微软雅黑" w:eastAsia="微软雅黑" w:cs="微软雅黑"/>
          <w:b/>
          <w:color w:val="auto"/>
          <w:sz w:val="28"/>
          <w:szCs w:val="28"/>
        </w:rPr>
      </w:pPr>
      <w:bookmarkStart w:id="707" w:name="_Toc347"/>
      <w:bookmarkStart w:id="708" w:name="_Toc29597"/>
      <w:bookmarkStart w:id="709" w:name="_Toc17652"/>
      <w:bookmarkStart w:id="710" w:name="_Toc11623"/>
      <w:bookmarkStart w:id="711" w:name="_Toc22949"/>
      <w:bookmarkStart w:id="712" w:name="_Toc1201"/>
      <w:bookmarkStart w:id="713" w:name="_Toc17473"/>
      <w:bookmarkStart w:id="714" w:name="_Toc10503"/>
      <w:bookmarkStart w:id="715" w:name="_Toc23517"/>
      <w:bookmarkStart w:id="716" w:name="_Toc13208"/>
      <w:bookmarkStart w:id="717" w:name="_Toc25729"/>
      <w:r>
        <w:rPr>
          <w:rFonts w:hint="eastAsia" w:ascii="微软雅黑" w:hAnsi="微软雅黑" w:eastAsia="微软雅黑" w:cs="微软雅黑"/>
          <w:b/>
          <w:color w:val="auto"/>
          <w:sz w:val="28"/>
          <w:szCs w:val="28"/>
        </w:rPr>
        <w:t>初步评审—符合性审查表</w:t>
      </w:r>
      <w:bookmarkEnd w:id="705"/>
      <w:bookmarkEnd w:id="706"/>
      <w:bookmarkEnd w:id="707"/>
      <w:bookmarkEnd w:id="708"/>
      <w:bookmarkEnd w:id="709"/>
      <w:bookmarkEnd w:id="710"/>
      <w:bookmarkEnd w:id="711"/>
      <w:bookmarkEnd w:id="712"/>
      <w:bookmarkEnd w:id="713"/>
      <w:bookmarkEnd w:id="714"/>
      <w:bookmarkEnd w:id="715"/>
      <w:bookmarkEnd w:id="716"/>
      <w:bookmarkEnd w:id="717"/>
    </w:p>
    <w:tbl>
      <w:tblPr>
        <w:tblStyle w:val="37"/>
        <w:tblpPr w:leftFromText="180" w:rightFromText="180" w:vertAnchor="text" w:horzAnchor="page" w:tblpXSpec="center" w:tblpY="262"/>
        <w:tblOverlap w:val="never"/>
        <w:tblW w:w="94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4"/>
        <w:gridCol w:w="7053"/>
        <w:gridCol w:w="1502"/>
      </w:tblGrid>
      <w:tr w14:paraId="0C6279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7917" w:type="dxa"/>
            <w:gridSpan w:val="2"/>
            <w:vAlign w:val="center"/>
          </w:tcPr>
          <w:p w14:paraId="396CF37E">
            <w:pPr>
              <w:spacing w:line="400" w:lineRule="exact"/>
              <w:jc w:val="center"/>
              <w:rPr>
                <w:rFonts w:ascii="微软雅黑" w:hAnsi="微软雅黑" w:eastAsia="微软雅黑" w:cs="微软雅黑"/>
                <w:color w:val="auto"/>
                <w:spacing w:val="-2"/>
                <w:sz w:val="24"/>
              </w:rPr>
            </w:pPr>
            <w:r>
              <w:rPr>
                <w:rFonts w:hint="eastAsia" w:ascii="微软雅黑" w:hAnsi="微软雅黑" w:eastAsia="微软雅黑" w:cs="微软雅黑"/>
                <w:color w:val="auto"/>
                <w:spacing w:val="-2"/>
                <w:sz w:val="24"/>
              </w:rPr>
              <w:t>评审内容</w:t>
            </w:r>
          </w:p>
        </w:tc>
        <w:tc>
          <w:tcPr>
            <w:tcW w:w="1502" w:type="dxa"/>
            <w:vAlign w:val="center"/>
          </w:tcPr>
          <w:p w14:paraId="7F367EF6">
            <w:pPr>
              <w:spacing w:line="400" w:lineRule="exact"/>
              <w:jc w:val="center"/>
              <w:rPr>
                <w:rFonts w:ascii="微软雅黑" w:hAnsi="微软雅黑" w:eastAsia="微软雅黑" w:cs="微软雅黑"/>
                <w:color w:val="auto"/>
                <w:spacing w:val="-2"/>
                <w:sz w:val="24"/>
              </w:rPr>
            </w:pPr>
            <w:r>
              <w:rPr>
                <w:rFonts w:hint="eastAsia" w:ascii="微软雅黑" w:hAnsi="微软雅黑" w:eastAsia="微软雅黑" w:cs="微软雅黑"/>
                <w:b/>
                <w:color w:val="auto"/>
                <w:sz w:val="24"/>
              </w:rPr>
              <w:t>评审意见</w:t>
            </w:r>
          </w:p>
        </w:tc>
      </w:tr>
      <w:tr w14:paraId="22866B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864" w:type="dxa"/>
            <w:vAlign w:val="center"/>
          </w:tcPr>
          <w:p w14:paraId="38ECBB2B">
            <w:pPr>
              <w:spacing w:line="400" w:lineRule="exact"/>
              <w:jc w:val="center"/>
              <w:rPr>
                <w:rFonts w:ascii="微软雅黑" w:hAnsi="微软雅黑" w:eastAsia="微软雅黑" w:cs="微软雅黑"/>
                <w:color w:val="auto"/>
                <w:sz w:val="24"/>
              </w:rPr>
            </w:pPr>
            <w:r>
              <w:rPr>
                <w:rFonts w:hint="eastAsia" w:ascii="微软雅黑" w:hAnsi="微软雅黑" w:eastAsia="微软雅黑" w:cs="微软雅黑"/>
                <w:color w:val="auto"/>
                <w:sz w:val="24"/>
              </w:rPr>
              <w:t>序号</w:t>
            </w:r>
          </w:p>
        </w:tc>
        <w:tc>
          <w:tcPr>
            <w:tcW w:w="7053" w:type="dxa"/>
            <w:vAlign w:val="center"/>
          </w:tcPr>
          <w:p w14:paraId="79BE9D94">
            <w:pPr>
              <w:spacing w:line="400" w:lineRule="exact"/>
              <w:rPr>
                <w:rFonts w:ascii="微软雅黑" w:hAnsi="微软雅黑" w:eastAsia="微软雅黑" w:cs="微软雅黑"/>
                <w:color w:val="auto"/>
                <w:spacing w:val="-2"/>
                <w:sz w:val="24"/>
              </w:rPr>
            </w:pPr>
          </w:p>
        </w:tc>
        <w:tc>
          <w:tcPr>
            <w:tcW w:w="1502" w:type="dxa"/>
            <w:vAlign w:val="center"/>
          </w:tcPr>
          <w:p w14:paraId="3CE75A0D">
            <w:pPr>
              <w:spacing w:line="400" w:lineRule="exact"/>
              <w:jc w:val="center"/>
              <w:rPr>
                <w:rFonts w:ascii="微软雅黑" w:hAnsi="微软雅黑" w:eastAsia="微软雅黑" w:cs="微软雅黑"/>
                <w:color w:val="auto"/>
                <w:spacing w:val="-2"/>
                <w:sz w:val="24"/>
              </w:rPr>
            </w:pPr>
            <w:r>
              <w:rPr>
                <w:rFonts w:hint="eastAsia" w:ascii="微软雅黑" w:hAnsi="微软雅黑" w:eastAsia="微软雅黑" w:cs="微软雅黑"/>
                <w:color w:val="auto"/>
                <w:spacing w:val="-2"/>
                <w:sz w:val="24"/>
              </w:rPr>
              <w:t>是否合格</w:t>
            </w:r>
          </w:p>
        </w:tc>
      </w:tr>
      <w:tr w14:paraId="3E5D68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864" w:type="dxa"/>
            <w:vAlign w:val="center"/>
          </w:tcPr>
          <w:p w14:paraId="01AD566A">
            <w:pPr>
              <w:spacing w:line="400" w:lineRule="exact"/>
              <w:jc w:val="center"/>
              <w:rPr>
                <w:rFonts w:ascii="微软雅黑" w:hAnsi="微软雅黑" w:eastAsia="微软雅黑" w:cs="微软雅黑"/>
                <w:color w:val="auto"/>
                <w:sz w:val="24"/>
              </w:rPr>
            </w:pPr>
            <w:r>
              <w:rPr>
                <w:rFonts w:hint="eastAsia" w:ascii="微软雅黑" w:hAnsi="微软雅黑" w:eastAsia="微软雅黑" w:cs="微软雅黑"/>
                <w:color w:val="auto"/>
                <w:sz w:val="24"/>
              </w:rPr>
              <w:t>1</w:t>
            </w:r>
          </w:p>
        </w:tc>
        <w:tc>
          <w:tcPr>
            <w:tcW w:w="7053" w:type="dxa"/>
            <w:vAlign w:val="center"/>
          </w:tcPr>
          <w:p w14:paraId="38486A3C">
            <w:pPr>
              <w:spacing w:line="400" w:lineRule="exact"/>
              <w:jc w:val="left"/>
              <w:rPr>
                <w:rFonts w:hint="eastAsia" w:ascii="微软雅黑" w:hAnsi="微软雅黑" w:eastAsia="微软雅黑" w:cs="微软雅黑"/>
                <w:color w:val="auto"/>
                <w:spacing w:val="-2"/>
                <w:sz w:val="24"/>
                <w:lang w:eastAsia="zh-CN"/>
              </w:rPr>
            </w:pPr>
            <w:r>
              <w:rPr>
                <w:rFonts w:hint="eastAsia" w:ascii="微软雅黑" w:hAnsi="微软雅黑" w:eastAsia="微软雅黑" w:cs="微软雅黑"/>
                <w:color w:val="auto"/>
                <w:spacing w:val="-2"/>
                <w:sz w:val="24"/>
              </w:rPr>
              <w:t>各供应商</w:t>
            </w:r>
            <w:r>
              <w:rPr>
                <w:rFonts w:hint="eastAsia" w:ascii="微软雅黑" w:hAnsi="微软雅黑" w:eastAsia="微软雅黑" w:cs="微软雅黑"/>
                <w:color w:val="auto"/>
                <w:spacing w:val="-2"/>
                <w:sz w:val="24"/>
                <w:lang w:val="en-US" w:eastAsia="zh-CN"/>
              </w:rPr>
              <w:t>磋商</w:t>
            </w:r>
            <w:r>
              <w:rPr>
                <w:rFonts w:hint="eastAsia" w:ascii="微软雅黑" w:hAnsi="微软雅黑" w:eastAsia="微软雅黑" w:cs="微软雅黑"/>
                <w:color w:val="auto"/>
                <w:spacing w:val="-2"/>
                <w:sz w:val="24"/>
              </w:rPr>
              <w:t>报价未高于预算金额</w:t>
            </w:r>
            <w:r>
              <w:rPr>
                <w:rFonts w:hint="eastAsia" w:ascii="微软雅黑" w:hAnsi="微软雅黑" w:eastAsia="微软雅黑" w:cs="微软雅黑"/>
                <w:color w:val="auto"/>
                <w:spacing w:val="-2"/>
                <w:sz w:val="24"/>
                <w:lang w:eastAsia="zh-CN"/>
              </w:rPr>
              <w:t>；</w:t>
            </w:r>
          </w:p>
        </w:tc>
        <w:tc>
          <w:tcPr>
            <w:tcW w:w="1502" w:type="dxa"/>
            <w:vAlign w:val="center"/>
          </w:tcPr>
          <w:p w14:paraId="6D235B5A">
            <w:pPr>
              <w:spacing w:line="400" w:lineRule="exact"/>
              <w:rPr>
                <w:rFonts w:ascii="微软雅黑" w:hAnsi="微软雅黑" w:eastAsia="微软雅黑" w:cs="微软雅黑"/>
                <w:color w:val="auto"/>
                <w:spacing w:val="-2"/>
                <w:sz w:val="24"/>
              </w:rPr>
            </w:pPr>
          </w:p>
        </w:tc>
      </w:tr>
      <w:tr w14:paraId="2BF645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5" w:hRule="atLeast"/>
          <w:jc w:val="center"/>
        </w:trPr>
        <w:tc>
          <w:tcPr>
            <w:tcW w:w="864" w:type="dxa"/>
            <w:vAlign w:val="center"/>
          </w:tcPr>
          <w:p w14:paraId="1C72AA74">
            <w:pPr>
              <w:spacing w:line="400" w:lineRule="exact"/>
              <w:jc w:val="center"/>
              <w:rPr>
                <w:rFonts w:ascii="微软雅黑" w:hAnsi="微软雅黑" w:eastAsia="微软雅黑" w:cs="微软雅黑"/>
                <w:color w:val="auto"/>
                <w:sz w:val="24"/>
              </w:rPr>
            </w:pPr>
            <w:r>
              <w:rPr>
                <w:rFonts w:hint="eastAsia" w:ascii="微软雅黑" w:hAnsi="微软雅黑" w:eastAsia="微软雅黑" w:cs="微软雅黑"/>
                <w:color w:val="auto"/>
                <w:sz w:val="24"/>
              </w:rPr>
              <w:t>2</w:t>
            </w:r>
          </w:p>
        </w:tc>
        <w:tc>
          <w:tcPr>
            <w:tcW w:w="7053" w:type="dxa"/>
            <w:vAlign w:val="center"/>
          </w:tcPr>
          <w:p w14:paraId="6E602378">
            <w:pPr>
              <w:spacing w:line="400" w:lineRule="exact"/>
              <w:jc w:val="left"/>
              <w:rPr>
                <w:rFonts w:hint="eastAsia" w:ascii="微软雅黑" w:hAnsi="微软雅黑" w:eastAsia="微软雅黑" w:cs="微软雅黑"/>
                <w:color w:val="auto"/>
                <w:spacing w:val="-2"/>
                <w:sz w:val="24"/>
                <w:lang w:eastAsia="zh-CN"/>
              </w:rPr>
            </w:pPr>
            <w:r>
              <w:rPr>
                <w:rFonts w:hint="eastAsia" w:ascii="微软雅黑" w:hAnsi="微软雅黑" w:eastAsia="微软雅黑" w:cs="微软雅黑"/>
                <w:color w:val="auto"/>
                <w:spacing w:val="-2"/>
                <w:sz w:val="24"/>
                <w:lang w:eastAsia="zh-CN"/>
              </w:rPr>
              <w:t>评审小组成员</w:t>
            </w:r>
            <w:r>
              <w:rPr>
                <w:rFonts w:hint="eastAsia" w:ascii="微软雅黑" w:hAnsi="微软雅黑" w:eastAsia="微软雅黑" w:cs="微软雅黑"/>
                <w:color w:val="auto"/>
                <w:spacing w:val="-2"/>
                <w:sz w:val="24"/>
              </w:rPr>
              <w:t>认为供应商的报价无明显低于其他通过资格性审查供应商的报价的，供应商的报价不存在异常一致并成规律性的，其报价合理</w:t>
            </w:r>
            <w:r>
              <w:rPr>
                <w:rFonts w:hint="eastAsia" w:ascii="微软雅黑" w:hAnsi="微软雅黑" w:eastAsia="微软雅黑" w:cs="微软雅黑"/>
                <w:color w:val="auto"/>
                <w:spacing w:val="-2"/>
                <w:sz w:val="24"/>
                <w:lang w:eastAsia="zh-CN"/>
              </w:rPr>
              <w:t>；</w:t>
            </w:r>
          </w:p>
        </w:tc>
        <w:tc>
          <w:tcPr>
            <w:tcW w:w="1502" w:type="dxa"/>
            <w:vAlign w:val="center"/>
          </w:tcPr>
          <w:p w14:paraId="18839EBE">
            <w:pPr>
              <w:spacing w:line="400" w:lineRule="exact"/>
              <w:rPr>
                <w:rFonts w:ascii="微软雅黑" w:hAnsi="微软雅黑" w:eastAsia="微软雅黑" w:cs="微软雅黑"/>
                <w:color w:val="auto"/>
                <w:spacing w:val="-2"/>
                <w:sz w:val="24"/>
              </w:rPr>
            </w:pPr>
          </w:p>
        </w:tc>
      </w:tr>
      <w:tr w14:paraId="136618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5" w:hRule="atLeast"/>
          <w:jc w:val="center"/>
        </w:trPr>
        <w:tc>
          <w:tcPr>
            <w:tcW w:w="864" w:type="dxa"/>
            <w:vAlign w:val="center"/>
          </w:tcPr>
          <w:p w14:paraId="04647D8C">
            <w:pPr>
              <w:spacing w:line="400" w:lineRule="exact"/>
              <w:jc w:val="center"/>
              <w:rPr>
                <w:rFonts w:ascii="微软雅黑" w:hAnsi="微软雅黑" w:eastAsia="微软雅黑" w:cs="微软雅黑"/>
                <w:color w:val="auto"/>
                <w:sz w:val="24"/>
              </w:rPr>
            </w:pPr>
            <w:r>
              <w:rPr>
                <w:rFonts w:hint="eastAsia" w:ascii="微软雅黑" w:hAnsi="微软雅黑" w:eastAsia="微软雅黑" w:cs="微软雅黑"/>
                <w:color w:val="auto"/>
                <w:sz w:val="24"/>
              </w:rPr>
              <w:t>3</w:t>
            </w:r>
          </w:p>
        </w:tc>
        <w:tc>
          <w:tcPr>
            <w:tcW w:w="7053" w:type="dxa"/>
            <w:vAlign w:val="center"/>
          </w:tcPr>
          <w:p w14:paraId="366CF838">
            <w:pPr>
              <w:spacing w:line="400" w:lineRule="exact"/>
              <w:jc w:val="left"/>
              <w:rPr>
                <w:rFonts w:ascii="微软雅黑" w:hAnsi="微软雅黑" w:eastAsia="微软雅黑" w:cs="微软雅黑"/>
                <w:color w:val="auto"/>
                <w:spacing w:val="-2"/>
                <w:sz w:val="24"/>
              </w:rPr>
            </w:pPr>
            <w:r>
              <w:rPr>
                <w:rFonts w:hint="eastAsia" w:ascii="微软雅黑" w:hAnsi="微软雅黑" w:eastAsia="微软雅黑" w:cs="微软雅黑"/>
                <w:color w:val="auto"/>
                <w:spacing w:val="-2"/>
                <w:sz w:val="24"/>
                <w:lang w:val="en-US" w:eastAsia="zh-CN"/>
              </w:rPr>
              <w:t>响应</w:t>
            </w:r>
            <w:r>
              <w:rPr>
                <w:rFonts w:hint="eastAsia" w:ascii="微软雅黑" w:hAnsi="微软雅黑" w:eastAsia="微软雅黑" w:cs="微软雅黑"/>
                <w:color w:val="auto"/>
                <w:spacing w:val="-2"/>
                <w:sz w:val="24"/>
              </w:rPr>
              <w:t>文件按照磋商文件的规定编制、标记及签署盖章的，法定代表人或其授权代表签字（章）和加盖供应商公章的（</w:t>
            </w:r>
            <w:r>
              <w:rPr>
                <w:rFonts w:hint="eastAsia" w:ascii="微软雅黑" w:hAnsi="微软雅黑" w:eastAsia="微软雅黑" w:cs="微软雅黑"/>
                <w:color w:val="auto"/>
                <w:spacing w:val="-2"/>
                <w:sz w:val="24"/>
                <w:lang w:eastAsia="zh-CN"/>
              </w:rPr>
              <w:t>所上传的响应</w:t>
            </w:r>
            <w:r>
              <w:rPr>
                <w:rFonts w:hint="eastAsia" w:ascii="微软雅黑" w:hAnsi="微软雅黑" w:eastAsia="微软雅黑" w:cs="微软雅黑"/>
                <w:color w:val="auto"/>
                <w:spacing w:val="-2"/>
                <w:sz w:val="24"/>
              </w:rPr>
              <w:t>文件印章和签字不能为复印件）</w:t>
            </w:r>
          </w:p>
        </w:tc>
        <w:tc>
          <w:tcPr>
            <w:tcW w:w="1502" w:type="dxa"/>
            <w:vAlign w:val="center"/>
          </w:tcPr>
          <w:p w14:paraId="090C922F">
            <w:pPr>
              <w:spacing w:line="400" w:lineRule="exact"/>
              <w:rPr>
                <w:rFonts w:ascii="微软雅黑" w:hAnsi="微软雅黑" w:eastAsia="微软雅黑" w:cs="微软雅黑"/>
                <w:color w:val="auto"/>
                <w:spacing w:val="-2"/>
                <w:sz w:val="24"/>
              </w:rPr>
            </w:pPr>
          </w:p>
        </w:tc>
      </w:tr>
      <w:tr w14:paraId="4D63D0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4" w:type="dxa"/>
            <w:vAlign w:val="center"/>
          </w:tcPr>
          <w:p w14:paraId="29D56B7F">
            <w:pPr>
              <w:spacing w:line="400" w:lineRule="exact"/>
              <w:jc w:val="center"/>
              <w:rPr>
                <w:rFonts w:ascii="微软雅黑" w:hAnsi="微软雅黑" w:eastAsia="微软雅黑" w:cs="微软雅黑"/>
                <w:color w:val="auto"/>
                <w:sz w:val="24"/>
              </w:rPr>
            </w:pPr>
            <w:r>
              <w:rPr>
                <w:rFonts w:hint="eastAsia" w:ascii="微软雅黑" w:hAnsi="微软雅黑" w:eastAsia="微软雅黑" w:cs="微软雅黑"/>
                <w:color w:val="auto"/>
                <w:sz w:val="24"/>
              </w:rPr>
              <w:t>4</w:t>
            </w:r>
          </w:p>
        </w:tc>
        <w:tc>
          <w:tcPr>
            <w:tcW w:w="7053" w:type="dxa"/>
            <w:vAlign w:val="center"/>
          </w:tcPr>
          <w:p w14:paraId="0EA715CA">
            <w:pPr>
              <w:spacing w:line="400" w:lineRule="exact"/>
              <w:jc w:val="left"/>
              <w:rPr>
                <w:rFonts w:ascii="微软雅黑" w:hAnsi="微软雅黑" w:eastAsia="微软雅黑" w:cs="微软雅黑"/>
                <w:color w:val="auto"/>
                <w:spacing w:val="-2"/>
                <w:sz w:val="24"/>
              </w:rPr>
            </w:pPr>
            <w:r>
              <w:rPr>
                <w:rFonts w:hint="eastAsia" w:ascii="微软雅黑" w:hAnsi="微软雅黑" w:eastAsia="微软雅黑" w:cs="微软雅黑"/>
                <w:color w:val="auto"/>
                <w:spacing w:val="-2"/>
                <w:sz w:val="24"/>
              </w:rPr>
              <w:t>按磋商文件规定的格式填写，内容全</w:t>
            </w:r>
            <w:r>
              <w:rPr>
                <w:rFonts w:hint="eastAsia" w:ascii="微软雅黑" w:hAnsi="微软雅黑" w:eastAsia="微软雅黑" w:cs="微软雅黑"/>
                <w:color w:val="auto"/>
                <w:spacing w:val="-2"/>
                <w:sz w:val="24"/>
                <w:lang w:eastAsia="zh-CN"/>
              </w:rPr>
              <w:t>、</w:t>
            </w:r>
            <w:r>
              <w:rPr>
                <w:rFonts w:hint="eastAsia" w:ascii="微软雅黑" w:hAnsi="微软雅黑" w:eastAsia="微软雅黑" w:cs="微软雅黑"/>
                <w:color w:val="auto"/>
                <w:spacing w:val="-2"/>
                <w:sz w:val="24"/>
              </w:rPr>
              <w:t>关键字迹清晰；</w:t>
            </w:r>
          </w:p>
        </w:tc>
        <w:tc>
          <w:tcPr>
            <w:tcW w:w="1502" w:type="dxa"/>
            <w:vAlign w:val="center"/>
          </w:tcPr>
          <w:p w14:paraId="6D105297">
            <w:pPr>
              <w:spacing w:line="400" w:lineRule="exact"/>
              <w:rPr>
                <w:rFonts w:ascii="微软雅黑" w:hAnsi="微软雅黑" w:eastAsia="微软雅黑" w:cs="微软雅黑"/>
                <w:color w:val="auto"/>
                <w:spacing w:val="-2"/>
                <w:sz w:val="24"/>
              </w:rPr>
            </w:pPr>
          </w:p>
        </w:tc>
      </w:tr>
      <w:tr w14:paraId="6E7E24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864" w:type="dxa"/>
            <w:vAlign w:val="center"/>
          </w:tcPr>
          <w:p w14:paraId="2E79C7B8">
            <w:pPr>
              <w:spacing w:line="400" w:lineRule="exact"/>
              <w:jc w:val="center"/>
              <w:rPr>
                <w:rFonts w:ascii="微软雅黑" w:hAnsi="微软雅黑" w:eastAsia="微软雅黑" w:cs="微软雅黑"/>
                <w:color w:val="auto"/>
                <w:sz w:val="24"/>
              </w:rPr>
            </w:pPr>
            <w:r>
              <w:rPr>
                <w:rFonts w:hint="eastAsia" w:ascii="微软雅黑" w:hAnsi="微软雅黑" w:eastAsia="微软雅黑" w:cs="微软雅黑"/>
                <w:color w:val="auto"/>
                <w:sz w:val="24"/>
              </w:rPr>
              <w:t>5</w:t>
            </w:r>
          </w:p>
        </w:tc>
        <w:tc>
          <w:tcPr>
            <w:tcW w:w="7053" w:type="dxa"/>
            <w:vAlign w:val="center"/>
          </w:tcPr>
          <w:p w14:paraId="1266FF97">
            <w:pPr>
              <w:spacing w:line="400" w:lineRule="exact"/>
              <w:jc w:val="left"/>
              <w:rPr>
                <w:rFonts w:hint="eastAsia" w:ascii="微软雅黑" w:hAnsi="微软雅黑" w:eastAsia="微软雅黑" w:cs="微软雅黑"/>
                <w:color w:val="auto"/>
                <w:spacing w:val="-2"/>
                <w:sz w:val="24"/>
                <w:lang w:eastAsia="zh-CN"/>
              </w:rPr>
            </w:pPr>
            <w:r>
              <w:rPr>
                <w:rFonts w:hint="eastAsia" w:ascii="微软雅黑" w:hAnsi="微软雅黑" w:eastAsia="微软雅黑" w:cs="微软雅黑"/>
                <w:color w:val="auto"/>
                <w:spacing w:val="-2"/>
                <w:sz w:val="24"/>
              </w:rPr>
              <w:t>符合磋商文件中规定的其他实质性要求</w:t>
            </w:r>
            <w:r>
              <w:rPr>
                <w:rFonts w:hint="eastAsia" w:ascii="微软雅黑" w:hAnsi="微软雅黑" w:eastAsia="微软雅黑" w:cs="微软雅黑"/>
                <w:color w:val="auto"/>
                <w:spacing w:val="-2"/>
                <w:sz w:val="24"/>
                <w:lang w:eastAsia="zh-CN"/>
              </w:rPr>
              <w:t>；</w:t>
            </w:r>
          </w:p>
        </w:tc>
        <w:tc>
          <w:tcPr>
            <w:tcW w:w="1502" w:type="dxa"/>
            <w:vAlign w:val="center"/>
          </w:tcPr>
          <w:p w14:paraId="13D614F4">
            <w:pPr>
              <w:spacing w:line="400" w:lineRule="exact"/>
              <w:rPr>
                <w:rFonts w:ascii="微软雅黑" w:hAnsi="微软雅黑" w:eastAsia="微软雅黑" w:cs="微软雅黑"/>
                <w:color w:val="auto"/>
                <w:spacing w:val="-2"/>
                <w:sz w:val="24"/>
              </w:rPr>
            </w:pPr>
          </w:p>
        </w:tc>
      </w:tr>
      <w:tr w14:paraId="0E99B4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864" w:type="dxa"/>
            <w:vAlign w:val="center"/>
          </w:tcPr>
          <w:p w14:paraId="7C7C8177">
            <w:pPr>
              <w:spacing w:line="400" w:lineRule="exact"/>
              <w:jc w:val="center"/>
              <w:rPr>
                <w:rFonts w:ascii="微软雅黑" w:hAnsi="微软雅黑" w:eastAsia="微软雅黑" w:cs="微软雅黑"/>
                <w:color w:val="auto"/>
                <w:sz w:val="24"/>
              </w:rPr>
            </w:pPr>
            <w:r>
              <w:rPr>
                <w:rFonts w:hint="eastAsia" w:ascii="微软雅黑" w:hAnsi="微软雅黑" w:eastAsia="微软雅黑" w:cs="微软雅黑"/>
                <w:color w:val="auto"/>
                <w:sz w:val="24"/>
              </w:rPr>
              <w:t>6</w:t>
            </w:r>
          </w:p>
        </w:tc>
        <w:tc>
          <w:tcPr>
            <w:tcW w:w="7053" w:type="dxa"/>
            <w:vAlign w:val="center"/>
          </w:tcPr>
          <w:p w14:paraId="7E1AAAE0">
            <w:pPr>
              <w:spacing w:line="400" w:lineRule="exact"/>
              <w:jc w:val="left"/>
              <w:rPr>
                <w:rFonts w:hint="eastAsia" w:ascii="微软雅黑" w:hAnsi="微软雅黑" w:eastAsia="微软雅黑" w:cs="微软雅黑"/>
                <w:color w:val="auto"/>
                <w:spacing w:val="-2"/>
                <w:sz w:val="24"/>
                <w:lang w:eastAsia="zh-CN"/>
              </w:rPr>
            </w:pPr>
            <w:r>
              <w:rPr>
                <w:rFonts w:hint="eastAsia" w:ascii="微软雅黑" w:hAnsi="微软雅黑" w:eastAsia="微软雅黑" w:cs="微软雅黑"/>
                <w:color w:val="auto"/>
                <w:spacing w:val="-2"/>
                <w:sz w:val="24"/>
              </w:rPr>
              <w:t>没有采购人不能接受的附加条件的</w:t>
            </w:r>
            <w:r>
              <w:rPr>
                <w:rFonts w:hint="eastAsia" w:ascii="微软雅黑" w:hAnsi="微软雅黑" w:eastAsia="微软雅黑" w:cs="微软雅黑"/>
                <w:color w:val="auto"/>
                <w:spacing w:val="-2"/>
                <w:sz w:val="24"/>
                <w:lang w:eastAsia="zh-CN"/>
              </w:rPr>
              <w:t>；</w:t>
            </w:r>
          </w:p>
        </w:tc>
        <w:tc>
          <w:tcPr>
            <w:tcW w:w="1502" w:type="dxa"/>
            <w:vAlign w:val="center"/>
          </w:tcPr>
          <w:p w14:paraId="15181B6F">
            <w:pPr>
              <w:spacing w:line="400" w:lineRule="exact"/>
              <w:rPr>
                <w:rFonts w:ascii="微软雅黑" w:hAnsi="微软雅黑" w:eastAsia="微软雅黑" w:cs="微软雅黑"/>
                <w:color w:val="auto"/>
                <w:spacing w:val="-2"/>
                <w:sz w:val="24"/>
              </w:rPr>
            </w:pPr>
          </w:p>
        </w:tc>
      </w:tr>
      <w:tr w14:paraId="55C165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864" w:type="dxa"/>
            <w:vAlign w:val="center"/>
          </w:tcPr>
          <w:p w14:paraId="4767E108">
            <w:pPr>
              <w:spacing w:line="400" w:lineRule="exact"/>
              <w:jc w:val="center"/>
              <w:rPr>
                <w:rFonts w:ascii="微软雅黑" w:hAnsi="微软雅黑" w:eastAsia="微软雅黑" w:cs="微软雅黑"/>
                <w:color w:val="auto"/>
                <w:sz w:val="24"/>
              </w:rPr>
            </w:pPr>
            <w:r>
              <w:rPr>
                <w:rFonts w:hint="eastAsia" w:ascii="微软雅黑" w:hAnsi="微软雅黑" w:eastAsia="微软雅黑" w:cs="微软雅黑"/>
                <w:color w:val="auto"/>
                <w:sz w:val="24"/>
              </w:rPr>
              <w:t>7</w:t>
            </w:r>
          </w:p>
        </w:tc>
        <w:tc>
          <w:tcPr>
            <w:tcW w:w="7053" w:type="dxa"/>
            <w:vAlign w:val="center"/>
          </w:tcPr>
          <w:p w14:paraId="5A64248C">
            <w:pPr>
              <w:spacing w:line="400" w:lineRule="exact"/>
              <w:jc w:val="left"/>
              <w:rPr>
                <w:rFonts w:hint="eastAsia" w:ascii="微软雅黑" w:hAnsi="微软雅黑" w:eastAsia="微软雅黑" w:cs="微软雅黑"/>
                <w:color w:val="auto"/>
                <w:spacing w:val="-2"/>
                <w:sz w:val="24"/>
                <w:lang w:eastAsia="zh-CN"/>
              </w:rPr>
            </w:pPr>
            <w:r>
              <w:rPr>
                <w:rFonts w:hint="eastAsia" w:ascii="微软雅黑" w:hAnsi="微软雅黑" w:eastAsia="微软雅黑" w:cs="微软雅黑"/>
                <w:color w:val="auto"/>
                <w:spacing w:val="-2"/>
                <w:sz w:val="24"/>
              </w:rPr>
              <w:t>不同供应商的响应文件没有错漏一致的情况</w:t>
            </w:r>
            <w:r>
              <w:rPr>
                <w:rFonts w:hint="eastAsia" w:ascii="微软雅黑" w:hAnsi="微软雅黑" w:eastAsia="微软雅黑" w:cs="微软雅黑"/>
                <w:color w:val="auto"/>
                <w:spacing w:val="-2"/>
                <w:sz w:val="24"/>
                <w:lang w:eastAsia="zh-CN"/>
              </w:rPr>
              <w:t>；</w:t>
            </w:r>
          </w:p>
        </w:tc>
        <w:tc>
          <w:tcPr>
            <w:tcW w:w="1502" w:type="dxa"/>
            <w:vAlign w:val="center"/>
          </w:tcPr>
          <w:p w14:paraId="266F04B4">
            <w:pPr>
              <w:spacing w:line="400" w:lineRule="exact"/>
              <w:rPr>
                <w:rFonts w:ascii="微软雅黑" w:hAnsi="微软雅黑" w:eastAsia="微软雅黑" w:cs="微软雅黑"/>
                <w:color w:val="auto"/>
                <w:spacing w:val="-2"/>
                <w:sz w:val="24"/>
              </w:rPr>
            </w:pPr>
          </w:p>
        </w:tc>
      </w:tr>
      <w:tr w14:paraId="30D9C7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864" w:type="dxa"/>
            <w:vAlign w:val="center"/>
          </w:tcPr>
          <w:p w14:paraId="0F7AB5DE">
            <w:pPr>
              <w:spacing w:line="400" w:lineRule="exact"/>
              <w:jc w:val="center"/>
              <w:rPr>
                <w:rFonts w:ascii="微软雅黑" w:hAnsi="微软雅黑" w:eastAsia="微软雅黑" w:cs="微软雅黑"/>
                <w:color w:val="auto"/>
                <w:sz w:val="24"/>
              </w:rPr>
            </w:pPr>
            <w:r>
              <w:rPr>
                <w:rFonts w:hint="eastAsia" w:ascii="微软雅黑" w:hAnsi="微软雅黑" w:eastAsia="微软雅黑" w:cs="微软雅黑"/>
                <w:color w:val="auto"/>
                <w:sz w:val="24"/>
              </w:rPr>
              <w:t>8</w:t>
            </w:r>
          </w:p>
        </w:tc>
        <w:tc>
          <w:tcPr>
            <w:tcW w:w="7053" w:type="dxa"/>
            <w:vAlign w:val="center"/>
          </w:tcPr>
          <w:p w14:paraId="04508B54">
            <w:pPr>
              <w:spacing w:line="400" w:lineRule="exact"/>
              <w:jc w:val="left"/>
              <w:rPr>
                <w:rFonts w:ascii="微软雅黑" w:hAnsi="微软雅黑" w:eastAsia="微软雅黑" w:cs="微软雅黑"/>
                <w:color w:val="auto"/>
                <w:spacing w:val="-2"/>
                <w:sz w:val="24"/>
              </w:rPr>
            </w:pPr>
            <w:r>
              <w:rPr>
                <w:rFonts w:hint="eastAsia" w:ascii="微软雅黑" w:hAnsi="微软雅黑" w:eastAsia="微软雅黑" w:cs="微软雅黑"/>
                <w:color w:val="auto"/>
                <w:spacing w:val="-2"/>
                <w:sz w:val="24"/>
              </w:rPr>
              <w:t>供应商附有详细地址、联系人、电话标明的。</w:t>
            </w:r>
          </w:p>
        </w:tc>
        <w:tc>
          <w:tcPr>
            <w:tcW w:w="1502" w:type="dxa"/>
            <w:vAlign w:val="center"/>
          </w:tcPr>
          <w:p w14:paraId="166ACE62">
            <w:pPr>
              <w:spacing w:line="400" w:lineRule="exact"/>
              <w:rPr>
                <w:rFonts w:ascii="微软雅黑" w:hAnsi="微软雅黑" w:eastAsia="微软雅黑" w:cs="微软雅黑"/>
                <w:color w:val="auto"/>
                <w:spacing w:val="-2"/>
                <w:sz w:val="24"/>
              </w:rPr>
            </w:pPr>
          </w:p>
        </w:tc>
      </w:tr>
      <w:tr w14:paraId="1AA72D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7917" w:type="dxa"/>
            <w:gridSpan w:val="2"/>
            <w:vAlign w:val="center"/>
          </w:tcPr>
          <w:p w14:paraId="00941D6B">
            <w:pPr>
              <w:spacing w:line="400" w:lineRule="exact"/>
              <w:ind w:firstLine="424" w:firstLineChars="180"/>
              <w:jc w:val="center"/>
              <w:rPr>
                <w:rFonts w:ascii="微软雅黑" w:hAnsi="微软雅黑" w:eastAsia="微软雅黑" w:cs="微软雅黑"/>
                <w:color w:val="auto"/>
                <w:spacing w:val="-2"/>
                <w:sz w:val="24"/>
              </w:rPr>
            </w:pPr>
            <w:r>
              <w:rPr>
                <w:rFonts w:hint="eastAsia" w:ascii="微软雅黑" w:hAnsi="微软雅黑" w:eastAsia="微软雅黑" w:cs="微软雅黑"/>
                <w:color w:val="auto"/>
                <w:spacing w:val="-2"/>
                <w:sz w:val="24"/>
              </w:rPr>
              <w:t>结论</w:t>
            </w:r>
          </w:p>
        </w:tc>
        <w:tc>
          <w:tcPr>
            <w:tcW w:w="1502" w:type="dxa"/>
            <w:vAlign w:val="center"/>
          </w:tcPr>
          <w:p w14:paraId="42744AEF">
            <w:pPr>
              <w:spacing w:line="400" w:lineRule="exact"/>
              <w:ind w:firstLine="424" w:firstLineChars="180"/>
              <w:rPr>
                <w:rFonts w:ascii="微软雅黑" w:hAnsi="微软雅黑" w:eastAsia="微软雅黑" w:cs="微软雅黑"/>
                <w:color w:val="auto"/>
                <w:spacing w:val="-2"/>
                <w:sz w:val="24"/>
              </w:rPr>
            </w:pPr>
          </w:p>
        </w:tc>
      </w:tr>
    </w:tbl>
    <w:p w14:paraId="19AD5D2D">
      <w:pPr>
        <w:snapToGrid w:val="0"/>
        <w:spacing w:line="360" w:lineRule="exact"/>
        <w:textAlignment w:val="baseline"/>
        <w:rPr>
          <w:rFonts w:ascii="微软雅黑" w:hAnsi="微软雅黑" w:eastAsia="微软雅黑" w:cs="微软雅黑"/>
          <w:color w:val="auto"/>
          <w:sz w:val="24"/>
        </w:rPr>
      </w:pPr>
    </w:p>
    <w:p w14:paraId="6AA69EA5">
      <w:pPr>
        <w:snapToGrid w:val="0"/>
        <w:spacing w:line="360" w:lineRule="exact"/>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说明：</w:t>
      </w:r>
    </w:p>
    <w:p w14:paraId="0BC4E775">
      <w:pPr>
        <w:snapToGrid w:val="0"/>
        <w:spacing w:line="360" w:lineRule="exact"/>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（1）上述各项中用“</w:t>
      </w:r>
      <w:r>
        <w:rPr>
          <w:rFonts w:hint="eastAsia" w:ascii="微软雅黑" w:hAnsi="微软雅黑" w:eastAsia="微软雅黑" w:cs="微软雅黑"/>
          <w:color w:val="auto"/>
          <w:sz w:val="24"/>
          <w:lang w:val="en-US" w:eastAsia="zh-CN"/>
        </w:rPr>
        <w:t>符合</w:t>
      </w:r>
      <w:r>
        <w:rPr>
          <w:rFonts w:hint="eastAsia" w:ascii="微软雅黑" w:hAnsi="微软雅黑" w:eastAsia="微软雅黑" w:cs="微软雅黑"/>
          <w:color w:val="auto"/>
          <w:sz w:val="24"/>
        </w:rPr>
        <w:t>”表示通过，“</w:t>
      </w:r>
      <w:r>
        <w:rPr>
          <w:rFonts w:hint="eastAsia" w:ascii="微软雅黑" w:hAnsi="微软雅黑" w:eastAsia="微软雅黑" w:cs="微软雅黑"/>
          <w:color w:val="auto"/>
          <w:sz w:val="24"/>
          <w:lang w:val="en-US" w:eastAsia="zh-CN"/>
        </w:rPr>
        <w:t>不符合</w:t>
      </w:r>
      <w:r>
        <w:rPr>
          <w:rFonts w:hint="eastAsia" w:ascii="微软雅黑" w:hAnsi="微软雅黑" w:eastAsia="微软雅黑" w:cs="微软雅黑"/>
          <w:color w:val="auto"/>
          <w:sz w:val="24"/>
        </w:rPr>
        <w:t>”表示不通过；</w:t>
      </w:r>
    </w:p>
    <w:p w14:paraId="2D5F0E80">
      <w:pPr>
        <w:snapToGrid w:val="0"/>
        <w:spacing w:line="360" w:lineRule="exact"/>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（2）上述各项中如有一项为“</w:t>
      </w:r>
      <w:r>
        <w:rPr>
          <w:rFonts w:hint="eastAsia" w:ascii="微软雅黑" w:hAnsi="微软雅黑" w:eastAsia="微软雅黑" w:cs="微软雅黑"/>
          <w:color w:val="auto"/>
          <w:sz w:val="24"/>
          <w:lang w:val="en-US" w:eastAsia="zh-CN"/>
        </w:rPr>
        <w:t>不符合</w:t>
      </w:r>
      <w:r>
        <w:rPr>
          <w:rFonts w:hint="eastAsia" w:ascii="微软雅黑" w:hAnsi="微软雅黑" w:eastAsia="微软雅黑" w:cs="微软雅黑"/>
          <w:color w:val="auto"/>
          <w:sz w:val="24"/>
        </w:rPr>
        <w:t>”，则结论为“</w:t>
      </w:r>
      <w:r>
        <w:rPr>
          <w:rFonts w:hint="eastAsia" w:ascii="微软雅黑" w:hAnsi="微软雅黑" w:eastAsia="微软雅黑" w:cs="微软雅黑"/>
          <w:color w:val="auto"/>
          <w:sz w:val="24"/>
          <w:lang w:val="en-US" w:eastAsia="zh-CN"/>
        </w:rPr>
        <w:t>不通过</w:t>
      </w:r>
      <w:r>
        <w:rPr>
          <w:rFonts w:hint="eastAsia" w:ascii="微软雅黑" w:hAnsi="微软雅黑" w:eastAsia="微软雅黑" w:cs="微软雅黑"/>
          <w:color w:val="auto"/>
          <w:sz w:val="24"/>
        </w:rPr>
        <w:t>”，表示该磋商文件中存在重大偏差，不能通过初步评审；评委对某一分项评审认为不合格时，必须要写明原因。</w:t>
      </w:r>
    </w:p>
    <w:p w14:paraId="05D2CE42">
      <w:pPr>
        <w:snapToGrid w:val="0"/>
        <w:spacing w:line="360" w:lineRule="exact"/>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（3）磋商文件最终合格与否，以所有评委的评审意见中少数服从多数为原则定论。</w:t>
      </w:r>
    </w:p>
    <w:p w14:paraId="7A1AEF5B">
      <w:pPr>
        <w:snapToGrid w:val="0"/>
        <w:spacing w:line="240" w:lineRule="atLeast"/>
        <w:ind w:left="1080" w:leftChars="257" w:hanging="540"/>
        <w:jc w:val="left"/>
        <w:textAlignment w:val="baseline"/>
        <w:rPr>
          <w:rFonts w:ascii="微软雅黑" w:hAnsi="微软雅黑" w:eastAsia="微软雅黑" w:cs="微软雅黑"/>
          <w:b/>
          <w:color w:val="auto"/>
          <w:sz w:val="28"/>
          <w:szCs w:val="28"/>
        </w:rPr>
      </w:pPr>
      <w:r>
        <w:rPr>
          <w:rFonts w:hint="eastAsia" w:ascii="微软雅黑" w:hAnsi="微软雅黑" w:eastAsia="微软雅黑" w:cs="微软雅黑"/>
          <w:b/>
          <w:bCs/>
          <w:color w:val="auto"/>
          <w:sz w:val="24"/>
        </w:rPr>
        <w:t>备注：如果磋商文件中有一项未通过上述审查标准，评审委员会将认定整个磋商文件未响应磋商文件而予以废标处理。</w:t>
      </w:r>
      <w:bookmarkStart w:id="718" w:name="_Toc25310"/>
      <w:bookmarkStart w:id="719" w:name="_Toc20930"/>
      <w:bookmarkStart w:id="720" w:name="_Toc507399904"/>
    </w:p>
    <w:p w14:paraId="7564F3EF">
      <w:pPr>
        <w:pStyle w:val="11"/>
        <w:snapToGrid w:val="0"/>
        <w:spacing w:before="0" w:line="360" w:lineRule="exact"/>
        <w:textAlignment w:val="baseline"/>
        <w:rPr>
          <w:rFonts w:ascii="微软雅黑" w:hAnsi="微软雅黑" w:eastAsia="微软雅黑" w:cs="微软雅黑"/>
          <w:i/>
          <w:color w:val="auto"/>
        </w:rPr>
      </w:pPr>
    </w:p>
    <w:p w14:paraId="021E64FB">
      <w:pPr>
        <w:rPr>
          <w:rFonts w:ascii="微软雅黑" w:hAnsi="微软雅黑" w:eastAsia="微软雅黑" w:cs="微软雅黑"/>
          <w:i/>
          <w:color w:val="auto"/>
          <w:sz w:val="24"/>
        </w:rPr>
      </w:pPr>
    </w:p>
    <w:p w14:paraId="1BEE02F3">
      <w:pPr>
        <w:pStyle w:val="36"/>
        <w:rPr>
          <w:rFonts w:ascii="微软雅黑" w:hAnsi="微软雅黑" w:eastAsia="微软雅黑" w:cs="微软雅黑"/>
          <w:i/>
          <w:color w:val="auto"/>
          <w:sz w:val="24"/>
        </w:rPr>
      </w:pPr>
    </w:p>
    <w:p w14:paraId="77F39228">
      <w:pPr>
        <w:rPr>
          <w:color w:val="auto"/>
        </w:rPr>
      </w:pPr>
    </w:p>
    <w:p w14:paraId="37EFC2BA">
      <w:pPr>
        <w:pStyle w:val="7"/>
        <w:ind w:firstLine="0"/>
        <w:rPr>
          <w:rFonts w:ascii="微软雅黑" w:hAnsi="微软雅黑" w:eastAsia="微软雅黑" w:cs="微软雅黑"/>
          <w:color w:val="auto"/>
        </w:rPr>
      </w:pPr>
    </w:p>
    <w:tbl>
      <w:tblPr>
        <w:tblStyle w:val="37"/>
        <w:tblW w:w="10035" w:type="dxa"/>
        <w:jc w:val="center"/>
        <w:tblLayout w:type="fixed"/>
        <w:tblCellMar>
          <w:top w:w="0" w:type="dxa"/>
          <w:left w:w="108" w:type="dxa"/>
          <w:bottom w:w="0" w:type="dxa"/>
          <w:right w:w="108" w:type="dxa"/>
        </w:tblCellMar>
      </w:tblPr>
      <w:tblGrid>
        <w:gridCol w:w="2790"/>
        <w:gridCol w:w="4470"/>
        <w:gridCol w:w="930"/>
        <w:gridCol w:w="855"/>
        <w:gridCol w:w="990"/>
      </w:tblGrid>
      <w:tr w14:paraId="6360EB49">
        <w:tblPrEx>
          <w:tblCellMar>
            <w:top w:w="0" w:type="dxa"/>
            <w:left w:w="108" w:type="dxa"/>
            <w:bottom w:w="0" w:type="dxa"/>
            <w:right w:w="108" w:type="dxa"/>
          </w:tblCellMar>
        </w:tblPrEx>
        <w:trPr>
          <w:trHeight w:val="368" w:hRule="atLeast"/>
          <w:jc w:val="center"/>
        </w:trPr>
        <w:tc>
          <w:tcPr>
            <w:tcW w:w="10035" w:type="dxa"/>
            <w:gridSpan w:val="5"/>
            <w:tcBorders>
              <w:top w:val="nil"/>
              <w:left w:val="nil"/>
              <w:bottom w:val="single" w:color="auto" w:sz="4" w:space="0"/>
              <w:right w:val="nil"/>
            </w:tcBorders>
            <w:vAlign w:val="center"/>
          </w:tcPr>
          <w:p w14:paraId="0FC3BBC8">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b/>
                <w:bCs/>
                <w:color w:val="auto"/>
                <w:kern w:val="0"/>
                <w:sz w:val="24"/>
              </w:rPr>
            </w:pPr>
            <w:r>
              <w:rPr>
                <w:rFonts w:hint="eastAsia" w:ascii="微软雅黑" w:hAnsi="微软雅黑" w:eastAsia="微软雅黑" w:cs="微软雅黑"/>
                <w:b/>
                <w:bCs/>
                <w:color w:val="auto"/>
                <w:kern w:val="0"/>
                <w:sz w:val="24"/>
              </w:rPr>
              <w:t>一、商务符合性审查表</w:t>
            </w:r>
          </w:p>
        </w:tc>
      </w:tr>
      <w:tr w14:paraId="4F631F4A">
        <w:tblPrEx>
          <w:tblCellMar>
            <w:top w:w="0" w:type="dxa"/>
            <w:left w:w="108" w:type="dxa"/>
            <w:bottom w:w="0" w:type="dxa"/>
            <w:right w:w="108" w:type="dxa"/>
          </w:tblCellMar>
        </w:tblPrEx>
        <w:trPr>
          <w:trHeight w:val="90" w:hRule="atLeast"/>
          <w:jc w:val="center"/>
        </w:trPr>
        <w:tc>
          <w:tcPr>
            <w:tcW w:w="7260" w:type="dxa"/>
            <w:gridSpan w:val="2"/>
            <w:tcBorders>
              <w:top w:val="single" w:color="auto" w:sz="4" w:space="0"/>
              <w:left w:val="single" w:color="auto" w:sz="4" w:space="0"/>
              <w:bottom w:val="single" w:color="auto" w:sz="4" w:space="0"/>
              <w:right w:val="single" w:color="auto" w:sz="4" w:space="0"/>
            </w:tcBorders>
            <w:vAlign w:val="center"/>
          </w:tcPr>
          <w:p w14:paraId="16D626DE">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b/>
                <w:color w:val="auto"/>
                <w:kern w:val="0"/>
                <w:sz w:val="24"/>
              </w:rPr>
            </w:pPr>
            <w:r>
              <w:rPr>
                <w:rFonts w:hint="eastAsia" w:ascii="微软雅黑" w:hAnsi="微软雅黑" w:eastAsia="微软雅黑" w:cs="微软雅黑"/>
                <w:b/>
                <w:color w:val="auto"/>
                <w:kern w:val="0"/>
                <w:sz w:val="24"/>
              </w:rPr>
              <w:t>审查事项</w:t>
            </w:r>
          </w:p>
        </w:tc>
        <w:tc>
          <w:tcPr>
            <w:tcW w:w="2775" w:type="dxa"/>
            <w:gridSpan w:val="3"/>
            <w:tcBorders>
              <w:top w:val="single" w:color="auto" w:sz="4" w:space="0"/>
              <w:left w:val="single" w:color="auto" w:sz="4" w:space="0"/>
              <w:bottom w:val="single" w:color="auto" w:sz="4" w:space="0"/>
              <w:right w:val="single" w:color="auto" w:sz="4" w:space="0"/>
            </w:tcBorders>
            <w:vAlign w:val="center"/>
          </w:tcPr>
          <w:p w14:paraId="70F87473">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b/>
                <w:color w:val="auto"/>
                <w:kern w:val="0"/>
                <w:sz w:val="24"/>
              </w:rPr>
            </w:pPr>
            <w:r>
              <w:rPr>
                <w:rFonts w:hint="eastAsia" w:ascii="微软雅黑" w:hAnsi="微软雅黑" w:eastAsia="微软雅黑" w:cs="微软雅黑"/>
                <w:b/>
                <w:color w:val="auto"/>
                <w:kern w:val="0"/>
                <w:sz w:val="24"/>
              </w:rPr>
              <w:t>供应商名称及审查情况</w:t>
            </w:r>
          </w:p>
        </w:tc>
      </w:tr>
      <w:tr w14:paraId="5C083BF4">
        <w:tblPrEx>
          <w:tblCellMar>
            <w:top w:w="0" w:type="dxa"/>
            <w:left w:w="108" w:type="dxa"/>
            <w:bottom w:w="0" w:type="dxa"/>
            <w:right w:w="108" w:type="dxa"/>
          </w:tblCellMar>
        </w:tblPrEx>
        <w:trPr>
          <w:trHeight w:val="570" w:hRule="atLeast"/>
          <w:jc w:val="center"/>
        </w:trPr>
        <w:tc>
          <w:tcPr>
            <w:tcW w:w="2790" w:type="dxa"/>
            <w:tcBorders>
              <w:top w:val="single" w:color="auto" w:sz="4" w:space="0"/>
              <w:left w:val="single" w:color="auto" w:sz="4" w:space="0"/>
              <w:bottom w:val="single" w:color="auto" w:sz="4" w:space="0"/>
              <w:right w:val="single" w:color="auto" w:sz="4" w:space="0"/>
            </w:tcBorders>
            <w:vAlign w:val="center"/>
          </w:tcPr>
          <w:p w14:paraId="02A31E20">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b/>
                <w:color w:val="auto"/>
                <w:kern w:val="0"/>
                <w:sz w:val="24"/>
              </w:rPr>
            </w:pPr>
            <w:r>
              <w:rPr>
                <w:rFonts w:hint="eastAsia" w:ascii="微软雅黑" w:hAnsi="微软雅黑" w:eastAsia="微软雅黑" w:cs="微软雅黑"/>
                <w:b/>
                <w:color w:val="auto"/>
                <w:kern w:val="0"/>
                <w:sz w:val="24"/>
              </w:rPr>
              <w:t>磋商文件条款（供应商须知、供应商须知资料表条款号）</w:t>
            </w:r>
          </w:p>
        </w:tc>
        <w:tc>
          <w:tcPr>
            <w:tcW w:w="4470" w:type="dxa"/>
            <w:tcBorders>
              <w:top w:val="single" w:color="auto" w:sz="4" w:space="0"/>
              <w:left w:val="single" w:color="auto" w:sz="4" w:space="0"/>
              <w:bottom w:val="single" w:color="auto" w:sz="4" w:space="0"/>
              <w:right w:val="single" w:color="auto" w:sz="4" w:space="0"/>
            </w:tcBorders>
            <w:vAlign w:val="center"/>
          </w:tcPr>
          <w:p w14:paraId="6C7EE8B3">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b/>
                <w:color w:val="auto"/>
                <w:kern w:val="0"/>
                <w:sz w:val="24"/>
              </w:rPr>
            </w:pPr>
            <w:r>
              <w:rPr>
                <w:rFonts w:hint="eastAsia" w:ascii="微软雅黑" w:hAnsi="微软雅黑" w:eastAsia="微软雅黑" w:cs="微软雅黑"/>
                <w:b/>
                <w:color w:val="auto"/>
                <w:kern w:val="0"/>
                <w:sz w:val="24"/>
              </w:rPr>
              <w:t>本项目要求</w:t>
            </w:r>
          </w:p>
        </w:tc>
        <w:tc>
          <w:tcPr>
            <w:tcW w:w="930" w:type="dxa"/>
            <w:tcBorders>
              <w:top w:val="single" w:color="auto" w:sz="4" w:space="0"/>
              <w:left w:val="single" w:color="auto" w:sz="4" w:space="0"/>
              <w:bottom w:val="single" w:color="auto" w:sz="4" w:space="0"/>
              <w:right w:val="single" w:color="auto" w:sz="4" w:space="0"/>
            </w:tcBorders>
            <w:vAlign w:val="center"/>
          </w:tcPr>
          <w:p w14:paraId="1CDE80A3">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855" w:type="dxa"/>
            <w:tcBorders>
              <w:top w:val="single" w:color="auto" w:sz="4" w:space="0"/>
              <w:left w:val="nil"/>
              <w:bottom w:val="single" w:color="auto" w:sz="4" w:space="0"/>
              <w:right w:val="single" w:color="auto" w:sz="4" w:space="0"/>
            </w:tcBorders>
            <w:vAlign w:val="center"/>
          </w:tcPr>
          <w:p w14:paraId="2C156063">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990" w:type="dxa"/>
            <w:tcBorders>
              <w:top w:val="single" w:color="auto" w:sz="4" w:space="0"/>
              <w:left w:val="nil"/>
              <w:bottom w:val="single" w:color="auto" w:sz="4" w:space="0"/>
              <w:right w:val="single" w:color="auto" w:sz="4" w:space="0"/>
            </w:tcBorders>
            <w:vAlign w:val="center"/>
          </w:tcPr>
          <w:p w14:paraId="6DD46ADB">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r>
      <w:tr w14:paraId="6F5227B0">
        <w:tblPrEx>
          <w:tblCellMar>
            <w:top w:w="0" w:type="dxa"/>
            <w:left w:w="108" w:type="dxa"/>
            <w:bottom w:w="0" w:type="dxa"/>
            <w:right w:w="108" w:type="dxa"/>
          </w:tblCellMar>
        </w:tblPrEx>
        <w:trPr>
          <w:trHeight w:val="90" w:hRule="atLeast"/>
          <w:jc w:val="center"/>
        </w:trPr>
        <w:tc>
          <w:tcPr>
            <w:tcW w:w="2790" w:type="dxa"/>
            <w:tcBorders>
              <w:top w:val="single" w:color="auto" w:sz="4" w:space="0"/>
              <w:left w:val="single" w:color="auto" w:sz="4" w:space="0"/>
              <w:bottom w:val="single" w:color="auto" w:sz="4" w:space="0"/>
              <w:right w:val="single" w:color="auto" w:sz="4" w:space="0"/>
            </w:tcBorders>
            <w:vAlign w:val="center"/>
          </w:tcPr>
          <w:p w14:paraId="10506877">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中小企业投标要求（1.3.6）</w:t>
            </w:r>
          </w:p>
        </w:tc>
        <w:tc>
          <w:tcPr>
            <w:tcW w:w="4470" w:type="dxa"/>
            <w:tcBorders>
              <w:top w:val="single" w:color="auto" w:sz="4" w:space="0"/>
              <w:left w:val="nil"/>
              <w:bottom w:val="single" w:color="auto" w:sz="4" w:space="0"/>
              <w:right w:val="single" w:color="auto" w:sz="4" w:space="0"/>
            </w:tcBorders>
            <w:vAlign w:val="center"/>
          </w:tcPr>
          <w:p w14:paraId="43BC64A3">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本项目</w:t>
            </w:r>
            <w:r>
              <w:rPr>
                <w:rFonts w:hint="eastAsia" w:ascii="微软雅黑" w:hAnsi="微软雅黑" w:eastAsia="微软雅黑" w:cs="微软雅黑"/>
                <w:i/>
                <w:iCs/>
                <w:color w:val="auto"/>
                <w:kern w:val="0"/>
                <w:sz w:val="24"/>
                <w:u w:val="single" w:color="000000"/>
              </w:rPr>
              <w:t>适用</w:t>
            </w:r>
          </w:p>
        </w:tc>
        <w:tc>
          <w:tcPr>
            <w:tcW w:w="930" w:type="dxa"/>
            <w:tcBorders>
              <w:top w:val="single" w:color="auto" w:sz="4" w:space="0"/>
              <w:left w:val="nil"/>
              <w:bottom w:val="single" w:color="auto" w:sz="4" w:space="0"/>
              <w:right w:val="single" w:color="auto" w:sz="4" w:space="0"/>
            </w:tcBorders>
            <w:vAlign w:val="center"/>
          </w:tcPr>
          <w:p w14:paraId="77BAE876">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p>
        </w:tc>
        <w:tc>
          <w:tcPr>
            <w:tcW w:w="855" w:type="dxa"/>
            <w:tcBorders>
              <w:top w:val="single" w:color="auto" w:sz="4" w:space="0"/>
              <w:left w:val="nil"/>
              <w:bottom w:val="single" w:color="auto" w:sz="4" w:space="0"/>
              <w:right w:val="single" w:color="auto" w:sz="4" w:space="0"/>
            </w:tcBorders>
            <w:vAlign w:val="center"/>
          </w:tcPr>
          <w:p w14:paraId="3BADABE0">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p>
        </w:tc>
        <w:tc>
          <w:tcPr>
            <w:tcW w:w="990" w:type="dxa"/>
            <w:tcBorders>
              <w:top w:val="single" w:color="auto" w:sz="4" w:space="0"/>
              <w:left w:val="nil"/>
              <w:bottom w:val="single" w:color="auto" w:sz="4" w:space="0"/>
              <w:right w:val="single" w:color="auto" w:sz="4" w:space="0"/>
            </w:tcBorders>
            <w:vAlign w:val="center"/>
          </w:tcPr>
          <w:p w14:paraId="0623E9D0">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p>
        </w:tc>
      </w:tr>
      <w:tr w14:paraId="50CA2643">
        <w:tblPrEx>
          <w:tblCellMar>
            <w:top w:w="0" w:type="dxa"/>
            <w:left w:w="108" w:type="dxa"/>
            <w:bottom w:w="0" w:type="dxa"/>
            <w:right w:w="108" w:type="dxa"/>
          </w:tblCellMar>
        </w:tblPrEx>
        <w:trPr>
          <w:trHeight w:val="510" w:hRule="atLeast"/>
          <w:jc w:val="center"/>
        </w:trPr>
        <w:tc>
          <w:tcPr>
            <w:tcW w:w="2790" w:type="dxa"/>
            <w:tcBorders>
              <w:top w:val="single" w:color="auto" w:sz="4" w:space="0"/>
              <w:left w:val="single" w:color="auto" w:sz="4" w:space="0"/>
              <w:bottom w:val="single" w:color="auto" w:sz="4" w:space="0"/>
              <w:right w:val="single" w:color="auto" w:sz="4" w:space="0"/>
            </w:tcBorders>
            <w:vAlign w:val="center"/>
          </w:tcPr>
          <w:p w14:paraId="155864E1">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联合体投标规定</w:t>
            </w:r>
          </w:p>
          <w:p w14:paraId="2596F5EA">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（1.4）</w:t>
            </w:r>
          </w:p>
        </w:tc>
        <w:tc>
          <w:tcPr>
            <w:tcW w:w="4470" w:type="dxa"/>
            <w:tcBorders>
              <w:top w:val="single" w:color="auto" w:sz="4" w:space="0"/>
              <w:left w:val="nil"/>
              <w:bottom w:val="single" w:color="auto" w:sz="4" w:space="0"/>
              <w:right w:val="single" w:color="auto" w:sz="4" w:space="0"/>
            </w:tcBorders>
            <w:vAlign w:val="center"/>
          </w:tcPr>
          <w:p w14:paraId="5E10698F">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本项目</w:t>
            </w:r>
            <w:r>
              <w:rPr>
                <w:rFonts w:hint="eastAsia" w:ascii="微软雅黑" w:hAnsi="微软雅黑" w:eastAsia="微软雅黑" w:cs="微软雅黑"/>
                <w:i/>
                <w:iCs/>
                <w:color w:val="auto"/>
                <w:kern w:val="0"/>
                <w:sz w:val="24"/>
                <w:u w:val="single" w:color="000000"/>
              </w:rPr>
              <w:t>不接受</w:t>
            </w:r>
            <w:r>
              <w:rPr>
                <w:rFonts w:hint="eastAsia" w:ascii="微软雅黑" w:hAnsi="微软雅黑" w:eastAsia="微软雅黑" w:cs="微软雅黑"/>
                <w:color w:val="auto"/>
                <w:kern w:val="0"/>
                <w:sz w:val="24"/>
              </w:rPr>
              <w:t>联合体投标</w:t>
            </w:r>
          </w:p>
        </w:tc>
        <w:tc>
          <w:tcPr>
            <w:tcW w:w="930" w:type="dxa"/>
            <w:tcBorders>
              <w:top w:val="single" w:color="auto" w:sz="4" w:space="0"/>
              <w:left w:val="nil"/>
              <w:bottom w:val="single" w:color="auto" w:sz="4" w:space="0"/>
              <w:right w:val="single" w:color="auto" w:sz="4" w:space="0"/>
            </w:tcBorders>
            <w:vAlign w:val="center"/>
          </w:tcPr>
          <w:p w14:paraId="4E248656">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855" w:type="dxa"/>
            <w:tcBorders>
              <w:top w:val="single" w:color="auto" w:sz="4" w:space="0"/>
              <w:left w:val="nil"/>
              <w:bottom w:val="single" w:color="auto" w:sz="4" w:space="0"/>
              <w:right w:val="single" w:color="auto" w:sz="4" w:space="0"/>
            </w:tcBorders>
            <w:vAlign w:val="center"/>
          </w:tcPr>
          <w:p w14:paraId="34863969">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990" w:type="dxa"/>
            <w:tcBorders>
              <w:top w:val="single" w:color="auto" w:sz="4" w:space="0"/>
              <w:left w:val="nil"/>
              <w:bottom w:val="single" w:color="auto" w:sz="4" w:space="0"/>
              <w:right w:val="single" w:color="auto" w:sz="4" w:space="0"/>
            </w:tcBorders>
            <w:vAlign w:val="center"/>
          </w:tcPr>
          <w:p w14:paraId="484B2AEE">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r>
      <w:tr w14:paraId="42D0FDAB">
        <w:tblPrEx>
          <w:tblCellMar>
            <w:top w:w="0" w:type="dxa"/>
            <w:left w:w="108" w:type="dxa"/>
            <w:bottom w:w="0" w:type="dxa"/>
            <w:right w:w="108" w:type="dxa"/>
          </w:tblCellMar>
        </w:tblPrEx>
        <w:trPr>
          <w:trHeight w:val="510" w:hRule="atLeast"/>
          <w:jc w:val="center"/>
        </w:trPr>
        <w:tc>
          <w:tcPr>
            <w:tcW w:w="2790" w:type="dxa"/>
            <w:tcBorders>
              <w:top w:val="single" w:color="auto" w:sz="4" w:space="0"/>
              <w:left w:val="single" w:color="auto" w:sz="4" w:space="0"/>
              <w:bottom w:val="single" w:color="auto" w:sz="4" w:space="0"/>
              <w:right w:val="single" w:color="auto" w:sz="4" w:space="0"/>
            </w:tcBorders>
            <w:vAlign w:val="center"/>
          </w:tcPr>
          <w:p w14:paraId="74A63AA0">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供应商的关联性</w:t>
            </w:r>
          </w:p>
          <w:p w14:paraId="515CC8C0">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（1.5）</w:t>
            </w:r>
          </w:p>
        </w:tc>
        <w:tc>
          <w:tcPr>
            <w:tcW w:w="4470" w:type="dxa"/>
            <w:tcBorders>
              <w:top w:val="single" w:color="auto" w:sz="4" w:space="0"/>
              <w:left w:val="nil"/>
              <w:bottom w:val="single" w:color="auto" w:sz="4" w:space="0"/>
              <w:right w:val="single" w:color="auto" w:sz="4" w:space="0"/>
            </w:tcBorders>
            <w:vAlign w:val="center"/>
          </w:tcPr>
          <w:p w14:paraId="5F049125">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在同一标包内，单位负责人为非同一人或者不存在直接控股、管理关系的不同供应商。</w:t>
            </w:r>
          </w:p>
        </w:tc>
        <w:tc>
          <w:tcPr>
            <w:tcW w:w="930" w:type="dxa"/>
            <w:tcBorders>
              <w:top w:val="single" w:color="auto" w:sz="4" w:space="0"/>
              <w:left w:val="nil"/>
              <w:bottom w:val="single" w:color="auto" w:sz="4" w:space="0"/>
              <w:right w:val="single" w:color="auto" w:sz="4" w:space="0"/>
            </w:tcBorders>
            <w:vAlign w:val="center"/>
          </w:tcPr>
          <w:p w14:paraId="5E1D086F">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855" w:type="dxa"/>
            <w:tcBorders>
              <w:top w:val="single" w:color="auto" w:sz="4" w:space="0"/>
              <w:left w:val="nil"/>
              <w:bottom w:val="single" w:color="auto" w:sz="4" w:space="0"/>
              <w:right w:val="single" w:color="auto" w:sz="4" w:space="0"/>
            </w:tcBorders>
            <w:vAlign w:val="center"/>
          </w:tcPr>
          <w:p w14:paraId="4EA6C524">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990" w:type="dxa"/>
            <w:tcBorders>
              <w:top w:val="single" w:color="auto" w:sz="4" w:space="0"/>
              <w:left w:val="nil"/>
              <w:bottom w:val="single" w:color="auto" w:sz="4" w:space="0"/>
              <w:right w:val="single" w:color="auto" w:sz="4" w:space="0"/>
            </w:tcBorders>
            <w:vAlign w:val="center"/>
          </w:tcPr>
          <w:p w14:paraId="1177123F">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r>
      <w:tr w14:paraId="3521F9A4">
        <w:tblPrEx>
          <w:tblCellMar>
            <w:top w:w="0" w:type="dxa"/>
            <w:left w:w="108" w:type="dxa"/>
            <w:bottom w:w="0" w:type="dxa"/>
            <w:right w:w="108" w:type="dxa"/>
          </w:tblCellMar>
        </w:tblPrEx>
        <w:trPr>
          <w:trHeight w:val="510" w:hRule="atLeast"/>
          <w:jc w:val="center"/>
        </w:trPr>
        <w:tc>
          <w:tcPr>
            <w:tcW w:w="2790" w:type="dxa"/>
            <w:tcBorders>
              <w:top w:val="single" w:color="auto" w:sz="4" w:space="0"/>
              <w:left w:val="single" w:color="auto" w:sz="4" w:space="0"/>
              <w:bottom w:val="single" w:color="auto" w:sz="4" w:space="0"/>
              <w:right w:val="single" w:color="auto" w:sz="4" w:space="0"/>
            </w:tcBorders>
            <w:vAlign w:val="center"/>
          </w:tcPr>
          <w:p w14:paraId="3C7E9BFB">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未发现影响采购人决策行为（1.5）</w:t>
            </w:r>
          </w:p>
        </w:tc>
        <w:tc>
          <w:tcPr>
            <w:tcW w:w="4470" w:type="dxa"/>
            <w:tcBorders>
              <w:top w:val="single" w:color="auto" w:sz="4" w:space="0"/>
              <w:left w:val="nil"/>
              <w:bottom w:val="single" w:color="auto" w:sz="4" w:space="0"/>
              <w:right w:val="single" w:color="auto" w:sz="4" w:space="0"/>
            </w:tcBorders>
            <w:vAlign w:val="center"/>
          </w:tcPr>
          <w:p w14:paraId="02E04FC3">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sz w:val="24"/>
              </w:rPr>
              <w:t>供应商在投标过程中未向采购人提供、给予任何有价值的物品，影响其正常决策行为。</w:t>
            </w:r>
          </w:p>
        </w:tc>
        <w:tc>
          <w:tcPr>
            <w:tcW w:w="930" w:type="dxa"/>
            <w:tcBorders>
              <w:top w:val="single" w:color="auto" w:sz="4" w:space="0"/>
              <w:left w:val="nil"/>
              <w:bottom w:val="single" w:color="auto" w:sz="4" w:space="0"/>
              <w:right w:val="single" w:color="auto" w:sz="4" w:space="0"/>
            </w:tcBorders>
            <w:vAlign w:val="center"/>
          </w:tcPr>
          <w:p w14:paraId="0DBB5F24">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p>
        </w:tc>
        <w:tc>
          <w:tcPr>
            <w:tcW w:w="855" w:type="dxa"/>
            <w:tcBorders>
              <w:top w:val="single" w:color="auto" w:sz="4" w:space="0"/>
              <w:left w:val="nil"/>
              <w:bottom w:val="single" w:color="auto" w:sz="4" w:space="0"/>
              <w:right w:val="single" w:color="auto" w:sz="4" w:space="0"/>
            </w:tcBorders>
            <w:vAlign w:val="center"/>
          </w:tcPr>
          <w:p w14:paraId="0DB0F941">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p>
        </w:tc>
        <w:tc>
          <w:tcPr>
            <w:tcW w:w="990" w:type="dxa"/>
            <w:tcBorders>
              <w:top w:val="single" w:color="auto" w:sz="4" w:space="0"/>
              <w:left w:val="nil"/>
              <w:bottom w:val="single" w:color="auto" w:sz="4" w:space="0"/>
              <w:right w:val="single" w:color="auto" w:sz="4" w:space="0"/>
            </w:tcBorders>
            <w:vAlign w:val="center"/>
          </w:tcPr>
          <w:p w14:paraId="45A45748">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p>
        </w:tc>
      </w:tr>
      <w:tr w14:paraId="55D6290D">
        <w:tblPrEx>
          <w:tblCellMar>
            <w:top w:w="0" w:type="dxa"/>
            <w:left w:w="108" w:type="dxa"/>
            <w:bottom w:w="0" w:type="dxa"/>
            <w:right w:w="108" w:type="dxa"/>
          </w:tblCellMar>
        </w:tblPrEx>
        <w:trPr>
          <w:trHeight w:val="90" w:hRule="atLeast"/>
          <w:jc w:val="center"/>
        </w:trPr>
        <w:tc>
          <w:tcPr>
            <w:tcW w:w="2790" w:type="dxa"/>
            <w:tcBorders>
              <w:top w:val="single" w:color="auto" w:sz="4" w:space="0"/>
              <w:left w:val="single" w:color="auto" w:sz="4" w:space="0"/>
              <w:bottom w:val="single" w:color="auto" w:sz="4" w:space="0"/>
              <w:right w:val="single" w:color="auto" w:sz="4" w:space="0"/>
            </w:tcBorders>
            <w:vAlign w:val="center"/>
          </w:tcPr>
          <w:p w14:paraId="4769ED3F">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满足投标范围的完整性要求（8.1）</w:t>
            </w:r>
          </w:p>
        </w:tc>
        <w:tc>
          <w:tcPr>
            <w:tcW w:w="4470" w:type="dxa"/>
            <w:tcBorders>
              <w:top w:val="single" w:color="auto" w:sz="4" w:space="0"/>
              <w:left w:val="nil"/>
              <w:bottom w:val="single" w:color="auto" w:sz="4" w:space="0"/>
              <w:right w:val="single" w:color="auto" w:sz="4" w:space="0"/>
            </w:tcBorders>
            <w:vAlign w:val="center"/>
          </w:tcPr>
          <w:p w14:paraId="0B80EEF0">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sz w:val="24"/>
              </w:rPr>
              <w:t>供应商对所投分包磋商文件中所列的所有内容进行投标。</w:t>
            </w:r>
          </w:p>
        </w:tc>
        <w:tc>
          <w:tcPr>
            <w:tcW w:w="930" w:type="dxa"/>
            <w:tcBorders>
              <w:top w:val="single" w:color="auto" w:sz="4" w:space="0"/>
              <w:left w:val="nil"/>
              <w:bottom w:val="single" w:color="auto" w:sz="4" w:space="0"/>
              <w:right w:val="single" w:color="auto" w:sz="4" w:space="0"/>
            </w:tcBorders>
            <w:vAlign w:val="center"/>
          </w:tcPr>
          <w:p w14:paraId="2EB28BB9">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p>
        </w:tc>
        <w:tc>
          <w:tcPr>
            <w:tcW w:w="855" w:type="dxa"/>
            <w:tcBorders>
              <w:top w:val="single" w:color="auto" w:sz="4" w:space="0"/>
              <w:left w:val="nil"/>
              <w:bottom w:val="single" w:color="auto" w:sz="4" w:space="0"/>
              <w:right w:val="single" w:color="auto" w:sz="4" w:space="0"/>
            </w:tcBorders>
            <w:vAlign w:val="center"/>
          </w:tcPr>
          <w:p w14:paraId="370EE9E8">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p>
        </w:tc>
        <w:tc>
          <w:tcPr>
            <w:tcW w:w="990" w:type="dxa"/>
            <w:tcBorders>
              <w:top w:val="single" w:color="auto" w:sz="4" w:space="0"/>
              <w:left w:val="nil"/>
              <w:bottom w:val="single" w:color="auto" w:sz="4" w:space="0"/>
              <w:right w:val="single" w:color="auto" w:sz="4" w:space="0"/>
            </w:tcBorders>
            <w:vAlign w:val="center"/>
          </w:tcPr>
          <w:p w14:paraId="78CAB67E">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p>
        </w:tc>
      </w:tr>
      <w:tr w14:paraId="385830A9">
        <w:tblPrEx>
          <w:tblCellMar>
            <w:top w:w="0" w:type="dxa"/>
            <w:left w:w="108" w:type="dxa"/>
            <w:bottom w:w="0" w:type="dxa"/>
            <w:right w:w="108" w:type="dxa"/>
          </w:tblCellMar>
        </w:tblPrEx>
        <w:trPr>
          <w:trHeight w:val="510" w:hRule="atLeast"/>
          <w:jc w:val="center"/>
        </w:trPr>
        <w:tc>
          <w:tcPr>
            <w:tcW w:w="2790" w:type="dxa"/>
            <w:tcBorders>
              <w:top w:val="single" w:color="auto" w:sz="4" w:space="0"/>
              <w:left w:val="single" w:color="auto" w:sz="4" w:space="0"/>
              <w:bottom w:val="single" w:color="auto" w:sz="4" w:space="0"/>
              <w:right w:val="single" w:color="auto" w:sz="4" w:space="0"/>
            </w:tcBorders>
            <w:vAlign w:val="center"/>
          </w:tcPr>
          <w:p w14:paraId="15DE63C9">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未包含价格调整要求（11.4）</w:t>
            </w:r>
          </w:p>
        </w:tc>
        <w:tc>
          <w:tcPr>
            <w:tcW w:w="4470" w:type="dxa"/>
            <w:tcBorders>
              <w:top w:val="single" w:color="auto" w:sz="4" w:space="0"/>
              <w:left w:val="nil"/>
              <w:bottom w:val="single" w:color="auto" w:sz="4" w:space="0"/>
              <w:right w:val="single" w:color="auto" w:sz="4" w:space="0"/>
            </w:tcBorders>
            <w:vAlign w:val="center"/>
          </w:tcPr>
          <w:p w14:paraId="47EFEB58">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sz w:val="24"/>
              </w:rPr>
              <w:t>供应商所报的各分项投标报价在合同履行过程中是固定不变的，不得以任何理由予以变更。</w:t>
            </w:r>
          </w:p>
        </w:tc>
        <w:tc>
          <w:tcPr>
            <w:tcW w:w="930" w:type="dxa"/>
            <w:tcBorders>
              <w:top w:val="single" w:color="auto" w:sz="4" w:space="0"/>
              <w:left w:val="nil"/>
              <w:bottom w:val="single" w:color="auto" w:sz="4" w:space="0"/>
              <w:right w:val="single" w:color="auto" w:sz="4" w:space="0"/>
            </w:tcBorders>
            <w:vAlign w:val="center"/>
          </w:tcPr>
          <w:p w14:paraId="0C831032">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855" w:type="dxa"/>
            <w:tcBorders>
              <w:top w:val="single" w:color="auto" w:sz="4" w:space="0"/>
              <w:left w:val="nil"/>
              <w:bottom w:val="single" w:color="auto" w:sz="4" w:space="0"/>
              <w:right w:val="single" w:color="auto" w:sz="4" w:space="0"/>
            </w:tcBorders>
            <w:vAlign w:val="center"/>
          </w:tcPr>
          <w:p w14:paraId="4DDA69A0">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990" w:type="dxa"/>
            <w:tcBorders>
              <w:top w:val="single" w:color="auto" w:sz="4" w:space="0"/>
              <w:left w:val="nil"/>
              <w:bottom w:val="single" w:color="auto" w:sz="4" w:space="0"/>
              <w:right w:val="single" w:color="auto" w:sz="4" w:space="0"/>
            </w:tcBorders>
            <w:vAlign w:val="center"/>
          </w:tcPr>
          <w:p w14:paraId="44514266">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r>
      <w:tr w14:paraId="476328F3">
        <w:tblPrEx>
          <w:tblCellMar>
            <w:top w:w="0" w:type="dxa"/>
            <w:left w:w="108" w:type="dxa"/>
            <w:bottom w:w="0" w:type="dxa"/>
            <w:right w:w="108" w:type="dxa"/>
          </w:tblCellMar>
        </w:tblPrEx>
        <w:trPr>
          <w:trHeight w:val="510" w:hRule="atLeast"/>
          <w:jc w:val="center"/>
        </w:trPr>
        <w:tc>
          <w:tcPr>
            <w:tcW w:w="2790" w:type="dxa"/>
            <w:tcBorders>
              <w:top w:val="single" w:color="auto" w:sz="4" w:space="0"/>
              <w:left w:val="single" w:color="auto" w:sz="4" w:space="0"/>
              <w:bottom w:val="single" w:color="auto" w:sz="4" w:space="0"/>
              <w:right w:val="single" w:color="auto" w:sz="4" w:space="0"/>
            </w:tcBorders>
            <w:vAlign w:val="center"/>
          </w:tcPr>
          <w:p w14:paraId="25D5911A">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投标保证金（12.1）</w:t>
            </w:r>
          </w:p>
        </w:tc>
        <w:tc>
          <w:tcPr>
            <w:tcW w:w="4470" w:type="dxa"/>
            <w:tcBorders>
              <w:top w:val="single" w:color="auto" w:sz="4" w:space="0"/>
              <w:left w:val="nil"/>
              <w:bottom w:val="single" w:color="auto" w:sz="4" w:space="0"/>
              <w:right w:val="single" w:color="auto" w:sz="4" w:space="0"/>
            </w:tcBorders>
            <w:vAlign w:val="center"/>
          </w:tcPr>
          <w:p w14:paraId="5BD825DD">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符合磋商文件要求</w:t>
            </w:r>
          </w:p>
        </w:tc>
        <w:tc>
          <w:tcPr>
            <w:tcW w:w="930" w:type="dxa"/>
            <w:tcBorders>
              <w:top w:val="single" w:color="auto" w:sz="4" w:space="0"/>
              <w:left w:val="nil"/>
              <w:bottom w:val="single" w:color="auto" w:sz="4" w:space="0"/>
              <w:right w:val="single" w:color="auto" w:sz="4" w:space="0"/>
            </w:tcBorders>
            <w:vAlign w:val="center"/>
          </w:tcPr>
          <w:p w14:paraId="223F5FD4">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p>
        </w:tc>
        <w:tc>
          <w:tcPr>
            <w:tcW w:w="855" w:type="dxa"/>
            <w:tcBorders>
              <w:top w:val="single" w:color="auto" w:sz="4" w:space="0"/>
              <w:left w:val="nil"/>
              <w:bottom w:val="single" w:color="auto" w:sz="4" w:space="0"/>
              <w:right w:val="single" w:color="auto" w:sz="4" w:space="0"/>
            </w:tcBorders>
            <w:vAlign w:val="center"/>
          </w:tcPr>
          <w:p w14:paraId="5930F915">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p>
        </w:tc>
        <w:tc>
          <w:tcPr>
            <w:tcW w:w="990" w:type="dxa"/>
            <w:tcBorders>
              <w:top w:val="single" w:color="auto" w:sz="4" w:space="0"/>
              <w:left w:val="nil"/>
              <w:bottom w:val="single" w:color="auto" w:sz="4" w:space="0"/>
              <w:right w:val="single" w:color="auto" w:sz="4" w:space="0"/>
            </w:tcBorders>
            <w:vAlign w:val="center"/>
          </w:tcPr>
          <w:p w14:paraId="6BAC2DCA">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p>
        </w:tc>
      </w:tr>
      <w:tr w14:paraId="573ACDE7">
        <w:tblPrEx>
          <w:tblCellMar>
            <w:top w:w="0" w:type="dxa"/>
            <w:left w:w="108" w:type="dxa"/>
            <w:bottom w:w="0" w:type="dxa"/>
            <w:right w:w="108" w:type="dxa"/>
          </w:tblCellMar>
        </w:tblPrEx>
        <w:trPr>
          <w:trHeight w:val="510" w:hRule="atLeast"/>
          <w:jc w:val="center"/>
        </w:trPr>
        <w:tc>
          <w:tcPr>
            <w:tcW w:w="2790" w:type="dxa"/>
            <w:tcBorders>
              <w:top w:val="single" w:color="auto" w:sz="4" w:space="0"/>
              <w:left w:val="single" w:color="auto" w:sz="4" w:space="0"/>
              <w:bottom w:val="single" w:color="auto" w:sz="4" w:space="0"/>
              <w:right w:val="single" w:color="auto" w:sz="4" w:space="0"/>
            </w:tcBorders>
            <w:vAlign w:val="center"/>
          </w:tcPr>
          <w:p w14:paraId="678B099C">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投标有效期满足要求（13.1）</w:t>
            </w:r>
          </w:p>
        </w:tc>
        <w:tc>
          <w:tcPr>
            <w:tcW w:w="4470" w:type="dxa"/>
            <w:tcBorders>
              <w:top w:val="single" w:color="auto" w:sz="4" w:space="0"/>
              <w:left w:val="nil"/>
              <w:bottom w:val="single" w:color="auto" w:sz="4" w:space="0"/>
              <w:right w:val="single" w:color="auto" w:sz="4" w:space="0"/>
            </w:tcBorders>
            <w:vAlign w:val="center"/>
          </w:tcPr>
          <w:p w14:paraId="698F8C2D">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sz w:val="24"/>
              </w:rPr>
              <w:t>自提交响应文件截止之日起</w:t>
            </w:r>
            <w:r>
              <w:rPr>
                <w:rFonts w:hint="eastAsia" w:ascii="微软雅黑" w:hAnsi="微软雅黑" w:eastAsia="微软雅黑" w:cs="微软雅黑"/>
                <w:color w:val="auto"/>
                <w:sz w:val="24"/>
                <w:u w:val="single" w:color="000000"/>
                <w:lang w:val="en-US" w:eastAsia="zh-CN"/>
              </w:rPr>
              <w:t>60</w:t>
            </w:r>
            <w:r>
              <w:rPr>
                <w:rFonts w:hint="eastAsia" w:ascii="微软雅黑" w:hAnsi="微软雅黑" w:eastAsia="微软雅黑" w:cs="微软雅黑"/>
                <w:color w:val="auto"/>
                <w:sz w:val="24"/>
                <w:u w:val="single" w:color="000000"/>
              </w:rPr>
              <w:t>日</w:t>
            </w:r>
            <w:r>
              <w:rPr>
                <w:rFonts w:hint="eastAsia" w:ascii="微软雅黑" w:hAnsi="微软雅黑" w:eastAsia="微软雅黑" w:cs="微软雅黑"/>
                <w:color w:val="auto"/>
                <w:sz w:val="24"/>
              </w:rPr>
              <w:t>历日</w:t>
            </w:r>
          </w:p>
        </w:tc>
        <w:tc>
          <w:tcPr>
            <w:tcW w:w="930" w:type="dxa"/>
            <w:tcBorders>
              <w:top w:val="single" w:color="auto" w:sz="4" w:space="0"/>
              <w:left w:val="nil"/>
              <w:bottom w:val="single" w:color="auto" w:sz="4" w:space="0"/>
              <w:right w:val="single" w:color="auto" w:sz="4" w:space="0"/>
            </w:tcBorders>
            <w:vAlign w:val="center"/>
          </w:tcPr>
          <w:p w14:paraId="0C8B64AA">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855" w:type="dxa"/>
            <w:tcBorders>
              <w:top w:val="single" w:color="auto" w:sz="4" w:space="0"/>
              <w:left w:val="nil"/>
              <w:bottom w:val="single" w:color="auto" w:sz="4" w:space="0"/>
              <w:right w:val="single" w:color="auto" w:sz="4" w:space="0"/>
            </w:tcBorders>
            <w:vAlign w:val="center"/>
          </w:tcPr>
          <w:p w14:paraId="2B7A185D">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990" w:type="dxa"/>
            <w:tcBorders>
              <w:top w:val="single" w:color="auto" w:sz="4" w:space="0"/>
              <w:left w:val="nil"/>
              <w:bottom w:val="single" w:color="auto" w:sz="4" w:space="0"/>
              <w:right w:val="single" w:color="auto" w:sz="4" w:space="0"/>
            </w:tcBorders>
            <w:vAlign w:val="center"/>
          </w:tcPr>
          <w:p w14:paraId="7F24875F">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r>
      <w:tr w14:paraId="4BCE2D68">
        <w:tblPrEx>
          <w:tblCellMar>
            <w:top w:w="0" w:type="dxa"/>
            <w:left w:w="108" w:type="dxa"/>
            <w:bottom w:w="0" w:type="dxa"/>
            <w:right w:w="108" w:type="dxa"/>
          </w:tblCellMar>
        </w:tblPrEx>
        <w:trPr>
          <w:trHeight w:val="570" w:hRule="atLeast"/>
          <w:jc w:val="center"/>
        </w:trPr>
        <w:tc>
          <w:tcPr>
            <w:tcW w:w="2790" w:type="dxa"/>
            <w:tcBorders>
              <w:top w:val="single" w:color="auto" w:sz="4" w:space="0"/>
              <w:left w:val="single" w:color="auto" w:sz="4" w:space="0"/>
              <w:bottom w:val="single" w:color="auto" w:sz="4" w:space="0"/>
              <w:right w:val="single" w:color="auto" w:sz="4" w:space="0"/>
            </w:tcBorders>
            <w:vAlign w:val="center"/>
          </w:tcPr>
          <w:p w14:paraId="7806C650">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响应文件的签署和盖章符合要求</w:t>
            </w:r>
          </w:p>
          <w:p w14:paraId="164A53A4">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（14.2、14.4）</w:t>
            </w:r>
          </w:p>
        </w:tc>
        <w:tc>
          <w:tcPr>
            <w:tcW w:w="4470" w:type="dxa"/>
            <w:tcBorders>
              <w:top w:val="single" w:color="auto" w:sz="4" w:space="0"/>
              <w:left w:val="nil"/>
              <w:bottom w:val="single" w:color="auto" w:sz="4" w:space="0"/>
              <w:right w:val="single" w:color="auto" w:sz="4" w:space="0"/>
            </w:tcBorders>
            <w:vAlign w:val="center"/>
          </w:tcPr>
          <w:p w14:paraId="74611D25">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按照磋商文件规定要求签署、盖章。</w:t>
            </w:r>
          </w:p>
        </w:tc>
        <w:tc>
          <w:tcPr>
            <w:tcW w:w="930" w:type="dxa"/>
            <w:tcBorders>
              <w:top w:val="single" w:color="auto" w:sz="4" w:space="0"/>
              <w:left w:val="nil"/>
              <w:bottom w:val="single" w:color="auto" w:sz="4" w:space="0"/>
              <w:right w:val="single" w:color="auto" w:sz="4" w:space="0"/>
            </w:tcBorders>
            <w:vAlign w:val="center"/>
          </w:tcPr>
          <w:p w14:paraId="612611E4">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p>
        </w:tc>
        <w:tc>
          <w:tcPr>
            <w:tcW w:w="855" w:type="dxa"/>
            <w:tcBorders>
              <w:top w:val="single" w:color="auto" w:sz="4" w:space="0"/>
              <w:left w:val="nil"/>
              <w:bottom w:val="single" w:color="auto" w:sz="4" w:space="0"/>
              <w:right w:val="single" w:color="auto" w:sz="4" w:space="0"/>
            </w:tcBorders>
            <w:vAlign w:val="center"/>
          </w:tcPr>
          <w:p w14:paraId="09A5EEC8">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p>
        </w:tc>
        <w:tc>
          <w:tcPr>
            <w:tcW w:w="990" w:type="dxa"/>
            <w:tcBorders>
              <w:top w:val="single" w:color="auto" w:sz="4" w:space="0"/>
              <w:left w:val="nil"/>
              <w:bottom w:val="single" w:color="auto" w:sz="4" w:space="0"/>
              <w:right w:val="single" w:color="auto" w:sz="4" w:space="0"/>
            </w:tcBorders>
            <w:vAlign w:val="center"/>
          </w:tcPr>
          <w:p w14:paraId="4EC6535D">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p>
        </w:tc>
      </w:tr>
      <w:tr w14:paraId="44617C1B">
        <w:tblPrEx>
          <w:tblCellMar>
            <w:top w:w="0" w:type="dxa"/>
            <w:left w:w="108" w:type="dxa"/>
            <w:bottom w:w="0" w:type="dxa"/>
            <w:right w:w="108" w:type="dxa"/>
          </w:tblCellMar>
        </w:tblPrEx>
        <w:trPr>
          <w:trHeight w:val="510" w:hRule="atLeast"/>
          <w:jc w:val="center"/>
        </w:trPr>
        <w:tc>
          <w:tcPr>
            <w:tcW w:w="2790" w:type="dxa"/>
            <w:tcBorders>
              <w:top w:val="single" w:color="auto" w:sz="4" w:space="0"/>
              <w:left w:val="single" w:color="auto" w:sz="4" w:space="0"/>
              <w:bottom w:val="single" w:color="auto" w:sz="4" w:space="0"/>
              <w:right w:val="single" w:color="auto" w:sz="4" w:space="0"/>
            </w:tcBorders>
            <w:vAlign w:val="center"/>
          </w:tcPr>
          <w:p w14:paraId="76738CBF">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接受价格的算术修正（20.3）</w:t>
            </w:r>
          </w:p>
        </w:tc>
        <w:tc>
          <w:tcPr>
            <w:tcW w:w="4470" w:type="dxa"/>
            <w:tcBorders>
              <w:top w:val="single" w:color="auto" w:sz="4" w:space="0"/>
              <w:left w:val="nil"/>
              <w:bottom w:val="single" w:color="auto" w:sz="4" w:space="0"/>
              <w:right w:val="single" w:color="auto" w:sz="4" w:space="0"/>
            </w:tcBorders>
            <w:vAlign w:val="center"/>
          </w:tcPr>
          <w:p w14:paraId="0A356DC3">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sz w:val="24"/>
              </w:rPr>
              <w:t>响应文件报价出现前后不一致的，应按照磋商文件规定的顺序修正。修正后的报价经供应商确认后产生约束力。</w:t>
            </w:r>
          </w:p>
        </w:tc>
        <w:tc>
          <w:tcPr>
            <w:tcW w:w="930" w:type="dxa"/>
            <w:tcBorders>
              <w:top w:val="single" w:color="auto" w:sz="4" w:space="0"/>
              <w:left w:val="nil"/>
              <w:bottom w:val="single" w:color="auto" w:sz="4" w:space="0"/>
              <w:right w:val="single" w:color="auto" w:sz="4" w:space="0"/>
            </w:tcBorders>
            <w:vAlign w:val="center"/>
          </w:tcPr>
          <w:p w14:paraId="673C88A7">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855" w:type="dxa"/>
            <w:tcBorders>
              <w:top w:val="single" w:color="auto" w:sz="4" w:space="0"/>
              <w:left w:val="nil"/>
              <w:bottom w:val="single" w:color="auto" w:sz="4" w:space="0"/>
              <w:right w:val="single" w:color="auto" w:sz="4" w:space="0"/>
            </w:tcBorders>
            <w:vAlign w:val="center"/>
          </w:tcPr>
          <w:p w14:paraId="76FCE117">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990" w:type="dxa"/>
            <w:tcBorders>
              <w:top w:val="single" w:color="auto" w:sz="4" w:space="0"/>
              <w:left w:val="nil"/>
              <w:bottom w:val="single" w:color="auto" w:sz="4" w:space="0"/>
              <w:right w:val="single" w:color="auto" w:sz="4" w:space="0"/>
            </w:tcBorders>
            <w:vAlign w:val="center"/>
          </w:tcPr>
          <w:p w14:paraId="11FA749A">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r>
      <w:tr w14:paraId="1F51D76E">
        <w:tblPrEx>
          <w:tblCellMar>
            <w:top w:w="0" w:type="dxa"/>
            <w:left w:w="108" w:type="dxa"/>
            <w:bottom w:w="0" w:type="dxa"/>
            <w:right w:w="108" w:type="dxa"/>
          </w:tblCellMar>
        </w:tblPrEx>
        <w:trPr>
          <w:trHeight w:val="510" w:hRule="atLeast"/>
          <w:jc w:val="center"/>
        </w:trPr>
        <w:tc>
          <w:tcPr>
            <w:tcW w:w="2790" w:type="dxa"/>
            <w:tcBorders>
              <w:top w:val="single" w:color="auto" w:sz="4" w:space="0"/>
              <w:left w:val="single" w:color="auto" w:sz="4" w:space="0"/>
              <w:bottom w:val="single" w:color="auto" w:sz="4" w:space="0"/>
              <w:right w:val="single" w:color="auto" w:sz="4" w:space="0"/>
            </w:tcBorders>
            <w:vAlign w:val="center"/>
          </w:tcPr>
          <w:p w14:paraId="092611E1">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符合强制采购节能产品要求（20.6）</w:t>
            </w:r>
          </w:p>
        </w:tc>
        <w:tc>
          <w:tcPr>
            <w:tcW w:w="4470" w:type="dxa"/>
            <w:tcBorders>
              <w:top w:val="single" w:color="auto" w:sz="4" w:space="0"/>
              <w:left w:val="nil"/>
              <w:bottom w:val="single" w:color="auto" w:sz="4" w:space="0"/>
              <w:right w:val="single" w:color="auto" w:sz="4" w:space="0"/>
            </w:tcBorders>
            <w:vAlign w:val="center"/>
          </w:tcPr>
          <w:p w14:paraId="4766D1A4">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本项目</w:t>
            </w:r>
            <w:r>
              <w:rPr>
                <w:rFonts w:hint="eastAsia" w:ascii="微软雅黑" w:hAnsi="微软雅黑" w:eastAsia="微软雅黑" w:cs="微软雅黑"/>
                <w:i/>
                <w:iCs/>
                <w:color w:val="auto"/>
                <w:kern w:val="0"/>
                <w:sz w:val="24"/>
                <w:u w:val="single" w:color="000000"/>
              </w:rPr>
              <w:t>适用</w:t>
            </w:r>
          </w:p>
        </w:tc>
        <w:tc>
          <w:tcPr>
            <w:tcW w:w="930" w:type="dxa"/>
            <w:tcBorders>
              <w:top w:val="single" w:color="auto" w:sz="4" w:space="0"/>
              <w:left w:val="nil"/>
              <w:bottom w:val="single" w:color="auto" w:sz="4" w:space="0"/>
              <w:right w:val="single" w:color="auto" w:sz="4" w:space="0"/>
            </w:tcBorders>
            <w:vAlign w:val="center"/>
          </w:tcPr>
          <w:p w14:paraId="12E85D8D">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855" w:type="dxa"/>
            <w:tcBorders>
              <w:top w:val="single" w:color="auto" w:sz="4" w:space="0"/>
              <w:left w:val="nil"/>
              <w:bottom w:val="single" w:color="auto" w:sz="4" w:space="0"/>
              <w:right w:val="single" w:color="auto" w:sz="4" w:space="0"/>
            </w:tcBorders>
            <w:vAlign w:val="center"/>
          </w:tcPr>
          <w:p w14:paraId="1E2157C9">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990" w:type="dxa"/>
            <w:tcBorders>
              <w:top w:val="single" w:color="auto" w:sz="4" w:space="0"/>
              <w:left w:val="nil"/>
              <w:bottom w:val="single" w:color="auto" w:sz="4" w:space="0"/>
              <w:right w:val="single" w:color="auto" w:sz="4" w:space="0"/>
            </w:tcBorders>
            <w:vAlign w:val="center"/>
          </w:tcPr>
          <w:p w14:paraId="2D0DBE23">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r>
      <w:tr w14:paraId="4B4DFF52">
        <w:tblPrEx>
          <w:tblCellMar>
            <w:top w:w="0" w:type="dxa"/>
            <w:left w:w="108" w:type="dxa"/>
            <w:bottom w:w="0" w:type="dxa"/>
            <w:right w:w="108" w:type="dxa"/>
          </w:tblCellMar>
        </w:tblPrEx>
        <w:trPr>
          <w:trHeight w:val="510" w:hRule="atLeast"/>
          <w:jc w:val="center"/>
        </w:trPr>
        <w:tc>
          <w:tcPr>
            <w:tcW w:w="2790" w:type="dxa"/>
            <w:tcBorders>
              <w:top w:val="single" w:color="auto" w:sz="4" w:space="0"/>
              <w:left w:val="single" w:color="auto" w:sz="4" w:space="0"/>
              <w:bottom w:val="single" w:color="auto" w:sz="4" w:space="0"/>
              <w:right w:val="single" w:color="auto" w:sz="4" w:space="0"/>
            </w:tcBorders>
            <w:vAlign w:val="center"/>
          </w:tcPr>
          <w:p w14:paraId="510D4916">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未发现串通投标（22.2）</w:t>
            </w:r>
          </w:p>
        </w:tc>
        <w:tc>
          <w:tcPr>
            <w:tcW w:w="4470" w:type="dxa"/>
            <w:tcBorders>
              <w:top w:val="single" w:color="auto" w:sz="4" w:space="0"/>
              <w:left w:val="nil"/>
              <w:bottom w:val="single" w:color="auto" w:sz="4" w:space="0"/>
              <w:right w:val="single" w:color="auto" w:sz="4" w:space="0"/>
            </w:tcBorders>
            <w:vAlign w:val="center"/>
          </w:tcPr>
          <w:p w14:paraId="2FDC6B00">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sz w:val="24"/>
              </w:rPr>
              <w:t>未与其他供应商串通投标，或者与</w:t>
            </w:r>
            <w:r>
              <w:rPr>
                <w:rFonts w:hint="eastAsia" w:ascii="微软雅黑" w:hAnsi="微软雅黑" w:eastAsia="微软雅黑" w:cs="微软雅黑"/>
                <w:color w:val="auto"/>
                <w:sz w:val="24"/>
                <w:lang w:eastAsia="zh-CN"/>
              </w:rPr>
              <w:t>采购人</w:t>
            </w:r>
            <w:r>
              <w:rPr>
                <w:rFonts w:hint="eastAsia" w:ascii="微软雅黑" w:hAnsi="微软雅黑" w:eastAsia="微软雅黑" w:cs="微软雅黑"/>
                <w:color w:val="auto"/>
                <w:sz w:val="24"/>
              </w:rPr>
              <w:t>串通投标。</w:t>
            </w:r>
          </w:p>
        </w:tc>
        <w:tc>
          <w:tcPr>
            <w:tcW w:w="930" w:type="dxa"/>
            <w:tcBorders>
              <w:top w:val="single" w:color="auto" w:sz="4" w:space="0"/>
              <w:left w:val="nil"/>
              <w:bottom w:val="single" w:color="auto" w:sz="4" w:space="0"/>
              <w:right w:val="single" w:color="auto" w:sz="4" w:space="0"/>
            </w:tcBorders>
            <w:vAlign w:val="center"/>
          </w:tcPr>
          <w:p w14:paraId="35075262">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855" w:type="dxa"/>
            <w:tcBorders>
              <w:top w:val="single" w:color="auto" w:sz="4" w:space="0"/>
              <w:left w:val="nil"/>
              <w:bottom w:val="single" w:color="auto" w:sz="4" w:space="0"/>
              <w:right w:val="single" w:color="auto" w:sz="4" w:space="0"/>
            </w:tcBorders>
            <w:vAlign w:val="center"/>
          </w:tcPr>
          <w:p w14:paraId="1C3D140C">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990" w:type="dxa"/>
            <w:tcBorders>
              <w:top w:val="single" w:color="auto" w:sz="4" w:space="0"/>
              <w:left w:val="nil"/>
              <w:bottom w:val="single" w:color="auto" w:sz="4" w:space="0"/>
              <w:right w:val="single" w:color="auto" w:sz="4" w:space="0"/>
            </w:tcBorders>
            <w:vAlign w:val="center"/>
          </w:tcPr>
          <w:p w14:paraId="4EFCECC1">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r>
      <w:tr w14:paraId="1640359F">
        <w:tblPrEx>
          <w:tblCellMar>
            <w:top w:w="0" w:type="dxa"/>
            <w:left w:w="108" w:type="dxa"/>
            <w:bottom w:w="0" w:type="dxa"/>
            <w:right w:w="108" w:type="dxa"/>
          </w:tblCellMar>
        </w:tblPrEx>
        <w:trPr>
          <w:trHeight w:val="510" w:hRule="atLeast"/>
          <w:jc w:val="center"/>
        </w:trPr>
        <w:tc>
          <w:tcPr>
            <w:tcW w:w="2790" w:type="dxa"/>
            <w:tcBorders>
              <w:top w:val="single" w:color="auto" w:sz="4" w:space="0"/>
              <w:left w:val="single" w:color="auto" w:sz="4" w:space="0"/>
              <w:bottom w:val="single" w:color="auto" w:sz="4" w:space="0"/>
              <w:right w:val="single" w:color="auto" w:sz="4" w:space="0"/>
            </w:tcBorders>
            <w:vAlign w:val="center"/>
          </w:tcPr>
          <w:p w14:paraId="0D2A1621">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报价说明可以接受（22.2）</w:t>
            </w:r>
          </w:p>
        </w:tc>
        <w:tc>
          <w:tcPr>
            <w:tcW w:w="4470" w:type="dxa"/>
            <w:tcBorders>
              <w:top w:val="single" w:color="auto" w:sz="4" w:space="0"/>
              <w:left w:val="nil"/>
              <w:bottom w:val="single" w:color="auto" w:sz="4" w:space="0"/>
              <w:right w:val="single" w:color="auto" w:sz="4" w:space="0"/>
            </w:tcBorders>
            <w:vAlign w:val="center"/>
          </w:tcPr>
          <w:p w14:paraId="1E6BC377">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sz w:val="24"/>
              </w:rPr>
              <w:t>供应商的报价明显低于其他通过符合性检查供应商的报价，有可能影响履约的，供应商能按照规定证明其报价合理性。</w:t>
            </w:r>
          </w:p>
        </w:tc>
        <w:tc>
          <w:tcPr>
            <w:tcW w:w="930" w:type="dxa"/>
            <w:tcBorders>
              <w:top w:val="single" w:color="auto" w:sz="4" w:space="0"/>
              <w:left w:val="nil"/>
              <w:bottom w:val="single" w:color="auto" w:sz="4" w:space="0"/>
              <w:right w:val="single" w:color="auto" w:sz="4" w:space="0"/>
            </w:tcBorders>
            <w:vAlign w:val="center"/>
          </w:tcPr>
          <w:p w14:paraId="09566F03">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855" w:type="dxa"/>
            <w:tcBorders>
              <w:top w:val="single" w:color="auto" w:sz="4" w:space="0"/>
              <w:left w:val="nil"/>
              <w:bottom w:val="single" w:color="auto" w:sz="4" w:space="0"/>
              <w:right w:val="single" w:color="auto" w:sz="4" w:space="0"/>
            </w:tcBorders>
            <w:vAlign w:val="center"/>
          </w:tcPr>
          <w:p w14:paraId="34E72C65">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990" w:type="dxa"/>
            <w:tcBorders>
              <w:top w:val="single" w:color="auto" w:sz="4" w:space="0"/>
              <w:left w:val="nil"/>
              <w:bottom w:val="single" w:color="auto" w:sz="4" w:space="0"/>
              <w:right w:val="single" w:color="auto" w:sz="4" w:space="0"/>
            </w:tcBorders>
            <w:vAlign w:val="center"/>
          </w:tcPr>
          <w:p w14:paraId="07F6D620">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r>
      <w:tr w14:paraId="16B9E86E">
        <w:tblPrEx>
          <w:tblCellMar>
            <w:top w:w="0" w:type="dxa"/>
            <w:left w:w="108" w:type="dxa"/>
            <w:bottom w:w="0" w:type="dxa"/>
            <w:right w:w="108" w:type="dxa"/>
          </w:tblCellMar>
        </w:tblPrEx>
        <w:trPr>
          <w:trHeight w:val="510" w:hRule="atLeast"/>
          <w:jc w:val="center"/>
        </w:trPr>
        <w:tc>
          <w:tcPr>
            <w:tcW w:w="2790" w:type="dxa"/>
            <w:tcBorders>
              <w:top w:val="single" w:color="auto" w:sz="4" w:space="0"/>
              <w:left w:val="single" w:color="auto" w:sz="4" w:space="0"/>
              <w:bottom w:val="single" w:color="auto" w:sz="4" w:space="0"/>
              <w:right w:val="single" w:color="auto" w:sz="4" w:space="0"/>
            </w:tcBorders>
            <w:vAlign w:val="center"/>
          </w:tcPr>
          <w:p w14:paraId="51957499">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sz w:val="24"/>
              </w:rPr>
              <w:t>无采购人不能接受的附加条件（22.2）</w:t>
            </w:r>
          </w:p>
        </w:tc>
        <w:tc>
          <w:tcPr>
            <w:tcW w:w="4470" w:type="dxa"/>
            <w:tcBorders>
              <w:top w:val="single" w:color="auto" w:sz="4" w:space="0"/>
              <w:left w:val="nil"/>
              <w:bottom w:val="single" w:color="auto" w:sz="4" w:space="0"/>
              <w:right w:val="single" w:color="auto" w:sz="4" w:space="0"/>
            </w:tcBorders>
            <w:vAlign w:val="center"/>
          </w:tcPr>
          <w:p w14:paraId="7BA338B7">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sz w:val="24"/>
              </w:rPr>
              <w:t>响应文件未含有采购人不能接受的附加条件。</w:t>
            </w:r>
          </w:p>
        </w:tc>
        <w:tc>
          <w:tcPr>
            <w:tcW w:w="930" w:type="dxa"/>
            <w:tcBorders>
              <w:top w:val="single" w:color="auto" w:sz="4" w:space="0"/>
              <w:left w:val="nil"/>
              <w:bottom w:val="single" w:color="auto" w:sz="4" w:space="0"/>
              <w:right w:val="single" w:color="auto" w:sz="4" w:space="0"/>
            </w:tcBorders>
            <w:vAlign w:val="center"/>
          </w:tcPr>
          <w:p w14:paraId="6606AAC8">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p>
        </w:tc>
        <w:tc>
          <w:tcPr>
            <w:tcW w:w="855" w:type="dxa"/>
            <w:tcBorders>
              <w:top w:val="single" w:color="auto" w:sz="4" w:space="0"/>
              <w:left w:val="nil"/>
              <w:bottom w:val="single" w:color="auto" w:sz="4" w:space="0"/>
              <w:right w:val="single" w:color="auto" w:sz="4" w:space="0"/>
            </w:tcBorders>
            <w:vAlign w:val="center"/>
          </w:tcPr>
          <w:p w14:paraId="0BE17EE4">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p>
        </w:tc>
        <w:tc>
          <w:tcPr>
            <w:tcW w:w="990" w:type="dxa"/>
            <w:tcBorders>
              <w:top w:val="single" w:color="auto" w:sz="4" w:space="0"/>
              <w:left w:val="nil"/>
              <w:bottom w:val="single" w:color="auto" w:sz="4" w:space="0"/>
              <w:right w:val="single" w:color="auto" w:sz="4" w:space="0"/>
            </w:tcBorders>
            <w:vAlign w:val="center"/>
          </w:tcPr>
          <w:p w14:paraId="1558EE48">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p>
        </w:tc>
      </w:tr>
      <w:tr w14:paraId="522A9E07">
        <w:tblPrEx>
          <w:tblCellMar>
            <w:top w:w="0" w:type="dxa"/>
            <w:left w:w="108" w:type="dxa"/>
            <w:bottom w:w="0" w:type="dxa"/>
            <w:right w:w="108" w:type="dxa"/>
          </w:tblCellMar>
        </w:tblPrEx>
        <w:trPr>
          <w:trHeight w:val="774" w:hRule="atLeast"/>
          <w:jc w:val="center"/>
        </w:trPr>
        <w:tc>
          <w:tcPr>
            <w:tcW w:w="7260" w:type="dxa"/>
            <w:gridSpan w:val="2"/>
            <w:tcBorders>
              <w:top w:val="single" w:color="auto" w:sz="4" w:space="0"/>
              <w:left w:val="single" w:color="auto" w:sz="4" w:space="0"/>
              <w:bottom w:val="single" w:color="auto" w:sz="4" w:space="0"/>
              <w:right w:val="single" w:color="auto" w:sz="4" w:space="0"/>
            </w:tcBorders>
            <w:vAlign w:val="center"/>
          </w:tcPr>
          <w:p w14:paraId="09549BAA">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b/>
                <w:color w:val="auto"/>
                <w:sz w:val="24"/>
              </w:rPr>
            </w:pPr>
            <w:r>
              <w:rPr>
                <w:rFonts w:hint="eastAsia" w:ascii="微软雅黑" w:hAnsi="微软雅黑" w:eastAsia="微软雅黑" w:cs="微软雅黑"/>
                <w:b/>
                <w:color w:val="auto"/>
                <w:kern w:val="0"/>
                <w:sz w:val="24"/>
              </w:rPr>
              <w:t>结论</w:t>
            </w:r>
          </w:p>
        </w:tc>
        <w:tc>
          <w:tcPr>
            <w:tcW w:w="930" w:type="dxa"/>
            <w:tcBorders>
              <w:top w:val="single" w:color="auto" w:sz="4" w:space="0"/>
              <w:left w:val="nil"/>
              <w:bottom w:val="single" w:color="auto" w:sz="4" w:space="0"/>
              <w:right w:val="single" w:color="auto" w:sz="4" w:space="0"/>
            </w:tcBorders>
            <w:vAlign w:val="center"/>
          </w:tcPr>
          <w:p w14:paraId="358D4C23">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p>
        </w:tc>
        <w:tc>
          <w:tcPr>
            <w:tcW w:w="855" w:type="dxa"/>
            <w:tcBorders>
              <w:top w:val="single" w:color="auto" w:sz="4" w:space="0"/>
              <w:left w:val="nil"/>
              <w:bottom w:val="single" w:color="auto" w:sz="4" w:space="0"/>
              <w:right w:val="single" w:color="auto" w:sz="4" w:space="0"/>
            </w:tcBorders>
            <w:vAlign w:val="center"/>
          </w:tcPr>
          <w:p w14:paraId="2DC3B281">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p>
        </w:tc>
        <w:tc>
          <w:tcPr>
            <w:tcW w:w="990" w:type="dxa"/>
            <w:tcBorders>
              <w:top w:val="single" w:color="auto" w:sz="4" w:space="0"/>
              <w:left w:val="nil"/>
              <w:bottom w:val="single" w:color="auto" w:sz="4" w:space="0"/>
              <w:right w:val="single" w:color="auto" w:sz="4" w:space="0"/>
            </w:tcBorders>
            <w:vAlign w:val="center"/>
          </w:tcPr>
          <w:p w14:paraId="40DD1889">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p>
        </w:tc>
      </w:tr>
    </w:tbl>
    <w:p w14:paraId="77235080">
      <w:pPr>
        <w:pStyle w:val="11"/>
        <w:snapToGrid w:val="0"/>
        <w:spacing w:before="0" w:line="360" w:lineRule="exact"/>
        <w:ind w:left="-181" w:leftChars="-86" w:firstLine="660" w:firstLineChars="275"/>
        <w:textAlignment w:val="baseline"/>
        <w:rPr>
          <w:rFonts w:ascii="微软雅黑" w:hAnsi="微软雅黑" w:eastAsia="微软雅黑" w:cs="微软雅黑"/>
          <w:color w:val="auto"/>
        </w:rPr>
      </w:pPr>
      <w:r>
        <w:rPr>
          <w:rFonts w:hint="eastAsia" w:ascii="微软雅黑" w:hAnsi="微软雅黑" w:eastAsia="微软雅黑" w:cs="微软雅黑"/>
          <w:color w:val="auto"/>
        </w:rPr>
        <w:br w:type="page"/>
      </w:r>
    </w:p>
    <w:tbl>
      <w:tblPr>
        <w:tblStyle w:val="37"/>
        <w:tblW w:w="10020" w:type="dxa"/>
        <w:jc w:val="center"/>
        <w:tblLayout w:type="fixed"/>
        <w:tblCellMar>
          <w:top w:w="0" w:type="dxa"/>
          <w:left w:w="108" w:type="dxa"/>
          <w:bottom w:w="0" w:type="dxa"/>
          <w:right w:w="108" w:type="dxa"/>
        </w:tblCellMar>
      </w:tblPr>
      <w:tblGrid>
        <w:gridCol w:w="2730"/>
        <w:gridCol w:w="2295"/>
        <w:gridCol w:w="1575"/>
        <w:gridCol w:w="1845"/>
        <w:gridCol w:w="1575"/>
      </w:tblGrid>
      <w:tr w14:paraId="1D60AAED">
        <w:tblPrEx>
          <w:tblCellMar>
            <w:top w:w="0" w:type="dxa"/>
            <w:left w:w="108" w:type="dxa"/>
            <w:bottom w:w="0" w:type="dxa"/>
            <w:right w:w="108" w:type="dxa"/>
          </w:tblCellMar>
        </w:tblPrEx>
        <w:trPr>
          <w:trHeight w:val="585" w:hRule="atLeast"/>
          <w:jc w:val="center"/>
        </w:trPr>
        <w:tc>
          <w:tcPr>
            <w:tcW w:w="10020" w:type="dxa"/>
            <w:gridSpan w:val="5"/>
            <w:tcBorders>
              <w:top w:val="nil"/>
              <w:left w:val="nil"/>
              <w:bottom w:val="single" w:color="auto" w:sz="4" w:space="0"/>
              <w:right w:val="nil"/>
            </w:tcBorders>
            <w:vAlign w:val="center"/>
          </w:tcPr>
          <w:p w14:paraId="20B2698E">
            <w:pPr>
              <w:widowControl/>
              <w:snapToGrid w:val="0"/>
              <w:spacing w:line="360" w:lineRule="exact"/>
              <w:jc w:val="center"/>
              <w:textAlignment w:val="baseline"/>
              <w:rPr>
                <w:rFonts w:ascii="微软雅黑" w:hAnsi="微软雅黑" w:eastAsia="微软雅黑" w:cs="微软雅黑"/>
                <w:b/>
                <w:bCs/>
                <w:color w:val="auto"/>
                <w:kern w:val="0"/>
                <w:sz w:val="24"/>
              </w:rPr>
            </w:pPr>
            <w:r>
              <w:rPr>
                <w:rFonts w:hint="eastAsia" w:ascii="微软雅黑" w:hAnsi="微软雅黑" w:eastAsia="微软雅黑" w:cs="微软雅黑"/>
                <w:b/>
                <w:bCs/>
                <w:color w:val="auto"/>
                <w:kern w:val="0"/>
                <w:sz w:val="24"/>
              </w:rPr>
              <w:t>技术符合性审查表</w:t>
            </w:r>
          </w:p>
        </w:tc>
      </w:tr>
      <w:tr w14:paraId="2AE7B5DE">
        <w:tblPrEx>
          <w:tblCellMar>
            <w:top w:w="0" w:type="dxa"/>
            <w:left w:w="108" w:type="dxa"/>
            <w:bottom w:w="0" w:type="dxa"/>
            <w:right w:w="108" w:type="dxa"/>
          </w:tblCellMar>
        </w:tblPrEx>
        <w:trPr>
          <w:trHeight w:val="390" w:hRule="atLeast"/>
          <w:jc w:val="center"/>
        </w:trPr>
        <w:tc>
          <w:tcPr>
            <w:tcW w:w="5025" w:type="dxa"/>
            <w:gridSpan w:val="2"/>
            <w:vMerge w:val="restart"/>
            <w:tcBorders>
              <w:top w:val="single" w:color="auto" w:sz="4" w:space="0"/>
              <w:left w:val="single" w:color="auto" w:sz="4" w:space="0"/>
              <w:bottom w:val="single" w:color="000000" w:sz="4" w:space="0"/>
              <w:right w:val="single" w:color="000000" w:sz="4" w:space="0"/>
            </w:tcBorders>
            <w:vAlign w:val="center"/>
          </w:tcPr>
          <w:p w14:paraId="15A7E655">
            <w:pPr>
              <w:widowControl/>
              <w:snapToGrid w:val="0"/>
              <w:spacing w:line="36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审查事项</w:t>
            </w:r>
          </w:p>
        </w:tc>
        <w:tc>
          <w:tcPr>
            <w:tcW w:w="1575" w:type="dxa"/>
            <w:tcBorders>
              <w:top w:val="nil"/>
              <w:left w:val="nil"/>
              <w:bottom w:val="single" w:color="auto" w:sz="4" w:space="0"/>
              <w:right w:val="single" w:color="auto" w:sz="4" w:space="0"/>
            </w:tcBorders>
            <w:vAlign w:val="center"/>
          </w:tcPr>
          <w:p w14:paraId="0F0B6B8B">
            <w:pPr>
              <w:widowControl/>
              <w:snapToGrid w:val="0"/>
              <w:spacing w:line="36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供应商名称</w:t>
            </w:r>
          </w:p>
        </w:tc>
        <w:tc>
          <w:tcPr>
            <w:tcW w:w="1845" w:type="dxa"/>
            <w:tcBorders>
              <w:top w:val="nil"/>
              <w:left w:val="nil"/>
              <w:bottom w:val="single" w:color="auto" w:sz="4" w:space="0"/>
              <w:right w:val="single" w:color="auto" w:sz="4" w:space="0"/>
            </w:tcBorders>
            <w:vAlign w:val="center"/>
          </w:tcPr>
          <w:p w14:paraId="3BA4FADF">
            <w:pPr>
              <w:widowControl/>
              <w:snapToGrid w:val="0"/>
              <w:spacing w:line="36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供应商名称</w:t>
            </w:r>
          </w:p>
        </w:tc>
        <w:tc>
          <w:tcPr>
            <w:tcW w:w="1575" w:type="dxa"/>
            <w:tcBorders>
              <w:top w:val="nil"/>
              <w:left w:val="nil"/>
              <w:bottom w:val="single" w:color="auto" w:sz="4" w:space="0"/>
              <w:right w:val="single" w:color="auto" w:sz="4" w:space="0"/>
            </w:tcBorders>
            <w:vAlign w:val="center"/>
          </w:tcPr>
          <w:p w14:paraId="39387625">
            <w:pPr>
              <w:widowControl/>
              <w:snapToGrid w:val="0"/>
              <w:spacing w:line="36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供应商名称</w:t>
            </w:r>
          </w:p>
        </w:tc>
      </w:tr>
      <w:tr w14:paraId="133D2DD8">
        <w:tblPrEx>
          <w:tblCellMar>
            <w:top w:w="0" w:type="dxa"/>
            <w:left w:w="108" w:type="dxa"/>
            <w:bottom w:w="0" w:type="dxa"/>
            <w:right w:w="108" w:type="dxa"/>
          </w:tblCellMar>
        </w:tblPrEx>
        <w:trPr>
          <w:trHeight w:val="570" w:hRule="atLeast"/>
          <w:jc w:val="center"/>
        </w:trPr>
        <w:tc>
          <w:tcPr>
            <w:tcW w:w="5025" w:type="dxa"/>
            <w:gridSpan w:val="2"/>
            <w:vMerge w:val="continue"/>
            <w:tcBorders>
              <w:top w:val="single" w:color="auto" w:sz="4" w:space="0"/>
              <w:left w:val="single" w:color="auto" w:sz="4" w:space="0"/>
              <w:bottom w:val="single" w:color="000000" w:sz="4" w:space="0"/>
              <w:right w:val="single" w:color="000000" w:sz="4" w:space="0"/>
            </w:tcBorders>
            <w:vAlign w:val="center"/>
          </w:tcPr>
          <w:p w14:paraId="5E782FA5">
            <w:pPr>
              <w:widowControl/>
              <w:snapToGrid w:val="0"/>
              <w:spacing w:line="360" w:lineRule="exact"/>
              <w:jc w:val="left"/>
              <w:textAlignment w:val="baseline"/>
              <w:rPr>
                <w:rFonts w:ascii="微软雅黑" w:hAnsi="微软雅黑" w:eastAsia="微软雅黑" w:cs="微软雅黑"/>
                <w:color w:val="auto"/>
                <w:kern w:val="0"/>
                <w:sz w:val="24"/>
              </w:rPr>
            </w:pPr>
          </w:p>
        </w:tc>
        <w:tc>
          <w:tcPr>
            <w:tcW w:w="1575" w:type="dxa"/>
            <w:tcBorders>
              <w:top w:val="nil"/>
              <w:left w:val="nil"/>
              <w:bottom w:val="single" w:color="auto" w:sz="4" w:space="0"/>
              <w:right w:val="single" w:color="auto" w:sz="4" w:space="0"/>
            </w:tcBorders>
            <w:vAlign w:val="center"/>
          </w:tcPr>
          <w:p w14:paraId="10553D8F">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845" w:type="dxa"/>
            <w:tcBorders>
              <w:top w:val="nil"/>
              <w:left w:val="nil"/>
              <w:bottom w:val="single" w:color="auto" w:sz="4" w:space="0"/>
              <w:right w:val="single" w:color="auto" w:sz="4" w:space="0"/>
            </w:tcBorders>
            <w:vAlign w:val="center"/>
          </w:tcPr>
          <w:p w14:paraId="4EBCC20C">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575" w:type="dxa"/>
            <w:tcBorders>
              <w:top w:val="nil"/>
              <w:left w:val="nil"/>
              <w:bottom w:val="single" w:color="auto" w:sz="4" w:space="0"/>
              <w:right w:val="single" w:color="auto" w:sz="4" w:space="0"/>
            </w:tcBorders>
            <w:vAlign w:val="center"/>
          </w:tcPr>
          <w:p w14:paraId="0BA3A801">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r>
      <w:tr w14:paraId="49D04E5F">
        <w:tblPrEx>
          <w:tblCellMar>
            <w:top w:w="0" w:type="dxa"/>
            <w:left w:w="108" w:type="dxa"/>
            <w:bottom w:w="0" w:type="dxa"/>
            <w:right w:w="108" w:type="dxa"/>
          </w:tblCellMar>
        </w:tblPrEx>
        <w:trPr>
          <w:trHeight w:val="570" w:hRule="atLeast"/>
          <w:jc w:val="center"/>
        </w:trPr>
        <w:tc>
          <w:tcPr>
            <w:tcW w:w="2730" w:type="dxa"/>
            <w:tcBorders>
              <w:top w:val="nil"/>
              <w:left w:val="single" w:color="auto" w:sz="4" w:space="0"/>
              <w:bottom w:val="single" w:color="auto" w:sz="4" w:space="0"/>
              <w:right w:val="single" w:color="auto" w:sz="4" w:space="0"/>
            </w:tcBorders>
            <w:vAlign w:val="center"/>
          </w:tcPr>
          <w:p w14:paraId="63339CF5">
            <w:pPr>
              <w:widowControl/>
              <w:snapToGrid w:val="0"/>
              <w:spacing w:line="36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磋商文件要求</w:t>
            </w:r>
          </w:p>
        </w:tc>
        <w:tc>
          <w:tcPr>
            <w:tcW w:w="2295" w:type="dxa"/>
            <w:tcBorders>
              <w:top w:val="nil"/>
              <w:left w:val="nil"/>
              <w:bottom w:val="single" w:color="auto" w:sz="4" w:space="0"/>
              <w:right w:val="single" w:color="auto" w:sz="4" w:space="0"/>
            </w:tcBorders>
            <w:vAlign w:val="center"/>
          </w:tcPr>
          <w:p w14:paraId="67BBD288">
            <w:pPr>
              <w:widowControl/>
              <w:snapToGrid w:val="0"/>
              <w:spacing w:line="36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条款号</w:t>
            </w:r>
          </w:p>
        </w:tc>
        <w:tc>
          <w:tcPr>
            <w:tcW w:w="1575" w:type="dxa"/>
            <w:tcBorders>
              <w:top w:val="nil"/>
              <w:left w:val="nil"/>
              <w:bottom w:val="single" w:color="auto" w:sz="4" w:space="0"/>
              <w:right w:val="single" w:color="auto" w:sz="4" w:space="0"/>
            </w:tcBorders>
            <w:vAlign w:val="center"/>
          </w:tcPr>
          <w:p w14:paraId="73A7CE35">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845" w:type="dxa"/>
            <w:tcBorders>
              <w:top w:val="nil"/>
              <w:left w:val="nil"/>
              <w:bottom w:val="single" w:color="auto" w:sz="4" w:space="0"/>
              <w:right w:val="single" w:color="auto" w:sz="4" w:space="0"/>
            </w:tcBorders>
            <w:vAlign w:val="center"/>
          </w:tcPr>
          <w:p w14:paraId="2C9ED0CB">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575" w:type="dxa"/>
            <w:tcBorders>
              <w:top w:val="nil"/>
              <w:left w:val="nil"/>
              <w:bottom w:val="single" w:color="auto" w:sz="4" w:space="0"/>
              <w:right w:val="single" w:color="auto" w:sz="4" w:space="0"/>
            </w:tcBorders>
            <w:vAlign w:val="center"/>
          </w:tcPr>
          <w:p w14:paraId="6DD246F1">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r>
      <w:tr w14:paraId="62D736B4">
        <w:tblPrEx>
          <w:tblCellMar>
            <w:top w:w="0" w:type="dxa"/>
            <w:left w:w="108" w:type="dxa"/>
            <w:bottom w:w="0" w:type="dxa"/>
            <w:right w:w="108" w:type="dxa"/>
          </w:tblCellMar>
        </w:tblPrEx>
        <w:trPr>
          <w:trHeight w:val="570" w:hRule="atLeast"/>
          <w:jc w:val="center"/>
        </w:trPr>
        <w:tc>
          <w:tcPr>
            <w:tcW w:w="2730" w:type="dxa"/>
            <w:tcBorders>
              <w:top w:val="nil"/>
              <w:left w:val="single" w:color="auto" w:sz="4" w:space="0"/>
              <w:bottom w:val="single" w:color="auto" w:sz="4" w:space="0"/>
              <w:right w:val="single" w:color="auto" w:sz="4" w:space="0"/>
            </w:tcBorders>
            <w:vAlign w:val="center"/>
          </w:tcPr>
          <w:p w14:paraId="110B2570">
            <w:pPr>
              <w:widowControl/>
              <w:snapToGrid w:val="0"/>
              <w:spacing w:line="36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lang w:eastAsia="zh-CN"/>
              </w:rPr>
              <w:t>服务需求</w:t>
            </w:r>
            <w:r>
              <w:rPr>
                <w:rFonts w:hint="eastAsia" w:ascii="微软雅黑" w:hAnsi="微软雅黑" w:eastAsia="微软雅黑" w:cs="微软雅黑"/>
                <w:color w:val="auto"/>
                <w:kern w:val="0"/>
                <w:sz w:val="24"/>
              </w:rPr>
              <w:t>一览表</w:t>
            </w:r>
          </w:p>
        </w:tc>
        <w:tc>
          <w:tcPr>
            <w:tcW w:w="2295" w:type="dxa"/>
            <w:tcBorders>
              <w:top w:val="nil"/>
              <w:left w:val="nil"/>
              <w:bottom w:val="single" w:color="auto" w:sz="4" w:space="0"/>
              <w:right w:val="single" w:color="auto" w:sz="4" w:space="0"/>
            </w:tcBorders>
            <w:vAlign w:val="center"/>
          </w:tcPr>
          <w:p w14:paraId="610B333C">
            <w:pPr>
              <w:widowControl/>
              <w:snapToGrid w:val="0"/>
              <w:spacing w:line="36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第5章</w:t>
            </w:r>
          </w:p>
        </w:tc>
        <w:tc>
          <w:tcPr>
            <w:tcW w:w="1575" w:type="dxa"/>
            <w:tcBorders>
              <w:top w:val="nil"/>
              <w:left w:val="nil"/>
              <w:bottom w:val="single" w:color="auto" w:sz="4" w:space="0"/>
              <w:right w:val="single" w:color="auto" w:sz="4" w:space="0"/>
            </w:tcBorders>
            <w:vAlign w:val="center"/>
          </w:tcPr>
          <w:p w14:paraId="6DE777C3">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845" w:type="dxa"/>
            <w:tcBorders>
              <w:top w:val="nil"/>
              <w:left w:val="nil"/>
              <w:bottom w:val="single" w:color="auto" w:sz="4" w:space="0"/>
              <w:right w:val="single" w:color="auto" w:sz="4" w:space="0"/>
            </w:tcBorders>
            <w:vAlign w:val="center"/>
          </w:tcPr>
          <w:p w14:paraId="5E37EAF9">
            <w:pPr>
              <w:widowControl/>
              <w:snapToGrid w:val="0"/>
              <w:spacing w:line="360" w:lineRule="exact"/>
              <w:jc w:val="left"/>
              <w:textAlignment w:val="baseline"/>
              <w:rPr>
                <w:rFonts w:ascii="微软雅黑" w:hAnsi="微软雅黑" w:eastAsia="微软雅黑" w:cs="微软雅黑"/>
                <w:b/>
                <w:bCs/>
                <w:color w:val="auto"/>
                <w:kern w:val="0"/>
                <w:sz w:val="24"/>
              </w:rPr>
            </w:pPr>
            <w:r>
              <w:rPr>
                <w:rFonts w:hint="eastAsia" w:ascii="微软雅黑" w:hAnsi="微软雅黑" w:eastAsia="微软雅黑" w:cs="微软雅黑"/>
                <w:b/>
                <w:bCs/>
                <w:color w:val="auto"/>
                <w:kern w:val="0"/>
                <w:sz w:val="24"/>
              </w:rPr>
              <w:t>　</w:t>
            </w:r>
          </w:p>
        </w:tc>
        <w:tc>
          <w:tcPr>
            <w:tcW w:w="1575" w:type="dxa"/>
            <w:tcBorders>
              <w:top w:val="nil"/>
              <w:left w:val="nil"/>
              <w:bottom w:val="single" w:color="auto" w:sz="4" w:space="0"/>
              <w:right w:val="single" w:color="auto" w:sz="4" w:space="0"/>
            </w:tcBorders>
            <w:vAlign w:val="center"/>
          </w:tcPr>
          <w:p w14:paraId="0E4A8CF5">
            <w:pPr>
              <w:widowControl/>
              <w:snapToGrid w:val="0"/>
              <w:spacing w:line="360" w:lineRule="exact"/>
              <w:jc w:val="left"/>
              <w:textAlignment w:val="baseline"/>
              <w:rPr>
                <w:rFonts w:ascii="微软雅黑" w:hAnsi="微软雅黑" w:eastAsia="微软雅黑" w:cs="微软雅黑"/>
                <w:b/>
                <w:bCs/>
                <w:color w:val="auto"/>
                <w:kern w:val="0"/>
                <w:sz w:val="24"/>
              </w:rPr>
            </w:pPr>
            <w:r>
              <w:rPr>
                <w:rFonts w:hint="eastAsia" w:ascii="微软雅黑" w:hAnsi="微软雅黑" w:eastAsia="微软雅黑" w:cs="微软雅黑"/>
                <w:b/>
                <w:bCs/>
                <w:color w:val="auto"/>
                <w:kern w:val="0"/>
                <w:sz w:val="24"/>
              </w:rPr>
              <w:t>　</w:t>
            </w:r>
          </w:p>
        </w:tc>
      </w:tr>
      <w:tr w14:paraId="3CB8983D">
        <w:tblPrEx>
          <w:tblCellMar>
            <w:top w:w="0" w:type="dxa"/>
            <w:left w:w="108" w:type="dxa"/>
            <w:bottom w:w="0" w:type="dxa"/>
            <w:right w:w="108" w:type="dxa"/>
          </w:tblCellMar>
        </w:tblPrEx>
        <w:trPr>
          <w:trHeight w:val="570" w:hRule="atLeast"/>
          <w:jc w:val="center"/>
        </w:trPr>
        <w:tc>
          <w:tcPr>
            <w:tcW w:w="2730" w:type="dxa"/>
            <w:tcBorders>
              <w:top w:val="nil"/>
              <w:left w:val="single" w:color="auto" w:sz="4" w:space="0"/>
              <w:bottom w:val="single" w:color="auto" w:sz="4" w:space="0"/>
              <w:right w:val="single" w:color="auto" w:sz="4" w:space="0"/>
            </w:tcBorders>
            <w:vAlign w:val="center"/>
          </w:tcPr>
          <w:p w14:paraId="563210D1">
            <w:pPr>
              <w:widowControl/>
              <w:snapToGrid w:val="0"/>
              <w:spacing w:line="360" w:lineRule="exact"/>
              <w:jc w:val="center"/>
              <w:textAlignment w:val="baseline"/>
              <w:rPr>
                <w:rFonts w:ascii="微软雅黑" w:hAnsi="微软雅黑" w:eastAsia="微软雅黑" w:cs="微软雅黑"/>
                <w:color w:val="auto"/>
                <w:kern w:val="0"/>
                <w:sz w:val="24"/>
              </w:rPr>
            </w:pPr>
          </w:p>
        </w:tc>
        <w:tc>
          <w:tcPr>
            <w:tcW w:w="2295" w:type="dxa"/>
            <w:tcBorders>
              <w:top w:val="nil"/>
              <w:left w:val="nil"/>
              <w:bottom w:val="single" w:color="auto" w:sz="4" w:space="0"/>
              <w:right w:val="single" w:color="auto" w:sz="4" w:space="0"/>
            </w:tcBorders>
            <w:vAlign w:val="center"/>
          </w:tcPr>
          <w:p w14:paraId="23D05AD3">
            <w:pPr>
              <w:widowControl/>
              <w:snapToGrid w:val="0"/>
              <w:spacing w:line="360" w:lineRule="exact"/>
              <w:jc w:val="center"/>
              <w:textAlignment w:val="baseline"/>
              <w:rPr>
                <w:rFonts w:ascii="微软雅黑" w:hAnsi="微软雅黑" w:eastAsia="微软雅黑" w:cs="微软雅黑"/>
                <w:color w:val="auto"/>
                <w:kern w:val="0"/>
                <w:sz w:val="24"/>
              </w:rPr>
            </w:pPr>
          </w:p>
        </w:tc>
        <w:tc>
          <w:tcPr>
            <w:tcW w:w="1575" w:type="dxa"/>
            <w:tcBorders>
              <w:top w:val="nil"/>
              <w:left w:val="nil"/>
              <w:bottom w:val="single" w:color="auto" w:sz="4" w:space="0"/>
              <w:right w:val="single" w:color="auto" w:sz="4" w:space="0"/>
            </w:tcBorders>
            <w:vAlign w:val="center"/>
          </w:tcPr>
          <w:p w14:paraId="53AEE198">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845" w:type="dxa"/>
            <w:tcBorders>
              <w:top w:val="nil"/>
              <w:left w:val="nil"/>
              <w:bottom w:val="single" w:color="auto" w:sz="4" w:space="0"/>
              <w:right w:val="single" w:color="auto" w:sz="4" w:space="0"/>
            </w:tcBorders>
            <w:vAlign w:val="center"/>
          </w:tcPr>
          <w:p w14:paraId="3F4895E9">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575" w:type="dxa"/>
            <w:tcBorders>
              <w:top w:val="nil"/>
              <w:left w:val="nil"/>
              <w:bottom w:val="single" w:color="auto" w:sz="4" w:space="0"/>
              <w:right w:val="single" w:color="auto" w:sz="4" w:space="0"/>
            </w:tcBorders>
            <w:vAlign w:val="center"/>
          </w:tcPr>
          <w:p w14:paraId="3F497C93">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r>
      <w:tr w14:paraId="1504DB8F">
        <w:tblPrEx>
          <w:tblCellMar>
            <w:top w:w="0" w:type="dxa"/>
            <w:left w:w="108" w:type="dxa"/>
            <w:bottom w:w="0" w:type="dxa"/>
            <w:right w:w="108" w:type="dxa"/>
          </w:tblCellMar>
        </w:tblPrEx>
        <w:trPr>
          <w:trHeight w:val="570" w:hRule="atLeast"/>
          <w:jc w:val="center"/>
        </w:trPr>
        <w:tc>
          <w:tcPr>
            <w:tcW w:w="2730" w:type="dxa"/>
            <w:tcBorders>
              <w:top w:val="nil"/>
              <w:left w:val="single" w:color="auto" w:sz="4" w:space="0"/>
              <w:bottom w:val="single" w:color="auto" w:sz="4" w:space="0"/>
              <w:right w:val="single" w:color="auto" w:sz="4" w:space="0"/>
            </w:tcBorders>
            <w:vAlign w:val="center"/>
          </w:tcPr>
          <w:p w14:paraId="4D711AC4">
            <w:pPr>
              <w:widowControl/>
              <w:snapToGrid w:val="0"/>
              <w:spacing w:line="360" w:lineRule="exact"/>
              <w:jc w:val="center"/>
              <w:textAlignment w:val="baseline"/>
              <w:rPr>
                <w:rFonts w:ascii="微软雅黑" w:hAnsi="微软雅黑" w:eastAsia="微软雅黑" w:cs="微软雅黑"/>
                <w:color w:val="auto"/>
                <w:kern w:val="0"/>
                <w:sz w:val="24"/>
              </w:rPr>
            </w:pPr>
          </w:p>
        </w:tc>
        <w:tc>
          <w:tcPr>
            <w:tcW w:w="2295" w:type="dxa"/>
            <w:tcBorders>
              <w:top w:val="nil"/>
              <w:left w:val="nil"/>
              <w:bottom w:val="single" w:color="auto" w:sz="4" w:space="0"/>
              <w:right w:val="single" w:color="auto" w:sz="4" w:space="0"/>
            </w:tcBorders>
            <w:vAlign w:val="center"/>
          </w:tcPr>
          <w:p w14:paraId="062E3661">
            <w:pPr>
              <w:widowControl/>
              <w:snapToGrid w:val="0"/>
              <w:spacing w:line="360" w:lineRule="exact"/>
              <w:jc w:val="center"/>
              <w:textAlignment w:val="baseline"/>
              <w:rPr>
                <w:rFonts w:ascii="微软雅黑" w:hAnsi="微软雅黑" w:eastAsia="微软雅黑" w:cs="微软雅黑"/>
                <w:color w:val="auto"/>
                <w:kern w:val="0"/>
                <w:sz w:val="24"/>
              </w:rPr>
            </w:pPr>
          </w:p>
        </w:tc>
        <w:tc>
          <w:tcPr>
            <w:tcW w:w="1575" w:type="dxa"/>
            <w:tcBorders>
              <w:top w:val="nil"/>
              <w:left w:val="nil"/>
              <w:bottom w:val="single" w:color="auto" w:sz="4" w:space="0"/>
              <w:right w:val="single" w:color="auto" w:sz="4" w:space="0"/>
            </w:tcBorders>
            <w:vAlign w:val="center"/>
          </w:tcPr>
          <w:p w14:paraId="3A5A6451">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845" w:type="dxa"/>
            <w:tcBorders>
              <w:top w:val="nil"/>
              <w:left w:val="nil"/>
              <w:bottom w:val="single" w:color="auto" w:sz="4" w:space="0"/>
              <w:right w:val="single" w:color="auto" w:sz="4" w:space="0"/>
            </w:tcBorders>
            <w:vAlign w:val="center"/>
          </w:tcPr>
          <w:p w14:paraId="30ADE965">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575" w:type="dxa"/>
            <w:tcBorders>
              <w:top w:val="nil"/>
              <w:left w:val="nil"/>
              <w:bottom w:val="single" w:color="auto" w:sz="4" w:space="0"/>
              <w:right w:val="single" w:color="auto" w:sz="4" w:space="0"/>
            </w:tcBorders>
            <w:vAlign w:val="center"/>
          </w:tcPr>
          <w:p w14:paraId="151315F3">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r>
      <w:tr w14:paraId="692CE7A8">
        <w:tblPrEx>
          <w:tblCellMar>
            <w:top w:w="0" w:type="dxa"/>
            <w:left w:w="108" w:type="dxa"/>
            <w:bottom w:w="0" w:type="dxa"/>
            <w:right w:w="108" w:type="dxa"/>
          </w:tblCellMar>
        </w:tblPrEx>
        <w:trPr>
          <w:trHeight w:val="570" w:hRule="atLeast"/>
          <w:jc w:val="center"/>
        </w:trPr>
        <w:tc>
          <w:tcPr>
            <w:tcW w:w="2730" w:type="dxa"/>
            <w:tcBorders>
              <w:top w:val="nil"/>
              <w:left w:val="single" w:color="auto" w:sz="4" w:space="0"/>
              <w:bottom w:val="nil"/>
              <w:right w:val="single" w:color="auto" w:sz="4" w:space="0"/>
            </w:tcBorders>
            <w:vAlign w:val="center"/>
          </w:tcPr>
          <w:p w14:paraId="32A2AF3A">
            <w:pPr>
              <w:widowControl/>
              <w:snapToGrid w:val="0"/>
              <w:spacing w:line="360" w:lineRule="exact"/>
              <w:jc w:val="center"/>
              <w:textAlignment w:val="baseline"/>
              <w:rPr>
                <w:rFonts w:ascii="微软雅黑" w:hAnsi="微软雅黑" w:eastAsia="微软雅黑" w:cs="微软雅黑"/>
                <w:color w:val="auto"/>
                <w:kern w:val="0"/>
                <w:sz w:val="24"/>
              </w:rPr>
            </w:pPr>
          </w:p>
        </w:tc>
        <w:tc>
          <w:tcPr>
            <w:tcW w:w="2295" w:type="dxa"/>
            <w:tcBorders>
              <w:top w:val="nil"/>
              <w:left w:val="nil"/>
              <w:bottom w:val="nil"/>
              <w:right w:val="single" w:color="auto" w:sz="4" w:space="0"/>
            </w:tcBorders>
            <w:vAlign w:val="center"/>
          </w:tcPr>
          <w:p w14:paraId="37E10D72">
            <w:pPr>
              <w:widowControl/>
              <w:snapToGrid w:val="0"/>
              <w:spacing w:line="360" w:lineRule="exact"/>
              <w:jc w:val="center"/>
              <w:textAlignment w:val="baseline"/>
              <w:rPr>
                <w:rFonts w:ascii="微软雅黑" w:hAnsi="微软雅黑" w:eastAsia="微软雅黑" w:cs="微软雅黑"/>
                <w:color w:val="auto"/>
                <w:kern w:val="0"/>
                <w:sz w:val="24"/>
              </w:rPr>
            </w:pPr>
          </w:p>
        </w:tc>
        <w:tc>
          <w:tcPr>
            <w:tcW w:w="1575" w:type="dxa"/>
            <w:tcBorders>
              <w:top w:val="nil"/>
              <w:left w:val="nil"/>
              <w:bottom w:val="nil"/>
              <w:right w:val="single" w:color="auto" w:sz="4" w:space="0"/>
            </w:tcBorders>
            <w:vAlign w:val="center"/>
          </w:tcPr>
          <w:p w14:paraId="62F4C08D">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845" w:type="dxa"/>
            <w:tcBorders>
              <w:top w:val="nil"/>
              <w:left w:val="nil"/>
              <w:bottom w:val="nil"/>
              <w:right w:val="single" w:color="auto" w:sz="4" w:space="0"/>
            </w:tcBorders>
            <w:vAlign w:val="center"/>
          </w:tcPr>
          <w:p w14:paraId="78801385">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575" w:type="dxa"/>
            <w:tcBorders>
              <w:top w:val="nil"/>
              <w:left w:val="nil"/>
              <w:bottom w:val="nil"/>
              <w:right w:val="single" w:color="auto" w:sz="4" w:space="0"/>
            </w:tcBorders>
            <w:vAlign w:val="center"/>
          </w:tcPr>
          <w:p w14:paraId="285F7561">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r>
      <w:tr w14:paraId="02621410">
        <w:tblPrEx>
          <w:tblCellMar>
            <w:top w:w="0" w:type="dxa"/>
            <w:left w:w="108" w:type="dxa"/>
            <w:bottom w:w="0" w:type="dxa"/>
            <w:right w:w="108" w:type="dxa"/>
          </w:tblCellMar>
        </w:tblPrEx>
        <w:trPr>
          <w:trHeight w:val="570" w:hRule="atLeast"/>
          <w:jc w:val="center"/>
        </w:trPr>
        <w:tc>
          <w:tcPr>
            <w:tcW w:w="2730" w:type="dxa"/>
            <w:tcBorders>
              <w:top w:val="single" w:color="auto" w:sz="4" w:space="0"/>
              <w:left w:val="single" w:color="auto" w:sz="4" w:space="0"/>
              <w:bottom w:val="single" w:color="auto" w:sz="4" w:space="0"/>
              <w:right w:val="single" w:color="auto" w:sz="4" w:space="0"/>
            </w:tcBorders>
            <w:vAlign w:val="center"/>
          </w:tcPr>
          <w:p w14:paraId="2449ABD2">
            <w:pPr>
              <w:widowControl/>
              <w:snapToGrid w:val="0"/>
              <w:spacing w:line="360" w:lineRule="exact"/>
              <w:jc w:val="center"/>
              <w:textAlignment w:val="baseline"/>
              <w:rPr>
                <w:rFonts w:ascii="微软雅黑" w:hAnsi="微软雅黑" w:eastAsia="微软雅黑" w:cs="微软雅黑"/>
                <w:color w:val="auto"/>
                <w:kern w:val="0"/>
                <w:sz w:val="24"/>
              </w:rPr>
            </w:pPr>
          </w:p>
        </w:tc>
        <w:tc>
          <w:tcPr>
            <w:tcW w:w="2295" w:type="dxa"/>
            <w:tcBorders>
              <w:top w:val="single" w:color="auto" w:sz="4" w:space="0"/>
              <w:left w:val="nil"/>
              <w:bottom w:val="single" w:color="auto" w:sz="4" w:space="0"/>
              <w:right w:val="single" w:color="auto" w:sz="4" w:space="0"/>
            </w:tcBorders>
            <w:vAlign w:val="center"/>
          </w:tcPr>
          <w:p w14:paraId="18B55CA6">
            <w:pPr>
              <w:widowControl/>
              <w:snapToGrid w:val="0"/>
              <w:spacing w:line="360" w:lineRule="exact"/>
              <w:jc w:val="center"/>
              <w:textAlignment w:val="baseline"/>
              <w:rPr>
                <w:rFonts w:ascii="微软雅黑" w:hAnsi="微软雅黑" w:eastAsia="微软雅黑" w:cs="微软雅黑"/>
                <w:color w:val="auto"/>
                <w:kern w:val="0"/>
                <w:sz w:val="24"/>
              </w:rPr>
            </w:pPr>
          </w:p>
        </w:tc>
        <w:tc>
          <w:tcPr>
            <w:tcW w:w="1575" w:type="dxa"/>
            <w:tcBorders>
              <w:top w:val="single" w:color="auto" w:sz="4" w:space="0"/>
              <w:left w:val="nil"/>
              <w:bottom w:val="single" w:color="auto" w:sz="4" w:space="0"/>
              <w:right w:val="single" w:color="auto" w:sz="4" w:space="0"/>
            </w:tcBorders>
            <w:vAlign w:val="center"/>
          </w:tcPr>
          <w:p w14:paraId="6EE5B3D4">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845" w:type="dxa"/>
            <w:tcBorders>
              <w:top w:val="single" w:color="auto" w:sz="4" w:space="0"/>
              <w:left w:val="nil"/>
              <w:bottom w:val="single" w:color="auto" w:sz="4" w:space="0"/>
              <w:right w:val="single" w:color="auto" w:sz="4" w:space="0"/>
            </w:tcBorders>
            <w:vAlign w:val="center"/>
          </w:tcPr>
          <w:p w14:paraId="3E159142">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575" w:type="dxa"/>
            <w:tcBorders>
              <w:top w:val="single" w:color="auto" w:sz="4" w:space="0"/>
              <w:left w:val="nil"/>
              <w:bottom w:val="single" w:color="auto" w:sz="4" w:space="0"/>
              <w:right w:val="single" w:color="auto" w:sz="4" w:space="0"/>
            </w:tcBorders>
            <w:vAlign w:val="center"/>
          </w:tcPr>
          <w:p w14:paraId="498525E0">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r>
      <w:tr w14:paraId="04ECAC8F">
        <w:tblPrEx>
          <w:tblCellMar>
            <w:top w:w="0" w:type="dxa"/>
            <w:left w:w="108" w:type="dxa"/>
            <w:bottom w:w="0" w:type="dxa"/>
            <w:right w:w="108" w:type="dxa"/>
          </w:tblCellMar>
        </w:tblPrEx>
        <w:trPr>
          <w:trHeight w:val="558" w:hRule="atLeast"/>
          <w:jc w:val="center"/>
        </w:trPr>
        <w:tc>
          <w:tcPr>
            <w:tcW w:w="2730" w:type="dxa"/>
            <w:tcBorders>
              <w:top w:val="nil"/>
              <w:left w:val="single" w:color="auto" w:sz="4" w:space="0"/>
              <w:bottom w:val="single" w:color="auto" w:sz="4" w:space="0"/>
              <w:right w:val="single" w:color="auto" w:sz="4" w:space="0"/>
            </w:tcBorders>
            <w:vAlign w:val="center"/>
          </w:tcPr>
          <w:p w14:paraId="17F8DA31">
            <w:pPr>
              <w:widowControl/>
              <w:snapToGrid w:val="0"/>
              <w:spacing w:line="360" w:lineRule="exact"/>
              <w:jc w:val="center"/>
              <w:textAlignment w:val="baseline"/>
              <w:rPr>
                <w:rFonts w:ascii="微软雅黑" w:hAnsi="微软雅黑" w:eastAsia="微软雅黑" w:cs="微软雅黑"/>
                <w:color w:val="auto"/>
                <w:kern w:val="0"/>
                <w:sz w:val="24"/>
              </w:rPr>
            </w:pPr>
          </w:p>
        </w:tc>
        <w:tc>
          <w:tcPr>
            <w:tcW w:w="2295" w:type="dxa"/>
            <w:tcBorders>
              <w:top w:val="nil"/>
              <w:left w:val="nil"/>
              <w:bottom w:val="single" w:color="auto" w:sz="4" w:space="0"/>
              <w:right w:val="single" w:color="auto" w:sz="4" w:space="0"/>
            </w:tcBorders>
            <w:vAlign w:val="center"/>
          </w:tcPr>
          <w:p w14:paraId="6CEB693D">
            <w:pPr>
              <w:widowControl/>
              <w:snapToGrid w:val="0"/>
              <w:spacing w:line="360" w:lineRule="exact"/>
              <w:jc w:val="center"/>
              <w:textAlignment w:val="baseline"/>
              <w:rPr>
                <w:rFonts w:ascii="微软雅黑" w:hAnsi="微软雅黑" w:eastAsia="微软雅黑" w:cs="微软雅黑"/>
                <w:color w:val="auto"/>
                <w:kern w:val="0"/>
                <w:sz w:val="24"/>
              </w:rPr>
            </w:pPr>
          </w:p>
        </w:tc>
        <w:tc>
          <w:tcPr>
            <w:tcW w:w="1575" w:type="dxa"/>
            <w:tcBorders>
              <w:top w:val="nil"/>
              <w:left w:val="nil"/>
              <w:bottom w:val="single" w:color="auto" w:sz="4" w:space="0"/>
              <w:right w:val="single" w:color="auto" w:sz="4" w:space="0"/>
            </w:tcBorders>
            <w:vAlign w:val="center"/>
          </w:tcPr>
          <w:p w14:paraId="0C842E56">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845" w:type="dxa"/>
            <w:tcBorders>
              <w:top w:val="nil"/>
              <w:left w:val="nil"/>
              <w:bottom w:val="single" w:color="auto" w:sz="4" w:space="0"/>
              <w:right w:val="single" w:color="auto" w:sz="4" w:space="0"/>
            </w:tcBorders>
            <w:vAlign w:val="center"/>
          </w:tcPr>
          <w:p w14:paraId="511CB847">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575" w:type="dxa"/>
            <w:tcBorders>
              <w:top w:val="nil"/>
              <w:left w:val="nil"/>
              <w:bottom w:val="single" w:color="auto" w:sz="4" w:space="0"/>
              <w:right w:val="single" w:color="auto" w:sz="4" w:space="0"/>
            </w:tcBorders>
            <w:vAlign w:val="center"/>
          </w:tcPr>
          <w:p w14:paraId="2C82F1E0">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r>
      <w:tr w14:paraId="7D4D84A0">
        <w:tblPrEx>
          <w:tblCellMar>
            <w:top w:w="0" w:type="dxa"/>
            <w:left w:w="108" w:type="dxa"/>
            <w:bottom w:w="0" w:type="dxa"/>
            <w:right w:w="108" w:type="dxa"/>
          </w:tblCellMar>
        </w:tblPrEx>
        <w:trPr>
          <w:trHeight w:val="570" w:hRule="atLeast"/>
          <w:jc w:val="center"/>
        </w:trPr>
        <w:tc>
          <w:tcPr>
            <w:tcW w:w="2730" w:type="dxa"/>
            <w:tcBorders>
              <w:top w:val="nil"/>
              <w:left w:val="single" w:color="auto" w:sz="4" w:space="0"/>
              <w:bottom w:val="single" w:color="auto" w:sz="4" w:space="0"/>
              <w:right w:val="single" w:color="auto" w:sz="4" w:space="0"/>
            </w:tcBorders>
            <w:vAlign w:val="center"/>
          </w:tcPr>
          <w:p w14:paraId="5081B6B7">
            <w:pPr>
              <w:widowControl/>
              <w:snapToGrid w:val="0"/>
              <w:spacing w:line="360" w:lineRule="exact"/>
              <w:jc w:val="center"/>
              <w:textAlignment w:val="baseline"/>
              <w:rPr>
                <w:rFonts w:ascii="微软雅黑" w:hAnsi="微软雅黑" w:eastAsia="微软雅黑" w:cs="微软雅黑"/>
                <w:color w:val="auto"/>
                <w:kern w:val="0"/>
                <w:sz w:val="24"/>
              </w:rPr>
            </w:pPr>
          </w:p>
        </w:tc>
        <w:tc>
          <w:tcPr>
            <w:tcW w:w="2295" w:type="dxa"/>
            <w:tcBorders>
              <w:top w:val="nil"/>
              <w:left w:val="nil"/>
              <w:bottom w:val="single" w:color="auto" w:sz="4" w:space="0"/>
              <w:right w:val="single" w:color="auto" w:sz="4" w:space="0"/>
            </w:tcBorders>
            <w:vAlign w:val="center"/>
          </w:tcPr>
          <w:p w14:paraId="65E59F15">
            <w:pPr>
              <w:widowControl/>
              <w:snapToGrid w:val="0"/>
              <w:spacing w:line="360" w:lineRule="exact"/>
              <w:jc w:val="center"/>
              <w:textAlignment w:val="baseline"/>
              <w:rPr>
                <w:rFonts w:ascii="微软雅黑" w:hAnsi="微软雅黑" w:eastAsia="微软雅黑" w:cs="微软雅黑"/>
                <w:color w:val="auto"/>
                <w:kern w:val="0"/>
                <w:sz w:val="24"/>
              </w:rPr>
            </w:pPr>
          </w:p>
        </w:tc>
        <w:tc>
          <w:tcPr>
            <w:tcW w:w="1575" w:type="dxa"/>
            <w:tcBorders>
              <w:top w:val="nil"/>
              <w:left w:val="nil"/>
              <w:bottom w:val="single" w:color="auto" w:sz="4" w:space="0"/>
              <w:right w:val="single" w:color="auto" w:sz="4" w:space="0"/>
            </w:tcBorders>
            <w:vAlign w:val="center"/>
          </w:tcPr>
          <w:p w14:paraId="6AE06197">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845" w:type="dxa"/>
            <w:tcBorders>
              <w:top w:val="nil"/>
              <w:left w:val="nil"/>
              <w:bottom w:val="single" w:color="auto" w:sz="4" w:space="0"/>
              <w:right w:val="single" w:color="auto" w:sz="4" w:space="0"/>
            </w:tcBorders>
            <w:vAlign w:val="center"/>
          </w:tcPr>
          <w:p w14:paraId="6EFB88F7">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575" w:type="dxa"/>
            <w:tcBorders>
              <w:top w:val="nil"/>
              <w:left w:val="nil"/>
              <w:bottom w:val="single" w:color="auto" w:sz="4" w:space="0"/>
              <w:right w:val="single" w:color="auto" w:sz="4" w:space="0"/>
            </w:tcBorders>
            <w:vAlign w:val="center"/>
          </w:tcPr>
          <w:p w14:paraId="4E9E460E">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r>
      <w:tr w14:paraId="0ADCFA58">
        <w:tblPrEx>
          <w:tblCellMar>
            <w:top w:w="0" w:type="dxa"/>
            <w:left w:w="108" w:type="dxa"/>
            <w:bottom w:w="0" w:type="dxa"/>
            <w:right w:w="108" w:type="dxa"/>
          </w:tblCellMar>
        </w:tblPrEx>
        <w:trPr>
          <w:trHeight w:val="570" w:hRule="atLeast"/>
          <w:jc w:val="center"/>
        </w:trPr>
        <w:tc>
          <w:tcPr>
            <w:tcW w:w="2730" w:type="dxa"/>
            <w:tcBorders>
              <w:top w:val="nil"/>
              <w:left w:val="single" w:color="auto" w:sz="4" w:space="0"/>
              <w:bottom w:val="single" w:color="auto" w:sz="4" w:space="0"/>
              <w:right w:val="single" w:color="auto" w:sz="4" w:space="0"/>
            </w:tcBorders>
            <w:vAlign w:val="center"/>
          </w:tcPr>
          <w:p w14:paraId="2696A83E">
            <w:pPr>
              <w:widowControl/>
              <w:snapToGrid w:val="0"/>
              <w:spacing w:line="360" w:lineRule="exact"/>
              <w:jc w:val="center"/>
              <w:textAlignment w:val="baseline"/>
              <w:rPr>
                <w:rFonts w:ascii="微软雅黑" w:hAnsi="微软雅黑" w:eastAsia="微软雅黑" w:cs="微软雅黑"/>
                <w:color w:val="auto"/>
                <w:kern w:val="0"/>
                <w:sz w:val="24"/>
              </w:rPr>
            </w:pPr>
          </w:p>
        </w:tc>
        <w:tc>
          <w:tcPr>
            <w:tcW w:w="2295" w:type="dxa"/>
            <w:tcBorders>
              <w:top w:val="nil"/>
              <w:left w:val="nil"/>
              <w:bottom w:val="single" w:color="auto" w:sz="4" w:space="0"/>
              <w:right w:val="single" w:color="auto" w:sz="4" w:space="0"/>
            </w:tcBorders>
            <w:vAlign w:val="center"/>
          </w:tcPr>
          <w:p w14:paraId="39BA93AE">
            <w:pPr>
              <w:widowControl/>
              <w:snapToGrid w:val="0"/>
              <w:spacing w:line="360" w:lineRule="exact"/>
              <w:jc w:val="center"/>
              <w:textAlignment w:val="baseline"/>
              <w:rPr>
                <w:rFonts w:ascii="微软雅黑" w:hAnsi="微软雅黑" w:eastAsia="微软雅黑" w:cs="微软雅黑"/>
                <w:color w:val="auto"/>
                <w:kern w:val="0"/>
                <w:sz w:val="24"/>
              </w:rPr>
            </w:pPr>
          </w:p>
        </w:tc>
        <w:tc>
          <w:tcPr>
            <w:tcW w:w="1575" w:type="dxa"/>
            <w:tcBorders>
              <w:top w:val="nil"/>
              <w:left w:val="nil"/>
              <w:bottom w:val="single" w:color="auto" w:sz="4" w:space="0"/>
              <w:right w:val="single" w:color="auto" w:sz="4" w:space="0"/>
            </w:tcBorders>
            <w:vAlign w:val="center"/>
          </w:tcPr>
          <w:p w14:paraId="6D4EA5CC">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845" w:type="dxa"/>
            <w:tcBorders>
              <w:top w:val="nil"/>
              <w:left w:val="nil"/>
              <w:bottom w:val="single" w:color="auto" w:sz="4" w:space="0"/>
              <w:right w:val="single" w:color="auto" w:sz="4" w:space="0"/>
            </w:tcBorders>
            <w:vAlign w:val="center"/>
          </w:tcPr>
          <w:p w14:paraId="08A3DAD5">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575" w:type="dxa"/>
            <w:tcBorders>
              <w:top w:val="nil"/>
              <w:left w:val="nil"/>
              <w:bottom w:val="single" w:color="auto" w:sz="4" w:space="0"/>
              <w:right w:val="single" w:color="auto" w:sz="4" w:space="0"/>
            </w:tcBorders>
            <w:vAlign w:val="center"/>
          </w:tcPr>
          <w:p w14:paraId="27115254">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r>
      <w:tr w14:paraId="35CF327A">
        <w:tblPrEx>
          <w:tblCellMar>
            <w:top w:w="0" w:type="dxa"/>
            <w:left w:w="108" w:type="dxa"/>
            <w:bottom w:w="0" w:type="dxa"/>
            <w:right w:w="108" w:type="dxa"/>
          </w:tblCellMar>
        </w:tblPrEx>
        <w:trPr>
          <w:trHeight w:val="570" w:hRule="atLeast"/>
          <w:jc w:val="center"/>
        </w:trPr>
        <w:tc>
          <w:tcPr>
            <w:tcW w:w="2730" w:type="dxa"/>
            <w:tcBorders>
              <w:top w:val="nil"/>
              <w:left w:val="single" w:color="auto" w:sz="4" w:space="0"/>
              <w:bottom w:val="single" w:color="auto" w:sz="4" w:space="0"/>
              <w:right w:val="single" w:color="auto" w:sz="4" w:space="0"/>
            </w:tcBorders>
            <w:vAlign w:val="center"/>
          </w:tcPr>
          <w:p w14:paraId="2D2256CD">
            <w:pPr>
              <w:widowControl/>
              <w:snapToGrid w:val="0"/>
              <w:spacing w:line="360" w:lineRule="exact"/>
              <w:jc w:val="center"/>
              <w:textAlignment w:val="baseline"/>
              <w:rPr>
                <w:rFonts w:ascii="微软雅黑" w:hAnsi="微软雅黑" w:eastAsia="微软雅黑" w:cs="微软雅黑"/>
                <w:color w:val="auto"/>
                <w:kern w:val="0"/>
                <w:sz w:val="24"/>
              </w:rPr>
            </w:pPr>
          </w:p>
        </w:tc>
        <w:tc>
          <w:tcPr>
            <w:tcW w:w="2295" w:type="dxa"/>
            <w:tcBorders>
              <w:top w:val="nil"/>
              <w:left w:val="nil"/>
              <w:bottom w:val="single" w:color="auto" w:sz="4" w:space="0"/>
              <w:right w:val="single" w:color="auto" w:sz="4" w:space="0"/>
            </w:tcBorders>
            <w:vAlign w:val="center"/>
          </w:tcPr>
          <w:p w14:paraId="0252263C">
            <w:pPr>
              <w:widowControl/>
              <w:snapToGrid w:val="0"/>
              <w:spacing w:line="360" w:lineRule="exact"/>
              <w:jc w:val="center"/>
              <w:textAlignment w:val="baseline"/>
              <w:rPr>
                <w:rFonts w:ascii="微软雅黑" w:hAnsi="微软雅黑" w:eastAsia="微软雅黑" w:cs="微软雅黑"/>
                <w:color w:val="auto"/>
                <w:kern w:val="0"/>
                <w:sz w:val="24"/>
              </w:rPr>
            </w:pPr>
          </w:p>
        </w:tc>
        <w:tc>
          <w:tcPr>
            <w:tcW w:w="1575" w:type="dxa"/>
            <w:tcBorders>
              <w:top w:val="nil"/>
              <w:left w:val="nil"/>
              <w:bottom w:val="single" w:color="auto" w:sz="4" w:space="0"/>
              <w:right w:val="single" w:color="auto" w:sz="4" w:space="0"/>
            </w:tcBorders>
            <w:vAlign w:val="center"/>
          </w:tcPr>
          <w:p w14:paraId="1D16CB8F">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845" w:type="dxa"/>
            <w:tcBorders>
              <w:top w:val="nil"/>
              <w:left w:val="nil"/>
              <w:bottom w:val="single" w:color="auto" w:sz="4" w:space="0"/>
              <w:right w:val="single" w:color="auto" w:sz="4" w:space="0"/>
            </w:tcBorders>
            <w:vAlign w:val="center"/>
          </w:tcPr>
          <w:p w14:paraId="4A652A9D">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575" w:type="dxa"/>
            <w:tcBorders>
              <w:top w:val="nil"/>
              <w:left w:val="nil"/>
              <w:bottom w:val="single" w:color="auto" w:sz="4" w:space="0"/>
              <w:right w:val="single" w:color="auto" w:sz="4" w:space="0"/>
            </w:tcBorders>
            <w:vAlign w:val="center"/>
          </w:tcPr>
          <w:p w14:paraId="20D4FD64">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r>
      <w:tr w14:paraId="15982E8C">
        <w:tblPrEx>
          <w:tblCellMar>
            <w:top w:w="0" w:type="dxa"/>
            <w:left w:w="108" w:type="dxa"/>
            <w:bottom w:w="0" w:type="dxa"/>
            <w:right w:w="108" w:type="dxa"/>
          </w:tblCellMar>
        </w:tblPrEx>
        <w:trPr>
          <w:trHeight w:val="570" w:hRule="atLeast"/>
          <w:jc w:val="center"/>
        </w:trPr>
        <w:tc>
          <w:tcPr>
            <w:tcW w:w="2730" w:type="dxa"/>
            <w:tcBorders>
              <w:top w:val="nil"/>
              <w:left w:val="single" w:color="auto" w:sz="4" w:space="0"/>
              <w:bottom w:val="single" w:color="auto" w:sz="4" w:space="0"/>
              <w:right w:val="single" w:color="auto" w:sz="4" w:space="0"/>
            </w:tcBorders>
            <w:vAlign w:val="center"/>
          </w:tcPr>
          <w:p w14:paraId="0A6CE444">
            <w:pPr>
              <w:widowControl/>
              <w:snapToGrid w:val="0"/>
              <w:spacing w:line="360" w:lineRule="exact"/>
              <w:jc w:val="center"/>
              <w:textAlignment w:val="baseline"/>
              <w:rPr>
                <w:rFonts w:ascii="微软雅黑" w:hAnsi="微软雅黑" w:eastAsia="微软雅黑" w:cs="微软雅黑"/>
                <w:color w:val="auto"/>
                <w:kern w:val="0"/>
                <w:sz w:val="24"/>
              </w:rPr>
            </w:pPr>
          </w:p>
        </w:tc>
        <w:tc>
          <w:tcPr>
            <w:tcW w:w="2295" w:type="dxa"/>
            <w:tcBorders>
              <w:top w:val="nil"/>
              <w:left w:val="nil"/>
              <w:bottom w:val="single" w:color="auto" w:sz="4" w:space="0"/>
              <w:right w:val="single" w:color="auto" w:sz="4" w:space="0"/>
            </w:tcBorders>
            <w:vAlign w:val="center"/>
          </w:tcPr>
          <w:p w14:paraId="020D11C0">
            <w:pPr>
              <w:widowControl/>
              <w:snapToGrid w:val="0"/>
              <w:spacing w:line="360" w:lineRule="exact"/>
              <w:jc w:val="center"/>
              <w:textAlignment w:val="baseline"/>
              <w:rPr>
                <w:rFonts w:ascii="微软雅黑" w:hAnsi="微软雅黑" w:eastAsia="微软雅黑" w:cs="微软雅黑"/>
                <w:color w:val="auto"/>
                <w:kern w:val="0"/>
                <w:sz w:val="24"/>
              </w:rPr>
            </w:pPr>
          </w:p>
        </w:tc>
        <w:tc>
          <w:tcPr>
            <w:tcW w:w="1575" w:type="dxa"/>
            <w:tcBorders>
              <w:top w:val="nil"/>
              <w:left w:val="nil"/>
              <w:bottom w:val="single" w:color="auto" w:sz="4" w:space="0"/>
              <w:right w:val="single" w:color="auto" w:sz="4" w:space="0"/>
            </w:tcBorders>
            <w:vAlign w:val="center"/>
          </w:tcPr>
          <w:p w14:paraId="5F9683A5">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845" w:type="dxa"/>
            <w:tcBorders>
              <w:top w:val="nil"/>
              <w:left w:val="nil"/>
              <w:bottom w:val="single" w:color="auto" w:sz="4" w:space="0"/>
              <w:right w:val="single" w:color="auto" w:sz="4" w:space="0"/>
            </w:tcBorders>
            <w:vAlign w:val="center"/>
          </w:tcPr>
          <w:p w14:paraId="24CF320F">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575" w:type="dxa"/>
            <w:tcBorders>
              <w:top w:val="nil"/>
              <w:left w:val="nil"/>
              <w:bottom w:val="single" w:color="auto" w:sz="4" w:space="0"/>
              <w:right w:val="single" w:color="auto" w:sz="4" w:space="0"/>
            </w:tcBorders>
            <w:vAlign w:val="center"/>
          </w:tcPr>
          <w:p w14:paraId="4E35A2E9">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r>
      <w:tr w14:paraId="2112E7D4">
        <w:tblPrEx>
          <w:tblCellMar>
            <w:top w:w="0" w:type="dxa"/>
            <w:left w:w="108" w:type="dxa"/>
            <w:bottom w:w="0" w:type="dxa"/>
            <w:right w:w="108" w:type="dxa"/>
          </w:tblCellMar>
        </w:tblPrEx>
        <w:trPr>
          <w:trHeight w:val="570" w:hRule="atLeast"/>
          <w:jc w:val="center"/>
        </w:trPr>
        <w:tc>
          <w:tcPr>
            <w:tcW w:w="5025" w:type="dxa"/>
            <w:gridSpan w:val="2"/>
            <w:tcBorders>
              <w:top w:val="single" w:color="auto" w:sz="4" w:space="0"/>
              <w:left w:val="single" w:color="auto" w:sz="4" w:space="0"/>
              <w:bottom w:val="single" w:color="auto" w:sz="4" w:space="0"/>
              <w:right w:val="single" w:color="auto" w:sz="4" w:space="0"/>
            </w:tcBorders>
            <w:vAlign w:val="center"/>
          </w:tcPr>
          <w:p w14:paraId="28CF3550">
            <w:pPr>
              <w:widowControl/>
              <w:snapToGrid w:val="0"/>
              <w:spacing w:line="36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结论</w:t>
            </w:r>
          </w:p>
        </w:tc>
        <w:tc>
          <w:tcPr>
            <w:tcW w:w="1575" w:type="dxa"/>
            <w:tcBorders>
              <w:top w:val="nil"/>
              <w:left w:val="nil"/>
              <w:bottom w:val="single" w:color="auto" w:sz="4" w:space="0"/>
              <w:right w:val="single" w:color="auto" w:sz="4" w:space="0"/>
            </w:tcBorders>
            <w:vAlign w:val="center"/>
          </w:tcPr>
          <w:p w14:paraId="1FA0AC0E">
            <w:pPr>
              <w:widowControl/>
              <w:snapToGrid w:val="0"/>
              <w:spacing w:line="36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845" w:type="dxa"/>
            <w:tcBorders>
              <w:top w:val="nil"/>
              <w:left w:val="nil"/>
              <w:bottom w:val="single" w:color="auto" w:sz="4" w:space="0"/>
              <w:right w:val="single" w:color="auto" w:sz="4" w:space="0"/>
            </w:tcBorders>
            <w:vAlign w:val="center"/>
          </w:tcPr>
          <w:p w14:paraId="6EFB8BA2">
            <w:pPr>
              <w:widowControl/>
              <w:snapToGrid w:val="0"/>
              <w:spacing w:line="36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575" w:type="dxa"/>
            <w:tcBorders>
              <w:top w:val="nil"/>
              <w:left w:val="nil"/>
              <w:bottom w:val="single" w:color="auto" w:sz="4" w:space="0"/>
              <w:right w:val="single" w:color="auto" w:sz="4" w:space="0"/>
            </w:tcBorders>
            <w:vAlign w:val="center"/>
          </w:tcPr>
          <w:p w14:paraId="1F9E8B5A">
            <w:pPr>
              <w:widowControl/>
              <w:snapToGrid w:val="0"/>
              <w:spacing w:line="36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r>
      <w:tr w14:paraId="53E90425">
        <w:tblPrEx>
          <w:tblCellMar>
            <w:top w:w="0" w:type="dxa"/>
            <w:left w:w="108" w:type="dxa"/>
            <w:bottom w:w="0" w:type="dxa"/>
            <w:right w:w="108" w:type="dxa"/>
          </w:tblCellMar>
        </w:tblPrEx>
        <w:trPr>
          <w:trHeight w:val="465" w:hRule="atLeast"/>
          <w:jc w:val="center"/>
        </w:trPr>
        <w:tc>
          <w:tcPr>
            <w:tcW w:w="2730" w:type="dxa"/>
            <w:tcBorders>
              <w:top w:val="nil"/>
              <w:left w:val="nil"/>
              <w:bottom w:val="nil"/>
              <w:right w:val="nil"/>
            </w:tcBorders>
            <w:vAlign w:val="center"/>
          </w:tcPr>
          <w:p w14:paraId="43A8B6EA">
            <w:pPr>
              <w:widowControl/>
              <w:snapToGrid w:val="0"/>
              <w:spacing w:line="360" w:lineRule="exact"/>
              <w:jc w:val="center"/>
              <w:textAlignment w:val="baseline"/>
              <w:rPr>
                <w:rFonts w:ascii="微软雅黑" w:hAnsi="微软雅黑" w:eastAsia="微软雅黑" w:cs="微软雅黑"/>
                <w:color w:val="auto"/>
                <w:kern w:val="0"/>
                <w:sz w:val="24"/>
              </w:rPr>
            </w:pPr>
          </w:p>
        </w:tc>
        <w:tc>
          <w:tcPr>
            <w:tcW w:w="2295" w:type="dxa"/>
            <w:tcBorders>
              <w:top w:val="nil"/>
              <w:left w:val="nil"/>
              <w:bottom w:val="nil"/>
              <w:right w:val="nil"/>
            </w:tcBorders>
            <w:vAlign w:val="center"/>
          </w:tcPr>
          <w:p w14:paraId="5D454574">
            <w:pPr>
              <w:widowControl/>
              <w:snapToGrid w:val="0"/>
              <w:spacing w:line="360" w:lineRule="exact"/>
              <w:jc w:val="center"/>
              <w:textAlignment w:val="baseline"/>
              <w:rPr>
                <w:rFonts w:ascii="微软雅黑" w:hAnsi="微软雅黑" w:eastAsia="微软雅黑" w:cs="微软雅黑"/>
                <w:color w:val="auto"/>
                <w:kern w:val="0"/>
                <w:sz w:val="24"/>
              </w:rPr>
            </w:pPr>
          </w:p>
        </w:tc>
        <w:tc>
          <w:tcPr>
            <w:tcW w:w="1575" w:type="dxa"/>
            <w:tcBorders>
              <w:top w:val="nil"/>
              <w:left w:val="nil"/>
              <w:bottom w:val="nil"/>
              <w:right w:val="nil"/>
            </w:tcBorders>
            <w:vAlign w:val="center"/>
          </w:tcPr>
          <w:p w14:paraId="744561F5">
            <w:pPr>
              <w:widowControl/>
              <w:snapToGrid w:val="0"/>
              <w:spacing w:line="360" w:lineRule="exact"/>
              <w:jc w:val="center"/>
              <w:textAlignment w:val="baseline"/>
              <w:rPr>
                <w:rFonts w:ascii="微软雅黑" w:hAnsi="微软雅黑" w:eastAsia="微软雅黑" w:cs="微软雅黑"/>
                <w:color w:val="auto"/>
                <w:kern w:val="0"/>
                <w:sz w:val="24"/>
              </w:rPr>
            </w:pPr>
          </w:p>
        </w:tc>
        <w:tc>
          <w:tcPr>
            <w:tcW w:w="1845" w:type="dxa"/>
            <w:tcBorders>
              <w:top w:val="nil"/>
              <w:left w:val="nil"/>
              <w:bottom w:val="nil"/>
              <w:right w:val="nil"/>
            </w:tcBorders>
            <w:vAlign w:val="center"/>
          </w:tcPr>
          <w:p w14:paraId="6EFF440C">
            <w:pPr>
              <w:widowControl/>
              <w:snapToGrid w:val="0"/>
              <w:spacing w:line="360" w:lineRule="exact"/>
              <w:jc w:val="left"/>
              <w:textAlignment w:val="baseline"/>
              <w:rPr>
                <w:rFonts w:ascii="微软雅黑" w:hAnsi="微软雅黑" w:eastAsia="微软雅黑" w:cs="微软雅黑"/>
                <w:color w:val="auto"/>
                <w:kern w:val="0"/>
                <w:sz w:val="24"/>
              </w:rPr>
            </w:pPr>
          </w:p>
        </w:tc>
        <w:tc>
          <w:tcPr>
            <w:tcW w:w="1575" w:type="dxa"/>
            <w:tcBorders>
              <w:top w:val="nil"/>
              <w:left w:val="nil"/>
              <w:bottom w:val="nil"/>
              <w:right w:val="nil"/>
            </w:tcBorders>
            <w:vAlign w:val="center"/>
          </w:tcPr>
          <w:p w14:paraId="4EA4FC00">
            <w:pPr>
              <w:widowControl/>
              <w:snapToGrid w:val="0"/>
              <w:spacing w:line="360" w:lineRule="exact"/>
              <w:jc w:val="left"/>
              <w:textAlignment w:val="baseline"/>
              <w:rPr>
                <w:rFonts w:ascii="微软雅黑" w:hAnsi="微软雅黑" w:eastAsia="微软雅黑" w:cs="微软雅黑"/>
                <w:color w:val="auto"/>
                <w:kern w:val="0"/>
                <w:sz w:val="24"/>
              </w:rPr>
            </w:pPr>
          </w:p>
        </w:tc>
      </w:tr>
    </w:tbl>
    <w:p w14:paraId="10E54E75">
      <w:pPr>
        <w:pStyle w:val="11"/>
        <w:snapToGrid w:val="0"/>
        <w:spacing w:before="0" w:line="360" w:lineRule="exact"/>
        <w:ind w:left="-181" w:leftChars="-86" w:firstLine="660" w:firstLineChars="275"/>
        <w:textAlignment w:val="baseline"/>
        <w:rPr>
          <w:rFonts w:ascii="微软雅黑" w:hAnsi="微软雅黑" w:eastAsia="微软雅黑" w:cs="微软雅黑"/>
          <w:color w:val="auto"/>
        </w:rPr>
      </w:pPr>
    </w:p>
    <w:p w14:paraId="6713F174">
      <w:pPr>
        <w:snapToGrid w:val="0"/>
        <w:spacing w:line="360" w:lineRule="exact"/>
        <w:jc w:val="center"/>
        <w:textAlignment w:val="baseline"/>
        <w:rPr>
          <w:rFonts w:ascii="微软雅黑" w:hAnsi="微软雅黑" w:eastAsia="微软雅黑" w:cs="微软雅黑"/>
          <w:b/>
          <w:bCs/>
          <w:color w:val="auto"/>
          <w:sz w:val="24"/>
        </w:rPr>
      </w:pPr>
    </w:p>
    <w:p w14:paraId="31620934">
      <w:pPr>
        <w:snapToGrid w:val="0"/>
        <w:spacing w:line="360" w:lineRule="exact"/>
        <w:jc w:val="center"/>
        <w:textAlignment w:val="baseline"/>
        <w:rPr>
          <w:rFonts w:ascii="微软雅黑" w:hAnsi="微软雅黑" w:eastAsia="微软雅黑" w:cs="微软雅黑"/>
          <w:b/>
          <w:bCs/>
          <w:color w:val="auto"/>
          <w:sz w:val="24"/>
        </w:rPr>
      </w:pPr>
    </w:p>
    <w:p w14:paraId="2A2F690C">
      <w:pPr>
        <w:snapToGrid w:val="0"/>
        <w:spacing w:line="360" w:lineRule="exact"/>
        <w:jc w:val="center"/>
        <w:textAlignment w:val="baseline"/>
        <w:rPr>
          <w:rFonts w:ascii="微软雅黑" w:hAnsi="微软雅黑" w:eastAsia="微软雅黑" w:cs="微软雅黑"/>
          <w:b/>
          <w:bCs/>
          <w:color w:val="auto"/>
          <w:sz w:val="24"/>
        </w:rPr>
      </w:pPr>
    </w:p>
    <w:p w14:paraId="7019A9E6">
      <w:pPr>
        <w:pStyle w:val="36"/>
        <w:snapToGrid w:val="0"/>
        <w:ind w:firstLine="0" w:firstLineChars="0"/>
        <w:textAlignment w:val="baseline"/>
        <w:rPr>
          <w:rFonts w:ascii="微软雅黑" w:hAnsi="微软雅黑" w:eastAsia="微软雅黑" w:cs="微软雅黑"/>
          <w:b/>
          <w:color w:val="auto"/>
          <w:sz w:val="28"/>
          <w:szCs w:val="28"/>
        </w:rPr>
      </w:pPr>
    </w:p>
    <w:p w14:paraId="28911AFB">
      <w:pPr>
        <w:pStyle w:val="36"/>
        <w:snapToGrid w:val="0"/>
        <w:ind w:firstLine="0" w:firstLineChars="0"/>
        <w:textAlignment w:val="baseline"/>
        <w:rPr>
          <w:rFonts w:ascii="微软雅黑" w:hAnsi="微软雅黑" w:eastAsia="微软雅黑" w:cs="微软雅黑"/>
          <w:b/>
          <w:color w:val="auto"/>
          <w:sz w:val="28"/>
          <w:szCs w:val="28"/>
        </w:rPr>
      </w:pPr>
    </w:p>
    <w:p w14:paraId="2588E0B8">
      <w:pPr>
        <w:pStyle w:val="36"/>
        <w:snapToGrid w:val="0"/>
        <w:ind w:firstLine="0" w:firstLineChars="0"/>
        <w:textAlignment w:val="baseline"/>
        <w:rPr>
          <w:rFonts w:ascii="微软雅黑" w:hAnsi="微软雅黑" w:eastAsia="微软雅黑" w:cs="微软雅黑"/>
          <w:b/>
          <w:color w:val="auto"/>
          <w:sz w:val="28"/>
          <w:szCs w:val="28"/>
        </w:rPr>
      </w:pPr>
    </w:p>
    <w:p w14:paraId="07192134">
      <w:pPr>
        <w:pStyle w:val="36"/>
        <w:snapToGrid w:val="0"/>
        <w:ind w:firstLine="0" w:firstLineChars="0"/>
        <w:textAlignment w:val="baseline"/>
        <w:rPr>
          <w:rFonts w:ascii="微软雅黑" w:hAnsi="微软雅黑" w:eastAsia="微软雅黑" w:cs="微软雅黑"/>
          <w:b/>
          <w:color w:val="auto"/>
          <w:sz w:val="28"/>
          <w:szCs w:val="28"/>
        </w:rPr>
      </w:pPr>
    </w:p>
    <w:p w14:paraId="5E87DD71">
      <w:pPr>
        <w:snapToGrid w:val="0"/>
        <w:spacing w:line="240" w:lineRule="atLeast"/>
        <w:ind w:left="1080" w:leftChars="257" w:hanging="540"/>
        <w:jc w:val="center"/>
        <w:textAlignment w:val="baseline"/>
        <w:outlineLvl w:val="9"/>
        <w:rPr>
          <w:rFonts w:hint="eastAsia" w:ascii="微软雅黑" w:hAnsi="微软雅黑" w:eastAsia="微软雅黑" w:cs="微软雅黑"/>
          <w:b/>
          <w:color w:val="auto"/>
          <w:sz w:val="28"/>
          <w:szCs w:val="28"/>
        </w:rPr>
      </w:pPr>
      <w:bookmarkStart w:id="721" w:name="_Toc29461"/>
      <w:bookmarkStart w:id="722" w:name="_Toc20547"/>
      <w:bookmarkStart w:id="723" w:name="_Toc11236"/>
      <w:bookmarkStart w:id="724" w:name="_Toc19042"/>
      <w:bookmarkStart w:id="725" w:name="_Toc20034"/>
      <w:bookmarkStart w:id="726" w:name="_Toc21660"/>
      <w:bookmarkStart w:id="727" w:name="_Toc26098"/>
      <w:bookmarkStart w:id="728" w:name="_Toc9113"/>
      <w:bookmarkStart w:id="729" w:name="_Toc10809"/>
      <w:bookmarkStart w:id="730" w:name="_Toc27185"/>
    </w:p>
    <w:bookmarkEnd w:id="718"/>
    <w:bookmarkEnd w:id="719"/>
    <w:bookmarkEnd w:id="721"/>
    <w:bookmarkEnd w:id="722"/>
    <w:bookmarkEnd w:id="723"/>
    <w:bookmarkEnd w:id="724"/>
    <w:bookmarkEnd w:id="725"/>
    <w:bookmarkEnd w:id="726"/>
    <w:bookmarkEnd w:id="727"/>
    <w:bookmarkEnd w:id="728"/>
    <w:bookmarkEnd w:id="729"/>
    <w:bookmarkEnd w:id="730"/>
    <w:p w14:paraId="3F9A6BF5">
      <w:pPr>
        <w:snapToGrid w:val="0"/>
        <w:spacing w:line="240" w:lineRule="atLeast"/>
        <w:ind w:left="1080" w:leftChars="257" w:hanging="540"/>
        <w:jc w:val="center"/>
        <w:textAlignment w:val="baseline"/>
        <w:outlineLvl w:val="1"/>
        <w:rPr>
          <w:rFonts w:ascii="微软雅黑" w:hAnsi="微软雅黑" w:eastAsia="微软雅黑" w:cs="微软雅黑"/>
          <w:b/>
          <w:color w:val="auto"/>
          <w:sz w:val="28"/>
          <w:szCs w:val="28"/>
        </w:rPr>
      </w:pPr>
      <w:bookmarkStart w:id="731" w:name="_Toc26042"/>
      <w:r>
        <w:rPr>
          <w:rFonts w:hint="eastAsia" w:ascii="微软雅黑" w:hAnsi="微软雅黑" w:eastAsia="微软雅黑" w:cs="微软雅黑"/>
          <w:b/>
          <w:color w:val="auto"/>
          <w:sz w:val="28"/>
          <w:szCs w:val="28"/>
        </w:rPr>
        <w:t>综合评分表</w:t>
      </w:r>
      <w:bookmarkEnd w:id="731"/>
      <w:r>
        <w:rPr>
          <w:rFonts w:hint="eastAsia" w:ascii="微软雅黑" w:hAnsi="微软雅黑" w:eastAsia="微软雅黑" w:cs="微软雅黑"/>
          <w:b/>
          <w:color w:val="auto"/>
          <w:sz w:val="28"/>
          <w:szCs w:val="28"/>
        </w:rPr>
        <w:t xml:space="preserve"> </w:t>
      </w:r>
    </w:p>
    <w:tbl>
      <w:tblPr>
        <w:tblStyle w:val="37"/>
        <w:tblW w:w="0" w:type="auto"/>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
        <w:gridCol w:w="885"/>
        <w:gridCol w:w="861"/>
        <w:gridCol w:w="875"/>
        <w:gridCol w:w="6823"/>
      </w:tblGrid>
      <w:tr w14:paraId="0BB1BA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0" w:type="auto"/>
            <w:shd w:val="clear" w:color="auto" w:fill="auto"/>
            <w:vAlign w:val="center"/>
          </w:tcPr>
          <w:p w14:paraId="16B1458C">
            <w:pPr>
              <w:widowControl/>
              <w:jc w:val="center"/>
              <w:textAlignment w:val="center"/>
              <w:rPr>
                <w:rFonts w:hint="eastAsia" w:ascii="微软雅黑" w:hAnsi="微软雅黑" w:eastAsia="微软雅黑" w:cs="微软雅黑"/>
                <w:sz w:val="21"/>
                <w:szCs w:val="21"/>
              </w:rPr>
            </w:pPr>
            <w:r>
              <w:rPr>
                <w:rFonts w:hint="eastAsia" w:ascii="微软雅黑" w:hAnsi="微软雅黑" w:eastAsia="微软雅黑" w:cs="微软雅黑"/>
                <w:kern w:val="0"/>
                <w:sz w:val="21"/>
                <w:szCs w:val="21"/>
                <w:lang w:bidi="ar"/>
              </w:rPr>
              <w:t>序号</w:t>
            </w:r>
          </w:p>
        </w:tc>
        <w:tc>
          <w:tcPr>
            <w:tcW w:w="1744" w:type="dxa"/>
            <w:gridSpan w:val="2"/>
            <w:shd w:val="clear" w:color="auto" w:fill="auto"/>
            <w:vAlign w:val="center"/>
          </w:tcPr>
          <w:p w14:paraId="1585429E">
            <w:pPr>
              <w:widowControl/>
              <w:jc w:val="center"/>
              <w:textAlignment w:val="center"/>
              <w:rPr>
                <w:rFonts w:hint="eastAsia" w:ascii="微软雅黑" w:hAnsi="微软雅黑" w:eastAsia="微软雅黑" w:cs="微软雅黑"/>
                <w:sz w:val="21"/>
                <w:szCs w:val="21"/>
              </w:rPr>
            </w:pPr>
            <w:r>
              <w:rPr>
                <w:rFonts w:hint="eastAsia" w:ascii="微软雅黑" w:hAnsi="微软雅黑" w:eastAsia="微软雅黑" w:cs="微软雅黑"/>
                <w:kern w:val="0"/>
                <w:sz w:val="21"/>
                <w:szCs w:val="21"/>
                <w:lang w:bidi="ar"/>
              </w:rPr>
              <w:t>评分因素</w:t>
            </w:r>
          </w:p>
        </w:tc>
        <w:tc>
          <w:tcPr>
            <w:tcW w:w="875" w:type="dxa"/>
            <w:shd w:val="clear" w:color="auto" w:fill="auto"/>
            <w:vAlign w:val="center"/>
          </w:tcPr>
          <w:p w14:paraId="7490233E">
            <w:pPr>
              <w:widowControl/>
              <w:jc w:val="center"/>
              <w:textAlignment w:val="center"/>
              <w:rPr>
                <w:rFonts w:hint="eastAsia" w:ascii="微软雅黑" w:hAnsi="微软雅黑" w:eastAsia="微软雅黑" w:cs="微软雅黑"/>
                <w:sz w:val="21"/>
                <w:szCs w:val="21"/>
              </w:rPr>
            </w:pPr>
            <w:r>
              <w:rPr>
                <w:rFonts w:hint="eastAsia" w:ascii="微软雅黑" w:hAnsi="微软雅黑" w:eastAsia="微软雅黑" w:cs="微软雅黑"/>
                <w:kern w:val="0"/>
                <w:sz w:val="21"/>
                <w:szCs w:val="21"/>
                <w:lang w:bidi="ar"/>
              </w:rPr>
              <w:t>分值</w:t>
            </w:r>
          </w:p>
        </w:tc>
        <w:tc>
          <w:tcPr>
            <w:tcW w:w="6823" w:type="dxa"/>
            <w:shd w:val="clear" w:color="auto" w:fill="auto"/>
            <w:vAlign w:val="center"/>
          </w:tcPr>
          <w:p w14:paraId="29090E36">
            <w:pPr>
              <w:widowControl/>
              <w:jc w:val="center"/>
              <w:textAlignment w:val="center"/>
              <w:rPr>
                <w:rFonts w:hint="eastAsia" w:ascii="微软雅黑" w:hAnsi="微软雅黑" w:eastAsia="微软雅黑" w:cs="微软雅黑"/>
                <w:sz w:val="21"/>
                <w:szCs w:val="21"/>
              </w:rPr>
            </w:pPr>
            <w:r>
              <w:rPr>
                <w:rFonts w:hint="eastAsia" w:ascii="微软雅黑" w:hAnsi="微软雅黑" w:eastAsia="微软雅黑" w:cs="微软雅黑"/>
                <w:kern w:val="0"/>
                <w:sz w:val="21"/>
                <w:szCs w:val="21"/>
                <w:lang w:bidi="ar"/>
              </w:rPr>
              <w:t>说明</w:t>
            </w:r>
          </w:p>
        </w:tc>
      </w:tr>
      <w:tr w14:paraId="5685C4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7" w:hRule="atLeast"/>
        </w:trPr>
        <w:tc>
          <w:tcPr>
            <w:tcW w:w="0" w:type="auto"/>
            <w:shd w:val="clear" w:color="auto" w:fill="auto"/>
            <w:vAlign w:val="center"/>
          </w:tcPr>
          <w:p w14:paraId="545965DA">
            <w:pPr>
              <w:widowControl/>
              <w:jc w:val="center"/>
              <w:textAlignment w:val="center"/>
              <w:rPr>
                <w:rFonts w:hint="eastAsia" w:ascii="微软雅黑" w:hAnsi="微软雅黑" w:eastAsia="微软雅黑" w:cs="微软雅黑"/>
                <w:sz w:val="21"/>
                <w:szCs w:val="21"/>
              </w:rPr>
            </w:pPr>
            <w:r>
              <w:rPr>
                <w:rFonts w:hint="eastAsia" w:ascii="微软雅黑" w:hAnsi="微软雅黑" w:eastAsia="微软雅黑" w:cs="微软雅黑"/>
                <w:kern w:val="0"/>
                <w:sz w:val="21"/>
                <w:szCs w:val="21"/>
                <w:lang w:bidi="ar"/>
              </w:rPr>
              <w:t xml:space="preserve">1 </w:t>
            </w:r>
          </w:p>
        </w:tc>
        <w:tc>
          <w:tcPr>
            <w:tcW w:w="0" w:type="auto"/>
            <w:shd w:val="clear" w:color="auto" w:fill="auto"/>
            <w:vAlign w:val="center"/>
          </w:tcPr>
          <w:p w14:paraId="7088899D">
            <w:pPr>
              <w:widowControl/>
              <w:jc w:val="center"/>
              <w:textAlignment w:val="center"/>
              <w:rPr>
                <w:rFonts w:hint="eastAsia" w:ascii="微软雅黑" w:hAnsi="微软雅黑" w:eastAsia="微软雅黑" w:cs="微软雅黑"/>
                <w:sz w:val="21"/>
                <w:szCs w:val="21"/>
              </w:rPr>
            </w:pPr>
            <w:r>
              <w:rPr>
                <w:rFonts w:hint="eastAsia" w:ascii="微软雅黑" w:hAnsi="微软雅黑" w:eastAsia="微软雅黑" w:cs="微软雅黑"/>
                <w:kern w:val="0"/>
                <w:sz w:val="21"/>
                <w:szCs w:val="21"/>
                <w:lang w:bidi="ar"/>
              </w:rPr>
              <w:t>价格评分标准（10）</w:t>
            </w:r>
          </w:p>
        </w:tc>
        <w:tc>
          <w:tcPr>
            <w:tcW w:w="861" w:type="dxa"/>
            <w:shd w:val="clear" w:color="auto" w:fill="auto"/>
            <w:vAlign w:val="center"/>
          </w:tcPr>
          <w:p w14:paraId="3A479766">
            <w:pPr>
              <w:widowControl/>
              <w:jc w:val="center"/>
              <w:textAlignment w:val="center"/>
              <w:rPr>
                <w:rFonts w:hint="eastAsia" w:ascii="微软雅黑" w:hAnsi="微软雅黑" w:eastAsia="微软雅黑" w:cs="微软雅黑"/>
                <w:sz w:val="21"/>
                <w:szCs w:val="21"/>
              </w:rPr>
            </w:pPr>
            <w:r>
              <w:rPr>
                <w:rFonts w:hint="eastAsia" w:ascii="微软雅黑" w:hAnsi="微软雅黑" w:eastAsia="微软雅黑" w:cs="微软雅黑"/>
                <w:kern w:val="0"/>
                <w:sz w:val="21"/>
                <w:szCs w:val="21"/>
                <w:lang w:bidi="ar"/>
              </w:rPr>
              <w:t>报价</w:t>
            </w:r>
          </w:p>
        </w:tc>
        <w:tc>
          <w:tcPr>
            <w:tcW w:w="875" w:type="dxa"/>
            <w:shd w:val="clear" w:color="auto" w:fill="auto"/>
            <w:vAlign w:val="center"/>
          </w:tcPr>
          <w:p w14:paraId="7819717B">
            <w:pPr>
              <w:widowControl/>
              <w:jc w:val="center"/>
              <w:textAlignment w:val="center"/>
              <w:rPr>
                <w:rFonts w:hint="eastAsia" w:ascii="微软雅黑" w:hAnsi="微软雅黑" w:eastAsia="微软雅黑" w:cs="微软雅黑"/>
                <w:sz w:val="21"/>
                <w:szCs w:val="21"/>
              </w:rPr>
            </w:pPr>
            <w:r>
              <w:rPr>
                <w:rFonts w:hint="eastAsia" w:ascii="微软雅黑" w:hAnsi="微软雅黑" w:eastAsia="微软雅黑" w:cs="微软雅黑"/>
                <w:kern w:val="0"/>
                <w:sz w:val="21"/>
                <w:szCs w:val="21"/>
                <w:lang w:bidi="ar"/>
              </w:rPr>
              <w:t>10</w:t>
            </w:r>
          </w:p>
        </w:tc>
        <w:tc>
          <w:tcPr>
            <w:tcW w:w="6823" w:type="dxa"/>
            <w:shd w:val="clear" w:color="auto" w:fill="auto"/>
            <w:vAlign w:val="center"/>
          </w:tcPr>
          <w:p w14:paraId="609122ED">
            <w:pPr>
              <w:widowControl/>
              <w:jc w:val="left"/>
              <w:textAlignment w:val="center"/>
              <w:rPr>
                <w:rFonts w:hint="eastAsia" w:ascii="微软雅黑" w:hAnsi="微软雅黑" w:eastAsia="微软雅黑" w:cs="微软雅黑"/>
                <w:sz w:val="21"/>
                <w:szCs w:val="21"/>
                <w:lang w:val="en-US" w:eastAsia="zh-CN"/>
              </w:rPr>
            </w:pPr>
            <w:r>
              <w:rPr>
                <w:rFonts w:hint="eastAsia" w:ascii="微软雅黑" w:hAnsi="微软雅黑" w:eastAsia="微软雅黑" w:cs="微软雅黑"/>
                <w:sz w:val="21"/>
                <w:szCs w:val="21"/>
                <w:lang w:val="en-US" w:eastAsia="zh-CN"/>
              </w:rPr>
              <w:t>采用低价优先法计算。即满足招标文件要求且最后报价最低的投标人的价格为投标基准价，其价格分为满分。其他投标人的价格分统一按照下列公式计算：投标报价得分=（投标基准价/最后投标报价）×10；</w:t>
            </w:r>
          </w:p>
          <w:p w14:paraId="26A85A3D">
            <w:pPr>
              <w:widowControl/>
              <w:jc w:val="left"/>
              <w:textAlignment w:val="center"/>
              <w:rPr>
                <w:rFonts w:hint="eastAsia" w:ascii="微软雅黑" w:hAnsi="微软雅黑" w:eastAsia="微软雅黑" w:cs="微软雅黑"/>
                <w:sz w:val="21"/>
                <w:szCs w:val="21"/>
              </w:rPr>
            </w:pPr>
            <w:r>
              <w:rPr>
                <w:rFonts w:hint="eastAsia" w:ascii="微软雅黑" w:hAnsi="微软雅黑" w:eastAsia="微软雅黑" w:cs="微软雅黑"/>
                <w:b/>
                <w:bCs/>
                <w:i/>
                <w:iCs/>
                <w:color w:val="FF0000"/>
                <w:sz w:val="21"/>
                <w:szCs w:val="21"/>
                <w:highlight w:val="none"/>
                <w:lang w:val="en-US" w:eastAsia="zh-CN"/>
              </w:rPr>
              <w:t>（注：本项目不属于专门面向中小企业项目，承接企业为小型企业或微型企业的可享受价10%的价格扣除后参与评审。须根据磋商文件中的法定格式提供中小企业声明函。）</w:t>
            </w:r>
          </w:p>
        </w:tc>
      </w:tr>
      <w:tr w14:paraId="799AD4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0" w:hRule="atLeast"/>
        </w:trPr>
        <w:tc>
          <w:tcPr>
            <w:tcW w:w="0" w:type="auto"/>
            <w:shd w:val="clear" w:color="auto" w:fill="auto"/>
            <w:vAlign w:val="center"/>
          </w:tcPr>
          <w:p w14:paraId="09C535A8">
            <w:pPr>
              <w:widowControl/>
              <w:jc w:val="center"/>
              <w:textAlignment w:val="center"/>
              <w:rPr>
                <w:rFonts w:hint="eastAsia" w:ascii="微软雅黑" w:hAnsi="微软雅黑" w:eastAsia="微软雅黑" w:cs="微软雅黑"/>
                <w:sz w:val="21"/>
                <w:szCs w:val="21"/>
              </w:rPr>
            </w:pPr>
            <w:r>
              <w:rPr>
                <w:rFonts w:hint="eastAsia" w:ascii="微软雅黑" w:hAnsi="微软雅黑" w:eastAsia="微软雅黑" w:cs="微软雅黑"/>
                <w:kern w:val="0"/>
                <w:sz w:val="21"/>
                <w:szCs w:val="21"/>
                <w:lang w:bidi="ar"/>
              </w:rPr>
              <w:t xml:space="preserve">2 </w:t>
            </w:r>
          </w:p>
        </w:tc>
        <w:tc>
          <w:tcPr>
            <w:tcW w:w="0" w:type="auto"/>
            <w:shd w:val="clear" w:color="auto" w:fill="auto"/>
            <w:vAlign w:val="center"/>
          </w:tcPr>
          <w:p w14:paraId="445D720C">
            <w:pPr>
              <w:widowControl/>
              <w:jc w:val="center"/>
              <w:textAlignment w:val="center"/>
              <w:rPr>
                <w:rFonts w:hint="eastAsia" w:ascii="微软雅黑" w:hAnsi="微软雅黑" w:eastAsia="微软雅黑" w:cs="微软雅黑"/>
                <w:sz w:val="21"/>
                <w:szCs w:val="21"/>
              </w:rPr>
            </w:pPr>
            <w:r>
              <w:rPr>
                <w:rFonts w:hint="eastAsia" w:ascii="微软雅黑" w:hAnsi="微软雅黑" w:eastAsia="微软雅黑" w:cs="微软雅黑"/>
                <w:kern w:val="0"/>
                <w:sz w:val="21"/>
                <w:szCs w:val="21"/>
                <w:lang w:bidi="ar"/>
              </w:rPr>
              <w:t>商务评分标准（</w:t>
            </w:r>
            <w:r>
              <w:rPr>
                <w:rFonts w:hint="eastAsia" w:ascii="微软雅黑" w:hAnsi="微软雅黑" w:eastAsia="微软雅黑" w:cs="微软雅黑"/>
                <w:kern w:val="0"/>
                <w:sz w:val="21"/>
                <w:szCs w:val="21"/>
                <w:lang w:val="en-US" w:eastAsia="zh-CN" w:bidi="ar"/>
              </w:rPr>
              <w:t>4</w:t>
            </w:r>
            <w:r>
              <w:rPr>
                <w:rFonts w:hint="eastAsia" w:ascii="微软雅黑" w:hAnsi="微软雅黑" w:eastAsia="微软雅黑" w:cs="微软雅黑"/>
                <w:kern w:val="0"/>
                <w:sz w:val="21"/>
                <w:szCs w:val="21"/>
                <w:lang w:bidi="ar"/>
              </w:rPr>
              <w:t>）</w:t>
            </w:r>
          </w:p>
        </w:tc>
        <w:tc>
          <w:tcPr>
            <w:tcW w:w="861" w:type="dxa"/>
            <w:shd w:val="clear" w:color="auto" w:fill="auto"/>
            <w:vAlign w:val="center"/>
          </w:tcPr>
          <w:p w14:paraId="037687AB">
            <w:pPr>
              <w:widowControl/>
              <w:jc w:val="center"/>
              <w:textAlignment w:val="center"/>
              <w:rPr>
                <w:rFonts w:hint="eastAsia" w:ascii="微软雅黑" w:hAnsi="微软雅黑" w:eastAsia="微软雅黑" w:cs="微软雅黑"/>
                <w:sz w:val="21"/>
                <w:szCs w:val="21"/>
              </w:rPr>
            </w:pPr>
            <w:r>
              <w:rPr>
                <w:rFonts w:hint="eastAsia" w:ascii="微软雅黑" w:hAnsi="微软雅黑" w:eastAsia="微软雅黑" w:cs="微软雅黑"/>
                <w:kern w:val="0"/>
                <w:sz w:val="21"/>
                <w:szCs w:val="21"/>
                <w:lang w:bidi="ar"/>
              </w:rPr>
              <w:t>类似业绩</w:t>
            </w:r>
          </w:p>
        </w:tc>
        <w:tc>
          <w:tcPr>
            <w:tcW w:w="875" w:type="dxa"/>
            <w:shd w:val="clear" w:color="auto" w:fill="auto"/>
            <w:vAlign w:val="center"/>
          </w:tcPr>
          <w:p w14:paraId="5307623F">
            <w:pPr>
              <w:widowControl/>
              <w:jc w:val="center"/>
              <w:textAlignment w:val="center"/>
              <w:rPr>
                <w:rFonts w:hint="eastAsia" w:ascii="微软雅黑" w:hAnsi="微软雅黑" w:eastAsia="微软雅黑" w:cs="微软雅黑"/>
                <w:sz w:val="21"/>
                <w:szCs w:val="21"/>
              </w:rPr>
            </w:pPr>
            <w:r>
              <w:rPr>
                <w:rFonts w:hint="eastAsia" w:ascii="微软雅黑" w:hAnsi="微软雅黑" w:eastAsia="微软雅黑" w:cs="微软雅黑"/>
                <w:kern w:val="0"/>
                <w:sz w:val="21"/>
                <w:szCs w:val="21"/>
                <w:lang w:bidi="ar"/>
              </w:rPr>
              <w:t>4</w:t>
            </w:r>
          </w:p>
        </w:tc>
        <w:tc>
          <w:tcPr>
            <w:tcW w:w="6823" w:type="dxa"/>
            <w:shd w:val="clear" w:color="auto" w:fill="auto"/>
            <w:vAlign w:val="center"/>
          </w:tcPr>
          <w:p w14:paraId="391A8105">
            <w:pPr>
              <w:widowControl/>
              <w:jc w:val="left"/>
              <w:textAlignment w:val="center"/>
              <w:rPr>
                <w:rFonts w:hint="eastAsia" w:ascii="微软雅黑" w:hAnsi="微软雅黑" w:eastAsia="微软雅黑" w:cs="微软雅黑"/>
                <w:sz w:val="21"/>
                <w:szCs w:val="21"/>
              </w:rPr>
            </w:pPr>
            <w:r>
              <w:rPr>
                <w:rFonts w:hint="eastAsia" w:ascii="微软雅黑" w:hAnsi="微软雅黑" w:eastAsia="微软雅黑" w:cs="微软雅黑"/>
                <w:kern w:val="0"/>
                <w:sz w:val="21"/>
                <w:szCs w:val="21"/>
                <w:lang w:bidi="ar"/>
              </w:rPr>
              <w:t>业绩：提供近三年内全国范围内同类项目业绩证明材料，中标（成交）通知书或合同，每提供一个得2分，共4分。</w:t>
            </w:r>
            <w:r>
              <w:rPr>
                <w:rFonts w:hint="eastAsia" w:ascii="微软雅黑" w:hAnsi="微软雅黑" w:eastAsia="微软雅黑" w:cs="微软雅黑"/>
                <w:kern w:val="0"/>
                <w:sz w:val="21"/>
                <w:szCs w:val="21"/>
                <w:lang w:bidi="ar"/>
              </w:rPr>
              <w:br w:type="textWrapping"/>
            </w:r>
            <w:r>
              <w:rPr>
                <w:rFonts w:hint="eastAsia" w:ascii="微软雅黑" w:hAnsi="微软雅黑" w:eastAsia="微软雅黑" w:cs="微软雅黑"/>
                <w:kern w:val="0"/>
                <w:sz w:val="21"/>
                <w:szCs w:val="21"/>
                <w:lang w:bidi="ar"/>
              </w:rPr>
              <w:t>（1）若提供的业绩证明材料为框架协议合同，则须同时提供框架协议（须包含：合同首页、合同标的页、合同金额页、合同签字盖章页）、框架协议合同下的采购订单。</w:t>
            </w:r>
            <w:r>
              <w:rPr>
                <w:rFonts w:hint="eastAsia" w:ascii="微软雅黑" w:hAnsi="微软雅黑" w:eastAsia="微软雅黑" w:cs="微软雅黑"/>
                <w:kern w:val="0"/>
                <w:sz w:val="21"/>
                <w:szCs w:val="21"/>
                <w:lang w:bidi="ar"/>
              </w:rPr>
              <w:br w:type="textWrapping"/>
            </w:r>
            <w:r>
              <w:rPr>
                <w:rFonts w:hint="eastAsia" w:ascii="微软雅黑" w:hAnsi="微软雅黑" w:eastAsia="微软雅黑" w:cs="微软雅黑"/>
                <w:kern w:val="0"/>
                <w:sz w:val="21"/>
                <w:szCs w:val="21"/>
                <w:lang w:bidi="ar"/>
              </w:rPr>
              <w:t>（2）若提供的业绩证明材料为单项合同，须同时提供单项合同（须包含：合同首页、合同标的页、合同金额页、合同签字盖章页）。</w:t>
            </w:r>
          </w:p>
        </w:tc>
      </w:tr>
      <w:tr w14:paraId="1F9FFF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26" w:type="dxa"/>
            <w:shd w:val="clear" w:color="auto" w:fill="auto"/>
            <w:vAlign w:val="center"/>
          </w:tcPr>
          <w:p w14:paraId="06E36F4F">
            <w:pPr>
              <w:widowControl/>
              <w:jc w:val="center"/>
              <w:textAlignment w:val="center"/>
              <w:rPr>
                <w:rFonts w:hint="eastAsia" w:ascii="微软雅黑" w:hAnsi="微软雅黑" w:eastAsia="微软雅黑" w:cs="微软雅黑"/>
                <w:sz w:val="21"/>
                <w:szCs w:val="21"/>
              </w:rPr>
            </w:pPr>
            <w:r>
              <w:rPr>
                <w:rFonts w:hint="eastAsia" w:ascii="微软雅黑" w:hAnsi="微软雅黑" w:eastAsia="微软雅黑" w:cs="微软雅黑"/>
                <w:kern w:val="0"/>
                <w:sz w:val="21"/>
                <w:szCs w:val="21"/>
                <w:lang w:bidi="ar"/>
              </w:rPr>
              <w:t xml:space="preserve">3 </w:t>
            </w:r>
          </w:p>
        </w:tc>
        <w:tc>
          <w:tcPr>
            <w:tcW w:w="0" w:type="auto"/>
            <w:vMerge w:val="restart"/>
            <w:shd w:val="clear" w:color="auto" w:fill="auto"/>
            <w:vAlign w:val="center"/>
          </w:tcPr>
          <w:p w14:paraId="4BC8066F">
            <w:pPr>
              <w:widowControl/>
              <w:jc w:val="center"/>
              <w:textAlignment w:val="center"/>
              <w:rPr>
                <w:rFonts w:hint="eastAsia" w:ascii="微软雅黑" w:hAnsi="微软雅黑" w:eastAsia="微软雅黑" w:cs="微软雅黑"/>
                <w:sz w:val="21"/>
                <w:szCs w:val="21"/>
              </w:rPr>
            </w:pPr>
            <w:r>
              <w:rPr>
                <w:rFonts w:hint="eastAsia" w:ascii="微软雅黑" w:hAnsi="微软雅黑" w:eastAsia="微软雅黑" w:cs="微软雅黑"/>
                <w:kern w:val="0"/>
                <w:sz w:val="21"/>
                <w:szCs w:val="21"/>
                <w:lang w:bidi="ar"/>
              </w:rPr>
              <w:t>技术评分标（</w:t>
            </w:r>
            <w:r>
              <w:rPr>
                <w:rFonts w:hint="eastAsia" w:ascii="微软雅黑" w:hAnsi="微软雅黑" w:eastAsia="微软雅黑" w:cs="微软雅黑"/>
                <w:kern w:val="0"/>
                <w:sz w:val="21"/>
                <w:szCs w:val="21"/>
                <w:lang w:val="en-US" w:eastAsia="zh-CN" w:bidi="ar"/>
              </w:rPr>
              <w:t>86</w:t>
            </w:r>
            <w:r>
              <w:rPr>
                <w:rFonts w:hint="eastAsia" w:ascii="微软雅黑" w:hAnsi="微软雅黑" w:eastAsia="微软雅黑" w:cs="微软雅黑"/>
                <w:kern w:val="0"/>
                <w:sz w:val="21"/>
                <w:szCs w:val="21"/>
                <w:lang w:bidi="ar"/>
              </w:rPr>
              <w:t>）</w:t>
            </w:r>
          </w:p>
        </w:tc>
        <w:tc>
          <w:tcPr>
            <w:tcW w:w="861" w:type="dxa"/>
            <w:shd w:val="clear" w:color="auto" w:fill="auto"/>
            <w:vAlign w:val="center"/>
          </w:tcPr>
          <w:p w14:paraId="4041A6AC">
            <w:pPr>
              <w:widowControl/>
              <w:jc w:val="center"/>
              <w:textAlignment w:val="center"/>
              <w:rPr>
                <w:rFonts w:hint="eastAsia" w:ascii="微软雅黑" w:hAnsi="微软雅黑" w:eastAsia="微软雅黑" w:cs="微软雅黑"/>
                <w:kern w:val="2"/>
                <w:sz w:val="21"/>
                <w:szCs w:val="21"/>
                <w:lang w:val="en-US" w:eastAsia="zh-CN" w:bidi="ar-SA"/>
              </w:rPr>
            </w:pPr>
            <w:r>
              <w:rPr>
                <w:rFonts w:hint="eastAsia" w:ascii="微软雅黑" w:hAnsi="微软雅黑" w:eastAsia="微软雅黑" w:cs="微软雅黑"/>
                <w:sz w:val="21"/>
                <w:szCs w:val="21"/>
                <w:rtl w:val="0"/>
                <w:cs w:val="0"/>
                <w:lang w:val="en-US" w:eastAsia="zh-CN"/>
              </w:rPr>
              <w:t>项目实施计划</w:t>
            </w:r>
          </w:p>
        </w:tc>
        <w:tc>
          <w:tcPr>
            <w:tcW w:w="875" w:type="dxa"/>
            <w:shd w:val="clear" w:color="auto" w:fill="auto"/>
            <w:vAlign w:val="center"/>
          </w:tcPr>
          <w:p w14:paraId="58A5928E">
            <w:pPr>
              <w:widowControl/>
              <w:jc w:val="center"/>
              <w:textAlignment w:val="center"/>
              <w:rPr>
                <w:rFonts w:hint="eastAsia" w:ascii="微软雅黑" w:hAnsi="微软雅黑" w:eastAsia="微软雅黑" w:cs="微软雅黑"/>
                <w:kern w:val="0"/>
                <w:sz w:val="21"/>
                <w:szCs w:val="21"/>
                <w:lang w:val="en-US" w:eastAsia="zh-CN" w:bidi="ar"/>
              </w:rPr>
            </w:pPr>
            <w:r>
              <w:rPr>
                <w:rFonts w:hint="eastAsia" w:ascii="微软雅黑" w:hAnsi="微软雅黑" w:eastAsia="微软雅黑" w:cs="微软雅黑"/>
                <w:kern w:val="0"/>
                <w:sz w:val="21"/>
                <w:szCs w:val="21"/>
                <w:lang w:val="en-US" w:eastAsia="zh-CN" w:bidi="ar"/>
              </w:rPr>
              <w:t>28</w:t>
            </w:r>
          </w:p>
        </w:tc>
        <w:tc>
          <w:tcPr>
            <w:tcW w:w="6823" w:type="dxa"/>
            <w:shd w:val="clear" w:color="auto" w:fill="auto"/>
            <w:vAlign w:val="center"/>
          </w:tcPr>
          <w:p w14:paraId="43AE6240">
            <w:pPr>
              <w:widowControl/>
              <w:jc w:val="left"/>
              <w:textAlignment w:val="center"/>
              <w:rPr>
                <w:rFonts w:hint="eastAsia" w:ascii="微软雅黑" w:hAnsi="微软雅黑" w:eastAsia="微软雅黑" w:cs="微软雅黑"/>
                <w:b w:val="0"/>
                <w:bCs w:val="0"/>
                <w:color w:val="auto"/>
                <w:kern w:val="2"/>
                <w:sz w:val="21"/>
                <w:szCs w:val="21"/>
                <w:highlight w:val="none"/>
                <w:cs w:val="0"/>
                <w:lang w:val="en-US" w:eastAsia="zh-CN" w:bidi="ar-SA"/>
              </w:rPr>
            </w:pPr>
            <w:r>
              <w:rPr>
                <w:rFonts w:hint="eastAsia" w:ascii="微软雅黑" w:hAnsi="微软雅黑" w:eastAsia="微软雅黑" w:cs="微软雅黑"/>
                <w:b w:val="0"/>
                <w:bCs w:val="0"/>
                <w:color w:val="auto"/>
                <w:sz w:val="21"/>
                <w:szCs w:val="21"/>
                <w:highlight w:val="none"/>
                <w:rtl w:val="0"/>
                <w:cs w:val="0"/>
                <w:lang w:val="en-US" w:eastAsia="zh-CN"/>
              </w:rPr>
              <w:t>根据项目需求提供详细具体的项目实施计划，计划针对项目初期、项目中期、项目后期三个阶段（提供个阶段详细的工作流程，各服务项目和环节所需要的工作计划和安排，详细列明服务工作的定期报告计划与报告内容）计划</w:t>
            </w:r>
            <w:r>
              <w:rPr>
                <w:rFonts w:hint="eastAsia" w:ascii="微软雅黑" w:hAnsi="微软雅黑" w:eastAsia="微软雅黑" w:cs="微软雅黑"/>
                <w:b w:val="0"/>
                <w:bCs w:val="0"/>
                <w:color w:val="auto"/>
                <w:sz w:val="21"/>
                <w:szCs w:val="21"/>
                <w:highlight w:val="none"/>
                <w:cs w:val="0"/>
                <w:lang w:val="en-US" w:eastAsia="zh-CN"/>
              </w:rPr>
              <w:t>贴合本项目实际情况，逻辑清晰、内容全面，完全满足项目采购需求的得28分，其中缺项漏项或内容不全面或内容不具体或文字表述不清晰或与项目内容无关的，每有一项扣2分，扣完为止。</w:t>
            </w:r>
          </w:p>
        </w:tc>
      </w:tr>
      <w:tr w14:paraId="2AD22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0" w:hRule="atLeast"/>
        </w:trPr>
        <w:tc>
          <w:tcPr>
            <w:tcW w:w="426" w:type="dxa"/>
            <w:shd w:val="clear" w:color="auto" w:fill="auto"/>
            <w:vAlign w:val="center"/>
          </w:tcPr>
          <w:p w14:paraId="7A84EF7D">
            <w:pPr>
              <w:widowControl/>
              <w:jc w:val="center"/>
              <w:textAlignment w:val="center"/>
              <w:rPr>
                <w:rFonts w:hint="eastAsia" w:ascii="微软雅黑" w:hAnsi="微软雅黑" w:eastAsia="微软雅黑" w:cs="微软雅黑"/>
                <w:kern w:val="0"/>
                <w:sz w:val="21"/>
                <w:szCs w:val="21"/>
                <w:lang w:val="en-US" w:eastAsia="zh-CN" w:bidi="ar"/>
              </w:rPr>
            </w:pPr>
            <w:r>
              <w:rPr>
                <w:rFonts w:hint="eastAsia" w:ascii="微软雅黑" w:hAnsi="微软雅黑" w:eastAsia="微软雅黑" w:cs="微软雅黑"/>
                <w:kern w:val="0"/>
                <w:sz w:val="21"/>
                <w:szCs w:val="21"/>
                <w:lang w:val="en-US" w:eastAsia="zh-CN" w:bidi="ar"/>
              </w:rPr>
              <w:t>4</w:t>
            </w:r>
          </w:p>
        </w:tc>
        <w:tc>
          <w:tcPr>
            <w:tcW w:w="0" w:type="auto"/>
            <w:vMerge w:val="continue"/>
            <w:shd w:val="clear" w:color="auto" w:fill="auto"/>
            <w:vAlign w:val="center"/>
          </w:tcPr>
          <w:p w14:paraId="6F6D2554">
            <w:pPr>
              <w:widowControl/>
              <w:jc w:val="center"/>
              <w:textAlignment w:val="center"/>
              <w:rPr>
                <w:rFonts w:hint="eastAsia" w:ascii="微软雅黑" w:hAnsi="微软雅黑" w:eastAsia="微软雅黑" w:cs="微软雅黑"/>
                <w:kern w:val="0"/>
                <w:sz w:val="21"/>
                <w:szCs w:val="21"/>
                <w:lang w:bidi="ar"/>
              </w:rPr>
            </w:pPr>
          </w:p>
        </w:tc>
        <w:tc>
          <w:tcPr>
            <w:tcW w:w="861" w:type="dxa"/>
            <w:shd w:val="clear" w:color="auto" w:fill="auto"/>
            <w:vAlign w:val="center"/>
          </w:tcPr>
          <w:p w14:paraId="41D8AB1B">
            <w:pPr>
              <w:widowControl/>
              <w:jc w:val="center"/>
              <w:textAlignment w:val="center"/>
              <w:rPr>
                <w:rFonts w:hint="eastAsia" w:ascii="微软雅黑" w:hAnsi="微软雅黑" w:eastAsia="微软雅黑" w:cs="微软雅黑"/>
                <w:sz w:val="21"/>
                <w:szCs w:val="21"/>
                <w:lang w:val="en-US" w:eastAsia="zh-CN"/>
              </w:rPr>
            </w:pPr>
            <w:r>
              <w:rPr>
                <w:rFonts w:hint="eastAsia" w:ascii="微软雅黑" w:hAnsi="微软雅黑" w:eastAsia="微软雅黑" w:cs="微软雅黑"/>
                <w:sz w:val="21"/>
                <w:szCs w:val="21"/>
                <w:lang w:val="en-US" w:eastAsia="zh-CN"/>
              </w:rPr>
              <w:t>服务</w:t>
            </w:r>
          </w:p>
          <w:p w14:paraId="7A01C58F">
            <w:pPr>
              <w:widowControl/>
              <w:jc w:val="center"/>
              <w:textAlignment w:val="center"/>
              <w:rPr>
                <w:rFonts w:hint="eastAsia" w:ascii="微软雅黑" w:hAnsi="微软雅黑" w:eastAsia="微软雅黑" w:cs="微软雅黑"/>
                <w:sz w:val="21"/>
                <w:szCs w:val="21"/>
                <w:lang w:val="en-US" w:eastAsia="zh-CN"/>
              </w:rPr>
            </w:pPr>
            <w:r>
              <w:rPr>
                <w:rFonts w:hint="eastAsia" w:ascii="微软雅黑" w:hAnsi="微软雅黑" w:eastAsia="微软雅黑" w:cs="微软雅黑"/>
                <w:sz w:val="21"/>
                <w:szCs w:val="21"/>
                <w:lang w:val="en-US" w:eastAsia="zh-CN"/>
              </w:rPr>
              <w:t>要求</w:t>
            </w:r>
          </w:p>
        </w:tc>
        <w:tc>
          <w:tcPr>
            <w:tcW w:w="875" w:type="dxa"/>
            <w:shd w:val="clear" w:color="auto" w:fill="auto"/>
            <w:vAlign w:val="center"/>
          </w:tcPr>
          <w:p w14:paraId="37775ACF">
            <w:pPr>
              <w:widowControl/>
              <w:jc w:val="center"/>
              <w:textAlignment w:val="center"/>
              <w:rPr>
                <w:rFonts w:hint="eastAsia" w:ascii="微软雅黑" w:hAnsi="微软雅黑" w:eastAsia="微软雅黑" w:cs="微软雅黑"/>
                <w:kern w:val="0"/>
                <w:sz w:val="21"/>
                <w:szCs w:val="21"/>
                <w:lang w:val="en-US" w:eastAsia="zh-CN" w:bidi="ar"/>
              </w:rPr>
            </w:pPr>
            <w:r>
              <w:rPr>
                <w:rFonts w:hint="eastAsia" w:ascii="微软雅黑" w:hAnsi="微软雅黑" w:eastAsia="微软雅黑" w:cs="微软雅黑"/>
                <w:kern w:val="0"/>
                <w:sz w:val="21"/>
                <w:szCs w:val="21"/>
                <w:lang w:val="en-US" w:eastAsia="zh-CN" w:bidi="ar"/>
              </w:rPr>
              <w:t>6</w:t>
            </w:r>
          </w:p>
        </w:tc>
        <w:tc>
          <w:tcPr>
            <w:tcW w:w="6823" w:type="dxa"/>
            <w:shd w:val="clear" w:color="auto" w:fill="auto"/>
            <w:vAlign w:val="center"/>
          </w:tcPr>
          <w:p w14:paraId="2B6C6576">
            <w:pPr>
              <w:widowControl/>
              <w:jc w:val="left"/>
              <w:textAlignment w:val="center"/>
              <w:rPr>
                <w:rFonts w:hint="eastAsia" w:ascii="微软雅黑" w:hAnsi="微软雅黑" w:eastAsia="微软雅黑" w:cs="微软雅黑"/>
                <w:b w:val="0"/>
                <w:bCs w:val="0"/>
                <w:color w:val="auto"/>
                <w:sz w:val="21"/>
                <w:szCs w:val="21"/>
                <w:highlight w:val="none"/>
                <w:cs w:val="0"/>
                <w:lang w:val="en-US" w:eastAsia="zh-CN"/>
              </w:rPr>
            </w:pPr>
            <w:r>
              <w:rPr>
                <w:rFonts w:hint="eastAsia" w:ascii="微软雅黑" w:hAnsi="微软雅黑" w:eastAsia="微软雅黑" w:cs="微软雅黑"/>
                <w:b w:val="0"/>
                <w:bCs w:val="0"/>
                <w:color w:val="auto"/>
                <w:sz w:val="21"/>
                <w:szCs w:val="21"/>
                <w:highlight w:val="none"/>
                <w:cs w:val="0"/>
                <w:lang w:val="en-US" w:eastAsia="zh-CN"/>
              </w:rPr>
              <w:t>1、提供必要的数据备份和恢复服务，确保项目数据安全、 完整性和可持续性提供详细的保障方案得2分。</w:t>
            </w:r>
          </w:p>
          <w:p w14:paraId="263A60EF">
            <w:pPr>
              <w:widowControl/>
              <w:jc w:val="left"/>
              <w:textAlignment w:val="center"/>
              <w:rPr>
                <w:rFonts w:hint="eastAsia" w:ascii="微软雅黑" w:hAnsi="微软雅黑" w:eastAsia="微软雅黑" w:cs="微软雅黑"/>
                <w:b w:val="0"/>
                <w:bCs w:val="0"/>
                <w:color w:val="auto"/>
                <w:sz w:val="21"/>
                <w:szCs w:val="21"/>
                <w:highlight w:val="none"/>
                <w:cs w:val="0"/>
                <w:lang w:val="en-US" w:eastAsia="zh-CN"/>
              </w:rPr>
            </w:pPr>
            <w:r>
              <w:rPr>
                <w:rFonts w:hint="eastAsia" w:ascii="微软雅黑" w:hAnsi="微软雅黑" w:eastAsia="微软雅黑" w:cs="微软雅黑"/>
                <w:b w:val="0"/>
                <w:bCs w:val="0"/>
                <w:color w:val="auto"/>
                <w:sz w:val="21"/>
                <w:szCs w:val="21"/>
                <w:highlight w:val="none"/>
                <w:cs w:val="0"/>
                <w:lang w:val="en-US" w:eastAsia="zh-CN"/>
              </w:rPr>
              <w:t xml:space="preserve">2、不断优化社会救助服务项目的质量和效果，对项目实施情况进行分期评估并进行绩效评价，提出改进意见，提供详细的绩效评价方案得2分。 </w:t>
            </w:r>
          </w:p>
          <w:p w14:paraId="06060905">
            <w:pPr>
              <w:widowControl/>
              <w:jc w:val="left"/>
              <w:textAlignment w:val="center"/>
              <w:rPr>
                <w:rFonts w:hint="eastAsia" w:ascii="微软雅黑" w:hAnsi="微软雅黑" w:eastAsia="微软雅黑" w:cs="微软雅黑"/>
                <w:b w:val="0"/>
                <w:bCs w:val="0"/>
                <w:color w:val="auto"/>
                <w:sz w:val="21"/>
                <w:szCs w:val="21"/>
                <w:highlight w:val="none"/>
                <w:lang w:val="en-US" w:eastAsia="zh-CN"/>
              </w:rPr>
            </w:pPr>
            <w:r>
              <w:rPr>
                <w:rFonts w:hint="eastAsia" w:ascii="微软雅黑" w:hAnsi="微软雅黑" w:eastAsia="微软雅黑" w:cs="微软雅黑"/>
                <w:b w:val="0"/>
                <w:bCs w:val="0"/>
                <w:color w:val="auto"/>
                <w:sz w:val="21"/>
                <w:szCs w:val="21"/>
                <w:highlight w:val="none"/>
                <w:cs w:val="0"/>
                <w:lang w:val="en-US" w:eastAsia="zh-CN"/>
              </w:rPr>
              <w:t>3、协助做好服务对象信息收集整理并进行建档，提供建档模板、建档专用电脑得2分。</w:t>
            </w:r>
          </w:p>
        </w:tc>
      </w:tr>
      <w:tr w14:paraId="7063DF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426" w:type="dxa"/>
            <w:vMerge w:val="restart"/>
            <w:shd w:val="clear" w:color="auto" w:fill="auto"/>
            <w:vAlign w:val="center"/>
          </w:tcPr>
          <w:p w14:paraId="6651F22F">
            <w:pPr>
              <w:jc w:val="center"/>
              <w:rPr>
                <w:rFonts w:hint="eastAsia" w:ascii="微软雅黑" w:hAnsi="微软雅黑" w:eastAsia="微软雅黑" w:cs="微软雅黑"/>
                <w:sz w:val="21"/>
                <w:szCs w:val="21"/>
                <w:lang w:val="en-US" w:eastAsia="zh-CN"/>
              </w:rPr>
            </w:pPr>
            <w:r>
              <w:rPr>
                <w:rFonts w:hint="eastAsia" w:ascii="微软雅黑" w:hAnsi="微软雅黑" w:eastAsia="微软雅黑" w:cs="微软雅黑"/>
                <w:sz w:val="21"/>
                <w:szCs w:val="21"/>
                <w:lang w:val="en-US" w:eastAsia="zh-CN"/>
              </w:rPr>
              <w:t>5</w:t>
            </w:r>
          </w:p>
        </w:tc>
        <w:tc>
          <w:tcPr>
            <w:tcW w:w="0" w:type="auto"/>
            <w:vMerge w:val="continue"/>
            <w:shd w:val="clear" w:color="auto" w:fill="auto"/>
            <w:vAlign w:val="center"/>
          </w:tcPr>
          <w:p w14:paraId="291A81A6">
            <w:pPr>
              <w:jc w:val="center"/>
              <w:rPr>
                <w:rFonts w:hint="eastAsia" w:ascii="微软雅黑" w:hAnsi="微软雅黑" w:eastAsia="微软雅黑" w:cs="微软雅黑"/>
                <w:sz w:val="21"/>
                <w:szCs w:val="21"/>
              </w:rPr>
            </w:pPr>
          </w:p>
        </w:tc>
        <w:tc>
          <w:tcPr>
            <w:tcW w:w="861" w:type="dxa"/>
            <w:vMerge w:val="restart"/>
            <w:shd w:val="clear" w:color="auto" w:fill="auto"/>
            <w:vAlign w:val="center"/>
          </w:tcPr>
          <w:p w14:paraId="407C77A6">
            <w:pPr>
              <w:jc w:val="center"/>
              <w:rPr>
                <w:rFonts w:hint="eastAsia" w:ascii="微软雅黑" w:hAnsi="微软雅黑" w:eastAsia="微软雅黑" w:cs="微软雅黑"/>
                <w:sz w:val="21"/>
                <w:szCs w:val="21"/>
              </w:rPr>
            </w:pPr>
            <w:r>
              <w:rPr>
                <w:rFonts w:hint="eastAsia" w:ascii="微软雅黑" w:hAnsi="微软雅黑" w:eastAsia="微软雅黑" w:cs="微软雅黑"/>
                <w:sz w:val="21"/>
                <w:szCs w:val="21"/>
                <w:lang w:val="en-US" w:eastAsia="zh-CN"/>
              </w:rPr>
              <w:t>拟投入本项目人员</w:t>
            </w:r>
          </w:p>
        </w:tc>
        <w:tc>
          <w:tcPr>
            <w:tcW w:w="875" w:type="dxa"/>
            <w:shd w:val="clear" w:color="auto" w:fill="auto"/>
            <w:vAlign w:val="center"/>
          </w:tcPr>
          <w:p w14:paraId="67024C99">
            <w:pPr>
              <w:widowControl/>
              <w:jc w:val="center"/>
              <w:textAlignment w:val="center"/>
              <w:rPr>
                <w:rFonts w:hint="eastAsia" w:ascii="微软雅黑" w:hAnsi="微软雅黑" w:eastAsia="微软雅黑" w:cs="微软雅黑"/>
                <w:sz w:val="21"/>
                <w:szCs w:val="21"/>
                <w:highlight w:val="none"/>
                <w:lang w:val="en-US" w:eastAsia="zh-CN"/>
              </w:rPr>
            </w:pPr>
            <w:r>
              <w:rPr>
                <w:rFonts w:hint="eastAsia" w:ascii="微软雅黑" w:hAnsi="微软雅黑" w:eastAsia="微软雅黑" w:cs="微软雅黑"/>
                <w:sz w:val="21"/>
                <w:szCs w:val="21"/>
                <w:highlight w:val="none"/>
                <w:lang w:val="en-US" w:eastAsia="zh-CN"/>
              </w:rPr>
              <w:t>14</w:t>
            </w:r>
          </w:p>
        </w:tc>
        <w:tc>
          <w:tcPr>
            <w:tcW w:w="6823" w:type="dxa"/>
            <w:shd w:val="clear" w:color="auto" w:fill="auto"/>
            <w:vAlign w:val="center"/>
          </w:tcPr>
          <w:p w14:paraId="770D5125">
            <w:pPr>
              <w:widowControl/>
              <w:jc w:val="left"/>
              <w:textAlignment w:val="center"/>
              <w:rPr>
                <w:rFonts w:hint="eastAsia" w:ascii="微软雅黑" w:hAnsi="微软雅黑" w:eastAsia="微软雅黑" w:cs="微软雅黑"/>
                <w:b w:val="0"/>
                <w:bCs w:val="0"/>
                <w:color w:val="auto"/>
                <w:sz w:val="21"/>
                <w:szCs w:val="21"/>
                <w:highlight w:val="none"/>
                <w:cs w:val="0"/>
                <w:lang w:val="en-US" w:eastAsia="zh-CN"/>
              </w:rPr>
            </w:pPr>
            <w:r>
              <w:rPr>
                <w:rFonts w:hint="eastAsia" w:ascii="微软雅黑" w:hAnsi="微软雅黑" w:eastAsia="微软雅黑" w:cs="微软雅黑"/>
                <w:b w:val="0"/>
                <w:bCs w:val="0"/>
                <w:color w:val="auto"/>
                <w:sz w:val="21"/>
                <w:szCs w:val="21"/>
                <w:highlight w:val="none"/>
                <w:cs w:val="0"/>
                <w:lang w:val="en-US" w:eastAsia="zh-CN"/>
              </w:rPr>
              <w:t>1、投入本项目专职社会工作人员具备助理社会工作师(初级)的每提供一人得1分，最高可得5分；</w:t>
            </w:r>
          </w:p>
          <w:p w14:paraId="2ECB416E">
            <w:pPr>
              <w:widowControl/>
              <w:jc w:val="left"/>
              <w:textAlignment w:val="center"/>
              <w:rPr>
                <w:rFonts w:hint="eastAsia" w:ascii="微软雅黑" w:hAnsi="微软雅黑" w:eastAsia="微软雅黑" w:cs="微软雅黑"/>
                <w:b w:val="0"/>
                <w:bCs w:val="0"/>
                <w:color w:val="auto"/>
                <w:sz w:val="21"/>
                <w:szCs w:val="21"/>
                <w:highlight w:val="none"/>
                <w:cs w:val="0"/>
                <w:lang w:val="en-US" w:eastAsia="zh-CN"/>
              </w:rPr>
            </w:pPr>
            <w:r>
              <w:rPr>
                <w:rFonts w:hint="eastAsia" w:ascii="微软雅黑" w:hAnsi="微软雅黑" w:eastAsia="微软雅黑" w:cs="微软雅黑"/>
                <w:b w:val="0"/>
                <w:bCs w:val="0"/>
                <w:color w:val="auto"/>
                <w:sz w:val="21"/>
                <w:szCs w:val="21"/>
                <w:highlight w:val="none"/>
                <w:cs w:val="0"/>
                <w:lang w:val="en-US" w:eastAsia="zh-CN"/>
              </w:rPr>
              <w:t>2、投入本项目专职社会工作人员具备社会工作师(中级)的每提供一人得3分，最高可得9分。</w:t>
            </w:r>
          </w:p>
          <w:p w14:paraId="169D5D47">
            <w:pPr>
              <w:widowControl/>
              <w:jc w:val="left"/>
              <w:textAlignment w:val="center"/>
              <w:rPr>
                <w:rFonts w:hint="eastAsia" w:ascii="微软雅黑" w:hAnsi="微软雅黑" w:eastAsia="微软雅黑" w:cs="微软雅黑"/>
                <w:sz w:val="21"/>
                <w:szCs w:val="21"/>
                <w:highlight w:val="none"/>
              </w:rPr>
            </w:pPr>
            <w:r>
              <w:rPr>
                <w:rFonts w:hint="eastAsia" w:ascii="微软雅黑" w:hAnsi="微软雅黑" w:eastAsia="微软雅黑" w:cs="微软雅黑"/>
                <w:b/>
                <w:bCs/>
                <w:color w:val="auto"/>
                <w:sz w:val="21"/>
                <w:szCs w:val="21"/>
                <w:highlight w:val="none"/>
                <w:cs w:val="0"/>
                <w:lang w:val="en-US" w:eastAsia="zh-CN"/>
              </w:rPr>
              <w:t>（注：1、需提供人员身份证、职业资格证书扫描件，劳务合同，未提供或提供不全的不计入得分；2、人员同时具备初级及中级资格证书的只中级资格证书计入得分）。</w:t>
            </w:r>
          </w:p>
        </w:tc>
      </w:tr>
      <w:tr w14:paraId="78A2FE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426" w:type="dxa"/>
            <w:vMerge w:val="continue"/>
            <w:shd w:val="clear" w:color="auto" w:fill="auto"/>
            <w:vAlign w:val="center"/>
          </w:tcPr>
          <w:p w14:paraId="354446B7">
            <w:pPr>
              <w:jc w:val="center"/>
              <w:rPr>
                <w:rFonts w:hint="eastAsia" w:ascii="微软雅黑" w:hAnsi="微软雅黑" w:eastAsia="微软雅黑" w:cs="微软雅黑"/>
                <w:sz w:val="21"/>
                <w:szCs w:val="21"/>
              </w:rPr>
            </w:pPr>
          </w:p>
        </w:tc>
        <w:tc>
          <w:tcPr>
            <w:tcW w:w="0" w:type="auto"/>
            <w:vMerge w:val="continue"/>
            <w:shd w:val="clear" w:color="auto" w:fill="auto"/>
            <w:vAlign w:val="center"/>
          </w:tcPr>
          <w:p w14:paraId="6114B052">
            <w:pPr>
              <w:jc w:val="center"/>
              <w:rPr>
                <w:rFonts w:hint="eastAsia" w:ascii="微软雅黑" w:hAnsi="微软雅黑" w:eastAsia="微软雅黑" w:cs="微软雅黑"/>
                <w:sz w:val="21"/>
                <w:szCs w:val="21"/>
              </w:rPr>
            </w:pPr>
          </w:p>
        </w:tc>
        <w:tc>
          <w:tcPr>
            <w:tcW w:w="861" w:type="dxa"/>
            <w:vMerge w:val="continue"/>
            <w:shd w:val="clear" w:color="auto" w:fill="auto"/>
            <w:vAlign w:val="center"/>
          </w:tcPr>
          <w:p w14:paraId="50814B86">
            <w:pPr>
              <w:jc w:val="center"/>
              <w:rPr>
                <w:rFonts w:hint="eastAsia" w:ascii="微软雅黑" w:hAnsi="微软雅黑" w:eastAsia="微软雅黑" w:cs="微软雅黑"/>
                <w:sz w:val="21"/>
                <w:szCs w:val="21"/>
                <w:lang w:val="en-US" w:eastAsia="zh-CN"/>
              </w:rPr>
            </w:pPr>
          </w:p>
        </w:tc>
        <w:tc>
          <w:tcPr>
            <w:tcW w:w="875" w:type="dxa"/>
            <w:shd w:val="clear" w:color="auto" w:fill="auto"/>
            <w:vAlign w:val="center"/>
          </w:tcPr>
          <w:p w14:paraId="637E9886">
            <w:pPr>
              <w:widowControl/>
              <w:jc w:val="center"/>
              <w:textAlignment w:val="center"/>
              <w:rPr>
                <w:rFonts w:hint="eastAsia" w:ascii="微软雅黑" w:hAnsi="微软雅黑" w:eastAsia="微软雅黑" w:cs="微软雅黑"/>
                <w:kern w:val="0"/>
                <w:sz w:val="21"/>
                <w:szCs w:val="21"/>
                <w:highlight w:val="none"/>
                <w:lang w:val="en-US" w:eastAsia="zh-CN" w:bidi="ar"/>
              </w:rPr>
            </w:pPr>
            <w:r>
              <w:rPr>
                <w:rFonts w:hint="eastAsia" w:ascii="微软雅黑" w:hAnsi="微软雅黑" w:eastAsia="微软雅黑" w:cs="微软雅黑"/>
                <w:kern w:val="0"/>
                <w:sz w:val="21"/>
                <w:szCs w:val="21"/>
                <w:highlight w:val="none"/>
                <w:lang w:val="en-US" w:eastAsia="zh-CN" w:bidi="ar"/>
              </w:rPr>
              <w:t>6</w:t>
            </w:r>
          </w:p>
        </w:tc>
        <w:tc>
          <w:tcPr>
            <w:tcW w:w="6823" w:type="dxa"/>
            <w:shd w:val="clear" w:color="auto" w:fill="auto"/>
            <w:vAlign w:val="center"/>
          </w:tcPr>
          <w:p w14:paraId="66858B47">
            <w:pPr>
              <w:widowControl/>
              <w:jc w:val="left"/>
              <w:textAlignment w:val="center"/>
              <w:rPr>
                <w:rFonts w:hint="eastAsia" w:ascii="微软雅黑" w:hAnsi="微软雅黑" w:eastAsia="微软雅黑" w:cs="微软雅黑"/>
                <w:b w:val="0"/>
                <w:bCs w:val="0"/>
                <w:color w:val="auto"/>
                <w:sz w:val="21"/>
                <w:szCs w:val="21"/>
                <w:highlight w:val="none"/>
                <w:cs w:val="0"/>
                <w:lang w:val="en-US" w:eastAsia="zh-CN"/>
              </w:rPr>
            </w:pPr>
            <w:r>
              <w:rPr>
                <w:rFonts w:hint="eastAsia" w:ascii="微软雅黑" w:hAnsi="微软雅黑" w:eastAsia="微软雅黑" w:cs="微软雅黑"/>
                <w:b w:val="0"/>
                <w:bCs w:val="0"/>
                <w:color w:val="auto"/>
                <w:sz w:val="21"/>
                <w:szCs w:val="21"/>
                <w:highlight w:val="none"/>
                <w:cs w:val="0"/>
                <w:lang w:val="en-US" w:eastAsia="zh-CN"/>
              </w:rPr>
              <w:t>项目负责人：</w:t>
            </w:r>
          </w:p>
          <w:p w14:paraId="212F1C67">
            <w:pPr>
              <w:widowControl/>
              <w:jc w:val="left"/>
              <w:textAlignment w:val="center"/>
              <w:rPr>
                <w:rFonts w:hint="eastAsia" w:ascii="微软雅黑" w:hAnsi="微软雅黑" w:eastAsia="微软雅黑" w:cs="微软雅黑"/>
                <w:b w:val="0"/>
                <w:bCs w:val="0"/>
                <w:color w:val="auto"/>
                <w:sz w:val="21"/>
                <w:szCs w:val="21"/>
                <w:highlight w:val="none"/>
                <w:cs w:val="0"/>
                <w:lang w:val="en-US" w:eastAsia="zh-CN"/>
              </w:rPr>
            </w:pPr>
            <w:r>
              <w:rPr>
                <w:rFonts w:hint="eastAsia" w:ascii="微软雅黑" w:hAnsi="微软雅黑" w:eastAsia="微软雅黑" w:cs="微软雅黑"/>
                <w:b w:val="0"/>
                <w:bCs w:val="0"/>
                <w:color w:val="auto"/>
                <w:sz w:val="21"/>
                <w:szCs w:val="21"/>
                <w:highlight w:val="none"/>
                <w:cs w:val="0"/>
                <w:lang w:val="en-US" w:eastAsia="zh-CN"/>
              </w:rPr>
              <w:t>1、项目负责人须提供需提供项目负责人情况登记表、助理社会工作师及以上证书、</w:t>
            </w:r>
            <w:r>
              <w:rPr>
                <w:rFonts w:hint="eastAsia" w:ascii="微软雅黑" w:hAnsi="微软雅黑" w:eastAsia="微软雅黑" w:cs="微软雅黑"/>
                <w:b w:val="0"/>
                <w:bCs w:val="0"/>
                <w:color w:val="auto"/>
                <w:sz w:val="21"/>
                <w:szCs w:val="21"/>
                <w:highlight w:val="none"/>
                <w:cs w:val="0"/>
                <w:lang w:val="en-US" w:eastAsia="zh-CN"/>
              </w:rPr>
              <w:t>身份证复印件，劳务合同、在本单位缴纳的近1个月社保证明，资料齐全的得4分</w:t>
            </w:r>
            <w:r>
              <w:rPr>
                <w:rFonts w:hint="eastAsia" w:ascii="微软雅黑" w:hAnsi="微软雅黑" w:eastAsia="微软雅黑" w:cs="微软雅黑"/>
                <w:b w:val="0"/>
                <w:bCs w:val="0"/>
                <w:color w:val="auto"/>
                <w:sz w:val="21"/>
                <w:szCs w:val="21"/>
                <w:highlight w:val="none"/>
                <w:cs w:val="0"/>
                <w:lang w:val="en-US" w:eastAsia="zh-CN"/>
              </w:rPr>
              <w:t>，未提供或提供不全的此项不得分。</w:t>
            </w:r>
          </w:p>
          <w:p w14:paraId="622EA2CD">
            <w:pPr>
              <w:widowControl/>
              <w:jc w:val="left"/>
              <w:textAlignment w:val="center"/>
              <w:rPr>
                <w:rFonts w:hint="eastAsia" w:ascii="微软雅黑" w:hAnsi="微软雅黑" w:eastAsia="微软雅黑" w:cs="微软雅黑"/>
                <w:kern w:val="0"/>
                <w:sz w:val="21"/>
                <w:szCs w:val="21"/>
                <w:highlight w:val="none"/>
                <w:lang w:eastAsia="zh-CN" w:bidi="ar"/>
              </w:rPr>
            </w:pPr>
            <w:r>
              <w:rPr>
                <w:rFonts w:hint="eastAsia" w:ascii="微软雅黑" w:hAnsi="微软雅黑" w:eastAsia="微软雅黑" w:cs="微软雅黑"/>
                <w:b w:val="0"/>
                <w:bCs w:val="0"/>
                <w:color w:val="auto"/>
                <w:sz w:val="21"/>
                <w:szCs w:val="21"/>
                <w:highlight w:val="none"/>
                <w:cs w:val="0"/>
                <w:lang w:val="en-US" w:eastAsia="zh-CN"/>
              </w:rPr>
              <w:t>2、提供项目负责人类似业绩证明材料，每提供1份加1分，本项最高可得2分</w:t>
            </w:r>
            <w:r>
              <w:rPr>
                <w:rFonts w:hint="eastAsia" w:ascii="微软雅黑" w:hAnsi="微软雅黑" w:eastAsia="微软雅黑" w:cs="微软雅黑"/>
                <w:b w:val="0"/>
                <w:bCs w:val="0"/>
                <w:strike w:val="0"/>
                <w:dstrike w:val="0"/>
                <w:color w:val="auto"/>
                <w:sz w:val="21"/>
                <w:szCs w:val="21"/>
                <w:highlight w:val="none"/>
                <w:cs w:val="0"/>
                <w:lang w:val="en-US" w:eastAsia="zh-CN"/>
              </w:rPr>
              <w:t>（带项目负责人姓名的项目采购合同或委托协议）</w:t>
            </w:r>
            <w:r>
              <w:rPr>
                <w:rFonts w:hint="eastAsia" w:ascii="微软雅黑" w:hAnsi="微软雅黑" w:eastAsia="微软雅黑" w:cs="微软雅黑"/>
                <w:b w:val="0"/>
                <w:bCs w:val="0"/>
                <w:color w:val="auto"/>
                <w:sz w:val="21"/>
                <w:szCs w:val="21"/>
                <w:highlight w:val="none"/>
                <w:cs w:val="0"/>
                <w:lang w:val="en-US" w:eastAsia="zh-CN"/>
              </w:rPr>
              <w:t>，未提供或提供不全的此项不得分。</w:t>
            </w:r>
          </w:p>
        </w:tc>
      </w:tr>
      <w:tr w14:paraId="690390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0" w:type="auto"/>
            <w:shd w:val="clear" w:color="auto" w:fill="auto"/>
            <w:vAlign w:val="center"/>
          </w:tcPr>
          <w:p w14:paraId="02B8F4E3">
            <w:pPr>
              <w:widowControl/>
              <w:jc w:val="center"/>
              <w:textAlignment w:val="center"/>
              <w:rPr>
                <w:rFonts w:hint="eastAsia" w:ascii="微软雅黑" w:hAnsi="微软雅黑" w:eastAsia="微软雅黑" w:cs="微软雅黑"/>
                <w:kern w:val="0"/>
                <w:sz w:val="21"/>
                <w:szCs w:val="21"/>
                <w:lang w:val="en-US" w:eastAsia="zh-CN" w:bidi="ar"/>
              </w:rPr>
            </w:pPr>
            <w:r>
              <w:rPr>
                <w:rFonts w:hint="eastAsia" w:ascii="微软雅黑" w:hAnsi="微软雅黑" w:eastAsia="微软雅黑" w:cs="微软雅黑"/>
                <w:kern w:val="0"/>
                <w:sz w:val="21"/>
                <w:szCs w:val="21"/>
                <w:lang w:val="en-US" w:eastAsia="zh-CN" w:bidi="ar"/>
              </w:rPr>
              <w:t>6</w:t>
            </w:r>
          </w:p>
        </w:tc>
        <w:tc>
          <w:tcPr>
            <w:tcW w:w="0" w:type="auto"/>
            <w:vMerge w:val="continue"/>
            <w:shd w:val="clear" w:color="auto" w:fill="auto"/>
            <w:vAlign w:val="center"/>
          </w:tcPr>
          <w:p w14:paraId="0E98CFEB">
            <w:pPr>
              <w:jc w:val="center"/>
              <w:rPr>
                <w:rFonts w:hint="eastAsia" w:ascii="微软雅黑" w:hAnsi="微软雅黑" w:eastAsia="微软雅黑" w:cs="微软雅黑"/>
                <w:sz w:val="21"/>
                <w:szCs w:val="21"/>
              </w:rPr>
            </w:pPr>
          </w:p>
        </w:tc>
        <w:tc>
          <w:tcPr>
            <w:tcW w:w="861" w:type="dxa"/>
            <w:shd w:val="clear" w:color="auto" w:fill="auto"/>
            <w:vAlign w:val="center"/>
          </w:tcPr>
          <w:p w14:paraId="3A575445">
            <w:pPr>
              <w:widowControl/>
              <w:jc w:val="center"/>
              <w:textAlignment w:val="center"/>
              <w:rPr>
                <w:rFonts w:hint="eastAsia" w:ascii="微软雅黑" w:hAnsi="微软雅黑" w:eastAsia="微软雅黑" w:cs="微软雅黑"/>
                <w:kern w:val="0"/>
                <w:sz w:val="21"/>
                <w:szCs w:val="21"/>
                <w:lang w:eastAsia="zh-CN" w:bidi="ar"/>
              </w:rPr>
            </w:pPr>
            <w:r>
              <w:rPr>
                <w:rFonts w:hint="eastAsia" w:ascii="微软雅黑" w:hAnsi="微软雅黑" w:eastAsia="微软雅黑" w:cs="微软雅黑"/>
                <w:kern w:val="0"/>
                <w:sz w:val="21"/>
                <w:szCs w:val="21"/>
                <w:rtl w:val="0"/>
                <w:cs w:val="0"/>
                <w:lang w:val="en-US" w:eastAsia="zh-CN" w:bidi="ar"/>
              </w:rPr>
              <w:t>人力资源保障措施</w:t>
            </w:r>
          </w:p>
        </w:tc>
        <w:tc>
          <w:tcPr>
            <w:tcW w:w="875" w:type="dxa"/>
            <w:shd w:val="clear" w:color="auto" w:fill="auto"/>
            <w:vAlign w:val="center"/>
          </w:tcPr>
          <w:p w14:paraId="3FB97CDC">
            <w:pPr>
              <w:widowControl/>
              <w:jc w:val="center"/>
              <w:textAlignment w:val="center"/>
              <w:rPr>
                <w:rFonts w:hint="eastAsia" w:ascii="微软雅黑" w:hAnsi="微软雅黑" w:eastAsia="微软雅黑" w:cs="微软雅黑"/>
                <w:kern w:val="0"/>
                <w:sz w:val="21"/>
                <w:szCs w:val="21"/>
                <w:lang w:val="en-US" w:eastAsia="zh-CN" w:bidi="ar"/>
              </w:rPr>
            </w:pPr>
            <w:r>
              <w:rPr>
                <w:rFonts w:hint="eastAsia" w:ascii="微软雅黑" w:hAnsi="微软雅黑" w:eastAsia="微软雅黑" w:cs="微软雅黑"/>
                <w:kern w:val="0"/>
                <w:sz w:val="21"/>
                <w:szCs w:val="21"/>
                <w:lang w:val="en-US" w:eastAsia="zh-CN" w:bidi="ar"/>
              </w:rPr>
              <w:t>6</w:t>
            </w:r>
          </w:p>
        </w:tc>
        <w:tc>
          <w:tcPr>
            <w:tcW w:w="6823" w:type="dxa"/>
            <w:shd w:val="clear" w:color="auto" w:fill="auto"/>
            <w:vAlign w:val="center"/>
          </w:tcPr>
          <w:p w14:paraId="5A64DD91">
            <w:pPr>
              <w:widowControl/>
              <w:jc w:val="left"/>
              <w:textAlignment w:val="center"/>
              <w:rPr>
                <w:rStyle w:val="92"/>
                <w:rFonts w:hint="eastAsia" w:ascii="微软雅黑" w:hAnsi="微软雅黑" w:eastAsia="微软雅黑" w:cs="微软雅黑"/>
                <w:color w:val="auto"/>
                <w:sz w:val="21"/>
                <w:szCs w:val="21"/>
                <w:lang w:eastAsia="zh-CN" w:bidi="ar"/>
              </w:rPr>
            </w:pPr>
            <w:r>
              <w:rPr>
                <w:rStyle w:val="92"/>
                <w:rFonts w:hint="eastAsia" w:ascii="微软雅黑" w:hAnsi="微软雅黑" w:eastAsia="微软雅黑" w:cs="微软雅黑"/>
                <w:color w:val="auto"/>
                <w:sz w:val="21"/>
                <w:szCs w:val="21"/>
                <w:rtl w:val="0"/>
                <w:cs w:val="0"/>
                <w:lang w:val="en-US" w:eastAsia="zh-CN" w:bidi="ar"/>
              </w:rPr>
              <w:t>针对该项目提供的详细的人力资源保障措施及人员流失补充措施的得6分，只提供了人力资源保障措施或人员流失补充措施的3分，未提供的此项不得分。</w:t>
            </w:r>
          </w:p>
        </w:tc>
      </w:tr>
      <w:tr w14:paraId="7AC8A9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0" w:type="auto"/>
            <w:shd w:val="clear" w:color="auto" w:fill="auto"/>
            <w:vAlign w:val="center"/>
          </w:tcPr>
          <w:p w14:paraId="42F82961">
            <w:pPr>
              <w:widowControl/>
              <w:jc w:val="center"/>
              <w:textAlignment w:val="center"/>
              <w:rPr>
                <w:rFonts w:hint="eastAsia" w:ascii="微软雅黑" w:hAnsi="微软雅黑" w:eastAsia="微软雅黑" w:cs="微软雅黑"/>
                <w:sz w:val="21"/>
                <w:szCs w:val="21"/>
              </w:rPr>
            </w:pPr>
            <w:r>
              <w:rPr>
                <w:rFonts w:hint="eastAsia" w:ascii="微软雅黑" w:hAnsi="微软雅黑" w:eastAsia="微软雅黑" w:cs="微软雅黑"/>
                <w:kern w:val="0"/>
                <w:sz w:val="21"/>
                <w:szCs w:val="21"/>
                <w:lang w:val="en-US" w:eastAsia="zh-CN" w:bidi="ar"/>
              </w:rPr>
              <w:t>7</w:t>
            </w:r>
            <w:r>
              <w:rPr>
                <w:rFonts w:hint="eastAsia" w:ascii="微软雅黑" w:hAnsi="微软雅黑" w:eastAsia="微软雅黑" w:cs="微软雅黑"/>
                <w:kern w:val="0"/>
                <w:sz w:val="21"/>
                <w:szCs w:val="21"/>
                <w:lang w:bidi="ar"/>
              </w:rPr>
              <w:t xml:space="preserve"> </w:t>
            </w:r>
          </w:p>
        </w:tc>
        <w:tc>
          <w:tcPr>
            <w:tcW w:w="0" w:type="auto"/>
            <w:vMerge w:val="continue"/>
            <w:shd w:val="clear" w:color="auto" w:fill="auto"/>
            <w:vAlign w:val="center"/>
          </w:tcPr>
          <w:p w14:paraId="6EBEE1AC">
            <w:pPr>
              <w:jc w:val="center"/>
              <w:rPr>
                <w:rFonts w:hint="eastAsia" w:ascii="微软雅黑" w:hAnsi="微软雅黑" w:eastAsia="微软雅黑" w:cs="微软雅黑"/>
                <w:sz w:val="21"/>
                <w:szCs w:val="21"/>
              </w:rPr>
            </w:pPr>
          </w:p>
        </w:tc>
        <w:tc>
          <w:tcPr>
            <w:tcW w:w="861" w:type="dxa"/>
            <w:shd w:val="clear" w:color="auto" w:fill="auto"/>
            <w:vAlign w:val="center"/>
          </w:tcPr>
          <w:p w14:paraId="1E82AFC6">
            <w:pPr>
              <w:widowControl/>
              <w:jc w:val="center"/>
              <w:textAlignment w:val="center"/>
              <w:rPr>
                <w:rFonts w:hint="eastAsia" w:ascii="微软雅黑" w:hAnsi="微软雅黑" w:eastAsia="微软雅黑" w:cs="微软雅黑"/>
                <w:sz w:val="21"/>
                <w:szCs w:val="21"/>
                <w:lang w:eastAsia="zh-CN"/>
              </w:rPr>
            </w:pPr>
            <w:r>
              <w:rPr>
                <w:rFonts w:hint="eastAsia" w:ascii="微软雅黑" w:hAnsi="微软雅黑" w:eastAsia="微软雅黑" w:cs="微软雅黑"/>
                <w:kern w:val="0"/>
                <w:sz w:val="21"/>
                <w:szCs w:val="21"/>
                <w:lang w:eastAsia="zh-CN" w:bidi="ar"/>
              </w:rPr>
              <w:t>内部管理制度</w:t>
            </w:r>
          </w:p>
        </w:tc>
        <w:tc>
          <w:tcPr>
            <w:tcW w:w="875" w:type="dxa"/>
            <w:shd w:val="clear" w:color="auto" w:fill="auto"/>
            <w:vAlign w:val="center"/>
          </w:tcPr>
          <w:p w14:paraId="0D4140D5">
            <w:pPr>
              <w:widowControl/>
              <w:jc w:val="center"/>
              <w:textAlignment w:val="center"/>
              <w:rPr>
                <w:rFonts w:hint="eastAsia" w:ascii="微软雅黑" w:hAnsi="微软雅黑" w:eastAsia="微软雅黑" w:cs="微软雅黑"/>
                <w:sz w:val="21"/>
                <w:szCs w:val="21"/>
                <w:lang w:val="en-US" w:eastAsia="zh-CN"/>
              </w:rPr>
            </w:pPr>
            <w:r>
              <w:rPr>
                <w:rFonts w:hint="eastAsia" w:ascii="微软雅黑" w:hAnsi="微软雅黑" w:eastAsia="微软雅黑" w:cs="微软雅黑"/>
                <w:kern w:val="0"/>
                <w:sz w:val="21"/>
                <w:szCs w:val="21"/>
                <w:lang w:val="en-US" w:eastAsia="zh-CN" w:bidi="ar"/>
              </w:rPr>
              <w:t>16</w:t>
            </w:r>
          </w:p>
        </w:tc>
        <w:tc>
          <w:tcPr>
            <w:tcW w:w="6823" w:type="dxa"/>
            <w:shd w:val="clear" w:color="auto" w:fill="auto"/>
            <w:vAlign w:val="center"/>
          </w:tcPr>
          <w:p w14:paraId="6CEDE915">
            <w:pPr>
              <w:widowControl/>
              <w:jc w:val="left"/>
              <w:textAlignment w:val="center"/>
              <w:rPr>
                <w:rStyle w:val="92"/>
                <w:rFonts w:hint="eastAsia" w:ascii="微软雅黑" w:hAnsi="微软雅黑" w:eastAsia="微软雅黑" w:cs="微软雅黑"/>
                <w:color w:val="auto"/>
                <w:sz w:val="21"/>
                <w:szCs w:val="21"/>
                <w:lang w:eastAsia="zh-CN" w:bidi="ar"/>
              </w:rPr>
            </w:pPr>
            <w:r>
              <w:rPr>
                <w:rStyle w:val="92"/>
                <w:rFonts w:hint="eastAsia" w:ascii="微软雅黑" w:hAnsi="微软雅黑" w:eastAsia="微软雅黑" w:cs="微软雅黑"/>
                <w:color w:val="auto"/>
                <w:sz w:val="21"/>
                <w:szCs w:val="21"/>
                <w:lang w:eastAsia="zh-CN" w:bidi="ar"/>
              </w:rPr>
              <w:t>为确保项目顺利进展，各供应商须具备良好的内部管理制度，制度内容包括但不限于：</w:t>
            </w:r>
          </w:p>
          <w:p w14:paraId="64B8FAED">
            <w:pPr>
              <w:widowControl/>
              <w:numPr>
                <w:ilvl w:val="0"/>
                <w:numId w:val="13"/>
              </w:numPr>
              <w:jc w:val="left"/>
              <w:textAlignment w:val="center"/>
              <w:rPr>
                <w:rStyle w:val="92"/>
                <w:rFonts w:hint="eastAsia" w:ascii="微软雅黑" w:hAnsi="微软雅黑" w:eastAsia="微软雅黑" w:cs="微软雅黑"/>
                <w:color w:val="auto"/>
                <w:sz w:val="21"/>
                <w:szCs w:val="21"/>
                <w:rtl w:val="0"/>
                <w:cs w:val="0"/>
                <w:lang w:val="en-US" w:eastAsia="zh-CN" w:bidi="ar"/>
              </w:rPr>
            </w:pPr>
            <w:r>
              <w:rPr>
                <w:rStyle w:val="92"/>
                <w:rFonts w:hint="eastAsia" w:ascii="微软雅黑" w:hAnsi="微软雅黑" w:eastAsia="微软雅黑" w:cs="微软雅黑"/>
                <w:color w:val="auto"/>
                <w:sz w:val="21"/>
                <w:szCs w:val="21"/>
                <w:rtl w:val="0"/>
                <w:cs w:val="0"/>
                <w:lang w:val="en-US" w:eastAsia="zh-CN" w:bidi="ar"/>
              </w:rPr>
              <w:t>管理方式：包括内部管理架构、管理文化、激励机制、计划控制机制、监督机制、自我约束机制、信息反馈机制及处理机制，</w:t>
            </w:r>
            <w:r>
              <w:rPr>
                <w:rStyle w:val="92"/>
                <w:rFonts w:hint="eastAsia" w:ascii="微软雅黑" w:hAnsi="微软雅黑" w:eastAsia="微软雅黑" w:cs="微软雅黑"/>
                <w:color w:val="auto"/>
                <w:sz w:val="21"/>
                <w:szCs w:val="21"/>
                <w:lang w:bidi="ar"/>
              </w:rPr>
              <w:t>岗位职责、服务管理与评估</w:t>
            </w:r>
            <w:r>
              <w:rPr>
                <w:rStyle w:val="92"/>
                <w:rFonts w:hint="eastAsia" w:ascii="微软雅黑" w:hAnsi="微软雅黑" w:eastAsia="微软雅黑" w:cs="微软雅黑"/>
                <w:color w:val="auto"/>
                <w:sz w:val="21"/>
                <w:szCs w:val="21"/>
                <w:rtl w:val="0"/>
                <w:cs w:val="0"/>
                <w:lang w:val="en-US" w:eastAsia="zh-CN" w:bidi="ar"/>
              </w:rPr>
              <w:t>、财务管理与评估、档案管理、机构行政及精神面貌等；</w:t>
            </w:r>
          </w:p>
          <w:p w14:paraId="66987E56">
            <w:pPr>
              <w:widowControl/>
              <w:numPr>
                <w:ilvl w:val="0"/>
                <w:numId w:val="13"/>
              </w:numPr>
              <w:jc w:val="left"/>
              <w:textAlignment w:val="center"/>
              <w:rPr>
                <w:rStyle w:val="92"/>
                <w:rFonts w:hint="eastAsia" w:ascii="微软雅黑" w:hAnsi="微软雅黑" w:eastAsia="微软雅黑" w:cs="微软雅黑"/>
                <w:color w:val="auto"/>
                <w:sz w:val="21"/>
                <w:szCs w:val="21"/>
                <w:rtl w:val="0"/>
                <w:cs w:val="0"/>
                <w:lang w:val="en-US" w:eastAsia="zh-CN" w:bidi="ar"/>
              </w:rPr>
            </w:pPr>
            <w:r>
              <w:rPr>
                <w:rStyle w:val="92"/>
                <w:rFonts w:hint="eastAsia" w:ascii="微软雅黑" w:hAnsi="微软雅黑" w:eastAsia="微软雅黑" w:cs="微软雅黑"/>
                <w:color w:val="auto"/>
                <w:sz w:val="21"/>
                <w:szCs w:val="21"/>
                <w:rtl w:val="0"/>
                <w:cs w:val="0"/>
                <w:lang w:val="en-US" w:eastAsia="zh-CN" w:bidi="ar"/>
              </w:rPr>
              <w:t>人员管理：包括人员录用与考核、淘汰机制等；</w:t>
            </w:r>
          </w:p>
          <w:p w14:paraId="78E17F54">
            <w:pPr>
              <w:widowControl/>
              <w:numPr>
                <w:ilvl w:val="0"/>
                <w:numId w:val="13"/>
              </w:numPr>
              <w:jc w:val="left"/>
              <w:textAlignment w:val="center"/>
              <w:rPr>
                <w:rStyle w:val="92"/>
                <w:rFonts w:hint="eastAsia" w:ascii="微软雅黑" w:hAnsi="微软雅黑" w:eastAsia="微软雅黑" w:cs="微软雅黑"/>
                <w:color w:val="auto"/>
                <w:sz w:val="21"/>
                <w:szCs w:val="21"/>
                <w:rtl w:val="0"/>
                <w:cs w:val="0"/>
                <w:lang w:val="en-US" w:eastAsia="zh-CN" w:bidi="ar"/>
              </w:rPr>
            </w:pPr>
            <w:r>
              <w:rPr>
                <w:rStyle w:val="92"/>
                <w:rFonts w:hint="eastAsia" w:ascii="微软雅黑" w:hAnsi="微软雅黑" w:eastAsia="微软雅黑" w:cs="微软雅黑"/>
                <w:color w:val="auto"/>
                <w:sz w:val="21"/>
                <w:szCs w:val="21"/>
                <w:rtl w:val="0"/>
                <w:cs w:val="0"/>
                <w:lang w:val="en-US" w:eastAsia="zh-CN" w:bidi="ar"/>
              </w:rPr>
              <w:t>人员培训：包括对从事社会工作服务人员的培训计划、方式、目标及言行规范、仪表仪容、公众形象等；</w:t>
            </w:r>
          </w:p>
          <w:p w14:paraId="50D948BD">
            <w:pPr>
              <w:widowControl/>
              <w:jc w:val="left"/>
              <w:textAlignment w:val="center"/>
              <w:rPr>
                <w:rFonts w:hint="eastAsia" w:ascii="微软雅黑" w:hAnsi="微软雅黑" w:eastAsia="微软雅黑" w:cs="微软雅黑"/>
                <w:sz w:val="21"/>
                <w:szCs w:val="21"/>
                <w:lang w:val="en-US" w:eastAsia="zh-CN"/>
              </w:rPr>
            </w:pPr>
            <w:r>
              <w:rPr>
                <w:rStyle w:val="92"/>
                <w:rFonts w:hint="eastAsia" w:ascii="微软雅黑" w:hAnsi="微软雅黑" w:eastAsia="微软雅黑" w:cs="微软雅黑"/>
                <w:color w:val="auto"/>
                <w:sz w:val="21"/>
                <w:szCs w:val="21"/>
                <w:lang w:eastAsia="zh-CN" w:bidi="ar"/>
              </w:rPr>
              <w:t>以上内容全面得</w:t>
            </w:r>
            <w:r>
              <w:rPr>
                <w:rStyle w:val="92"/>
                <w:rFonts w:hint="eastAsia" w:ascii="微软雅黑" w:hAnsi="微软雅黑" w:eastAsia="微软雅黑" w:cs="微软雅黑"/>
                <w:color w:val="auto"/>
                <w:sz w:val="21"/>
                <w:szCs w:val="21"/>
                <w:lang w:val="en-US" w:eastAsia="zh-CN" w:bidi="ar"/>
              </w:rPr>
              <w:t>16分，</w:t>
            </w:r>
            <w:r>
              <w:rPr>
                <w:rFonts w:hint="eastAsia" w:ascii="微软雅黑" w:hAnsi="微软雅黑" w:eastAsia="微软雅黑" w:cs="微软雅黑"/>
                <w:b w:val="0"/>
                <w:bCs w:val="0"/>
                <w:color w:val="auto"/>
                <w:sz w:val="21"/>
                <w:szCs w:val="21"/>
                <w:lang w:val="en-US" w:eastAsia="zh-CN"/>
              </w:rPr>
              <w:t>其中缺项漏项或单项内容不全面或内容不具体或文字表述不清晰或与项目内容无关的，每有一项扣2分，扣完为止。</w:t>
            </w:r>
          </w:p>
        </w:tc>
      </w:tr>
      <w:tr w14:paraId="618B96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0" w:type="auto"/>
            <w:shd w:val="clear" w:color="auto" w:fill="auto"/>
            <w:vAlign w:val="center"/>
          </w:tcPr>
          <w:p w14:paraId="208037A9">
            <w:pPr>
              <w:widowControl/>
              <w:jc w:val="center"/>
              <w:textAlignment w:val="center"/>
              <w:rPr>
                <w:rFonts w:hint="eastAsia" w:ascii="微软雅黑" w:hAnsi="微软雅黑" w:eastAsia="微软雅黑" w:cs="微软雅黑"/>
                <w:kern w:val="0"/>
                <w:sz w:val="21"/>
                <w:szCs w:val="21"/>
                <w:lang w:val="en-US" w:eastAsia="zh-CN" w:bidi="ar"/>
              </w:rPr>
            </w:pPr>
            <w:r>
              <w:rPr>
                <w:rFonts w:hint="eastAsia" w:ascii="微软雅黑" w:hAnsi="微软雅黑" w:eastAsia="微软雅黑" w:cs="微软雅黑"/>
                <w:kern w:val="0"/>
                <w:sz w:val="21"/>
                <w:szCs w:val="21"/>
                <w:lang w:val="en-US" w:eastAsia="zh-CN" w:bidi="ar"/>
              </w:rPr>
              <w:t>8</w:t>
            </w:r>
          </w:p>
        </w:tc>
        <w:tc>
          <w:tcPr>
            <w:tcW w:w="0" w:type="auto"/>
            <w:shd w:val="clear" w:color="auto" w:fill="auto"/>
            <w:vAlign w:val="center"/>
          </w:tcPr>
          <w:p w14:paraId="7B9614B4">
            <w:pPr>
              <w:jc w:val="center"/>
              <w:rPr>
                <w:rFonts w:hint="eastAsia" w:ascii="微软雅黑" w:hAnsi="微软雅黑" w:eastAsia="微软雅黑" w:cs="微软雅黑"/>
                <w:sz w:val="21"/>
                <w:szCs w:val="21"/>
              </w:rPr>
            </w:pPr>
          </w:p>
        </w:tc>
        <w:tc>
          <w:tcPr>
            <w:tcW w:w="861" w:type="dxa"/>
            <w:shd w:val="clear" w:color="auto" w:fill="auto"/>
            <w:vAlign w:val="center"/>
          </w:tcPr>
          <w:p w14:paraId="5655744C">
            <w:pPr>
              <w:widowControl/>
              <w:jc w:val="center"/>
              <w:textAlignment w:val="center"/>
              <w:rPr>
                <w:rFonts w:hint="eastAsia" w:ascii="微软雅黑" w:hAnsi="微软雅黑" w:eastAsia="微软雅黑" w:cs="微软雅黑"/>
                <w:kern w:val="0"/>
                <w:sz w:val="21"/>
                <w:szCs w:val="21"/>
                <w:lang w:eastAsia="zh-CN" w:bidi="ar"/>
              </w:rPr>
            </w:pPr>
            <w:r>
              <w:rPr>
                <w:rFonts w:hint="eastAsia" w:ascii="微软雅黑" w:hAnsi="微软雅黑" w:eastAsia="微软雅黑" w:cs="微软雅黑"/>
                <w:kern w:val="0"/>
                <w:sz w:val="21"/>
                <w:szCs w:val="21"/>
                <w:lang w:eastAsia="zh-CN" w:bidi="ar"/>
              </w:rPr>
              <w:t>应急预案</w:t>
            </w:r>
          </w:p>
        </w:tc>
        <w:tc>
          <w:tcPr>
            <w:tcW w:w="875" w:type="dxa"/>
            <w:shd w:val="clear" w:color="auto" w:fill="auto"/>
            <w:vAlign w:val="center"/>
          </w:tcPr>
          <w:p w14:paraId="0A96A385">
            <w:pPr>
              <w:widowControl/>
              <w:jc w:val="center"/>
              <w:textAlignment w:val="center"/>
              <w:rPr>
                <w:rFonts w:hint="eastAsia" w:ascii="微软雅黑" w:hAnsi="微软雅黑" w:eastAsia="微软雅黑" w:cs="微软雅黑"/>
                <w:kern w:val="0"/>
                <w:sz w:val="21"/>
                <w:szCs w:val="21"/>
                <w:lang w:val="en-US" w:eastAsia="zh-CN" w:bidi="ar"/>
              </w:rPr>
            </w:pPr>
            <w:r>
              <w:rPr>
                <w:rFonts w:hint="eastAsia" w:ascii="微软雅黑" w:hAnsi="微软雅黑" w:eastAsia="微软雅黑" w:cs="微软雅黑"/>
                <w:kern w:val="0"/>
                <w:sz w:val="21"/>
                <w:szCs w:val="21"/>
                <w:lang w:val="en-US" w:eastAsia="zh-CN" w:bidi="ar"/>
              </w:rPr>
              <w:t>10</w:t>
            </w:r>
          </w:p>
        </w:tc>
        <w:tc>
          <w:tcPr>
            <w:tcW w:w="6823" w:type="dxa"/>
            <w:shd w:val="clear" w:color="auto" w:fill="auto"/>
            <w:vAlign w:val="center"/>
          </w:tcPr>
          <w:p w14:paraId="0DFCB48C">
            <w:pPr>
              <w:widowControl/>
              <w:jc w:val="left"/>
              <w:textAlignment w:val="center"/>
              <w:rPr>
                <w:rStyle w:val="92"/>
                <w:rFonts w:hint="eastAsia" w:ascii="微软雅黑" w:hAnsi="微软雅黑" w:eastAsia="微软雅黑" w:cs="微软雅黑"/>
                <w:color w:val="auto"/>
                <w:sz w:val="21"/>
                <w:szCs w:val="21"/>
                <w:lang w:val="en-US" w:eastAsia="zh-CN" w:bidi="ar"/>
              </w:rPr>
            </w:pPr>
            <w:r>
              <w:rPr>
                <w:rStyle w:val="92"/>
                <w:rFonts w:hint="eastAsia" w:ascii="微软雅黑" w:hAnsi="微软雅黑" w:eastAsia="微软雅黑" w:cs="微软雅黑"/>
                <w:color w:val="auto"/>
                <w:sz w:val="21"/>
                <w:szCs w:val="21"/>
                <w:lang w:eastAsia="zh-CN" w:bidi="ar"/>
              </w:rPr>
              <w:t>根据项目需求，提供详细的救助应急预案，救助应急预案内容包括但不限于：①应急响应机制（应急响应级别的划分、应急响应启动条件与程序、应急响应组织的建立与职责等）、②预案演练与评估（预案演练的计划与实施、演练效果评估与反馈、宣传教育与公众参与等）、③ 法律责任与监督（救助服务中的法律责任、监督与问责机制的建立、违规行为的处理与处罚、权益保护与救济途径等）；以上内容全面，贴合本项目实际需求的得</w:t>
            </w:r>
            <w:r>
              <w:rPr>
                <w:rStyle w:val="92"/>
                <w:rFonts w:hint="eastAsia" w:ascii="微软雅黑" w:hAnsi="微软雅黑" w:eastAsia="微软雅黑" w:cs="微软雅黑"/>
                <w:color w:val="auto"/>
                <w:sz w:val="21"/>
                <w:szCs w:val="21"/>
                <w:lang w:val="en-US" w:eastAsia="zh-CN" w:bidi="ar"/>
              </w:rPr>
              <w:t>10分，</w:t>
            </w:r>
            <w:r>
              <w:rPr>
                <w:rFonts w:hint="eastAsia" w:ascii="微软雅黑" w:hAnsi="微软雅黑" w:eastAsia="微软雅黑" w:cs="微软雅黑"/>
                <w:b w:val="0"/>
                <w:bCs w:val="0"/>
                <w:color w:val="auto"/>
                <w:sz w:val="21"/>
                <w:szCs w:val="21"/>
                <w:lang w:val="en-US" w:eastAsia="zh-CN"/>
              </w:rPr>
              <w:t>其中缺项漏项或单项内容不全面或单项内容不具体或文字表述不清晰或与项目内容无关的，每有一项扣1分，扣完为止。</w:t>
            </w:r>
          </w:p>
        </w:tc>
      </w:tr>
      <w:tr w14:paraId="1D2E10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0" w:hRule="atLeast"/>
        </w:trPr>
        <w:tc>
          <w:tcPr>
            <w:tcW w:w="9868" w:type="dxa"/>
            <w:gridSpan w:val="5"/>
            <w:shd w:val="clear" w:color="auto" w:fill="auto"/>
          </w:tcPr>
          <w:p w14:paraId="04DD7020">
            <w:pPr>
              <w:widowControl/>
              <w:jc w:val="center"/>
              <w:textAlignment w:val="top"/>
              <w:rPr>
                <w:rFonts w:hint="eastAsia" w:ascii="微软雅黑" w:hAnsi="微软雅黑" w:eastAsia="微软雅黑" w:cs="微软雅黑"/>
                <w:sz w:val="21"/>
                <w:szCs w:val="21"/>
              </w:rPr>
            </w:pPr>
            <w:r>
              <w:rPr>
                <w:rFonts w:hint="eastAsia" w:ascii="微软雅黑" w:hAnsi="微软雅黑" w:eastAsia="微软雅黑" w:cs="微软雅黑"/>
                <w:kern w:val="0"/>
                <w:sz w:val="21"/>
                <w:szCs w:val="21"/>
                <w:lang w:bidi="ar"/>
              </w:rPr>
              <w:t>注：【方案内容存在缺陷或不足是指：内容与实际情况不符、内容与项目无关、内容表述错误、内容前后表述矛盾、内容凭空编造、辑漏洞、科学原理错误以及不可能实现的夸大情形、内容与项目不匹配、项目信息错误（包括时间、地点、名称等）、不符合本项目涉及的相关规范或标准要求等情形。】</w:t>
            </w:r>
          </w:p>
        </w:tc>
      </w:tr>
    </w:tbl>
    <w:p w14:paraId="5C834314">
      <w:pPr>
        <w:rPr>
          <w:rFonts w:ascii="微软雅黑" w:hAnsi="微软雅黑" w:eastAsia="微软雅黑" w:cs="微软雅黑"/>
          <w:color w:val="auto"/>
        </w:rPr>
      </w:pPr>
      <w:r>
        <w:rPr>
          <w:rFonts w:ascii="微软雅黑" w:hAnsi="微软雅黑" w:eastAsia="微软雅黑" w:cs="微软雅黑"/>
          <w:color w:val="auto"/>
        </w:rPr>
        <w:br w:type="page"/>
      </w:r>
    </w:p>
    <w:p w14:paraId="57010CF8">
      <w:pPr>
        <w:rPr>
          <w:rFonts w:ascii="微软雅黑" w:hAnsi="微软雅黑" w:eastAsia="微软雅黑" w:cs="微软雅黑"/>
          <w:color w:val="auto"/>
        </w:rPr>
      </w:pPr>
    </w:p>
    <w:p w14:paraId="598519EA">
      <w:pPr>
        <w:rPr>
          <w:rFonts w:ascii="微软雅黑" w:hAnsi="微软雅黑" w:eastAsia="微软雅黑" w:cs="微软雅黑"/>
          <w:color w:val="auto"/>
        </w:rPr>
      </w:pPr>
    </w:p>
    <w:p w14:paraId="5B31ADDC">
      <w:pPr>
        <w:rPr>
          <w:rFonts w:ascii="微软雅黑" w:hAnsi="微软雅黑" w:eastAsia="微软雅黑" w:cs="微软雅黑"/>
          <w:color w:val="auto"/>
        </w:rPr>
      </w:pPr>
    </w:p>
    <w:p w14:paraId="675F4824">
      <w:pPr>
        <w:pStyle w:val="7"/>
        <w:rPr>
          <w:rFonts w:ascii="微软雅黑" w:hAnsi="微软雅黑" w:eastAsia="微软雅黑" w:cs="微软雅黑"/>
          <w:color w:val="auto"/>
        </w:rPr>
      </w:pPr>
    </w:p>
    <w:p w14:paraId="05517806">
      <w:pPr>
        <w:pStyle w:val="9"/>
        <w:rPr>
          <w:rFonts w:ascii="微软雅黑" w:hAnsi="微软雅黑" w:eastAsia="微软雅黑" w:cs="微软雅黑"/>
          <w:color w:val="auto"/>
        </w:rPr>
      </w:pPr>
    </w:p>
    <w:p w14:paraId="404C308B">
      <w:pPr>
        <w:rPr>
          <w:rFonts w:ascii="微软雅黑" w:hAnsi="微软雅黑" w:eastAsia="微软雅黑" w:cs="微软雅黑"/>
          <w:color w:val="auto"/>
        </w:rPr>
      </w:pPr>
    </w:p>
    <w:p w14:paraId="66CAFF7E">
      <w:pPr>
        <w:pStyle w:val="26"/>
        <w:rPr>
          <w:rFonts w:ascii="微软雅黑" w:hAnsi="微软雅黑" w:eastAsia="微软雅黑" w:cs="微软雅黑"/>
          <w:color w:val="auto"/>
        </w:rPr>
      </w:pPr>
    </w:p>
    <w:p w14:paraId="4BACBB44">
      <w:pPr>
        <w:pStyle w:val="26"/>
        <w:rPr>
          <w:rFonts w:ascii="微软雅黑" w:hAnsi="微软雅黑" w:eastAsia="微软雅黑" w:cs="微软雅黑"/>
          <w:color w:val="auto"/>
        </w:rPr>
      </w:pPr>
    </w:p>
    <w:p w14:paraId="67E1C861">
      <w:pPr>
        <w:pStyle w:val="26"/>
        <w:rPr>
          <w:rFonts w:ascii="微软雅黑" w:hAnsi="微软雅黑" w:eastAsia="微软雅黑" w:cs="微软雅黑"/>
          <w:color w:val="auto"/>
        </w:rPr>
      </w:pPr>
    </w:p>
    <w:p w14:paraId="483AAB42">
      <w:pPr>
        <w:snapToGrid w:val="0"/>
        <w:spacing w:line="240" w:lineRule="atLeast"/>
        <w:jc w:val="center"/>
        <w:textAlignment w:val="baseline"/>
        <w:rPr>
          <w:rFonts w:ascii="微软雅黑" w:hAnsi="微软雅黑" w:eastAsia="微软雅黑" w:cs="微软雅黑"/>
          <w:b/>
          <w:color w:val="auto"/>
          <w:sz w:val="48"/>
          <w:szCs w:val="48"/>
        </w:rPr>
      </w:pPr>
      <w:r>
        <w:rPr>
          <w:rFonts w:hint="eastAsia" w:ascii="微软雅黑" w:hAnsi="微软雅黑" w:eastAsia="微软雅黑" w:cs="微软雅黑"/>
          <w:b/>
          <w:color w:val="auto"/>
          <w:sz w:val="48"/>
          <w:szCs w:val="48"/>
        </w:rPr>
        <w:t>竞争性磋商文件</w:t>
      </w:r>
    </w:p>
    <w:p w14:paraId="177A461C">
      <w:pPr>
        <w:snapToGrid w:val="0"/>
        <w:spacing w:line="240" w:lineRule="atLeast"/>
        <w:jc w:val="both"/>
        <w:textAlignment w:val="baseline"/>
        <w:rPr>
          <w:rFonts w:hint="eastAsia" w:ascii="微软雅黑" w:hAnsi="微软雅黑" w:eastAsia="微软雅黑" w:cs="微软雅黑"/>
          <w:b/>
          <w:color w:val="auto"/>
          <w:sz w:val="48"/>
          <w:szCs w:val="48"/>
          <w:lang w:eastAsia="zh-CN"/>
        </w:rPr>
      </w:pPr>
    </w:p>
    <w:p w14:paraId="21F3CF20">
      <w:pPr>
        <w:snapToGrid w:val="0"/>
        <w:spacing w:line="240" w:lineRule="atLeast"/>
        <w:jc w:val="center"/>
        <w:textAlignment w:val="baseline"/>
        <w:rPr>
          <w:rFonts w:ascii="微软雅黑" w:hAnsi="微软雅黑" w:eastAsia="微软雅黑" w:cs="微软雅黑"/>
          <w:b/>
          <w:color w:val="auto"/>
          <w:sz w:val="48"/>
          <w:szCs w:val="48"/>
        </w:rPr>
      </w:pPr>
      <w:r>
        <w:rPr>
          <w:rFonts w:hint="eastAsia" w:ascii="微软雅黑" w:hAnsi="微软雅黑" w:eastAsia="微软雅黑" w:cs="微软雅黑"/>
          <w:b/>
          <w:color w:val="auto"/>
          <w:sz w:val="48"/>
          <w:szCs w:val="48"/>
        </w:rPr>
        <w:t>第三册</w:t>
      </w:r>
    </w:p>
    <w:p w14:paraId="3B2DFC41">
      <w:pPr>
        <w:pStyle w:val="36"/>
        <w:ind w:firstLine="960"/>
        <w:rPr>
          <w:rFonts w:ascii="微软雅黑" w:hAnsi="微软雅黑" w:eastAsia="微软雅黑" w:cs="微软雅黑"/>
          <w:b/>
          <w:color w:val="auto"/>
          <w:sz w:val="48"/>
          <w:szCs w:val="48"/>
        </w:rPr>
      </w:pPr>
    </w:p>
    <w:p w14:paraId="102E4228">
      <w:pPr>
        <w:pStyle w:val="36"/>
        <w:ind w:firstLine="960"/>
        <w:rPr>
          <w:rFonts w:ascii="微软雅黑" w:hAnsi="微软雅黑" w:eastAsia="微软雅黑" w:cs="微软雅黑"/>
          <w:b/>
          <w:color w:val="auto"/>
          <w:sz w:val="48"/>
          <w:szCs w:val="48"/>
        </w:rPr>
      </w:pPr>
    </w:p>
    <w:p w14:paraId="1A1530D0">
      <w:pPr>
        <w:pStyle w:val="7"/>
        <w:rPr>
          <w:rFonts w:ascii="微软雅黑" w:hAnsi="微软雅黑" w:eastAsia="微软雅黑" w:cs="微软雅黑"/>
          <w:b/>
          <w:color w:val="auto"/>
          <w:sz w:val="48"/>
          <w:szCs w:val="48"/>
        </w:rPr>
      </w:pPr>
    </w:p>
    <w:p w14:paraId="66F43EC6">
      <w:pPr>
        <w:pStyle w:val="9"/>
        <w:rPr>
          <w:rFonts w:ascii="微软雅黑" w:hAnsi="微软雅黑" w:eastAsia="微软雅黑" w:cs="微软雅黑"/>
          <w:b/>
          <w:color w:val="auto"/>
          <w:sz w:val="48"/>
          <w:szCs w:val="48"/>
        </w:rPr>
      </w:pPr>
    </w:p>
    <w:p w14:paraId="5B469474">
      <w:pPr>
        <w:rPr>
          <w:rFonts w:ascii="微软雅黑" w:hAnsi="微软雅黑" w:eastAsia="微软雅黑" w:cs="微软雅黑"/>
          <w:b/>
          <w:color w:val="auto"/>
          <w:sz w:val="48"/>
          <w:szCs w:val="48"/>
        </w:rPr>
      </w:pPr>
    </w:p>
    <w:p w14:paraId="697C3959">
      <w:pPr>
        <w:outlineLvl w:val="9"/>
      </w:pPr>
    </w:p>
    <w:p w14:paraId="3BABA081">
      <w:pPr>
        <w:rPr>
          <w:color w:val="auto"/>
        </w:rPr>
      </w:pPr>
    </w:p>
    <w:bookmarkEnd w:id="720"/>
    <w:p w14:paraId="3390D3F8">
      <w:pPr>
        <w:pStyle w:val="7"/>
        <w:ind w:left="0" w:leftChars="0" w:firstLine="0" w:firstLineChars="0"/>
        <w:rPr>
          <w:rFonts w:ascii="微软雅黑" w:hAnsi="微软雅黑" w:eastAsia="微软雅黑" w:cs="微软雅黑"/>
          <w:color w:val="auto"/>
        </w:rPr>
      </w:pPr>
      <w:bookmarkStart w:id="732" w:name="_Toc5754"/>
      <w:bookmarkStart w:id="733" w:name="_Toc514"/>
    </w:p>
    <w:p w14:paraId="77E341A8">
      <w:pPr>
        <w:pStyle w:val="3"/>
        <w:tabs>
          <w:tab w:val="left" w:pos="0"/>
        </w:tabs>
        <w:spacing w:before="0" w:after="0" w:line="400" w:lineRule="exact"/>
        <w:rPr>
          <w:rFonts w:ascii="微软雅黑" w:hAnsi="微软雅黑" w:eastAsia="微软雅黑" w:cs="微软雅黑"/>
          <w:color w:val="auto"/>
        </w:rPr>
      </w:pPr>
      <w:bookmarkStart w:id="734" w:name="_Toc26279"/>
      <w:r>
        <w:rPr>
          <w:rFonts w:hint="eastAsia" w:ascii="微软雅黑" w:hAnsi="微软雅黑" w:eastAsia="微软雅黑" w:cs="微软雅黑"/>
          <w:color w:val="auto"/>
        </w:rPr>
        <w:t>第7章  政府采购合同</w:t>
      </w:r>
      <w:bookmarkEnd w:id="732"/>
      <w:bookmarkEnd w:id="733"/>
      <w:bookmarkEnd w:id="734"/>
    </w:p>
    <w:p w14:paraId="79947699">
      <w:pPr>
        <w:rPr>
          <w:rFonts w:ascii="微软雅黑" w:hAnsi="微软雅黑" w:eastAsia="微软雅黑" w:cs="微软雅黑"/>
          <w:color w:val="auto"/>
          <w:sz w:val="24"/>
        </w:rPr>
      </w:pPr>
      <w:r>
        <w:rPr>
          <w:rFonts w:hint="eastAsia" w:ascii="微软雅黑" w:hAnsi="微软雅黑" w:eastAsia="微软雅黑" w:cs="微软雅黑"/>
          <w:color w:val="auto"/>
          <w:sz w:val="24"/>
        </w:rPr>
        <w:t xml:space="preserve">合同编号：           </w:t>
      </w:r>
    </w:p>
    <w:p w14:paraId="08197D35">
      <w:pPr>
        <w:rPr>
          <w:rFonts w:ascii="微软雅黑" w:hAnsi="微软雅黑" w:eastAsia="微软雅黑" w:cs="微软雅黑"/>
          <w:color w:val="auto"/>
          <w:sz w:val="24"/>
        </w:rPr>
      </w:pPr>
    </w:p>
    <w:p w14:paraId="0135975B">
      <w:pPr>
        <w:rPr>
          <w:rFonts w:ascii="微软雅黑" w:hAnsi="微软雅黑" w:eastAsia="微软雅黑" w:cs="微软雅黑"/>
          <w:color w:val="auto"/>
          <w:sz w:val="24"/>
        </w:rPr>
      </w:pPr>
    </w:p>
    <w:p w14:paraId="13E70660">
      <w:pPr>
        <w:rPr>
          <w:rFonts w:ascii="微软雅黑" w:hAnsi="微软雅黑" w:eastAsia="微软雅黑" w:cs="微软雅黑"/>
          <w:color w:val="auto"/>
          <w:sz w:val="24"/>
        </w:rPr>
      </w:pPr>
    </w:p>
    <w:p w14:paraId="3C12B181">
      <w:pPr>
        <w:pageBreakBefore w:val="0"/>
        <w:widowControl w:val="0"/>
        <w:kinsoku/>
        <w:wordWrap/>
        <w:overflowPunct/>
        <w:topLinePunct w:val="0"/>
        <w:bidi w:val="0"/>
        <w:snapToGrid/>
        <w:spacing w:line="420" w:lineRule="exact"/>
        <w:jc w:val="center"/>
        <w:textAlignment w:val="auto"/>
        <w:rPr>
          <w:rFonts w:hint="eastAsia" w:ascii="微软雅黑" w:hAnsi="微软雅黑" w:eastAsia="微软雅黑" w:cs="微软雅黑"/>
          <w:b/>
          <w:color w:val="auto"/>
          <w:sz w:val="24"/>
          <w:szCs w:val="24"/>
        </w:rPr>
      </w:pPr>
      <w:r>
        <w:rPr>
          <w:rFonts w:hint="eastAsia" w:ascii="微软雅黑" w:hAnsi="微软雅黑" w:eastAsia="微软雅黑" w:cs="微软雅黑"/>
          <w:b/>
          <w:color w:val="auto"/>
          <w:sz w:val="24"/>
          <w:szCs w:val="24"/>
        </w:rPr>
        <w:t>政府采购合同参考范本</w:t>
      </w:r>
    </w:p>
    <w:p w14:paraId="6C8CB3EE">
      <w:pPr>
        <w:pageBreakBefore w:val="0"/>
        <w:widowControl w:val="0"/>
        <w:kinsoku/>
        <w:wordWrap/>
        <w:overflowPunct/>
        <w:topLinePunct w:val="0"/>
        <w:bidi w:val="0"/>
        <w:snapToGrid/>
        <w:spacing w:line="420" w:lineRule="exact"/>
        <w:jc w:val="center"/>
        <w:textAlignment w:val="auto"/>
        <w:rPr>
          <w:rFonts w:hint="eastAsia" w:ascii="微软雅黑" w:hAnsi="微软雅黑" w:eastAsia="微软雅黑" w:cs="微软雅黑"/>
          <w:b/>
          <w:color w:val="auto"/>
          <w:sz w:val="24"/>
          <w:szCs w:val="24"/>
        </w:rPr>
      </w:pPr>
      <w:r>
        <w:rPr>
          <w:rFonts w:hint="eastAsia" w:ascii="微软雅黑" w:hAnsi="微软雅黑" w:eastAsia="微软雅黑" w:cs="微软雅黑"/>
          <w:b/>
          <w:color w:val="auto"/>
          <w:sz w:val="24"/>
          <w:szCs w:val="24"/>
        </w:rPr>
        <w:t>（服务类）</w:t>
      </w:r>
    </w:p>
    <w:p w14:paraId="570C738F">
      <w:pPr>
        <w:pStyle w:val="60"/>
        <w:pageBreakBefore w:val="0"/>
        <w:widowControl w:val="0"/>
        <w:kinsoku/>
        <w:wordWrap/>
        <w:overflowPunct/>
        <w:topLinePunct w:val="0"/>
        <w:bidi w:val="0"/>
        <w:snapToGrid/>
        <w:spacing w:line="420" w:lineRule="exact"/>
        <w:ind w:firstLine="0"/>
        <w:textAlignment w:val="auto"/>
        <w:rPr>
          <w:rFonts w:hint="eastAsia" w:ascii="微软雅黑" w:hAnsi="微软雅黑" w:eastAsia="微软雅黑" w:cs="微软雅黑"/>
          <w:color w:val="auto"/>
          <w:sz w:val="24"/>
          <w:szCs w:val="24"/>
        </w:rPr>
      </w:pPr>
    </w:p>
    <w:p w14:paraId="02DADCE7">
      <w:pPr>
        <w:pStyle w:val="60"/>
        <w:pageBreakBefore w:val="0"/>
        <w:widowControl w:val="0"/>
        <w:kinsoku/>
        <w:wordWrap/>
        <w:overflowPunct/>
        <w:topLinePunct w:val="0"/>
        <w:bidi w:val="0"/>
        <w:snapToGrid/>
        <w:spacing w:line="420" w:lineRule="exact"/>
        <w:ind w:firstLine="0"/>
        <w:textAlignment w:val="auto"/>
        <w:rPr>
          <w:rFonts w:hint="eastAsia" w:ascii="微软雅黑" w:hAnsi="微软雅黑" w:eastAsia="微软雅黑" w:cs="微软雅黑"/>
          <w:color w:val="auto"/>
          <w:sz w:val="24"/>
          <w:szCs w:val="24"/>
        </w:rPr>
      </w:pPr>
    </w:p>
    <w:p w14:paraId="4A4EF6A0">
      <w:pPr>
        <w:pStyle w:val="60"/>
        <w:pageBreakBefore w:val="0"/>
        <w:widowControl w:val="0"/>
        <w:kinsoku/>
        <w:wordWrap/>
        <w:overflowPunct/>
        <w:topLinePunct w:val="0"/>
        <w:bidi w:val="0"/>
        <w:snapToGrid/>
        <w:spacing w:line="420" w:lineRule="exact"/>
        <w:ind w:firstLine="0"/>
        <w:textAlignment w:val="auto"/>
        <w:rPr>
          <w:rFonts w:hint="eastAsia" w:ascii="微软雅黑" w:hAnsi="微软雅黑" w:eastAsia="微软雅黑" w:cs="微软雅黑"/>
          <w:color w:val="auto"/>
          <w:sz w:val="24"/>
          <w:szCs w:val="24"/>
        </w:rPr>
      </w:pPr>
    </w:p>
    <w:p w14:paraId="2C2FDAF0">
      <w:pPr>
        <w:pStyle w:val="60"/>
        <w:pageBreakBefore w:val="0"/>
        <w:widowControl w:val="0"/>
        <w:kinsoku/>
        <w:wordWrap/>
        <w:overflowPunct/>
        <w:topLinePunct w:val="0"/>
        <w:bidi w:val="0"/>
        <w:snapToGrid/>
        <w:spacing w:line="420" w:lineRule="exact"/>
        <w:ind w:firstLine="0"/>
        <w:jc w:val="center"/>
        <w:textAlignment w:val="auto"/>
        <w:rPr>
          <w:rFonts w:hint="eastAsia" w:ascii="微软雅黑" w:hAnsi="微软雅黑" w:eastAsia="微软雅黑" w:cs="微软雅黑"/>
          <w:b/>
          <w:color w:val="auto"/>
          <w:sz w:val="24"/>
          <w:szCs w:val="24"/>
        </w:rPr>
      </w:pPr>
      <w:r>
        <w:rPr>
          <w:rFonts w:hint="eastAsia" w:ascii="微软雅黑" w:hAnsi="微软雅黑" w:eastAsia="微软雅黑" w:cs="微软雅黑"/>
          <w:b/>
          <w:color w:val="auto"/>
          <w:sz w:val="24"/>
          <w:szCs w:val="24"/>
        </w:rPr>
        <w:t>第一部分 合同书</w:t>
      </w:r>
    </w:p>
    <w:p w14:paraId="2DFA125F">
      <w:pPr>
        <w:pStyle w:val="60"/>
        <w:pageBreakBefore w:val="0"/>
        <w:widowControl w:val="0"/>
        <w:kinsoku/>
        <w:wordWrap/>
        <w:overflowPunct/>
        <w:topLinePunct w:val="0"/>
        <w:bidi w:val="0"/>
        <w:snapToGrid/>
        <w:spacing w:line="420" w:lineRule="exact"/>
        <w:ind w:firstLine="0"/>
        <w:textAlignment w:val="auto"/>
        <w:rPr>
          <w:rFonts w:hint="eastAsia" w:ascii="微软雅黑" w:hAnsi="微软雅黑" w:eastAsia="微软雅黑" w:cs="微软雅黑"/>
          <w:color w:val="auto"/>
          <w:sz w:val="24"/>
          <w:szCs w:val="24"/>
        </w:rPr>
      </w:pPr>
    </w:p>
    <w:p w14:paraId="119F11CF">
      <w:pPr>
        <w:pStyle w:val="60"/>
        <w:pageBreakBefore w:val="0"/>
        <w:widowControl w:val="0"/>
        <w:kinsoku/>
        <w:wordWrap/>
        <w:overflowPunct/>
        <w:topLinePunct w:val="0"/>
        <w:bidi w:val="0"/>
        <w:snapToGrid/>
        <w:spacing w:line="420" w:lineRule="exact"/>
        <w:ind w:firstLine="0"/>
        <w:textAlignment w:val="auto"/>
        <w:rPr>
          <w:rFonts w:hint="eastAsia" w:ascii="微软雅黑" w:hAnsi="微软雅黑" w:eastAsia="微软雅黑" w:cs="微软雅黑"/>
          <w:color w:val="auto"/>
          <w:sz w:val="24"/>
          <w:szCs w:val="24"/>
        </w:rPr>
      </w:pPr>
    </w:p>
    <w:p w14:paraId="458E1FFD">
      <w:pPr>
        <w:pageBreakBefore w:val="0"/>
        <w:widowControl w:val="0"/>
        <w:kinsoku/>
        <w:wordWrap/>
        <w:overflowPunct/>
        <w:topLinePunct w:val="0"/>
        <w:bidi w:val="0"/>
        <w:snapToGrid/>
        <w:spacing w:before="120" w:line="420" w:lineRule="exact"/>
        <w:textAlignment w:val="auto"/>
        <w:rPr>
          <w:rFonts w:hint="eastAsia" w:ascii="微软雅黑" w:hAnsi="微软雅黑" w:eastAsia="微软雅黑" w:cs="微软雅黑"/>
          <w:color w:val="auto"/>
          <w:sz w:val="24"/>
          <w:szCs w:val="24"/>
        </w:rPr>
      </w:pPr>
    </w:p>
    <w:p w14:paraId="75C9537B">
      <w:pPr>
        <w:pageBreakBefore w:val="0"/>
        <w:widowControl w:val="0"/>
        <w:kinsoku/>
        <w:wordWrap/>
        <w:overflowPunct/>
        <w:topLinePunct w:val="0"/>
        <w:bidi w:val="0"/>
        <w:snapToGrid/>
        <w:spacing w:before="120" w:line="420" w:lineRule="exact"/>
        <w:ind w:left="960"/>
        <w:textAlignment w:val="auto"/>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项目名称：</w:t>
      </w:r>
      <w:r>
        <w:rPr>
          <w:rFonts w:hint="eastAsia" w:ascii="微软雅黑" w:hAnsi="微软雅黑" w:eastAsia="微软雅黑" w:cs="微软雅黑"/>
          <w:color w:val="auto"/>
          <w:sz w:val="24"/>
          <w:szCs w:val="24"/>
          <w:u w:val="single"/>
        </w:rPr>
        <w:t xml:space="preserve">                                   </w:t>
      </w:r>
    </w:p>
    <w:p w14:paraId="767F7A2C">
      <w:pPr>
        <w:pageBreakBefore w:val="0"/>
        <w:widowControl w:val="0"/>
        <w:kinsoku/>
        <w:wordWrap/>
        <w:overflowPunct/>
        <w:topLinePunct w:val="0"/>
        <w:bidi w:val="0"/>
        <w:snapToGrid/>
        <w:spacing w:line="420" w:lineRule="exact"/>
        <w:textAlignment w:val="auto"/>
        <w:rPr>
          <w:rFonts w:hint="eastAsia" w:ascii="微软雅黑" w:hAnsi="微软雅黑" w:eastAsia="微软雅黑" w:cs="微软雅黑"/>
          <w:color w:val="auto"/>
          <w:sz w:val="24"/>
          <w:szCs w:val="24"/>
        </w:rPr>
      </w:pPr>
    </w:p>
    <w:p w14:paraId="42CB92BA">
      <w:pPr>
        <w:pageBreakBefore w:val="0"/>
        <w:widowControl w:val="0"/>
        <w:kinsoku/>
        <w:wordWrap/>
        <w:overflowPunct/>
        <w:topLinePunct w:val="0"/>
        <w:bidi w:val="0"/>
        <w:snapToGrid/>
        <w:spacing w:before="120" w:line="420" w:lineRule="exact"/>
        <w:ind w:left="960"/>
        <w:textAlignment w:val="auto"/>
        <w:rPr>
          <w:rFonts w:hint="eastAsia" w:ascii="微软雅黑" w:hAnsi="微软雅黑" w:eastAsia="微软雅黑" w:cs="微软雅黑"/>
          <w:color w:val="auto"/>
          <w:sz w:val="24"/>
          <w:szCs w:val="24"/>
          <w:u w:val="single"/>
        </w:rPr>
      </w:pPr>
      <w:r>
        <w:rPr>
          <w:rFonts w:hint="eastAsia" w:ascii="微软雅黑" w:hAnsi="微软雅黑" w:eastAsia="微软雅黑" w:cs="微软雅黑"/>
          <w:color w:val="auto"/>
          <w:sz w:val="24"/>
          <w:szCs w:val="24"/>
        </w:rPr>
        <w:t>甲方：</w:t>
      </w:r>
      <w:r>
        <w:rPr>
          <w:rFonts w:hint="eastAsia" w:ascii="微软雅黑" w:hAnsi="微软雅黑" w:eastAsia="微软雅黑" w:cs="微软雅黑"/>
          <w:color w:val="auto"/>
          <w:sz w:val="24"/>
          <w:szCs w:val="24"/>
          <w:u w:val="single"/>
        </w:rPr>
        <w:t xml:space="preserve">                                       </w:t>
      </w:r>
    </w:p>
    <w:p w14:paraId="3CF31564">
      <w:pPr>
        <w:pageBreakBefore w:val="0"/>
        <w:widowControl w:val="0"/>
        <w:kinsoku/>
        <w:wordWrap/>
        <w:overflowPunct/>
        <w:topLinePunct w:val="0"/>
        <w:bidi w:val="0"/>
        <w:snapToGrid/>
        <w:spacing w:before="120" w:line="420" w:lineRule="exact"/>
        <w:textAlignment w:val="auto"/>
        <w:rPr>
          <w:rFonts w:hint="eastAsia" w:ascii="微软雅黑" w:hAnsi="微软雅黑" w:eastAsia="微软雅黑" w:cs="微软雅黑"/>
          <w:color w:val="auto"/>
          <w:sz w:val="24"/>
          <w:szCs w:val="24"/>
        </w:rPr>
      </w:pPr>
    </w:p>
    <w:p w14:paraId="174DF875">
      <w:pPr>
        <w:pageBreakBefore w:val="0"/>
        <w:widowControl w:val="0"/>
        <w:kinsoku/>
        <w:wordWrap/>
        <w:overflowPunct/>
        <w:topLinePunct w:val="0"/>
        <w:bidi w:val="0"/>
        <w:snapToGrid/>
        <w:spacing w:before="120" w:line="420" w:lineRule="exact"/>
        <w:ind w:left="960"/>
        <w:textAlignment w:val="auto"/>
        <w:rPr>
          <w:rFonts w:hint="eastAsia" w:ascii="微软雅黑" w:hAnsi="微软雅黑" w:eastAsia="微软雅黑" w:cs="微软雅黑"/>
          <w:color w:val="auto"/>
          <w:sz w:val="24"/>
          <w:szCs w:val="24"/>
          <w:u w:val="single"/>
        </w:rPr>
      </w:pPr>
      <w:r>
        <w:rPr>
          <w:rFonts w:hint="eastAsia" w:ascii="微软雅黑" w:hAnsi="微软雅黑" w:eastAsia="微软雅黑" w:cs="微软雅黑"/>
          <w:color w:val="auto"/>
          <w:sz w:val="24"/>
          <w:szCs w:val="24"/>
        </w:rPr>
        <w:t>乙方：</w:t>
      </w:r>
      <w:r>
        <w:rPr>
          <w:rFonts w:hint="eastAsia" w:ascii="微软雅黑" w:hAnsi="微软雅黑" w:eastAsia="微软雅黑" w:cs="微软雅黑"/>
          <w:color w:val="auto"/>
          <w:sz w:val="24"/>
          <w:szCs w:val="24"/>
          <w:u w:val="single"/>
        </w:rPr>
        <w:t xml:space="preserve">                                       </w:t>
      </w:r>
    </w:p>
    <w:p w14:paraId="26F21923">
      <w:pPr>
        <w:pageBreakBefore w:val="0"/>
        <w:widowControl w:val="0"/>
        <w:kinsoku/>
        <w:wordWrap/>
        <w:overflowPunct/>
        <w:topLinePunct w:val="0"/>
        <w:bidi w:val="0"/>
        <w:snapToGrid/>
        <w:spacing w:before="120" w:line="420" w:lineRule="exact"/>
        <w:textAlignment w:val="auto"/>
        <w:rPr>
          <w:rFonts w:hint="eastAsia" w:ascii="微软雅黑" w:hAnsi="微软雅黑" w:eastAsia="微软雅黑" w:cs="微软雅黑"/>
          <w:color w:val="auto"/>
          <w:sz w:val="24"/>
          <w:szCs w:val="24"/>
        </w:rPr>
      </w:pPr>
    </w:p>
    <w:p w14:paraId="09237B4E">
      <w:pPr>
        <w:pageBreakBefore w:val="0"/>
        <w:widowControl w:val="0"/>
        <w:kinsoku/>
        <w:wordWrap/>
        <w:overflowPunct/>
        <w:topLinePunct w:val="0"/>
        <w:bidi w:val="0"/>
        <w:snapToGrid/>
        <w:spacing w:before="120" w:line="420" w:lineRule="exact"/>
        <w:ind w:firstLine="960" w:firstLineChars="400"/>
        <w:textAlignment w:val="auto"/>
        <w:rPr>
          <w:rFonts w:hint="eastAsia" w:ascii="微软雅黑" w:hAnsi="微软雅黑" w:eastAsia="微软雅黑" w:cs="微软雅黑"/>
          <w:color w:val="auto"/>
          <w:sz w:val="24"/>
          <w:szCs w:val="24"/>
          <w:u w:val="single"/>
        </w:rPr>
      </w:pPr>
      <w:r>
        <w:rPr>
          <w:rFonts w:hint="eastAsia" w:ascii="微软雅黑" w:hAnsi="微软雅黑" w:eastAsia="微软雅黑" w:cs="微软雅黑"/>
          <w:color w:val="auto"/>
          <w:sz w:val="24"/>
          <w:szCs w:val="24"/>
        </w:rPr>
        <w:t>签订地：</w:t>
      </w:r>
      <w:r>
        <w:rPr>
          <w:rFonts w:hint="eastAsia" w:ascii="微软雅黑" w:hAnsi="微软雅黑" w:eastAsia="微软雅黑" w:cs="微软雅黑"/>
          <w:color w:val="auto"/>
          <w:sz w:val="24"/>
          <w:szCs w:val="24"/>
          <w:u w:val="single"/>
        </w:rPr>
        <w:t xml:space="preserve">                                     </w:t>
      </w:r>
    </w:p>
    <w:p w14:paraId="33D17676">
      <w:pPr>
        <w:pageBreakBefore w:val="0"/>
        <w:widowControl w:val="0"/>
        <w:tabs>
          <w:tab w:val="left" w:pos="8569"/>
        </w:tabs>
        <w:kinsoku/>
        <w:wordWrap/>
        <w:overflowPunct/>
        <w:topLinePunct w:val="0"/>
        <w:bidi w:val="0"/>
        <w:snapToGrid/>
        <w:spacing w:before="120" w:line="420" w:lineRule="exact"/>
        <w:textAlignment w:val="auto"/>
        <w:rPr>
          <w:rFonts w:hint="eastAsia" w:ascii="微软雅黑" w:hAnsi="微软雅黑" w:eastAsia="微软雅黑" w:cs="微软雅黑"/>
          <w:color w:val="auto"/>
          <w:sz w:val="24"/>
          <w:szCs w:val="24"/>
          <w:lang w:eastAsia="zh-CN"/>
        </w:rPr>
      </w:pPr>
      <w:r>
        <w:rPr>
          <w:rFonts w:hint="eastAsia" w:ascii="微软雅黑" w:hAnsi="微软雅黑" w:eastAsia="微软雅黑" w:cs="微软雅黑"/>
          <w:color w:val="auto"/>
          <w:sz w:val="24"/>
          <w:szCs w:val="24"/>
          <w:lang w:eastAsia="zh-CN"/>
        </w:rPr>
        <w:tab/>
      </w:r>
    </w:p>
    <w:p w14:paraId="089692FA">
      <w:pPr>
        <w:pageBreakBefore w:val="0"/>
        <w:widowControl w:val="0"/>
        <w:kinsoku/>
        <w:wordWrap/>
        <w:overflowPunct/>
        <w:topLinePunct w:val="0"/>
        <w:bidi w:val="0"/>
        <w:snapToGrid/>
        <w:spacing w:before="120" w:line="420" w:lineRule="exact"/>
        <w:ind w:firstLine="960" w:firstLineChars="400"/>
        <w:textAlignment w:val="auto"/>
        <w:rPr>
          <w:rFonts w:hint="eastAsia" w:ascii="微软雅黑" w:hAnsi="微软雅黑" w:eastAsia="微软雅黑" w:cs="微软雅黑"/>
          <w:color w:val="auto"/>
          <w:sz w:val="24"/>
          <w:szCs w:val="24"/>
          <w:u w:val="single"/>
        </w:rPr>
      </w:pPr>
      <w:r>
        <w:rPr>
          <w:rFonts w:hint="eastAsia" w:ascii="微软雅黑" w:hAnsi="微软雅黑" w:eastAsia="微软雅黑" w:cs="微软雅黑"/>
          <w:color w:val="auto"/>
          <w:sz w:val="24"/>
          <w:szCs w:val="24"/>
        </w:rPr>
        <w:t>签订日期：</w:t>
      </w:r>
      <w:r>
        <w:rPr>
          <w:rFonts w:hint="eastAsia" w:ascii="微软雅黑" w:hAnsi="微软雅黑" w:eastAsia="微软雅黑" w:cs="微软雅黑"/>
          <w:color w:val="auto"/>
          <w:sz w:val="24"/>
          <w:szCs w:val="24"/>
          <w:u w:val="single"/>
        </w:rPr>
        <w:t xml:space="preserve">               </w:t>
      </w:r>
      <w:r>
        <w:rPr>
          <w:rFonts w:hint="eastAsia" w:ascii="微软雅黑" w:hAnsi="微软雅黑" w:eastAsia="微软雅黑" w:cs="微软雅黑"/>
          <w:color w:val="auto"/>
          <w:sz w:val="24"/>
          <w:szCs w:val="24"/>
        </w:rPr>
        <w:t>年</w:t>
      </w:r>
      <w:r>
        <w:rPr>
          <w:rFonts w:hint="eastAsia" w:ascii="微软雅黑" w:hAnsi="微软雅黑" w:eastAsia="微软雅黑" w:cs="微软雅黑"/>
          <w:color w:val="auto"/>
          <w:sz w:val="24"/>
          <w:szCs w:val="24"/>
          <w:u w:val="single"/>
        </w:rPr>
        <w:t xml:space="preserve">       </w:t>
      </w:r>
      <w:r>
        <w:rPr>
          <w:rFonts w:hint="eastAsia" w:ascii="微软雅黑" w:hAnsi="微软雅黑" w:eastAsia="微软雅黑" w:cs="微软雅黑"/>
          <w:color w:val="auto"/>
          <w:sz w:val="24"/>
          <w:szCs w:val="24"/>
        </w:rPr>
        <w:t>月</w:t>
      </w:r>
      <w:r>
        <w:rPr>
          <w:rFonts w:hint="eastAsia" w:ascii="微软雅黑" w:hAnsi="微软雅黑" w:eastAsia="微软雅黑" w:cs="微软雅黑"/>
          <w:color w:val="auto"/>
          <w:sz w:val="24"/>
          <w:szCs w:val="24"/>
          <w:u w:val="single"/>
        </w:rPr>
        <w:t xml:space="preserve">       </w:t>
      </w:r>
      <w:r>
        <w:rPr>
          <w:rFonts w:hint="eastAsia" w:ascii="微软雅黑" w:hAnsi="微软雅黑" w:eastAsia="微软雅黑" w:cs="微软雅黑"/>
          <w:color w:val="auto"/>
          <w:sz w:val="24"/>
          <w:szCs w:val="24"/>
        </w:rPr>
        <w:t>日</w:t>
      </w:r>
    </w:p>
    <w:p w14:paraId="56313196">
      <w:pPr>
        <w:pageBreakBefore w:val="0"/>
        <w:widowControl w:val="0"/>
        <w:kinsoku/>
        <w:wordWrap/>
        <w:overflowPunct/>
        <w:topLinePunct w:val="0"/>
        <w:autoSpaceDE w:val="0"/>
        <w:autoSpaceDN w:val="0"/>
        <w:bidi w:val="0"/>
        <w:adjustRightInd w:val="0"/>
        <w:snapToGrid/>
        <w:spacing w:line="420" w:lineRule="exact"/>
        <w:ind w:firstLine="640"/>
        <w:jc w:val="center"/>
        <w:textAlignment w:val="auto"/>
        <w:rPr>
          <w:rFonts w:hint="eastAsia" w:ascii="微软雅黑" w:hAnsi="微软雅黑" w:eastAsia="微软雅黑" w:cs="微软雅黑"/>
          <w:color w:val="auto"/>
          <w:sz w:val="24"/>
          <w:szCs w:val="24"/>
        </w:rPr>
      </w:pPr>
    </w:p>
    <w:p w14:paraId="4F1BDFAC">
      <w:pPr>
        <w:pageBreakBefore w:val="0"/>
        <w:widowControl w:val="0"/>
        <w:kinsoku/>
        <w:wordWrap/>
        <w:overflowPunct/>
        <w:topLinePunct w:val="0"/>
        <w:autoSpaceDE w:val="0"/>
        <w:autoSpaceDN w:val="0"/>
        <w:bidi w:val="0"/>
        <w:adjustRightInd w:val="0"/>
        <w:snapToGrid/>
        <w:spacing w:line="420" w:lineRule="exact"/>
        <w:ind w:firstLine="640"/>
        <w:jc w:val="center"/>
        <w:textAlignment w:val="auto"/>
        <w:rPr>
          <w:rFonts w:hint="eastAsia" w:ascii="微软雅黑" w:hAnsi="微软雅黑" w:eastAsia="微软雅黑" w:cs="微软雅黑"/>
          <w:color w:val="auto"/>
          <w:sz w:val="24"/>
          <w:szCs w:val="24"/>
        </w:rPr>
      </w:pPr>
    </w:p>
    <w:p w14:paraId="21C4BF29">
      <w:pPr>
        <w:tabs>
          <w:tab w:val="left" w:pos="0"/>
        </w:tabs>
        <w:spacing w:before="0" w:after="0" w:line="400" w:lineRule="exact"/>
        <w:jc w:val="both"/>
        <w:outlineLvl w:val="9"/>
        <w:rPr>
          <w:rFonts w:hint="eastAsia" w:ascii="微软雅黑" w:hAnsi="微软雅黑" w:eastAsia="微软雅黑" w:cs="微软雅黑"/>
          <w:b/>
          <w:bCs/>
          <w:color w:val="auto"/>
          <w:sz w:val="24"/>
          <w:szCs w:val="32"/>
          <w:lang w:eastAsia="zh-CN"/>
        </w:rPr>
      </w:pPr>
      <w:r>
        <w:rPr>
          <w:rFonts w:hint="eastAsia" w:ascii="微软雅黑" w:hAnsi="微软雅黑" w:eastAsia="微软雅黑" w:cs="微软雅黑"/>
          <w:b/>
          <w:bCs/>
          <w:color w:val="auto"/>
          <w:sz w:val="24"/>
          <w:szCs w:val="32"/>
          <w:lang w:eastAsia="zh-CN"/>
        </w:rPr>
        <w:t>此合同范本仅做参考，具体以实际签订合同为准。</w:t>
      </w:r>
    </w:p>
    <w:p w14:paraId="08638EB5">
      <w:pPr>
        <w:pageBreakBefore w:val="0"/>
        <w:widowControl w:val="0"/>
        <w:kinsoku/>
        <w:wordWrap/>
        <w:overflowPunct/>
        <w:topLinePunct w:val="0"/>
        <w:autoSpaceDE w:val="0"/>
        <w:autoSpaceDN w:val="0"/>
        <w:bidi w:val="0"/>
        <w:adjustRightInd w:val="0"/>
        <w:snapToGrid/>
        <w:spacing w:line="420" w:lineRule="exact"/>
        <w:ind w:firstLine="640"/>
        <w:jc w:val="center"/>
        <w:textAlignment w:val="auto"/>
        <w:rPr>
          <w:rFonts w:hint="eastAsia" w:ascii="微软雅黑" w:hAnsi="微软雅黑" w:eastAsia="微软雅黑" w:cs="微软雅黑"/>
          <w:color w:val="auto"/>
          <w:sz w:val="24"/>
          <w:szCs w:val="24"/>
        </w:rPr>
        <w:sectPr>
          <w:headerReference r:id="rId7" w:type="first"/>
          <w:footerReference r:id="rId10" w:type="first"/>
          <w:headerReference r:id="rId5" w:type="default"/>
          <w:footerReference r:id="rId8" w:type="default"/>
          <w:headerReference r:id="rId6" w:type="even"/>
          <w:footerReference r:id="rId9" w:type="even"/>
          <w:pgSz w:w="11907" w:h="16840"/>
          <w:pgMar w:top="1440" w:right="1080" w:bottom="1440" w:left="1080" w:header="851" w:footer="850" w:gutter="0"/>
          <w:pgNumType w:fmt="decimal"/>
          <w:cols w:space="0" w:num="1"/>
          <w:rtlGutter w:val="0"/>
          <w:docGrid w:type="lines" w:linePitch="317" w:charSpace="0"/>
        </w:sectPr>
      </w:pPr>
    </w:p>
    <w:p w14:paraId="4302720B">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u w:val="single"/>
          <w:lang w:val="zh-CN"/>
        </w:rPr>
        <w:t xml:space="preserve">        </w:t>
      </w:r>
      <w:r>
        <w:rPr>
          <w:rFonts w:hint="eastAsia" w:ascii="微软雅黑" w:hAnsi="微软雅黑" w:eastAsia="微软雅黑" w:cs="微软雅黑"/>
          <w:color w:val="auto"/>
          <w:sz w:val="24"/>
          <w:szCs w:val="24"/>
          <w:lang w:val="zh-CN"/>
        </w:rPr>
        <w:t>年</w:t>
      </w:r>
      <w:r>
        <w:rPr>
          <w:rFonts w:hint="eastAsia" w:ascii="微软雅黑" w:hAnsi="微软雅黑" w:eastAsia="微软雅黑" w:cs="微软雅黑"/>
          <w:color w:val="auto"/>
          <w:sz w:val="24"/>
          <w:szCs w:val="24"/>
          <w:u w:val="single"/>
          <w:lang w:val="zh-CN"/>
        </w:rPr>
        <w:t xml:space="preserve">    </w:t>
      </w:r>
      <w:r>
        <w:rPr>
          <w:rFonts w:hint="eastAsia" w:ascii="微软雅黑" w:hAnsi="微软雅黑" w:eastAsia="微软雅黑" w:cs="微软雅黑"/>
          <w:color w:val="auto"/>
          <w:sz w:val="24"/>
          <w:szCs w:val="24"/>
          <w:lang w:val="zh-CN"/>
        </w:rPr>
        <w:t>月</w:t>
      </w:r>
      <w:r>
        <w:rPr>
          <w:rFonts w:hint="eastAsia" w:ascii="微软雅黑" w:hAnsi="微软雅黑" w:eastAsia="微软雅黑" w:cs="微软雅黑"/>
          <w:color w:val="auto"/>
          <w:sz w:val="24"/>
          <w:szCs w:val="24"/>
          <w:u w:val="single"/>
          <w:lang w:val="zh-CN"/>
        </w:rPr>
        <w:t xml:space="preserve">    </w:t>
      </w:r>
      <w:r>
        <w:rPr>
          <w:rFonts w:hint="eastAsia" w:ascii="微软雅黑" w:hAnsi="微软雅黑" w:eastAsia="微软雅黑" w:cs="微软雅黑"/>
          <w:color w:val="auto"/>
          <w:sz w:val="24"/>
          <w:szCs w:val="24"/>
          <w:lang w:val="zh-CN"/>
        </w:rPr>
        <w:t>日</w:t>
      </w:r>
      <w:r>
        <w:rPr>
          <w:rFonts w:hint="eastAsia" w:ascii="微软雅黑" w:hAnsi="微软雅黑" w:eastAsia="微软雅黑" w:cs="微软雅黑"/>
          <w:color w:val="auto"/>
          <w:sz w:val="24"/>
          <w:szCs w:val="24"/>
        </w:rPr>
        <w:t>，</w:t>
      </w:r>
      <w:r>
        <w:rPr>
          <w:rFonts w:hint="eastAsia" w:ascii="微软雅黑" w:hAnsi="微软雅黑" w:eastAsia="微软雅黑" w:cs="微软雅黑"/>
          <w:color w:val="auto"/>
          <w:sz w:val="24"/>
          <w:szCs w:val="24"/>
          <w:u w:val="single"/>
        </w:rPr>
        <w:t xml:space="preserve">   （采购人名称）   </w:t>
      </w:r>
      <w:r>
        <w:rPr>
          <w:rFonts w:hint="eastAsia" w:ascii="微软雅黑" w:hAnsi="微软雅黑" w:eastAsia="微软雅黑" w:cs="微软雅黑"/>
          <w:color w:val="auto"/>
          <w:sz w:val="24"/>
          <w:szCs w:val="24"/>
        </w:rPr>
        <w:t>以</w:t>
      </w:r>
      <w:r>
        <w:rPr>
          <w:rFonts w:hint="eastAsia" w:ascii="微软雅黑" w:hAnsi="微软雅黑" w:eastAsia="微软雅黑" w:cs="微软雅黑"/>
          <w:color w:val="auto"/>
          <w:sz w:val="24"/>
          <w:szCs w:val="24"/>
          <w:u w:val="single"/>
        </w:rPr>
        <w:t xml:space="preserve">   （政府采购方式）  </w:t>
      </w:r>
      <w:r>
        <w:rPr>
          <w:rFonts w:hint="eastAsia" w:ascii="微软雅黑" w:hAnsi="微软雅黑" w:eastAsia="微软雅黑" w:cs="微软雅黑"/>
          <w:color w:val="auto"/>
          <w:sz w:val="24"/>
          <w:szCs w:val="24"/>
        </w:rPr>
        <w:t>对</w:t>
      </w:r>
      <w:r>
        <w:rPr>
          <w:rFonts w:hint="eastAsia" w:ascii="微软雅黑" w:hAnsi="微软雅黑" w:eastAsia="微软雅黑" w:cs="微软雅黑"/>
          <w:color w:val="auto"/>
          <w:sz w:val="24"/>
          <w:szCs w:val="24"/>
          <w:u w:val="single"/>
        </w:rPr>
        <w:t xml:space="preserve">   （同前页项目名称）   </w:t>
      </w:r>
      <w:r>
        <w:rPr>
          <w:rFonts w:hint="eastAsia" w:ascii="微软雅黑" w:hAnsi="微软雅黑" w:eastAsia="微软雅黑" w:cs="微软雅黑"/>
          <w:color w:val="auto"/>
          <w:sz w:val="24"/>
          <w:szCs w:val="24"/>
        </w:rPr>
        <w:t>项目进行了采购。经</w:t>
      </w:r>
      <w:r>
        <w:rPr>
          <w:rFonts w:hint="eastAsia" w:ascii="微软雅黑" w:hAnsi="微软雅黑" w:eastAsia="微软雅黑" w:cs="微软雅黑"/>
          <w:color w:val="auto"/>
          <w:sz w:val="24"/>
          <w:szCs w:val="24"/>
          <w:u w:val="single"/>
        </w:rPr>
        <w:t xml:space="preserve">   （相关评定主体名称）   </w:t>
      </w:r>
      <w:r>
        <w:rPr>
          <w:rFonts w:hint="eastAsia" w:ascii="微软雅黑" w:hAnsi="微软雅黑" w:eastAsia="微软雅黑" w:cs="微软雅黑"/>
          <w:color w:val="auto"/>
          <w:sz w:val="24"/>
          <w:szCs w:val="24"/>
        </w:rPr>
        <w:t>评定，</w:t>
      </w:r>
      <w:r>
        <w:rPr>
          <w:rFonts w:hint="eastAsia" w:ascii="微软雅黑" w:hAnsi="微软雅黑" w:eastAsia="微软雅黑" w:cs="微软雅黑"/>
          <w:color w:val="auto"/>
          <w:sz w:val="24"/>
          <w:szCs w:val="24"/>
          <w:u w:val="single"/>
        </w:rPr>
        <w:t xml:space="preserve">   （中标供应商名称） </w:t>
      </w:r>
      <w:r>
        <w:rPr>
          <w:rFonts w:hint="eastAsia" w:ascii="微软雅黑" w:hAnsi="微软雅黑" w:eastAsia="微软雅黑" w:cs="微软雅黑"/>
          <w:color w:val="auto"/>
          <w:sz w:val="24"/>
          <w:szCs w:val="24"/>
        </w:rPr>
        <w:t>为该项目中标供应商。现于中标通知书发出之日起三十日内，按照采购文件确定的事项签订本合同。</w:t>
      </w:r>
    </w:p>
    <w:p w14:paraId="1D2A40DE">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lang w:val="zh-CN"/>
        </w:rPr>
        <w:t>根据《中华人民共和国合同法》、《中华人民共和国政府采购法》等相关法律法规之规定，按照平等、自愿、公平和诚实信用的原则，经</w:t>
      </w:r>
      <w:r>
        <w:rPr>
          <w:rFonts w:hint="eastAsia" w:ascii="微软雅黑" w:hAnsi="微软雅黑" w:eastAsia="微软雅黑" w:cs="微软雅黑"/>
          <w:color w:val="auto"/>
          <w:sz w:val="24"/>
          <w:szCs w:val="24"/>
          <w:u w:val="single"/>
        </w:rPr>
        <w:t xml:space="preserve">   （采购人名称）   </w:t>
      </w:r>
      <w:r>
        <w:rPr>
          <w:rFonts w:hint="eastAsia" w:ascii="微软雅黑" w:hAnsi="微软雅黑" w:eastAsia="微软雅黑" w:cs="微软雅黑"/>
          <w:color w:val="auto"/>
          <w:sz w:val="24"/>
          <w:szCs w:val="24"/>
          <w:lang w:val="zh-CN"/>
        </w:rPr>
        <w:t>(以下简称：甲方)和</w:t>
      </w:r>
      <w:r>
        <w:rPr>
          <w:rFonts w:hint="eastAsia" w:ascii="微软雅黑" w:hAnsi="微软雅黑" w:eastAsia="微软雅黑" w:cs="微软雅黑"/>
          <w:color w:val="auto"/>
          <w:sz w:val="24"/>
          <w:szCs w:val="24"/>
          <w:u w:val="single"/>
        </w:rPr>
        <w:t xml:space="preserve">   （中标供应商名称）   </w:t>
      </w:r>
      <w:r>
        <w:rPr>
          <w:rFonts w:hint="eastAsia" w:ascii="微软雅黑" w:hAnsi="微软雅黑" w:eastAsia="微软雅黑" w:cs="微软雅黑"/>
          <w:color w:val="auto"/>
          <w:sz w:val="24"/>
          <w:szCs w:val="24"/>
          <w:lang w:val="zh-CN"/>
        </w:rPr>
        <w:t>(以下简称：乙方)协商一致，约定以下合同</w:t>
      </w:r>
      <w:r>
        <w:rPr>
          <w:rFonts w:hint="eastAsia" w:ascii="微软雅黑" w:hAnsi="微软雅黑" w:eastAsia="微软雅黑" w:cs="微软雅黑"/>
          <w:color w:val="auto"/>
          <w:sz w:val="24"/>
          <w:szCs w:val="24"/>
        </w:rPr>
        <w:t>条款，以兹共同遵守、全面履行。</w:t>
      </w:r>
    </w:p>
    <w:p w14:paraId="5280C0D2">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color w:val="auto"/>
          <w:sz w:val="24"/>
          <w:szCs w:val="24"/>
        </w:rPr>
      </w:pPr>
      <w:bookmarkStart w:id="735" w:name="_Toc26794"/>
      <w:bookmarkStart w:id="736" w:name="_Toc2502"/>
      <w:bookmarkStart w:id="737" w:name="_Toc13178"/>
      <w:bookmarkStart w:id="738" w:name="_Toc19273"/>
      <w:bookmarkStart w:id="739" w:name="_Toc15367"/>
      <w:bookmarkStart w:id="740" w:name="_Toc20792"/>
      <w:bookmarkStart w:id="741" w:name="_Toc28855"/>
      <w:bookmarkStart w:id="742" w:name="_Toc29977"/>
      <w:bookmarkStart w:id="743" w:name="_Toc8517"/>
      <w:bookmarkStart w:id="744" w:name="_Toc26665"/>
      <w:bookmarkStart w:id="745" w:name="_Toc15547"/>
      <w:bookmarkStart w:id="746" w:name="_Toc20223"/>
      <w:bookmarkStart w:id="747" w:name="_Toc18134"/>
      <w:bookmarkStart w:id="748" w:name="_Toc20421"/>
      <w:r>
        <w:rPr>
          <w:rFonts w:hint="eastAsia" w:ascii="微软雅黑" w:hAnsi="微软雅黑" w:eastAsia="微软雅黑" w:cs="微软雅黑"/>
          <w:b/>
          <w:color w:val="auto"/>
          <w:sz w:val="24"/>
          <w:szCs w:val="24"/>
        </w:rPr>
        <w:t>1.1 合同组成部分</w:t>
      </w:r>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p>
    <w:p w14:paraId="0250E6AC">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099B48D5">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1.1.1 本合同及其补充合同、变更协议；</w:t>
      </w:r>
    </w:p>
    <w:p w14:paraId="33B6F22F">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1.1.2 中标通知书；</w:t>
      </w:r>
    </w:p>
    <w:p w14:paraId="71708395">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 xml:space="preserve">1.1.3 </w:t>
      </w:r>
      <w:r>
        <w:rPr>
          <w:rFonts w:hint="eastAsia" w:ascii="微软雅黑" w:hAnsi="微软雅黑" w:eastAsia="微软雅黑" w:cs="微软雅黑"/>
          <w:color w:val="auto"/>
          <w:sz w:val="24"/>
          <w:szCs w:val="24"/>
          <w:lang w:eastAsia="zh-CN"/>
        </w:rPr>
        <w:t>响应文件</w:t>
      </w:r>
      <w:r>
        <w:rPr>
          <w:rFonts w:hint="eastAsia" w:ascii="微软雅黑" w:hAnsi="微软雅黑" w:eastAsia="微软雅黑" w:cs="微软雅黑"/>
          <w:color w:val="auto"/>
          <w:sz w:val="24"/>
          <w:szCs w:val="24"/>
        </w:rPr>
        <w:t>（含澄清或者说明文件）；</w:t>
      </w:r>
    </w:p>
    <w:p w14:paraId="0579E488">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 xml:space="preserve">1.1.4 </w:t>
      </w:r>
      <w:r>
        <w:rPr>
          <w:rFonts w:hint="eastAsia" w:ascii="微软雅黑" w:hAnsi="微软雅黑" w:eastAsia="微软雅黑" w:cs="微软雅黑"/>
          <w:color w:val="auto"/>
          <w:sz w:val="24"/>
          <w:szCs w:val="24"/>
          <w:lang w:eastAsia="zh-CN"/>
        </w:rPr>
        <w:t>磋商文件</w:t>
      </w:r>
      <w:r>
        <w:rPr>
          <w:rFonts w:hint="eastAsia" w:ascii="微软雅黑" w:hAnsi="微软雅黑" w:eastAsia="微软雅黑" w:cs="微软雅黑"/>
          <w:color w:val="auto"/>
          <w:sz w:val="24"/>
          <w:szCs w:val="24"/>
        </w:rPr>
        <w:t>（含澄清或者修改文件）；</w:t>
      </w:r>
    </w:p>
    <w:p w14:paraId="6F6EF22E">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1.1.5 其他相关采购文件。</w:t>
      </w:r>
    </w:p>
    <w:p w14:paraId="4D1E62C4">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749" w:name="_Toc10659"/>
      <w:bookmarkStart w:id="750" w:name="_Toc22185"/>
      <w:bookmarkStart w:id="751" w:name="_Toc21939"/>
      <w:bookmarkStart w:id="752" w:name="_Toc25247"/>
      <w:bookmarkStart w:id="753" w:name="_Toc26449"/>
      <w:bookmarkStart w:id="754" w:name="_Toc18585"/>
      <w:bookmarkStart w:id="755" w:name="_Toc15038"/>
      <w:bookmarkStart w:id="756" w:name="_Toc32041"/>
      <w:bookmarkStart w:id="757" w:name="_Toc23417"/>
      <w:bookmarkStart w:id="758" w:name="_Toc6773"/>
      <w:bookmarkStart w:id="759" w:name="_Toc26113"/>
      <w:bookmarkStart w:id="760" w:name="_Toc2918"/>
      <w:bookmarkStart w:id="761" w:name="_Toc4859"/>
      <w:bookmarkStart w:id="762" w:name="_Toc29680"/>
      <w:r>
        <w:rPr>
          <w:rFonts w:hint="eastAsia" w:ascii="微软雅黑" w:hAnsi="微软雅黑" w:eastAsia="微软雅黑" w:cs="微软雅黑"/>
          <w:b/>
          <w:color w:val="auto"/>
          <w:sz w:val="24"/>
          <w:szCs w:val="24"/>
        </w:rPr>
        <w:t>1.2 标的</w:t>
      </w:r>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p>
    <w:p w14:paraId="2801DF82">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u w:val="single"/>
        </w:rPr>
      </w:pPr>
      <w:r>
        <w:rPr>
          <w:rFonts w:hint="eastAsia" w:ascii="微软雅黑" w:hAnsi="微软雅黑" w:eastAsia="微软雅黑" w:cs="微软雅黑"/>
          <w:color w:val="auto"/>
          <w:sz w:val="24"/>
          <w:szCs w:val="24"/>
        </w:rPr>
        <w:t>1.2.1 标的名称：</w:t>
      </w:r>
      <w:r>
        <w:rPr>
          <w:rFonts w:hint="eastAsia" w:ascii="微软雅黑" w:hAnsi="微软雅黑" w:eastAsia="微软雅黑" w:cs="微软雅黑"/>
          <w:color w:val="auto"/>
          <w:sz w:val="24"/>
          <w:szCs w:val="24"/>
          <w:u w:val="single"/>
        </w:rPr>
        <w:t xml:space="preserve">                                                </w:t>
      </w:r>
      <w:r>
        <w:rPr>
          <w:rFonts w:hint="eastAsia" w:ascii="微软雅黑" w:hAnsi="微软雅黑" w:eastAsia="微软雅黑" w:cs="微软雅黑"/>
          <w:color w:val="auto"/>
          <w:sz w:val="24"/>
          <w:szCs w:val="24"/>
        </w:rPr>
        <w:t>；</w:t>
      </w:r>
    </w:p>
    <w:p w14:paraId="56675816">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u w:val="single"/>
        </w:rPr>
      </w:pPr>
      <w:r>
        <w:rPr>
          <w:rFonts w:hint="eastAsia" w:ascii="微软雅黑" w:hAnsi="微软雅黑" w:eastAsia="微软雅黑" w:cs="微软雅黑"/>
          <w:color w:val="auto"/>
          <w:sz w:val="24"/>
          <w:szCs w:val="24"/>
        </w:rPr>
        <w:t>1.2.2 标的数量：</w:t>
      </w:r>
      <w:r>
        <w:rPr>
          <w:rFonts w:hint="eastAsia" w:ascii="微软雅黑" w:hAnsi="微软雅黑" w:eastAsia="微软雅黑" w:cs="微软雅黑"/>
          <w:color w:val="auto"/>
          <w:sz w:val="24"/>
          <w:szCs w:val="24"/>
          <w:u w:val="single"/>
        </w:rPr>
        <w:t xml:space="preserve">                                                </w:t>
      </w:r>
      <w:r>
        <w:rPr>
          <w:rFonts w:hint="eastAsia" w:ascii="微软雅黑" w:hAnsi="微软雅黑" w:eastAsia="微软雅黑" w:cs="微软雅黑"/>
          <w:color w:val="auto"/>
          <w:sz w:val="24"/>
          <w:szCs w:val="24"/>
        </w:rPr>
        <w:t>；</w:t>
      </w:r>
    </w:p>
    <w:p w14:paraId="32B3E43B">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1.2.3 标的质量：</w:t>
      </w:r>
      <w:r>
        <w:rPr>
          <w:rFonts w:hint="eastAsia" w:ascii="微软雅黑" w:hAnsi="微软雅黑" w:eastAsia="微软雅黑" w:cs="微软雅黑"/>
          <w:color w:val="auto"/>
          <w:sz w:val="24"/>
          <w:szCs w:val="24"/>
          <w:u w:val="single"/>
        </w:rPr>
        <w:t xml:space="preserve">　　　　　　　　　                      　      </w:t>
      </w:r>
      <w:r>
        <w:rPr>
          <w:rFonts w:hint="eastAsia" w:ascii="微软雅黑" w:hAnsi="微软雅黑" w:eastAsia="微软雅黑" w:cs="微软雅黑"/>
          <w:color w:val="auto"/>
          <w:sz w:val="24"/>
          <w:szCs w:val="24"/>
        </w:rPr>
        <w:t>。</w:t>
      </w:r>
    </w:p>
    <w:p w14:paraId="7C3AC392">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763" w:name="_Toc32752"/>
      <w:bookmarkStart w:id="764" w:name="_Toc5635"/>
      <w:bookmarkStart w:id="765" w:name="_Toc23385"/>
      <w:bookmarkStart w:id="766" w:name="_Toc19956"/>
      <w:bookmarkStart w:id="767" w:name="_Toc20429"/>
      <w:bookmarkStart w:id="768" w:name="_Toc4929"/>
      <w:bookmarkStart w:id="769" w:name="_Toc32144"/>
      <w:bookmarkStart w:id="770" w:name="_Toc16454"/>
      <w:bookmarkStart w:id="771" w:name="_Toc1386"/>
      <w:bookmarkStart w:id="772" w:name="_Toc30232"/>
      <w:bookmarkStart w:id="773" w:name="_Toc5420"/>
      <w:bookmarkStart w:id="774" w:name="_Toc27022"/>
      <w:bookmarkStart w:id="775" w:name="_Toc17837"/>
      <w:bookmarkStart w:id="776" w:name="_Toc13918"/>
      <w:bookmarkStart w:id="777" w:name="_Toc21124"/>
      <w:r>
        <w:rPr>
          <w:rFonts w:hint="eastAsia" w:ascii="微软雅黑" w:hAnsi="微软雅黑" w:eastAsia="微软雅黑" w:cs="微软雅黑"/>
          <w:b/>
          <w:color w:val="auto"/>
          <w:sz w:val="24"/>
          <w:szCs w:val="24"/>
        </w:rPr>
        <w:t>1.3 价款</w:t>
      </w:r>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p>
    <w:p w14:paraId="35283F9C">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本合同总价为：￥</w:t>
      </w:r>
      <w:r>
        <w:rPr>
          <w:rFonts w:hint="eastAsia" w:ascii="微软雅黑" w:hAnsi="微软雅黑" w:eastAsia="微软雅黑" w:cs="微软雅黑"/>
          <w:color w:val="auto"/>
          <w:sz w:val="24"/>
          <w:szCs w:val="24"/>
          <w:u w:val="single"/>
        </w:rPr>
        <w:t xml:space="preserve">           </w:t>
      </w:r>
      <w:r>
        <w:rPr>
          <w:rFonts w:hint="eastAsia" w:ascii="微软雅黑" w:hAnsi="微软雅黑" w:eastAsia="微软雅黑" w:cs="微软雅黑"/>
          <w:color w:val="auto"/>
          <w:sz w:val="24"/>
          <w:szCs w:val="24"/>
        </w:rPr>
        <w:t>元（大写：</w:t>
      </w:r>
      <w:r>
        <w:rPr>
          <w:rFonts w:hint="eastAsia" w:ascii="微软雅黑" w:hAnsi="微软雅黑" w:eastAsia="微软雅黑" w:cs="微软雅黑"/>
          <w:color w:val="auto"/>
          <w:sz w:val="24"/>
          <w:szCs w:val="24"/>
          <w:u w:val="single"/>
        </w:rPr>
        <w:t xml:space="preserve">                 </w:t>
      </w:r>
      <w:r>
        <w:rPr>
          <w:rFonts w:hint="eastAsia" w:ascii="微软雅黑" w:hAnsi="微软雅黑" w:eastAsia="微软雅黑" w:cs="微软雅黑"/>
          <w:color w:val="auto"/>
          <w:sz w:val="24"/>
          <w:szCs w:val="24"/>
        </w:rPr>
        <w:t>元人民币）。</w:t>
      </w:r>
    </w:p>
    <w:p w14:paraId="0235C1AC">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u w:val="single"/>
        </w:rPr>
      </w:pPr>
      <w:r>
        <w:rPr>
          <w:rFonts w:hint="eastAsia" w:ascii="微软雅黑" w:hAnsi="微软雅黑" w:eastAsia="微软雅黑" w:cs="微软雅黑"/>
          <w:color w:val="auto"/>
          <w:sz w:val="24"/>
          <w:szCs w:val="24"/>
        </w:rPr>
        <w:t>分项价格：</w:t>
      </w:r>
    </w:p>
    <w:tbl>
      <w:tblPr>
        <w:tblStyle w:val="37"/>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48A857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7429DEF2">
            <w:pPr>
              <w:pStyle w:val="58"/>
              <w:pageBreakBefore w:val="0"/>
              <w:kinsoku/>
              <w:wordWrap/>
              <w:overflowPunct/>
              <w:topLinePunct w:val="0"/>
              <w:bidi w:val="0"/>
              <w:spacing w:line="480" w:lineRule="exact"/>
              <w:jc w:val="center"/>
              <w:rPr>
                <w:rFonts w:hint="eastAsia" w:ascii="微软雅黑" w:hAnsi="微软雅黑" w:eastAsia="微软雅黑" w:cs="微软雅黑"/>
                <w:color w:val="auto"/>
                <w:kern w:val="2"/>
                <w:sz w:val="24"/>
                <w:szCs w:val="24"/>
              </w:rPr>
            </w:pPr>
            <w:r>
              <w:rPr>
                <w:rFonts w:hint="eastAsia" w:ascii="微软雅黑" w:hAnsi="微软雅黑" w:eastAsia="微软雅黑" w:cs="微软雅黑"/>
                <w:color w:val="auto"/>
                <w:kern w:val="2"/>
                <w:sz w:val="24"/>
                <w:szCs w:val="24"/>
              </w:rPr>
              <w:t>序号</w:t>
            </w:r>
          </w:p>
        </w:tc>
        <w:tc>
          <w:tcPr>
            <w:tcW w:w="3402" w:type="dxa"/>
            <w:noWrap w:val="0"/>
            <w:vAlign w:val="center"/>
          </w:tcPr>
          <w:p w14:paraId="298943AF">
            <w:pPr>
              <w:pStyle w:val="58"/>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rPr>
            </w:pPr>
            <w:r>
              <w:rPr>
                <w:rFonts w:hint="eastAsia" w:ascii="微软雅黑" w:hAnsi="微软雅黑" w:eastAsia="微软雅黑" w:cs="微软雅黑"/>
                <w:color w:val="auto"/>
                <w:kern w:val="2"/>
                <w:sz w:val="24"/>
                <w:szCs w:val="24"/>
              </w:rPr>
              <w:t>分项名称</w:t>
            </w:r>
          </w:p>
        </w:tc>
        <w:tc>
          <w:tcPr>
            <w:tcW w:w="2552" w:type="dxa"/>
            <w:noWrap w:val="0"/>
            <w:vAlign w:val="center"/>
          </w:tcPr>
          <w:p w14:paraId="064AB34D">
            <w:pPr>
              <w:pStyle w:val="58"/>
              <w:pageBreakBefore w:val="0"/>
              <w:kinsoku/>
              <w:wordWrap/>
              <w:overflowPunct/>
              <w:topLinePunct w:val="0"/>
              <w:bidi w:val="0"/>
              <w:spacing w:line="480" w:lineRule="exact"/>
              <w:jc w:val="center"/>
              <w:rPr>
                <w:rFonts w:hint="eastAsia" w:ascii="微软雅黑" w:hAnsi="微软雅黑" w:eastAsia="微软雅黑" w:cs="微软雅黑"/>
                <w:color w:val="auto"/>
                <w:kern w:val="2"/>
                <w:sz w:val="24"/>
                <w:szCs w:val="24"/>
              </w:rPr>
            </w:pPr>
            <w:r>
              <w:rPr>
                <w:rFonts w:hint="eastAsia" w:ascii="微软雅黑" w:hAnsi="微软雅黑" w:eastAsia="微软雅黑" w:cs="微软雅黑"/>
                <w:color w:val="auto"/>
                <w:kern w:val="2"/>
                <w:sz w:val="24"/>
                <w:szCs w:val="24"/>
              </w:rPr>
              <w:t>分项价格</w:t>
            </w:r>
          </w:p>
        </w:tc>
      </w:tr>
      <w:tr w14:paraId="7BFEB1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1FD32C8C">
            <w:pPr>
              <w:pStyle w:val="58"/>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rPr>
            </w:pPr>
          </w:p>
        </w:tc>
        <w:tc>
          <w:tcPr>
            <w:tcW w:w="3402" w:type="dxa"/>
            <w:noWrap w:val="0"/>
            <w:vAlign w:val="center"/>
          </w:tcPr>
          <w:p w14:paraId="555FBFDD">
            <w:pPr>
              <w:pStyle w:val="58"/>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rPr>
            </w:pPr>
          </w:p>
        </w:tc>
        <w:tc>
          <w:tcPr>
            <w:tcW w:w="2552" w:type="dxa"/>
            <w:noWrap w:val="0"/>
            <w:vAlign w:val="center"/>
          </w:tcPr>
          <w:p w14:paraId="03B7B131">
            <w:pPr>
              <w:pStyle w:val="58"/>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rPr>
            </w:pPr>
          </w:p>
        </w:tc>
      </w:tr>
      <w:tr w14:paraId="7748EB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57EA10D5">
            <w:pPr>
              <w:pStyle w:val="58"/>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rPr>
            </w:pPr>
          </w:p>
        </w:tc>
        <w:tc>
          <w:tcPr>
            <w:tcW w:w="3402" w:type="dxa"/>
            <w:noWrap w:val="0"/>
            <w:vAlign w:val="center"/>
          </w:tcPr>
          <w:p w14:paraId="3BF361A1">
            <w:pPr>
              <w:pStyle w:val="58"/>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rPr>
            </w:pPr>
          </w:p>
        </w:tc>
        <w:tc>
          <w:tcPr>
            <w:tcW w:w="2552" w:type="dxa"/>
            <w:noWrap w:val="0"/>
            <w:vAlign w:val="center"/>
          </w:tcPr>
          <w:p w14:paraId="385F48B2">
            <w:pPr>
              <w:pStyle w:val="58"/>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rPr>
            </w:pPr>
          </w:p>
        </w:tc>
      </w:tr>
      <w:tr w14:paraId="61EBB3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1CD993ED">
            <w:pPr>
              <w:pStyle w:val="58"/>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rPr>
            </w:pPr>
          </w:p>
        </w:tc>
        <w:tc>
          <w:tcPr>
            <w:tcW w:w="3402" w:type="dxa"/>
            <w:noWrap w:val="0"/>
            <w:vAlign w:val="center"/>
          </w:tcPr>
          <w:p w14:paraId="26311D38">
            <w:pPr>
              <w:pStyle w:val="58"/>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rPr>
            </w:pPr>
          </w:p>
        </w:tc>
        <w:tc>
          <w:tcPr>
            <w:tcW w:w="2552" w:type="dxa"/>
            <w:noWrap w:val="0"/>
            <w:vAlign w:val="center"/>
          </w:tcPr>
          <w:p w14:paraId="154416BE">
            <w:pPr>
              <w:pStyle w:val="58"/>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rPr>
            </w:pPr>
          </w:p>
        </w:tc>
      </w:tr>
      <w:tr w14:paraId="75D97C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61D3FCCC">
            <w:pPr>
              <w:pStyle w:val="58"/>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rPr>
            </w:pPr>
          </w:p>
        </w:tc>
        <w:tc>
          <w:tcPr>
            <w:tcW w:w="3402" w:type="dxa"/>
            <w:noWrap w:val="0"/>
            <w:vAlign w:val="center"/>
          </w:tcPr>
          <w:p w14:paraId="750801CD">
            <w:pPr>
              <w:pStyle w:val="58"/>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rPr>
            </w:pPr>
          </w:p>
        </w:tc>
        <w:tc>
          <w:tcPr>
            <w:tcW w:w="2552" w:type="dxa"/>
            <w:noWrap w:val="0"/>
            <w:vAlign w:val="center"/>
          </w:tcPr>
          <w:p w14:paraId="01184A3D">
            <w:pPr>
              <w:pStyle w:val="58"/>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rPr>
            </w:pPr>
          </w:p>
        </w:tc>
      </w:tr>
      <w:tr w14:paraId="6D9A29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noWrap w:val="0"/>
            <w:vAlign w:val="center"/>
          </w:tcPr>
          <w:p w14:paraId="48E9C1D8">
            <w:pPr>
              <w:pStyle w:val="58"/>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rPr>
            </w:pPr>
            <w:r>
              <w:rPr>
                <w:rFonts w:hint="eastAsia" w:ascii="微软雅黑" w:hAnsi="微软雅黑" w:eastAsia="微软雅黑" w:cs="微软雅黑"/>
                <w:color w:val="auto"/>
                <w:kern w:val="2"/>
                <w:sz w:val="24"/>
                <w:szCs w:val="24"/>
              </w:rPr>
              <w:t>总价</w:t>
            </w:r>
          </w:p>
        </w:tc>
        <w:tc>
          <w:tcPr>
            <w:tcW w:w="2552" w:type="dxa"/>
            <w:noWrap w:val="0"/>
            <w:vAlign w:val="center"/>
          </w:tcPr>
          <w:p w14:paraId="2E224ADF">
            <w:pPr>
              <w:pStyle w:val="58"/>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rPr>
            </w:pPr>
          </w:p>
        </w:tc>
      </w:tr>
    </w:tbl>
    <w:p w14:paraId="31B940AE">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778" w:name="_Toc30506"/>
      <w:bookmarkStart w:id="779" w:name="_Toc3654"/>
      <w:bookmarkStart w:id="780" w:name="_Toc14993"/>
      <w:bookmarkStart w:id="781" w:name="_Toc28553"/>
      <w:bookmarkStart w:id="782" w:name="_Toc27632"/>
      <w:bookmarkStart w:id="783" w:name="_Toc7546"/>
      <w:bookmarkStart w:id="784" w:name="_Toc15332"/>
      <w:bookmarkStart w:id="785" w:name="_Toc11731"/>
      <w:bookmarkStart w:id="786" w:name="_Toc31651"/>
      <w:bookmarkStart w:id="787" w:name="_Toc8284"/>
      <w:bookmarkStart w:id="788" w:name="_Toc14542"/>
      <w:bookmarkStart w:id="789" w:name="_Toc30158"/>
      <w:bookmarkStart w:id="790" w:name="_Toc26916"/>
      <w:bookmarkStart w:id="791" w:name="_Toc7333"/>
      <w:r>
        <w:rPr>
          <w:rFonts w:hint="eastAsia" w:ascii="微软雅黑" w:hAnsi="微软雅黑" w:eastAsia="微软雅黑" w:cs="微软雅黑"/>
          <w:b/>
          <w:color w:val="auto"/>
          <w:sz w:val="24"/>
          <w:szCs w:val="24"/>
        </w:rPr>
        <w:t>1.4 付款方式和发票开具方式</w:t>
      </w:r>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p>
    <w:p w14:paraId="76B10593">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1.4.1付款方式：</w:t>
      </w:r>
      <w:r>
        <w:rPr>
          <w:rFonts w:hint="eastAsia" w:ascii="微软雅黑" w:hAnsi="微软雅黑" w:eastAsia="微软雅黑" w:cs="微软雅黑"/>
          <w:color w:val="auto"/>
          <w:sz w:val="24"/>
          <w:szCs w:val="24"/>
          <w:u w:val="single"/>
        </w:rPr>
        <w:t xml:space="preserve">                                                </w:t>
      </w:r>
      <w:r>
        <w:rPr>
          <w:rFonts w:hint="eastAsia" w:ascii="微软雅黑" w:hAnsi="微软雅黑" w:eastAsia="微软雅黑" w:cs="微软雅黑"/>
          <w:color w:val="auto"/>
          <w:sz w:val="24"/>
          <w:szCs w:val="24"/>
        </w:rPr>
        <w:t>；</w:t>
      </w:r>
    </w:p>
    <w:p w14:paraId="3544AEB9">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1.4.2 发票开具方式：</w:t>
      </w:r>
      <w:r>
        <w:rPr>
          <w:rFonts w:hint="eastAsia" w:ascii="微软雅黑" w:hAnsi="微软雅黑" w:eastAsia="微软雅黑" w:cs="微软雅黑"/>
          <w:color w:val="auto"/>
          <w:sz w:val="24"/>
          <w:szCs w:val="24"/>
          <w:u w:val="single"/>
        </w:rPr>
        <w:t xml:space="preserve">                                            </w:t>
      </w:r>
      <w:r>
        <w:rPr>
          <w:rFonts w:hint="eastAsia" w:ascii="微软雅黑" w:hAnsi="微软雅黑" w:eastAsia="微软雅黑" w:cs="微软雅黑"/>
          <w:color w:val="auto"/>
          <w:sz w:val="24"/>
          <w:szCs w:val="24"/>
        </w:rPr>
        <w:t>。</w:t>
      </w:r>
    </w:p>
    <w:p w14:paraId="15126F97">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792" w:name="_Toc3723"/>
      <w:bookmarkStart w:id="793" w:name="_Toc26208"/>
      <w:bookmarkStart w:id="794" w:name="_Toc24281"/>
      <w:bookmarkStart w:id="795" w:name="_Toc8772"/>
      <w:bookmarkStart w:id="796" w:name="_Toc27040"/>
      <w:bookmarkStart w:id="797" w:name="_Toc28091"/>
      <w:bookmarkStart w:id="798" w:name="_Toc11108"/>
      <w:bookmarkStart w:id="799" w:name="_Toc1315"/>
      <w:bookmarkStart w:id="800" w:name="_Toc31421"/>
      <w:bookmarkStart w:id="801" w:name="_Toc26682"/>
      <w:bookmarkStart w:id="802" w:name="_Toc16670"/>
      <w:bookmarkStart w:id="803" w:name="_Toc3625"/>
      <w:bookmarkStart w:id="804" w:name="_Toc28214"/>
      <w:bookmarkStart w:id="805" w:name="_Toc4760"/>
      <w:bookmarkStart w:id="806" w:name="_Toc19227"/>
      <w:r>
        <w:rPr>
          <w:rFonts w:hint="eastAsia" w:ascii="微软雅黑" w:hAnsi="微软雅黑" w:eastAsia="微软雅黑" w:cs="微软雅黑"/>
          <w:b/>
          <w:color w:val="auto"/>
          <w:sz w:val="24"/>
          <w:szCs w:val="24"/>
        </w:rPr>
        <w:t>1.5 履行期限、地点和方式</w:t>
      </w:r>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p>
    <w:p w14:paraId="6B776F35">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u w:val="single"/>
        </w:rPr>
      </w:pPr>
      <w:r>
        <w:rPr>
          <w:rFonts w:hint="eastAsia" w:ascii="微软雅黑" w:hAnsi="微软雅黑" w:eastAsia="微软雅黑" w:cs="微软雅黑"/>
          <w:color w:val="auto"/>
          <w:sz w:val="24"/>
          <w:szCs w:val="24"/>
        </w:rPr>
        <w:t>1.5.1 履行期限：</w:t>
      </w:r>
      <w:r>
        <w:rPr>
          <w:rFonts w:hint="eastAsia" w:ascii="微软雅黑" w:hAnsi="微软雅黑" w:eastAsia="微软雅黑" w:cs="微软雅黑"/>
          <w:color w:val="auto"/>
          <w:sz w:val="24"/>
          <w:szCs w:val="24"/>
          <w:u w:val="single"/>
        </w:rPr>
        <w:t xml:space="preserve">                                                </w:t>
      </w:r>
      <w:r>
        <w:rPr>
          <w:rFonts w:hint="eastAsia" w:ascii="微软雅黑" w:hAnsi="微软雅黑" w:eastAsia="微软雅黑" w:cs="微软雅黑"/>
          <w:color w:val="auto"/>
          <w:sz w:val="24"/>
          <w:szCs w:val="24"/>
        </w:rPr>
        <w:t>；</w:t>
      </w:r>
    </w:p>
    <w:p w14:paraId="7EC0ED06">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1.5.2 履行地点：</w:t>
      </w:r>
      <w:r>
        <w:rPr>
          <w:rFonts w:hint="eastAsia" w:ascii="微软雅黑" w:hAnsi="微软雅黑" w:eastAsia="微软雅黑" w:cs="微软雅黑"/>
          <w:color w:val="auto"/>
          <w:sz w:val="24"/>
          <w:szCs w:val="24"/>
          <w:u w:val="single"/>
        </w:rPr>
        <w:t xml:space="preserve">                                                </w:t>
      </w:r>
      <w:r>
        <w:rPr>
          <w:rFonts w:hint="eastAsia" w:ascii="微软雅黑" w:hAnsi="微软雅黑" w:eastAsia="微软雅黑" w:cs="微软雅黑"/>
          <w:color w:val="auto"/>
          <w:sz w:val="24"/>
          <w:szCs w:val="24"/>
        </w:rPr>
        <w:t>；</w:t>
      </w:r>
    </w:p>
    <w:p w14:paraId="56E800C0">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1.5.3 履行方式：</w:t>
      </w:r>
      <w:r>
        <w:rPr>
          <w:rFonts w:hint="eastAsia" w:ascii="微软雅黑" w:hAnsi="微软雅黑" w:eastAsia="微软雅黑" w:cs="微软雅黑"/>
          <w:color w:val="auto"/>
          <w:sz w:val="24"/>
          <w:szCs w:val="24"/>
          <w:u w:val="single"/>
        </w:rPr>
        <w:t xml:space="preserve">　　　　　　　　　                      　      </w:t>
      </w:r>
      <w:r>
        <w:rPr>
          <w:rFonts w:hint="eastAsia" w:ascii="微软雅黑" w:hAnsi="微软雅黑" w:eastAsia="微软雅黑" w:cs="微软雅黑"/>
          <w:color w:val="auto"/>
          <w:sz w:val="24"/>
          <w:szCs w:val="24"/>
        </w:rPr>
        <w:t>。</w:t>
      </w:r>
    </w:p>
    <w:p w14:paraId="753A2EE0">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color w:val="auto"/>
          <w:sz w:val="24"/>
          <w:szCs w:val="24"/>
          <w:u w:val="single"/>
        </w:rPr>
      </w:pPr>
      <w:bookmarkStart w:id="807" w:name="_Toc15796"/>
      <w:bookmarkStart w:id="808" w:name="_Toc11998"/>
      <w:bookmarkStart w:id="809" w:name="_Toc5698"/>
      <w:bookmarkStart w:id="810" w:name="_Toc8586"/>
      <w:bookmarkStart w:id="811" w:name="_Toc12663"/>
      <w:bookmarkStart w:id="812" w:name="_Toc24662"/>
      <w:bookmarkStart w:id="813" w:name="_Toc25917"/>
      <w:bookmarkStart w:id="814" w:name="_Toc28582"/>
      <w:bookmarkStart w:id="815" w:name="_Toc3079"/>
      <w:bookmarkStart w:id="816" w:name="_Toc4466"/>
      <w:bookmarkStart w:id="817" w:name="_Toc30215"/>
      <w:bookmarkStart w:id="818" w:name="_Toc2375"/>
      <w:bookmarkStart w:id="819" w:name="_Toc3868"/>
      <w:bookmarkStart w:id="820" w:name="_Toc13141"/>
      <w:bookmarkStart w:id="821" w:name="_Toc1254"/>
      <w:r>
        <w:rPr>
          <w:rFonts w:hint="eastAsia" w:ascii="微软雅黑" w:hAnsi="微软雅黑" w:eastAsia="微软雅黑" w:cs="微软雅黑"/>
          <w:b/>
          <w:color w:val="auto"/>
          <w:sz w:val="24"/>
          <w:szCs w:val="24"/>
        </w:rPr>
        <w:t>1.6 违约责任</w:t>
      </w:r>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p>
    <w:p w14:paraId="563C46DD">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1.6.1 除不可抗力外，如果乙方没有按照本合同约定的期限、地点和方式履行，那么甲方可要求乙方支付违约金，违约金按每迟延履行一日的应提供而未提供服务价格的</w:t>
      </w:r>
      <w:r>
        <w:rPr>
          <w:rFonts w:hint="eastAsia" w:ascii="微软雅黑" w:hAnsi="微软雅黑" w:eastAsia="微软雅黑" w:cs="微软雅黑"/>
          <w:color w:val="auto"/>
          <w:sz w:val="24"/>
          <w:szCs w:val="24"/>
          <w:u w:val="single"/>
        </w:rPr>
        <w:t xml:space="preserve">    </w:t>
      </w:r>
      <w:r>
        <w:rPr>
          <w:rFonts w:hint="eastAsia" w:ascii="微软雅黑" w:hAnsi="微软雅黑" w:eastAsia="微软雅黑" w:cs="微软雅黑"/>
          <w:color w:val="auto"/>
          <w:sz w:val="24"/>
          <w:szCs w:val="24"/>
        </w:rPr>
        <w:t>%计算，最高限额为本合同总价的</w:t>
      </w:r>
      <w:r>
        <w:rPr>
          <w:rFonts w:hint="eastAsia" w:ascii="微软雅黑" w:hAnsi="微软雅黑" w:eastAsia="微软雅黑" w:cs="微软雅黑"/>
          <w:color w:val="auto"/>
          <w:sz w:val="24"/>
          <w:szCs w:val="24"/>
          <w:u w:val="single"/>
        </w:rPr>
        <w:t xml:space="preserve">     </w:t>
      </w:r>
      <w:r>
        <w:rPr>
          <w:rFonts w:hint="eastAsia" w:ascii="微软雅黑" w:hAnsi="微软雅黑" w:eastAsia="微软雅黑" w:cs="微软雅黑"/>
          <w:color w:val="auto"/>
          <w:sz w:val="24"/>
          <w:szCs w:val="24"/>
        </w:rPr>
        <w:t>%；迟延履行的违约金计算数额达到前述最高限额之日起，甲方有权在要求乙方支付违约金的同时，书面通知乙方解除本合同；</w:t>
      </w:r>
    </w:p>
    <w:p w14:paraId="08C9ADD8">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1.6.2 除不可抗力外，如果甲方没有按照本合同约定的付款方式付款，那么乙方可要求甲方支付违约金，违约金按每迟延付款一日的应付而未付款的</w:t>
      </w:r>
      <w:r>
        <w:rPr>
          <w:rFonts w:hint="eastAsia" w:ascii="微软雅黑" w:hAnsi="微软雅黑" w:eastAsia="微软雅黑" w:cs="微软雅黑"/>
          <w:color w:val="auto"/>
          <w:sz w:val="24"/>
          <w:szCs w:val="24"/>
          <w:u w:val="single"/>
        </w:rPr>
        <w:t xml:space="preserve">    </w:t>
      </w:r>
      <w:r>
        <w:rPr>
          <w:rFonts w:hint="eastAsia" w:ascii="微软雅黑" w:hAnsi="微软雅黑" w:eastAsia="微软雅黑" w:cs="微软雅黑"/>
          <w:color w:val="auto"/>
          <w:sz w:val="24"/>
          <w:szCs w:val="24"/>
        </w:rPr>
        <w:t>%计算，最高限额为本合同总价的</w:t>
      </w:r>
      <w:r>
        <w:rPr>
          <w:rFonts w:hint="eastAsia" w:ascii="微软雅黑" w:hAnsi="微软雅黑" w:eastAsia="微软雅黑" w:cs="微软雅黑"/>
          <w:color w:val="auto"/>
          <w:sz w:val="24"/>
          <w:szCs w:val="24"/>
          <w:u w:val="single"/>
        </w:rPr>
        <w:t xml:space="preserve">     </w:t>
      </w:r>
      <w:r>
        <w:rPr>
          <w:rFonts w:hint="eastAsia" w:ascii="微软雅黑" w:hAnsi="微软雅黑" w:eastAsia="微软雅黑" w:cs="微软雅黑"/>
          <w:color w:val="auto"/>
          <w:sz w:val="24"/>
          <w:szCs w:val="24"/>
        </w:rPr>
        <w:t>%；迟延付款的违约金计算数额达到前述最高限额之日起，乙方有权在要求甲方支付违约金的同时，书面通知甲方解除本合同；</w:t>
      </w:r>
    </w:p>
    <w:p w14:paraId="5FED991E">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3DB274EF">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5C380A9F">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502E8516">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1.6.6 如果出现政府采购监督管理部门在处理投诉事项期间，书面通知甲方暂停采购活动的情形，或者询问或质疑事项可能影响中标结果的，导致甲方中止履行合同的情形，均不视为甲方违约。</w:t>
      </w:r>
    </w:p>
    <w:p w14:paraId="2625B643">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822" w:name="_Toc24016"/>
      <w:bookmarkStart w:id="823" w:name="_Toc32717"/>
      <w:bookmarkStart w:id="824" w:name="_Toc18683"/>
      <w:bookmarkStart w:id="825" w:name="_Toc14738"/>
      <w:bookmarkStart w:id="826" w:name="_Toc27470"/>
      <w:bookmarkStart w:id="827" w:name="_Toc17528"/>
      <w:bookmarkStart w:id="828" w:name="_Toc7482"/>
      <w:bookmarkStart w:id="829" w:name="_Toc30329"/>
      <w:bookmarkStart w:id="830" w:name="_Toc26807"/>
      <w:bookmarkStart w:id="831" w:name="_Toc6990"/>
      <w:bookmarkStart w:id="832" w:name="_Toc32454"/>
      <w:bookmarkStart w:id="833" w:name="_Toc32626"/>
      <w:bookmarkStart w:id="834" w:name="_Toc9497"/>
      <w:bookmarkStart w:id="835" w:name="_Toc26542"/>
      <w:bookmarkStart w:id="836" w:name="_Toc11259"/>
      <w:r>
        <w:rPr>
          <w:rFonts w:hint="eastAsia" w:ascii="微软雅黑" w:hAnsi="微软雅黑" w:eastAsia="微软雅黑" w:cs="微软雅黑"/>
          <w:b/>
          <w:color w:val="auto"/>
          <w:sz w:val="24"/>
          <w:szCs w:val="24"/>
        </w:rPr>
        <w:t>1.7 合同争议的解决</w:t>
      </w:r>
      <w:bookmarkEnd w:id="822"/>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p>
    <w:p w14:paraId="3FF0F78B">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本合同履行过程中发生的任何争议，双方当事人均可通过和解或者调解解决；不愿和解、调解或者和解、调解不成的，可以选择下列第</w:t>
      </w:r>
      <w:r>
        <w:rPr>
          <w:rFonts w:hint="eastAsia" w:ascii="微软雅黑" w:hAnsi="微软雅黑" w:eastAsia="微软雅黑" w:cs="微软雅黑"/>
          <w:color w:val="auto"/>
          <w:sz w:val="24"/>
          <w:szCs w:val="24"/>
          <w:u w:val="single"/>
        </w:rPr>
        <w:t xml:space="preserve">    </w:t>
      </w:r>
      <w:r>
        <w:rPr>
          <w:rFonts w:hint="eastAsia" w:ascii="微软雅黑" w:hAnsi="微软雅黑" w:eastAsia="微软雅黑" w:cs="微软雅黑"/>
          <w:color w:val="auto"/>
          <w:sz w:val="24"/>
          <w:szCs w:val="24"/>
        </w:rPr>
        <w:t>种方式解决：</w:t>
      </w:r>
    </w:p>
    <w:p w14:paraId="243FA98F">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1.7.1 将争议提交</w:t>
      </w:r>
      <w:r>
        <w:rPr>
          <w:rFonts w:hint="eastAsia" w:ascii="微软雅黑" w:hAnsi="微软雅黑" w:eastAsia="微软雅黑" w:cs="微软雅黑"/>
          <w:color w:val="auto"/>
          <w:sz w:val="24"/>
          <w:szCs w:val="24"/>
          <w:u w:val="single"/>
        </w:rPr>
        <w:t xml:space="preserve">              </w:t>
      </w:r>
      <w:r>
        <w:rPr>
          <w:rFonts w:hint="eastAsia" w:ascii="微软雅黑" w:hAnsi="微软雅黑" w:eastAsia="微软雅黑" w:cs="微软雅黑"/>
          <w:color w:val="auto"/>
          <w:sz w:val="24"/>
          <w:szCs w:val="24"/>
        </w:rPr>
        <w:t>仲裁委员会依申请仲裁时其现行有效的仲裁规则裁决；</w:t>
      </w:r>
    </w:p>
    <w:p w14:paraId="39696E1F">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1.7.2 向</w:t>
      </w:r>
      <w:r>
        <w:rPr>
          <w:rFonts w:hint="eastAsia" w:ascii="微软雅黑" w:hAnsi="微软雅黑" w:eastAsia="微软雅黑" w:cs="微软雅黑"/>
          <w:color w:val="auto"/>
          <w:sz w:val="24"/>
          <w:szCs w:val="24"/>
          <w:u w:val="single"/>
        </w:rPr>
        <w:t xml:space="preserve">   （被告住所地、合同履行地、合同签订地、原告住所地、标的物所在地等与争议有实际联系的地点中选出的人民法院名称）    </w:t>
      </w:r>
      <w:r>
        <w:rPr>
          <w:rFonts w:hint="eastAsia" w:ascii="微软雅黑" w:hAnsi="微软雅黑" w:eastAsia="微软雅黑" w:cs="微软雅黑"/>
          <w:color w:val="auto"/>
          <w:sz w:val="24"/>
          <w:szCs w:val="24"/>
        </w:rPr>
        <w:t>人民法院起诉。</w:t>
      </w:r>
    </w:p>
    <w:p w14:paraId="275A75B9">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837" w:name="_Toc27562"/>
      <w:bookmarkStart w:id="838" w:name="_Toc19983"/>
      <w:bookmarkStart w:id="839" w:name="_Toc12273"/>
      <w:bookmarkStart w:id="840" w:name="_Toc22722"/>
      <w:bookmarkStart w:id="841" w:name="_Toc14807"/>
      <w:bookmarkStart w:id="842" w:name="_Toc19425"/>
      <w:bookmarkStart w:id="843" w:name="_Toc23784"/>
      <w:bookmarkStart w:id="844" w:name="_Toc15827"/>
      <w:bookmarkStart w:id="845" w:name="_Toc3075"/>
      <w:bookmarkStart w:id="846" w:name="_Toc16417"/>
      <w:bookmarkStart w:id="847" w:name="_Toc19624"/>
      <w:bookmarkStart w:id="848" w:name="_Toc17660"/>
      <w:bookmarkStart w:id="849" w:name="_Toc26227"/>
      <w:bookmarkStart w:id="850" w:name="_Toc11240"/>
      <w:bookmarkStart w:id="851" w:name="_Toc2096"/>
      <w:r>
        <w:rPr>
          <w:rFonts w:hint="eastAsia" w:ascii="微软雅黑" w:hAnsi="微软雅黑" w:eastAsia="微软雅黑" w:cs="微软雅黑"/>
          <w:b/>
          <w:color w:val="auto"/>
          <w:sz w:val="24"/>
          <w:szCs w:val="24"/>
        </w:rPr>
        <w:t>1.8 合同生效</w:t>
      </w:r>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p>
    <w:p w14:paraId="019CD5CA">
      <w:pPr>
        <w:pageBreakBefore w:val="0"/>
        <w:kinsoku/>
        <w:wordWrap/>
        <w:overflowPunct/>
        <w:topLinePunct w:val="0"/>
        <w:bidi w:val="0"/>
        <w:spacing w:line="480" w:lineRule="exact"/>
        <w:ind w:firstLine="480" w:firstLineChars="200"/>
        <w:rPr>
          <w:rFonts w:hint="eastAsia" w:ascii="微软雅黑" w:hAnsi="微软雅黑" w:eastAsia="微软雅黑" w:cs="微软雅黑"/>
          <w:b/>
          <w:color w:val="auto"/>
          <w:sz w:val="24"/>
          <w:szCs w:val="24"/>
        </w:rPr>
      </w:pPr>
      <w:r>
        <w:rPr>
          <w:rFonts w:hint="eastAsia" w:ascii="微软雅黑" w:hAnsi="微软雅黑" w:eastAsia="微软雅黑" w:cs="微软雅黑"/>
          <w:color w:val="auto"/>
          <w:sz w:val="24"/>
          <w:szCs w:val="24"/>
        </w:rPr>
        <w:t>本合同自双方当事人盖章或者签字时生效。</w:t>
      </w:r>
    </w:p>
    <w:p w14:paraId="58AB12FF">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lang w:val="zh-CN"/>
        </w:rPr>
      </w:pPr>
    </w:p>
    <w:p w14:paraId="40CDAAAB">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lang w:val="zh-CN"/>
        </w:rPr>
      </w:pPr>
      <w:r>
        <w:rPr>
          <w:rFonts w:hint="eastAsia" w:ascii="微软雅黑" w:hAnsi="微软雅黑" w:eastAsia="微软雅黑" w:cs="微软雅黑"/>
          <w:b/>
          <w:color w:val="auto"/>
          <w:sz w:val="24"/>
          <w:szCs w:val="24"/>
          <w:lang w:val="zh-CN"/>
        </w:rPr>
        <w:t>甲方</w:t>
      </w:r>
      <w:r>
        <w:rPr>
          <w:rFonts w:hint="eastAsia" w:ascii="微软雅黑" w:hAnsi="微软雅黑" w:eastAsia="微软雅黑" w:cs="微软雅黑"/>
          <w:color w:val="auto"/>
          <w:sz w:val="24"/>
          <w:szCs w:val="24"/>
          <w:lang w:val="zh-CN"/>
        </w:rPr>
        <w:t xml:space="preserve">：                             </w:t>
      </w:r>
      <w:r>
        <w:rPr>
          <w:rFonts w:hint="eastAsia" w:ascii="微软雅黑" w:hAnsi="微软雅黑" w:eastAsia="微软雅黑" w:cs="微软雅黑"/>
          <w:b/>
          <w:color w:val="auto"/>
          <w:sz w:val="24"/>
          <w:szCs w:val="24"/>
          <w:lang w:val="zh-CN"/>
        </w:rPr>
        <w:t xml:space="preserve">      乙方</w:t>
      </w:r>
      <w:r>
        <w:rPr>
          <w:rFonts w:hint="eastAsia" w:ascii="微软雅黑" w:hAnsi="微软雅黑" w:eastAsia="微软雅黑" w:cs="微软雅黑"/>
          <w:color w:val="auto"/>
          <w:sz w:val="24"/>
          <w:szCs w:val="24"/>
          <w:lang w:val="zh-CN"/>
        </w:rPr>
        <w:t>：</w:t>
      </w:r>
    </w:p>
    <w:p w14:paraId="3B27B5FF">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lang w:val="zh-CN"/>
        </w:rPr>
      </w:pPr>
      <w:r>
        <w:rPr>
          <w:rFonts w:hint="eastAsia" w:ascii="微软雅黑" w:hAnsi="微软雅黑" w:eastAsia="微软雅黑" w:cs="微软雅黑"/>
          <w:color w:val="auto"/>
          <w:sz w:val="24"/>
          <w:szCs w:val="24"/>
          <w:lang w:val="zh-CN"/>
        </w:rPr>
        <w:t>统一社会信用代码：                        统一社会信用代码或身份证号码：</w:t>
      </w:r>
    </w:p>
    <w:p w14:paraId="28DF6924">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lang w:val="zh-CN"/>
        </w:rPr>
      </w:pPr>
    </w:p>
    <w:p w14:paraId="4CA25375">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lang w:val="zh-CN"/>
        </w:rPr>
      </w:pPr>
      <w:r>
        <w:rPr>
          <w:rFonts w:hint="eastAsia" w:ascii="微软雅黑" w:hAnsi="微软雅黑" w:eastAsia="微软雅黑" w:cs="微软雅黑"/>
          <w:color w:val="auto"/>
          <w:sz w:val="24"/>
          <w:szCs w:val="24"/>
          <w:lang w:val="zh-CN"/>
        </w:rPr>
        <w:t>住所：                                   住所：</w:t>
      </w:r>
    </w:p>
    <w:p w14:paraId="14A79F62">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lang w:val="zh-CN"/>
        </w:rPr>
      </w:pPr>
      <w:r>
        <w:rPr>
          <w:rFonts w:hint="eastAsia" w:ascii="微软雅黑" w:hAnsi="微软雅黑" w:eastAsia="微软雅黑" w:cs="微软雅黑"/>
          <w:color w:val="auto"/>
          <w:sz w:val="24"/>
          <w:szCs w:val="24"/>
          <w:lang w:val="zh-CN"/>
        </w:rPr>
        <w:t>法定代表人或                             法定代表人</w:t>
      </w:r>
    </w:p>
    <w:p w14:paraId="01E4ED4B">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lang w:val="zh-CN"/>
        </w:rPr>
      </w:pPr>
      <w:r>
        <w:rPr>
          <w:rFonts w:hint="eastAsia" w:ascii="微软雅黑" w:hAnsi="微软雅黑" w:eastAsia="微软雅黑" w:cs="微软雅黑"/>
          <w:color w:val="auto"/>
          <w:sz w:val="24"/>
          <w:szCs w:val="24"/>
          <w:lang w:val="zh-CN"/>
        </w:rPr>
        <w:t xml:space="preserve">授权代表（签字）：                        或授权代表（签字）: </w:t>
      </w:r>
    </w:p>
    <w:p w14:paraId="1E74922E">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lang w:val="zh-CN"/>
        </w:rPr>
      </w:pPr>
      <w:r>
        <w:rPr>
          <w:rFonts w:hint="eastAsia" w:ascii="微软雅黑" w:hAnsi="微软雅黑" w:eastAsia="微软雅黑" w:cs="微软雅黑"/>
          <w:color w:val="auto"/>
          <w:sz w:val="24"/>
          <w:szCs w:val="24"/>
          <w:lang w:val="zh-CN"/>
        </w:rPr>
        <w:t>联系人：                                 联系人：</w:t>
      </w:r>
    </w:p>
    <w:p w14:paraId="1814F09D">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lang w:val="zh-CN"/>
        </w:rPr>
      </w:pPr>
      <w:r>
        <w:rPr>
          <w:rFonts w:hint="eastAsia" w:ascii="微软雅黑" w:hAnsi="微软雅黑" w:eastAsia="微软雅黑" w:cs="微软雅黑"/>
          <w:color w:val="auto"/>
          <w:sz w:val="24"/>
          <w:szCs w:val="24"/>
          <w:lang w:val="zh-CN"/>
        </w:rPr>
        <w:t>约定送达地址：                           约定送达地址：</w:t>
      </w:r>
    </w:p>
    <w:p w14:paraId="783D8937">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lang w:val="zh-CN"/>
        </w:rPr>
      </w:pPr>
      <w:r>
        <w:rPr>
          <w:rFonts w:hint="eastAsia" w:ascii="微软雅黑" w:hAnsi="微软雅黑" w:eastAsia="微软雅黑" w:cs="微软雅黑"/>
          <w:color w:val="auto"/>
          <w:sz w:val="24"/>
          <w:szCs w:val="24"/>
          <w:lang w:val="zh-CN"/>
        </w:rPr>
        <w:t>邮政编码：                               邮政编码：</w:t>
      </w:r>
    </w:p>
    <w:p w14:paraId="3AAC9059">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lang w:val="zh-CN"/>
        </w:rPr>
      </w:pPr>
      <w:r>
        <w:rPr>
          <w:rFonts w:hint="eastAsia" w:ascii="微软雅黑" w:hAnsi="微软雅黑" w:eastAsia="微软雅黑" w:cs="微软雅黑"/>
          <w:color w:val="auto"/>
          <w:sz w:val="24"/>
          <w:szCs w:val="24"/>
          <w:lang w:val="zh-CN"/>
        </w:rPr>
        <w:t xml:space="preserve">电话:                                    电话: </w:t>
      </w:r>
    </w:p>
    <w:p w14:paraId="07CC6064">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lang w:val="zh-CN"/>
        </w:rPr>
      </w:pPr>
      <w:r>
        <w:rPr>
          <w:rFonts w:hint="eastAsia" w:ascii="微软雅黑" w:hAnsi="微软雅黑" w:eastAsia="微软雅黑" w:cs="微软雅黑"/>
          <w:color w:val="auto"/>
          <w:sz w:val="24"/>
          <w:szCs w:val="24"/>
          <w:lang w:val="zh-CN"/>
        </w:rPr>
        <w:t>传真:                                    传真:</w:t>
      </w:r>
    </w:p>
    <w:p w14:paraId="0EECE841">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lang w:val="zh-CN"/>
        </w:rPr>
        <w:t>电子邮箱：                               电子邮箱：</w:t>
      </w:r>
    </w:p>
    <w:p w14:paraId="2DCE6354">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 xml:space="preserve">开户银行：                               开户银行： </w:t>
      </w:r>
    </w:p>
    <w:p w14:paraId="668B753E">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 xml:space="preserve">开户名称：                               开户名称： </w:t>
      </w:r>
    </w:p>
    <w:p w14:paraId="7FE9EAE3">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开户账号：</w:t>
      </w:r>
      <w:r>
        <w:rPr>
          <w:rFonts w:hint="eastAsia" w:ascii="微软雅黑" w:hAnsi="微软雅黑" w:eastAsia="微软雅黑" w:cs="微软雅黑"/>
          <w:color w:val="auto"/>
          <w:sz w:val="24"/>
          <w:szCs w:val="24"/>
          <w:lang w:val="zh-CN"/>
        </w:rPr>
        <w:t xml:space="preserve">                               </w:t>
      </w:r>
      <w:r>
        <w:rPr>
          <w:rFonts w:hint="eastAsia" w:ascii="微软雅黑" w:hAnsi="微软雅黑" w:eastAsia="微软雅黑" w:cs="微软雅黑"/>
          <w:color w:val="auto"/>
          <w:sz w:val="24"/>
          <w:szCs w:val="24"/>
        </w:rPr>
        <w:t>开户账号：</w:t>
      </w:r>
    </w:p>
    <w:p w14:paraId="65143DC5">
      <w:pPr>
        <w:pageBreakBefore w:val="0"/>
        <w:widowControl/>
        <w:kinsoku/>
        <w:wordWrap/>
        <w:overflowPunct/>
        <w:topLinePunct w:val="0"/>
        <w:bidi w:val="0"/>
        <w:spacing w:line="480" w:lineRule="exact"/>
        <w:jc w:val="left"/>
        <w:rPr>
          <w:rFonts w:hint="eastAsia" w:ascii="微软雅黑" w:hAnsi="微软雅黑" w:eastAsia="微软雅黑" w:cs="微软雅黑"/>
          <w:b/>
          <w:color w:val="auto"/>
          <w:sz w:val="24"/>
          <w:szCs w:val="24"/>
        </w:rPr>
      </w:pPr>
      <w:bookmarkStart w:id="852" w:name="_Toc331685783"/>
    </w:p>
    <w:p w14:paraId="7C88395B">
      <w:pPr>
        <w:pageBreakBefore w:val="0"/>
        <w:widowControl/>
        <w:kinsoku/>
        <w:wordWrap/>
        <w:overflowPunct/>
        <w:topLinePunct w:val="0"/>
        <w:bidi w:val="0"/>
        <w:spacing w:line="480" w:lineRule="exact"/>
        <w:jc w:val="left"/>
        <w:rPr>
          <w:rFonts w:hint="eastAsia" w:ascii="微软雅黑" w:hAnsi="微软雅黑" w:eastAsia="微软雅黑" w:cs="微软雅黑"/>
          <w:b/>
          <w:color w:val="auto"/>
          <w:sz w:val="24"/>
          <w:szCs w:val="24"/>
        </w:rPr>
      </w:pPr>
    </w:p>
    <w:p w14:paraId="4BAA35D9">
      <w:pPr>
        <w:pageBreakBefore w:val="0"/>
        <w:widowControl/>
        <w:kinsoku/>
        <w:wordWrap/>
        <w:overflowPunct/>
        <w:topLinePunct w:val="0"/>
        <w:bidi w:val="0"/>
        <w:spacing w:line="480" w:lineRule="exact"/>
        <w:jc w:val="left"/>
        <w:rPr>
          <w:rFonts w:hint="eastAsia" w:ascii="微软雅黑" w:hAnsi="微软雅黑" w:eastAsia="微软雅黑" w:cs="微软雅黑"/>
          <w:b/>
          <w:color w:val="auto"/>
          <w:kern w:val="0"/>
          <w:sz w:val="24"/>
          <w:szCs w:val="24"/>
        </w:rPr>
      </w:pPr>
    </w:p>
    <w:p w14:paraId="1BFBA8A5">
      <w:pPr>
        <w:pageBreakBefore w:val="0"/>
        <w:widowControl/>
        <w:kinsoku/>
        <w:wordWrap/>
        <w:overflowPunct/>
        <w:topLinePunct w:val="0"/>
        <w:bidi w:val="0"/>
        <w:spacing w:line="480" w:lineRule="exact"/>
        <w:jc w:val="left"/>
        <w:rPr>
          <w:rFonts w:hint="eastAsia" w:ascii="微软雅黑" w:hAnsi="微软雅黑" w:eastAsia="微软雅黑" w:cs="微软雅黑"/>
          <w:b/>
          <w:color w:val="auto"/>
          <w:kern w:val="0"/>
          <w:sz w:val="24"/>
          <w:szCs w:val="24"/>
        </w:rPr>
      </w:pPr>
    </w:p>
    <w:p w14:paraId="3BF15A24">
      <w:pPr>
        <w:pageBreakBefore w:val="0"/>
        <w:widowControl/>
        <w:kinsoku/>
        <w:wordWrap/>
        <w:overflowPunct/>
        <w:topLinePunct w:val="0"/>
        <w:bidi w:val="0"/>
        <w:spacing w:line="480" w:lineRule="exact"/>
        <w:jc w:val="left"/>
        <w:rPr>
          <w:rFonts w:hint="eastAsia" w:ascii="微软雅黑" w:hAnsi="微软雅黑" w:eastAsia="微软雅黑" w:cs="微软雅黑"/>
          <w:b/>
          <w:color w:val="auto"/>
          <w:kern w:val="0"/>
          <w:sz w:val="24"/>
          <w:szCs w:val="24"/>
        </w:rPr>
      </w:pPr>
    </w:p>
    <w:p w14:paraId="66813A69">
      <w:pPr>
        <w:pageBreakBefore w:val="0"/>
        <w:widowControl/>
        <w:kinsoku/>
        <w:wordWrap/>
        <w:overflowPunct/>
        <w:topLinePunct w:val="0"/>
        <w:bidi w:val="0"/>
        <w:spacing w:line="480" w:lineRule="exact"/>
        <w:jc w:val="left"/>
        <w:rPr>
          <w:rFonts w:hint="eastAsia" w:ascii="微软雅黑" w:hAnsi="微软雅黑" w:eastAsia="微软雅黑" w:cs="微软雅黑"/>
          <w:b/>
          <w:color w:val="auto"/>
          <w:kern w:val="0"/>
          <w:sz w:val="24"/>
          <w:szCs w:val="24"/>
        </w:rPr>
      </w:pPr>
    </w:p>
    <w:p w14:paraId="151542B7">
      <w:pPr>
        <w:pStyle w:val="60"/>
        <w:pageBreakBefore w:val="0"/>
        <w:kinsoku/>
        <w:wordWrap/>
        <w:overflowPunct/>
        <w:topLinePunct w:val="0"/>
        <w:bidi w:val="0"/>
        <w:spacing w:line="480" w:lineRule="exact"/>
        <w:ind w:firstLine="200"/>
        <w:jc w:val="center"/>
        <w:rPr>
          <w:rFonts w:hint="eastAsia" w:ascii="微软雅黑" w:hAnsi="微软雅黑" w:eastAsia="微软雅黑" w:cs="微软雅黑"/>
          <w:b/>
          <w:color w:val="auto"/>
          <w:sz w:val="24"/>
          <w:szCs w:val="24"/>
        </w:rPr>
      </w:pPr>
      <w:r>
        <w:rPr>
          <w:rFonts w:hint="eastAsia" w:ascii="微软雅黑" w:hAnsi="微软雅黑" w:eastAsia="微软雅黑" w:cs="微软雅黑"/>
          <w:b/>
          <w:color w:val="auto"/>
          <w:sz w:val="24"/>
          <w:szCs w:val="24"/>
        </w:rPr>
        <w:t>第二部分 合同一般条款</w:t>
      </w:r>
      <w:bookmarkEnd w:id="852"/>
    </w:p>
    <w:p w14:paraId="516A627C">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853" w:name="_Toc25161"/>
      <w:bookmarkStart w:id="854" w:name="_Toc5226"/>
      <w:bookmarkStart w:id="855" w:name="_Toc28292"/>
      <w:bookmarkStart w:id="856" w:name="_Ref467379214"/>
      <w:bookmarkStart w:id="857" w:name="_Ref467379225"/>
      <w:bookmarkStart w:id="858" w:name="_Toc19680"/>
      <w:bookmarkStart w:id="859" w:name="_Toc12785"/>
      <w:bookmarkStart w:id="860" w:name="_Toc487900349"/>
      <w:bookmarkStart w:id="861" w:name="_Ref467378499"/>
      <w:bookmarkStart w:id="862" w:name="_Toc259093669"/>
      <w:bookmarkStart w:id="863" w:name="_Toc31297"/>
      <w:bookmarkStart w:id="864" w:name="_Ref467379195"/>
      <w:bookmarkStart w:id="865" w:name="_Toc10949"/>
      <w:bookmarkStart w:id="866" w:name="_Ref467379109"/>
      <w:bookmarkStart w:id="867" w:name="_Ref467378463"/>
      <w:bookmarkStart w:id="868" w:name="_Toc25079"/>
      <w:bookmarkStart w:id="869" w:name="_Ref467378404"/>
      <w:bookmarkStart w:id="870" w:name="_Toc808"/>
      <w:bookmarkStart w:id="871" w:name="_Toc279701240"/>
      <w:bookmarkStart w:id="872" w:name="_Ref467379094"/>
      <w:bookmarkStart w:id="873" w:name="_Ref467379205"/>
      <w:bookmarkStart w:id="874" w:name="_Toc2452"/>
      <w:bookmarkStart w:id="875" w:name="_Toc14021"/>
      <w:bookmarkStart w:id="876" w:name="_Toc29656"/>
      <w:bookmarkStart w:id="877" w:name="_Toc560"/>
      <w:bookmarkStart w:id="878" w:name="_Ref467379101"/>
      <w:bookmarkStart w:id="879" w:name="_Toc24569"/>
      <w:bookmarkStart w:id="880" w:name="_Toc5228"/>
      <w:r>
        <w:rPr>
          <w:rFonts w:hint="eastAsia" w:ascii="微软雅黑" w:hAnsi="微软雅黑" w:eastAsia="微软雅黑" w:cs="微软雅黑"/>
          <w:b/>
          <w:color w:val="auto"/>
          <w:sz w:val="24"/>
          <w:szCs w:val="24"/>
        </w:rPr>
        <w:t>2.1 定义</w:t>
      </w:r>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p>
    <w:p w14:paraId="0A45877B">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本合同中的下列词语应按以下内容进行解释：</w:t>
      </w:r>
    </w:p>
    <w:p w14:paraId="4DDEFCC0">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2.1.1 “合同”系指采购人和中标供应商签订的载明双方当事人所达成的协议，并包括所有的附件、附录和构成合同的其他文件。</w:t>
      </w:r>
    </w:p>
    <w:p w14:paraId="05A3231F">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2.1.2 “合同价”系指根据合同约定，中标供应商在完全履行合同义务后，采购人应支付给中标供应商的价格。</w:t>
      </w:r>
    </w:p>
    <w:p w14:paraId="6DC9FCC2">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2.1.3 “服务”系指中标供应商根据合同约定应向采购人履行的除货物和工程以外的其他政府采购对象，包括采购人自身需要的服务和向社会公众提供的公共服务。</w:t>
      </w:r>
    </w:p>
    <w:p w14:paraId="726B7054">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bookmarkStart w:id="881" w:name="_Ref467378840"/>
      <w:r>
        <w:rPr>
          <w:rFonts w:hint="eastAsia" w:ascii="微软雅黑" w:hAnsi="微软雅黑" w:eastAsia="微软雅黑" w:cs="微软雅黑"/>
          <w:color w:val="auto"/>
          <w:sz w:val="24"/>
          <w:szCs w:val="24"/>
        </w:rPr>
        <w:t>2.1.4 “甲方”系指与中标供应商签署合同的采购人</w:t>
      </w:r>
      <w:bookmarkEnd w:id="881"/>
      <w:r>
        <w:rPr>
          <w:rFonts w:hint="eastAsia" w:ascii="微软雅黑" w:hAnsi="微软雅黑" w:eastAsia="微软雅黑" w:cs="微软雅黑"/>
          <w:color w:val="auto"/>
          <w:sz w:val="24"/>
          <w:szCs w:val="24"/>
        </w:rPr>
        <w:t>；采购人委托采购代理机构代表其与乙方签订合同的，采购人的授权委托书作为合同附件。</w:t>
      </w:r>
    </w:p>
    <w:p w14:paraId="53E7F34C">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bookmarkStart w:id="882" w:name="_Ref467379400"/>
      <w:r>
        <w:rPr>
          <w:rFonts w:hint="eastAsia" w:ascii="微软雅黑" w:hAnsi="微软雅黑" w:eastAsia="微软雅黑" w:cs="微软雅黑"/>
          <w:color w:val="auto"/>
          <w:sz w:val="24"/>
          <w:szCs w:val="24"/>
        </w:rPr>
        <w:t>2.1.5 “乙方”系指根据合同约定提供服务的中标供应商</w:t>
      </w:r>
      <w:bookmarkEnd w:id="882"/>
      <w:r>
        <w:rPr>
          <w:rFonts w:hint="eastAsia" w:ascii="微软雅黑" w:hAnsi="微软雅黑" w:eastAsia="微软雅黑" w:cs="微软雅黑"/>
          <w:color w:val="auto"/>
          <w:sz w:val="24"/>
          <w:szCs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17412035">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bookmarkStart w:id="883" w:name="_Ref467379436"/>
      <w:r>
        <w:rPr>
          <w:rFonts w:hint="eastAsia" w:ascii="微软雅黑" w:hAnsi="微软雅黑" w:eastAsia="微软雅黑" w:cs="微软雅黑"/>
          <w:color w:val="auto"/>
          <w:sz w:val="24"/>
          <w:szCs w:val="24"/>
        </w:rPr>
        <w:t>2.1.6 “现场”系指合同约定提供服务的地点。</w:t>
      </w:r>
      <w:bookmarkEnd w:id="883"/>
    </w:p>
    <w:p w14:paraId="1E6D6A09">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884" w:name="_Toc3769"/>
      <w:bookmarkStart w:id="885" w:name="_Toc4403"/>
      <w:bookmarkStart w:id="886" w:name="_Toc18637"/>
      <w:bookmarkStart w:id="887" w:name="_Toc31402"/>
      <w:bookmarkStart w:id="888" w:name="_Toc15774"/>
      <w:bookmarkStart w:id="889" w:name="_Toc23289"/>
      <w:bookmarkStart w:id="890" w:name="_Toc19539"/>
      <w:bookmarkStart w:id="891" w:name="_Toc279701241"/>
      <w:bookmarkStart w:id="892" w:name="_Toc487900350"/>
      <w:bookmarkStart w:id="893" w:name="_Toc16752"/>
      <w:bookmarkStart w:id="894" w:name="_Toc259093670"/>
      <w:bookmarkStart w:id="895" w:name="_Toc1101"/>
      <w:bookmarkStart w:id="896" w:name="_Toc8208"/>
      <w:bookmarkStart w:id="897" w:name="_Toc21691"/>
      <w:bookmarkStart w:id="898" w:name="_Toc13460"/>
      <w:bookmarkStart w:id="899" w:name="_Toc6052"/>
      <w:bookmarkStart w:id="900" w:name="_Toc5078"/>
      <w:bookmarkStart w:id="901" w:name="_Toc575"/>
      <w:r>
        <w:rPr>
          <w:rFonts w:hint="eastAsia" w:ascii="微软雅黑" w:hAnsi="微软雅黑" w:eastAsia="微软雅黑" w:cs="微软雅黑"/>
          <w:b/>
          <w:color w:val="auto"/>
          <w:sz w:val="24"/>
          <w:szCs w:val="24"/>
        </w:rPr>
        <w:t>2.2 技术规范</w:t>
      </w:r>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p>
    <w:p w14:paraId="269EE6A9">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2745060C">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902" w:name="_Toc13673"/>
      <w:bookmarkStart w:id="903" w:name="_Toc12412"/>
      <w:bookmarkStart w:id="904" w:name="_Toc11461"/>
      <w:bookmarkStart w:id="905" w:name="_Toc259093671"/>
      <w:bookmarkStart w:id="906" w:name="_Toc26453"/>
      <w:bookmarkStart w:id="907" w:name="_Toc13061"/>
      <w:bookmarkStart w:id="908" w:name="_Toc9161"/>
      <w:bookmarkStart w:id="909" w:name="_Toc2479"/>
      <w:bookmarkStart w:id="910" w:name="_Toc1171"/>
      <w:bookmarkStart w:id="911" w:name="_Toc335"/>
      <w:bookmarkStart w:id="912" w:name="_Toc12899"/>
      <w:bookmarkStart w:id="913" w:name="_Toc24375"/>
      <w:bookmarkStart w:id="914" w:name="_Toc279701242"/>
      <w:bookmarkStart w:id="915" w:name="_Toc27945"/>
      <w:bookmarkStart w:id="916" w:name="_Toc4133"/>
      <w:bookmarkStart w:id="917" w:name="_Toc487900351"/>
      <w:bookmarkStart w:id="918" w:name="_Toc21948"/>
      <w:bookmarkStart w:id="919" w:name="_Toc28448"/>
      <w:r>
        <w:rPr>
          <w:rFonts w:hint="eastAsia" w:ascii="微软雅黑" w:hAnsi="微软雅黑" w:eastAsia="微软雅黑" w:cs="微软雅黑"/>
          <w:b/>
          <w:color w:val="auto"/>
          <w:sz w:val="24"/>
          <w:szCs w:val="24"/>
        </w:rPr>
        <w:t>2.3 知识产权</w:t>
      </w:r>
      <w:bookmarkEnd w:id="902"/>
      <w:bookmarkEnd w:id="903"/>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p>
    <w:p w14:paraId="7CC5D451">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14:paraId="5EF378BF">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2.3.2 合同涉及技术成果的归属和收益的分成办法的，详见</w:t>
      </w:r>
      <w:r>
        <w:rPr>
          <w:rFonts w:hint="eastAsia" w:ascii="微软雅黑" w:hAnsi="微软雅黑" w:eastAsia="微软雅黑" w:cs="微软雅黑"/>
          <w:b/>
          <w:i/>
          <w:color w:val="auto"/>
          <w:sz w:val="24"/>
          <w:szCs w:val="24"/>
          <w:u w:val="single"/>
        </w:rPr>
        <w:t>合同专用条款</w:t>
      </w:r>
      <w:r>
        <w:rPr>
          <w:rFonts w:hint="eastAsia" w:ascii="微软雅黑" w:hAnsi="微软雅黑" w:eastAsia="微软雅黑" w:cs="微软雅黑"/>
          <w:color w:val="auto"/>
          <w:sz w:val="24"/>
          <w:szCs w:val="24"/>
        </w:rPr>
        <w:t>。</w:t>
      </w:r>
    </w:p>
    <w:p w14:paraId="74298182">
      <w:pPr>
        <w:pageBreakBefore w:val="0"/>
        <w:kinsoku/>
        <w:wordWrap/>
        <w:overflowPunct/>
        <w:topLinePunct w:val="0"/>
        <w:bidi w:val="0"/>
        <w:spacing w:line="480" w:lineRule="exact"/>
        <w:ind w:firstLine="480" w:firstLineChars="200"/>
        <w:rPr>
          <w:rFonts w:hint="eastAsia" w:ascii="微软雅黑" w:hAnsi="微软雅黑" w:eastAsia="微软雅黑" w:cs="微软雅黑"/>
          <w:b/>
          <w:color w:val="auto"/>
          <w:sz w:val="24"/>
          <w:szCs w:val="24"/>
        </w:rPr>
      </w:pPr>
      <w:r>
        <w:rPr>
          <w:rFonts w:hint="eastAsia" w:ascii="微软雅黑" w:hAnsi="微软雅黑" w:eastAsia="微软雅黑" w:cs="微软雅黑"/>
          <w:b/>
          <w:color w:val="auto"/>
          <w:sz w:val="24"/>
          <w:szCs w:val="24"/>
        </w:rPr>
        <w:t>2.4 履约检查和问题反馈</w:t>
      </w:r>
    </w:p>
    <w:p w14:paraId="3D0AC488">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bookmarkStart w:id="920" w:name="_Ref467379657"/>
      <w:r>
        <w:rPr>
          <w:rFonts w:hint="eastAsia" w:ascii="微软雅黑" w:hAnsi="微软雅黑" w:eastAsia="微软雅黑" w:cs="微软雅黑"/>
          <w:color w:val="auto"/>
          <w:sz w:val="24"/>
          <w:szCs w:val="24"/>
        </w:rPr>
        <w:t>2.4.1</w:t>
      </w:r>
      <w:bookmarkEnd w:id="920"/>
      <w:bookmarkStart w:id="921" w:name="_Toc186431854"/>
      <w:bookmarkStart w:id="922" w:name="_Toc259093676"/>
      <w:bookmarkStart w:id="923" w:name="_Toc487900357"/>
      <w:bookmarkStart w:id="924" w:name="_Ref467379807"/>
      <w:bookmarkStart w:id="925" w:name="_Ref467379793"/>
      <w:bookmarkStart w:id="926" w:name="_Toc279701247"/>
      <w:r>
        <w:rPr>
          <w:rFonts w:hint="eastAsia" w:ascii="微软雅黑" w:hAnsi="微软雅黑" w:eastAsia="微软雅黑" w:cs="微软雅黑"/>
          <w:color w:val="auto"/>
          <w:sz w:val="24"/>
          <w:szCs w:val="24"/>
        </w:rPr>
        <w:t>甲方有权在其认为必要时，对乙方是否能够按照合同约定提供服务进行履约检查，以确保乙方所提供的服务能够依约满足甲方之项目需求，但不得因履约检查妨碍乙方的正常工作，乙方应予积极配合；</w:t>
      </w:r>
    </w:p>
    <w:p w14:paraId="6D07AD0D">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2.4.2 合同履行期间，甲方有权将履行过程中出现的问题反馈给乙方，双方当事人应以书面形式约定需要完善和改进的内容</w:t>
      </w:r>
      <w:bookmarkEnd w:id="921"/>
      <w:bookmarkStart w:id="927" w:name="_Toc186431855"/>
      <w:r>
        <w:rPr>
          <w:rFonts w:hint="eastAsia" w:ascii="微软雅黑" w:hAnsi="微软雅黑" w:eastAsia="微软雅黑" w:cs="微软雅黑"/>
          <w:color w:val="auto"/>
          <w:sz w:val="24"/>
          <w:szCs w:val="24"/>
        </w:rPr>
        <w:t>。</w:t>
      </w:r>
    </w:p>
    <w:bookmarkEnd w:id="927"/>
    <w:p w14:paraId="30A9246E">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928" w:name="_Toc17932"/>
      <w:bookmarkStart w:id="929" w:name="_Toc30119"/>
      <w:bookmarkStart w:id="930" w:name="_Toc26555"/>
      <w:bookmarkStart w:id="931" w:name="_Toc25686"/>
      <w:bookmarkStart w:id="932" w:name="_Toc15447"/>
      <w:bookmarkStart w:id="933" w:name="_Toc31197"/>
      <w:bookmarkStart w:id="934" w:name="_Toc7767"/>
      <w:bookmarkStart w:id="935" w:name="_Toc10600"/>
      <w:bookmarkStart w:id="936" w:name="_Toc31063"/>
      <w:bookmarkStart w:id="937" w:name="_Toc22011"/>
      <w:bookmarkStart w:id="938" w:name="_Toc27836"/>
      <w:bookmarkStart w:id="939" w:name="_Toc31233"/>
      <w:bookmarkStart w:id="940" w:name="_Toc8920"/>
      <w:bookmarkStart w:id="941" w:name="_Toc32670"/>
      <w:bookmarkStart w:id="942" w:name="_Toc23715"/>
      <w:r>
        <w:rPr>
          <w:rFonts w:hint="eastAsia" w:ascii="微软雅黑" w:hAnsi="微软雅黑" w:eastAsia="微软雅黑" w:cs="微软雅黑"/>
          <w:b/>
          <w:color w:val="auto"/>
          <w:sz w:val="24"/>
          <w:szCs w:val="24"/>
        </w:rPr>
        <w:t>2.5 结算方式和付款条件</w:t>
      </w:r>
      <w:bookmarkEnd w:id="922"/>
      <w:bookmarkEnd w:id="923"/>
      <w:bookmarkEnd w:id="924"/>
      <w:bookmarkEnd w:id="925"/>
      <w:bookmarkEnd w:id="926"/>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p>
    <w:p w14:paraId="64EEE5F5">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详见</w:t>
      </w:r>
      <w:r>
        <w:rPr>
          <w:rFonts w:hint="eastAsia" w:ascii="微软雅黑" w:hAnsi="微软雅黑" w:eastAsia="微软雅黑" w:cs="微软雅黑"/>
          <w:b/>
          <w:i/>
          <w:color w:val="auto"/>
          <w:sz w:val="24"/>
          <w:szCs w:val="24"/>
          <w:u w:val="single"/>
        </w:rPr>
        <w:t>合同专用条款</w:t>
      </w:r>
      <w:r>
        <w:rPr>
          <w:rFonts w:hint="eastAsia" w:ascii="微软雅黑" w:hAnsi="微软雅黑" w:eastAsia="微软雅黑" w:cs="微软雅黑"/>
          <w:color w:val="auto"/>
          <w:sz w:val="24"/>
          <w:szCs w:val="24"/>
        </w:rPr>
        <w:t>。</w:t>
      </w:r>
    </w:p>
    <w:p w14:paraId="7CA1CFCB">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943" w:name="_Ref467379923"/>
      <w:bookmarkStart w:id="944" w:name="_Toc279701248"/>
      <w:bookmarkStart w:id="945" w:name="_Toc259093677"/>
      <w:bookmarkStart w:id="946" w:name="_Ref467379852"/>
      <w:bookmarkStart w:id="947" w:name="_Ref467379863"/>
      <w:bookmarkStart w:id="948" w:name="_Toc487900358"/>
      <w:bookmarkStart w:id="949" w:name="_Toc17696"/>
      <w:bookmarkStart w:id="950" w:name="_Toc19392"/>
      <w:bookmarkStart w:id="951" w:name="_Toc3494"/>
      <w:bookmarkStart w:id="952" w:name="_Toc7218"/>
      <w:bookmarkStart w:id="953" w:name="_Toc5242"/>
      <w:bookmarkStart w:id="954" w:name="_Toc19645"/>
      <w:bookmarkStart w:id="955" w:name="_Toc16163"/>
      <w:bookmarkStart w:id="956" w:name="_Toc15897"/>
      <w:bookmarkStart w:id="957" w:name="_Toc18990"/>
      <w:bookmarkStart w:id="958" w:name="_Toc14246"/>
      <w:bookmarkStart w:id="959" w:name="_Toc9786"/>
      <w:bookmarkStart w:id="960" w:name="_Toc30507"/>
      <w:bookmarkStart w:id="961" w:name="_Toc19386"/>
      <w:bookmarkStart w:id="962" w:name="_Toc13467"/>
      <w:bookmarkStart w:id="963" w:name="_Toc13154"/>
      <w:r>
        <w:rPr>
          <w:rFonts w:hint="eastAsia" w:ascii="微软雅黑" w:hAnsi="微软雅黑" w:eastAsia="微软雅黑" w:cs="微软雅黑"/>
          <w:b/>
          <w:color w:val="auto"/>
          <w:sz w:val="24"/>
          <w:szCs w:val="24"/>
        </w:rPr>
        <w:t>2.6 技术资料</w:t>
      </w:r>
      <w:bookmarkEnd w:id="943"/>
      <w:bookmarkEnd w:id="944"/>
      <w:bookmarkEnd w:id="945"/>
      <w:bookmarkEnd w:id="946"/>
      <w:bookmarkEnd w:id="947"/>
      <w:bookmarkEnd w:id="948"/>
      <w:r>
        <w:rPr>
          <w:rFonts w:hint="eastAsia" w:ascii="微软雅黑" w:hAnsi="微软雅黑" w:eastAsia="微软雅黑" w:cs="微软雅黑"/>
          <w:b/>
          <w:color w:val="auto"/>
          <w:sz w:val="24"/>
          <w:szCs w:val="24"/>
        </w:rPr>
        <w:t>和保密义务</w:t>
      </w:r>
      <w:bookmarkEnd w:id="949"/>
      <w:bookmarkEnd w:id="950"/>
      <w:bookmarkEnd w:id="951"/>
      <w:bookmarkEnd w:id="952"/>
      <w:bookmarkEnd w:id="953"/>
      <w:bookmarkEnd w:id="954"/>
      <w:bookmarkEnd w:id="955"/>
      <w:bookmarkEnd w:id="956"/>
      <w:bookmarkEnd w:id="957"/>
      <w:bookmarkEnd w:id="958"/>
      <w:bookmarkEnd w:id="959"/>
      <w:bookmarkEnd w:id="960"/>
      <w:bookmarkEnd w:id="961"/>
      <w:bookmarkEnd w:id="962"/>
      <w:bookmarkEnd w:id="963"/>
    </w:p>
    <w:p w14:paraId="1E52623D">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2.6.1 乙方有权依据合同约定和项目需要，向甲方了解有关情况，调阅有关资料等，甲方应予积极配合；</w:t>
      </w:r>
    </w:p>
    <w:p w14:paraId="49E61D9D">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2.6.2 乙方有义务妥善保管和保护由甲方提供的前款信息和资料等；</w:t>
      </w:r>
    </w:p>
    <w:p w14:paraId="7457E234">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1375B7D9">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964" w:name="_Toc9840"/>
      <w:bookmarkStart w:id="965" w:name="_Toc29561"/>
      <w:bookmarkStart w:id="966" w:name="_Toc9088"/>
      <w:bookmarkStart w:id="967" w:name="_Toc29831"/>
      <w:bookmarkStart w:id="968" w:name="_Toc25991"/>
      <w:bookmarkStart w:id="969" w:name="_Toc19069"/>
      <w:bookmarkStart w:id="970" w:name="_Toc2276"/>
      <w:bookmarkStart w:id="971" w:name="_Toc31339"/>
      <w:bookmarkStart w:id="972" w:name="_Toc6587"/>
      <w:bookmarkStart w:id="973" w:name="_Toc19640"/>
      <w:bookmarkStart w:id="974" w:name="_Toc6074"/>
      <w:bookmarkStart w:id="975" w:name="_Toc279701252"/>
      <w:bookmarkStart w:id="976" w:name="_Toc487900362"/>
      <w:bookmarkStart w:id="977" w:name="_Toc259093681"/>
      <w:r>
        <w:rPr>
          <w:rFonts w:hint="eastAsia" w:ascii="微软雅黑" w:hAnsi="微软雅黑" w:eastAsia="微软雅黑" w:cs="微软雅黑"/>
          <w:b/>
          <w:color w:val="auto"/>
          <w:sz w:val="24"/>
          <w:szCs w:val="24"/>
        </w:rPr>
        <w:t>2.7 质量保证</w:t>
      </w:r>
      <w:bookmarkEnd w:id="964"/>
      <w:bookmarkEnd w:id="965"/>
      <w:bookmarkEnd w:id="966"/>
      <w:bookmarkEnd w:id="967"/>
      <w:bookmarkEnd w:id="968"/>
      <w:bookmarkEnd w:id="969"/>
      <w:bookmarkEnd w:id="970"/>
      <w:bookmarkEnd w:id="971"/>
      <w:bookmarkEnd w:id="972"/>
      <w:bookmarkEnd w:id="973"/>
      <w:bookmarkEnd w:id="974"/>
    </w:p>
    <w:p w14:paraId="1D47923B">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2.7.1 乙方应建立和完善履行合同的内部质量保证体系，并提供相关内部规章制度给甲方，以便甲方进行监督检查；</w:t>
      </w:r>
    </w:p>
    <w:p w14:paraId="11F24E5D">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2.7.2 乙方应保证履行合同的人员数量和素质、软件和硬件设备的配置、场地、环境和设施等满足全面履行合同的要求，并应接受甲方的监督检查。</w:t>
      </w:r>
    </w:p>
    <w:p w14:paraId="586751E5">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978" w:name="_Toc22267"/>
      <w:bookmarkStart w:id="979" w:name="_Toc24596"/>
      <w:bookmarkStart w:id="980" w:name="_Toc29110"/>
      <w:bookmarkStart w:id="981" w:name="_Toc19231"/>
      <w:bookmarkStart w:id="982" w:name="_Toc25104"/>
      <w:bookmarkStart w:id="983" w:name="_Toc29528"/>
      <w:bookmarkStart w:id="984" w:name="_Toc31321"/>
      <w:bookmarkStart w:id="985" w:name="_Toc4097"/>
      <w:bookmarkStart w:id="986" w:name="_Toc13218"/>
      <w:bookmarkStart w:id="987" w:name="_Toc4889"/>
      <w:bookmarkStart w:id="988" w:name="_Toc30375"/>
      <w:r>
        <w:rPr>
          <w:rFonts w:hint="eastAsia" w:ascii="微软雅黑" w:hAnsi="微软雅黑" w:eastAsia="微软雅黑" w:cs="微软雅黑"/>
          <w:b/>
          <w:color w:val="auto"/>
          <w:sz w:val="24"/>
          <w:szCs w:val="24"/>
        </w:rPr>
        <w:t>2.8 延迟</w:t>
      </w:r>
      <w:bookmarkEnd w:id="975"/>
      <w:bookmarkEnd w:id="976"/>
      <w:bookmarkEnd w:id="977"/>
      <w:r>
        <w:rPr>
          <w:rFonts w:hint="eastAsia" w:ascii="微软雅黑" w:hAnsi="微软雅黑" w:eastAsia="微软雅黑" w:cs="微软雅黑"/>
          <w:b/>
          <w:color w:val="auto"/>
          <w:sz w:val="24"/>
          <w:szCs w:val="24"/>
        </w:rPr>
        <w:t>履行</w:t>
      </w:r>
      <w:bookmarkEnd w:id="978"/>
      <w:bookmarkEnd w:id="979"/>
      <w:bookmarkEnd w:id="980"/>
      <w:bookmarkEnd w:id="981"/>
      <w:bookmarkEnd w:id="982"/>
      <w:bookmarkEnd w:id="983"/>
      <w:bookmarkEnd w:id="984"/>
      <w:bookmarkEnd w:id="985"/>
      <w:bookmarkEnd w:id="986"/>
      <w:bookmarkEnd w:id="987"/>
      <w:bookmarkEnd w:id="988"/>
    </w:p>
    <w:p w14:paraId="020BB49C">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7EF700B6">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989" w:name="_Toc24979"/>
      <w:bookmarkStart w:id="990" w:name="_Toc15797"/>
      <w:bookmarkStart w:id="991" w:name="_Toc22509"/>
      <w:bookmarkStart w:id="992" w:name="_Toc23879"/>
      <w:bookmarkStart w:id="993" w:name="_Toc4031"/>
      <w:bookmarkStart w:id="994" w:name="_Toc19429"/>
      <w:bookmarkStart w:id="995" w:name="_Toc10611"/>
      <w:bookmarkStart w:id="996" w:name="_Toc16822"/>
      <w:bookmarkStart w:id="997" w:name="_Toc3293"/>
      <w:bookmarkStart w:id="998" w:name="_Toc23645"/>
      <w:bookmarkStart w:id="999" w:name="_Ref467378121"/>
      <w:bookmarkStart w:id="1000" w:name="_Toc259093683"/>
      <w:bookmarkStart w:id="1001" w:name="_Toc487900364"/>
      <w:bookmarkStart w:id="1002" w:name="_Toc279701254"/>
      <w:r>
        <w:rPr>
          <w:rFonts w:hint="eastAsia" w:ascii="微软雅黑" w:hAnsi="微软雅黑" w:eastAsia="微软雅黑" w:cs="微软雅黑"/>
          <w:b/>
          <w:color w:val="auto"/>
          <w:sz w:val="24"/>
          <w:szCs w:val="24"/>
        </w:rPr>
        <w:t>2.9 合同变更</w:t>
      </w:r>
      <w:bookmarkEnd w:id="989"/>
      <w:bookmarkEnd w:id="990"/>
      <w:bookmarkEnd w:id="991"/>
      <w:bookmarkEnd w:id="992"/>
      <w:bookmarkEnd w:id="993"/>
      <w:bookmarkEnd w:id="994"/>
      <w:bookmarkEnd w:id="995"/>
      <w:bookmarkEnd w:id="996"/>
      <w:bookmarkEnd w:id="997"/>
      <w:bookmarkEnd w:id="998"/>
    </w:p>
    <w:p w14:paraId="7C39EE2E">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2.9.1 双方当事人协商一致，可以签订书面补充合同的形式变更合同，但不得违背采购文件确定的事项，且如果系追加与合同标的相同的服务的，那么所有补充合同的采购金额不得超过原合同价的10%；</w:t>
      </w:r>
    </w:p>
    <w:p w14:paraId="7A631CD1">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2.9.2 合同继续履行将损害国家利益和社会公共利益的，双方当事人应当以书面形式变更合同。有过错的一方应当承担赔偿责任，双方当事人都有过错的，各自承担相应的责任。</w:t>
      </w:r>
      <w:bookmarkStart w:id="1003" w:name="_Toc279701259"/>
      <w:bookmarkStart w:id="1004" w:name="_Toc487900369"/>
      <w:bookmarkStart w:id="1005" w:name="_Toc259093688"/>
    </w:p>
    <w:p w14:paraId="129E32F2">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1006" w:name="_Toc16325"/>
      <w:bookmarkStart w:id="1007" w:name="_Toc8729"/>
      <w:bookmarkStart w:id="1008" w:name="_Toc23281"/>
      <w:bookmarkStart w:id="1009" w:name="_Toc23368"/>
      <w:bookmarkStart w:id="1010" w:name="_Toc356"/>
      <w:bookmarkStart w:id="1011" w:name="_Toc1160"/>
      <w:bookmarkStart w:id="1012" w:name="_Toc30491"/>
      <w:bookmarkStart w:id="1013" w:name="_Toc21830"/>
      <w:bookmarkStart w:id="1014" w:name="_Toc26689"/>
      <w:bookmarkStart w:id="1015" w:name="_Toc10663"/>
      <w:bookmarkStart w:id="1016" w:name="_Toc862"/>
      <w:bookmarkStart w:id="1017" w:name="_Toc2212"/>
      <w:bookmarkStart w:id="1018" w:name="_Toc9003"/>
      <w:bookmarkStart w:id="1019" w:name="_Toc42"/>
      <w:bookmarkStart w:id="1020" w:name="_Toc23707"/>
      <w:r>
        <w:rPr>
          <w:rFonts w:hint="eastAsia" w:ascii="微软雅黑" w:hAnsi="微软雅黑" w:eastAsia="微软雅黑" w:cs="微软雅黑"/>
          <w:b/>
          <w:color w:val="auto"/>
          <w:sz w:val="24"/>
          <w:szCs w:val="24"/>
        </w:rPr>
        <w:t>2.10 合同转让</w:t>
      </w:r>
      <w:bookmarkEnd w:id="1003"/>
      <w:bookmarkEnd w:id="1004"/>
      <w:bookmarkEnd w:id="1005"/>
      <w:r>
        <w:rPr>
          <w:rFonts w:hint="eastAsia" w:ascii="微软雅黑" w:hAnsi="微软雅黑" w:eastAsia="微软雅黑" w:cs="微软雅黑"/>
          <w:b/>
          <w:color w:val="auto"/>
          <w:sz w:val="24"/>
          <w:szCs w:val="24"/>
        </w:rPr>
        <w:t>和分包</w:t>
      </w:r>
      <w:bookmarkEnd w:id="1006"/>
      <w:bookmarkEnd w:id="1007"/>
      <w:bookmarkEnd w:id="1008"/>
      <w:bookmarkEnd w:id="1009"/>
      <w:bookmarkEnd w:id="1010"/>
      <w:bookmarkEnd w:id="1011"/>
      <w:bookmarkEnd w:id="1012"/>
      <w:bookmarkEnd w:id="1013"/>
      <w:bookmarkEnd w:id="1014"/>
      <w:bookmarkEnd w:id="1015"/>
      <w:bookmarkEnd w:id="1016"/>
      <w:bookmarkEnd w:id="1017"/>
      <w:bookmarkEnd w:id="1018"/>
      <w:bookmarkEnd w:id="1019"/>
      <w:bookmarkEnd w:id="1020"/>
    </w:p>
    <w:p w14:paraId="32C7DE04">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442A8E87">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1021" w:name="_Toc25571"/>
      <w:bookmarkStart w:id="1022" w:name="_Toc1682"/>
      <w:bookmarkStart w:id="1023" w:name="_Toc21026"/>
      <w:bookmarkStart w:id="1024" w:name="_Toc12143"/>
      <w:bookmarkStart w:id="1025" w:name="_Toc26633"/>
      <w:bookmarkStart w:id="1026" w:name="_Toc32494"/>
      <w:bookmarkStart w:id="1027" w:name="_Toc10871"/>
      <w:bookmarkStart w:id="1028" w:name="_Toc27081"/>
      <w:bookmarkStart w:id="1029" w:name="_Toc4720"/>
      <w:bookmarkStart w:id="1030" w:name="_Toc30671"/>
      <w:bookmarkStart w:id="1031" w:name="_Toc14371"/>
      <w:bookmarkStart w:id="1032" w:name="_Toc30102"/>
      <w:bookmarkStart w:id="1033" w:name="_Toc8449"/>
      <w:bookmarkStart w:id="1034" w:name="_Toc32322"/>
      <w:bookmarkStart w:id="1035" w:name="_Toc23283"/>
      <w:r>
        <w:rPr>
          <w:rFonts w:hint="eastAsia" w:ascii="微软雅黑" w:hAnsi="微软雅黑" w:eastAsia="微软雅黑" w:cs="微软雅黑"/>
          <w:b/>
          <w:color w:val="auto"/>
          <w:sz w:val="24"/>
          <w:szCs w:val="24"/>
        </w:rPr>
        <w:t>2.11 不可抗力</w:t>
      </w:r>
      <w:bookmarkEnd w:id="1021"/>
      <w:bookmarkEnd w:id="1022"/>
      <w:bookmarkEnd w:id="1023"/>
      <w:bookmarkEnd w:id="1024"/>
      <w:bookmarkEnd w:id="1025"/>
      <w:bookmarkEnd w:id="1026"/>
      <w:bookmarkEnd w:id="1027"/>
      <w:bookmarkEnd w:id="1028"/>
      <w:bookmarkEnd w:id="1029"/>
      <w:bookmarkEnd w:id="1030"/>
      <w:bookmarkEnd w:id="1031"/>
      <w:bookmarkEnd w:id="1032"/>
      <w:bookmarkEnd w:id="1033"/>
      <w:bookmarkEnd w:id="1034"/>
      <w:bookmarkEnd w:id="1035"/>
    </w:p>
    <w:p w14:paraId="0056F1A8">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2.11.1如果任何一方遭遇法律规定的不可抗力，致使合同履行受阻时，履行合同的期限应予延长，延长的期限应相当于不可抗力所影响的时间；</w:t>
      </w:r>
    </w:p>
    <w:p w14:paraId="3237AC36">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2.11.2 因不可抗力致使不能实现合同目的的，当事人可以解除合同；</w:t>
      </w:r>
    </w:p>
    <w:p w14:paraId="74B5C89D">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2.11.3 因不可抗力致使合同有变更必要的，双方当事人应在</w:t>
      </w:r>
      <w:r>
        <w:rPr>
          <w:rFonts w:hint="eastAsia" w:ascii="微软雅黑" w:hAnsi="微软雅黑" w:eastAsia="微软雅黑" w:cs="微软雅黑"/>
          <w:b/>
          <w:i/>
          <w:color w:val="auto"/>
          <w:sz w:val="24"/>
          <w:szCs w:val="24"/>
          <w:u w:val="single"/>
        </w:rPr>
        <w:t>合同专用条款</w:t>
      </w:r>
      <w:r>
        <w:rPr>
          <w:rFonts w:hint="eastAsia" w:ascii="微软雅黑" w:hAnsi="微软雅黑" w:eastAsia="微软雅黑" w:cs="微软雅黑"/>
          <w:color w:val="auto"/>
          <w:sz w:val="24"/>
          <w:szCs w:val="24"/>
        </w:rPr>
        <w:t>约定时间内以书面形式变更合同；</w:t>
      </w:r>
    </w:p>
    <w:p w14:paraId="07CF53B4">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2.11.4受不可抗力影响的一方在不可抗力发生后，应在</w:t>
      </w:r>
      <w:r>
        <w:rPr>
          <w:rFonts w:hint="eastAsia" w:ascii="微软雅黑" w:hAnsi="微软雅黑" w:eastAsia="微软雅黑" w:cs="微软雅黑"/>
          <w:b/>
          <w:i/>
          <w:color w:val="auto"/>
          <w:sz w:val="24"/>
          <w:szCs w:val="24"/>
          <w:u w:val="single"/>
        </w:rPr>
        <w:t>合同专用条款</w:t>
      </w:r>
      <w:r>
        <w:rPr>
          <w:rFonts w:hint="eastAsia" w:ascii="微软雅黑" w:hAnsi="微软雅黑" w:eastAsia="微软雅黑" w:cs="微软雅黑"/>
          <w:color w:val="auto"/>
          <w:sz w:val="24"/>
          <w:szCs w:val="24"/>
        </w:rPr>
        <w:t>约定时间内以书面形式通知对方当事人，并在</w:t>
      </w:r>
      <w:r>
        <w:rPr>
          <w:rFonts w:hint="eastAsia" w:ascii="微软雅黑" w:hAnsi="微软雅黑" w:eastAsia="微软雅黑" w:cs="微软雅黑"/>
          <w:b/>
          <w:i/>
          <w:color w:val="auto"/>
          <w:sz w:val="24"/>
          <w:szCs w:val="24"/>
          <w:u w:val="single"/>
        </w:rPr>
        <w:t>合同专用条款</w:t>
      </w:r>
      <w:r>
        <w:rPr>
          <w:rFonts w:hint="eastAsia" w:ascii="微软雅黑" w:hAnsi="微软雅黑" w:eastAsia="微软雅黑" w:cs="微软雅黑"/>
          <w:color w:val="auto"/>
          <w:sz w:val="24"/>
          <w:szCs w:val="24"/>
        </w:rPr>
        <w:t>约定时间内，将有关部门出具的证明文件送达对方当事人。</w:t>
      </w:r>
    </w:p>
    <w:p w14:paraId="56D76EFF">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1036" w:name="_Toc259093684"/>
      <w:bookmarkStart w:id="1037" w:name="_Toc14505"/>
      <w:bookmarkStart w:id="1038" w:name="_Toc32564"/>
      <w:bookmarkStart w:id="1039" w:name="_Toc279701255"/>
      <w:bookmarkStart w:id="1040" w:name="_Toc10351"/>
      <w:bookmarkStart w:id="1041" w:name="_Toc17484"/>
      <w:bookmarkStart w:id="1042" w:name="_Toc7284"/>
      <w:bookmarkStart w:id="1043" w:name="_Toc3638"/>
      <w:bookmarkStart w:id="1044" w:name="_Toc487900365"/>
      <w:bookmarkStart w:id="1045" w:name="_Toc3979"/>
      <w:bookmarkStart w:id="1046" w:name="_Toc24465"/>
      <w:bookmarkStart w:id="1047" w:name="_Toc23854"/>
      <w:bookmarkStart w:id="1048" w:name="_Toc14115"/>
      <w:bookmarkStart w:id="1049" w:name="_Toc30357"/>
      <w:bookmarkStart w:id="1050" w:name="_Toc22975"/>
      <w:bookmarkStart w:id="1051" w:name="_Toc6869"/>
      <w:bookmarkStart w:id="1052" w:name="_Toc25783"/>
      <w:bookmarkStart w:id="1053" w:name="_Toc24227"/>
      <w:r>
        <w:rPr>
          <w:rFonts w:hint="eastAsia" w:ascii="微软雅黑" w:hAnsi="微软雅黑" w:eastAsia="微软雅黑" w:cs="微软雅黑"/>
          <w:b/>
          <w:color w:val="auto"/>
          <w:sz w:val="24"/>
          <w:szCs w:val="24"/>
        </w:rPr>
        <w:t>2.12 税费</w:t>
      </w:r>
      <w:bookmarkEnd w:id="1036"/>
      <w:bookmarkEnd w:id="1037"/>
      <w:bookmarkEnd w:id="1038"/>
      <w:bookmarkEnd w:id="1039"/>
      <w:bookmarkEnd w:id="1040"/>
      <w:bookmarkEnd w:id="1041"/>
      <w:bookmarkEnd w:id="1042"/>
      <w:bookmarkEnd w:id="1043"/>
      <w:bookmarkEnd w:id="1044"/>
      <w:bookmarkEnd w:id="1045"/>
      <w:bookmarkEnd w:id="1046"/>
      <w:bookmarkEnd w:id="1047"/>
      <w:bookmarkEnd w:id="1048"/>
      <w:bookmarkEnd w:id="1049"/>
      <w:bookmarkEnd w:id="1050"/>
      <w:bookmarkEnd w:id="1051"/>
      <w:bookmarkEnd w:id="1052"/>
      <w:bookmarkEnd w:id="1053"/>
    </w:p>
    <w:p w14:paraId="00A8AE24">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与合同有关的一切税费，均按照中华人民共和国法律的相关规定缴纳。</w:t>
      </w:r>
    </w:p>
    <w:p w14:paraId="1E701D58">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1054" w:name="_Toc6637"/>
      <w:bookmarkStart w:id="1055" w:name="_Toc279701258"/>
      <w:bookmarkStart w:id="1056" w:name="_Toc487900368"/>
      <w:bookmarkStart w:id="1057" w:name="_Toc29858"/>
      <w:bookmarkStart w:id="1058" w:name="_Toc22176"/>
      <w:bookmarkStart w:id="1059" w:name="_Toc31263"/>
      <w:bookmarkStart w:id="1060" w:name="_Toc14814"/>
      <w:bookmarkStart w:id="1061" w:name="_Toc29348"/>
      <w:bookmarkStart w:id="1062" w:name="_Toc259093687"/>
      <w:bookmarkStart w:id="1063" w:name="_Toc26349"/>
      <w:bookmarkStart w:id="1064" w:name="_Toc14992"/>
      <w:bookmarkStart w:id="1065" w:name="_Toc7315"/>
      <w:bookmarkStart w:id="1066" w:name="_Toc25525"/>
      <w:bookmarkStart w:id="1067" w:name="_Toc6532"/>
      <w:bookmarkStart w:id="1068" w:name="_Toc30105"/>
      <w:bookmarkStart w:id="1069" w:name="_Toc4"/>
      <w:bookmarkStart w:id="1070" w:name="_Toc26883"/>
      <w:bookmarkStart w:id="1071" w:name="_Toc16664"/>
      <w:r>
        <w:rPr>
          <w:rFonts w:hint="eastAsia" w:ascii="微软雅黑" w:hAnsi="微软雅黑" w:eastAsia="微软雅黑" w:cs="微软雅黑"/>
          <w:b/>
          <w:color w:val="auto"/>
          <w:sz w:val="24"/>
          <w:szCs w:val="24"/>
        </w:rPr>
        <w:t>2.13 乙方破产</w:t>
      </w:r>
      <w:bookmarkEnd w:id="1054"/>
      <w:bookmarkEnd w:id="1055"/>
      <w:bookmarkEnd w:id="1056"/>
      <w:bookmarkEnd w:id="1057"/>
      <w:bookmarkEnd w:id="1058"/>
      <w:bookmarkEnd w:id="1059"/>
      <w:bookmarkEnd w:id="1060"/>
      <w:bookmarkEnd w:id="1061"/>
      <w:bookmarkEnd w:id="1062"/>
      <w:bookmarkEnd w:id="1063"/>
      <w:bookmarkEnd w:id="1064"/>
      <w:bookmarkEnd w:id="1065"/>
      <w:bookmarkEnd w:id="1066"/>
      <w:bookmarkEnd w:id="1067"/>
      <w:bookmarkEnd w:id="1068"/>
      <w:bookmarkEnd w:id="1069"/>
      <w:bookmarkEnd w:id="1070"/>
      <w:bookmarkEnd w:id="1071"/>
    </w:p>
    <w:p w14:paraId="310EB258">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28EDCAAF">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1072" w:name="_Toc23914"/>
      <w:bookmarkStart w:id="1073" w:name="_Toc25544"/>
      <w:bookmarkStart w:id="1074" w:name="_Toc1123"/>
      <w:bookmarkStart w:id="1075" w:name="_Toc2016"/>
      <w:bookmarkStart w:id="1076" w:name="_Toc19596"/>
      <w:bookmarkStart w:id="1077" w:name="_Toc5623"/>
      <w:bookmarkStart w:id="1078" w:name="_Toc29901"/>
      <w:bookmarkStart w:id="1079" w:name="_Toc29537"/>
      <w:bookmarkStart w:id="1080" w:name="_Toc7278"/>
      <w:bookmarkStart w:id="1081" w:name="_Toc8174"/>
      <w:bookmarkStart w:id="1082" w:name="_Toc31368"/>
      <w:bookmarkStart w:id="1083" w:name="_Toc23323"/>
      <w:bookmarkStart w:id="1084" w:name="_Toc18847"/>
      <w:r>
        <w:rPr>
          <w:rFonts w:hint="eastAsia" w:ascii="微软雅黑" w:hAnsi="微软雅黑" w:eastAsia="微软雅黑" w:cs="微软雅黑"/>
          <w:b/>
          <w:color w:val="auto"/>
          <w:sz w:val="24"/>
          <w:szCs w:val="24"/>
        </w:rPr>
        <w:t>2.14 合同中止、终止</w:t>
      </w:r>
      <w:bookmarkEnd w:id="1072"/>
      <w:bookmarkEnd w:id="1073"/>
      <w:bookmarkEnd w:id="1074"/>
      <w:bookmarkEnd w:id="1075"/>
      <w:bookmarkEnd w:id="1076"/>
      <w:bookmarkEnd w:id="1077"/>
      <w:bookmarkEnd w:id="1078"/>
      <w:bookmarkEnd w:id="1079"/>
      <w:bookmarkEnd w:id="1080"/>
      <w:bookmarkEnd w:id="1081"/>
      <w:bookmarkEnd w:id="1082"/>
      <w:bookmarkEnd w:id="1083"/>
      <w:bookmarkEnd w:id="1084"/>
    </w:p>
    <w:p w14:paraId="449D2C97">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2.14.1 双方当事人不得擅自中止或者终止合同；</w:t>
      </w:r>
    </w:p>
    <w:p w14:paraId="53CD9C39">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2.14.2合同继续履行将损害国家利益和社会公共利益的，双方当事人应当中止或者终止合同。有过错的一方应当承担赔偿责任，双方当事人都有过错的，各自承担相应的责任。</w:t>
      </w:r>
    </w:p>
    <w:p w14:paraId="749B6FFB">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1085" w:name="_Toc18131"/>
      <w:bookmarkStart w:id="1086" w:name="_Toc30337"/>
      <w:bookmarkStart w:id="1087" w:name="_Toc32549"/>
      <w:bookmarkStart w:id="1088" w:name="_Toc1969"/>
      <w:bookmarkStart w:id="1089" w:name="_Toc9316"/>
      <w:bookmarkStart w:id="1090" w:name="_Toc17363"/>
      <w:bookmarkStart w:id="1091" w:name="_Toc16337"/>
      <w:bookmarkStart w:id="1092" w:name="_Toc28668"/>
      <w:bookmarkStart w:id="1093" w:name="_Toc17750"/>
      <w:bookmarkStart w:id="1094" w:name="_Toc14525"/>
      <w:bookmarkStart w:id="1095" w:name="_Toc30472"/>
      <w:bookmarkStart w:id="1096" w:name="_Toc7270"/>
      <w:bookmarkStart w:id="1097" w:name="_Toc8757"/>
      <w:r>
        <w:rPr>
          <w:rFonts w:hint="eastAsia" w:ascii="微软雅黑" w:hAnsi="微软雅黑" w:eastAsia="微软雅黑" w:cs="微软雅黑"/>
          <w:b/>
          <w:color w:val="auto"/>
          <w:sz w:val="24"/>
          <w:szCs w:val="24"/>
        </w:rPr>
        <w:t>2.15 检验和验收</w:t>
      </w:r>
      <w:bookmarkEnd w:id="1085"/>
      <w:bookmarkEnd w:id="1086"/>
      <w:bookmarkEnd w:id="1087"/>
      <w:bookmarkEnd w:id="1088"/>
      <w:bookmarkEnd w:id="1089"/>
      <w:bookmarkEnd w:id="1090"/>
      <w:bookmarkEnd w:id="1091"/>
      <w:bookmarkEnd w:id="1092"/>
      <w:bookmarkEnd w:id="1093"/>
      <w:bookmarkEnd w:id="1094"/>
      <w:bookmarkEnd w:id="1095"/>
      <w:bookmarkEnd w:id="1096"/>
      <w:bookmarkEnd w:id="1097"/>
    </w:p>
    <w:p w14:paraId="3195461F">
      <w:pPr>
        <w:pageBreakBefore w:val="0"/>
        <w:tabs>
          <w:tab w:val="left" w:pos="360"/>
          <w:tab w:val="left" w:pos="540"/>
          <w:tab w:val="left" w:pos="1080"/>
        </w:tabs>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2.15.1 乙方按照</w:t>
      </w:r>
      <w:r>
        <w:rPr>
          <w:rFonts w:hint="eastAsia" w:ascii="微软雅黑" w:hAnsi="微软雅黑" w:eastAsia="微软雅黑" w:cs="微软雅黑"/>
          <w:b/>
          <w:i/>
          <w:color w:val="auto"/>
          <w:sz w:val="24"/>
          <w:szCs w:val="24"/>
          <w:u w:val="single"/>
        </w:rPr>
        <w:t>合同专用条款</w:t>
      </w:r>
      <w:r>
        <w:rPr>
          <w:rFonts w:hint="eastAsia" w:ascii="微软雅黑" w:hAnsi="微软雅黑" w:eastAsia="微软雅黑" w:cs="微软雅黑"/>
          <w:color w:val="auto"/>
          <w:sz w:val="24"/>
          <w:szCs w:val="24"/>
        </w:rPr>
        <w:t>的约定，定期提交服务报告，甲方按照</w:t>
      </w:r>
      <w:r>
        <w:rPr>
          <w:rFonts w:hint="eastAsia" w:ascii="微软雅黑" w:hAnsi="微软雅黑" w:eastAsia="微软雅黑" w:cs="微软雅黑"/>
          <w:b/>
          <w:i/>
          <w:color w:val="auto"/>
          <w:sz w:val="24"/>
          <w:szCs w:val="24"/>
          <w:u w:val="single"/>
        </w:rPr>
        <w:t>合同专用条款</w:t>
      </w:r>
      <w:r>
        <w:rPr>
          <w:rFonts w:hint="eastAsia" w:ascii="微软雅黑" w:hAnsi="微软雅黑" w:eastAsia="微软雅黑" w:cs="微软雅黑"/>
          <w:color w:val="auto"/>
          <w:sz w:val="24"/>
          <w:szCs w:val="24"/>
        </w:rPr>
        <w:t>的约定进行定期验收；</w:t>
      </w:r>
    </w:p>
    <w:p w14:paraId="1CFEFCDD">
      <w:pPr>
        <w:pageBreakBefore w:val="0"/>
        <w:tabs>
          <w:tab w:val="left" w:pos="360"/>
          <w:tab w:val="left" w:pos="540"/>
          <w:tab w:val="left" w:pos="1080"/>
        </w:tabs>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675070F3">
      <w:pPr>
        <w:pageBreakBefore w:val="0"/>
        <w:tabs>
          <w:tab w:val="left" w:pos="360"/>
          <w:tab w:val="left" w:pos="540"/>
          <w:tab w:val="left" w:pos="1080"/>
        </w:tabs>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2.15.3 检验和验收标准、程序等具体内容以及前述验收书的效力详见</w:t>
      </w:r>
      <w:r>
        <w:rPr>
          <w:rFonts w:hint="eastAsia" w:ascii="微软雅黑" w:hAnsi="微软雅黑" w:eastAsia="微软雅黑" w:cs="微软雅黑"/>
          <w:b/>
          <w:i/>
          <w:color w:val="auto"/>
          <w:sz w:val="24"/>
          <w:szCs w:val="24"/>
          <w:u w:val="single"/>
        </w:rPr>
        <w:t>合同专用条款</w:t>
      </w:r>
      <w:r>
        <w:rPr>
          <w:rFonts w:hint="eastAsia" w:ascii="微软雅黑" w:hAnsi="微软雅黑" w:eastAsia="微软雅黑" w:cs="微软雅黑"/>
          <w:i/>
          <w:color w:val="auto"/>
          <w:sz w:val="24"/>
          <w:szCs w:val="24"/>
        </w:rPr>
        <w:t>。</w:t>
      </w:r>
    </w:p>
    <w:bookmarkEnd w:id="999"/>
    <w:bookmarkEnd w:id="1000"/>
    <w:bookmarkEnd w:id="1001"/>
    <w:bookmarkEnd w:id="1002"/>
    <w:p w14:paraId="0FB90234">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1098" w:name="_Toc487900371"/>
      <w:bookmarkStart w:id="1099" w:name="_Toc279701261"/>
      <w:bookmarkStart w:id="1100" w:name="_Toc259093690"/>
      <w:bookmarkStart w:id="1101" w:name="_Toc31018"/>
      <w:bookmarkStart w:id="1102" w:name="_Toc11247"/>
      <w:bookmarkStart w:id="1103" w:name="_Toc26221"/>
      <w:bookmarkStart w:id="1104" w:name="_Toc21952"/>
      <w:bookmarkStart w:id="1105" w:name="_Toc32619"/>
      <w:bookmarkStart w:id="1106" w:name="_Toc25198"/>
      <w:bookmarkStart w:id="1107" w:name="_Toc2308"/>
      <w:bookmarkStart w:id="1108" w:name="_Toc18608"/>
      <w:bookmarkStart w:id="1109" w:name="_Toc11014"/>
      <w:bookmarkStart w:id="1110" w:name="_Toc9808"/>
      <w:bookmarkStart w:id="1111" w:name="_Toc31892"/>
      <w:bookmarkStart w:id="1112" w:name="_Toc8307"/>
      <w:bookmarkStart w:id="1113" w:name="_Toc12666"/>
      <w:bookmarkStart w:id="1114" w:name="_Toc1392"/>
      <w:r>
        <w:rPr>
          <w:rFonts w:hint="eastAsia" w:ascii="微软雅黑" w:hAnsi="微软雅黑" w:eastAsia="微软雅黑" w:cs="微软雅黑"/>
          <w:b/>
          <w:color w:val="auto"/>
          <w:sz w:val="24"/>
          <w:szCs w:val="24"/>
        </w:rPr>
        <w:t>2.16 通知</w:t>
      </w:r>
      <w:bookmarkEnd w:id="1098"/>
      <w:bookmarkEnd w:id="1099"/>
      <w:bookmarkEnd w:id="1100"/>
      <w:r>
        <w:rPr>
          <w:rFonts w:hint="eastAsia" w:ascii="微软雅黑" w:hAnsi="微软雅黑" w:eastAsia="微软雅黑" w:cs="微软雅黑"/>
          <w:b/>
          <w:color w:val="auto"/>
          <w:sz w:val="24"/>
          <w:szCs w:val="24"/>
        </w:rPr>
        <w:t>和送达</w:t>
      </w:r>
      <w:bookmarkEnd w:id="1101"/>
      <w:bookmarkEnd w:id="1102"/>
      <w:bookmarkEnd w:id="1103"/>
      <w:bookmarkEnd w:id="1104"/>
      <w:bookmarkEnd w:id="1105"/>
      <w:bookmarkEnd w:id="1106"/>
      <w:bookmarkEnd w:id="1107"/>
      <w:bookmarkEnd w:id="1108"/>
      <w:bookmarkEnd w:id="1109"/>
      <w:bookmarkEnd w:id="1110"/>
      <w:bookmarkEnd w:id="1111"/>
      <w:bookmarkEnd w:id="1112"/>
      <w:bookmarkEnd w:id="1113"/>
      <w:bookmarkEnd w:id="1114"/>
    </w:p>
    <w:p w14:paraId="0B097AA4">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bookmarkStart w:id="1115" w:name="_Toc29220"/>
      <w:bookmarkStart w:id="1116" w:name="_Toc7073"/>
      <w:bookmarkStart w:id="1117" w:name="_Toc259093691"/>
      <w:bookmarkStart w:id="1118" w:name="_Toc487900372"/>
      <w:bookmarkStart w:id="1119" w:name="_Toc279701262"/>
      <w:r>
        <w:rPr>
          <w:rFonts w:hint="eastAsia" w:ascii="微软雅黑" w:hAnsi="微软雅黑" w:eastAsia="微软雅黑" w:cs="微软雅黑"/>
          <w:color w:val="auto"/>
          <w:sz w:val="24"/>
          <w:szCs w:val="24"/>
        </w:rPr>
        <w:t>2.16.1 任何一方因履行合同而以合同第一部分尾部所列明的</w:t>
      </w:r>
      <w:r>
        <w:rPr>
          <w:rFonts w:hint="eastAsia" w:ascii="微软雅黑" w:hAnsi="微软雅黑" w:eastAsia="微软雅黑" w:cs="微软雅黑"/>
          <w:color w:val="auto"/>
          <w:sz w:val="24"/>
          <w:szCs w:val="24"/>
          <w:u w:val="single"/>
        </w:rPr>
        <w:t xml:space="preserve">          </w:t>
      </w:r>
      <w:r>
        <w:rPr>
          <w:rFonts w:hint="eastAsia" w:ascii="微软雅黑" w:hAnsi="微软雅黑" w:eastAsia="微软雅黑" w:cs="微软雅黑"/>
          <w:color w:val="auto"/>
          <w:sz w:val="24"/>
          <w:szCs w:val="24"/>
        </w:rPr>
        <w:t>发出的所有通知、文件、材料，均视为已向对方当事人送达；任何一方变更上述送达方式或者地址的，应于</w:t>
      </w:r>
      <w:r>
        <w:rPr>
          <w:rFonts w:hint="eastAsia" w:ascii="微软雅黑" w:hAnsi="微软雅黑" w:eastAsia="微软雅黑" w:cs="微软雅黑"/>
          <w:color w:val="auto"/>
          <w:sz w:val="24"/>
          <w:szCs w:val="24"/>
          <w:u w:val="single"/>
        </w:rPr>
        <w:t xml:space="preserve">   </w:t>
      </w:r>
      <w:r>
        <w:rPr>
          <w:rFonts w:hint="eastAsia" w:ascii="微软雅黑" w:hAnsi="微软雅黑" w:eastAsia="微软雅黑" w:cs="微软雅黑"/>
          <w:color w:val="auto"/>
          <w:sz w:val="24"/>
          <w:szCs w:val="24"/>
        </w:rPr>
        <w:t>个工作日内书面通知对方当事人，在对方当事人收到有关变更通知之前，变更前的约定送达方式或者地址仍视为有效。</w:t>
      </w:r>
      <w:bookmarkEnd w:id="1115"/>
      <w:bookmarkEnd w:id="1116"/>
    </w:p>
    <w:p w14:paraId="5E1E44AB">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bookmarkStart w:id="1120" w:name="_Toc18401"/>
      <w:bookmarkStart w:id="1121" w:name="_Toc27674"/>
      <w:r>
        <w:rPr>
          <w:rFonts w:hint="eastAsia" w:ascii="微软雅黑" w:hAnsi="微软雅黑" w:eastAsia="微软雅黑" w:cs="微软雅黑"/>
          <w:color w:val="auto"/>
          <w:sz w:val="24"/>
          <w:szCs w:val="24"/>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1120"/>
      <w:bookmarkEnd w:id="1121"/>
    </w:p>
    <w:bookmarkEnd w:id="1117"/>
    <w:bookmarkEnd w:id="1118"/>
    <w:bookmarkEnd w:id="1119"/>
    <w:p w14:paraId="6C9BE0E7">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1122" w:name="_Toc13550"/>
      <w:bookmarkStart w:id="1123" w:name="_Toc279701263"/>
      <w:bookmarkStart w:id="1124" w:name="_Toc12254"/>
      <w:bookmarkStart w:id="1125" w:name="_Toc11526"/>
      <w:bookmarkStart w:id="1126" w:name="_Toc487900373"/>
      <w:bookmarkStart w:id="1127" w:name="_Toc21132"/>
      <w:bookmarkStart w:id="1128" w:name="_Toc4769"/>
      <w:bookmarkStart w:id="1129" w:name="_Toc5063"/>
      <w:bookmarkStart w:id="1130" w:name="_Toc30141"/>
      <w:bookmarkStart w:id="1131" w:name="_Toc259093692"/>
      <w:bookmarkStart w:id="1132" w:name="_Toc31027"/>
      <w:bookmarkStart w:id="1133" w:name="_Toc24463"/>
      <w:bookmarkStart w:id="1134" w:name="_Toc27644"/>
      <w:bookmarkStart w:id="1135" w:name="_Toc15024"/>
      <w:bookmarkStart w:id="1136" w:name="_Toc28906"/>
      <w:bookmarkStart w:id="1137" w:name="_Toc10490"/>
      <w:bookmarkStart w:id="1138" w:name="_Toc20808"/>
      <w:bookmarkStart w:id="1139" w:name="_Toc4329"/>
      <w:r>
        <w:rPr>
          <w:rFonts w:hint="eastAsia" w:ascii="微软雅黑" w:hAnsi="微软雅黑" w:eastAsia="微软雅黑" w:cs="微软雅黑"/>
          <w:b/>
          <w:color w:val="auto"/>
          <w:sz w:val="24"/>
          <w:szCs w:val="24"/>
        </w:rPr>
        <w:t>2.17 合同使用的文字和适用的法律</w:t>
      </w:r>
      <w:bookmarkEnd w:id="1122"/>
      <w:bookmarkEnd w:id="1123"/>
      <w:bookmarkEnd w:id="1124"/>
      <w:bookmarkEnd w:id="1125"/>
      <w:bookmarkEnd w:id="1126"/>
      <w:bookmarkEnd w:id="1127"/>
      <w:bookmarkEnd w:id="1128"/>
      <w:bookmarkEnd w:id="1129"/>
      <w:bookmarkEnd w:id="1130"/>
      <w:bookmarkEnd w:id="1131"/>
      <w:bookmarkEnd w:id="1132"/>
      <w:bookmarkEnd w:id="1133"/>
      <w:bookmarkEnd w:id="1134"/>
      <w:bookmarkEnd w:id="1135"/>
      <w:bookmarkEnd w:id="1136"/>
      <w:bookmarkEnd w:id="1137"/>
      <w:bookmarkEnd w:id="1138"/>
      <w:bookmarkEnd w:id="1139"/>
    </w:p>
    <w:p w14:paraId="6FD8F532">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2.17.1 合同使用汉语书就、变更和解释；</w:t>
      </w:r>
    </w:p>
    <w:p w14:paraId="33694E80">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2.17.2 合同适用中华人民共和国法律。</w:t>
      </w:r>
    </w:p>
    <w:p w14:paraId="7EE524C4">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1140" w:name="_Toc31753"/>
      <w:bookmarkStart w:id="1141" w:name="_Toc29283"/>
      <w:bookmarkStart w:id="1142" w:name="_Toc2187"/>
      <w:bookmarkStart w:id="1143" w:name="_Toc279701264"/>
      <w:bookmarkStart w:id="1144" w:name="_Toc28729"/>
      <w:bookmarkStart w:id="1145" w:name="_Toc26051"/>
      <w:bookmarkStart w:id="1146" w:name="_Toc1492"/>
      <w:bookmarkStart w:id="1147" w:name="_Toc30096"/>
      <w:bookmarkStart w:id="1148" w:name="_Toc28596"/>
      <w:bookmarkStart w:id="1149" w:name="_Toc27403"/>
      <w:bookmarkStart w:id="1150" w:name="_Toc259093693"/>
      <w:bookmarkStart w:id="1151" w:name="_Toc22266"/>
      <w:bookmarkStart w:id="1152" w:name="_Toc30784"/>
      <w:bookmarkStart w:id="1153" w:name="_Toc29936"/>
      <w:bookmarkStart w:id="1154" w:name="_Toc27127"/>
      <w:bookmarkStart w:id="1155" w:name="_Toc22116"/>
      <w:bookmarkStart w:id="1156" w:name="_Toc2123"/>
      <w:bookmarkStart w:id="1157" w:name="_Toc487900374"/>
      <w:r>
        <w:rPr>
          <w:rFonts w:hint="eastAsia" w:ascii="微软雅黑" w:hAnsi="微软雅黑" w:eastAsia="微软雅黑" w:cs="微软雅黑"/>
          <w:b/>
          <w:color w:val="auto"/>
          <w:sz w:val="24"/>
          <w:szCs w:val="24"/>
        </w:rPr>
        <w:t>2.18 履约保证金</w:t>
      </w:r>
      <w:bookmarkEnd w:id="1140"/>
      <w:bookmarkEnd w:id="1141"/>
      <w:bookmarkEnd w:id="1142"/>
      <w:bookmarkEnd w:id="1143"/>
      <w:bookmarkEnd w:id="1144"/>
      <w:bookmarkEnd w:id="1145"/>
      <w:bookmarkEnd w:id="1146"/>
      <w:bookmarkEnd w:id="1147"/>
      <w:bookmarkEnd w:id="1148"/>
      <w:bookmarkEnd w:id="1149"/>
      <w:bookmarkEnd w:id="1150"/>
      <w:bookmarkEnd w:id="1151"/>
      <w:bookmarkEnd w:id="1152"/>
      <w:bookmarkEnd w:id="1153"/>
      <w:bookmarkEnd w:id="1154"/>
      <w:bookmarkEnd w:id="1155"/>
      <w:bookmarkEnd w:id="1156"/>
    </w:p>
    <w:p w14:paraId="3D7DB851">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2.18.1 采购文件要求乙方提交履约保证金的，乙方应按</w:t>
      </w:r>
      <w:r>
        <w:rPr>
          <w:rFonts w:hint="eastAsia" w:ascii="微软雅黑" w:hAnsi="微软雅黑" w:eastAsia="微软雅黑" w:cs="微软雅黑"/>
          <w:b/>
          <w:i/>
          <w:color w:val="auto"/>
          <w:sz w:val="24"/>
          <w:szCs w:val="24"/>
          <w:u w:val="single"/>
        </w:rPr>
        <w:t>合同专用条款</w:t>
      </w:r>
      <w:r>
        <w:rPr>
          <w:rFonts w:hint="eastAsia" w:ascii="微软雅黑" w:hAnsi="微软雅黑" w:eastAsia="微软雅黑" w:cs="微软雅黑"/>
          <w:color w:val="auto"/>
          <w:sz w:val="24"/>
          <w:szCs w:val="24"/>
        </w:rPr>
        <w:t>约定的方式，以支票、汇票、本票或者金融机构、担保机构出具的保函等非现金形式，提交不超过合同价10%的履约保证金；</w:t>
      </w:r>
    </w:p>
    <w:p w14:paraId="34E345E2">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2.18.2 履约保证金在</w:t>
      </w:r>
      <w:r>
        <w:rPr>
          <w:rFonts w:hint="eastAsia" w:ascii="微软雅黑" w:hAnsi="微软雅黑" w:eastAsia="微软雅黑" w:cs="微软雅黑"/>
          <w:b/>
          <w:i/>
          <w:color w:val="auto"/>
          <w:sz w:val="24"/>
          <w:szCs w:val="24"/>
          <w:u w:val="single"/>
        </w:rPr>
        <w:t>合同专用条款</w:t>
      </w:r>
      <w:r>
        <w:rPr>
          <w:rFonts w:hint="eastAsia" w:ascii="微软雅黑" w:hAnsi="微软雅黑" w:eastAsia="微软雅黑" w:cs="微软雅黑"/>
          <w:color w:val="auto"/>
          <w:sz w:val="24"/>
          <w:szCs w:val="24"/>
        </w:rPr>
        <w:t>约定期间内不予退还或者应完全有效，前述约定期间届满之日起</w:t>
      </w:r>
      <w:r>
        <w:rPr>
          <w:rFonts w:hint="eastAsia" w:ascii="微软雅黑" w:hAnsi="微软雅黑" w:eastAsia="微软雅黑" w:cs="微软雅黑"/>
          <w:color w:val="auto"/>
          <w:sz w:val="24"/>
          <w:szCs w:val="24"/>
          <w:u w:val="single"/>
        </w:rPr>
        <w:t xml:space="preserve">    </w:t>
      </w:r>
      <w:r>
        <w:rPr>
          <w:rFonts w:hint="eastAsia" w:ascii="微软雅黑" w:hAnsi="微软雅黑" w:eastAsia="微软雅黑" w:cs="微软雅黑"/>
          <w:color w:val="auto"/>
          <w:sz w:val="24"/>
          <w:szCs w:val="24"/>
        </w:rPr>
        <w:t>个工作日内，甲方应将履约保证金退还乙方；</w:t>
      </w:r>
    </w:p>
    <w:p w14:paraId="59F7DD56">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2.18.3 如果乙方不履行合同，履约保证金不予退还；如果乙方未能按合同约定全面履行义务，那么甲方有权从履约保证金中取得补偿或赔偿，同时不影响甲方要求乙方承担合同约定的超过履约保证金的违约责任的权利。</w:t>
      </w:r>
    </w:p>
    <w:bookmarkEnd w:id="1157"/>
    <w:p w14:paraId="1AF87ACD">
      <w:pPr>
        <w:pageBreakBefore w:val="0"/>
        <w:kinsoku/>
        <w:wordWrap/>
        <w:overflowPunct/>
        <w:topLinePunct w:val="0"/>
        <w:bidi w:val="0"/>
        <w:spacing w:line="480" w:lineRule="exact"/>
        <w:ind w:firstLine="480" w:firstLineChars="200"/>
        <w:rPr>
          <w:rFonts w:hint="eastAsia" w:ascii="微软雅黑" w:hAnsi="微软雅黑" w:eastAsia="微软雅黑" w:cs="微软雅黑"/>
          <w:b/>
          <w:color w:val="auto"/>
          <w:sz w:val="24"/>
          <w:szCs w:val="24"/>
        </w:rPr>
      </w:pPr>
      <w:r>
        <w:rPr>
          <w:rFonts w:hint="eastAsia" w:ascii="微软雅黑" w:hAnsi="微软雅黑" w:eastAsia="微软雅黑" w:cs="微软雅黑"/>
          <w:b/>
          <w:color w:val="auto"/>
          <w:sz w:val="24"/>
          <w:szCs w:val="24"/>
        </w:rPr>
        <w:t>2.19 合同份数</w:t>
      </w:r>
    </w:p>
    <w:p w14:paraId="4D5E6DFE">
      <w:pPr>
        <w:pStyle w:val="60"/>
        <w:pageBreakBefore w:val="0"/>
        <w:kinsoku/>
        <w:wordWrap/>
        <w:overflowPunct/>
        <w:topLinePunct w:val="0"/>
        <w:bidi w:val="0"/>
        <w:spacing w:line="480" w:lineRule="exact"/>
        <w:ind w:firstLine="0"/>
        <w:jc w:val="center"/>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合同份数按</w:t>
      </w:r>
      <w:r>
        <w:rPr>
          <w:rFonts w:hint="eastAsia" w:ascii="微软雅黑" w:hAnsi="微软雅黑" w:eastAsia="微软雅黑" w:cs="微软雅黑"/>
          <w:b/>
          <w:i/>
          <w:color w:val="auto"/>
          <w:sz w:val="24"/>
          <w:szCs w:val="24"/>
          <w:u w:val="single"/>
        </w:rPr>
        <w:t>合同专用条款</w:t>
      </w:r>
      <w:r>
        <w:rPr>
          <w:rFonts w:hint="eastAsia" w:ascii="微软雅黑" w:hAnsi="微软雅黑" w:eastAsia="微软雅黑" w:cs="微软雅黑"/>
          <w:color w:val="auto"/>
          <w:sz w:val="24"/>
          <w:szCs w:val="24"/>
        </w:rPr>
        <w:t>规定，每份均具有同等法律效力。</w:t>
      </w:r>
      <w:bookmarkStart w:id="1158" w:name="_Toc331685784"/>
    </w:p>
    <w:p w14:paraId="2BCF1C8C">
      <w:pPr>
        <w:pStyle w:val="60"/>
        <w:pageBreakBefore w:val="0"/>
        <w:kinsoku/>
        <w:wordWrap/>
        <w:overflowPunct/>
        <w:topLinePunct w:val="0"/>
        <w:bidi w:val="0"/>
        <w:spacing w:line="480" w:lineRule="exact"/>
        <w:ind w:firstLine="0"/>
        <w:jc w:val="center"/>
        <w:rPr>
          <w:rFonts w:hint="eastAsia" w:ascii="微软雅黑" w:hAnsi="微软雅黑" w:eastAsia="微软雅黑" w:cs="微软雅黑"/>
          <w:b/>
          <w:color w:val="auto"/>
          <w:sz w:val="24"/>
          <w:szCs w:val="24"/>
        </w:rPr>
      </w:pPr>
      <w:r>
        <w:rPr>
          <w:rFonts w:hint="eastAsia" w:ascii="微软雅黑" w:hAnsi="微软雅黑" w:eastAsia="微软雅黑" w:cs="微软雅黑"/>
          <w:b/>
          <w:color w:val="auto"/>
          <w:sz w:val="24"/>
          <w:szCs w:val="24"/>
        </w:rPr>
        <w:t>第三部分  合同专用条款</w:t>
      </w:r>
      <w:bookmarkEnd w:id="1158"/>
    </w:p>
    <w:p w14:paraId="51CD4330">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37"/>
        <w:tblW w:w="843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01"/>
        <w:gridCol w:w="7633"/>
      </w:tblGrid>
      <w:tr w14:paraId="20A6A8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01" w:type="dxa"/>
            <w:tcBorders>
              <w:left w:val="single" w:color="auto" w:sz="4" w:space="0"/>
            </w:tcBorders>
            <w:noWrap w:val="0"/>
            <w:vAlign w:val="center"/>
          </w:tcPr>
          <w:p w14:paraId="5B3140AF">
            <w:pPr>
              <w:pageBreakBefore w:val="0"/>
              <w:kinsoku/>
              <w:wordWrap/>
              <w:overflowPunct/>
              <w:topLinePunct w:val="0"/>
              <w:bidi w:val="0"/>
              <w:spacing w:line="480" w:lineRule="exact"/>
              <w:jc w:val="center"/>
              <w:rPr>
                <w:rFonts w:hint="eastAsia" w:ascii="微软雅黑" w:hAnsi="微软雅黑" w:eastAsia="微软雅黑" w:cs="微软雅黑"/>
                <w:b/>
                <w:color w:val="auto"/>
                <w:sz w:val="24"/>
                <w:szCs w:val="24"/>
              </w:rPr>
            </w:pPr>
            <w:r>
              <w:rPr>
                <w:rFonts w:hint="eastAsia" w:ascii="微软雅黑" w:hAnsi="微软雅黑" w:eastAsia="微软雅黑" w:cs="微软雅黑"/>
                <w:b/>
                <w:color w:val="auto"/>
                <w:sz w:val="24"/>
                <w:szCs w:val="24"/>
              </w:rPr>
              <w:t>条款号</w:t>
            </w:r>
          </w:p>
        </w:tc>
        <w:tc>
          <w:tcPr>
            <w:tcW w:w="7633" w:type="dxa"/>
            <w:noWrap w:val="0"/>
            <w:vAlign w:val="center"/>
          </w:tcPr>
          <w:p w14:paraId="3E552FE7">
            <w:pPr>
              <w:pageBreakBefore w:val="0"/>
              <w:kinsoku/>
              <w:wordWrap/>
              <w:overflowPunct/>
              <w:topLinePunct w:val="0"/>
              <w:bidi w:val="0"/>
              <w:spacing w:line="480" w:lineRule="exact"/>
              <w:jc w:val="center"/>
              <w:rPr>
                <w:rFonts w:hint="eastAsia" w:ascii="微软雅黑" w:hAnsi="微软雅黑" w:eastAsia="微软雅黑" w:cs="微软雅黑"/>
                <w:b/>
                <w:color w:val="auto"/>
                <w:sz w:val="24"/>
                <w:szCs w:val="24"/>
              </w:rPr>
            </w:pPr>
            <w:r>
              <w:rPr>
                <w:rFonts w:hint="eastAsia" w:ascii="微软雅黑" w:hAnsi="微软雅黑" w:eastAsia="微软雅黑" w:cs="微软雅黑"/>
                <w:b/>
                <w:color w:val="auto"/>
                <w:sz w:val="24"/>
                <w:szCs w:val="24"/>
              </w:rPr>
              <w:t>约定内容</w:t>
            </w:r>
          </w:p>
        </w:tc>
      </w:tr>
      <w:tr w14:paraId="3786B34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01" w:type="dxa"/>
            <w:tcBorders>
              <w:left w:val="single" w:color="auto" w:sz="4" w:space="0"/>
            </w:tcBorders>
            <w:noWrap w:val="0"/>
            <w:vAlign w:val="center"/>
          </w:tcPr>
          <w:p w14:paraId="28B9444D">
            <w:pPr>
              <w:pageBreakBefore w:val="0"/>
              <w:kinsoku/>
              <w:wordWrap/>
              <w:overflowPunct/>
              <w:topLinePunct w:val="0"/>
              <w:bidi w:val="0"/>
              <w:spacing w:line="480" w:lineRule="exact"/>
              <w:rPr>
                <w:rFonts w:hint="eastAsia" w:ascii="微软雅黑" w:hAnsi="微软雅黑" w:eastAsia="微软雅黑" w:cs="微软雅黑"/>
                <w:color w:val="auto"/>
                <w:sz w:val="24"/>
                <w:szCs w:val="24"/>
              </w:rPr>
            </w:pPr>
          </w:p>
        </w:tc>
        <w:tc>
          <w:tcPr>
            <w:tcW w:w="7633" w:type="dxa"/>
            <w:noWrap w:val="0"/>
            <w:vAlign w:val="center"/>
          </w:tcPr>
          <w:p w14:paraId="7F2346BE">
            <w:pPr>
              <w:pageBreakBefore w:val="0"/>
              <w:kinsoku/>
              <w:wordWrap/>
              <w:overflowPunct/>
              <w:topLinePunct w:val="0"/>
              <w:bidi w:val="0"/>
              <w:spacing w:line="480" w:lineRule="exact"/>
              <w:rPr>
                <w:rFonts w:hint="eastAsia" w:ascii="微软雅黑" w:hAnsi="微软雅黑" w:eastAsia="微软雅黑" w:cs="微软雅黑"/>
                <w:color w:val="auto"/>
                <w:sz w:val="24"/>
                <w:szCs w:val="24"/>
              </w:rPr>
            </w:pPr>
          </w:p>
        </w:tc>
      </w:tr>
      <w:tr w14:paraId="5A124D1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018317B0">
            <w:pPr>
              <w:pageBreakBefore w:val="0"/>
              <w:kinsoku/>
              <w:wordWrap/>
              <w:overflowPunct/>
              <w:topLinePunct w:val="0"/>
              <w:bidi w:val="0"/>
              <w:spacing w:line="480" w:lineRule="exact"/>
              <w:rPr>
                <w:rFonts w:hint="eastAsia" w:ascii="微软雅黑" w:hAnsi="微软雅黑" w:eastAsia="微软雅黑" w:cs="微软雅黑"/>
                <w:color w:val="auto"/>
                <w:sz w:val="24"/>
                <w:szCs w:val="24"/>
              </w:rPr>
            </w:pPr>
          </w:p>
        </w:tc>
        <w:tc>
          <w:tcPr>
            <w:tcW w:w="7633" w:type="dxa"/>
            <w:noWrap w:val="0"/>
            <w:vAlign w:val="center"/>
          </w:tcPr>
          <w:p w14:paraId="0EDA63C6">
            <w:pPr>
              <w:pageBreakBefore w:val="0"/>
              <w:kinsoku/>
              <w:wordWrap/>
              <w:overflowPunct/>
              <w:topLinePunct w:val="0"/>
              <w:bidi w:val="0"/>
              <w:spacing w:line="480" w:lineRule="exact"/>
              <w:rPr>
                <w:rFonts w:hint="eastAsia" w:ascii="微软雅黑" w:hAnsi="微软雅黑" w:eastAsia="微软雅黑" w:cs="微软雅黑"/>
                <w:color w:val="auto"/>
                <w:sz w:val="24"/>
                <w:szCs w:val="24"/>
              </w:rPr>
            </w:pPr>
          </w:p>
        </w:tc>
      </w:tr>
      <w:tr w14:paraId="2E6E1E4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6D0063CA">
            <w:pPr>
              <w:pageBreakBefore w:val="0"/>
              <w:kinsoku/>
              <w:wordWrap/>
              <w:overflowPunct/>
              <w:topLinePunct w:val="0"/>
              <w:bidi w:val="0"/>
              <w:spacing w:line="480" w:lineRule="exact"/>
              <w:rPr>
                <w:rFonts w:hint="eastAsia" w:ascii="微软雅黑" w:hAnsi="微软雅黑" w:eastAsia="微软雅黑" w:cs="微软雅黑"/>
                <w:color w:val="auto"/>
                <w:sz w:val="24"/>
                <w:szCs w:val="24"/>
              </w:rPr>
            </w:pPr>
          </w:p>
        </w:tc>
        <w:tc>
          <w:tcPr>
            <w:tcW w:w="7633" w:type="dxa"/>
            <w:noWrap w:val="0"/>
            <w:vAlign w:val="center"/>
          </w:tcPr>
          <w:p w14:paraId="70CA2038">
            <w:pPr>
              <w:pageBreakBefore w:val="0"/>
              <w:kinsoku/>
              <w:wordWrap/>
              <w:overflowPunct/>
              <w:topLinePunct w:val="0"/>
              <w:bidi w:val="0"/>
              <w:spacing w:line="480" w:lineRule="exact"/>
              <w:rPr>
                <w:rFonts w:hint="eastAsia" w:ascii="微软雅黑" w:hAnsi="微软雅黑" w:eastAsia="微软雅黑" w:cs="微软雅黑"/>
                <w:color w:val="auto"/>
                <w:sz w:val="24"/>
                <w:szCs w:val="24"/>
              </w:rPr>
            </w:pPr>
          </w:p>
        </w:tc>
      </w:tr>
      <w:tr w14:paraId="3AED99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5DC49E6C">
            <w:pPr>
              <w:pageBreakBefore w:val="0"/>
              <w:kinsoku/>
              <w:wordWrap/>
              <w:overflowPunct/>
              <w:topLinePunct w:val="0"/>
              <w:bidi w:val="0"/>
              <w:spacing w:line="480" w:lineRule="exact"/>
              <w:rPr>
                <w:rFonts w:hint="eastAsia" w:ascii="微软雅黑" w:hAnsi="微软雅黑" w:eastAsia="微软雅黑" w:cs="微软雅黑"/>
                <w:color w:val="auto"/>
                <w:sz w:val="24"/>
                <w:szCs w:val="24"/>
              </w:rPr>
            </w:pPr>
          </w:p>
        </w:tc>
        <w:tc>
          <w:tcPr>
            <w:tcW w:w="7633" w:type="dxa"/>
            <w:noWrap w:val="0"/>
            <w:vAlign w:val="center"/>
          </w:tcPr>
          <w:p w14:paraId="7F2C27EF">
            <w:pPr>
              <w:pageBreakBefore w:val="0"/>
              <w:kinsoku/>
              <w:wordWrap/>
              <w:overflowPunct/>
              <w:topLinePunct w:val="0"/>
              <w:bidi w:val="0"/>
              <w:spacing w:line="480" w:lineRule="exact"/>
              <w:rPr>
                <w:rFonts w:hint="eastAsia" w:ascii="微软雅黑" w:hAnsi="微软雅黑" w:eastAsia="微软雅黑" w:cs="微软雅黑"/>
                <w:color w:val="auto"/>
                <w:sz w:val="24"/>
                <w:szCs w:val="24"/>
              </w:rPr>
            </w:pPr>
          </w:p>
        </w:tc>
      </w:tr>
      <w:tr w14:paraId="087E7F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59371921">
            <w:pPr>
              <w:pageBreakBefore w:val="0"/>
              <w:kinsoku/>
              <w:wordWrap/>
              <w:overflowPunct/>
              <w:topLinePunct w:val="0"/>
              <w:bidi w:val="0"/>
              <w:spacing w:line="480" w:lineRule="exact"/>
              <w:rPr>
                <w:rFonts w:hint="eastAsia" w:ascii="微软雅黑" w:hAnsi="微软雅黑" w:eastAsia="微软雅黑" w:cs="微软雅黑"/>
                <w:color w:val="auto"/>
                <w:sz w:val="24"/>
                <w:szCs w:val="24"/>
              </w:rPr>
            </w:pPr>
          </w:p>
        </w:tc>
        <w:tc>
          <w:tcPr>
            <w:tcW w:w="7633" w:type="dxa"/>
            <w:noWrap w:val="0"/>
            <w:vAlign w:val="center"/>
          </w:tcPr>
          <w:p w14:paraId="5169C7D6">
            <w:pPr>
              <w:pageBreakBefore w:val="0"/>
              <w:kinsoku/>
              <w:wordWrap/>
              <w:overflowPunct/>
              <w:topLinePunct w:val="0"/>
              <w:bidi w:val="0"/>
              <w:spacing w:line="480" w:lineRule="exact"/>
              <w:rPr>
                <w:rFonts w:hint="eastAsia" w:ascii="微软雅黑" w:hAnsi="微软雅黑" w:eastAsia="微软雅黑" w:cs="微软雅黑"/>
                <w:color w:val="auto"/>
                <w:sz w:val="24"/>
                <w:szCs w:val="24"/>
                <w:u w:val="single"/>
              </w:rPr>
            </w:pPr>
          </w:p>
        </w:tc>
      </w:tr>
      <w:tr w14:paraId="3B5A99E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3B346F0C">
            <w:pPr>
              <w:pageBreakBefore w:val="0"/>
              <w:kinsoku/>
              <w:wordWrap/>
              <w:overflowPunct/>
              <w:topLinePunct w:val="0"/>
              <w:bidi w:val="0"/>
              <w:spacing w:line="480" w:lineRule="exact"/>
              <w:rPr>
                <w:rFonts w:hint="eastAsia" w:ascii="微软雅黑" w:hAnsi="微软雅黑" w:eastAsia="微软雅黑" w:cs="微软雅黑"/>
                <w:color w:val="auto"/>
                <w:sz w:val="24"/>
                <w:szCs w:val="24"/>
              </w:rPr>
            </w:pPr>
          </w:p>
        </w:tc>
        <w:tc>
          <w:tcPr>
            <w:tcW w:w="7633" w:type="dxa"/>
            <w:noWrap w:val="0"/>
            <w:vAlign w:val="center"/>
          </w:tcPr>
          <w:p w14:paraId="37323E71">
            <w:pPr>
              <w:pageBreakBefore w:val="0"/>
              <w:kinsoku/>
              <w:wordWrap/>
              <w:overflowPunct/>
              <w:topLinePunct w:val="0"/>
              <w:bidi w:val="0"/>
              <w:spacing w:line="480" w:lineRule="exact"/>
              <w:rPr>
                <w:rFonts w:hint="eastAsia" w:ascii="微软雅黑" w:hAnsi="微软雅黑" w:eastAsia="微软雅黑" w:cs="微软雅黑"/>
                <w:color w:val="auto"/>
                <w:sz w:val="24"/>
                <w:szCs w:val="24"/>
              </w:rPr>
            </w:pPr>
          </w:p>
        </w:tc>
      </w:tr>
      <w:tr w14:paraId="75F35E6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15DE4B8B">
            <w:pPr>
              <w:pageBreakBefore w:val="0"/>
              <w:kinsoku/>
              <w:wordWrap/>
              <w:overflowPunct/>
              <w:topLinePunct w:val="0"/>
              <w:bidi w:val="0"/>
              <w:spacing w:line="480" w:lineRule="exact"/>
              <w:rPr>
                <w:rFonts w:hint="eastAsia" w:ascii="微软雅黑" w:hAnsi="微软雅黑" w:eastAsia="微软雅黑" w:cs="微软雅黑"/>
                <w:color w:val="auto"/>
                <w:sz w:val="24"/>
                <w:szCs w:val="24"/>
              </w:rPr>
            </w:pPr>
          </w:p>
        </w:tc>
        <w:tc>
          <w:tcPr>
            <w:tcW w:w="7633" w:type="dxa"/>
            <w:noWrap w:val="0"/>
            <w:vAlign w:val="center"/>
          </w:tcPr>
          <w:p w14:paraId="3A2A6EE5">
            <w:pPr>
              <w:pageBreakBefore w:val="0"/>
              <w:kinsoku/>
              <w:wordWrap/>
              <w:overflowPunct/>
              <w:topLinePunct w:val="0"/>
              <w:bidi w:val="0"/>
              <w:spacing w:line="480" w:lineRule="exact"/>
              <w:rPr>
                <w:rFonts w:hint="eastAsia" w:ascii="微软雅黑" w:hAnsi="微软雅黑" w:eastAsia="微软雅黑" w:cs="微软雅黑"/>
                <w:color w:val="auto"/>
                <w:sz w:val="24"/>
                <w:szCs w:val="24"/>
                <w:u w:val="single"/>
              </w:rPr>
            </w:pPr>
          </w:p>
        </w:tc>
      </w:tr>
      <w:tr w14:paraId="40F97C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30EB7203">
            <w:pPr>
              <w:pageBreakBefore w:val="0"/>
              <w:kinsoku/>
              <w:wordWrap/>
              <w:overflowPunct/>
              <w:topLinePunct w:val="0"/>
              <w:bidi w:val="0"/>
              <w:spacing w:line="480" w:lineRule="exact"/>
              <w:rPr>
                <w:rFonts w:hint="eastAsia" w:ascii="微软雅黑" w:hAnsi="微软雅黑" w:eastAsia="微软雅黑" w:cs="微软雅黑"/>
                <w:color w:val="auto"/>
                <w:sz w:val="24"/>
                <w:szCs w:val="24"/>
              </w:rPr>
            </w:pPr>
          </w:p>
        </w:tc>
        <w:tc>
          <w:tcPr>
            <w:tcW w:w="7633" w:type="dxa"/>
            <w:noWrap w:val="0"/>
            <w:vAlign w:val="center"/>
          </w:tcPr>
          <w:p w14:paraId="4816F264">
            <w:pPr>
              <w:pageBreakBefore w:val="0"/>
              <w:kinsoku/>
              <w:wordWrap/>
              <w:overflowPunct/>
              <w:topLinePunct w:val="0"/>
              <w:bidi w:val="0"/>
              <w:spacing w:line="480" w:lineRule="exact"/>
              <w:rPr>
                <w:rFonts w:hint="eastAsia" w:ascii="微软雅黑" w:hAnsi="微软雅黑" w:eastAsia="微软雅黑" w:cs="微软雅黑"/>
                <w:color w:val="auto"/>
                <w:sz w:val="24"/>
                <w:szCs w:val="24"/>
              </w:rPr>
            </w:pPr>
          </w:p>
        </w:tc>
      </w:tr>
    </w:tbl>
    <w:p w14:paraId="456D5502">
      <w:pPr>
        <w:pageBreakBefore w:val="0"/>
        <w:kinsoku/>
        <w:wordWrap/>
        <w:overflowPunct/>
        <w:topLinePunct w:val="0"/>
        <w:bidi w:val="0"/>
        <w:spacing w:after="156" w:line="480" w:lineRule="exact"/>
        <w:ind w:firstLine="480"/>
        <w:rPr>
          <w:rFonts w:hint="eastAsia" w:ascii="微软雅黑" w:hAnsi="微软雅黑" w:eastAsia="微软雅黑" w:cs="微软雅黑"/>
          <w:color w:val="auto"/>
          <w:sz w:val="24"/>
          <w:szCs w:val="24"/>
        </w:rPr>
      </w:pPr>
    </w:p>
    <w:p w14:paraId="5A0AD419">
      <w:pPr>
        <w:pageBreakBefore w:val="0"/>
        <w:kinsoku/>
        <w:wordWrap/>
        <w:overflowPunct/>
        <w:topLinePunct w:val="0"/>
        <w:bidi w:val="0"/>
        <w:spacing w:before="0" w:line="480" w:lineRule="exact"/>
        <w:ind w:left="1080" w:leftChars="257" w:hanging="540"/>
        <w:outlineLvl w:val="9"/>
        <w:rPr>
          <w:rFonts w:hint="eastAsia" w:ascii="微软雅黑" w:hAnsi="微软雅黑" w:eastAsia="微软雅黑" w:cs="微软雅黑"/>
          <w:color w:val="auto"/>
          <w:sz w:val="24"/>
          <w:szCs w:val="24"/>
        </w:rPr>
      </w:pPr>
    </w:p>
    <w:p w14:paraId="5D87CCD5">
      <w:pPr>
        <w:pStyle w:val="7"/>
        <w:snapToGrid w:val="0"/>
        <w:ind w:firstLine="0"/>
        <w:textAlignment w:val="baseline"/>
        <w:rPr>
          <w:rFonts w:ascii="微软雅黑" w:hAnsi="微软雅黑" w:eastAsia="微软雅黑" w:cs="微软雅黑"/>
          <w:color w:val="auto"/>
          <w:szCs w:val="24"/>
        </w:rPr>
      </w:pPr>
    </w:p>
    <w:sectPr>
      <w:headerReference r:id="rId11" w:type="default"/>
      <w:footerReference r:id="rId12" w:type="default"/>
      <w:pgSz w:w="11905" w:h="16838"/>
      <w:pgMar w:top="1440" w:right="1797" w:bottom="1440" w:left="1797" w:header="851" w:footer="992" w:gutter="0"/>
      <w:pgNumType w:fmt="decimal"/>
      <w:cols w:space="0" w:num="1"/>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AFF" w:usb1="C0007841" w:usb2="00000009" w:usb3="00000000" w:csb0="400001FF" w:csb1="FFFF0000"/>
  </w:font>
  <w:font w:name="宋体">
    <w:panose1 w:val="02010600030101010101"/>
    <w:charset w:val="81"/>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楷体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 w:name="新宋体">
    <w:panose1 w:val="02010609030101010101"/>
    <w:charset w:val="86"/>
    <w:family w:val="auto"/>
    <w:pitch w:val="default"/>
    <w:sig w:usb0="00000003" w:usb1="288F0000" w:usb2="00000006" w:usb3="00000000" w:csb0="00040001" w:csb1="00000000"/>
  </w:font>
  <w:font w:name="方正小标宋_GBK">
    <w:altName w:val="微软雅黑"/>
    <w:panose1 w:val="02000000000000000000"/>
    <w:charset w:val="86"/>
    <w:family w:val="script"/>
    <w:pitch w:val="default"/>
    <w:sig w:usb0="00000000" w:usb1="00000000" w:usb2="00082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DA09A4">
    <w:pPr>
      <w:pStyle w:val="2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8A6D1D6">
                          <w:pPr>
                            <w:pStyle w:val="2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08A6D1D6">
                    <w:pPr>
                      <w:pStyle w:val="2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3B61DB">
    <w:pPr>
      <w:pStyle w:val="22"/>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08513B7">
                          <w:pPr>
                            <w:pStyle w:val="22"/>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008513B7">
                    <w:pPr>
                      <w:pStyle w:val="22"/>
                    </w:pPr>
                    <w:r>
                      <w:fldChar w:fldCharType="begin"/>
                    </w:r>
                    <w:r>
                      <w:instrText xml:space="preserve"> PAGE  \* MERGEFORMAT </w:instrText>
                    </w:r>
                    <w:r>
                      <w:fldChar w:fldCharType="separate"/>
                    </w:r>
                    <w:r>
                      <w:t>43</w:t>
                    </w:r>
                    <w:r>
                      <w:fldChar w:fldCharType="end"/>
                    </w:r>
                  </w:p>
                </w:txbxContent>
              </v:textbox>
            </v:shape>
          </w:pict>
        </mc:Fallback>
      </mc:AlternateContent>
    </w:r>
  </w:p>
  <w:p w14:paraId="1AD72679">
    <w:pPr>
      <w:pStyle w:val="22"/>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3FB66C">
    <w:pPr>
      <w:pStyle w:val="22"/>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B0B504">
    <w:pPr>
      <w:pStyle w:val="22"/>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FB859B">
    <w:pPr>
      <w:pStyle w:val="22"/>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38CAB84">
                          <w:pPr>
                            <w:pStyle w:val="22"/>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438CAB84">
                    <w:pPr>
                      <w:pStyle w:val="22"/>
                    </w:pPr>
                    <w:r>
                      <w:fldChar w:fldCharType="begin"/>
                    </w:r>
                    <w:r>
                      <w:instrText xml:space="preserve"> PAGE  \* MERGEFORMAT </w:instrText>
                    </w:r>
                    <w:r>
                      <w:fldChar w:fldCharType="separate"/>
                    </w:r>
                    <w:r>
                      <w:t>63</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802D6F">
    <w:pPr>
      <w:pStyle w:val="23"/>
      <w:pBdr>
        <w:bottom w:val="none" w:color="auto" w:sz="0" w:space="1"/>
      </w:pBdr>
      <w:tabs>
        <w:tab w:val="clear" w:pos="8306"/>
      </w:tabs>
      <w:jc w:val="lef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F78ED8">
    <w:pPr>
      <w:pStyle w:val="23"/>
      <w:pBdr>
        <w:bottom w:val="none" w:color="auto" w:sz="0" w:space="0"/>
      </w:pBdr>
      <w:jc w:val="righ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F0ED35">
    <w:pPr>
      <w:pStyle w:val="23"/>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EF18D7">
    <w:pPr>
      <w:pStyle w:val="23"/>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AA9A69">
    <w:pPr>
      <w:pStyle w:val="23"/>
      <w:pBdr>
        <w:bottom w:val="none" w:color="auto" w:sz="0" w:space="1"/>
      </w:pBdr>
      <w:tabs>
        <w:tab w:val="clear" w:pos="8306"/>
      </w:tabs>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6D2DA7B"/>
    <w:multiLevelType w:val="singleLevel"/>
    <w:tmpl w:val="96D2DA7B"/>
    <w:lvl w:ilvl="0" w:tentative="0">
      <w:start w:val="4"/>
      <w:numFmt w:val="decimal"/>
      <w:suff w:val="nothing"/>
      <w:lvlText w:val="（%1）"/>
      <w:lvlJc w:val="left"/>
    </w:lvl>
  </w:abstractNum>
  <w:abstractNum w:abstractNumId="1">
    <w:nsid w:val="9C7C6381"/>
    <w:multiLevelType w:val="singleLevel"/>
    <w:tmpl w:val="9C7C6381"/>
    <w:lvl w:ilvl="0" w:tentative="0">
      <w:start w:val="2"/>
      <w:numFmt w:val="chineseCounting"/>
      <w:suff w:val="nothing"/>
      <w:lvlText w:val="（%1）"/>
      <w:lvlJc w:val="left"/>
      <w:rPr>
        <w:rFonts w:hint="eastAsia"/>
      </w:rPr>
    </w:lvl>
  </w:abstractNum>
  <w:abstractNum w:abstractNumId="2">
    <w:nsid w:val="BF12139E"/>
    <w:multiLevelType w:val="singleLevel"/>
    <w:tmpl w:val="BF12139E"/>
    <w:lvl w:ilvl="0" w:tentative="0">
      <w:start w:val="3"/>
      <w:numFmt w:val="chineseCounting"/>
      <w:suff w:val="nothing"/>
      <w:lvlText w:val="%1、"/>
      <w:lvlJc w:val="left"/>
      <w:rPr>
        <w:rFonts w:hint="eastAsia"/>
      </w:rPr>
    </w:lvl>
  </w:abstractNum>
  <w:abstractNum w:abstractNumId="3">
    <w:nsid w:val="F51F4AF2"/>
    <w:multiLevelType w:val="singleLevel"/>
    <w:tmpl w:val="F51F4AF2"/>
    <w:lvl w:ilvl="0" w:tentative="0">
      <w:start w:val="1"/>
      <w:numFmt w:val="decimal"/>
      <w:suff w:val="nothing"/>
      <w:lvlText w:val="%1、"/>
      <w:lvlJc w:val="left"/>
    </w:lvl>
  </w:abstractNum>
  <w:abstractNum w:abstractNumId="4">
    <w:nsid w:val="F62D7A73"/>
    <w:multiLevelType w:val="singleLevel"/>
    <w:tmpl w:val="F62D7A73"/>
    <w:lvl w:ilvl="0" w:tentative="0">
      <w:start w:val="2"/>
      <w:numFmt w:val="decimal"/>
      <w:suff w:val="nothing"/>
      <w:lvlText w:val="%1、"/>
      <w:lvlJc w:val="left"/>
    </w:lvl>
  </w:abstractNum>
  <w:abstractNum w:abstractNumId="5">
    <w:nsid w:val="00000003"/>
    <w:multiLevelType w:val="multilevel"/>
    <w:tmpl w:val="00000003"/>
    <w:lvl w:ilvl="0" w:tentative="0">
      <w:start w:val="1"/>
      <w:numFmt w:val="decimal"/>
      <w:lvlText w:val="%1."/>
      <w:lvlJc w:val="left"/>
      <w:pPr>
        <w:ind w:left="432" w:hanging="432"/>
      </w:pPr>
    </w:lvl>
    <w:lvl w:ilvl="1" w:tentative="0">
      <w:start w:val="1"/>
      <w:numFmt w:val="decimal"/>
      <w:lvlText w:val="%1.%2."/>
      <w:lvlJc w:val="left"/>
      <w:pPr>
        <w:ind w:left="575" w:hanging="575"/>
      </w:pPr>
    </w:lvl>
    <w:lvl w:ilvl="2" w:tentative="0">
      <w:start w:val="1"/>
      <w:numFmt w:val="decimal"/>
      <w:lvlText w:val="%1.%2.%3."/>
      <w:lvlJc w:val="left"/>
      <w:pPr>
        <w:ind w:left="720" w:hanging="720"/>
      </w:pPr>
      <w:rPr>
        <w:rFonts w:ascii="宋体" w:hAnsi="宋体" w:eastAsia="宋体"/>
      </w:rPr>
    </w:lvl>
    <w:lvl w:ilvl="3" w:tentative="0">
      <w:start w:val="1"/>
      <w:numFmt w:val="decimal"/>
      <w:pStyle w:val="5"/>
      <w:lvlText w:val="%1.%2.%3.%4."/>
      <w:lvlJc w:val="left"/>
      <w:pPr>
        <w:ind w:left="864" w:hanging="864"/>
      </w:pPr>
    </w:lvl>
    <w:lvl w:ilvl="4" w:tentative="0">
      <w:start w:val="1"/>
      <w:numFmt w:val="decimal"/>
      <w:lvlText w:val="%1.%2.%3.%4.%5."/>
      <w:lvlJc w:val="left"/>
      <w:pPr>
        <w:ind w:left="1008" w:hanging="1008"/>
      </w:pPr>
    </w:lvl>
    <w:lvl w:ilvl="5" w:tentative="0">
      <w:start w:val="1"/>
      <w:numFmt w:val="decimal"/>
      <w:lvlText w:val="%1.%2.%3.%4.%5.%6."/>
      <w:lvlJc w:val="left"/>
      <w:pPr>
        <w:ind w:left="1151" w:hanging="1151"/>
      </w:pPr>
    </w:lvl>
    <w:lvl w:ilvl="6" w:tentative="0">
      <w:start w:val="1"/>
      <w:numFmt w:val="decimal"/>
      <w:lvlText w:val="%1.%2.%3.%4.%5.%6.%7."/>
      <w:lvlJc w:val="left"/>
      <w:pPr>
        <w:ind w:left="1296" w:hanging="1296"/>
      </w:pPr>
    </w:lvl>
    <w:lvl w:ilvl="7" w:tentative="0">
      <w:start w:val="1"/>
      <w:numFmt w:val="decimal"/>
      <w:lvlText w:val="%1.%2.%3.%4.%5.%6.%7.%8."/>
      <w:lvlJc w:val="left"/>
      <w:pPr>
        <w:ind w:left="1440" w:hanging="1440"/>
      </w:pPr>
    </w:lvl>
    <w:lvl w:ilvl="8" w:tentative="0">
      <w:start w:val="1"/>
      <w:numFmt w:val="decimal"/>
      <w:lvlText w:val="%1.%2.%3.%4.%5.%6.%7.%8.%9."/>
      <w:lvlJc w:val="left"/>
      <w:pPr>
        <w:ind w:left="1583" w:hanging="1583"/>
      </w:pPr>
    </w:lvl>
  </w:abstractNum>
  <w:abstractNum w:abstractNumId="6">
    <w:nsid w:val="00000007"/>
    <w:multiLevelType w:val="singleLevel"/>
    <w:tmpl w:val="00000007"/>
    <w:lvl w:ilvl="0" w:tentative="0">
      <w:start w:val="2"/>
      <w:numFmt w:val="decimal"/>
      <w:suff w:val="nothing"/>
      <w:lvlText w:val="%1、"/>
      <w:lvlJc w:val="left"/>
    </w:lvl>
  </w:abstractNum>
  <w:abstractNum w:abstractNumId="7">
    <w:nsid w:val="00000009"/>
    <w:multiLevelType w:val="multilevel"/>
    <w:tmpl w:val="00000009"/>
    <w:lvl w:ilvl="0" w:tentative="0">
      <w:start w:val="1"/>
      <w:numFmt w:val="decimal"/>
      <w:lvlText w:val="（%1）"/>
      <w:lvlJc w:val="left"/>
      <w:pPr>
        <w:tabs>
          <w:tab w:val="left" w:pos="1571"/>
        </w:tabs>
        <w:ind w:left="1571" w:hanging="720"/>
      </w:pPr>
      <w:rPr>
        <w:rFonts w:ascii="仿宋_GB2312" w:hAnsi="宋体" w:eastAsia="仿宋_GB2312" w:cs="Times New Roman"/>
      </w:rPr>
    </w:lvl>
    <w:lvl w:ilvl="1" w:tentative="0">
      <w:start w:val="1"/>
      <w:numFmt w:val="lowerLetter"/>
      <w:lvlText w:val="%2)"/>
      <w:lvlJc w:val="left"/>
      <w:pPr>
        <w:tabs>
          <w:tab w:val="left" w:pos="1739"/>
        </w:tabs>
        <w:ind w:left="1739" w:hanging="420"/>
      </w:pPr>
    </w:lvl>
    <w:lvl w:ilvl="2" w:tentative="0">
      <w:start w:val="1"/>
      <w:numFmt w:val="lowerRoman"/>
      <w:lvlText w:val="%3."/>
      <w:lvlJc w:val="right"/>
      <w:pPr>
        <w:tabs>
          <w:tab w:val="left" w:pos="2159"/>
        </w:tabs>
        <w:ind w:left="2159" w:hanging="420"/>
      </w:pPr>
    </w:lvl>
    <w:lvl w:ilvl="3" w:tentative="0">
      <w:start w:val="1"/>
      <w:numFmt w:val="decimal"/>
      <w:lvlText w:val="%4."/>
      <w:lvlJc w:val="left"/>
      <w:pPr>
        <w:tabs>
          <w:tab w:val="left" w:pos="2579"/>
        </w:tabs>
        <w:ind w:left="2579" w:hanging="420"/>
      </w:pPr>
    </w:lvl>
    <w:lvl w:ilvl="4" w:tentative="0">
      <w:start w:val="1"/>
      <w:numFmt w:val="lowerLetter"/>
      <w:lvlText w:val="%5)"/>
      <w:lvlJc w:val="left"/>
      <w:pPr>
        <w:tabs>
          <w:tab w:val="left" w:pos="2999"/>
        </w:tabs>
        <w:ind w:left="2999" w:hanging="420"/>
      </w:pPr>
    </w:lvl>
    <w:lvl w:ilvl="5" w:tentative="0">
      <w:start w:val="1"/>
      <w:numFmt w:val="lowerRoman"/>
      <w:lvlText w:val="%6."/>
      <w:lvlJc w:val="right"/>
      <w:pPr>
        <w:tabs>
          <w:tab w:val="left" w:pos="3419"/>
        </w:tabs>
        <w:ind w:left="3419" w:hanging="420"/>
      </w:pPr>
    </w:lvl>
    <w:lvl w:ilvl="6" w:tentative="0">
      <w:start w:val="1"/>
      <w:numFmt w:val="decimal"/>
      <w:lvlText w:val="%7."/>
      <w:lvlJc w:val="left"/>
      <w:pPr>
        <w:tabs>
          <w:tab w:val="left" w:pos="3839"/>
        </w:tabs>
        <w:ind w:left="3839" w:hanging="420"/>
      </w:pPr>
    </w:lvl>
    <w:lvl w:ilvl="7" w:tentative="0">
      <w:start w:val="1"/>
      <w:numFmt w:val="lowerLetter"/>
      <w:lvlText w:val="%8)"/>
      <w:lvlJc w:val="left"/>
      <w:pPr>
        <w:tabs>
          <w:tab w:val="left" w:pos="4259"/>
        </w:tabs>
        <w:ind w:left="4259" w:hanging="420"/>
      </w:pPr>
    </w:lvl>
    <w:lvl w:ilvl="8" w:tentative="0">
      <w:start w:val="1"/>
      <w:numFmt w:val="lowerRoman"/>
      <w:lvlText w:val="%9."/>
      <w:lvlJc w:val="right"/>
      <w:pPr>
        <w:tabs>
          <w:tab w:val="left" w:pos="4679"/>
        </w:tabs>
        <w:ind w:left="4679" w:hanging="420"/>
      </w:pPr>
    </w:lvl>
  </w:abstractNum>
  <w:abstractNum w:abstractNumId="8">
    <w:nsid w:val="0000000B"/>
    <w:multiLevelType w:val="multilevel"/>
    <w:tmpl w:val="0000000B"/>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900"/>
        </w:tabs>
        <w:ind w:left="900" w:hanging="900"/>
      </w:pPr>
      <w:rPr>
        <w:rFonts w:hint="eastAsia"/>
      </w:rPr>
    </w:lvl>
    <w:lvl w:ilvl="2" w:tentative="0">
      <w:start w:val="1"/>
      <w:numFmt w:val="decimal"/>
      <w:lvlText w:val="%1.%2.%3"/>
      <w:lvlJc w:val="left"/>
      <w:pPr>
        <w:tabs>
          <w:tab w:val="left" w:pos="900"/>
        </w:tabs>
        <w:ind w:left="90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9">
    <w:nsid w:val="00000017"/>
    <w:multiLevelType w:val="multilevel"/>
    <w:tmpl w:val="00000017"/>
    <w:lvl w:ilvl="0" w:tentative="0">
      <w:start w:val="1"/>
      <w:numFmt w:val="decimal"/>
      <w:lvlText w:val="第%1章"/>
      <w:lvlJc w:val="left"/>
      <w:pPr>
        <w:tabs>
          <w:tab w:val="left" w:pos="1680"/>
        </w:tabs>
        <w:ind w:left="1680" w:hanging="1140"/>
      </w:pPr>
      <w:rPr>
        <w:rFonts w:hint="eastAsia"/>
      </w:rPr>
    </w:lvl>
    <w:lvl w:ilvl="1" w:tentative="0">
      <w:start w:val="1"/>
      <w:numFmt w:val="lowerLetter"/>
      <w:lvlText w:val="%2)"/>
      <w:lvlJc w:val="left"/>
      <w:pPr>
        <w:tabs>
          <w:tab w:val="left" w:pos="1380"/>
        </w:tabs>
        <w:ind w:left="1380" w:hanging="420"/>
      </w:pPr>
      <w:rPr>
        <w:rFonts w:hint="eastAsia"/>
      </w:rPr>
    </w:lvl>
    <w:lvl w:ilvl="2" w:tentative="0">
      <w:start w:val="1"/>
      <w:numFmt w:val="lowerRoman"/>
      <w:lvlText w:val="%3."/>
      <w:lvlJc w:val="right"/>
      <w:pPr>
        <w:tabs>
          <w:tab w:val="left" w:pos="1800"/>
        </w:tabs>
        <w:ind w:left="1800" w:hanging="420"/>
      </w:pPr>
      <w:rPr>
        <w:rFonts w:hint="eastAsia"/>
      </w:rPr>
    </w:lvl>
    <w:lvl w:ilvl="3" w:tentative="0">
      <w:start w:val="1"/>
      <w:numFmt w:val="decimal"/>
      <w:lvlText w:val="%4."/>
      <w:lvlJc w:val="left"/>
      <w:pPr>
        <w:tabs>
          <w:tab w:val="left" w:pos="2220"/>
        </w:tabs>
        <w:ind w:left="2220" w:hanging="420"/>
      </w:pPr>
      <w:rPr>
        <w:rFonts w:hint="eastAsia"/>
      </w:rPr>
    </w:lvl>
    <w:lvl w:ilvl="4" w:tentative="0">
      <w:start w:val="1"/>
      <w:numFmt w:val="lowerLetter"/>
      <w:lvlText w:val="%5)"/>
      <w:lvlJc w:val="left"/>
      <w:pPr>
        <w:tabs>
          <w:tab w:val="left" w:pos="2640"/>
        </w:tabs>
        <w:ind w:left="2640" w:hanging="420"/>
      </w:pPr>
      <w:rPr>
        <w:rFonts w:hint="eastAsia"/>
      </w:rPr>
    </w:lvl>
    <w:lvl w:ilvl="5" w:tentative="0">
      <w:start w:val="1"/>
      <w:numFmt w:val="lowerRoman"/>
      <w:lvlText w:val="%6."/>
      <w:lvlJc w:val="right"/>
      <w:pPr>
        <w:tabs>
          <w:tab w:val="left" w:pos="3060"/>
        </w:tabs>
        <w:ind w:left="3060" w:hanging="420"/>
      </w:pPr>
      <w:rPr>
        <w:rFonts w:hint="eastAsia"/>
      </w:rPr>
    </w:lvl>
    <w:lvl w:ilvl="6" w:tentative="0">
      <w:start w:val="1"/>
      <w:numFmt w:val="decimal"/>
      <w:lvlText w:val="%7."/>
      <w:lvlJc w:val="left"/>
      <w:pPr>
        <w:tabs>
          <w:tab w:val="left" w:pos="3480"/>
        </w:tabs>
        <w:ind w:left="3480" w:hanging="420"/>
      </w:pPr>
      <w:rPr>
        <w:rFonts w:hint="eastAsia"/>
      </w:rPr>
    </w:lvl>
    <w:lvl w:ilvl="7" w:tentative="0">
      <w:start w:val="1"/>
      <w:numFmt w:val="lowerLetter"/>
      <w:lvlText w:val="%8)"/>
      <w:lvlJc w:val="left"/>
      <w:pPr>
        <w:tabs>
          <w:tab w:val="left" w:pos="3900"/>
        </w:tabs>
        <w:ind w:left="3900" w:hanging="420"/>
      </w:pPr>
      <w:rPr>
        <w:rFonts w:hint="eastAsia"/>
      </w:rPr>
    </w:lvl>
    <w:lvl w:ilvl="8" w:tentative="0">
      <w:start w:val="1"/>
      <w:numFmt w:val="lowerRoman"/>
      <w:lvlText w:val="%9."/>
      <w:lvlJc w:val="right"/>
      <w:pPr>
        <w:tabs>
          <w:tab w:val="left" w:pos="4320"/>
        </w:tabs>
        <w:ind w:left="4320" w:hanging="420"/>
      </w:pPr>
      <w:rPr>
        <w:rFonts w:hint="eastAsia"/>
      </w:rPr>
    </w:lvl>
  </w:abstractNum>
  <w:abstractNum w:abstractNumId="10">
    <w:nsid w:val="1B752674"/>
    <w:multiLevelType w:val="singleLevel"/>
    <w:tmpl w:val="1B752674"/>
    <w:lvl w:ilvl="0" w:tentative="0">
      <w:start w:val="1"/>
      <w:numFmt w:val="chineseCounting"/>
      <w:suff w:val="space"/>
      <w:lvlText w:val="第%1部分"/>
      <w:lvlJc w:val="left"/>
      <w:rPr>
        <w:rFonts w:hint="eastAsia"/>
      </w:rPr>
    </w:lvl>
  </w:abstractNum>
  <w:abstractNum w:abstractNumId="11">
    <w:nsid w:val="367E95DB"/>
    <w:multiLevelType w:val="singleLevel"/>
    <w:tmpl w:val="367E95DB"/>
    <w:lvl w:ilvl="0" w:tentative="0">
      <w:start w:val="2"/>
      <w:numFmt w:val="decimal"/>
      <w:suff w:val="space"/>
      <w:lvlText w:val="第%1章"/>
      <w:lvlJc w:val="left"/>
    </w:lvl>
  </w:abstractNum>
  <w:abstractNum w:abstractNumId="12">
    <w:nsid w:val="47B9B171"/>
    <w:multiLevelType w:val="singleLevel"/>
    <w:tmpl w:val="47B9B171"/>
    <w:lvl w:ilvl="0" w:tentative="0">
      <w:start w:val="2"/>
      <w:numFmt w:val="decimal"/>
      <w:suff w:val="nothing"/>
      <w:lvlText w:val="%1、"/>
      <w:lvlJc w:val="left"/>
    </w:lvl>
  </w:abstractNum>
  <w:num w:numId="1">
    <w:abstractNumId w:val="5"/>
  </w:num>
  <w:num w:numId="2">
    <w:abstractNumId w:val="8"/>
  </w:num>
  <w:num w:numId="3">
    <w:abstractNumId w:val="9"/>
  </w:num>
  <w:num w:numId="4">
    <w:abstractNumId w:val="12"/>
  </w:num>
  <w:num w:numId="5">
    <w:abstractNumId w:val="7"/>
  </w:num>
  <w:num w:numId="6">
    <w:abstractNumId w:val="11"/>
  </w:num>
  <w:num w:numId="7">
    <w:abstractNumId w:val="10"/>
  </w:num>
  <w:num w:numId="8">
    <w:abstractNumId w:val="6"/>
  </w:num>
  <w:num w:numId="9">
    <w:abstractNumId w:val="4"/>
  </w:num>
  <w:num w:numId="10">
    <w:abstractNumId w:val="2"/>
  </w:num>
  <w:num w:numId="11">
    <w:abstractNumId w:val="1"/>
  </w:num>
  <w:num w:numId="12">
    <w:abstractNumId w:val="0"/>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HorizontalSpacing w:val="210"/>
  <w:drawingGridVerticalSpacing w:val="-794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g2NjY4YjY3OTNjNmE2NWU1ZTg2MjFkYmI5YzNiZTkifQ=="/>
  </w:docVars>
  <w:rsids>
    <w:rsidRoot w:val="00A2385F"/>
    <w:rsid w:val="000F38AC"/>
    <w:rsid w:val="0095072D"/>
    <w:rsid w:val="00A2385F"/>
    <w:rsid w:val="00B97833"/>
    <w:rsid w:val="01AD2720"/>
    <w:rsid w:val="024C1BC9"/>
    <w:rsid w:val="02AD1871"/>
    <w:rsid w:val="031B5CF9"/>
    <w:rsid w:val="038F46AF"/>
    <w:rsid w:val="039E06CF"/>
    <w:rsid w:val="03A154BC"/>
    <w:rsid w:val="04025BED"/>
    <w:rsid w:val="054A15F9"/>
    <w:rsid w:val="06A967F3"/>
    <w:rsid w:val="06BA630B"/>
    <w:rsid w:val="06FD269B"/>
    <w:rsid w:val="074D2B3E"/>
    <w:rsid w:val="0830059C"/>
    <w:rsid w:val="08397C29"/>
    <w:rsid w:val="09E0252C"/>
    <w:rsid w:val="0A156E70"/>
    <w:rsid w:val="0AB45767"/>
    <w:rsid w:val="0B451313"/>
    <w:rsid w:val="0C13125D"/>
    <w:rsid w:val="0C307008"/>
    <w:rsid w:val="0C44737E"/>
    <w:rsid w:val="0C4C7C7F"/>
    <w:rsid w:val="0CB36C08"/>
    <w:rsid w:val="0CDA1CD4"/>
    <w:rsid w:val="0D3D5EE8"/>
    <w:rsid w:val="0D53200A"/>
    <w:rsid w:val="0D585F0B"/>
    <w:rsid w:val="0DD00B0A"/>
    <w:rsid w:val="0E05214C"/>
    <w:rsid w:val="0E5A362B"/>
    <w:rsid w:val="0EB60A4B"/>
    <w:rsid w:val="10586382"/>
    <w:rsid w:val="10797237"/>
    <w:rsid w:val="10DE709A"/>
    <w:rsid w:val="10EF3511"/>
    <w:rsid w:val="131175D6"/>
    <w:rsid w:val="13140891"/>
    <w:rsid w:val="13F15336"/>
    <w:rsid w:val="14C02168"/>
    <w:rsid w:val="14DC1B42"/>
    <w:rsid w:val="14E46C49"/>
    <w:rsid w:val="15131A1A"/>
    <w:rsid w:val="153C05AE"/>
    <w:rsid w:val="15A75802"/>
    <w:rsid w:val="16585A26"/>
    <w:rsid w:val="16DD385C"/>
    <w:rsid w:val="17714DA8"/>
    <w:rsid w:val="179067B7"/>
    <w:rsid w:val="17B66380"/>
    <w:rsid w:val="1802116A"/>
    <w:rsid w:val="1835197D"/>
    <w:rsid w:val="18D75E0A"/>
    <w:rsid w:val="18EC2F10"/>
    <w:rsid w:val="19C71E11"/>
    <w:rsid w:val="1A6659FF"/>
    <w:rsid w:val="1AC63078"/>
    <w:rsid w:val="1AF95FA4"/>
    <w:rsid w:val="1C23072A"/>
    <w:rsid w:val="1C403766"/>
    <w:rsid w:val="1C8605F2"/>
    <w:rsid w:val="1D3D339A"/>
    <w:rsid w:val="1D5E3A3C"/>
    <w:rsid w:val="1DDB438D"/>
    <w:rsid w:val="1E1265D5"/>
    <w:rsid w:val="1E51706F"/>
    <w:rsid w:val="1EDE624F"/>
    <w:rsid w:val="1F176598"/>
    <w:rsid w:val="1FB75686"/>
    <w:rsid w:val="201926E0"/>
    <w:rsid w:val="203171E6"/>
    <w:rsid w:val="20F36C2D"/>
    <w:rsid w:val="2133386C"/>
    <w:rsid w:val="21CD7F24"/>
    <w:rsid w:val="223242FE"/>
    <w:rsid w:val="23131CB3"/>
    <w:rsid w:val="23133BBC"/>
    <w:rsid w:val="23462EB3"/>
    <w:rsid w:val="23560C36"/>
    <w:rsid w:val="23805053"/>
    <w:rsid w:val="23B00D6A"/>
    <w:rsid w:val="23C02704"/>
    <w:rsid w:val="242225F0"/>
    <w:rsid w:val="24BD0A47"/>
    <w:rsid w:val="25AF65CC"/>
    <w:rsid w:val="25ED3D74"/>
    <w:rsid w:val="26187FCB"/>
    <w:rsid w:val="262D58A1"/>
    <w:rsid w:val="26611230"/>
    <w:rsid w:val="2717580F"/>
    <w:rsid w:val="27506A49"/>
    <w:rsid w:val="28457605"/>
    <w:rsid w:val="287F10C9"/>
    <w:rsid w:val="28815DAD"/>
    <w:rsid w:val="288F571C"/>
    <w:rsid w:val="289E5635"/>
    <w:rsid w:val="28E315C7"/>
    <w:rsid w:val="290336EA"/>
    <w:rsid w:val="296A1D57"/>
    <w:rsid w:val="299D7B51"/>
    <w:rsid w:val="29B43A12"/>
    <w:rsid w:val="29B72037"/>
    <w:rsid w:val="29EA6A0F"/>
    <w:rsid w:val="2A6D5241"/>
    <w:rsid w:val="2B6A71A2"/>
    <w:rsid w:val="2E0332AF"/>
    <w:rsid w:val="2F1D3936"/>
    <w:rsid w:val="2F21334B"/>
    <w:rsid w:val="2F4541AD"/>
    <w:rsid w:val="2F670425"/>
    <w:rsid w:val="30142680"/>
    <w:rsid w:val="30F71D86"/>
    <w:rsid w:val="3134621C"/>
    <w:rsid w:val="31B101D5"/>
    <w:rsid w:val="320E122B"/>
    <w:rsid w:val="32285F6F"/>
    <w:rsid w:val="326E7E26"/>
    <w:rsid w:val="32B11AC9"/>
    <w:rsid w:val="350E435C"/>
    <w:rsid w:val="351B26EF"/>
    <w:rsid w:val="35727C2D"/>
    <w:rsid w:val="37635A33"/>
    <w:rsid w:val="37B54672"/>
    <w:rsid w:val="37F7266B"/>
    <w:rsid w:val="3A0D43C8"/>
    <w:rsid w:val="3AF24ACF"/>
    <w:rsid w:val="3B0A3988"/>
    <w:rsid w:val="3B1456DF"/>
    <w:rsid w:val="3CC22028"/>
    <w:rsid w:val="3CD27ED4"/>
    <w:rsid w:val="3CE31F38"/>
    <w:rsid w:val="3CF338D7"/>
    <w:rsid w:val="3D141F11"/>
    <w:rsid w:val="3DB27889"/>
    <w:rsid w:val="3E232DD9"/>
    <w:rsid w:val="3E3068D7"/>
    <w:rsid w:val="3F287679"/>
    <w:rsid w:val="3F7942AE"/>
    <w:rsid w:val="3FA23805"/>
    <w:rsid w:val="401307E8"/>
    <w:rsid w:val="40604489"/>
    <w:rsid w:val="40B97058"/>
    <w:rsid w:val="40C33A32"/>
    <w:rsid w:val="41E16726"/>
    <w:rsid w:val="424E557E"/>
    <w:rsid w:val="4291742C"/>
    <w:rsid w:val="43AD09C3"/>
    <w:rsid w:val="44255F9B"/>
    <w:rsid w:val="445F1CC4"/>
    <w:rsid w:val="45BB117C"/>
    <w:rsid w:val="467F4CAA"/>
    <w:rsid w:val="46B34549"/>
    <w:rsid w:val="48587156"/>
    <w:rsid w:val="48957C67"/>
    <w:rsid w:val="48A95F6E"/>
    <w:rsid w:val="48EC13B2"/>
    <w:rsid w:val="492F11A8"/>
    <w:rsid w:val="499F47A1"/>
    <w:rsid w:val="4AD57E00"/>
    <w:rsid w:val="4BC61D8E"/>
    <w:rsid w:val="4BD32E6D"/>
    <w:rsid w:val="4CE832CA"/>
    <w:rsid w:val="4D212F41"/>
    <w:rsid w:val="4DA27F09"/>
    <w:rsid w:val="4E320449"/>
    <w:rsid w:val="504A1A30"/>
    <w:rsid w:val="50760AC1"/>
    <w:rsid w:val="5095081C"/>
    <w:rsid w:val="50C335DB"/>
    <w:rsid w:val="5237602E"/>
    <w:rsid w:val="52DB0E29"/>
    <w:rsid w:val="536E4AEE"/>
    <w:rsid w:val="53AB5F41"/>
    <w:rsid w:val="53FE0B63"/>
    <w:rsid w:val="542D76E9"/>
    <w:rsid w:val="547C5298"/>
    <w:rsid w:val="54EC3D45"/>
    <w:rsid w:val="558071F9"/>
    <w:rsid w:val="55FC45E5"/>
    <w:rsid w:val="57A829DB"/>
    <w:rsid w:val="57D537C0"/>
    <w:rsid w:val="58AD35E7"/>
    <w:rsid w:val="590E6D76"/>
    <w:rsid w:val="59653481"/>
    <w:rsid w:val="59854FFB"/>
    <w:rsid w:val="5B34493A"/>
    <w:rsid w:val="5BE36F15"/>
    <w:rsid w:val="5BFE7106"/>
    <w:rsid w:val="5D296EBB"/>
    <w:rsid w:val="5E96232F"/>
    <w:rsid w:val="5ED61B0C"/>
    <w:rsid w:val="5F0C788B"/>
    <w:rsid w:val="60013FE0"/>
    <w:rsid w:val="60701181"/>
    <w:rsid w:val="607E606A"/>
    <w:rsid w:val="609D151E"/>
    <w:rsid w:val="613A73B9"/>
    <w:rsid w:val="623202AC"/>
    <w:rsid w:val="629C4EFC"/>
    <w:rsid w:val="62AA56C6"/>
    <w:rsid w:val="62F3173B"/>
    <w:rsid w:val="63141A74"/>
    <w:rsid w:val="642C2029"/>
    <w:rsid w:val="6457790B"/>
    <w:rsid w:val="6489776B"/>
    <w:rsid w:val="648E7C00"/>
    <w:rsid w:val="64C00105"/>
    <w:rsid w:val="65006754"/>
    <w:rsid w:val="6588685E"/>
    <w:rsid w:val="66DE295C"/>
    <w:rsid w:val="671B5AC7"/>
    <w:rsid w:val="67B1393B"/>
    <w:rsid w:val="67CA2A4F"/>
    <w:rsid w:val="693D63AD"/>
    <w:rsid w:val="69A973BA"/>
    <w:rsid w:val="6A2C4278"/>
    <w:rsid w:val="6AB97AD1"/>
    <w:rsid w:val="6CB95B66"/>
    <w:rsid w:val="6CEC380A"/>
    <w:rsid w:val="6E3F6FA3"/>
    <w:rsid w:val="6E641B01"/>
    <w:rsid w:val="6F667D89"/>
    <w:rsid w:val="71206802"/>
    <w:rsid w:val="712C780C"/>
    <w:rsid w:val="725102BC"/>
    <w:rsid w:val="72B15162"/>
    <w:rsid w:val="72DC18C2"/>
    <w:rsid w:val="73635594"/>
    <w:rsid w:val="73671CCA"/>
    <w:rsid w:val="746B4828"/>
    <w:rsid w:val="7479530A"/>
    <w:rsid w:val="74C44F75"/>
    <w:rsid w:val="76E409DB"/>
    <w:rsid w:val="77234646"/>
    <w:rsid w:val="773D55E5"/>
    <w:rsid w:val="77764653"/>
    <w:rsid w:val="77927AB5"/>
    <w:rsid w:val="78EA702A"/>
    <w:rsid w:val="791A3E30"/>
    <w:rsid w:val="796717F9"/>
    <w:rsid w:val="7969789B"/>
    <w:rsid w:val="7AA31A52"/>
    <w:rsid w:val="7AB530B6"/>
    <w:rsid w:val="7BCC157D"/>
    <w:rsid w:val="7CDD7EFF"/>
    <w:rsid w:val="7D025F80"/>
    <w:rsid w:val="7D4E1BB5"/>
    <w:rsid w:val="7D6E7A2C"/>
    <w:rsid w:val="7EA60409"/>
    <w:rsid w:val="7EC67298"/>
    <w:rsid w:val="7FBB656F"/>
    <w:rsid w:val="7FD374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qFormat="1" w:unhideWhenUsed="0" w:uiPriority="0" w:semiHidden="0"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0" w:semiHidden="0"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qFormat="1" w:unhideWhenUsed="0" w:uiPriority="0" w:semiHidden="0" w:name="Body Text Indent 2"/>
    <w:lsdException w:qFormat="1" w:unhideWhenUsed="0" w:uiPriority="0" w:semiHidden="0" w:name="Body Text Indent 3"/>
    <w:lsdException w:qFormat="1" w:unhideWhenUsed="0" w:uiPriority="99" w:semiHidden="0" w:name="Block Text"/>
    <w:lsdException w:qFormat="1" w:unhideWhenUsed="0" w:uiPriority="99" w:semiHidden="0" w:name="Hyperlink"/>
    <w:lsdException w:qFormat="1" w:uiPriority="99"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qFormat="1"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85"/>
    <w:autoRedefine/>
    <w:qFormat/>
    <w:uiPriority w:val="9"/>
    <w:pPr>
      <w:keepNext/>
      <w:keepLines/>
      <w:autoSpaceDE w:val="0"/>
      <w:autoSpaceDN w:val="0"/>
      <w:adjustRightInd w:val="0"/>
      <w:spacing w:before="240" w:after="120" w:line="300" w:lineRule="auto"/>
      <w:jc w:val="center"/>
      <w:outlineLvl w:val="0"/>
    </w:pPr>
    <w:rPr>
      <w:rFonts w:ascii="宋体"/>
      <w:b/>
      <w:kern w:val="44"/>
      <w:sz w:val="32"/>
      <w:szCs w:val="20"/>
    </w:rPr>
  </w:style>
  <w:style w:type="paragraph" w:styleId="4">
    <w:name w:val="heading 2"/>
    <w:basedOn w:val="1"/>
    <w:next w:val="1"/>
    <w:link w:val="72"/>
    <w:autoRedefine/>
    <w:unhideWhenUsed/>
    <w:qFormat/>
    <w:uiPriority w:val="9"/>
    <w:pPr>
      <w:keepNext/>
      <w:keepLines/>
      <w:autoSpaceDE w:val="0"/>
      <w:autoSpaceDN w:val="0"/>
      <w:adjustRightInd w:val="0"/>
      <w:spacing w:before="120" w:line="300" w:lineRule="auto"/>
      <w:jc w:val="center"/>
      <w:outlineLvl w:val="1"/>
    </w:pPr>
    <w:rPr>
      <w:rFonts w:ascii="Arial" w:hAnsi="Arial" w:eastAsia="黑体"/>
      <w:b/>
      <w:kern w:val="0"/>
      <w:sz w:val="30"/>
      <w:szCs w:val="20"/>
    </w:rPr>
  </w:style>
  <w:style w:type="paragraph" w:styleId="2">
    <w:name w:val="heading 3"/>
    <w:basedOn w:val="1"/>
    <w:next w:val="1"/>
    <w:link w:val="84"/>
    <w:autoRedefine/>
    <w:unhideWhenUsed/>
    <w:qFormat/>
    <w:uiPriority w:val="9"/>
    <w:pPr>
      <w:keepNext/>
      <w:keepLines/>
      <w:autoSpaceDE w:val="0"/>
      <w:autoSpaceDN w:val="0"/>
      <w:adjustRightInd w:val="0"/>
      <w:spacing w:before="360" w:after="120"/>
      <w:jc w:val="left"/>
      <w:outlineLvl w:val="2"/>
    </w:pPr>
    <w:rPr>
      <w:rFonts w:ascii="宋体"/>
      <w:b/>
      <w:kern w:val="0"/>
      <w:sz w:val="24"/>
      <w:szCs w:val="20"/>
      <w:u w:val="single"/>
    </w:rPr>
  </w:style>
  <w:style w:type="paragraph" w:styleId="5">
    <w:name w:val="heading 4"/>
    <w:basedOn w:val="1"/>
    <w:next w:val="1"/>
    <w:autoRedefine/>
    <w:semiHidden/>
    <w:unhideWhenUsed/>
    <w:qFormat/>
    <w:uiPriority w:val="9"/>
    <w:pPr>
      <w:keepNext/>
      <w:keepLines/>
      <w:numPr>
        <w:ilvl w:val="3"/>
        <w:numId w:val="1"/>
      </w:numPr>
      <w:spacing w:before="260" w:after="260"/>
      <w:ind w:firstLine="482" w:firstLineChars="200"/>
      <w:jc w:val="left"/>
      <w:outlineLvl w:val="3"/>
    </w:pPr>
    <w:rPr>
      <w:rFonts w:ascii="Arial" w:hAnsi="Arial"/>
      <w:b/>
      <w:sz w:val="18"/>
    </w:rPr>
  </w:style>
  <w:style w:type="character" w:default="1" w:styleId="39">
    <w:name w:val="Default Paragraph Font"/>
    <w:autoRedefine/>
    <w:semiHidden/>
    <w:unhideWhenUsed/>
    <w:qFormat/>
    <w:uiPriority w:val="1"/>
  </w:style>
  <w:style w:type="table" w:default="1" w:styleId="37">
    <w:name w:val="Normal Table"/>
    <w:autoRedefine/>
    <w:semiHidden/>
    <w:unhideWhenUsed/>
    <w:qFormat/>
    <w:uiPriority w:val="99"/>
    <w:tblPr>
      <w:tblCellMar>
        <w:top w:w="0" w:type="dxa"/>
        <w:left w:w="108" w:type="dxa"/>
        <w:bottom w:w="0" w:type="dxa"/>
        <w:right w:w="108" w:type="dxa"/>
      </w:tblCellMar>
    </w:tblPr>
  </w:style>
  <w:style w:type="paragraph" w:styleId="6">
    <w:name w:val="toc 7"/>
    <w:basedOn w:val="1"/>
    <w:next w:val="1"/>
    <w:autoRedefine/>
    <w:qFormat/>
    <w:uiPriority w:val="39"/>
    <w:pPr>
      <w:ind w:left="2520" w:leftChars="1200"/>
    </w:pPr>
  </w:style>
  <w:style w:type="paragraph" w:styleId="7">
    <w:name w:val="Normal Indent"/>
    <w:basedOn w:val="1"/>
    <w:next w:val="1"/>
    <w:autoRedefine/>
    <w:qFormat/>
    <w:uiPriority w:val="0"/>
    <w:pPr>
      <w:autoSpaceDE w:val="0"/>
      <w:autoSpaceDN w:val="0"/>
      <w:adjustRightInd w:val="0"/>
      <w:ind w:firstLine="420"/>
      <w:jc w:val="left"/>
    </w:pPr>
    <w:rPr>
      <w:rFonts w:ascii="宋体"/>
      <w:kern w:val="0"/>
      <w:sz w:val="24"/>
      <w:szCs w:val="20"/>
    </w:rPr>
  </w:style>
  <w:style w:type="paragraph" w:styleId="8">
    <w:name w:val="Document Map"/>
    <w:basedOn w:val="1"/>
    <w:link w:val="76"/>
    <w:autoRedefine/>
    <w:qFormat/>
    <w:uiPriority w:val="0"/>
    <w:rPr>
      <w:rFonts w:ascii="宋体"/>
      <w:sz w:val="18"/>
      <w:szCs w:val="18"/>
    </w:rPr>
  </w:style>
  <w:style w:type="paragraph" w:styleId="9">
    <w:name w:val="toa heading"/>
    <w:basedOn w:val="1"/>
    <w:next w:val="1"/>
    <w:autoRedefine/>
    <w:qFormat/>
    <w:uiPriority w:val="0"/>
    <w:pPr>
      <w:spacing w:before="120"/>
    </w:pPr>
    <w:rPr>
      <w:rFonts w:ascii="Cambria" w:hAnsi="Cambria"/>
      <w:sz w:val="24"/>
    </w:rPr>
  </w:style>
  <w:style w:type="paragraph" w:styleId="10">
    <w:name w:val="annotation text"/>
    <w:basedOn w:val="1"/>
    <w:link w:val="82"/>
    <w:autoRedefine/>
    <w:qFormat/>
    <w:uiPriority w:val="99"/>
    <w:pPr>
      <w:jc w:val="left"/>
    </w:pPr>
  </w:style>
  <w:style w:type="paragraph" w:styleId="11">
    <w:name w:val="Body Text"/>
    <w:basedOn w:val="1"/>
    <w:next w:val="1"/>
    <w:link w:val="81"/>
    <w:autoRedefine/>
    <w:qFormat/>
    <w:uiPriority w:val="0"/>
    <w:pPr>
      <w:tabs>
        <w:tab w:val="left" w:pos="567"/>
      </w:tabs>
      <w:spacing w:before="120" w:line="22" w:lineRule="atLeast"/>
    </w:pPr>
    <w:rPr>
      <w:rFonts w:ascii="宋体" w:hAnsi="宋体"/>
      <w:sz w:val="24"/>
    </w:rPr>
  </w:style>
  <w:style w:type="paragraph" w:styleId="12">
    <w:name w:val="Body Text Indent"/>
    <w:basedOn w:val="1"/>
    <w:next w:val="1"/>
    <w:autoRedefine/>
    <w:qFormat/>
    <w:uiPriority w:val="0"/>
    <w:pPr>
      <w:spacing w:line="360" w:lineRule="auto"/>
      <w:ind w:firstLine="570"/>
    </w:pPr>
    <w:rPr>
      <w:sz w:val="24"/>
    </w:rPr>
  </w:style>
  <w:style w:type="paragraph" w:styleId="13">
    <w:name w:val="Block Text"/>
    <w:basedOn w:val="1"/>
    <w:autoRedefine/>
    <w:qFormat/>
    <w:uiPriority w:val="99"/>
    <w:pPr>
      <w:spacing w:after="120"/>
      <w:ind w:left="1440" w:leftChars="700" w:right="1440" w:rightChars="700"/>
    </w:pPr>
  </w:style>
  <w:style w:type="paragraph" w:styleId="14">
    <w:name w:val="toc 5"/>
    <w:basedOn w:val="1"/>
    <w:next w:val="1"/>
    <w:autoRedefine/>
    <w:qFormat/>
    <w:uiPriority w:val="39"/>
    <w:pPr>
      <w:ind w:left="1680" w:leftChars="800"/>
    </w:pPr>
  </w:style>
  <w:style w:type="paragraph" w:styleId="15">
    <w:name w:val="toc 3"/>
    <w:basedOn w:val="1"/>
    <w:next w:val="1"/>
    <w:autoRedefine/>
    <w:qFormat/>
    <w:uiPriority w:val="39"/>
    <w:pPr>
      <w:tabs>
        <w:tab w:val="left" w:pos="1260"/>
        <w:tab w:val="right" w:leader="dot" w:pos="8630"/>
      </w:tabs>
      <w:ind w:left="840" w:leftChars="400"/>
    </w:pPr>
  </w:style>
  <w:style w:type="paragraph" w:styleId="16">
    <w:name w:val="Plain Text"/>
    <w:basedOn w:val="1"/>
    <w:next w:val="17"/>
    <w:link w:val="80"/>
    <w:autoRedefine/>
    <w:qFormat/>
    <w:uiPriority w:val="0"/>
    <w:rPr>
      <w:rFonts w:ascii="宋体" w:hAnsi="Courier New"/>
      <w:szCs w:val="20"/>
    </w:rPr>
  </w:style>
  <w:style w:type="paragraph" w:styleId="17">
    <w:name w:val="index 7"/>
    <w:basedOn w:val="1"/>
    <w:next w:val="1"/>
    <w:autoRedefine/>
    <w:qFormat/>
    <w:uiPriority w:val="0"/>
    <w:pPr>
      <w:autoSpaceDE/>
      <w:autoSpaceDN/>
      <w:adjustRightInd/>
      <w:ind w:left="1200" w:leftChars="1200"/>
    </w:pPr>
    <w:rPr>
      <w:color w:val="auto"/>
      <w:kern w:val="2"/>
      <w:szCs w:val="24"/>
    </w:rPr>
  </w:style>
  <w:style w:type="paragraph" w:styleId="18">
    <w:name w:val="toc 8"/>
    <w:basedOn w:val="1"/>
    <w:next w:val="1"/>
    <w:autoRedefine/>
    <w:qFormat/>
    <w:uiPriority w:val="39"/>
    <w:pPr>
      <w:ind w:left="2940" w:leftChars="1400"/>
    </w:pPr>
  </w:style>
  <w:style w:type="paragraph" w:styleId="19">
    <w:name w:val="Date"/>
    <w:basedOn w:val="1"/>
    <w:next w:val="1"/>
    <w:link w:val="77"/>
    <w:autoRedefine/>
    <w:qFormat/>
    <w:uiPriority w:val="0"/>
    <w:pPr>
      <w:ind w:left="100" w:leftChars="2500"/>
    </w:pPr>
    <w:rPr>
      <w:rFonts w:ascii="仿宋_GB2312" w:hAnsi="宋体" w:eastAsia="仿宋_GB2312"/>
      <w:color w:val="000000"/>
      <w:sz w:val="24"/>
    </w:rPr>
  </w:style>
  <w:style w:type="paragraph" w:styleId="20">
    <w:name w:val="Body Text Indent 2"/>
    <w:basedOn w:val="1"/>
    <w:autoRedefine/>
    <w:qFormat/>
    <w:uiPriority w:val="0"/>
    <w:pPr>
      <w:ind w:firstLine="480" w:firstLineChars="200"/>
    </w:pPr>
    <w:rPr>
      <w:rFonts w:ascii="仿宋_GB2312" w:eastAsia="仿宋_GB2312"/>
      <w:sz w:val="24"/>
    </w:rPr>
  </w:style>
  <w:style w:type="paragraph" w:styleId="21">
    <w:name w:val="Balloon Text"/>
    <w:basedOn w:val="1"/>
    <w:link w:val="73"/>
    <w:autoRedefine/>
    <w:qFormat/>
    <w:uiPriority w:val="0"/>
    <w:rPr>
      <w:sz w:val="18"/>
      <w:szCs w:val="18"/>
    </w:rPr>
  </w:style>
  <w:style w:type="paragraph" w:styleId="22">
    <w:name w:val="footer"/>
    <w:basedOn w:val="1"/>
    <w:link w:val="70"/>
    <w:autoRedefine/>
    <w:qFormat/>
    <w:uiPriority w:val="99"/>
    <w:pPr>
      <w:tabs>
        <w:tab w:val="center" w:pos="4153"/>
        <w:tab w:val="right" w:pos="8306"/>
      </w:tabs>
      <w:autoSpaceDE w:val="0"/>
      <w:autoSpaceDN w:val="0"/>
      <w:adjustRightInd w:val="0"/>
      <w:snapToGrid w:val="0"/>
      <w:jc w:val="left"/>
    </w:pPr>
    <w:rPr>
      <w:rFonts w:ascii="宋体"/>
      <w:kern w:val="0"/>
      <w:sz w:val="18"/>
      <w:szCs w:val="20"/>
    </w:rPr>
  </w:style>
  <w:style w:type="paragraph" w:styleId="23">
    <w:name w:val="header"/>
    <w:basedOn w:val="1"/>
    <w:link w:val="67"/>
    <w:autoRedefine/>
    <w:qFormat/>
    <w:uiPriority w:val="99"/>
    <w:pPr>
      <w:pBdr>
        <w:bottom w:val="single" w:color="auto" w:sz="6" w:space="1"/>
      </w:pBdr>
      <w:tabs>
        <w:tab w:val="center" w:pos="4153"/>
        <w:tab w:val="right" w:pos="8306"/>
      </w:tabs>
      <w:snapToGrid w:val="0"/>
      <w:jc w:val="center"/>
    </w:pPr>
    <w:rPr>
      <w:sz w:val="18"/>
      <w:szCs w:val="18"/>
    </w:rPr>
  </w:style>
  <w:style w:type="paragraph" w:styleId="24">
    <w:name w:val="toc 1"/>
    <w:basedOn w:val="1"/>
    <w:next w:val="1"/>
    <w:autoRedefine/>
    <w:qFormat/>
    <w:uiPriority w:val="39"/>
  </w:style>
  <w:style w:type="paragraph" w:styleId="25">
    <w:name w:val="toc 4"/>
    <w:basedOn w:val="1"/>
    <w:next w:val="1"/>
    <w:autoRedefine/>
    <w:qFormat/>
    <w:uiPriority w:val="39"/>
    <w:pPr>
      <w:ind w:left="1260" w:leftChars="600"/>
    </w:pPr>
  </w:style>
  <w:style w:type="paragraph" w:styleId="26">
    <w:name w:val="footnote text"/>
    <w:basedOn w:val="1"/>
    <w:next w:val="11"/>
    <w:autoRedefine/>
    <w:qFormat/>
    <w:uiPriority w:val="0"/>
    <w:pPr>
      <w:snapToGrid w:val="0"/>
      <w:jc w:val="left"/>
    </w:pPr>
    <w:rPr>
      <w:sz w:val="18"/>
    </w:rPr>
  </w:style>
  <w:style w:type="paragraph" w:styleId="27">
    <w:name w:val="toc 6"/>
    <w:basedOn w:val="1"/>
    <w:next w:val="1"/>
    <w:autoRedefine/>
    <w:qFormat/>
    <w:uiPriority w:val="39"/>
    <w:pPr>
      <w:ind w:left="2100" w:leftChars="1000"/>
    </w:pPr>
  </w:style>
  <w:style w:type="paragraph" w:styleId="28">
    <w:name w:val="Body Text Indent 3"/>
    <w:basedOn w:val="1"/>
    <w:autoRedefine/>
    <w:qFormat/>
    <w:uiPriority w:val="0"/>
    <w:pPr>
      <w:autoSpaceDE w:val="0"/>
      <w:autoSpaceDN w:val="0"/>
      <w:adjustRightInd w:val="0"/>
      <w:spacing w:before="120" w:line="22" w:lineRule="atLeast"/>
      <w:ind w:left="720" w:firstLine="480"/>
      <w:jc w:val="left"/>
    </w:pPr>
    <w:rPr>
      <w:rFonts w:ascii="宋体"/>
      <w:kern w:val="0"/>
      <w:sz w:val="24"/>
      <w:szCs w:val="20"/>
    </w:rPr>
  </w:style>
  <w:style w:type="paragraph" w:styleId="29">
    <w:name w:val="toc 2"/>
    <w:basedOn w:val="1"/>
    <w:next w:val="1"/>
    <w:autoRedefine/>
    <w:qFormat/>
    <w:uiPriority w:val="39"/>
    <w:pPr>
      <w:ind w:left="420" w:leftChars="200"/>
    </w:pPr>
  </w:style>
  <w:style w:type="paragraph" w:styleId="30">
    <w:name w:val="toc 9"/>
    <w:basedOn w:val="1"/>
    <w:next w:val="1"/>
    <w:autoRedefine/>
    <w:qFormat/>
    <w:uiPriority w:val="39"/>
    <w:pPr>
      <w:ind w:left="3360" w:leftChars="1600"/>
    </w:pPr>
  </w:style>
  <w:style w:type="paragraph" w:styleId="31">
    <w:name w:val="Normal (Web)"/>
    <w:basedOn w:val="1"/>
    <w:autoRedefine/>
    <w:qFormat/>
    <w:uiPriority w:val="99"/>
    <w:pPr>
      <w:spacing w:before="75" w:after="75"/>
      <w:jc w:val="left"/>
    </w:pPr>
    <w:rPr>
      <w:kern w:val="0"/>
      <w:sz w:val="24"/>
    </w:rPr>
  </w:style>
  <w:style w:type="paragraph" w:styleId="32">
    <w:name w:val="index 1"/>
    <w:basedOn w:val="1"/>
    <w:next w:val="1"/>
    <w:autoRedefine/>
    <w:qFormat/>
    <w:uiPriority w:val="0"/>
    <w:rPr>
      <w:szCs w:val="20"/>
    </w:rPr>
  </w:style>
  <w:style w:type="paragraph" w:styleId="33">
    <w:name w:val="Title"/>
    <w:basedOn w:val="1"/>
    <w:next w:val="1"/>
    <w:qFormat/>
    <w:uiPriority w:val="0"/>
    <w:pPr>
      <w:spacing w:before="240" w:after="60"/>
      <w:jc w:val="center"/>
      <w:outlineLvl w:val="0"/>
    </w:pPr>
    <w:rPr>
      <w:rFonts w:ascii="Cambria" w:hAnsi="Cambria"/>
      <w:b/>
      <w:bCs/>
      <w:sz w:val="32"/>
      <w:szCs w:val="32"/>
    </w:rPr>
  </w:style>
  <w:style w:type="paragraph" w:styleId="34">
    <w:name w:val="annotation subject"/>
    <w:basedOn w:val="10"/>
    <w:next w:val="10"/>
    <w:link w:val="83"/>
    <w:autoRedefine/>
    <w:qFormat/>
    <w:uiPriority w:val="0"/>
    <w:rPr>
      <w:b/>
      <w:bCs/>
    </w:rPr>
  </w:style>
  <w:style w:type="paragraph" w:styleId="35">
    <w:name w:val="Body Text First Indent"/>
    <w:basedOn w:val="11"/>
    <w:next w:val="36"/>
    <w:autoRedefine/>
    <w:qFormat/>
    <w:uiPriority w:val="0"/>
    <w:pPr>
      <w:ind w:firstLine="420" w:firstLineChars="100"/>
    </w:pPr>
  </w:style>
  <w:style w:type="paragraph" w:styleId="36">
    <w:name w:val="Body Text First Indent 2"/>
    <w:basedOn w:val="12"/>
    <w:next w:val="35"/>
    <w:autoRedefine/>
    <w:qFormat/>
    <w:uiPriority w:val="0"/>
    <w:pPr>
      <w:ind w:firstLine="420" w:firstLineChars="200"/>
    </w:pPr>
  </w:style>
  <w:style w:type="table" w:styleId="38">
    <w:name w:val="Table Grid"/>
    <w:basedOn w:val="37"/>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0">
    <w:name w:val="Strong"/>
    <w:autoRedefine/>
    <w:qFormat/>
    <w:uiPriority w:val="0"/>
    <w:rPr>
      <w:b/>
      <w:bCs/>
    </w:rPr>
  </w:style>
  <w:style w:type="character" w:styleId="41">
    <w:name w:val="page number"/>
    <w:basedOn w:val="39"/>
    <w:autoRedefine/>
    <w:qFormat/>
    <w:uiPriority w:val="0"/>
  </w:style>
  <w:style w:type="character" w:styleId="42">
    <w:name w:val="FollowedHyperlink"/>
    <w:basedOn w:val="39"/>
    <w:semiHidden/>
    <w:unhideWhenUsed/>
    <w:qFormat/>
    <w:uiPriority w:val="99"/>
    <w:rPr>
      <w:rFonts w:hint="eastAsia" w:ascii="微软雅黑" w:hAnsi="微软雅黑" w:eastAsia="微软雅黑" w:cs="微软雅黑"/>
      <w:color w:val="800080"/>
      <w:sz w:val="16"/>
      <w:szCs w:val="16"/>
      <w:u w:val="none"/>
    </w:rPr>
  </w:style>
  <w:style w:type="character" w:styleId="43">
    <w:name w:val="Emphasis"/>
    <w:basedOn w:val="39"/>
    <w:autoRedefine/>
    <w:qFormat/>
    <w:uiPriority w:val="20"/>
    <w:rPr>
      <w:i/>
    </w:rPr>
  </w:style>
  <w:style w:type="character" w:styleId="44">
    <w:name w:val="Hyperlink"/>
    <w:autoRedefine/>
    <w:qFormat/>
    <w:uiPriority w:val="99"/>
    <w:rPr>
      <w:color w:val="0000FF"/>
      <w:u w:val="single"/>
    </w:rPr>
  </w:style>
  <w:style w:type="character" w:styleId="45">
    <w:name w:val="annotation reference"/>
    <w:autoRedefine/>
    <w:qFormat/>
    <w:uiPriority w:val="99"/>
    <w:rPr>
      <w:sz w:val="21"/>
      <w:szCs w:val="21"/>
    </w:rPr>
  </w:style>
  <w:style w:type="character" w:styleId="46">
    <w:name w:val="HTML Sample"/>
    <w:basedOn w:val="39"/>
    <w:autoRedefine/>
    <w:semiHidden/>
    <w:unhideWhenUsed/>
    <w:qFormat/>
    <w:uiPriority w:val="99"/>
    <w:rPr>
      <w:rFonts w:ascii="Courier New" w:hAnsi="Courier New"/>
    </w:rPr>
  </w:style>
  <w:style w:type="paragraph" w:customStyle="1" w:styleId="47">
    <w:name w:val="目录 41"/>
    <w:next w:val="1"/>
    <w:autoRedefine/>
    <w:qFormat/>
    <w:uiPriority w:val="0"/>
    <w:pPr>
      <w:wordWrap w:val="0"/>
      <w:ind w:left="1275"/>
      <w:jc w:val="both"/>
    </w:pPr>
    <w:rPr>
      <w:rFonts w:ascii="Times New Roman" w:hAnsi="Times New Roman" w:eastAsia="宋体" w:cs="Times New Roman"/>
      <w:sz w:val="21"/>
      <w:lang w:val="en-US" w:eastAsia="zh-CN" w:bidi="ar-SA"/>
    </w:rPr>
  </w:style>
  <w:style w:type="paragraph" w:customStyle="1" w:styleId="48">
    <w:name w:val="索引 11"/>
    <w:basedOn w:val="1"/>
    <w:next w:val="1"/>
    <w:autoRedefine/>
    <w:qFormat/>
    <w:uiPriority w:val="0"/>
    <w:pPr>
      <w:spacing w:line="360" w:lineRule="auto"/>
    </w:pPr>
    <w:rPr>
      <w:rFonts w:ascii="仿宋_GB2312" w:eastAsia="仿宋_GB2312"/>
      <w:sz w:val="24"/>
      <w:szCs w:val="20"/>
    </w:rPr>
  </w:style>
  <w:style w:type="paragraph" w:customStyle="1" w:styleId="49">
    <w:name w:val="列出段落1"/>
    <w:basedOn w:val="1"/>
    <w:autoRedefine/>
    <w:qFormat/>
    <w:uiPriority w:val="34"/>
    <w:pPr>
      <w:widowControl/>
      <w:ind w:firstLine="420" w:firstLineChars="200"/>
      <w:jc w:val="left"/>
    </w:pPr>
    <w:rPr>
      <w:kern w:val="0"/>
      <w:sz w:val="24"/>
    </w:rPr>
  </w:style>
  <w:style w:type="paragraph" w:customStyle="1" w:styleId="50">
    <w:name w:val="列出段落11"/>
    <w:basedOn w:val="1"/>
    <w:next w:val="49"/>
    <w:autoRedefine/>
    <w:qFormat/>
    <w:uiPriority w:val="34"/>
    <w:pPr>
      <w:widowControl/>
      <w:ind w:firstLine="420" w:firstLineChars="200"/>
      <w:jc w:val="left"/>
    </w:pPr>
    <w:rPr>
      <w:rFonts w:ascii="宋体" w:hAnsi="宋体" w:cs="宋体"/>
      <w:kern w:val="0"/>
      <w:sz w:val="24"/>
    </w:rPr>
  </w:style>
  <w:style w:type="paragraph" w:customStyle="1" w:styleId="51">
    <w:name w:val="List Paragraph1"/>
    <w:basedOn w:val="1"/>
    <w:autoRedefine/>
    <w:qFormat/>
    <w:uiPriority w:val="34"/>
    <w:pPr>
      <w:ind w:firstLine="420" w:firstLineChars="200"/>
    </w:pPr>
  </w:style>
  <w:style w:type="paragraph" w:customStyle="1" w:styleId="52">
    <w:name w:val="Table Paragraph"/>
    <w:basedOn w:val="1"/>
    <w:autoRedefine/>
    <w:qFormat/>
    <w:uiPriority w:val="1"/>
    <w:pPr>
      <w:widowControl/>
      <w:jc w:val="left"/>
    </w:pPr>
    <w:rPr>
      <w:rFonts w:ascii="宋体" w:hAnsi="宋体" w:cs="宋体"/>
      <w:kern w:val="0"/>
      <w:szCs w:val="20"/>
      <w:lang w:val="zh-CN" w:bidi="zh-CN"/>
    </w:rPr>
  </w:style>
  <w:style w:type="paragraph" w:customStyle="1" w:styleId="53">
    <w:name w:val="p0"/>
    <w:basedOn w:val="1"/>
    <w:autoRedefine/>
    <w:qFormat/>
    <w:uiPriority w:val="0"/>
    <w:pPr>
      <w:widowControl/>
    </w:pPr>
    <w:rPr>
      <w:kern w:val="0"/>
      <w:szCs w:val="21"/>
    </w:rPr>
  </w:style>
  <w:style w:type="paragraph" w:customStyle="1" w:styleId="54">
    <w:name w:val="图例"/>
    <w:basedOn w:val="1"/>
    <w:autoRedefine/>
    <w:qFormat/>
    <w:uiPriority w:val="0"/>
    <w:pPr>
      <w:spacing w:before="120" w:after="120" w:line="360" w:lineRule="auto"/>
      <w:jc w:val="center"/>
    </w:pPr>
    <w:rPr>
      <w:rFonts w:eastAsia="仿宋_GB2312"/>
      <w:b/>
      <w:sz w:val="24"/>
    </w:rPr>
  </w:style>
  <w:style w:type="paragraph" w:customStyle="1" w:styleId="55">
    <w:name w:val="Default"/>
    <w:autoRedefine/>
    <w:qFormat/>
    <w:uiPriority w:val="0"/>
    <w:pPr>
      <w:widowControl w:val="0"/>
      <w:autoSpaceDE w:val="0"/>
      <w:autoSpaceDN w:val="0"/>
    </w:pPr>
    <w:rPr>
      <w:rFonts w:ascii="宋体" w:hAnsi="Times New Roman" w:eastAsia="宋体" w:cs="宋体"/>
      <w:color w:val="000000"/>
      <w:sz w:val="24"/>
      <w:szCs w:val="24"/>
      <w:lang w:val="en-US" w:eastAsia="zh-CN" w:bidi="ar-SA"/>
    </w:rPr>
  </w:style>
  <w:style w:type="paragraph" w:customStyle="1" w:styleId="56">
    <w:name w:val="正文段"/>
    <w:basedOn w:val="1"/>
    <w:autoRedefine/>
    <w:qFormat/>
    <w:uiPriority w:val="0"/>
    <w:pPr>
      <w:widowControl/>
      <w:snapToGrid w:val="0"/>
      <w:spacing w:afterLines="50"/>
      <w:ind w:firstLine="200" w:firstLineChars="200"/>
    </w:pPr>
    <w:rPr>
      <w:kern w:val="0"/>
      <w:sz w:val="24"/>
    </w:rPr>
  </w:style>
  <w:style w:type="paragraph" w:customStyle="1" w:styleId="57">
    <w:name w:val="首行缩进"/>
    <w:basedOn w:val="1"/>
    <w:autoRedefine/>
    <w:qFormat/>
    <w:uiPriority w:val="0"/>
    <w:pPr>
      <w:ind w:firstLine="480" w:firstLineChars="200"/>
    </w:pPr>
    <w:rPr>
      <w:lang w:val="zh-CN"/>
    </w:rPr>
  </w:style>
  <w:style w:type="paragraph" w:customStyle="1" w:styleId="58">
    <w:name w:val="纯文本1"/>
    <w:basedOn w:val="1"/>
    <w:link w:val="74"/>
    <w:autoRedefine/>
    <w:qFormat/>
    <w:uiPriority w:val="0"/>
    <w:rPr>
      <w:rFonts w:ascii="宋体" w:hAnsi="Courier New"/>
      <w:kern w:val="0"/>
      <w:sz w:val="20"/>
      <w:szCs w:val="20"/>
    </w:rPr>
  </w:style>
  <w:style w:type="paragraph" w:customStyle="1" w:styleId="59">
    <w:name w:val="Char"/>
    <w:basedOn w:val="1"/>
    <w:autoRedefine/>
    <w:qFormat/>
    <w:uiPriority w:val="0"/>
    <w:pPr>
      <w:tabs>
        <w:tab w:val="left" w:pos="360"/>
      </w:tabs>
    </w:pPr>
    <w:rPr>
      <w:sz w:val="24"/>
    </w:rPr>
  </w:style>
  <w:style w:type="paragraph" w:customStyle="1" w:styleId="60">
    <w:name w:val="正文缩进1"/>
    <w:basedOn w:val="1"/>
    <w:link w:val="63"/>
    <w:autoRedefine/>
    <w:qFormat/>
    <w:uiPriority w:val="0"/>
    <w:pPr>
      <w:autoSpaceDE w:val="0"/>
      <w:autoSpaceDN w:val="0"/>
      <w:adjustRightInd w:val="0"/>
      <w:ind w:firstLine="420"/>
      <w:jc w:val="left"/>
    </w:pPr>
    <w:rPr>
      <w:rFonts w:ascii="宋体"/>
      <w:kern w:val="0"/>
      <w:sz w:val="24"/>
      <w:szCs w:val="20"/>
    </w:rPr>
  </w:style>
  <w:style w:type="paragraph" w:customStyle="1" w:styleId="61">
    <w:name w:val="样式 样式 样式 左侧:  2 字符1 + 首行缩进:  2 字符1 + 首行缩进:  2 字符"/>
    <w:basedOn w:val="1"/>
    <w:autoRedefine/>
    <w:qFormat/>
    <w:uiPriority w:val="0"/>
    <w:pPr>
      <w:widowControl/>
      <w:adjustRightInd w:val="0"/>
      <w:spacing w:before="60" w:after="120" w:line="440" w:lineRule="atLeast"/>
      <w:ind w:firstLine="480"/>
      <w:textAlignment w:val="baseline"/>
    </w:pPr>
    <w:rPr>
      <w:sz w:val="24"/>
      <w:szCs w:val="20"/>
    </w:rPr>
  </w:style>
  <w:style w:type="character" w:customStyle="1" w:styleId="62">
    <w:name w:val="font91"/>
    <w:basedOn w:val="39"/>
    <w:autoRedefine/>
    <w:qFormat/>
    <w:uiPriority w:val="0"/>
    <w:rPr>
      <w:rFonts w:hint="eastAsia" w:ascii="宋体" w:hAnsi="宋体" w:eastAsia="宋体" w:cs="宋体"/>
      <w:color w:val="000000"/>
      <w:sz w:val="20"/>
      <w:szCs w:val="20"/>
      <w:u w:val="none"/>
      <w:vertAlign w:val="subscript"/>
    </w:rPr>
  </w:style>
  <w:style w:type="character" w:customStyle="1" w:styleId="63">
    <w:name w:val="正文缩进 Char1"/>
    <w:link w:val="60"/>
    <w:autoRedefine/>
    <w:qFormat/>
    <w:uiPriority w:val="0"/>
    <w:rPr>
      <w:rFonts w:ascii="宋体"/>
      <w:sz w:val="24"/>
    </w:rPr>
  </w:style>
  <w:style w:type="character" w:customStyle="1" w:styleId="64">
    <w:name w:val="批注主题 Char1"/>
    <w:autoRedefine/>
    <w:qFormat/>
    <w:uiPriority w:val="99"/>
    <w:rPr>
      <w:b/>
      <w:bCs/>
      <w:kern w:val="2"/>
      <w:sz w:val="21"/>
      <w:szCs w:val="24"/>
    </w:rPr>
  </w:style>
  <w:style w:type="character" w:customStyle="1" w:styleId="65">
    <w:name w:val="font31"/>
    <w:basedOn w:val="39"/>
    <w:autoRedefine/>
    <w:qFormat/>
    <w:uiPriority w:val="0"/>
    <w:rPr>
      <w:rFonts w:hint="eastAsia" w:ascii="宋体" w:hAnsi="宋体" w:eastAsia="宋体" w:cs="宋体"/>
      <w:color w:val="404040"/>
      <w:sz w:val="20"/>
      <w:szCs w:val="20"/>
      <w:u w:val="none"/>
    </w:rPr>
  </w:style>
  <w:style w:type="character" w:customStyle="1" w:styleId="66">
    <w:name w:val="font61"/>
    <w:basedOn w:val="39"/>
    <w:autoRedefine/>
    <w:qFormat/>
    <w:uiPriority w:val="0"/>
    <w:rPr>
      <w:rFonts w:hint="eastAsia" w:ascii="宋体" w:hAnsi="宋体" w:eastAsia="宋体" w:cs="宋体"/>
      <w:color w:val="333333"/>
      <w:sz w:val="20"/>
      <w:szCs w:val="20"/>
      <w:u w:val="none"/>
    </w:rPr>
  </w:style>
  <w:style w:type="character" w:customStyle="1" w:styleId="67">
    <w:name w:val="页眉 字符"/>
    <w:link w:val="23"/>
    <w:autoRedefine/>
    <w:qFormat/>
    <w:uiPriority w:val="99"/>
    <w:rPr>
      <w:kern w:val="2"/>
      <w:sz w:val="18"/>
      <w:szCs w:val="18"/>
    </w:rPr>
  </w:style>
  <w:style w:type="character" w:customStyle="1" w:styleId="68">
    <w:name w:val="批注文字 Char1"/>
    <w:autoRedefine/>
    <w:qFormat/>
    <w:uiPriority w:val="99"/>
    <w:rPr>
      <w:kern w:val="2"/>
      <w:sz w:val="21"/>
      <w:szCs w:val="24"/>
    </w:rPr>
  </w:style>
  <w:style w:type="character" w:customStyle="1" w:styleId="69">
    <w:name w:val="font41"/>
    <w:basedOn w:val="39"/>
    <w:autoRedefine/>
    <w:qFormat/>
    <w:uiPriority w:val="0"/>
    <w:rPr>
      <w:rFonts w:hint="eastAsia" w:ascii="宋体" w:hAnsi="宋体" w:eastAsia="宋体" w:cs="宋体"/>
      <w:color w:val="000000"/>
      <w:sz w:val="20"/>
      <w:szCs w:val="20"/>
      <w:u w:val="none"/>
    </w:rPr>
  </w:style>
  <w:style w:type="character" w:customStyle="1" w:styleId="70">
    <w:name w:val="页脚 字符"/>
    <w:link w:val="22"/>
    <w:autoRedefine/>
    <w:qFormat/>
    <w:uiPriority w:val="99"/>
    <w:rPr>
      <w:rFonts w:ascii="宋体"/>
      <w:sz w:val="18"/>
    </w:rPr>
  </w:style>
  <w:style w:type="character" w:customStyle="1" w:styleId="71">
    <w:name w:val="font101"/>
    <w:basedOn w:val="39"/>
    <w:autoRedefine/>
    <w:qFormat/>
    <w:uiPriority w:val="0"/>
    <w:rPr>
      <w:rFonts w:hint="eastAsia" w:ascii="宋体" w:hAnsi="宋体" w:eastAsia="宋体" w:cs="宋体"/>
      <w:color w:val="000000"/>
      <w:sz w:val="20"/>
      <w:szCs w:val="20"/>
      <w:u w:val="none"/>
    </w:rPr>
  </w:style>
  <w:style w:type="character" w:customStyle="1" w:styleId="72">
    <w:name w:val="标题 2 字符"/>
    <w:link w:val="4"/>
    <w:autoRedefine/>
    <w:qFormat/>
    <w:uiPriority w:val="0"/>
    <w:rPr>
      <w:rFonts w:ascii="Arial" w:hAnsi="Arial" w:eastAsia="黑体"/>
      <w:b/>
      <w:sz w:val="30"/>
    </w:rPr>
  </w:style>
  <w:style w:type="character" w:customStyle="1" w:styleId="73">
    <w:name w:val="批注框文本 字符"/>
    <w:link w:val="21"/>
    <w:autoRedefine/>
    <w:qFormat/>
    <w:uiPriority w:val="0"/>
    <w:rPr>
      <w:kern w:val="2"/>
      <w:sz w:val="18"/>
      <w:szCs w:val="18"/>
    </w:rPr>
  </w:style>
  <w:style w:type="character" w:customStyle="1" w:styleId="74">
    <w:name w:val="纯文本 Char1"/>
    <w:link w:val="58"/>
    <w:autoRedefine/>
    <w:qFormat/>
    <w:uiPriority w:val="0"/>
    <w:rPr>
      <w:rFonts w:ascii="宋体" w:hAnsi="Courier New"/>
    </w:rPr>
  </w:style>
  <w:style w:type="character" w:customStyle="1" w:styleId="75">
    <w:name w:val="font81"/>
    <w:basedOn w:val="39"/>
    <w:autoRedefine/>
    <w:qFormat/>
    <w:uiPriority w:val="0"/>
    <w:rPr>
      <w:rFonts w:hint="eastAsia" w:ascii="宋体" w:hAnsi="宋体" w:eastAsia="宋体" w:cs="宋体"/>
      <w:color w:val="404040"/>
      <w:sz w:val="20"/>
      <w:szCs w:val="20"/>
      <w:u w:val="none"/>
    </w:rPr>
  </w:style>
  <w:style w:type="character" w:customStyle="1" w:styleId="76">
    <w:name w:val="文档结构图 字符"/>
    <w:basedOn w:val="39"/>
    <w:link w:val="8"/>
    <w:autoRedefine/>
    <w:qFormat/>
    <w:uiPriority w:val="0"/>
    <w:rPr>
      <w:rFonts w:ascii="宋体"/>
      <w:kern w:val="2"/>
      <w:sz w:val="18"/>
      <w:szCs w:val="18"/>
    </w:rPr>
  </w:style>
  <w:style w:type="character" w:customStyle="1" w:styleId="77">
    <w:name w:val="日期 字符"/>
    <w:link w:val="19"/>
    <w:autoRedefine/>
    <w:qFormat/>
    <w:uiPriority w:val="0"/>
    <w:rPr>
      <w:rFonts w:ascii="仿宋_GB2312" w:hAnsi="宋体" w:eastAsia="仿宋_GB2312"/>
      <w:color w:val="000000"/>
      <w:kern w:val="2"/>
      <w:sz w:val="24"/>
      <w:szCs w:val="24"/>
    </w:rPr>
  </w:style>
  <w:style w:type="character" w:customStyle="1" w:styleId="78">
    <w:name w:val="页眉 Char1"/>
    <w:autoRedefine/>
    <w:qFormat/>
    <w:uiPriority w:val="99"/>
    <w:rPr>
      <w:kern w:val="2"/>
      <w:sz w:val="18"/>
      <w:szCs w:val="18"/>
    </w:rPr>
  </w:style>
  <w:style w:type="character" w:customStyle="1" w:styleId="79">
    <w:name w:val="批注框文本 Char1"/>
    <w:autoRedefine/>
    <w:qFormat/>
    <w:uiPriority w:val="99"/>
    <w:rPr>
      <w:kern w:val="2"/>
      <w:sz w:val="18"/>
      <w:szCs w:val="18"/>
    </w:rPr>
  </w:style>
  <w:style w:type="character" w:customStyle="1" w:styleId="80">
    <w:name w:val="纯文本 字符"/>
    <w:link w:val="16"/>
    <w:autoRedefine/>
    <w:qFormat/>
    <w:uiPriority w:val="0"/>
    <w:rPr>
      <w:rFonts w:ascii="宋体" w:hAnsi="Courier New"/>
      <w:kern w:val="2"/>
      <w:sz w:val="21"/>
    </w:rPr>
  </w:style>
  <w:style w:type="character" w:customStyle="1" w:styleId="81">
    <w:name w:val="正文文本 字符"/>
    <w:link w:val="11"/>
    <w:autoRedefine/>
    <w:qFormat/>
    <w:uiPriority w:val="0"/>
    <w:rPr>
      <w:rFonts w:ascii="宋体" w:hAnsi="宋体"/>
      <w:kern w:val="2"/>
      <w:sz w:val="24"/>
      <w:szCs w:val="24"/>
    </w:rPr>
  </w:style>
  <w:style w:type="character" w:customStyle="1" w:styleId="82">
    <w:name w:val="批注文字 字符"/>
    <w:link w:val="10"/>
    <w:autoRedefine/>
    <w:qFormat/>
    <w:uiPriority w:val="99"/>
    <w:rPr>
      <w:kern w:val="2"/>
      <w:sz w:val="21"/>
      <w:szCs w:val="24"/>
    </w:rPr>
  </w:style>
  <w:style w:type="character" w:customStyle="1" w:styleId="83">
    <w:name w:val="批注主题 字符"/>
    <w:link w:val="34"/>
    <w:autoRedefine/>
    <w:qFormat/>
    <w:uiPriority w:val="0"/>
    <w:rPr>
      <w:b/>
      <w:bCs/>
      <w:kern w:val="2"/>
      <w:sz w:val="21"/>
      <w:szCs w:val="24"/>
    </w:rPr>
  </w:style>
  <w:style w:type="character" w:customStyle="1" w:styleId="84">
    <w:name w:val="标题 3 字符"/>
    <w:link w:val="2"/>
    <w:autoRedefine/>
    <w:qFormat/>
    <w:uiPriority w:val="0"/>
    <w:rPr>
      <w:rFonts w:ascii="宋体"/>
      <w:b/>
      <w:sz w:val="24"/>
      <w:u w:val="single"/>
    </w:rPr>
  </w:style>
  <w:style w:type="character" w:customStyle="1" w:styleId="85">
    <w:name w:val="标题 1 字符"/>
    <w:link w:val="3"/>
    <w:autoRedefine/>
    <w:qFormat/>
    <w:uiPriority w:val="0"/>
    <w:rPr>
      <w:rFonts w:ascii="宋体"/>
      <w:b/>
      <w:kern w:val="44"/>
      <w:sz w:val="32"/>
    </w:rPr>
  </w:style>
  <w:style w:type="paragraph" w:styleId="86">
    <w:name w:val="List Paragraph"/>
    <w:basedOn w:val="1"/>
    <w:autoRedefine/>
    <w:qFormat/>
    <w:uiPriority w:val="34"/>
    <w:pPr>
      <w:ind w:firstLine="420" w:firstLineChars="200"/>
    </w:pPr>
    <w:rPr>
      <w:rFonts w:ascii="Calibri" w:hAnsi="Calibri"/>
      <w:szCs w:val="22"/>
    </w:rPr>
  </w:style>
  <w:style w:type="paragraph" w:customStyle="1" w:styleId="87">
    <w:name w:val="样式 正文（首行缩进两字） + 首行缩进:  2 字符2"/>
    <w:basedOn w:val="7"/>
    <w:autoRedefine/>
    <w:qFormat/>
    <w:uiPriority w:val="0"/>
    <w:pPr>
      <w:spacing w:line="360" w:lineRule="auto"/>
      <w:ind w:firstLine="0"/>
      <w:textAlignment w:val="baseline"/>
    </w:pPr>
    <w:rPr>
      <w:rFonts w:hAnsi="宋体" w:eastAsia="楷体_GB2312" w:cs="宋体"/>
      <w:bCs/>
      <w:kern w:val="2"/>
      <w:sz w:val="21"/>
      <w:szCs w:val="21"/>
    </w:rPr>
  </w:style>
  <w:style w:type="paragraph" w:customStyle="1" w:styleId="88">
    <w:name w:val="PlainText"/>
    <w:basedOn w:val="1"/>
    <w:autoRedefine/>
    <w:qFormat/>
    <w:uiPriority w:val="0"/>
    <w:pPr>
      <w:textAlignment w:val="baseline"/>
    </w:pPr>
    <w:rPr>
      <w:rFonts w:ascii="宋体" w:hAnsi="Courier New"/>
      <w:szCs w:val="20"/>
    </w:rPr>
  </w:style>
  <w:style w:type="character" w:customStyle="1" w:styleId="89">
    <w:name w:val="NormalCharacter"/>
    <w:autoRedefine/>
    <w:qFormat/>
    <w:uiPriority w:val="0"/>
    <w:rPr>
      <w:rFonts w:ascii="Times New Roman" w:hAnsi="Times New Roman" w:eastAsia="宋体" w:cs="Times New Roman"/>
      <w:kern w:val="2"/>
      <w:sz w:val="21"/>
      <w:szCs w:val="24"/>
      <w:lang w:val="en-US" w:eastAsia="zh-CN" w:bidi="ar-SA"/>
    </w:rPr>
  </w:style>
  <w:style w:type="character" w:customStyle="1" w:styleId="90">
    <w:name w:val="fontstyle01"/>
    <w:autoRedefine/>
    <w:qFormat/>
    <w:uiPriority w:val="0"/>
    <w:rPr>
      <w:rFonts w:hint="eastAsia" w:ascii="宋体" w:hAnsi="宋体" w:eastAsia="宋体"/>
      <w:color w:val="000000"/>
      <w:sz w:val="22"/>
      <w:szCs w:val="22"/>
    </w:rPr>
  </w:style>
  <w:style w:type="paragraph" w:customStyle="1" w:styleId="91">
    <w:name w:val="正文1"/>
    <w:autoRedefine/>
    <w:qFormat/>
    <w:uiPriority w:val="0"/>
    <w:pPr>
      <w:jc w:val="both"/>
    </w:pPr>
    <w:rPr>
      <w:rFonts w:ascii="Calibri" w:hAnsi="Calibri" w:eastAsia="宋体" w:cs="宋体"/>
      <w:kern w:val="2"/>
      <w:sz w:val="21"/>
      <w:szCs w:val="21"/>
      <w:lang w:val="en-US" w:eastAsia="zh-CN" w:bidi="ar-SA"/>
    </w:rPr>
  </w:style>
  <w:style w:type="character" w:customStyle="1" w:styleId="92">
    <w:name w:val="font11"/>
    <w:basedOn w:val="39"/>
    <w:autoRedefine/>
    <w:qFormat/>
    <w:uiPriority w:val="0"/>
    <w:rPr>
      <w:rFonts w:hint="eastAsia" w:ascii="宋体" w:hAnsi="宋体" w:eastAsia="宋体" w:cs="宋体"/>
      <w:color w:val="000000"/>
      <w:sz w:val="18"/>
      <w:szCs w:val="18"/>
      <w:u w:val="none"/>
    </w:rPr>
  </w:style>
  <w:style w:type="character" w:customStyle="1" w:styleId="93">
    <w:name w:val="font71"/>
    <w:basedOn w:val="39"/>
    <w:autoRedefine/>
    <w:qFormat/>
    <w:uiPriority w:val="0"/>
    <w:rPr>
      <w:rFonts w:hint="eastAsia" w:ascii="宋体" w:hAnsi="宋体" w:eastAsia="宋体" w:cs="宋体"/>
      <w:color w:val="000000"/>
      <w:sz w:val="18"/>
      <w:szCs w:val="18"/>
      <w:u w:val="none"/>
    </w:rPr>
  </w:style>
  <w:style w:type="character" w:customStyle="1" w:styleId="94">
    <w:name w:val="font112"/>
    <w:basedOn w:val="39"/>
    <w:autoRedefine/>
    <w:qFormat/>
    <w:uiPriority w:val="0"/>
    <w:rPr>
      <w:rFonts w:hint="default" w:ascii="Calibri" w:hAnsi="Calibri" w:cs="Calibri"/>
      <w:color w:val="000000"/>
      <w:sz w:val="18"/>
      <w:szCs w:val="18"/>
      <w:u w:val="none"/>
    </w:rPr>
  </w:style>
  <w:style w:type="character" w:customStyle="1" w:styleId="95">
    <w:name w:val="font21"/>
    <w:basedOn w:val="39"/>
    <w:autoRedefine/>
    <w:qFormat/>
    <w:uiPriority w:val="0"/>
    <w:rPr>
      <w:rFonts w:hint="eastAsia" w:ascii="宋体" w:hAnsi="宋体" w:eastAsia="宋体" w:cs="宋体"/>
      <w:color w:val="000000"/>
      <w:sz w:val="12"/>
      <w:szCs w:val="12"/>
      <w:u w:val="none"/>
    </w:rPr>
  </w:style>
  <w:style w:type="paragraph" w:customStyle="1" w:styleId="96">
    <w:name w:val="正文首行缩进1"/>
    <w:basedOn w:val="11"/>
    <w:autoRedefine/>
    <w:qFormat/>
    <w:uiPriority w:val="0"/>
    <w:pPr>
      <w:spacing w:after="0"/>
      <w:ind w:right="-349" w:rightChars="-166" w:firstLine="420" w:firstLineChars="100"/>
    </w:pPr>
    <w:rPr>
      <w:rFonts w:eastAsia="仿宋_GB2312"/>
      <w:sz w:val="32"/>
    </w:rPr>
  </w:style>
  <w:style w:type="paragraph" w:customStyle="1" w:styleId="97">
    <w:name w:val="正文-公1"/>
    <w:basedOn w:val="98"/>
    <w:next w:val="23"/>
    <w:autoRedefine/>
    <w:qFormat/>
    <w:uiPriority w:val="0"/>
    <w:pPr>
      <w:ind w:firstLine="200" w:firstLineChars="200"/>
    </w:pPr>
    <w:rPr>
      <w:color w:val="000000"/>
    </w:rPr>
  </w:style>
  <w:style w:type="paragraph" w:customStyle="1" w:styleId="98">
    <w:name w:val="正文 New New New New New New New New New New New New New New New New New New New New New New New New New New New New New New New New New New New New New New New New New New New New New New New New New New New New New New New New New New New New New New Ne"/>
    <w:next w:val="97"/>
    <w:autoRedefine/>
    <w:qFormat/>
    <w:uiPriority w:val="0"/>
    <w:pPr>
      <w:widowControl w:val="0"/>
      <w:jc w:val="both"/>
    </w:pPr>
    <w:rPr>
      <w:rFonts w:ascii="Times New Roman" w:hAnsi="Times New Roman" w:eastAsia="宋体" w:cs="Times New Roman"/>
      <w:kern w:val="2"/>
      <w:sz w:val="21"/>
      <w:lang w:val="en-US" w:eastAsia="zh-CN" w:bidi="ar-SA"/>
    </w:rPr>
  </w:style>
  <w:style w:type="table" w:customStyle="1" w:styleId="99">
    <w:name w:val="Table Normal"/>
    <w:autoRedefine/>
    <w:semiHidden/>
    <w:unhideWhenUsed/>
    <w:qFormat/>
    <w:uiPriority w:val="0"/>
    <w:tblPr>
      <w:tblCellMar>
        <w:top w:w="0" w:type="dxa"/>
        <w:left w:w="0" w:type="dxa"/>
        <w:bottom w:w="0" w:type="dxa"/>
        <w:right w:w="0" w:type="dxa"/>
      </w:tblCellMar>
    </w:tblPr>
  </w:style>
  <w:style w:type="paragraph" w:customStyle="1" w:styleId="100">
    <w:name w:val="采购一级"/>
    <w:autoRedefine/>
    <w:qFormat/>
    <w:uiPriority w:val="0"/>
    <w:pPr>
      <w:widowControl w:val="0"/>
      <w:autoSpaceDE w:val="0"/>
      <w:autoSpaceDN w:val="0"/>
      <w:snapToGrid w:val="0"/>
      <w:spacing w:line="560" w:lineRule="exact"/>
      <w:jc w:val="center"/>
      <w:outlineLvl w:val="0"/>
    </w:pPr>
    <w:rPr>
      <w:rFonts w:ascii="方正小标宋简体" w:hAnsi="仿宋" w:eastAsia="方正小标宋简体" w:cs="Times New Roman"/>
      <w:b/>
      <w:kern w:val="44"/>
      <w:sz w:val="36"/>
      <w:szCs w:val="36"/>
      <w:lang w:val="en-US" w:eastAsia="zh-CN" w:bidi="ar-SA"/>
    </w:rPr>
  </w:style>
  <w:style w:type="paragraph" w:customStyle="1" w:styleId="101">
    <w:name w:val="无间隔1"/>
    <w:autoRedefine/>
    <w:qFormat/>
    <w:uiPriority w:val="1"/>
    <w:pPr>
      <w:adjustRightInd w:val="0"/>
      <w:snapToGrid w:val="0"/>
    </w:pPr>
    <w:rPr>
      <w:rFonts w:ascii="Tahoma" w:hAnsi="Tahoma" w:eastAsia="微软雅黑" w:cs="Arial"/>
      <w:sz w:val="22"/>
      <w:szCs w:val="22"/>
      <w:lang w:val="en-US" w:eastAsia="zh-CN" w:bidi="ar-SA"/>
    </w:rPr>
  </w:style>
  <w:style w:type="paragraph" w:customStyle="1" w:styleId="102">
    <w:name w:val="标题 #1"/>
    <w:basedOn w:val="1"/>
    <w:autoRedefine/>
    <w:qFormat/>
    <w:uiPriority w:val="0"/>
    <w:pPr>
      <w:widowControl w:val="0"/>
      <w:shd w:val="clear" w:color="auto" w:fill="FFFFFF"/>
      <w:spacing w:after="1180"/>
      <w:ind w:left="1940"/>
      <w:outlineLvl w:val="0"/>
    </w:pPr>
    <w:rPr>
      <w:rFonts w:ascii="新宋体" w:hAnsi="新宋体" w:eastAsia="新宋体" w:cs="新宋体"/>
      <w:sz w:val="62"/>
      <w:szCs w:val="62"/>
      <w:u w:val="none"/>
      <w:lang w:val="zh-CN" w:eastAsia="zh-CN" w:bidi="zh-CN"/>
    </w:rPr>
  </w:style>
  <w:style w:type="paragraph" w:customStyle="1" w:styleId="103">
    <w:name w:val="列表段落1"/>
    <w:basedOn w:val="1"/>
    <w:qFormat/>
    <w:uiPriority w:val="34"/>
    <w:pPr>
      <w:ind w:firstLine="420" w:firstLineChars="200"/>
    </w:pPr>
  </w:style>
  <w:style w:type="paragraph" w:customStyle="1" w:styleId="104">
    <w:name w:val="文件大标题"/>
    <w:basedOn w:val="1"/>
    <w:qFormat/>
    <w:uiPriority w:val="0"/>
    <w:pPr>
      <w:ind w:firstLine="0" w:firstLineChars="0"/>
      <w:jc w:val="center"/>
    </w:pPr>
    <w:rPr>
      <w:rFonts w:hint="default" w:eastAsia="方正小标宋_GBK"/>
      <w:sz w:val="44"/>
    </w:rPr>
  </w:style>
  <w:style w:type="character" w:customStyle="1" w:styleId="105">
    <w:name w:val="item-name"/>
    <w:basedOn w:val="39"/>
    <w:qFormat/>
    <w:uiPriority w:val="0"/>
  </w:style>
  <w:style w:type="character" w:customStyle="1" w:styleId="106">
    <w:name w:val="item-name1"/>
    <w:basedOn w:val="39"/>
    <w:qFormat/>
    <w:uiPriority w:val="0"/>
  </w:style>
  <w:style w:type="character" w:customStyle="1" w:styleId="107">
    <w:name w:val="first-child"/>
    <w:basedOn w:val="39"/>
    <w:qFormat/>
    <w:uiPriority w:val="0"/>
    <w:rPr>
      <w:vanish/>
    </w:rPr>
  </w:style>
  <w:style w:type="paragraph" w:customStyle="1" w:styleId="108">
    <w:name w:val="BodyText1I2"/>
    <w:basedOn w:val="109"/>
    <w:qFormat/>
    <w:uiPriority w:val="0"/>
    <w:pPr>
      <w:spacing w:after="120"/>
      <w:ind w:left="420" w:leftChars="200" w:firstLine="420" w:firstLineChars="200"/>
      <w:jc w:val="both"/>
      <w:textAlignment w:val="baseline"/>
    </w:pPr>
  </w:style>
  <w:style w:type="paragraph" w:customStyle="1" w:styleId="109">
    <w:name w:val="BodyTextIndent"/>
    <w:basedOn w:val="1"/>
    <w:qFormat/>
    <w:uiPriority w:val="0"/>
    <w:pPr>
      <w:spacing w:after="120"/>
      <w:ind w:left="420" w:leftChars="200"/>
      <w:jc w:val="both"/>
      <w:textAlignment w:val="baseline"/>
    </w:pPr>
  </w:style>
  <w:style w:type="paragraph" w:customStyle="1" w:styleId="110">
    <w:name w:val="表"/>
    <w:basedOn w:val="1"/>
    <w:qFormat/>
    <w:uiPriority w:val="0"/>
    <w:pPr>
      <w:ind w:firstLine="0" w:firstLineChars="0"/>
      <w:jc w:val="center"/>
    </w:p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header" Target="header4.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1.png"/><Relationship Id="rId13" Type="http://schemas.openxmlformats.org/officeDocument/2006/relationships/theme" Target="theme/theme1.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80</Pages>
  <Words>15556</Words>
  <Characters>16508</Characters>
  <Lines>434</Lines>
  <Paragraphs>122</Paragraphs>
  <TotalTime>13</TotalTime>
  <ScaleCrop>false</ScaleCrop>
  <LinksUpToDate>false</LinksUpToDate>
  <CharactersWithSpaces>18420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2018-11-17T02:05:00Z</dcterms:created>
  <dc:creator>USER-</dc:creator>
  <cp:lastModifiedBy>Liiiing</cp:lastModifiedBy>
  <cp:lastPrinted>2024-07-08T10:35:00Z</cp:lastPrinted>
  <dcterms:modified xsi:type="dcterms:W3CDTF">2025-03-26T11:39:50Z</dcterms:modified>
  <dc:title>02年杜范本稿</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9103622672034601B8CF5DC9E1AA423A_13</vt:lpwstr>
  </property>
  <property fmtid="{D5CDD505-2E9C-101B-9397-08002B2CF9AE}" pid="4" name="KSOTemplateDocerSaveRecord">
    <vt:lpwstr>eyJoZGlkIjoiZjYxMjNmMjQwYmViOTQzOTczYTYxYTYwNmY0MGMxNjAiLCJ1c2VySWQiOiIyNjk4NzY3MDkifQ==</vt:lpwstr>
  </property>
</Properties>
</file>