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E12C378">
      <w:pPr>
        <w:spacing w:line="240" w:lineRule="atLeast"/>
        <w:jc w:val="center"/>
        <w:rPr>
          <w:rFonts w:hint="eastAsia" w:ascii="宋体" w:hAnsi="宋体" w:eastAsia="宋体" w:cs="宋体"/>
          <w:b/>
          <w:color w:val="auto"/>
          <w:sz w:val="48"/>
          <w:szCs w:val="48"/>
          <w:highlight w:val="none"/>
        </w:rPr>
      </w:pPr>
    </w:p>
    <w:p w14:paraId="66B26607">
      <w:pPr>
        <w:spacing w:line="240" w:lineRule="atLeast"/>
        <w:jc w:val="center"/>
        <w:rPr>
          <w:rFonts w:hint="eastAsia" w:ascii="宋体" w:hAnsi="宋体" w:eastAsia="宋体" w:cs="宋体"/>
          <w:color w:val="auto"/>
          <w:sz w:val="22"/>
          <w:szCs w:val="28"/>
          <w:highlight w:val="none"/>
        </w:rPr>
      </w:pPr>
      <w:r>
        <w:rPr>
          <w:rFonts w:hint="eastAsia" w:ascii="宋体" w:hAnsi="宋体" w:cs="宋体"/>
          <w:b/>
          <w:color w:val="auto"/>
          <w:sz w:val="48"/>
          <w:szCs w:val="48"/>
          <w:highlight w:val="none"/>
          <w:lang w:eastAsia="zh-CN"/>
        </w:rPr>
        <w:t>新疆维吾尔自治区地质局喀什地质大队2025年度专业地质设备采购项目</w:t>
      </w:r>
    </w:p>
    <w:p w14:paraId="0780C90F">
      <w:pPr>
        <w:pStyle w:val="24"/>
        <w:rPr>
          <w:rFonts w:hint="eastAsia" w:ascii="宋体" w:hAnsi="宋体" w:eastAsia="宋体" w:cs="宋体"/>
          <w:color w:val="auto"/>
          <w:sz w:val="21"/>
          <w:szCs w:val="32"/>
          <w:highlight w:val="none"/>
        </w:rPr>
      </w:pPr>
    </w:p>
    <w:p w14:paraId="7E01BAEC">
      <w:pPr>
        <w:spacing w:line="240" w:lineRule="atLeast"/>
        <w:jc w:val="center"/>
        <w:rPr>
          <w:rFonts w:hint="eastAsia" w:ascii="宋体" w:hAnsi="宋体" w:eastAsia="宋体" w:cs="宋体"/>
          <w:b/>
          <w:color w:val="auto"/>
          <w:sz w:val="48"/>
          <w:szCs w:val="48"/>
          <w:highlight w:val="none"/>
          <w:lang w:val="en-US" w:eastAsia="zh-CN"/>
        </w:rPr>
      </w:pPr>
      <w:r>
        <w:rPr>
          <w:rFonts w:hint="eastAsia" w:ascii="宋体" w:hAnsi="宋体" w:eastAsia="宋体" w:cs="宋体"/>
          <w:b/>
          <w:color w:val="auto"/>
          <w:sz w:val="48"/>
          <w:szCs w:val="48"/>
          <w:highlight w:val="none"/>
          <w:lang w:eastAsia="zh-CN"/>
        </w:rPr>
        <w:t>项目编号：</w:t>
      </w:r>
      <w:r>
        <w:rPr>
          <w:rFonts w:hint="eastAsia" w:ascii="宋体" w:hAnsi="宋体" w:cs="宋体"/>
          <w:b/>
          <w:color w:val="auto"/>
          <w:sz w:val="48"/>
          <w:szCs w:val="48"/>
          <w:highlight w:val="none"/>
          <w:lang w:eastAsia="zh-CN"/>
        </w:rPr>
        <w:t>XJZGZ（GK）2025-01</w:t>
      </w:r>
    </w:p>
    <w:p w14:paraId="06419B01">
      <w:pPr>
        <w:pStyle w:val="24"/>
        <w:rPr>
          <w:rFonts w:hint="eastAsia" w:ascii="宋体" w:hAnsi="宋体" w:eastAsia="宋体" w:cs="宋体"/>
          <w:color w:val="auto"/>
          <w:kern w:val="0"/>
          <w:sz w:val="36"/>
          <w:szCs w:val="36"/>
          <w:highlight w:val="none"/>
          <w:lang w:bidi="ar"/>
        </w:rPr>
      </w:pPr>
    </w:p>
    <w:p w14:paraId="5EF9337C">
      <w:pPr>
        <w:pStyle w:val="9"/>
        <w:rPr>
          <w:rFonts w:hint="eastAsia"/>
          <w:color w:val="auto"/>
          <w:highlight w:val="none"/>
        </w:rPr>
      </w:pPr>
    </w:p>
    <w:p w14:paraId="60F70994">
      <w:pPr>
        <w:pStyle w:val="32"/>
        <w:rPr>
          <w:rFonts w:hint="eastAsia"/>
          <w:color w:val="auto"/>
          <w:highlight w:val="none"/>
        </w:rPr>
      </w:pPr>
    </w:p>
    <w:p w14:paraId="344FE9F9">
      <w:pPr>
        <w:pStyle w:val="4"/>
        <w:spacing w:line="720" w:lineRule="auto"/>
        <w:jc w:val="center"/>
        <w:rPr>
          <w:rFonts w:hint="eastAsia" w:ascii="宋体" w:hAnsi="宋体" w:eastAsia="宋体" w:cs="宋体"/>
          <w:b/>
          <w:color w:val="auto"/>
          <w:sz w:val="52"/>
          <w:szCs w:val="52"/>
          <w:highlight w:val="none"/>
        </w:rPr>
      </w:pPr>
      <w:r>
        <w:rPr>
          <w:rFonts w:hint="eastAsia" w:ascii="宋体" w:hAnsi="宋体" w:eastAsia="宋体" w:cs="宋体"/>
          <w:b/>
          <w:color w:val="auto"/>
          <w:sz w:val="56"/>
          <w:szCs w:val="56"/>
          <w:highlight w:val="none"/>
        </w:rPr>
        <w:t>招</w:t>
      </w:r>
    </w:p>
    <w:p w14:paraId="2C4D052D">
      <w:pPr>
        <w:pStyle w:val="4"/>
        <w:spacing w:line="720" w:lineRule="auto"/>
        <w:jc w:val="center"/>
        <w:rPr>
          <w:rFonts w:hint="eastAsia" w:ascii="宋体" w:hAnsi="宋体" w:eastAsia="宋体" w:cs="宋体"/>
          <w:b/>
          <w:color w:val="auto"/>
          <w:sz w:val="56"/>
          <w:szCs w:val="56"/>
          <w:highlight w:val="none"/>
        </w:rPr>
      </w:pPr>
      <w:r>
        <w:rPr>
          <w:rFonts w:hint="eastAsia" w:ascii="宋体" w:hAnsi="宋体" w:eastAsia="宋体" w:cs="宋体"/>
          <w:b/>
          <w:color w:val="auto"/>
          <w:sz w:val="56"/>
          <w:szCs w:val="56"/>
          <w:highlight w:val="none"/>
        </w:rPr>
        <w:t>标</w:t>
      </w:r>
    </w:p>
    <w:p w14:paraId="23ADDE84">
      <w:pPr>
        <w:pStyle w:val="4"/>
        <w:spacing w:line="720" w:lineRule="auto"/>
        <w:jc w:val="center"/>
        <w:rPr>
          <w:rFonts w:hint="eastAsia" w:ascii="宋体" w:hAnsi="宋体" w:eastAsia="宋体" w:cs="宋体"/>
          <w:b/>
          <w:color w:val="auto"/>
          <w:sz w:val="56"/>
          <w:szCs w:val="56"/>
          <w:highlight w:val="none"/>
        </w:rPr>
      </w:pPr>
      <w:r>
        <w:rPr>
          <w:rFonts w:hint="eastAsia" w:ascii="宋体" w:hAnsi="宋体" w:eastAsia="宋体" w:cs="宋体"/>
          <w:b/>
          <w:color w:val="auto"/>
          <w:sz w:val="56"/>
          <w:szCs w:val="56"/>
          <w:highlight w:val="none"/>
        </w:rPr>
        <w:t>文</w:t>
      </w:r>
    </w:p>
    <w:p w14:paraId="279D46D0">
      <w:pPr>
        <w:pStyle w:val="4"/>
        <w:spacing w:line="720" w:lineRule="auto"/>
        <w:jc w:val="center"/>
        <w:rPr>
          <w:rFonts w:hint="eastAsia" w:ascii="宋体" w:hAnsi="宋体" w:eastAsia="宋体" w:cs="宋体"/>
          <w:b/>
          <w:color w:val="auto"/>
          <w:sz w:val="56"/>
          <w:szCs w:val="56"/>
          <w:highlight w:val="none"/>
        </w:rPr>
      </w:pPr>
      <w:r>
        <w:rPr>
          <w:rFonts w:hint="eastAsia" w:ascii="宋体" w:hAnsi="宋体" w:eastAsia="宋体" w:cs="宋体"/>
          <w:b/>
          <w:color w:val="auto"/>
          <w:sz w:val="56"/>
          <w:szCs w:val="56"/>
          <w:highlight w:val="none"/>
        </w:rPr>
        <w:t>件</w:t>
      </w:r>
    </w:p>
    <w:p w14:paraId="3885772B">
      <w:pPr>
        <w:pStyle w:val="4"/>
        <w:spacing w:line="720" w:lineRule="auto"/>
        <w:jc w:val="center"/>
        <w:rPr>
          <w:rFonts w:hint="eastAsia" w:ascii="宋体" w:hAnsi="宋体" w:eastAsia="宋体" w:cs="宋体"/>
          <w:b/>
          <w:color w:val="auto"/>
          <w:sz w:val="56"/>
          <w:szCs w:val="56"/>
          <w:highlight w:val="none"/>
        </w:rPr>
      </w:pPr>
    </w:p>
    <w:p w14:paraId="2AF8EF39">
      <w:pPr>
        <w:spacing w:line="240" w:lineRule="atLeast"/>
        <w:ind w:left="1079" w:leftChars="257" w:hanging="540"/>
        <w:jc w:val="center"/>
        <w:rPr>
          <w:rFonts w:hint="eastAsia" w:ascii="宋体" w:hAnsi="宋体" w:eastAsia="宋体" w:cs="宋体"/>
          <w:color w:val="auto"/>
          <w:highlight w:val="none"/>
        </w:rPr>
      </w:pPr>
    </w:p>
    <w:p w14:paraId="45A2214D">
      <w:pPr>
        <w:spacing w:line="360" w:lineRule="auto"/>
        <w:jc w:val="left"/>
        <w:rPr>
          <w:rFonts w:hint="eastAsia" w:ascii="宋体" w:hAnsi="宋体" w:eastAsia="宋体" w:cs="宋体"/>
          <w:b/>
          <w:bCs/>
          <w:color w:val="auto"/>
          <w:sz w:val="30"/>
          <w:highlight w:val="none"/>
          <w:lang w:eastAsia="zh-CN"/>
        </w:rPr>
      </w:pPr>
      <w:r>
        <w:rPr>
          <w:rFonts w:hint="eastAsia" w:ascii="宋体" w:hAnsi="宋体" w:eastAsia="宋体" w:cs="宋体"/>
          <w:b/>
          <w:bCs/>
          <w:color w:val="auto"/>
          <w:sz w:val="30"/>
          <w:highlight w:val="none"/>
        </w:rPr>
        <w:t>招标人：</w:t>
      </w:r>
      <w:r>
        <w:rPr>
          <w:rFonts w:hint="eastAsia" w:ascii="宋体" w:hAnsi="宋体" w:cs="宋体"/>
          <w:b/>
          <w:bCs/>
          <w:color w:val="auto"/>
          <w:sz w:val="30"/>
          <w:highlight w:val="none"/>
          <w:lang w:eastAsia="zh-CN"/>
        </w:rPr>
        <w:t>新疆维吾尔自治区地质局喀什地质大队</w:t>
      </w:r>
    </w:p>
    <w:p w14:paraId="14C724DE">
      <w:pPr>
        <w:spacing w:line="360" w:lineRule="auto"/>
        <w:jc w:val="left"/>
        <w:rPr>
          <w:rFonts w:hint="eastAsia" w:ascii="宋体" w:hAnsi="宋体" w:eastAsia="宋体" w:cs="宋体"/>
          <w:b/>
          <w:bCs/>
          <w:color w:val="auto"/>
          <w:sz w:val="30"/>
          <w:highlight w:val="none"/>
          <w:lang w:eastAsia="zh-CN"/>
        </w:rPr>
      </w:pPr>
      <w:r>
        <w:rPr>
          <w:rFonts w:hint="eastAsia" w:ascii="宋体" w:hAnsi="宋体" w:eastAsia="宋体" w:cs="宋体"/>
          <w:b/>
          <w:bCs/>
          <w:color w:val="auto"/>
          <w:sz w:val="30"/>
          <w:highlight w:val="none"/>
        </w:rPr>
        <w:t>采购代理机构：</w:t>
      </w:r>
      <w:r>
        <w:rPr>
          <w:rFonts w:hint="eastAsia" w:ascii="宋体" w:hAnsi="宋体" w:cs="宋体"/>
          <w:b/>
          <w:bCs/>
          <w:color w:val="auto"/>
          <w:sz w:val="30"/>
          <w:highlight w:val="none"/>
          <w:lang w:eastAsia="zh-CN"/>
        </w:rPr>
        <w:t>新疆中高正建设项目管理咨询有限公司</w:t>
      </w:r>
    </w:p>
    <w:p w14:paraId="33E3771D">
      <w:pPr>
        <w:spacing w:line="360" w:lineRule="auto"/>
        <w:ind w:left="2108" w:hanging="2100" w:hangingChars="700"/>
        <w:jc w:val="left"/>
        <w:rPr>
          <w:rFonts w:hint="eastAsia" w:ascii="宋体" w:hAnsi="宋体" w:eastAsia="宋体" w:cs="宋体"/>
          <w:b/>
          <w:bCs/>
          <w:color w:val="auto"/>
          <w:sz w:val="30"/>
          <w:highlight w:val="none"/>
          <w:lang w:eastAsia="zh-CN"/>
        </w:rPr>
      </w:pPr>
      <w:r>
        <w:rPr>
          <w:rFonts w:hint="eastAsia" w:ascii="宋体" w:hAnsi="宋体" w:eastAsia="宋体" w:cs="宋体"/>
          <w:b/>
          <w:bCs/>
          <w:color w:val="auto"/>
          <w:sz w:val="30"/>
          <w:highlight w:val="none"/>
        </w:rPr>
        <w:t>代理机构地址：</w:t>
      </w:r>
      <w:r>
        <w:rPr>
          <w:rFonts w:hint="eastAsia" w:ascii="宋体" w:hAnsi="宋体" w:cs="宋体"/>
          <w:b/>
          <w:bCs/>
          <w:color w:val="auto"/>
          <w:sz w:val="30"/>
          <w:highlight w:val="none"/>
          <w:lang w:eastAsia="zh-CN"/>
        </w:rPr>
        <w:t>喀什市明升国际广场第1-1幢B区13层14号</w:t>
      </w:r>
    </w:p>
    <w:p w14:paraId="227A3608">
      <w:pPr>
        <w:spacing w:line="360" w:lineRule="auto"/>
        <w:jc w:val="left"/>
        <w:rPr>
          <w:rFonts w:hint="eastAsia" w:ascii="宋体" w:hAnsi="宋体" w:eastAsia="宋体" w:cs="宋体"/>
          <w:b/>
          <w:bCs/>
          <w:color w:val="auto"/>
          <w:sz w:val="30"/>
          <w:szCs w:val="30"/>
          <w:highlight w:val="none"/>
          <w:u w:val="single"/>
          <w:lang w:eastAsia="zh-CN"/>
        </w:rPr>
      </w:pPr>
      <w:r>
        <w:rPr>
          <w:rFonts w:hint="eastAsia" w:ascii="宋体" w:hAnsi="宋体" w:eastAsia="宋体" w:cs="宋体"/>
          <w:b/>
          <w:bCs/>
          <w:color w:val="auto"/>
          <w:sz w:val="30"/>
          <w:szCs w:val="30"/>
          <w:highlight w:val="none"/>
        </w:rPr>
        <w:t>联   系   人：</w:t>
      </w:r>
      <w:r>
        <w:rPr>
          <w:rFonts w:hint="eastAsia" w:ascii="宋体" w:hAnsi="宋体" w:cs="宋体"/>
          <w:b/>
          <w:bCs/>
          <w:color w:val="auto"/>
          <w:sz w:val="30"/>
          <w:highlight w:val="none"/>
          <w:lang w:val="en-US" w:eastAsia="zh-CN"/>
        </w:rPr>
        <w:t>余明超</w:t>
      </w:r>
    </w:p>
    <w:p w14:paraId="7045DC0A">
      <w:pPr>
        <w:spacing w:line="360" w:lineRule="auto"/>
        <w:jc w:val="left"/>
        <w:rPr>
          <w:rFonts w:hint="eastAsia" w:ascii="宋体" w:hAnsi="宋体" w:eastAsia="宋体" w:cs="宋体"/>
          <w:b/>
          <w:bCs/>
          <w:color w:val="auto"/>
          <w:sz w:val="30"/>
          <w:szCs w:val="30"/>
          <w:highlight w:val="none"/>
          <w:u w:val="single"/>
          <w:lang w:eastAsia="zh-CN"/>
        </w:rPr>
      </w:pPr>
      <w:r>
        <w:rPr>
          <w:rFonts w:hint="eastAsia" w:ascii="宋体" w:hAnsi="宋体" w:eastAsia="宋体" w:cs="宋体"/>
          <w:b/>
          <w:bCs/>
          <w:color w:val="auto"/>
          <w:sz w:val="30"/>
          <w:szCs w:val="30"/>
          <w:highlight w:val="none"/>
        </w:rPr>
        <w:t>联  系 电 话：</w:t>
      </w:r>
      <w:r>
        <w:rPr>
          <w:rFonts w:hint="eastAsia" w:ascii="宋体" w:hAnsi="宋体" w:cs="宋体"/>
          <w:b/>
          <w:bCs/>
          <w:color w:val="auto"/>
          <w:sz w:val="30"/>
          <w:highlight w:val="none"/>
          <w:lang w:eastAsia="zh-CN"/>
        </w:rPr>
        <w:t>18197656947</w:t>
      </w:r>
    </w:p>
    <w:p w14:paraId="07D3381D">
      <w:pPr>
        <w:spacing w:line="360" w:lineRule="auto"/>
        <w:jc w:val="left"/>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 xml:space="preserve"> </w:t>
      </w:r>
    </w:p>
    <w:p w14:paraId="006DC551">
      <w:pPr>
        <w:spacing w:line="240" w:lineRule="atLeast"/>
        <w:jc w:val="center"/>
        <w:rPr>
          <w:rFonts w:hint="eastAsia" w:ascii="宋体" w:hAnsi="宋体" w:eastAsia="宋体" w:cs="宋体"/>
          <w:b/>
          <w:color w:val="auto"/>
          <w:szCs w:val="21"/>
          <w:highlight w:val="none"/>
        </w:rPr>
      </w:pPr>
      <w:r>
        <w:rPr>
          <w:rFonts w:hint="eastAsia" w:ascii="宋体" w:hAnsi="宋体" w:eastAsia="宋体" w:cs="宋体"/>
          <w:b/>
          <w:bCs/>
          <w:color w:val="auto"/>
          <w:sz w:val="30"/>
          <w:szCs w:val="30"/>
          <w:highlight w:val="none"/>
        </w:rPr>
        <w:t>发  出 日 期：</w:t>
      </w:r>
      <w:r>
        <w:rPr>
          <w:rFonts w:hint="eastAsia" w:ascii="宋体" w:hAnsi="宋体" w:eastAsia="宋体" w:cs="宋体"/>
          <w:b/>
          <w:bCs/>
          <w:color w:val="auto"/>
          <w:sz w:val="30"/>
          <w:szCs w:val="30"/>
          <w:highlight w:val="none"/>
          <w:u w:val="single"/>
        </w:rPr>
        <w:t>202</w:t>
      </w:r>
      <w:r>
        <w:rPr>
          <w:rFonts w:hint="eastAsia" w:ascii="宋体" w:hAnsi="宋体" w:cs="宋体"/>
          <w:b/>
          <w:bCs/>
          <w:color w:val="auto"/>
          <w:sz w:val="30"/>
          <w:szCs w:val="30"/>
          <w:highlight w:val="none"/>
          <w:u w:val="single"/>
          <w:lang w:val="en-US" w:eastAsia="zh-CN"/>
        </w:rPr>
        <w:t>5</w:t>
      </w:r>
      <w:r>
        <w:rPr>
          <w:rFonts w:hint="eastAsia" w:ascii="宋体" w:hAnsi="宋体" w:eastAsia="宋体" w:cs="宋体"/>
          <w:b/>
          <w:bCs/>
          <w:color w:val="auto"/>
          <w:sz w:val="30"/>
          <w:szCs w:val="30"/>
          <w:highlight w:val="none"/>
          <w:u w:val="single"/>
        </w:rPr>
        <w:t>年</w:t>
      </w:r>
      <w:r>
        <w:rPr>
          <w:rFonts w:hint="eastAsia" w:ascii="宋体" w:hAnsi="宋体" w:cs="宋体"/>
          <w:b/>
          <w:bCs/>
          <w:color w:val="auto"/>
          <w:sz w:val="30"/>
          <w:szCs w:val="30"/>
          <w:highlight w:val="none"/>
          <w:u w:val="single"/>
          <w:lang w:val="en-US" w:eastAsia="zh-CN"/>
        </w:rPr>
        <w:t>3</w:t>
      </w:r>
      <w:r>
        <w:rPr>
          <w:rFonts w:hint="eastAsia" w:ascii="宋体" w:hAnsi="宋体" w:eastAsia="宋体" w:cs="宋体"/>
          <w:b/>
          <w:bCs/>
          <w:color w:val="auto"/>
          <w:sz w:val="30"/>
          <w:szCs w:val="30"/>
          <w:highlight w:val="none"/>
          <w:u w:val="single"/>
        </w:rPr>
        <w:t>月</w:t>
      </w:r>
    </w:p>
    <w:p w14:paraId="224FDD9B">
      <w:pPr>
        <w:spacing w:line="240" w:lineRule="atLeast"/>
        <w:ind w:left="1079" w:leftChars="257" w:hanging="540"/>
        <w:jc w:val="center"/>
        <w:rPr>
          <w:rFonts w:hint="eastAsia" w:ascii="宋体" w:hAnsi="宋体" w:eastAsia="宋体" w:cs="宋体"/>
          <w:b/>
          <w:color w:val="auto"/>
          <w:sz w:val="52"/>
          <w:highlight w:val="none"/>
        </w:rPr>
      </w:pPr>
      <w:r>
        <w:rPr>
          <w:rFonts w:hint="eastAsia" w:ascii="宋体" w:hAnsi="宋体" w:eastAsia="宋体" w:cs="宋体"/>
          <w:b/>
          <w:color w:val="auto"/>
          <w:sz w:val="52"/>
          <w:highlight w:val="none"/>
        </w:rPr>
        <w:br w:type="page"/>
      </w:r>
    </w:p>
    <w:p w14:paraId="7A319A2C">
      <w:pPr>
        <w:spacing w:line="240" w:lineRule="atLeast"/>
        <w:ind w:left="1079" w:leftChars="257" w:hanging="540"/>
        <w:jc w:val="center"/>
        <w:rPr>
          <w:rFonts w:hint="eastAsia" w:ascii="宋体" w:hAnsi="宋体" w:eastAsia="宋体" w:cs="宋体"/>
          <w:b/>
          <w:color w:val="auto"/>
          <w:sz w:val="52"/>
          <w:highlight w:val="none"/>
        </w:rPr>
      </w:pPr>
    </w:p>
    <w:p w14:paraId="6EF96B1C">
      <w:pPr>
        <w:spacing w:line="240" w:lineRule="atLeast"/>
        <w:ind w:left="1079" w:leftChars="257" w:hanging="540"/>
        <w:jc w:val="center"/>
        <w:rPr>
          <w:rFonts w:hint="eastAsia" w:ascii="宋体" w:hAnsi="宋体" w:eastAsia="宋体" w:cs="宋体"/>
          <w:b/>
          <w:color w:val="auto"/>
          <w:sz w:val="52"/>
          <w:highlight w:val="none"/>
        </w:rPr>
      </w:pPr>
    </w:p>
    <w:p w14:paraId="0FA39949">
      <w:pPr>
        <w:spacing w:line="240" w:lineRule="atLeast"/>
        <w:ind w:left="1079" w:leftChars="257" w:hanging="540"/>
        <w:jc w:val="center"/>
        <w:rPr>
          <w:rFonts w:hint="eastAsia" w:ascii="宋体" w:hAnsi="宋体" w:eastAsia="宋体" w:cs="宋体"/>
          <w:b/>
          <w:color w:val="auto"/>
          <w:sz w:val="52"/>
          <w:highlight w:val="none"/>
        </w:rPr>
      </w:pPr>
    </w:p>
    <w:p w14:paraId="1E3CE75E">
      <w:pPr>
        <w:spacing w:line="240" w:lineRule="atLeast"/>
        <w:ind w:left="1079" w:leftChars="257" w:hanging="540"/>
        <w:jc w:val="center"/>
        <w:rPr>
          <w:rFonts w:hint="eastAsia" w:ascii="宋体" w:hAnsi="宋体" w:eastAsia="宋体" w:cs="宋体"/>
          <w:b/>
          <w:color w:val="auto"/>
          <w:sz w:val="52"/>
          <w:highlight w:val="none"/>
        </w:rPr>
      </w:pPr>
    </w:p>
    <w:p w14:paraId="0D8FDEA5">
      <w:pPr>
        <w:spacing w:line="240" w:lineRule="atLeast"/>
        <w:ind w:left="1079" w:leftChars="257" w:hanging="540"/>
        <w:jc w:val="center"/>
        <w:rPr>
          <w:rFonts w:hint="eastAsia" w:ascii="宋体" w:hAnsi="宋体" w:eastAsia="宋体" w:cs="宋体"/>
          <w:b/>
          <w:color w:val="auto"/>
          <w:sz w:val="52"/>
          <w:highlight w:val="none"/>
        </w:rPr>
      </w:pPr>
    </w:p>
    <w:p w14:paraId="7D87FC54">
      <w:pPr>
        <w:spacing w:line="240" w:lineRule="atLeast"/>
        <w:ind w:left="1079" w:leftChars="257" w:hanging="540"/>
        <w:jc w:val="center"/>
        <w:rPr>
          <w:rFonts w:hint="eastAsia" w:ascii="宋体" w:hAnsi="宋体" w:eastAsia="宋体" w:cs="宋体"/>
          <w:b/>
          <w:color w:val="auto"/>
          <w:sz w:val="52"/>
          <w:highlight w:val="none"/>
        </w:rPr>
      </w:pPr>
    </w:p>
    <w:p w14:paraId="5DE69F49">
      <w:pPr>
        <w:spacing w:line="240" w:lineRule="atLeast"/>
        <w:ind w:left="1079" w:leftChars="257" w:hanging="540"/>
        <w:jc w:val="center"/>
        <w:rPr>
          <w:rFonts w:hint="eastAsia" w:ascii="宋体" w:hAnsi="宋体" w:eastAsia="宋体" w:cs="宋体"/>
          <w:b/>
          <w:color w:val="auto"/>
          <w:sz w:val="52"/>
          <w:highlight w:val="none"/>
        </w:rPr>
      </w:pPr>
    </w:p>
    <w:p w14:paraId="36D3621D">
      <w:pPr>
        <w:spacing w:line="240" w:lineRule="atLeast"/>
        <w:ind w:left="1079" w:leftChars="257" w:hanging="540"/>
        <w:jc w:val="center"/>
        <w:rPr>
          <w:rFonts w:hint="eastAsia" w:ascii="宋体" w:hAnsi="宋体" w:eastAsia="宋体" w:cs="宋体"/>
          <w:b/>
          <w:color w:val="auto"/>
          <w:sz w:val="52"/>
          <w:highlight w:val="none"/>
        </w:rPr>
      </w:pPr>
    </w:p>
    <w:p w14:paraId="3E260138">
      <w:pPr>
        <w:spacing w:line="240" w:lineRule="atLeast"/>
        <w:ind w:left="1079" w:leftChars="257" w:hanging="540"/>
        <w:jc w:val="center"/>
        <w:rPr>
          <w:rFonts w:hint="eastAsia" w:ascii="宋体" w:hAnsi="宋体" w:eastAsia="宋体" w:cs="宋体"/>
          <w:b/>
          <w:color w:val="auto"/>
          <w:sz w:val="52"/>
          <w:highlight w:val="none"/>
        </w:rPr>
      </w:pPr>
    </w:p>
    <w:p w14:paraId="2D5ADA80">
      <w:pPr>
        <w:spacing w:line="240" w:lineRule="atLeast"/>
        <w:ind w:left="1079" w:leftChars="257" w:hanging="540"/>
        <w:jc w:val="center"/>
        <w:rPr>
          <w:rFonts w:hint="eastAsia" w:ascii="宋体" w:hAnsi="宋体" w:eastAsia="宋体" w:cs="宋体"/>
          <w:b/>
          <w:color w:val="auto"/>
          <w:sz w:val="52"/>
          <w:highlight w:val="none"/>
        </w:rPr>
      </w:pPr>
    </w:p>
    <w:p w14:paraId="03093DBA">
      <w:pPr>
        <w:spacing w:line="240" w:lineRule="atLeast"/>
        <w:ind w:left="1079" w:leftChars="257" w:hanging="540"/>
        <w:jc w:val="center"/>
        <w:rPr>
          <w:rFonts w:hint="eastAsia" w:ascii="宋体" w:hAnsi="宋体" w:eastAsia="宋体" w:cs="宋体"/>
          <w:b/>
          <w:color w:val="auto"/>
          <w:sz w:val="52"/>
          <w:highlight w:val="none"/>
        </w:rPr>
      </w:pPr>
    </w:p>
    <w:p w14:paraId="7162EC1A">
      <w:pPr>
        <w:spacing w:line="240" w:lineRule="atLeast"/>
        <w:ind w:left="1079" w:leftChars="257" w:hanging="540"/>
        <w:jc w:val="center"/>
        <w:rPr>
          <w:rFonts w:hint="eastAsia" w:ascii="宋体" w:hAnsi="宋体" w:eastAsia="宋体" w:cs="宋体"/>
          <w:b/>
          <w:color w:val="auto"/>
          <w:sz w:val="52"/>
          <w:highlight w:val="none"/>
        </w:rPr>
      </w:pPr>
    </w:p>
    <w:p w14:paraId="3B29C3A7">
      <w:pPr>
        <w:spacing w:line="240" w:lineRule="atLeast"/>
        <w:ind w:left="1079" w:leftChars="257" w:hanging="540"/>
        <w:jc w:val="center"/>
        <w:rPr>
          <w:rFonts w:hint="eastAsia" w:ascii="宋体" w:hAnsi="宋体" w:eastAsia="宋体" w:cs="宋体"/>
          <w:b/>
          <w:color w:val="auto"/>
          <w:sz w:val="52"/>
          <w:highlight w:val="none"/>
        </w:rPr>
      </w:pPr>
    </w:p>
    <w:p w14:paraId="22826603">
      <w:pPr>
        <w:spacing w:line="240" w:lineRule="atLeast"/>
        <w:ind w:left="1079" w:leftChars="257" w:hanging="540"/>
        <w:jc w:val="center"/>
        <w:rPr>
          <w:rFonts w:hint="eastAsia" w:ascii="宋体" w:hAnsi="宋体" w:eastAsia="宋体" w:cs="宋体"/>
          <w:b/>
          <w:color w:val="auto"/>
          <w:sz w:val="52"/>
          <w:highlight w:val="none"/>
        </w:rPr>
      </w:pPr>
    </w:p>
    <w:p w14:paraId="47D53FCE">
      <w:pPr>
        <w:pStyle w:val="42"/>
        <w:rPr>
          <w:rFonts w:hint="eastAsia" w:ascii="宋体" w:hAnsi="宋体" w:eastAsia="宋体" w:cs="宋体"/>
          <w:b/>
          <w:color w:val="auto"/>
          <w:sz w:val="52"/>
          <w:highlight w:val="none"/>
        </w:rPr>
      </w:pPr>
    </w:p>
    <w:p w14:paraId="473E9268">
      <w:pPr>
        <w:spacing w:line="240" w:lineRule="atLeast"/>
        <w:ind w:left="1079" w:leftChars="257" w:hanging="54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目  录</w:t>
      </w:r>
    </w:p>
    <w:p w14:paraId="61DA9869">
      <w:pPr>
        <w:pStyle w:val="21"/>
        <w:tabs>
          <w:tab w:val="right" w:leader="dot" w:pos="8312"/>
        </w:tabs>
        <w:spacing w:line="360" w:lineRule="auto"/>
        <w:rPr>
          <w:rFonts w:hint="eastAsia" w:ascii="宋体" w:hAnsi="宋体" w:eastAsia="宋体" w:cs="宋体"/>
          <w:b/>
          <w:bCs/>
          <w:color w:val="auto"/>
          <w:sz w:val="24"/>
          <w:szCs w:val="32"/>
          <w:highlight w:val="none"/>
        </w:rPr>
      </w:pPr>
      <w:r>
        <w:rPr>
          <w:rFonts w:hint="eastAsia" w:ascii="宋体" w:hAnsi="宋体" w:eastAsia="宋体" w:cs="宋体"/>
          <w:color w:val="auto"/>
          <w:kern w:val="0"/>
          <w:szCs w:val="21"/>
          <w:highlight w:val="none"/>
        </w:rPr>
        <w:fldChar w:fldCharType="begin"/>
      </w:r>
      <w:r>
        <w:rPr>
          <w:rFonts w:hint="eastAsia" w:ascii="宋体" w:hAnsi="宋体" w:eastAsia="宋体" w:cs="宋体"/>
          <w:color w:val="auto"/>
          <w:kern w:val="0"/>
          <w:szCs w:val="21"/>
          <w:highlight w:val="none"/>
        </w:rPr>
        <w:instrText xml:space="preserve"> TOC \o "1-3" \h \z \u </w:instrText>
      </w:r>
      <w:r>
        <w:rPr>
          <w:rFonts w:hint="eastAsia" w:ascii="宋体" w:hAnsi="宋体" w:eastAsia="宋体" w:cs="宋体"/>
          <w:color w:val="auto"/>
          <w:kern w:val="0"/>
          <w:szCs w:val="21"/>
          <w:highlight w:val="none"/>
        </w:rPr>
        <w:fldChar w:fldCharType="separate"/>
      </w: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_Toc25817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第1章   投标人须知</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PAGEREF _Toc25817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1</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kern w:val="0"/>
          <w:sz w:val="24"/>
          <w:szCs w:val="24"/>
          <w:highlight w:val="none"/>
        </w:rPr>
        <w:fldChar w:fldCharType="end"/>
      </w:r>
    </w:p>
    <w:p w14:paraId="5154F644">
      <w:pPr>
        <w:pStyle w:val="27"/>
        <w:tabs>
          <w:tab w:val="right" w:leader="dot" w:pos="8312"/>
        </w:tabs>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_Toc22145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一   总 则</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PAGEREF _Toc22145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1</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kern w:val="0"/>
          <w:sz w:val="24"/>
          <w:szCs w:val="24"/>
          <w:highlight w:val="none"/>
        </w:rPr>
        <w:fldChar w:fldCharType="end"/>
      </w:r>
    </w:p>
    <w:p w14:paraId="1C6C94C1">
      <w:pPr>
        <w:pStyle w:val="12"/>
        <w:tabs>
          <w:tab w:val="right" w:leader="dot" w:pos="8312"/>
          <w:tab w:val="clear" w:pos="1260"/>
          <w:tab w:val="clear" w:pos="8630"/>
        </w:tabs>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_Toc5999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1.采购人、采购代理机构及投标人</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PAGEREF _Toc5999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1</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kern w:val="0"/>
          <w:sz w:val="24"/>
          <w:szCs w:val="24"/>
          <w:highlight w:val="none"/>
        </w:rPr>
        <w:fldChar w:fldCharType="end"/>
      </w:r>
    </w:p>
    <w:p w14:paraId="6891D429">
      <w:pPr>
        <w:pStyle w:val="12"/>
        <w:tabs>
          <w:tab w:val="right" w:leader="dot" w:pos="8312"/>
          <w:tab w:val="clear" w:pos="1260"/>
          <w:tab w:val="clear" w:pos="8630"/>
        </w:tabs>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_Toc4322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2.资金来源</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PAGEREF _Toc4322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1</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kern w:val="0"/>
          <w:sz w:val="24"/>
          <w:szCs w:val="24"/>
          <w:highlight w:val="none"/>
        </w:rPr>
        <w:fldChar w:fldCharType="end"/>
      </w:r>
    </w:p>
    <w:p w14:paraId="1E57D7E1">
      <w:pPr>
        <w:pStyle w:val="12"/>
        <w:tabs>
          <w:tab w:val="right" w:leader="dot" w:pos="8312"/>
          <w:tab w:val="clear" w:pos="1260"/>
          <w:tab w:val="clear" w:pos="8630"/>
        </w:tabs>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_Toc13828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3.投标费用</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PAGEREF _Toc13828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1</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kern w:val="0"/>
          <w:sz w:val="24"/>
          <w:szCs w:val="24"/>
          <w:highlight w:val="none"/>
        </w:rPr>
        <w:fldChar w:fldCharType="end"/>
      </w:r>
    </w:p>
    <w:p w14:paraId="35E87B71">
      <w:pPr>
        <w:pStyle w:val="12"/>
        <w:tabs>
          <w:tab w:val="right" w:leader="dot" w:pos="8312"/>
          <w:tab w:val="clear" w:pos="1260"/>
          <w:tab w:val="clear" w:pos="8630"/>
        </w:tabs>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_Toc32665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4.适用法律</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PAGEREF _Toc32665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1</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kern w:val="0"/>
          <w:sz w:val="24"/>
          <w:szCs w:val="24"/>
          <w:highlight w:val="none"/>
        </w:rPr>
        <w:fldChar w:fldCharType="end"/>
      </w:r>
    </w:p>
    <w:p w14:paraId="5A4C12EB">
      <w:pPr>
        <w:pStyle w:val="27"/>
        <w:tabs>
          <w:tab w:val="right" w:leader="dot" w:pos="8312"/>
        </w:tabs>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_Toc28572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二   招标文件</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PAGEREF _Toc28572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2</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kern w:val="0"/>
          <w:sz w:val="24"/>
          <w:szCs w:val="24"/>
          <w:highlight w:val="none"/>
        </w:rPr>
        <w:fldChar w:fldCharType="end"/>
      </w:r>
    </w:p>
    <w:p w14:paraId="42EF5F5A">
      <w:pPr>
        <w:pStyle w:val="12"/>
        <w:tabs>
          <w:tab w:val="right" w:leader="dot" w:pos="8312"/>
          <w:tab w:val="clear" w:pos="1260"/>
          <w:tab w:val="clear" w:pos="8630"/>
        </w:tabs>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_Toc4671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5.招标文件构成</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PAGEREF _Toc4671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2</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kern w:val="0"/>
          <w:sz w:val="24"/>
          <w:szCs w:val="24"/>
          <w:highlight w:val="none"/>
        </w:rPr>
        <w:fldChar w:fldCharType="end"/>
      </w:r>
    </w:p>
    <w:p w14:paraId="59E0BBEA">
      <w:pPr>
        <w:pStyle w:val="12"/>
        <w:tabs>
          <w:tab w:val="right" w:leader="dot" w:pos="8312"/>
          <w:tab w:val="clear" w:pos="1260"/>
          <w:tab w:val="clear" w:pos="8630"/>
        </w:tabs>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_Toc1922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6.招标文件的澄清与修改</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PAGEREF _Toc1922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2</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kern w:val="0"/>
          <w:sz w:val="24"/>
          <w:szCs w:val="24"/>
          <w:highlight w:val="none"/>
        </w:rPr>
        <w:fldChar w:fldCharType="end"/>
      </w:r>
    </w:p>
    <w:p w14:paraId="21F17722">
      <w:pPr>
        <w:pStyle w:val="12"/>
        <w:tabs>
          <w:tab w:val="right" w:leader="dot" w:pos="8312"/>
          <w:tab w:val="clear" w:pos="1260"/>
          <w:tab w:val="clear" w:pos="8630"/>
        </w:tabs>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_Toc12448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7.投标截止时间的顺延</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PAGEREF _Toc12448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2</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kern w:val="0"/>
          <w:sz w:val="24"/>
          <w:szCs w:val="24"/>
          <w:highlight w:val="none"/>
        </w:rPr>
        <w:fldChar w:fldCharType="end"/>
      </w:r>
    </w:p>
    <w:p w14:paraId="2CE57D25">
      <w:pPr>
        <w:pStyle w:val="27"/>
        <w:tabs>
          <w:tab w:val="right" w:leader="dot" w:pos="8312"/>
        </w:tabs>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_Toc31039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三   投标文件的编制</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PAGEREF _Toc31039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2</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kern w:val="0"/>
          <w:sz w:val="24"/>
          <w:szCs w:val="24"/>
          <w:highlight w:val="none"/>
        </w:rPr>
        <w:fldChar w:fldCharType="end"/>
      </w:r>
    </w:p>
    <w:p w14:paraId="2D42F4AF">
      <w:pPr>
        <w:pStyle w:val="12"/>
        <w:tabs>
          <w:tab w:val="right" w:pos="3600"/>
          <w:tab w:val="right" w:leader="dot" w:pos="8312"/>
          <w:tab w:val="clear" w:pos="1260"/>
          <w:tab w:val="clear" w:pos="8630"/>
        </w:tabs>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_Toc30570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8.</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t>投标范围及投标文件中标准和计量单位的使用</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PAGEREF _Toc30570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2</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kern w:val="0"/>
          <w:sz w:val="24"/>
          <w:szCs w:val="24"/>
          <w:highlight w:val="none"/>
        </w:rPr>
        <w:fldChar w:fldCharType="end"/>
      </w:r>
    </w:p>
    <w:p w14:paraId="663B91EA">
      <w:pPr>
        <w:pStyle w:val="12"/>
        <w:tabs>
          <w:tab w:val="right" w:leader="dot" w:pos="8312"/>
          <w:tab w:val="clear" w:pos="1260"/>
          <w:tab w:val="clear" w:pos="8630"/>
        </w:tabs>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_Toc18692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9.投标文件构成</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PAGEREF _Toc18692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2</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kern w:val="0"/>
          <w:sz w:val="24"/>
          <w:szCs w:val="24"/>
          <w:highlight w:val="none"/>
        </w:rPr>
        <w:fldChar w:fldCharType="end"/>
      </w:r>
    </w:p>
    <w:p w14:paraId="37880AB5">
      <w:pPr>
        <w:pStyle w:val="12"/>
        <w:tabs>
          <w:tab w:val="right" w:pos="3600"/>
          <w:tab w:val="right" w:leader="dot" w:pos="8312"/>
          <w:tab w:val="clear" w:pos="1260"/>
          <w:tab w:val="clear" w:pos="8630"/>
        </w:tabs>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_Toc13143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10.</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t>证明投标标的的合格性和符合招标文件规定的技术文件</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PAGEREF _Toc13143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3</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kern w:val="0"/>
          <w:sz w:val="24"/>
          <w:szCs w:val="24"/>
          <w:highlight w:val="none"/>
        </w:rPr>
        <w:fldChar w:fldCharType="end"/>
      </w:r>
    </w:p>
    <w:p w14:paraId="69E2932D">
      <w:pPr>
        <w:pStyle w:val="12"/>
        <w:tabs>
          <w:tab w:val="right" w:leader="dot" w:pos="8312"/>
          <w:tab w:val="clear" w:pos="1260"/>
          <w:tab w:val="clear" w:pos="8630"/>
        </w:tabs>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_Toc19624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11.投标报价</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PAGEREF _Toc19624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3</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kern w:val="0"/>
          <w:sz w:val="24"/>
          <w:szCs w:val="24"/>
          <w:highlight w:val="none"/>
        </w:rPr>
        <w:fldChar w:fldCharType="end"/>
      </w:r>
    </w:p>
    <w:p w14:paraId="276866D5">
      <w:pPr>
        <w:pStyle w:val="12"/>
        <w:tabs>
          <w:tab w:val="right" w:leader="dot" w:pos="8312"/>
          <w:tab w:val="clear" w:pos="1260"/>
          <w:tab w:val="clear" w:pos="8630"/>
        </w:tabs>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_Toc22212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12.投标保证金</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PAGEREF _Toc22212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3</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kern w:val="0"/>
          <w:sz w:val="24"/>
          <w:szCs w:val="24"/>
          <w:highlight w:val="none"/>
        </w:rPr>
        <w:fldChar w:fldCharType="end"/>
      </w:r>
    </w:p>
    <w:p w14:paraId="5D594EC6">
      <w:pPr>
        <w:pStyle w:val="12"/>
        <w:tabs>
          <w:tab w:val="right" w:leader="dot" w:pos="8312"/>
          <w:tab w:val="clear" w:pos="1260"/>
          <w:tab w:val="clear" w:pos="8630"/>
        </w:tabs>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_Toc22901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13.投标有效期</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PAGEREF _Toc22901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4</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kern w:val="0"/>
          <w:sz w:val="24"/>
          <w:szCs w:val="24"/>
          <w:highlight w:val="none"/>
        </w:rPr>
        <w:fldChar w:fldCharType="end"/>
      </w:r>
    </w:p>
    <w:p w14:paraId="33CC1FDC">
      <w:pPr>
        <w:pStyle w:val="12"/>
        <w:tabs>
          <w:tab w:val="right" w:leader="dot" w:pos="8312"/>
          <w:tab w:val="clear" w:pos="1260"/>
          <w:tab w:val="clear" w:pos="8630"/>
        </w:tabs>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_Toc17609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14.投标文件的签署及规定</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PAGEREF _Toc17609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4</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kern w:val="0"/>
          <w:sz w:val="24"/>
          <w:szCs w:val="24"/>
          <w:highlight w:val="none"/>
        </w:rPr>
        <w:fldChar w:fldCharType="end"/>
      </w:r>
    </w:p>
    <w:p w14:paraId="779D072C">
      <w:pPr>
        <w:pStyle w:val="27"/>
        <w:tabs>
          <w:tab w:val="right" w:leader="dot" w:pos="8312"/>
        </w:tabs>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_Toc25925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四   投标文件的递交</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PAGEREF _Toc25925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4</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kern w:val="0"/>
          <w:sz w:val="24"/>
          <w:szCs w:val="24"/>
          <w:highlight w:val="none"/>
        </w:rPr>
        <w:fldChar w:fldCharType="end"/>
      </w:r>
    </w:p>
    <w:p w14:paraId="016CCEC5">
      <w:pPr>
        <w:pStyle w:val="12"/>
        <w:tabs>
          <w:tab w:val="right" w:leader="dot" w:pos="8312"/>
          <w:tab w:val="clear" w:pos="1260"/>
          <w:tab w:val="clear" w:pos="8630"/>
        </w:tabs>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_Toc26195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15.投标文件的密封和标记</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PAGEREF _Toc26195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4</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kern w:val="0"/>
          <w:sz w:val="24"/>
          <w:szCs w:val="24"/>
          <w:highlight w:val="none"/>
        </w:rPr>
        <w:fldChar w:fldCharType="end"/>
      </w:r>
    </w:p>
    <w:p w14:paraId="4AAAFD36">
      <w:pPr>
        <w:pStyle w:val="12"/>
        <w:tabs>
          <w:tab w:val="right" w:leader="dot" w:pos="8312"/>
          <w:tab w:val="clear" w:pos="1260"/>
          <w:tab w:val="clear" w:pos="8630"/>
        </w:tabs>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_Toc24017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16.投标截止</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PAGEREF _Toc24017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5</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kern w:val="0"/>
          <w:sz w:val="24"/>
          <w:szCs w:val="24"/>
          <w:highlight w:val="none"/>
        </w:rPr>
        <w:fldChar w:fldCharType="end"/>
      </w:r>
    </w:p>
    <w:p w14:paraId="19BE62EE">
      <w:pPr>
        <w:pStyle w:val="12"/>
        <w:tabs>
          <w:tab w:val="right" w:leader="dot" w:pos="8312"/>
          <w:tab w:val="clear" w:pos="1260"/>
          <w:tab w:val="clear" w:pos="8630"/>
        </w:tabs>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_Toc24785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17.投标文件的接收、修改与撤回</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PAGEREF _Toc24785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5</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kern w:val="0"/>
          <w:sz w:val="24"/>
          <w:szCs w:val="24"/>
          <w:highlight w:val="none"/>
        </w:rPr>
        <w:fldChar w:fldCharType="end"/>
      </w:r>
    </w:p>
    <w:p w14:paraId="7FF7AC4F">
      <w:pPr>
        <w:pStyle w:val="27"/>
        <w:tabs>
          <w:tab w:val="right" w:leader="dot" w:pos="8312"/>
        </w:tabs>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_Toc20246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五   开标及评标</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PAGEREF _Toc20246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5</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kern w:val="0"/>
          <w:sz w:val="24"/>
          <w:szCs w:val="24"/>
          <w:highlight w:val="none"/>
        </w:rPr>
        <w:fldChar w:fldCharType="end"/>
      </w:r>
    </w:p>
    <w:p w14:paraId="5D87A8E0">
      <w:pPr>
        <w:pStyle w:val="12"/>
        <w:tabs>
          <w:tab w:val="right" w:leader="dot" w:pos="8312"/>
          <w:tab w:val="clear" w:pos="1260"/>
          <w:tab w:val="clear" w:pos="8630"/>
        </w:tabs>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_Toc17257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18. 开标</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PAGEREF _Toc17257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5</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kern w:val="0"/>
          <w:sz w:val="24"/>
          <w:szCs w:val="24"/>
          <w:highlight w:val="none"/>
        </w:rPr>
        <w:fldChar w:fldCharType="end"/>
      </w:r>
    </w:p>
    <w:p w14:paraId="534F32F6">
      <w:pPr>
        <w:pStyle w:val="12"/>
        <w:tabs>
          <w:tab w:val="right" w:leader="dot" w:pos="8312"/>
          <w:tab w:val="clear" w:pos="1260"/>
          <w:tab w:val="clear" w:pos="8630"/>
        </w:tabs>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_Toc31290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19.资格审查及组建评标委员会</w:t>
      </w:r>
      <w:r>
        <w:rPr>
          <w:rFonts w:hint="eastAsia" w:ascii="宋体" w:hAnsi="宋体" w:eastAsia="宋体" w:cs="宋体"/>
          <w:b/>
          <w:bCs/>
          <w:color w:val="auto"/>
          <w:sz w:val="24"/>
          <w:szCs w:val="32"/>
          <w:highlight w:val="none"/>
        </w:rPr>
        <w:tab/>
      </w:r>
      <w:r>
        <w:rPr>
          <w:rFonts w:hint="eastAsia" w:ascii="宋体" w:hAnsi="宋体" w:cs="宋体"/>
          <w:b/>
          <w:bCs/>
          <w:color w:val="auto"/>
          <w:sz w:val="24"/>
          <w:szCs w:val="32"/>
          <w:highlight w:val="none"/>
          <w:lang w:val="en-US" w:eastAsia="zh-CN"/>
        </w:rPr>
        <w:t>6</w:t>
      </w:r>
      <w:r>
        <w:rPr>
          <w:rFonts w:hint="eastAsia" w:ascii="宋体" w:hAnsi="宋体" w:eastAsia="宋体" w:cs="宋体"/>
          <w:b/>
          <w:bCs/>
          <w:color w:val="auto"/>
          <w:kern w:val="0"/>
          <w:sz w:val="24"/>
          <w:szCs w:val="24"/>
          <w:highlight w:val="none"/>
        </w:rPr>
        <w:fldChar w:fldCharType="end"/>
      </w:r>
    </w:p>
    <w:p w14:paraId="20737196">
      <w:pPr>
        <w:pStyle w:val="12"/>
        <w:tabs>
          <w:tab w:val="right" w:leader="dot" w:pos="8312"/>
          <w:tab w:val="clear" w:pos="1260"/>
          <w:tab w:val="clear" w:pos="8630"/>
        </w:tabs>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_Toc26332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20.投标文件符合性审查与澄清</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PAGEREF _Toc26332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6</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kern w:val="0"/>
          <w:sz w:val="24"/>
          <w:szCs w:val="24"/>
          <w:highlight w:val="none"/>
        </w:rPr>
        <w:fldChar w:fldCharType="end"/>
      </w:r>
    </w:p>
    <w:p w14:paraId="56CD9B77">
      <w:pPr>
        <w:pStyle w:val="12"/>
        <w:tabs>
          <w:tab w:val="right" w:leader="dot" w:pos="8312"/>
          <w:tab w:val="clear" w:pos="1260"/>
          <w:tab w:val="clear" w:pos="8630"/>
        </w:tabs>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_Toc18529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21.投标偏离</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PAGEREF _Toc18529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7</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kern w:val="0"/>
          <w:sz w:val="24"/>
          <w:szCs w:val="24"/>
          <w:highlight w:val="none"/>
        </w:rPr>
        <w:fldChar w:fldCharType="end"/>
      </w:r>
    </w:p>
    <w:p w14:paraId="1E6316B0">
      <w:pPr>
        <w:pStyle w:val="12"/>
        <w:tabs>
          <w:tab w:val="right" w:leader="dot" w:pos="8312"/>
          <w:tab w:val="clear" w:pos="1260"/>
          <w:tab w:val="clear" w:pos="8630"/>
        </w:tabs>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_Toc23936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22.投标无效</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PAGEREF _Toc23936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7</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kern w:val="0"/>
          <w:sz w:val="24"/>
          <w:szCs w:val="24"/>
          <w:highlight w:val="none"/>
        </w:rPr>
        <w:fldChar w:fldCharType="end"/>
      </w:r>
    </w:p>
    <w:p w14:paraId="121CABDE">
      <w:pPr>
        <w:pStyle w:val="12"/>
        <w:tabs>
          <w:tab w:val="right" w:leader="dot" w:pos="8312"/>
          <w:tab w:val="clear" w:pos="1260"/>
          <w:tab w:val="clear" w:pos="8630"/>
        </w:tabs>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_Toc8521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23.比较与评价</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PAGEREF _Toc8521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7</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kern w:val="0"/>
          <w:sz w:val="24"/>
          <w:szCs w:val="24"/>
          <w:highlight w:val="none"/>
        </w:rPr>
        <w:fldChar w:fldCharType="end"/>
      </w:r>
    </w:p>
    <w:p w14:paraId="69595EF6">
      <w:pPr>
        <w:pStyle w:val="12"/>
        <w:tabs>
          <w:tab w:val="right" w:leader="dot" w:pos="8312"/>
          <w:tab w:val="clear" w:pos="1260"/>
          <w:tab w:val="clear" w:pos="8630"/>
        </w:tabs>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_Toc31728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24.废标</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PAGEREF _Toc31728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8</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kern w:val="0"/>
          <w:sz w:val="24"/>
          <w:szCs w:val="24"/>
          <w:highlight w:val="none"/>
        </w:rPr>
        <w:fldChar w:fldCharType="end"/>
      </w:r>
    </w:p>
    <w:p w14:paraId="2FDE5233">
      <w:pPr>
        <w:pStyle w:val="12"/>
        <w:tabs>
          <w:tab w:val="right" w:leader="dot" w:pos="8312"/>
          <w:tab w:val="clear" w:pos="1260"/>
          <w:tab w:val="clear" w:pos="8630"/>
        </w:tabs>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_Toc11175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25.保密原则</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PAGEREF _Toc11175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8</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kern w:val="0"/>
          <w:sz w:val="24"/>
          <w:szCs w:val="24"/>
          <w:highlight w:val="none"/>
        </w:rPr>
        <w:fldChar w:fldCharType="end"/>
      </w:r>
    </w:p>
    <w:p w14:paraId="196B03AC">
      <w:pPr>
        <w:pStyle w:val="27"/>
        <w:tabs>
          <w:tab w:val="right" w:leader="dot" w:pos="8312"/>
        </w:tabs>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_Toc2153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六   确定中标</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PAGEREF _Toc2153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8</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kern w:val="0"/>
          <w:sz w:val="24"/>
          <w:szCs w:val="24"/>
          <w:highlight w:val="none"/>
        </w:rPr>
        <w:fldChar w:fldCharType="end"/>
      </w:r>
    </w:p>
    <w:p w14:paraId="1DEB5B9B">
      <w:pPr>
        <w:pStyle w:val="12"/>
        <w:tabs>
          <w:tab w:val="right" w:leader="dot" w:pos="8312"/>
          <w:tab w:val="clear" w:pos="1260"/>
          <w:tab w:val="clear" w:pos="8630"/>
        </w:tabs>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_Toc28066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26.中标候选人的确定原则及标准</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PAGEREF _Toc28066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8</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kern w:val="0"/>
          <w:sz w:val="24"/>
          <w:szCs w:val="24"/>
          <w:highlight w:val="none"/>
        </w:rPr>
        <w:fldChar w:fldCharType="end"/>
      </w:r>
    </w:p>
    <w:p w14:paraId="77065742">
      <w:pPr>
        <w:pStyle w:val="12"/>
        <w:tabs>
          <w:tab w:val="right" w:leader="dot" w:pos="8312"/>
          <w:tab w:val="clear" w:pos="1260"/>
          <w:tab w:val="clear" w:pos="8630"/>
        </w:tabs>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_Toc19950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27.确定中标候选人和中标人</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PAGEREF _Toc19950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8</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kern w:val="0"/>
          <w:sz w:val="24"/>
          <w:szCs w:val="24"/>
          <w:highlight w:val="none"/>
        </w:rPr>
        <w:fldChar w:fldCharType="end"/>
      </w:r>
    </w:p>
    <w:p w14:paraId="7B45FC6A">
      <w:pPr>
        <w:pStyle w:val="12"/>
        <w:tabs>
          <w:tab w:val="right" w:leader="dot" w:pos="8312"/>
          <w:tab w:val="clear" w:pos="1260"/>
          <w:tab w:val="clear" w:pos="8630"/>
        </w:tabs>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_Toc13782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28.采购任务取消</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PAGEREF _Toc13782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8</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kern w:val="0"/>
          <w:sz w:val="24"/>
          <w:szCs w:val="24"/>
          <w:highlight w:val="none"/>
        </w:rPr>
        <w:fldChar w:fldCharType="end"/>
      </w:r>
    </w:p>
    <w:p w14:paraId="4B9B0ED6">
      <w:pPr>
        <w:pStyle w:val="12"/>
        <w:tabs>
          <w:tab w:val="right" w:leader="dot" w:pos="8312"/>
          <w:tab w:val="clear" w:pos="1260"/>
          <w:tab w:val="clear" w:pos="8630"/>
        </w:tabs>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_Toc31142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29.中标通知书和招标结果通知书</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PAGEREF _Toc31142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8</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kern w:val="0"/>
          <w:sz w:val="24"/>
          <w:szCs w:val="24"/>
          <w:highlight w:val="none"/>
        </w:rPr>
        <w:fldChar w:fldCharType="end"/>
      </w:r>
    </w:p>
    <w:p w14:paraId="77E12556">
      <w:pPr>
        <w:pStyle w:val="12"/>
        <w:tabs>
          <w:tab w:val="right" w:leader="dot" w:pos="8312"/>
          <w:tab w:val="clear" w:pos="1260"/>
          <w:tab w:val="clear" w:pos="8630"/>
        </w:tabs>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_Toc14795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30.签订合同</w:t>
      </w:r>
      <w:r>
        <w:rPr>
          <w:rFonts w:hint="eastAsia" w:ascii="宋体" w:hAnsi="宋体" w:eastAsia="宋体" w:cs="宋体"/>
          <w:b/>
          <w:bCs/>
          <w:color w:val="auto"/>
          <w:sz w:val="24"/>
          <w:szCs w:val="32"/>
          <w:highlight w:val="none"/>
        </w:rPr>
        <w:tab/>
      </w:r>
      <w:r>
        <w:rPr>
          <w:rFonts w:hint="eastAsia" w:ascii="宋体" w:hAnsi="宋体" w:cs="宋体"/>
          <w:b/>
          <w:bCs/>
          <w:color w:val="auto"/>
          <w:sz w:val="24"/>
          <w:szCs w:val="32"/>
          <w:highlight w:val="none"/>
          <w:lang w:val="en-US" w:eastAsia="zh-CN"/>
        </w:rPr>
        <w:t>8</w:t>
      </w:r>
      <w:r>
        <w:rPr>
          <w:rFonts w:hint="eastAsia" w:ascii="宋体" w:hAnsi="宋体" w:eastAsia="宋体" w:cs="宋体"/>
          <w:b/>
          <w:bCs/>
          <w:color w:val="auto"/>
          <w:kern w:val="0"/>
          <w:sz w:val="24"/>
          <w:szCs w:val="24"/>
          <w:highlight w:val="none"/>
        </w:rPr>
        <w:fldChar w:fldCharType="end"/>
      </w:r>
    </w:p>
    <w:p w14:paraId="7C31C09D">
      <w:pPr>
        <w:pStyle w:val="12"/>
        <w:tabs>
          <w:tab w:val="right" w:leader="dot" w:pos="8312"/>
          <w:tab w:val="clear" w:pos="1260"/>
          <w:tab w:val="clear" w:pos="8630"/>
        </w:tabs>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_Toc7188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31.履约保证金</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PAGEREF _Toc7188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9</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kern w:val="0"/>
          <w:sz w:val="24"/>
          <w:szCs w:val="24"/>
          <w:highlight w:val="none"/>
        </w:rPr>
        <w:fldChar w:fldCharType="end"/>
      </w:r>
    </w:p>
    <w:p w14:paraId="3D31AA0F">
      <w:pPr>
        <w:pStyle w:val="12"/>
        <w:tabs>
          <w:tab w:val="right" w:leader="dot" w:pos="8312"/>
          <w:tab w:val="clear" w:pos="1260"/>
          <w:tab w:val="clear" w:pos="8630"/>
        </w:tabs>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_Toc31936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32.中标服务费</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PAGEREF _Toc31936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9</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kern w:val="0"/>
          <w:sz w:val="24"/>
          <w:szCs w:val="24"/>
          <w:highlight w:val="none"/>
        </w:rPr>
        <w:fldChar w:fldCharType="end"/>
      </w:r>
    </w:p>
    <w:p w14:paraId="7B123142">
      <w:pPr>
        <w:pStyle w:val="12"/>
        <w:tabs>
          <w:tab w:val="right" w:leader="dot" w:pos="8312"/>
          <w:tab w:val="clear" w:pos="1260"/>
          <w:tab w:val="clear" w:pos="8630"/>
        </w:tabs>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_Toc13588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33.政府采购信用担保</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PAGEREF _Toc13588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9</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kern w:val="0"/>
          <w:sz w:val="24"/>
          <w:szCs w:val="24"/>
          <w:highlight w:val="none"/>
        </w:rPr>
        <w:fldChar w:fldCharType="end"/>
      </w:r>
    </w:p>
    <w:p w14:paraId="4D605FD3">
      <w:pPr>
        <w:pStyle w:val="12"/>
        <w:tabs>
          <w:tab w:val="right" w:leader="dot" w:pos="8312"/>
          <w:tab w:val="clear" w:pos="1260"/>
          <w:tab w:val="clear" w:pos="8630"/>
        </w:tabs>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_Toc27198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34.廉洁自律规定</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PAGEREF _Toc27198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9</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kern w:val="0"/>
          <w:sz w:val="24"/>
          <w:szCs w:val="24"/>
          <w:highlight w:val="none"/>
        </w:rPr>
        <w:fldChar w:fldCharType="end"/>
      </w:r>
    </w:p>
    <w:p w14:paraId="2FF45DC2">
      <w:pPr>
        <w:pStyle w:val="12"/>
        <w:tabs>
          <w:tab w:val="right" w:leader="dot" w:pos="8312"/>
          <w:tab w:val="clear" w:pos="1260"/>
          <w:tab w:val="clear" w:pos="8630"/>
        </w:tabs>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_Toc10437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35.人员回避</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PAGEREF _Toc10437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9</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kern w:val="0"/>
          <w:sz w:val="24"/>
          <w:szCs w:val="24"/>
          <w:highlight w:val="none"/>
        </w:rPr>
        <w:fldChar w:fldCharType="end"/>
      </w:r>
    </w:p>
    <w:p w14:paraId="02FDE8DA">
      <w:pPr>
        <w:pStyle w:val="12"/>
        <w:tabs>
          <w:tab w:val="right" w:leader="dot" w:pos="8312"/>
          <w:tab w:val="clear" w:pos="1260"/>
          <w:tab w:val="clear" w:pos="8630"/>
        </w:tabs>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_Toc10700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36.质疑与接收</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PAGEREF _Toc10700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9</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kern w:val="0"/>
          <w:sz w:val="24"/>
          <w:szCs w:val="24"/>
          <w:highlight w:val="none"/>
        </w:rPr>
        <w:fldChar w:fldCharType="end"/>
      </w:r>
    </w:p>
    <w:p w14:paraId="23383EC1">
      <w:pPr>
        <w:pStyle w:val="21"/>
        <w:tabs>
          <w:tab w:val="right" w:leader="dot" w:pos="8312"/>
        </w:tabs>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_Toc19692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第2章 投标文件格式</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PAGEREF _Toc19692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1</w:t>
      </w:r>
      <w:r>
        <w:rPr>
          <w:rFonts w:hint="eastAsia" w:ascii="宋体" w:hAnsi="宋体" w:cs="宋体"/>
          <w:b/>
          <w:bCs/>
          <w:color w:val="auto"/>
          <w:sz w:val="24"/>
          <w:szCs w:val="32"/>
          <w:highlight w:val="none"/>
          <w:lang w:val="en-US" w:eastAsia="zh-CN"/>
        </w:rPr>
        <w:t>7</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kern w:val="0"/>
          <w:sz w:val="24"/>
          <w:szCs w:val="24"/>
          <w:highlight w:val="none"/>
        </w:rPr>
        <w:fldChar w:fldCharType="end"/>
      </w:r>
    </w:p>
    <w:p w14:paraId="467DBC85">
      <w:pPr>
        <w:pStyle w:val="21"/>
        <w:tabs>
          <w:tab w:val="right" w:leader="dot" w:pos="8312"/>
        </w:tabs>
        <w:spacing w:line="360" w:lineRule="auto"/>
        <w:rPr>
          <w:rFonts w:hint="eastAsia" w:ascii="宋体" w:hAnsi="宋体" w:eastAsia="宋体" w:cs="宋体"/>
          <w:b/>
          <w:bCs/>
          <w:color w:val="auto"/>
          <w:sz w:val="24"/>
          <w:szCs w:val="32"/>
          <w:highlight w:val="none"/>
          <w:lang w:val="en-US" w:eastAsia="zh-CN"/>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_Toc30462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第3章</w:t>
      </w:r>
      <w:r>
        <w:rPr>
          <w:rFonts w:hint="eastAsia" w:ascii="宋体" w:hAnsi="宋体" w:eastAsia="宋体" w:cs="宋体"/>
          <w:b/>
          <w:bCs/>
          <w:color w:val="auto"/>
          <w:sz w:val="24"/>
          <w:szCs w:val="32"/>
          <w:highlight w:val="none"/>
          <w:lang w:val="en-US" w:eastAsia="zh-CN"/>
        </w:rPr>
        <w:t xml:space="preserve"> </w:t>
      </w:r>
      <w:r>
        <w:rPr>
          <w:rFonts w:hint="eastAsia" w:ascii="宋体" w:hAnsi="宋体" w:eastAsia="宋体" w:cs="宋体"/>
          <w:b/>
          <w:bCs/>
          <w:color w:val="auto"/>
          <w:sz w:val="24"/>
          <w:szCs w:val="32"/>
          <w:highlight w:val="none"/>
          <w:lang w:eastAsia="zh-CN"/>
        </w:rPr>
        <w:t>招标公告</w:t>
      </w:r>
      <w:r>
        <w:rPr>
          <w:rFonts w:hint="eastAsia" w:ascii="宋体" w:hAnsi="宋体" w:eastAsia="宋体" w:cs="宋体"/>
          <w:b/>
          <w:bCs/>
          <w:color w:val="auto"/>
          <w:sz w:val="24"/>
          <w:szCs w:val="32"/>
          <w:highlight w:val="none"/>
        </w:rPr>
        <w:t xml:space="preserve"> </w:t>
      </w:r>
      <w:r>
        <w:rPr>
          <w:rFonts w:hint="eastAsia" w:ascii="宋体" w:hAnsi="宋体" w:eastAsia="宋体" w:cs="宋体"/>
          <w:b/>
          <w:bCs/>
          <w:color w:val="auto"/>
          <w:sz w:val="24"/>
          <w:szCs w:val="32"/>
          <w:highlight w:val="none"/>
        </w:rPr>
        <w:tab/>
      </w:r>
      <w:r>
        <w:rPr>
          <w:rFonts w:hint="eastAsia" w:ascii="宋体" w:hAnsi="宋体" w:cs="宋体"/>
          <w:b/>
          <w:bCs/>
          <w:color w:val="auto"/>
          <w:sz w:val="24"/>
          <w:szCs w:val="32"/>
          <w:highlight w:val="none"/>
          <w:lang w:val="en-US" w:eastAsia="zh-CN"/>
        </w:rPr>
        <w:t>4</w:t>
      </w:r>
      <w:r>
        <w:rPr>
          <w:rFonts w:hint="eastAsia" w:ascii="宋体" w:hAnsi="宋体" w:eastAsia="宋体" w:cs="宋体"/>
          <w:b/>
          <w:bCs/>
          <w:color w:val="auto"/>
          <w:kern w:val="0"/>
          <w:sz w:val="24"/>
          <w:szCs w:val="24"/>
          <w:highlight w:val="none"/>
        </w:rPr>
        <w:fldChar w:fldCharType="end"/>
      </w:r>
      <w:r>
        <w:rPr>
          <w:rFonts w:hint="eastAsia" w:ascii="宋体" w:hAnsi="宋体" w:cs="宋体"/>
          <w:b/>
          <w:bCs/>
          <w:color w:val="auto"/>
          <w:kern w:val="0"/>
          <w:sz w:val="24"/>
          <w:szCs w:val="24"/>
          <w:highlight w:val="none"/>
          <w:lang w:val="en-US" w:eastAsia="zh-CN"/>
        </w:rPr>
        <w:t>0</w:t>
      </w:r>
    </w:p>
    <w:p w14:paraId="555EE251">
      <w:pPr>
        <w:pStyle w:val="21"/>
        <w:tabs>
          <w:tab w:val="right" w:leader="dot" w:pos="8312"/>
        </w:tabs>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_Toc20439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40"/>
          <w:highlight w:val="none"/>
        </w:rPr>
        <w:t xml:space="preserve">第4章 </w:t>
      </w:r>
      <w:r>
        <w:rPr>
          <w:rFonts w:hint="eastAsia" w:ascii="宋体" w:hAnsi="宋体" w:eastAsia="宋体" w:cs="宋体"/>
          <w:b/>
          <w:bCs/>
          <w:color w:val="auto"/>
          <w:sz w:val="24"/>
          <w:szCs w:val="32"/>
          <w:highlight w:val="none"/>
        </w:rPr>
        <w:t>投标人须知资料表</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PAGEREF _Toc20439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4</w:t>
      </w:r>
      <w:r>
        <w:rPr>
          <w:rFonts w:hint="eastAsia" w:ascii="宋体" w:hAnsi="宋体" w:cs="宋体"/>
          <w:b/>
          <w:bCs/>
          <w:color w:val="auto"/>
          <w:sz w:val="24"/>
          <w:szCs w:val="32"/>
          <w:highlight w:val="none"/>
          <w:lang w:val="en-US" w:eastAsia="zh-CN"/>
        </w:rPr>
        <w:t>2</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kern w:val="0"/>
          <w:sz w:val="24"/>
          <w:szCs w:val="24"/>
          <w:highlight w:val="none"/>
        </w:rPr>
        <w:fldChar w:fldCharType="end"/>
      </w:r>
    </w:p>
    <w:p w14:paraId="2D7FD520">
      <w:pPr>
        <w:pStyle w:val="21"/>
        <w:tabs>
          <w:tab w:val="right" w:leader="dot" w:pos="8312"/>
        </w:tabs>
        <w:spacing w:line="360" w:lineRule="auto"/>
        <w:rPr>
          <w:rFonts w:hint="eastAsia" w:ascii="宋体" w:hAnsi="宋体" w:eastAsia="宋体" w:cs="宋体"/>
          <w:b/>
          <w:bCs/>
          <w:color w:val="auto"/>
          <w:sz w:val="24"/>
          <w:szCs w:val="32"/>
          <w:highlight w:val="none"/>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_Toc22779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第5章 货物需求一览表及技术规格</w:t>
      </w:r>
      <w:r>
        <w:rPr>
          <w:rFonts w:hint="eastAsia" w:ascii="宋体" w:hAnsi="宋体" w:eastAsia="宋体" w:cs="宋体"/>
          <w:b/>
          <w:bCs/>
          <w:color w:val="auto"/>
          <w:sz w:val="24"/>
          <w:szCs w:val="32"/>
          <w:highlight w:val="none"/>
        </w:rPr>
        <w:tab/>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PAGEREF _Toc22779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2"/>
          <w:highlight w:val="none"/>
        </w:rPr>
        <w:t>4</w:t>
      </w:r>
      <w:r>
        <w:rPr>
          <w:rFonts w:hint="eastAsia" w:ascii="宋体" w:hAnsi="宋体" w:cs="宋体"/>
          <w:b/>
          <w:bCs/>
          <w:color w:val="auto"/>
          <w:sz w:val="24"/>
          <w:szCs w:val="32"/>
          <w:highlight w:val="none"/>
          <w:lang w:val="en-US" w:eastAsia="zh-CN"/>
        </w:rPr>
        <w:t>4</w:t>
      </w:r>
      <w:r>
        <w:rPr>
          <w:rFonts w:hint="eastAsia" w:ascii="宋体" w:hAnsi="宋体" w:eastAsia="宋体" w:cs="宋体"/>
          <w:b/>
          <w:bCs/>
          <w:color w:val="auto"/>
          <w:sz w:val="24"/>
          <w:szCs w:val="32"/>
          <w:highlight w:val="none"/>
        </w:rPr>
        <w:fldChar w:fldCharType="end"/>
      </w:r>
      <w:r>
        <w:rPr>
          <w:rFonts w:hint="eastAsia" w:ascii="宋体" w:hAnsi="宋体" w:eastAsia="宋体" w:cs="宋体"/>
          <w:b/>
          <w:bCs/>
          <w:color w:val="auto"/>
          <w:kern w:val="0"/>
          <w:sz w:val="24"/>
          <w:szCs w:val="24"/>
          <w:highlight w:val="none"/>
        </w:rPr>
        <w:fldChar w:fldCharType="end"/>
      </w:r>
    </w:p>
    <w:p w14:paraId="3E93B814">
      <w:pPr>
        <w:pStyle w:val="21"/>
        <w:tabs>
          <w:tab w:val="right" w:leader="dot" w:pos="8312"/>
        </w:tabs>
        <w:spacing w:line="360" w:lineRule="auto"/>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_Toc23331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第6章 评标方法和标准</w:t>
      </w:r>
      <w:r>
        <w:rPr>
          <w:rFonts w:hint="eastAsia" w:ascii="宋体" w:hAnsi="宋体" w:eastAsia="宋体" w:cs="宋体"/>
          <w:b/>
          <w:bCs/>
          <w:color w:val="auto"/>
          <w:sz w:val="24"/>
          <w:szCs w:val="32"/>
          <w:highlight w:val="none"/>
        </w:rPr>
        <w:tab/>
      </w:r>
      <w:r>
        <w:rPr>
          <w:rFonts w:hint="eastAsia" w:ascii="宋体" w:hAnsi="宋体" w:cs="宋体"/>
          <w:b/>
          <w:bCs/>
          <w:color w:val="auto"/>
          <w:sz w:val="24"/>
          <w:szCs w:val="32"/>
          <w:highlight w:val="none"/>
          <w:lang w:val="en-US" w:eastAsia="zh-CN"/>
        </w:rPr>
        <w:t>6</w:t>
      </w:r>
      <w:r>
        <w:rPr>
          <w:rFonts w:hint="eastAsia" w:ascii="宋体" w:hAnsi="宋体" w:eastAsia="宋体" w:cs="宋体"/>
          <w:b/>
          <w:bCs/>
          <w:color w:val="auto"/>
          <w:kern w:val="0"/>
          <w:sz w:val="24"/>
          <w:szCs w:val="24"/>
          <w:highlight w:val="none"/>
        </w:rPr>
        <w:fldChar w:fldCharType="end"/>
      </w:r>
      <w:r>
        <w:rPr>
          <w:rFonts w:hint="eastAsia" w:ascii="宋体" w:hAnsi="宋体" w:cs="宋体"/>
          <w:b/>
          <w:bCs/>
          <w:color w:val="auto"/>
          <w:kern w:val="0"/>
          <w:sz w:val="24"/>
          <w:szCs w:val="24"/>
          <w:highlight w:val="none"/>
          <w:lang w:val="en-US" w:eastAsia="zh-CN"/>
        </w:rPr>
        <w:t>2</w:t>
      </w:r>
    </w:p>
    <w:p w14:paraId="09A9BA7D">
      <w:pPr>
        <w:pStyle w:val="21"/>
        <w:tabs>
          <w:tab w:val="right" w:leader="dot" w:pos="8312"/>
        </w:tabs>
        <w:spacing w:line="360" w:lineRule="auto"/>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rPr>
        <w:fldChar w:fldCharType="begin"/>
      </w:r>
      <w:r>
        <w:rPr>
          <w:rFonts w:hint="eastAsia" w:ascii="宋体" w:hAnsi="宋体" w:eastAsia="宋体" w:cs="宋体"/>
          <w:b/>
          <w:bCs/>
          <w:color w:val="auto"/>
          <w:kern w:val="0"/>
          <w:sz w:val="24"/>
          <w:szCs w:val="24"/>
          <w:highlight w:val="none"/>
        </w:rPr>
        <w:instrText xml:space="preserve"> HYPERLINK \l _Toc23331 </w:instrText>
      </w:r>
      <w:r>
        <w:rPr>
          <w:rFonts w:hint="eastAsia" w:ascii="宋体" w:hAnsi="宋体" w:eastAsia="宋体" w:cs="宋体"/>
          <w:b/>
          <w:bCs/>
          <w:color w:val="auto"/>
          <w:kern w:val="0"/>
          <w:sz w:val="24"/>
          <w:szCs w:val="24"/>
          <w:highlight w:val="none"/>
        </w:rPr>
        <w:fldChar w:fldCharType="separate"/>
      </w:r>
      <w:r>
        <w:rPr>
          <w:rFonts w:hint="eastAsia" w:ascii="宋体" w:hAnsi="宋体" w:eastAsia="宋体" w:cs="宋体"/>
          <w:b/>
          <w:bCs/>
          <w:color w:val="auto"/>
          <w:sz w:val="24"/>
          <w:szCs w:val="32"/>
          <w:highlight w:val="none"/>
        </w:rPr>
        <w:t>第</w:t>
      </w:r>
      <w:r>
        <w:rPr>
          <w:rFonts w:hint="eastAsia" w:ascii="宋体" w:hAnsi="宋体" w:eastAsia="宋体" w:cs="宋体"/>
          <w:b/>
          <w:bCs/>
          <w:color w:val="auto"/>
          <w:sz w:val="24"/>
          <w:szCs w:val="32"/>
          <w:highlight w:val="none"/>
          <w:lang w:val="en-US" w:eastAsia="zh-CN"/>
        </w:rPr>
        <w:t>7</w:t>
      </w:r>
      <w:r>
        <w:rPr>
          <w:rFonts w:hint="eastAsia" w:ascii="宋体" w:hAnsi="宋体" w:eastAsia="宋体" w:cs="宋体"/>
          <w:b/>
          <w:bCs/>
          <w:color w:val="auto"/>
          <w:sz w:val="24"/>
          <w:szCs w:val="32"/>
          <w:highlight w:val="none"/>
        </w:rPr>
        <w:t xml:space="preserve">章 </w:t>
      </w:r>
      <w:r>
        <w:rPr>
          <w:rFonts w:hint="eastAsia" w:ascii="宋体" w:hAnsi="宋体" w:eastAsia="宋体" w:cs="宋体"/>
          <w:b/>
          <w:bCs/>
          <w:color w:val="auto"/>
          <w:sz w:val="24"/>
          <w:szCs w:val="32"/>
          <w:highlight w:val="none"/>
          <w:lang w:val="en-US" w:eastAsia="zh-CN"/>
        </w:rPr>
        <w:t>政府采购合同</w:t>
      </w:r>
      <w:r>
        <w:rPr>
          <w:rFonts w:hint="eastAsia" w:ascii="宋体" w:hAnsi="宋体" w:eastAsia="宋体" w:cs="宋体"/>
          <w:b/>
          <w:bCs/>
          <w:color w:val="auto"/>
          <w:sz w:val="24"/>
          <w:szCs w:val="32"/>
          <w:highlight w:val="none"/>
        </w:rPr>
        <w:tab/>
      </w:r>
      <w:r>
        <w:rPr>
          <w:rFonts w:hint="eastAsia" w:ascii="宋体" w:hAnsi="宋体" w:cs="宋体"/>
          <w:b/>
          <w:bCs/>
          <w:color w:val="auto"/>
          <w:sz w:val="24"/>
          <w:szCs w:val="32"/>
          <w:highlight w:val="none"/>
          <w:lang w:val="en-US" w:eastAsia="zh-CN"/>
        </w:rPr>
        <w:t>6</w:t>
      </w:r>
      <w:r>
        <w:rPr>
          <w:rFonts w:hint="eastAsia" w:ascii="宋体" w:hAnsi="宋体" w:eastAsia="宋体" w:cs="宋体"/>
          <w:b/>
          <w:bCs/>
          <w:color w:val="auto"/>
          <w:kern w:val="0"/>
          <w:sz w:val="24"/>
          <w:szCs w:val="24"/>
          <w:highlight w:val="none"/>
        </w:rPr>
        <w:fldChar w:fldCharType="end"/>
      </w:r>
      <w:r>
        <w:rPr>
          <w:rFonts w:hint="eastAsia" w:ascii="宋体" w:hAnsi="宋体" w:cs="宋体"/>
          <w:b/>
          <w:bCs/>
          <w:color w:val="auto"/>
          <w:kern w:val="0"/>
          <w:sz w:val="24"/>
          <w:szCs w:val="24"/>
          <w:highlight w:val="none"/>
          <w:lang w:val="en-US" w:eastAsia="zh-CN"/>
        </w:rPr>
        <w:t>9</w:t>
      </w:r>
    </w:p>
    <w:p w14:paraId="3A4CF9C8">
      <w:pPr>
        <w:pStyle w:val="21"/>
        <w:tabs>
          <w:tab w:val="right" w:leader="dot" w:pos="8312"/>
        </w:tabs>
        <w:rPr>
          <w:rFonts w:hint="eastAsia" w:ascii="宋体" w:hAnsi="宋体" w:eastAsia="宋体" w:cs="宋体"/>
          <w:color w:val="auto"/>
          <w:kern w:val="0"/>
          <w:sz w:val="24"/>
          <w:szCs w:val="24"/>
          <w:highlight w:val="none"/>
        </w:rPr>
      </w:pPr>
    </w:p>
    <w:p w14:paraId="701A182F">
      <w:pPr>
        <w:rPr>
          <w:rFonts w:hint="eastAsia" w:ascii="宋体" w:hAnsi="宋体" w:eastAsia="宋体" w:cs="宋体"/>
          <w:color w:val="auto"/>
          <w:highlight w:val="none"/>
        </w:rPr>
        <w:sectPr>
          <w:headerReference r:id="rId3" w:type="default"/>
          <w:footerReference r:id="rId4" w:type="default"/>
          <w:pgSz w:w="11906" w:h="16838"/>
          <w:pgMar w:top="1440" w:right="1701" w:bottom="1440" w:left="1701" w:header="851" w:footer="992" w:gutter="0"/>
          <w:pgBorders>
            <w:top w:val="none" w:sz="0" w:space="0"/>
            <w:left w:val="none" w:sz="0" w:space="0"/>
            <w:bottom w:val="none" w:sz="0" w:space="0"/>
            <w:right w:val="none" w:sz="0" w:space="0"/>
          </w:pgBorders>
          <w:pgNumType w:start="1"/>
          <w:cols w:space="720" w:num="1"/>
          <w:docGrid w:type="linesAndChars" w:linePitch="312" w:charSpace="0"/>
        </w:sectPr>
      </w:pPr>
    </w:p>
    <w:p w14:paraId="1C276A20">
      <w:pPr>
        <w:pStyle w:val="2"/>
        <w:numPr>
          <w:ilvl w:val="0"/>
          <w:numId w:val="1"/>
        </w:numPr>
        <w:tabs>
          <w:tab w:val="left" w:pos="0"/>
          <w:tab w:val="clear" w:pos="3134"/>
        </w:tabs>
        <w:spacing w:before="0" w:after="0" w:line="240" w:lineRule="atLeast"/>
        <w:ind w:left="3810" w:leftChars="0" w:hanging="3134" w:firstLineChars="0"/>
        <w:rPr>
          <w:rFonts w:hint="eastAsia" w:ascii="宋体" w:hAnsi="宋体" w:eastAsia="宋体" w:cs="宋体"/>
          <w:color w:val="auto"/>
          <w:highlight w:val="none"/>
        </w:rPr>
      </w:pPr>
      <w:r>
        <w:rPr>
          <w:rFonts w:hint="eastAsia" w:ascii="宋体" w:hAnsi="宋体" w:eastAsia="宋体" w:cs="宋体"/>
          <w:color w:val="auto"/>
          <w:kern w:val="0"/>
          <w:szCs w:val="21"/>
          <w:highlight w:val="none"/>
        </w:rPr>
        <w:fldChar w:fldCharType="end"/>
      </w:r>
      <w:bookmarkStart w:id="0" w:name="_Toc17230"/>
      <w:bookmarkStart w:id="1" w:name="_Toc25817"/>
      <w:bookmarkStart w:id="2" w:name="_Toc22782"/>
      <w:bookmarkStart w:id="3" w:name="_Toc216582804"/>
      <w:r>
        <w:rPr>
          <w:rFonts w:hint="eastAsia" w:ascii="宋体" w:hAnsi="宋体" w:eastAsia="宋体" w:cs="宋体"/>
          <w:color w:val="auto"/>
          <w:sz w:val="32"/>
          <w:szCs w:val="20"/>
          <w:highlight w:val="none"/>
        </w:rPr>
        <w:t xml:space="preserve"> </w:t>
      </w:r>
      <w:bookmarkStart w:id="4" w:name="_Toc515647756"/>
      <w:r>
        <w:rPr>
          <w:rFonts w:hint="eastAsia" w:ascii="宋体" w:hAnsi="宋体" w:eastAsia="宋体" w:cs="宋体"/>
          <w:color w:val="auto"/>
          <w:sz w:val="32"/>
          <w:szCs w:val="20"/>
          <w:highlight w:val="none"/>
        </w:rPr>
        <w:t>投标人须知</w:t>
      </w:r>
      <w:bookmarkEnd w:id="0"/>
      <w:bookmarkEnd w:id="1"/>
      <w:bookmarkEnd w:id="2"/>
      <w:bookmarkEnd w:id="3"/>
      <w:bookmarkEnd w:id="4"/>
    </w:p>
    <w:p w14:paraId="449CCE9F">
      <w:pPr>
        <w:pStyle w:val="3"/>
        <w:spacing w:before="0" w:line="240" w:lineRule="atLeast"/>
        <w:ind w:left="1079" w:leftChars="257" w:hanging="540"/>
        <w:rPr>
          <w:rFonts w:hint="eastAsia" w:ascii="宋体" w:hAnsi="宋体" w:eastAsia="宋体" w:cs="宋体"/>
          <w:color w:val="auto"/>
          <w:highlight w:val="none"/>
        </w:rPr>
      </w:pPr>
      <w:bookmarkStart w:id="5" w:name="_Toc520356143"/>
      <w:bookmarkStart w:id="6" w:name="_Toc515647757"/>
      <w:bookmarkStart w:id="7" w:name="_Toc216582805"/>
      <w:bookmarkStart w:id="8" w:name="_Toc21015"/>
      <w:bookmarkStart w:id="9" w:name="_Toc21215"/>
      <w:bookmarkStart w:id="10" w:name="_Toc22145"/>
      <w:r>
        <w:rPr>
          <w:rFonts w:hint="eastAsia" w:ascii="宋体" w:hAnsi="宋体" w:eastAsia="宋体" w:cs="宋体"/>
          <w:color w:val="auto"/>
          <w:sz w:val="28"/>
          <w:highlight w:val="none"/>
        </w:rPr>
        <w:t xml:space="preserve">一   </w:t>
      </w:r>
      <w:bookmarkEnd w:id="5"/>
      <w:bookmarkEnd w:id="6"/>
      <w:bookmarkEnd w:id="7"/>
      <w:r>
        <w:rPr>
          <w:rFonts w:hint="eastAsia" w:ascii="宋体" w:hAnsi="宋体" w:eastAsia="宋体" w:cs="宋体"/>
          <w:color w:val="auto"/>
          <w:sz w:val="28"/>
          <w:highlight w:val="none"/>
        </w:rPr>
        <w:t>总 则</w:t>
      </w:r>
      <w:bookmarkEnd w:id="8"/>
      <w:bookmarkEnd w:id="9"/>
      <w:bookmarkEnd w:id="10"/>
    </w:p>
    <w:p w14:paraId="41948ACC">
      <w:pPr>
        <w:pStyle w:val="5"/>
        <w:spacing w:before="0" w:after="0" w:line="240" w:lineRule="atLeast"/>
        <w:rPr>
          <w:rFonts w:hint="eastAsia" w:ascii="宋体" w:hAnsi="宋体" w:eastAsia="宋体" w:cs="宋体"/>
          <w:color w:val="auto"/>
          <w:highlight w:val="none"/>
          <w:u w:val="none"/>
        </w:rPr>
      </w:pPr>
      <w:bookmarkStart w:id="11" w:name="_Toc520356144"/>
      <w:bookmarkStart w:id="12" w:name="_Toc515647758"/>
      <w:bookmarkStart w:id="13" w:name="_Toc32189"/>
      <w:bookmarkStart w:id="14" w:name="_Toc32623"/>
      <w:bookmarkStart w:id="15" w:name="_Toc5999"/>
      <w:r>
        <w:rPr>
          <w:rFonts w:hint="eastAsia" w:ascii="宋体" w:hAnsi="宋体" w:eastAsia="宋体" w:cs="宋体"/>
          <w:color w:val="auto"/>
          <w:highlight w:val="none"/>
          <w:u w:val="none"/>
        </w:rPr>
        <w:t>1.采购人、采购代理机构及</w:t>
      </w:r>
      <w:bookmarkEnd w:id="11"/>
      <w:r>
        <w:rPr>
          <w:rFonts w:hint="eastAsia" w:ascii="宋体" w:hAnsi="宋体" w:eastAsia="宋体" w:cs="宋体"/>
          <w:color w:val="auto"/>
          <w:highlight w:val="none"/>
          <w:u w:val="none"/>
        </w:rPr>
        <w:t>投标人</w:t>
      </w:r>
      <w:bookmarkEnd w:id="12"/>
      <w:bookmarkEnd w:id="13"/>
      <w:bookmarkEnd w:id="14"/>
      <w:bookmarkEnd w:id="15"/>
    </w:p>
    <w:p w14:paraId="633A8FB6">
      <w:pPr>
        <w:keepNext w:val="0"/>
        <w:keepLines w:val="0"/>
        <w:pageBreakBefore w:val="0"/>
        <w:widowControl w:val="0"/>
        <w:numPr>
          <w:ilvl w:val="1"/>
          <w:numId w:val="0"/>
        </w:numPr>
        <w:tabs>
          <w:tab w:val="left" w:pos="0"/>
        </w:tabs>
        <w:kinsoku/>
        <w:wordWrap/>
        <w:overflowPunct/>
        <w:topLinePunct w:val="0"/>
        <w:autoSpaceDE/>
        <w:autoSpaceDN/>
        <w:bidi w:val="0"/>
        <w:adjustRightInd/>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kern w:val="2"/>
          <w:sz w:val="24"/>
          <w:szCs w:val="24"/>
          <w:highlight w:val="none"/>
          <w:lang w:val="en-US" w:eastAsia="zh-CN" w:bidi="ar-SA"/>
        </w:rPr>
        <w:t>1.1</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采购人：是指依法开展政府采购活动的国家机关、事业单位、团体组织。</w:t>
      </w:r>
    </w:p>
    <w:p w14:paraId="2226A66F">
      <w:pPr>
        <w:keepNext w:val="0"/>
        <w:keepLines w:val="0"/>
        <w:pageBreakBefore w:val="0"/>
        <w:widowControl w:val="0"/>
        <w:tabs>
          <w:tab w:val="left" w:pos="0"/>
        </w:tabs>
        <w:kinsoku/>
        <w:wordWrap/>
        <w:overflowPunct/>
        <w:topLinePunct w:val="0"/>
        <w:autoSpaceDE/>
        <w:autoSpaceDN/>
        <w:bidi w:val="0"/>
        <w:adjustRightInd/>
        <w:snapToGrid/>
        <w:spacing w:line="240" w:lineRule="atLeast"/>
        <w:ind w:left="0" w:firstLine="960" w:firstLine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本项目的采购人见</w:t>
      </w:r>
      <w:r>
        <w:rPr>
          <w:rFonts w:hint="eastAsia" w:ascii="宋体" w:hAnsi="宋体" w:eastAsia="宋体" w:cs="宋体"/>
          <w:color w:val="auto"/>
          <w:sz w:val="24"/>
          <w:highlight w:val="none"/>
          <w:u w:val="single"/>
        </w:rPr>
        <w:t>投标人须知资料表</w:t>
      </w:r>
      <w:r>
        <w:rPr>
          <w:rFonts w:hint="eastAsia" w:ascii="宋体" w:hAnsi="宋体" w:eastAsia="宋体" w:cs="宋体"/>
          <w:color w:val="auto"/>
          <w:sz w:val="24"/>
          <w:highlight w:val="none"/>
        </w:rPr>
        <w:t>。</w:t>
      </w:r>
    </w:p>
    <w:p w14:paraId="27EC6A28">
      <w:pPr>
        <w:keepNext w:val="0"/>
        <w:keepLines w:val="0"/>
        <w:pageBreakBefore w:val="0"/>
        <w:widowControl w:val="0"/>
        <w:numPr>
          <w:ilvl w:val="1"/>
          <w:numId w:val="0"/>
        </w:numPr>
        <w:tabs>
          <w:tab w:val="left" w:pos="0"/>
        </w:tabs>
        <w:kinsoku/>
        <w:wordWrap/>
        <w:overflowPunct/>
        <w:topLinePunct w:val="0"/>
        <w:autoSpaceDE/>
        <w:autoSpaceDN/>
        <w:bidi w:val="0"/>
        <w:adjustRightInd/>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kern w:val="2"/>
          <w:sz w:val="24"/>
          <w:szCs w:val="24"/>
          <w:highlight w:val="none"/>
          <w:lang w:val="en-US" w:eastAsia="zh-CN" w:bidi="ar-SA"/>
        </w:rPr>
        <w:t>1.2</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采购代理机构：是指在集中采购机构或从事采购代理业务的社会中介机构。本项目的采购代理机构见</w:t>
      </w:r>
      <w:r>
        <w:rPr>
          <w:rFonts w:hint="eastAsia" w:ascii="宋体" w:hAnsi="宋体" w:eastAsia="宋体" w:cs="宋体"/>
          <w:color w:val="auto"/>
          <w:sz w:val="24"/>
          <w:highlight w:val="none"/>
          <w:u w:val="single"/>
        </w:rPr>
        <w:t>投标人须知资料表</w:t>
      </w:r>
      <w:r>
        <w:rPr>
          <w:rFonts w:hint="eastAsia" w:ascii="宋体" w:hAnsi="宋体" w:eastAsia="宋体" w:cs="宋体"/>
          <w:color w:val="auto"/>
          <w:sz w:val="24"/>
          <w:highlight w:val="none"/>
        </w:rPr>
        <w:t>。</w:t>
      </w:r>
    </w:p>
    <w:p w14:paraId="3B43C298">
      <w:pPr>
        <w:keepNext w:val="0"/>
        <w:keepLines w:val="0"/>
        <w:pageBreakBefore w:val="0"/>
        <w:widowControl w:val="0"/>
        <w:numPr>
          <w:ilvl w:val="1"/>
          <w:numId w:val="0"/>
        </w:numPr>
        <w:kinsoku/>
        <w:wordWrap/>
        <w:overflowPunct/>
        <w:topLinePunct w:val="0"/>
        <w:autoSpaceDE/>
        <w:autoSpaceDN/>
        <w:bidi w:val="0"/>
        <w:adjustRightInd/>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kern w:val="2"/>
          <w:sz w:val="24"/>
          <w:szCs w:val="24"/>
          <w:highlight w:val="none"/>
          <w:lang w:val="en-US" w:eastAsia="zh-CN" w:bidi="ar-SA"/>
        </w:rPr>
        <w:t>1.3</w:t>
      </w:r>
      <w:r>
        <w:rPr>
          <w:rFonts w:hint="eastAsia" w:ascii="宋体" w:hAnsi="宋体" w:cs="宋体"/>
          <w:color w:val="auto"/>
          <w:kern w:val="2"/>
          <w:sz w:val="24"/>
          <w:szCs w:val="24"/>
          <w:highlight w:val="none"/>
          <w:lang w:val="en-US" w:eastAsia="zh-CN" w:bidi="ar-SA"/>
        </w:rPr>
        <w:t xml:space="preserve">     </w:t>
      </w:r>
      <w:r>
        <w:rPr>
          <w:rFonts w:hint="eastAsia" w:ascii="宋体" w:hAnsi="宋体" w:eastAsia="宋体" w:cs="宋体"/>
          <w:color w:val="auto"/>
          <w:sz w:val="24"/>
          <w:highlight w:val="none"/>
        </w:rPr>
        <w:t>投标人：是指向采购人提供货物、工程或者服务的法人、非法人组织或者自然人。本项目的投标人及其投标货物须满足以下条件：</w:t>
      </w:r>
    </w:p>
    <w:p w14:paraId="19ABA3B8">
      <w:pPr>
        <w:keepNext w:val="0"/>
        <w:keepLines w:val="0"/>
        <w:pageBreakBefore w:val="0"/>
        <w:widowControl w:val="0"/>
        <w:kinsoku/>
        <w:wordWrap/>
        <w:overflowPunct/>
        <w:topLinePunct w:val="0"/>
        <w:autoSpaceDE/>
        <w:autoSpaceDN/>
        <w:bidi w:val="0"/>
        <w:adjustRightInd/>
        <w:snapToGrid/>
        <w:spacing w:line="240" w:lineRule="atLeast"/>
        <w:ind w:left="85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1.3.1</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在中华人民共和国境内注册，能够独立承担民事责任，有生产或供应能力的本国供应商。</w:t>
      </w:r>
    </w:p>
    <w:p w14:paraId="3FAAB981">
      <w:pPr>
        <w:keepNext w:val="0"/>
        <w:keepLines w:val="0"/>
        <w:pageBreakBefore w:val="0"/>
        <w:widowControl w:val="0"/>
        <w:kinsoku/>
        <w:wordWrap/>
        <w:overflowPunct/>
        <w:topLinePunct w:val="0"/>
        <w:autoSpaceDE/>
        <w:autoSpaceDN/>
        <w:bidi w:val="0"/>
        <w:adjustRightInd/>
        <w:snapToGrid/>
        <w:spacing w:line="240" w:lineRule="atLeast"/>
        <w:ind w:left="90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1.3.2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具备《中华人民共和国政府采购法》第二十二条关于供应商条件的规定，遵守本项目采购人本级和上级财政部门政府采购的有关规定。</w:t>
      </w:r>
    </w:p>
    <w:p w14:paraId="008D1304">
      <w:pPr>
        <w:keepNext w:val="0"/>
        <w:keepLines w:val="0"/>
        <w:pageBreakBefore w:val="0"/>
        <w:widowControl w:val="0"/>
        <w:kinsoku/>
        <w:wordWrap/>
        <w:overflowPunct/>
        <w:topLinePunct w:val="0"/>
        <w:autoSpaceDE/>
        <w:autoSpaceDN/>
        <w:bidi w:val="0"/>
        <w:adjustRightInd/>
        <w:snapToGrid/>
        <w:spacing w:line="240" w:lineRule="atLeast"/>
        <w:ind w:left="90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1.3.3   以采购代理机构认可的方式获得了本项目的招标文件。</w:t>
      </w:r>
    </w:p>
    <w:p w14:paraId="526492A0">
      <w:pPr>
        <w:keepNext w:val="0"/>
        <w:keepLines w:val="0"/>
        <w:pageBreakBefore w:val="0"/>
        <w:widowControl w:val="0"/>
        <w:kinsoku/>
        <w:wordWrap/>
        <w:overflowPunct/>
        <w:topLinePunct w:val="0"/>
        <w:autoSpaceDE/>
        <w:autoSpaceDN/>
        <w:bidi w:val="0"/>
        <w:adjustRightInd/>
        <w:snapToGrid/>
        <w:spacing w:line="240" w:lineRule="atLeast"/>
        <w:ind w:left="90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1.3.4   符合</w:t>
      </w:r>
      <w:r>
        <w:rPr>
          <w:rFonts w:hint="eastAsia" w:ascii="宋体" w:hAnsi="宋体" w:eastAsia="宋体" w:cs="宋体"/>
          <w:color w:val="auto"/>
          <w:sz w:val="24"/>
          <w:highlight w:val="none"/>
          <w:u w:val="single"/>
        </w:rPr>
        <w:t>投标人须知资料表</w:t>
      </w:r>
      <w:r>
        <w:rPr>
          <w:rFonts w:hint="eastAsia" w:ascii="宋体" w:hAnsi="宋体" w:eastAsia="宋体" w:cs="宋体"/>
          <w:color w:val="auto"/>
          <w:sz w:val="24"/>
          <w:highlight w:val="none"/>
        </w:rPr>
        <w:t>中规定的其他要求。</w:t>
      </w:r>
    </w:p>
    <w:p w14:paraId="14656D6B">
      <w:pPr>
        <w:keepNext w:val="0"/>
        <w:keepLines w:val="0"/>
        <w:pageBreakBefore w:val="0"/>
        <w:widowControl w:val="0"/>
        <w:kinsoku/>
        <w:wordWrap/>
        <w:overflowPunct/>
        <w:topLinePunct w:val="0"/>
        <w:autoSpaceDE/>
        <w:autoSpaceDN/>
        <w:bidi w:val="0"/>
        <w:adjustRightInd/>
        <w:snapToGrid/>
        <w:spacing w:line="240" w:lineRule="atLeast"/>
        <w:ind w:left="90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1.3.5   若</w:t>
      </w:r>
      <w:r>
        <w:rPr>
          <w:rFonts w:hint="eastAsia" w:ascii="宋体" w:hAnsi="宋体" w:eastAsia="宋体" w:cs="宋体"/>
          <w:color w:val="auto"/>
          <w:sz w:val="24"/>
          <w:highlight w:val="none"/>
          <w:u w:val="single"/>
        </w:rPr>
        <w:t>投标人须知资料表</w:t>
      </w:r>
      <w:r>
        <w:rPr>
          <w:rFonts w:hint="eastAsia" w:ascii="宋体" w:hAnsi="宋体" w:eastAsia="宋体" w:cs="宋体"/>
          <w:color w:val="auto"/>
          <w:sz w:val="24"/>
          <w:highlight w:val="none"/>
        </w:rPr>
        <w:t>中写明允许采购进口产品，投标人应保证所投产品可履行合法报通关手续进入中国关境内。若</w:t>
      </w:r>
      <w:r>
        <w:rPr>
          <w:rFonts w:hint="eastAsia" w:ascii="宋体" w:hAnsi="宋体" w:eastAsia="宋体" w:cs="宋体"/>
          <w:color w:val="auto"/>
          <w:sz w:val="24"/>
          <w:highlight w:val="none"/>
          <w:u w:val="single"/>
        </w:rPr>
        <w:t>投标人须知资料表</w:t>
      </w:r>
      <w:r>
        <w:rPr>
          <w:rFonts w:hint="eastAsia" w:ascii="宋体" w:hAnsi="宋体" w:eastAsia="宋体" w:cs="宋体"/>
          <w:color w:val="auto"/>
          <w:sz w:val="24"/>
          <w:highlight w:val="none"/>
        </w:rPr>
        <w:t>中未写明允许采购进口产品，如投标人所投产品为进口产品，其投标将被认定为</w:t>
      </w:r>
      <w:r>
        <w:rPr>
          <w:rFonts w:hint="eastAsia" w:ascii="宋体" w:hAnsi="宋体" w:eastAsia="宋体" w:cs="宋体"/>
          <w:b/>
          <w:bCs/>
          <w:color w:val="auto"/>
          <w:sz w:val="24"/>
          <w:highlight w:val="none"/>
        </w:rPr>
        <w:t>投标无效</w:t>
      </w:r>
      <w:r>
        <w:rPr>
          <w:rFonts w:hint="eastAsia" w:ascii="宋体" w:hAnsi="宋体" w:eastAsia="宋体" w:cs="宋体"/>
          <w:color w:val="auto"/>
          <w:sz w:val="24"/>
          <w:highlight w:val="none"/>
        </w:rPr>
        <w:t>。</w:t>
      </w:r>
    </w:p>
    <w:p w14:paraId="382A0F57">
      <w:pPr>
        <w:keepNext w:val="0"/>
        <w:keepLines w:val="0"/>
        <w:pageBreakBefore w:val="0"/>
        <w:widowControl w:val="0"/>
        <w:kinsoku/>
        <w:wordWrap/>
        <w:overflowPunct/>
        <w:topLinePunct w:val="0"/>
        <w:autoSpaceDE/>
        <w:autoSpaceDN/>
        <w:bidi w:val="0"/>
        <w:adjustRightInd/>
        <w:snapToGrid/>
        <w:spacing w:line="240" w:lineRule="atLeast"/>
        <w:ind w:left="84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1.3.6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若</w:t>
      </w:r>
      <w:r>
        <w:rPr>
          <w:rFonts w:hint="eastAsia" w:ascii="宋体" w:hAnsi="宋体" w:eastAsia="宋体" w:cs="宋体"/>
          <w:color w:val="auto"/>
          <w:sz w:val="24"/>
          <w:highlight w:val="none"/>
          <w:u w:val="single"/>
        </w:rPr>
        <w:t>投标人须知资料表</w:t>
      </w:r>
      <w:r>
        <w:rPr>
          <w:rFonts w:hint="eastAsia" w:ascii="宋体" w:hAnsi="宋体" w:eastAsia="宋体" w:cs="宋体"/>
          <w:color w:val="auto"/>
          <w:sz w:val="24"/>
          <w:highlight w:val="none"/>
        </w:rPr>
        <w:t>中写明专门面向中小企业采购的，如投标人为非中小企业且所投产品为非中小企业产品，其投标将被认定为</w:t>
      </w:r>
      <w:r>
        <w:rPr>
          <w:rFonts w:hint="eastAsia" w:ascii="宋体" w:hAnsi="宋体" w:eastAsia="宋体" w:cs="宋体"/>
          <w:b/>
          <w:bCs/>
          <w:color w:val="auto"/>
          <w:sz w:val="24"/>
          <w:highlight w:val="none"/>
        </w:rPr>
        <w:t>投标无效</w:t>
      </w:r>
      <w:r>
        <w:rPr>
          <w:rFonts w:hint="eastAsia" w:ascii="宋体" w:hAnsi="宋体" w:eastAsia="宋体" w:cs="宋体"/>
          <w:color w:val="auto"/>
          <w:sz w:val="24"/>
          <w:highlight w:val="none"/>
        </w:rPr>
        <w:t>。</w:t>
      </w:r>
    </w:p>
    <w:p w14:paraId="287EC9D6">
      <w:pPr>
        <w:keepNext w:val="0"/>
        <w:keepLines w:val="0"/>
        <w:pageBreakBefore w:val="0"/>
        <w:widowControl w:val="0"/>
        <w:kinsoku/>
        <w:wordWrap/>
        <w:overflowPunct/>
        <w:topLinePunct w:val="0"/>
        <w:autoSpaceDE/>
        <w:autoSpaceDN/>
        <w:bidi w:val="0"/>
        <w:adjustRightInd/>
        <w:snapToGrid/>
        <w:spacing w:line="240" w:lineRule="atLeast"/>
        <w:ind w:left="90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1.4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 xml:space="preserve"> 本项目不允许联合体投标。</w:t>
      </w:r>
    </w:p>
    <w:p w14:paraId="1940A665">
      <w:pPr>
        <w:keepNext w:val="0"/>
        <w:keepLines w:val="0"/>
        <w:pageBreakBefore w:val="0"/>
        <w:widowControl w:val="0"/>
        <w:kinsoku/>
        <w:wordWrap/>
        <w:overflowPunct/>
        <w:topLinePunct w:val="0"/>
        <w:autoSpaceDE/>
        <w:autoSpaceDN/>
        <w:bidi w:val="0"/>
        <w:adjustRightInd/>
        <w:snapToGrid/>
        <w:spacing w:line="240" w:lineRule="atLeast"/>
        <w:ind w:left="90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1.5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单位负责人为同一人或者存在直接控股、管理关系的不同供应商，其相关投标将被认定为</w:t>
      </w:r>
      <w:r>
        <w:rPr>
          <w:rFonts w:hint="eastAsia" w:ascii="宋体" w:hAnsi="宋体" w:eastAsia="宋体" w:cs="宋体"/>
          <w:b/>
          <w:bCs/>
          <w:color w:val="auto"/>
          <w:sz w:val="24"/>
          <w:highlight w:val="none"/>
        </w:rPr>
        <w:t>投标无效</w:t>
      </w:r>
      <w:r>
        <w:rPr>
          <w:rFonts w:hint="eastAsia" w:ascii="宋体" w:hAnsi="宋体" w:eastAsia="宋体" w:cs="宋体"/>
          <w:color w:val="auto"/>
          <w:sz w:val="24"/>
          <w:highlight w:val="none"/>
        </w:rPr>
        <w:t>。</w:t>
      </w:r>
    </w:p>
    <w:p w14:paraId="265B28C0">
      <w:pPr>
        <w:keepNext w:val="0"/>
        <w:keepLines w:val="0"/>
        <w:pageBreakBefore w:val="0"/>
        <w:widowControl w:val="0"/>
        <w:kinsoku/>
        <w:wordWrap/>
        <w:overflowPunct/>
        <w:topLinePunct w:val="0"/>
        <w:autoSpaceDE/>
        <w:autoSpaceDN/>
        <w:bidi w:val="0"/>
        <w:adjustRightInd/>
        <w:snapToGrid/>
        <w:spacing w:line="240" w:lineRule="atLeast"/>
        <w:ind w:left="90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1.6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 xml:space="preserve"> 为本项目提供过整体设计、规范编制或者项目管理、监理、检测等服务的供应商，不得再参加本项目上述服务以外的其他采购活动。否则其投标将被认定为</w:t>
      </w:r>
      <w:r>
        <w:rPr>
          <w:rFonts w:hint="eastAsia" w:ascii="宋体" w:hAnsi="宋体" w:eastAsia="宋体" w:cs="宋体"/>
          <w:b/>
          <w:bCs/>
          <w:color w:val="auto"/>
          <w:sz w:val="24"/>
          <w:highlight w:val="none"/>
        </w:rPr>
        <w:t>投标无效</w:t>
      </w:r>
      <w:r>
        <w:rPr>
          <w:rFonts w:hint="eastAsia" w:ascii="宋体" w:hAnsi="宋体" w:eastAsia="宋体" w:cs="宋体"/>
          <w:color w:val="auto"/>
          <w:sz w:val="24"/>
          <w:highlight w:val="none"/>
        </w:rPr>
        <w:t>。</w:t>
      </w:r>
    </w:p>
    <w:p w14:paraId="0E617A14">
      <w:pPr>
        <w:pStyle w:val="5"/>
        <w:spacing w:before="0" w:after="0" w:line="240" w:lineRule="atLeast"/>
        <w:rPr>
          <w:rFonts w:hint="eastAsia" w:ascii="宋体" w:hAnsi="宋体" w:eastAsia="宋体" w:cs="宋体"/>
          <w:color w:val="auto"/>
          <w:highlight w:val="none"/>
          <w:u w:val="none"/>
        </w:rPr>
      </w:pPr>
      <w:bookmarkStart w:id="16" w:name="_Toc515647759"/>
      <w:bookmarkStart w:id="17" w:name="_Toc4322"/>
      <w:bookmarkStart w:id="18" w:name="_Toc12139"/>
      <w:bookmarkStart w:id="19" w:name="_Toc5286"/>
      <w:r>
        <w:rPr>
          <w:rFonts w:hint="eastAsia" w:ascii="宋体" w:hAnsi="宋体" w:eastAsia="宋体" w:cs="宋体"/>
          <w:color w:val="auto"/>
          <w:highlight w:val="none"/>
          <w:u w:val="none"/>
        </w:rPr>
        <w:t>2.资金来源</w:t>
      </w:r>
      <w:bookmarkEnd w:id="16"/>
      <w:bookmarkEnd w:id="17"/>
      <w:bookmarkEnd w:id="18"/>
      <w:bookmarkEnd w:id="19"/>
    </w:p>
    <w:p w14:paraId="5A5B5A41">
      <w:pPr>
        <w:spacing w:line="240" w:lineRule="atLeast"/>
        <w:ind w:left="900" w:hanging="900" w:hangingChars="375"/>
        <w:rPr>
          <w:rFonts w:hint="eastAsia" w:ascii="宋体" w:hAnsi="宋体" w:eastAsia="宋体" w:cs="宋体"/>
          <w:color w:val="auto"/>
          <w:sz w:val="24"/>
          <w:highlight w:val="none"/>
        </w:rPr>
      </w:pPr>
      <w:r>
        <w:rPr>
          <w:rFonts w:hint="eastAsia" w:ascii="宋体" w:hAnsi="宋体" w:eastAsia="宋体" w:cs="宋体"/>
          <w:color w:val="auto"/>
          <w:sz w:val="24"/>
          <w:highlight w:val="none"/>
        </w:rPr>
        <w:t>2.1</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本项目的采购人已获得足以支付本次招标后所签订的合同项下的资金（包括财政性资金和本项目采购中无法与财政性资金分割的非财政性资金）。</w:t>
      </w:r>
    </w:p>
    <w:p w14:paraId="420DD159">
      <w:pPr>
        <w:spacing w:line="240" w:lineRule="atLeast"/>
        <w:ind w:left="900" w:hanging="900" w:hangingChars="375"/>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2.2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 xml:space="preserve"> 项目预算金额和分项或分包最高限价</w:t>
      </w:r>
      <w:r>
        <w:rPr>
          <w:rFonts w:hint="eastAsia" w:ascii="宋体" w:hAnsi="宋体" w:eastAsia="宋体" w:cs="宋体"/>
          <w:color w:val="auto"/>
          <w:sz w:val="24"/>
          <w:highlight w:val="none"/>
          <w:u w:val="single"/>
        </w:rPr>
        <w:t>见投标人须知资料表</w:t>
      </w:r>
      <w:r>
        <w:rPr>
          <w:rFonts w:hint="eastAsia" w:ascii="宋体" w:hAnsi="宋体" w:eastAsia="宋体" w:cs="宋体"/>
          <w:color w:val="auto"/>
          <w:sz w:val="24"/>
          <w:highlight w:val="none"/>
        </w:rPr>
        <w:t>。</w:t>
      </w:r>
    </w:p>
    <w:p w14:paraId="50D83E62">
      <w:pPr>
        <w:keepNext w:val="0"/>
        <w:keepLines w:val="0"/>
        <w:pageBreakBefore w:val="0"/>
        <w:widowControl w:val="0"/>
        <w:kinsoku/>
        <w:wordWrap/>
        <w:overflowPunct/>
        <w:topLinePunct w:val="0"/>
        <w:autoSpaceDE/>
        <w:autoSpaceDN/>
        <w:bidi w:val="0"/>
        <w:adjustRightInd/>
        <w:snapToGrid/>
        <w:spacing w:line="240" w:lineRule="atLeast"/>
        <w:ind w:left="96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2.3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 xml:space="preserve">  投标人报价超过招标文件规定的预算金额或者分项、分包最高限价的，其投标将被认定为</w:t>
      </w:r>
      <w:r>
        <w:rPr>
          <w:rFonts w:hint="eastAsia" w:ascii="宋体" w:hAnsi="宋体" w:eastAsia="宋体" w:cs="宋体"/>
          <w:b/>
          <w:bCs/>
          <w:color w:val="auto"/>
          <w:sz w:val="24"/>
          <w:highlight w:val="none"/>
        </w:rPr>
        <w:t>投标无效</w:t>
      </w:r>
      <w:r>
        <w:rPr>
          <w:rFonts w:hint="eastAsia" w:ascii="宋体" w:hAnsi="宋体" w:eastAsia="宋体" w:cs="宋体"/>
          <w:color w:val="auto"/>
          <w:sz w:val="24"/>
          <w:highlight w:val="none"/>
        </w:rPr>
        <w:t>。</w:t>
      </w:r>
    </w:p>
    <w:p w14:paraId="7CB0A553">
      <w:pPr>
        <w:pStyle w:val="5"/>
        <w:spacing w:before="0" w:after="0" w:line="240" w:lineRule="atLeast"/>
        <w:rPr>
          <w:rFonts w:hint="eastAsia" w:ascii="宋体" w:hAnsi="宋体" w:eastAsia="宋体" w:cs="宋体"/>
          <w:color w:val="auto"/>
          <w:highlight w:val="none"/>
          <w:u w:val="none"/>
        </w:rPr>
      </w:pPr>
      <w:bookmarkStart w:id="20" w:name="_Toc15936"/>
      <w:bookmarkStart w:id="21" w:name="_Toc20526"/>
      <w:bookmarkStart w:id="22" w:name="_Toc13828"/>
      <w:bookmarkStart w:id="23" w:name="_Toc515647760"/>
      <w:bookmarkStart w:id="24" w:name="_Toc520356145"/>
      <w:r>
        <w:rPr>
          <w:rFonts w:hint="eastAsia" w:ascii="宋体" w:hAnsi="宋体" w:eastAsia="宋体" w:cs="宋体"/>
          <w:color w:val="auto"/>
          <w:highlight w:val="none"/>
          <w:u w:val="none"/>
        </w:rPr>
        <w:t>3.投标费用</w:t>
      </w:r>
      <w:bookmarkEnd w:id="20"/>
      <w:bookmarkEnd w:id="21"/>
      <w:bookmarkEnd w:id="22"/>
      <w:bookmarkEnd w:id="23"/>
      <w:bookmarkEnd w:id="24"/>
    </w:p>
    <w:p w14:paraId="2580EB89">
      <w:pPr>
        <w:spacing w:line="240" w:lineRule="atLeast"/>
        <w:ind w:left="900" w:hanging="900" w:hangingChars="375"/>
        <w:rPr>
          <w:rFonts w:hint="eastAsia" w:ascii="宋体" w:hAnsi="宋体" w:eastAsia="宋体" w:cs="宋体"/>
          <w:color w:val="auto"/>
          <w:sz w:val="24"/>
          <w:highlight w:val="none"/>
        </w:rPr>
      </w:pP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不论投标的结果如何，投标人应承担所有与准备和参加投标有关的费用。</w:t>
      </w:r>
    </w:p>
    <w:p w14:paraId="72B2CCB6">
      <w:pPr>
        <w:pStyle w:val="5"/>
        <w:spacing w:before="0" w:after="0" w:line="240" w:lineRule="atLeast"/>
        <w:rPr>
          <w:rFonts w:hint="eastAsia" w:ascii="宋体" w:hAnsi="宋体" w:eastAsia="宋体" w:cs="宋体"/>
          <w:color w:val="auto"/>
          <w:highlight w:val="none"/>
          <w:u w:val="none"/>
        </w:rPr>
      </w:pPr>
      <w:bookmarkStart w:id="25" w:name="_Toc32665"/>
      <w:bookmarkStart w:id="26" w:name="_Toc6116"/>
      <w:bookmarkStart w:id="27" w:name="_Toc4463"/>
      <w:bookmarkStart w:id="28" w:name="_Toc515647761"/>
      <w:r>
        <w:rPr>
          <w:rFonts w:hint="eastAsia" w:ascii="宋体" w:hAnsi="宋体" w:eastAsia="宋体" w:cs="宋体"/>
          <w:color w:val="auto"/>
          <w:highlight w:val="none"/>
          <w:u w:val="none"/>
        </w:rPr>
        <w:t>4.适用法律</w:t>
      </w:r>
      <w:bookmarkEnd w:id="25"/>
      <w:bookmarkEnd w:id="26"/>
      <w:bookmarkEnd w:id="27"/>
      <w:bookmarkEnd w:id="28"/>
    </w:p>
    <w:p w14:paraId="029763CF">
      <w:pPr>
        <w:spacing w:line="240" w:lineRule="atLeast"/>
        <w:ind w:left="900" w:hanging="900" w:hangingChars="375"/>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本项目采购人、采购代理机构、投标人、评标委员会的相关行为均受《中华人民共和国政府采购法》、《中华人民共和国政府采购法实施条例》及本项目本级和上级财政部门政府采购有关规定的约束，其权利受到上述法律法规的保护。</w:t>
      </w:r>
    </w:p>
    <w:p w14:paraId="7EE702DE">
      <w:pPr>
        <w:pStyle w:val="3"/>
        <w:spacing w:before="0" w:line="240" w:lineRule="atLeast"/>
        <w:ind w:left="1079" w:leftChars="257" w:hanging="540"/>
        <w:rPr>
          <w:rFonts w:hint="eastAsia" w:ascii="宋体" w:hAnsi="宋体" w:eastAsia="宋体" w:cs="宋体"/>
          <w:color w:val="auto"/>
          <w:sz w:val="28"/>
          <w:highlight w:val="none"/>
        </w:rPr>
      </w:pPr>
      <w:bookmarkStart w:id="29" w:name="_Toc520356146"/>
      <w:bookmarkStart w:id="30" w:name="_Toc21566"/>
      <w:bookmarkStart w:id="31" w:name="_Toc216582806"/>
      <w:bookmarkStart w:id="32" w:name="_Toc28572"/>
      <w:bookmarkStart w:id="33" w:name="_Toc4365"/>
      <w:bookmarkStart w:id="34" w:name="_Toc515647762"/>
      <w:r>
        <w:rPr>
          <w:rFonts w:hint="eastAsia" w:ascii="宋体" w:hAnsi="宋体" w:eastAsia="宋体" w:cs="宋体"/>
          <w:color w:val="auto"/>
          <w:sz w:val="28"/>
          <w:highlight w:val="none"/>
        </w:rPr>
        <w:t>二   招标文件</w:t>
      </w:r>
      <w:bookmarkEnd w:id="29"/>
      <w:bookmarkEnd w:id="30"/>
      <w:bookmarkEnd w:id="31"/>
      <w:bookmarkEnd w:id="32"/>
      <w:bookmarkEnd w:id="33"/>
      <w:bookmarkEnd w:id="34"/>
    </w:p>
    <w:p w14:paraId="6D670B0E">
      <w:pPr>
        <w:pStyle w:val="5"/>
        <w:spacing w:before="0" w:after="0" w:line="240" w:lineRule="atLeast"/>
        <w:rPr>
          <w:rFonts w:hint="eastAsia" w:ascii="宋体" w:hAnsi="宋体" w:eastAsia="宋体" w:cs="宋体"/>
          <w:color w:val="auto"/>
          <w:highlight w:val="none"/>
          <w:u w:val="none"/>
        </w:rPr>
      </w:pPr>
      <w:bookmarkStart w:id="35" w:name="_Toc520356147"/>
      <w:bookmarkStart w:id="36" w:name="_Toc25743"/>
      <w:bookmarkStart w:id="37" w:name="_Toc515647763"/>
      <w:bookmarkStart w:id="38" w:name="_Toc4671"/>
      <w:bookmarkStart w:id="39" w:name="_Toc14084"/>
      <w:r>
        <w:rPr>
          <w:rFonts w:hint="eastAsia" w:ascii="宋体" w:hAnsi="宋体" w:eastAsia="宋体" w:cs="宋体"/>
          <w:color w:val="auto"/>
          <w:highlight w:val="none"/>
          <w:u w:val="none"/>
        </w:rPr>
        <w:t>5.招标文件构成</w:t>
      </w:r>
      <w:bookmarkEnd w:id="35"/>
      <w:bookmarkEnd w:id="36"/>
      <w:bookmarkEnd w:id="37"/>
      <w:bookmarkEnd w:id="38"/>
      <w:bookmarkEnd w:id="39"/>
    </w:p>
    <w:p w14:paraId="3078C185">
      <w:pPr>
        <w:keepNext w:val="0"/>
        <w:keepLines w:val="0"/>
        <w:pageBreakBefore w:val="0"/>
        <w:widowControl w:val="0"/>
        <w:kinsoku/>
        <w:wordWrap/>
        <w:overflowPunct/>
        <w:topLinePunct w:val="0"/>
        <w:autoSpaceDE/>
        <w:autoSpaceDN/>
        <w:bidi w:val="0"/>
        <w:adjustRightInd/>
        <w:snapToGrid/>
        <w:spacing w:line="240" w:lineRule="atLeas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5.1</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招标文件分为三册共7章，内容如下：</w:t>
      </w:r>
    </w:p>
    <w:p w14:paraId="17F5D0DC">
      <w:pPr>
        <w:keepNext w:val="0"/>
        <w:keepLines w:val="0"/>
        <w:pageBreakBefore w:val="0"/>
        <w:widowControl w:val="0"/>
        <w:kinsoku/>
        <w:wordWrap/>
        <w:overflowPunct/>
        <w:topLinePunct w:val="0"/>
        <w:autoSpaceDE/>
        <w:autoSpaceDN/>
        <w:bidi w:val="0"/>
        <w:adjustRightInd/>
        <w:snapToGrid/>
        <w:spacing w:line="240" w:lineRule="atLeast"/>
        <w:ind w:left="0" w:leftChars="0" w:firstLine="960" w:firstLine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第一册</w:t>
      </w:r>
    </w:p>
    <w:p w14:paraId="518AE9C3">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240" w:lineRule="atLeast"/>
        <w:ind w:left="0" w:leftChars="0" w:firstLine="960" w:firstLineChars="400"/>
        <w:textAlignment w:val="auto"/>
        <w:rPr>
          <w:rFonts w:hint="eastAsia" w:ascii="宋体" w:hAnsi="宋体" w:eastAsia="宋体" w:cs="宋体"/>
          <w:color w:val="auto"/>
          <w:sz w:val="24"/>
          <w:highlight w:val="none"/>
        </w:rPr>
      </w:pPr>
      <w:r>
        <w:rPr>
          <w:rFonts w:hint="eastAsia" w:ascii="宋体" w:hAnsi="宋体" w:eastAsia="宋体" w:cs="宋体"/>
          <w:color w:val="auto"/>
          <w:kern w:val="2"/>
          <w:sz w:val="24"/>
          <w:szCs w:val="24"/>
          <w:highlight w:val="none"/>
          <w:lang w:val="en-US" w:eastAsia="zh-CN" w:bidi="ar-SA"/>
        </w:rPr>
        <w:t>第1章</w:t>
      </w:r>
      <w:r>
        <w:rPr>
          <w:rFonts w:hint="eastAsia" w:ascii="宋体" w:hAnsi="宋体" w:eastAsia="宋体" w:cs="宋体"/>
          <w:color w:val="auto"/>
          <w:sz w:val="24"/>
          <w:highlight w:val="none"/>
        </w:rPr>
        <w:t xml:space="preserve"> 投标人须知</w:t>
      </w:r>
    </w:p>
    <w:p w14:paraId="42008099">
      <w:pPr>
        <w:keepNext w:val="0"/>
        <w:keepLines w:val="0"/>
        <w:pageBreakBefore w:val="0"/>
        <w:widowControl w:val="0"/>
        <w:numPr>
          <w:ilvl w:val="0"/>
          <w:numId w:val="0"/>
        </w:numPr>
        <w:kinsoku/>
        <w:wordWrap/>
        <w:overflowPunct/>
        <w:topLinePunct w:val="0"/>
        <w:autoSpaceDE/>
        <w:autoSpaceDN/>
        <w:bidi w:val="0"/>
        <w:adjustRightInd/>
        <w:snapToGrid/>
        <w:spacing w:line="240" w:lineRule="atLeast"/>
        <w:ind w:left="0" w:leftChars="0" w:firstLine="960" w:firstLineChars="400"/>
        <w:textAlignment w:val="auto"/>
        <w:rPr>
          <w:rFonts w:hint="eastAsia" w:ascii="宋体" w:hAnsi="宋体" w:eastAsia="宋体" w:cs="宋体"/>
          <w:color w:val="auto"/>
          <w:sz w:val="24"/>
          <w:highlight w:val="none"/>
        </w:rPr>
      </w:pPr>
      <w:r>
        <w:rPr>
          <w:rFonts w:hint="eastAsia" w:ascii="宋体" w:hAnsi="宋体" w:eastAsia="宋体" w:cs="宋体"/>
          <w:color w:val="auto"/>
          <w:kern w:val="2"/>
          <w:sz w:val="24"/>
          <w:szCs w:val="24"/>
          <w:highlight w:val="none"/>
          <w:lang w:val="en-US" w:eastAsia="zh-CN" w:bidi="ar-SA"/>
        </w:rPr>
        <w:t>第2章</w:t>
      </w:r>
      <w:r>
        <w:rPr>
          <w:rFonts w:hint="eastAsia" w:ascii="宋体" w:hAnsi="宋体" w:eastAsia="宋体" w:cs="宋体"/>
          <w:color w:val="auto"/>
          <w:sz w:val="24"/>
          <w:highlight w:val="none"/>
        </w:rPr>
        <w:t xml:space="preserve"> 投标文件格式</w:t>
      </w:r>
    </w:p>
    <w:p w14:paraId="7AFD3180">
      <w:pPr>
        <w:keepNext w:val="0"/>
        <w:keepLines w:val="0"/>
        <w:pageBreakBefore w:val="0"/>
        <w:widowControl w:val="0"/>
        <w:kinsoku/>
        <w:wordWrap/>
        <w:overflowPunct/>
        <w:topLinePunct w:val="0"/>
        <w:autoSpaceDE/>
        <w:autoSpaceDN/>
        <w:bidi w:val="0"/>
        <w:adjustRightInd/>
        <w:snapToGrid/>
        <w:spacing w:line="240" w:lineRule="atLeast"/>
        <w:ind w:left="0" w:leftChars="0" w:firstLine="960" w:firstLine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第二册</w:t>
      </w:r>
    </w:p>
    <w:p w14:paraId="0C3AE6E4">
      <w:pPr>
        <w:keepNext w:val="0"/>
        <w:keepLines w:val="0"/>
        <w:pageBreakBefore w:val="0"/>
        <w:widowControl w:val="0"/>
        <w:numPr>
          <w:ilvl w:val="0"/>
          <w:numId w:val="0"/>
        </w:numPr>
        <w:kinsoku/>
        <w:wordWrap/>
        <w:overflowPunct/>
        <w:topLinePunct w:val="0"/>
        <w:autoSpaceDE/>
        <w:autoSpaceDN/>
        <w:bidi w:val="0"/>
        <w:adjustRightInd/>
        <w:snapToGrid/>
        <w:spacing w:line="240" w:lineRule="atLeast"/>
        <w:ind w:left="0" w:leftChars="0" w:firstLine="960" w:firstLineChars="400"/>
        <w:textAlignment w:val="auto"/>
        <w:rPr>
          <w:rFonts w:hint="eastAsia" w:ascii="宋体" w:hAnsi="宋体" w:eastAsia="宋体" w:cs="宋体"/>
          <w:color w:val="auto"/>
          <w:sz w:val="24"/>
          <w:highlight w:val="none"/>
        </w:rPr>
      </w:pPr>
      <w:r>
        <w:rPr>
          <w:rFonts w:hint="eastAsia" w:ascii="宋体" w:hAnsi="宋体" w:eastAsia="宋体" w:cs="宋体"/>
          <w:color w:val="auto"/>
          <w:kern w:val="2"/>
          <w:sz w:val="24"/>
          <w:szCs w:val="24"/>
          <w:highlight w:val="none"/>
          <w:lang w:val="en-US" w:eastAsia="zh-CN" w:bidi="ar-SA"/>
        </w:rPr>
        <w:t>第3章</w:t>
      </w:r>
      <w:r>
        <w:rPr>
          <w:rFonts w:hint="eastAsia" w:ascii="宋体" w:hAnsi="宋体" w:eastAsia="宋体" w:cs="宋体"/>
          <w:color w:val="auto"/>
          <w:sz w:val="24"/>
          <w:highlight w:val="none"/>
        </w:rPr>
        <w:t xml:space="preserve"> 招标公告</w:t>
      </w:r>
    </w:p>
    <w:p w14:paraId="74EACFAD">
      <w:pPr>
        <w:keepNext w:val="0"/>
        <w:keepLines w:val="0"/>
        <w:pageBreakBefore w:val="0"/>
        <w:widowControl w:val="0"/>
        <w:numPr>
          <w:ilvl w:val="0"/>
          <w:numId w:val="0"/>
        </w:numPr>
        <w:kinsoku/>
        <w:wordWrap/>
        <w:overflowPunct/>
        <w:topLinePunct w:val="0"/>
        <w:autoSpaceDE/>
        <w:autoSpaceDN/>
        <w:bidi w:val="0"/>
        <w:adjustRightInd/>
        <w:snapToGrid/>
        <w:spacing w:line="240" w:lineRule="atLeast"/>
        <w:ind w:left="0" w:leftChars="0" w:firstLine="960" w:firstLineChars="400"/>
        <w:textAlignment w:val="auto"/>
        <w:rPr>
          <w:rFonts w:hint="eastAsia" w:ascii="宋体" w:hAnsi="宋体" w:eastAsia="宋体" w:cs="宋体"/>
          <w:color w:val="auto"/>
          <w:sz w:val="24"/>
          <w:highlight w:val="none"/>
        </w:rPr>
      </w:pPr>
      <w:r>
        <w:rPr>
          <w:rFonts w:hint="eastAsia" w:ascii="宋体" w:hAnsi="宋体" w:eastAsia="宋体" w:cs="宋体"/>
          <w:color w:val="auto"/>
          <w:kern w:val="2"/>
          <w:sz w:val="24"/>
          <w:szCs w:val="24"/>
          <w:highlight w:val="none"/>
          <w:lang w:val="en-US" w:eastAsia="zh-CN" w:bidi="ar-SA"/>
        </w:rPr>
        <w:t>第4章</w:t>
      </w:r>
      <w:r>
        <w:rPr>
          <w:rFonts w:hint="eastAsia" w:ascii="宋体" w:hAnsi="宋体" w:eastAsia="宋体" w:cs="宋体"/>
          <w:color w:val="auto"/>
          <w:sz w:val="24"/>
          <w:highlight w:val="none"/>
        </w:rPr>
        <w:t xml:space="preserve"> 投标人须知资料表</w:t>
      </w:r>
    </w:p>
    <w:p w14:paraId="20288311">
      <w:pPr>
        <w:keepNext w:val="0"/>
        <w:keepLines w:val="0"/>
        <w:pageBreakBefore w:val="0"/>
        <w:widowControl w:val="0"/>
        <w:numPr>
          <w:ilvl w:val="0"/>
          <w:numId w:val="0"/>
        </w:numPr>
        <w:kinsoku/>
        <w:wordWrap/>
        <w:overflowPunct/>
        <w:topLinePunct w:val="0"/>
        <w:autoSpaceDE/>
        <w:autoSpaceDN/>
        <w:bidi w:val="0"/>
        <w:adjustRightInd/>
        <w:snapToGrid/>
        <w:spacing w:line="240" w:lineRule="atLeast"/>
        <w:ind w:left="0" w:leftChars="0" w:firstLine="960" w:firstLineChars="400"/>
        <w:textAlignment w:val="auto"/>
        <w:rPr>
          <w:rFonts w:hint="eastAsia" w:ascii="宋体" w:hAnsi="宋体" w:eastAsia="宋体" w:cs="宋体"/>
          <w:color w:val="auto"/>
          <w:sz w:val="24"/>
          <w:highlight w:val="none"/>
        </w:rPr>
      </w:pPr>
      <w:r>
        <w:rPr>
          <w:rFonts w:hint="eastAsia" w:ascii="宋体" w:hAnsi="宋体" w:eastAsia="宋体" w:cs="宋体"/>
          <w:color w:val="auto"/>
          <w:kern w:val="2"/>
          <w:sz w:val="24"/>
          <w:szCs w:val="24"/>
          <w:highlight w:val="none"/>
          <w:lang w:val="en-US" w:eastAsia="zh-CN" w:bidi="ar-SA"/>
        </w:rPr>
        <w:t>第5章</w:t>
      </w:r>
      <w:r>
        <w:rPr>
          <w:rFonts w:hint="eastAsia" w:ascii="宋体" w:hAnsi="宋体" w:eastAsia="宋体" w:cs="宋体"/>
          <w:color w:val="auto"/>
          <w:sz w:val="24"/>
          <w:highlight w:val="none"/>
        </w:rPr>
        <w:t xml:space="preserve"> 货物需求一览表及技术规格</w:t>
      </w:r>
    </w:p>
    <w:p w14:paraId="67123A13">
      <w:pPr>
        <w:keepNext w:val="0"/>
        <w:keepLines w:val="0"/>
        <w:pageBreakBefore w:val="0"/>
        <w:widowControl w:val="0"/>
        <w:numPr>
          <w:ilvl w:val="0"/>
          <w:numId w:val="0"/>
        </w:numPr>
        <w:kinsoku/>
        <w:wordWrap/>
        <w:overflowPunct/>
        <w:topLinePunct w:val="0"/>
        <w:autoSpaceDE/>
        <w:autoSpaceDN/>
        <w:bidi w:val="0"/>
        <w:adjustRightInd/>
        <w:snapToGrid/>
        <w:spacing w:line="240" w:lineRule="atLeast"/>
        <w:ind w:left="0" w:leftChars="0" w:firstLine="960" w:firstLineChars="400"/>
        <w:textAlignment w:val="auto"/>
        <w:rPr>
          <w:rFonts w:hint="eastAsia" w:ascii="宋体" w:hAnsi="宋体" w:eastAsia="宋体" w:cs="宋体"/>
          <w:color w:val="auto"/>
          <w:sz w:val="24"/>
          <w:highlight w:val="none"/>
        </w:rPr>
      </w:pPr>
      <w:r>
        <w:rPr>
          <w:rFonts w:hint="eastAsia" w:ascii="宋体" w:hAnsi="宋体" w:eastAsia="宋体" w:cs="宋体"/>
          <w:color w:val="auto"/>
          <w:kern w:val="2"/>
          <w:sz w:val="24"/>
          <w:szCs w:val="24"/>
          <w:highlight w:val="none"/>
          <w:lang w:val="en-US" w:eastAsia="zh-CN" w:bidi="ar-SA"/>
        </w:rPr>
        <w:t>第6章</w:t>
      </w:r>
      <w:r>
        <w:rPr>
          <w:rFonts w:hint="eastAsia" w:ascii="宋体" w:hAnsi="宋体" w:eastAsia="宋体" w:cs="宋体"/>
          <w:color w:val="auto"/>
          <w:sz w:val="24"/>
          <w:highlight w:val="none"/>
        </w:rPr>
        <w:t xml:space="preserve"> 评标方法和标准</w:t>
      </w:r>
    </w:p>
    <w:p w14:paraId="35EC3D52">
      <w:pPr>
        <w:keepNext w:val="0"/>
        <w:keepLines w:val="0"/>
        <w:pageBreakBefore w:val="0"/>
        <w:widowControl w:val="0"/>
        <w:numPr>
          <w:ilvl w:val="0"/>
          <w:numId w:val="0"/>
        </w:numPr>
        <w:kinsoku/>
        <w:wordWrap/>
        <w:overflowPunct/>
        <w:topLinePunct w:val="0"/>
        <w:autoSpaceDE/>
        <w:autoSpaceDN/>
        <w:bidi w:val="0"/>
        <w:adjustRightInd/>
        <w:snapToGrid/>
        <w:spacing w:line="240" w:lineRule="atLeast"/>
        <w:ind w:left="0" w:leftChars="0" w:firstLine="960" w:firstLine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第三册</w:t>
      </w:r>
    </w:p>
    <w:p w14:paraId="003B537A">
      <w:pPr>
        <w:keepNext w:val="0"/>
        <w:keepLines w:val="0"/>
        <w:pageBreakBefore w:val="0"/>
        <w:widowControl w:val="0"/>
        <w:numPr>
          <w:ilvl w:val="0"/>
          <w:numId w:val="0"/>
        </w:numPr>
        <w:kinsoku/>
        <w:wordWrap/>
        <w:overflowPunct/>
        <w:topLinePunct w:val="0"/>
        <w:autoSpaceDE/>
        <w:autoSpaceDN/>
        <w:bidi w:val="0"/>
        <w:adjustRightInd/>
        <w:snapToGrid/>
        <w:spacing w:line="240" w:lineRule="atLeast"/>
        <w:ind w:left="0" w:leftChars="0" w:firstLine="960" w:firstLineChars="400"/>
        <w:textAlignment w:val="auto"/>
        <w:rPr>
          <w:rFonts w:hint="eastAsia" w:ascii="宋体" w:hAnsi="宋体" w:eastAsia="宋体" w:cs="宋体"/>
          <w:color w:val="auto"/>
          <w:sz w:val="24"/>
          <w:highlight w:val="none"/>
        </w:rPr>
      </w:pPr>
      <w:r>
        <w:rPr>
          <w:rFonts w:hint="eastAsia" w:ascii="宋体" w:hAnsi="宋体" w:eastAsia="宋体" w:cs="宋体"/>
          <w:color w:val="auto"/>
          <w:kern w:val="2"/>
          <w:sz w:val="24"/>
          <w:szCs w:val="24"/>
          <w:highlight w:val="none"/>
          <w:lang w:val="en-US" w:eastAsia="zh-CN" w:bidi="ar-SA"/>
        </w:rPr>
        <w:t>第7章</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政府采购合同格式</w:t>
      </w:r>
    </w:p>
    <w:p w14:paraId="1CD40228">
      <w:pPr>
        <w:keepNext w:val="0"/>
        <w:keepLines w:val="0"/>
        <w:pageBreakBefore w:val="0"/>
        <w:widowControl w:val="0"/>
        <w:kinsoku/>
        <w:wordWrap/>
        <w:overflowPunct/>
        <w:topLinePunct w:val="0"/>
        <w:autoSpaceDE/>
        <w:autoSpaceDN/>
        <w:bidi w:val="0"/>
        <w:adjustRightInd/>
        <w:snapToGrid/>
        <w:spacing w:line="240" w:lineRule="atLeast"/>
        <w:ind w:left="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5.2</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如本文件的前后内容不一致，以最后描述为准。</w:t>
      </w:r>
    </w:p>
    <w:p w14:paraId="2CF62465">
      <w:pPr>
        <w:keepNext w:val="0"/>
        <w:keepLines w:val="0"/>
        <w:pageBreakBefore w:val="0"/>
        <w:widowControl w:val="0"/>
        <w:kinsoku/>
        <w:wordWrap/>
        <w:overflowPunct/>
        <w:topLinePunct w:val="0"/>
        <w:autoSpaceDE/>
        <w:autoSpaceDN/>
        <w:bidi w:val="0"/>
        <w:adjustRightInd/>
        <w:snapToGrid/>
        <w:spacing w:line="240" w:lineRule="atLeast"/>
        <w:ind w:left="96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5.3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投标人应认真阅读招标文件所有的事项、格式、条款和技术规范等。如投标人没有按照招标文件要求提交全部资料，或者投标文件没有对招标文件在各方面都做出实质性响应，可能导致其投标将被认定为</w:t>
      </w:r>
      <w:r>
        <w:rPr>
          <w:rFonts w:hint="eastAsia" w:ascii="宋体" w:hAnsi="宋体" w:eastAsia="宋体" w:cs="宋体"/>
          <w:b/>
          <w:bCs/>
          <w:color w:val="auto"/>
          <w:sz w:val="24"/>
          <w:highlight w:val="none"/>
        </w:rPr>
        <w:t>投标无效</w:t>
      </w:r>
      <w:r>
        <w:rPr>
          <w:rFonts w:hint="eastAsia" w:ascii="宋体" w:hAnsi="宋体" w:eastAsia="宋体" w:cs="宋体"/>
          <w:color w:val="auto"/>
          <w:sz w:val="24"/>
          <w:highlight w:val="none"/>
        </w:rPr>
        <w:t>。</w:t>
      </w:r>
    </w:p>
    <w:p w14:paraId="10CC57DD">
      <w:pPr>
        <w:pStyle w:val="5"/>
        <w:spacing w:before="0" w:after="0" w:line="240" w:lineRule="atLeast"/>
        <w:rPr>
          <w:rFonts w:hint="eastAsia" w:ascii="宋体" w:hAnsi="宋体" w:eastAsia="宋体" w:cs="宋体"/>
          <w:color w:val="auto"/>
          <w:sz w:val="24"/>
          <w:szCs w:val="20"/>
          <w:highlight w:val="none"/>
          <w:u w:val="none"/>
        </w:rPr>
      </w:pPr>
      <w:bookmarkStart w:id="40" w:name="_Toc515904805"/>
      <w:bookmarkStart w:id="41" w:name="_Toc520356148"/>
      <w:bookmarkStart w:id="42" w:name="_Toc1922"/>
      <w:bookmarkStart w:id="43" w:name="_Toc9232"/>
      <w:bookmarkStart w:id="44" w:name="_Toc26044"/>
      <w:r>
        <w:rPr>
          <w:rFonts w:hint="eastAsia" w:ascii="宋体" w:hAnsi="宋体" w:eastAsia="宋体" w:cs="宋体"/>
          <w:color w:val="auto"/>
          <w:sz w:val="24"/>
          <w:szCs w:val="20"/>
          <w:highlight w:val="none"/>
          <w:u w:val="none"/>
        </w:rPr>
        <w:t>6.招标文件的澄清</w:t>
      </w:r>
      <w:bookmarkEnd w:id="40"/>
      <w:bookmarkEnd w:id="41"/>
      <w:r>
        <w:rPr>
          <w:rFonts w:hint="eastAsia" w:ascii="宋体" w:hAnsi="宋体" w:eastAsia="宋体" w:cs="宋体"/>
          <w:color w:val="auto"/>
          <w:sz w:val="24"/>
          <w:szCs w:val="20"/>
          <w:highlight w:val="none"/>
          <w:u w:val="none"/>
        </w:rPr>
        <w:t>与修改</w:t>
      </w:r>
      <w:bookmarkEnd w:id="42"/>
      <w:bookmarkEnd w:id="43"/>
      <w:bookmarkEnd w:id="44"/>
    </w:p>
    <w:p w14:paraId="0C5BBB1B">
      <w:pPr>
        <w:pStyle w:val="4"/>
        <w:keepNext w:val="0"/>
        <w:keepLines w:val="0"/>
        <w:pageBreakBefore w:val="0"/>
        <w:widowControl w:val="0"/>
        <w:kinsoku/>
        <w:wordWrap/>
        <w:overflowPunct/>
        <w:topLinePunct w:val="0"/>
        <w:autoSpaceDE w:val="0"/>
        <w:autoSpaceDN w:val="0"/>
        <w:bidi w:val="0"/>
        <w:adjustRightInd w:val="0"/>
        <w:snapToGrid/>
        <w:ind w:left="960" w:hanging="960" w:hanging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6.1  </w:t>
      </w:r>
      <w:r>
        <w:rPr>
          <w:rFonts w:hint="eastAsia"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为了保证对招标文件的澄清和修改满足法律的时限要求，任何要求对招标文件进行澄清的投标人，均应在投标截止期十五日前，以书面形式将澄清要求通知采购人或采购代理机构。</w:t>
      </w:r>
    </w:p>
    <w:p w14:paraId="751855EC">
      <w:pPr>
        <w:pStyle w:val="4"/>
        <w:keepNext w:val="0"/>
        <w:keepLines w:val="0"/>
        <w:pageBreakBefore w:val="0"/>
        <w:widowControl w:val="0"/>
        <w:kinsoku/>
        <w:wordWrap/>
        <w:overflowPunct/>
        <w:topLinePunct w:val="0"/>
        <w:autoSpaceDE w:val="0"/>
        <w:autoSpaceDN w:val="0"/>
        <w:bidi w:val="0"/>
        <w:adjustRightInd w:val="0"/>
        <w:snapToGrid/>
        <w:ind w:left="960" w:hanging="960" w:hangingChars="400"/>
        <w:textAlignment w:val="auto"/>
        <w:rPr>
          <w:rFonts w:hint="eastAsia" w:ascii="宋体" w:hAnsi="宋体" w:eastAsia="宋体" w:cs="宋体"/>
          <w:color w:val="auto"/>
          <w:sz w:val="24"/>
          <w:szCs w:val="24"/>
          <w:highlight w:val="none"/>
        </w:rPr>
      </w:pPr>
      <w:bookmarkStart w:id="45" w:name="_Toc520356149"/>
      <w:bookmarkStart w:id="46" w:name="_Ref467378678"/>
      <w:bookmarkStart w:id="47" w:name="_Toc515904806"/>
      <w:r>
        <w:rPr>
          <w:rFonts w:hint="eastAsia" w:ascii="宋体" w:hAnsi="宋体" w:eastAsia="宋体" w:cs="宋体"/>
          <w:color w:val="auto"/>
          <w:sz w:val="24"/>
          <w:szCs w:val="24"/>
          <w:highlight w:val="none"/>
        </w:rPr>
        <w:t>6.2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采购人可主动地或在解答投标人提出的澄清问题时对招标文件进行澄清或修改。采购代理机构将以发布澄清（更正）公告的方式，澄清或修改招标文件，澄清或修改内容作为招标文件的组成部分。</w:t>
      </w:r>
    </w:p>
    <w:p w14:paraId="64E8B4A6">
      <w:pPr>
        <w:pStyle w:val="4"/>
        <w:keepNext w:val="0"/>
        <w:keepLines w:val="0"/>
        <w:pageBreakBefore w:val="0"/>
        <w:widowControl w:val="0"/>
        <w:kinsoku/>
        <w:wordWrap/>
        <w:overflowPunct/>
        <w:topLinePunct w:val="0"/>
        <w:autoSpaceDE w:val="0"/>
        <w:autoSpaceDN w:val="0"/>
        <w:bidi w:val="0"/>
        <w:adjustRightInd w:val="0"/>
        <w:snapToGrid/>
        <w:ind w:left="960" w:hanging="960" w:hanging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6.3</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澄清或者修改的内容可能影响投标文件编制的，采购代理机构将以书面形式通知所有购买招标文件的潜在投标人，并对其具有约束力。投标人在收到上述通知后，应及时向采购代理机构回函确认。</w:t>
      </w:r>
    </w:p>
    <w:p w14:paraId="7064D508">
      <w:pPr>
        <w:pStyle w:val="5"/>
        <w:tabs>
          <w:tab w:val="left" w:pos="900"/>
        </w:tabs>
        <w:spacing w:before="0" w:after="0" w:line="240" w:lineRule="atLeast"/>
        <w:rPr>
          <w:rFonts w:hint="eastAsia" w:ascii="宋体" w:hAnsi="宋体" w:eastAsia="宋体" w:cs="宋体"/>
          <w:color w:val="auto"/>
          <w:sz w:val="24"/>
          <w:szCs w:val="20"/>
          <w:highlight w:val="none"/>
          <w:u w:val="none"/>
        </w:rPr>
      </w:pPr>
      <w:bookmarkStart w:id="48" w:name="_Toc12448"/>
      <w:bookmarkStart w:id="49" w:name="_Toc25635"/>
      <w:bookmarkStart w:id="50" w:name="_Toc14569"/>
      <w:r>
        <w:rPr>
          <w:rFonts w:hint="eastAsia" w:ascii="宋体" w:hAnsi="宋体" w:eastAsia="宋体" w:cs="宋体"/>
          <w:color w:val="auto"/>
          <w:sz w:val="24"/>
          <w:szCs w:val="20"/>
          <w:highlight w:val="none"/>
          <w:u w:val="none"/>
        </w:rPr>
        <w:t>7</w:t>
      </w:r>
      <w:bookmarkEnd w:id="45"/>
      <w:bookmarkEnd w:id="46"/>
      <w:bookmarkEnd w:id="47"/>
      <w:r>
        <w:rPr>
          <w:rFonts w:hint="eastAsia" w:ascii="宋体" w:hAnsi="宋体" w:eastAsia="宋体" w:cs="宋体"/>
          <w:color w:val="auto"/>
          <w:sz w:val="24"/>
          <w:szCs w:val="20"/>
          <w:highlight w:val="none"/>
          <w:u w:val="none"/>
        </w:rPr>
        <w:t>.投标截止时间的顺延</w:t>
      </w:r>
      <w:bookmarkEnd w:id="48"/>
      <w:bookmarkEnd w:id="49"/>
      <w:bookmarkEnd w:id="50"/>
    </w:p>
    <w:p w14:paraId="13780CD7">
      <w:pPr>
        <w:keepNext w:val="0"/>
        <w:keepLines w:val="0"/>
        <w:pageBreakBefore w:val="0"/>
        <w:widowControl w:val="0"/>
        <w:kinsoku/>
        <w:wordWrap/>
        <w:overflowPunct/>
        <w:topLinePunct w:val="0"/>
        <w:autoSpaceDE/>
        <w:autoSpaceDN/>
        <w:bidi w:val="0"/>
        <w:adjustRightInd/>
        <w:snapToGrid/>
        <w:spacing w:line="240" w:lineRule="atLeast"/>
        <w:ind w:left="96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为使投标人准备投标时有足够的时间对招标文件的澄清或者修改部分进行研究，采购人将依法决定是否顺延投标截止时间。</w:t>
      </w:r>
    </w:p>
    <w:p w14:paraId="79FAC801">
      <w:pPr>
        <w:pStyle w:val="3"/>
        <w:spacing w:before="0" w:line="240" w:lineRule="atLeast"/>
        <w:ind w:left="1079" w:leftChars="257" w:hanging="540"/>
        <w:rPr>
          <w:rFonts w:hint="eastAsia" w:ascii="宋体" w:hAnsi="宋体" w:eastAsia="宋体" w:cs="宋体"/>
          <w:color w:val="auto"/>
          <w:sz w:val="28"/>
          <w:highlight w:val="none"/>
        </w:rPr>
      </w:pPr>
      <w:bookmarkStart w:id="51" w:name="_Toc516367020"/>
      <w:bookmarkStart w:id="52" w:name="_Toc7636"/>
      <w:bookmarkStart w:id="53" w:name="_Toc216582807"/>
      <w:bookmarkStart w:id="54" w:name="_Toc515647766"/>
      <w:bookmarkStart w:id="55" w:name="_Toc31039"/>
      <w:bookmarkStart w:id="56" w:name="_Toc30808"/>
      <w:bookmarkStart w:id="57" w:name="_Toc520356150"/>
      <w:r>
        <w:rPr>
          <w:rFonts w:hint="eastAsia" w:ascii="宋体" w:hAnsi="宋体" w:eastAsia="宋体" w:cs="宋体"/>
          <w:color w:val="auto"/>
          <w:sz w:val="28"/>
          <w:highlight w:val="none"/>
        </w:rPr>
        <w:t>三   投标文件</w:t>
      </w:r>
      <w:bookmarkEnd w:id="51"/>
      <w:r>
        <w:rPr>
          <w:rFonts w:hint="eastAsia" w:ascii="宋体" w:hAnsi="宋体" w:eastAsia="宋体" w:cs="宋体"/>
          <w:color w:val="auto"/>
          <w:sz w:val="28"/>
          <w:highlight w:val="none"/>
        </w:rPr>
        <w:t>的编制</w:t>
      </w:r>
      <w:bookmarkEnd w:id="52"/>
      <w:bookmarkEnd w:id="53"/>
      <w:bookmarkEnd w:id="54"/>
      <w:bookmarkEnd w:id="55"/>
      <w:bookmarkEnd w:id="56"/>
      <w:bookmarkEnd w:id="57"/>
    </w:p>
    <w:p w14:paraId="22C3152C">
      <w:pPr>
        <w:pStyle w:val="5"/>
        <w:keepNext/>
        <w:keepLines/>
        <w:pageBreakBefore w:val="0"/>
        <w:widowControl w:val="0"/>
        <w:tabs>
          <w:tab w:val="left" w:pos="900"/>
        </w:tabs>
        <w:kinsoku/>
        <w:wordWrap/>
        <w:overflowPunct/>
        <w:topLinePunct w:val="0"/>
        <w:autoSpaceDE w:val="0"/>
        <w:autoSpaceDN w:val="0"/>
        <w:bidi w:val="0"/>
        <w:adjustRightInd w:val="0"/>
        <w:snapToGrid/>
        <w:spacing w:before="0" w:after="0" w:line="240" w:lineRule="atLeast"/>
        <w:ind w:left="0" w:hanging="960" w:hangingChars="400"/>
        <w:textAlignment w:val="auto"/>
        <w:rPr>
          <w:rFonts w:hint="eastAsia" w:ascii="宋体" w:hAnsi="宋体" w:eastAsia="宋体" w:cs="宋体"/>
          <w:color w:val="auto"/>
          <w:highlight w:val="none"/>
          <w:u w:val="none"/>
        </w:rPr>
      </w:pPr>
      <w:bookmarkStart w:id="58" w:name="_Toc7786"/>
      <w:bookmarkStart w:id="59" w:name="_Toc520356151"/>
      <w:bookmarkStart w:id="60" w:name="_Toc516367021"/>
      <w:bookmarkStart w:id="61" w:name="_Toc515647767"/>
      <w:bookmarkStart w:id="62" w:name="_Toc3553"/>
      <w:bookmarkStart w:id="63" w:name="_Toc30570"/>
      <w:r>
        <w:rPr>
          <w:rFonts w:hint="eastAsia" w:ascii="宋体" w:hAnsi="宋体" w:eastAsia="宋体" w:cs="宋体"/>
          <w:color w:val="auto"/>
          <w:highlight w:val="none"/>
          <w:u w:val="none"/>
        </w:rPr>
        <w:t>8.</w:t>
      </w:r>
      <w:r>
        <w:rPr>
          <w:rFonts w:hint="eastAsia" w:ascii="宋体" w:hAnsi="宋体" w:eastAsia="宋体" w:cs="宋体"/>
          <w:color w:val="auto"/>
          <w:highlight w:val="none"/>
          <w:u w:val="none"/>
        </w:rPr>
        <w:tab/>
      </w:r>
      <w:r>
        <w:rPr>
          <w:rFonts w:hint="eastAsia" w:ascii="宋体" w:hAnsi="宋体" w:eastAsia="宋体" w:cs="宋体"/>
          <w:color w:val="auto"/>
          <w:highlight w:val="none"/>
          <w:u w:val="none"/>
        </w:rPr>
        <w:t>投标范围及投标文件中标准和计量单位的使用</w:t>
      </w:r>
      <w:bookmarkEnd w:id="58"/>
      <w:bookmarkEnd w:id="59"/>
      <w:bookmarkEnd w:id="60"/>
      <w:bookmarkEnd w:id="61"/>
      <w:bookmarkEnd w:id="62"/>
      <w:bookmarkEnd w:id="63"/>
    </w:p>
    <w:p w14:paraId="534FC098">
      <w:pPr>
        <w:pageBreakBefore w:val="0"/>
        <w:widowControl w:val="0"/>
        <w:kinsoku/>
        <w:wordWrap/>
        <w:overflowPunct/>
        <w:topLinePunct w:val="0"/>
        <w:bidi w:val="0"/>
        <w:snapToGrid/>
        <w:spacing w:line="240" w:lineRule="atLeast"/>
        <w:ind w:left="96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8.1</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项目有分包的，投标人可对招标文件其中某一个或几个分包货物进行投标，除非在</w:t>
      </w:r>
      <w:r>
        <w:rPr>
          <w:rFonts w:hint="eastAsia" w:ascii="宋体" w:hAnsi="宋体" w:eastAsia="宋体" w:cs="宋体"/>
          <w:color w:val="auto"/>
          <w:sz w:val="24"/>
          <w:highlight w:val="none"/>
          <w:u w:val="single"/>
        </w:rPr>
        <w:t>投标人须知资料表</w:t>
      </w:r>
      <w:r>
        <w:rPr>
          <w:rFonts w:hint="eastAsia" w:ascii="宋体" w:hAnsi="宋体" w:eastAsia="宋体" w:cs="宋体"/>
          <w:color w:val="auto"/>
          <w:sz w:val="24"/>
          <w:highlight w:val="none"/>
        </w:rPr>
        <w:t>中另有规定。</w:t>
      </w:r>
    </w:p>
    <w:p w14:paraId="0B07CEB5">
      <w:pPr>
        <w:pageBreakBefore w:val="0"/>
        <w:widowControl w:val="0"/>
        <w:kinsoku/>
        <w:wordWrap/>
        <w:overflowPunct/>
        <w:topLinePunct w:val="0"/>
        <w:bidi w:val="0"/>
        <w:snapToGrid/>
        <w:spacing w:line="240" w:lineRule="atLeast"/>
        <w:ind w:left="96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8.2     投标人应当对所投分包招标文件中“</w:t>
      </w:r>
      <w:r>
        <w:rPr>
          <w:rFonts w:hint="eastAsia" w:ascii="宋体" w:hAnsi="宋体" w:eastAsia="宋体" w:cs="宋体"/>
          <w:color w:val="auto"/>
          <w:sz w:val="24"/>
          <w:highlight w:val="none"/>
          <w:lang w:eastAsia="zh-CN"/>
        </w:rPr>
        <w:t>采购</w:t>
      </w:r>
      <w:r>
        <w:rPr>
          <w:rFonts w:hint="eastAsia" w:ascii="宋体" w:hAnsi="宋体" w:eastAsia="宋体" w:cs="宋体"/>
          <w:color w:val="auto"/>
          <w:sz w:val="24"/>
          <w:highlight w:val="none"/>
        </w:rPr>
        <w:t>需求”所列的所有内容进行投标，如仅响应某一包中的部分内容，其该包投标将被认定为</w:t>
      </w:r>
      <w:r>
        <w:rPr>
          <w:rFonts w:hint="eastAsia" w:ascii="宋体" w:hAnsi="宋体" w:eastAsia="宋体" w:cs="宋体"/>
          <w:b/>
          <w:bCs/>
          <w:color w:val="auto"/>
          <w:sz w:val="24"/>
          <w:highlight w:val="none"/>
        </w:rPr>
        <w:t>投标无效</w:t>
      </w:r>
      <w:r>
        <w:rPr>
          <w:rFonts w:hint="eastAsia" w:ascii="宋体" w:hAnsi="宋体" w:eastAsia="宋体" w:cs="宋体"/>
          <w:color w:val="auto"/>
          <w:sz w:val="24"/>
          <w:highlight w:val="none"/>
        </w:rPr>
        <w:t>。</w:t>
      </w:r>
    </w:p>
    <w:p w14:paraId="20110702">
      <w:pPr>
        <w:pageBreakBefore w:val="0"/>
        <w:widowControl w:val="0"/>
        <w:kinsoku/>
        <w:wordWrap/>
        <w:overflowPunct/>
        <w:topLinePunct w:val="0"/>
        <w:bidi w:val="0"/>
        <w:snapToGrid/>
        <w:spacing w:line="240" w:lineRule="atLeast"/>
        <w:ind w:left="96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8.3     无论招标文件第5章货物需求一览表及技术规格中是否要求，投标人所投货物均应符合国家强制性标准。</w:t>
      </w:r>
    </w:p>
    <w:p w14:paraId="2FCD0178">
      <w:pPr>
        <w:pageBreakBefore w:val="0"/>
        <w:widowControl w:val="0"/>
        <w:kinsoku/>
        <w:wordWrap/>
        <w:overflowPunct/>
        <w:topLinePunct w:val="0"/>
        <w:bidi w:val="0"/>
        <w:snapToGrid/>
        <w:spacing w:line="240" w:lineRule="atLeast"/>
        <w:ind w:left="96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8.4     除招标文件中有特殊要求外，投标文件中所使用的计量单位，应采用中华人民共和国法定计量单位。</w:t>
      </w:r>
    </w:p>
    <w:p w14:paraId="0401C844">
      <w:pPr>
        <w:pStyle w:val="5"/>
        <w:tabs>
          <w:tab w:val="left" w:pos="900"/>
        </w:tabs>
        <w:spacing w:before="0" w:after="0" w:line="240" w:lineRule="atLeast"/>
        <w:rPr>
          <w:rFonts w:hint="eastAsia" w:ascii="宋体" w:hAnsi="宋体" w:eastAsia="宋体" w:cs="宋体"/>
          <w:color w:val="auto"/>
          <w:highlight w:val="none"/>
          <w:u w:val="none"/>
        </w:rPr>
      </w:pPr>
      <w:bookmarkStart w:id="64" w:name="_Ref467306195"/>
      <w:bookmarkStart w:id="65" w:name="_Toc516367022"/>
      <w:bookmarkStart w:id="66" w:name="_Ref467306676"/>
      <w:bookmarkStart w:id="67" w:name="_Toc520356152"/>
      <w:bookmarkStart w:id="68" w:name="_Toc10364"/>
      <w:bookmarkStart w:id="69" w:name="_Toc515647768"/>
      <w:bookmarkStart w:id="70" w:name="_Toc28307"/>
      <w:bookmarkStart w:id="71" w:name="_Toc18692"/>
      <w:r>
        <w:rPr>
          <w:rFonts w:hint="eastAsia" w:ascii="宋体" w:hAnsi="宋体" w:eastAsia="宋体" w:cs="宋体"/>
          <w:color w:val="auto"/>
          <w:highlight w:val="none"/>
          <w:u w:val="none"/>
        </w:rPr>
        <w:t>9.投标文件</w:t>
      </w:r>
      <w:bookmarkEnd w:id="64"/>
      <w:bookmarkEnd w:id="65"/>
      <w:bookmarkEnd w:id="66"/>
      <w:r>
        <w:rPr>
          <w:rFonts w:hint="eastAsia" w:ascii="宋体" w:hAnsi="宋体" w:eastAsia="宋体" w:cs="宋体"/>
          <w:color w:val="auto"/>
          <w:highlight w:val="none"/>
          <w:u w:val="none"/>
        </w:rPr>
        <w:t>构成</w:t>
      </w:r>
      <w:bookmarkEnd w:id="67"/>
      <w:bookmarkEnd w:id="68"/>
      <w:bookmarkEnd w:id="69"/>
      <w:bookmarkEnd w:id="70"/>
      <w:bookmarkEnd w:id="71"/>
    </w:p>
    <w:p w14:paraId="625F4BFC">
      <w:pPr>
        <w:keepNext w:val="0"/>
        <w:keepLines w:val="0"/>
        <w:pageBreakBefore w:val="0"/>
        <w:widowControl w:val="0"/>
        <w:kinsoku/>
        <w:wordWrap/>
        <w:overflowPunct/>
        <w:topLinePunct w:val="0"/>
        <w:autoSpaceDE/>
        <w:autoSpaceDN/>
        <w:bidi w:val="0"/>
        <w:adjustRightInd/>
        <w:snapToGrid/>
        <w:spacing w:line="240" w:lineRule="atLeast"/>
        <w:ind w:left="960" w:hanging="960" w:hangingChars="400"/>
        <w:textAlignment w:val="auto"/>
        <w:rPr>
          <w:rFonts w:hint="eastAsia" w:ascii="宋体" w:hAnsi="宋体" w:eastAsia="宋体" w:cs="宋体"/>
          <w:b/>
          <w:bCs/>
          <w:color w:val="auto"/>
          <w:sz w:val="24"/>
          <w:highlight w:val="none"/>
          <w:lang w:val="en-US" w:eastAsia="zh-CN"/>
        </w:rPr>
      </w:pPr>
      <w:bookmarkStart w:id="72" w:name="_Ref467052588"/>
      <w:r>
        <w:rPr>
          <w:rFonts w:hint="eastAsia" w:ascii="宋体" w:hAnsi="宋体" w:eastAsia="宋体" w:cs="宋体"/>
          <w:color w:val="auto"/>
          <w:sz w:val="24"/>
          <w:highlight w:val="none"/>
        </w:rPr>
        <w:t xml:space="preserve">9.1     </w:t>
      </w:r>
      <w:r>
        <w:rPr>
          <w:rFonts w:hint="eastAsia" w:ascii="宋体" w:hAnsi="宋体" w:eastAsia="宋体" w:cs="宋体"/>
          <w:b/>
          <w:bCs/>
          <w:color w:val="auto"/>
          <w:sz w:val="24"/>
          <w:highlight w:val="none"/>
          <w:lang w:val="en-US" w:eastAsia="zh-CN"/>
        </w:rPr>
        <w:t>投标人</w:t>
      </w:r>
      <w:r>
        <w:rPr>
          <w:rFonts w:hint="eastAsia" w:ascii="宋体" w:hAnsi="宋体" w:eastAsia="宋体" w:cs="宋体"/>
          <w:b/>
          <w:bCs/>
          <w:color w:val="auto"/>
          <w:sz w:val="24"/>
          <w:highlight w:val="none"/>
        </w:rPr>
        <w:t>应完整地按</w:t>
      </w:r>
      <w:r>
        <w:rPr>
          <w:rFonts w:hint="eastAsia" w:ascii="宋体" w:hAnsi="宋体" w:eastAsia="宋体" w:cs="宋体"/>
          <w:b/>
          <w:bCs/>
          <w:color w:val="auto"/>
          <w:sz w:val="24"/>
          <w:highlight w:val="none"/>
          <w:lang w:eastAsia="zh-CN"/>
        </w:rPr>
        <w:t>招标文件</w:t>
      </w:r>
      <w:r>
        <w:rPr>
          <w:rFonts w:hint="eastAsia" w:ascii="宋体" w:hAnsi="宋体" w:eastAsia="宋体" w:cs="宋体"/>
          <w:b/>
          <w:bCs/>
          <w:color w:val="auto"/>
          <w:sz w:val="24"/>
          <w:highlight w:val="none"/>
        </w:rPr>
        <w:t>提供的</w:t>
      </w:r>
      <w:r>
        <w:rPr>
          <w:rFonts w:hint="eastAsia" w:ascii="宋体" w:hAnsi="宋体" w:eastAsia="宋体" w:cs="宋体"/>
          <w:b/>
          <w:bCs/>
          <w:color w:val="auto"/>
          <w:sz w:val="24"/>
          <w:highlight w:val="none"/>
          <w:lang w:val="en-US" w:eastAsia="zh-CN"/>
        </w:rPr>
        <w:t>投标</w:t>
      </w:r>
      <w:r>
        <w:rPr>
          <w:rFonts w:hint="eastAsia" w:ascii="宋体" w:hAnsi="宋体" w:eastAsia="宋体" w:cs="宋体"/>
          <w:b/>
          <w:bCs/>
          <w:color w:val="auto"/>
          <w:sz w:val="24"/>
          <w:highlight w:val="none"/>
          <w:lang w:eastAsia="zh-CN"/>
        </w:rPr>
        <w:t>文件</w:t>
      </w:r>
      <w:r>
        <w:rPr>
          <w:rFonts w:hint="eastAsia" w:ascii="宋体" w:hAnsi="宋体" w:eastAsia="宋体" w:cs="宋体"/>
          <w:b/>
          <w:bCs/>
          <w:color w:val="auto"/>
          <w:sz w:val="24"/>
          <w:highlight w:val="none"/>
        </w:rPr>
        <w:t>格式及要求编写</w:t>
      </w:r>
      <w:r>
        <w:rPr>
          <w:rFonts w:hint="eastAsia" w:ascii="宋体" w:hAnsi="宋体" w:eastAsia="宋体" w:cs="宋体"/>
          <w:b/>
          <w:bCs/>
          <w:color w:val="auto"/>
          <w:sz w:val="24"/>
          <w:highlight w:val="none"/>
          <w:lang w:val="en-US" w:eastAsia="zh-CN"/>
        </w:rPr>
        <w:t>投标</w:t>
      </w:r>
      <w:r>
        <w:rPr>
          <w:rFonts w:hint="eastAsia" w:ascii="宋体" w:hAnsi="宋体" w:eastAsia="宋体" w:cs="宋体"/>
          <w:b/>
          <w:bCs/>
          <w:color w:val="auto"/>
          <w:sz w:val="24"/>
          <w:highlight w:val="none"/>
          <w:lang w:eastAsia="zh-CN"/>
        </w:rPr>
        <w:t>文件，</w:t>
      </w:r>
      <w:r>
        <w:rPr>
          <w:rFonts w:hint="eastAsia" w:ascii="宋体" w:hAnsi="宋体" w:eastAsia="宋体" w:cs="宋体"/>
          <w:b/>
          <w:bCs/>
          <w:color w:val="auto"/>
          <w:sz w:val="24"/>
          <w:highlight w:val="none"/>
          <w:lang w:val="en-US" w:eastAsia="zh-CN"/>
        </w:rPr>
        <w:t>投标人须在投标截止时间前完成在系统上递交电子投标文件。投标人的电子投标文件是经过CA证书加密后上传提交的，任何单位或个人均无法在投标截止时间(即开标时间)之前查看或篡改，不存在泄密风险。（严格按照政采云电子投标流程制作并上传电子投标文件）</w:t>
      </w:r>
    </w:p>
    <w:p w14:paraId="1F678F91">
      <w:pPr>
        <w:keepNext w:val="0"/>
        <w:keepLines w:val="0"/>
        <w:pageBreakBefore w:val="0"/>
        <w:widowControl w:val="0"/>
        <w:kinsoku/>
        <w:wordWrap/>
        <w:overflowPunct/>
        <w:topLinePunct w:val="0"/>
        <w:autoSpaceDE/>
        <w:autoSpaceDN/>
        <w:bidi w:val="0"/>
        <w:adjustRightInd/>
        <w:snapToGrid/>
        <w:spacing w:line="240" w:lineRule="atLeast"/>
        <w:ind w:left="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9.2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上述文件应按照招标文件规定的格式填写、签署和盖章。</w:t>
      </w:r>
    </w:p>
    <w:bookmarkEnd w:id="72"/>
    <w:p w14:paraId="0799A972">
      <w:pPr>
        <w:pStyle w:val="5"/>
        <w:pageBreakBefore w:val="0"/>
        <w:widowControl w:val="0"/>
        <w:tabs>
          <w:tab w:val="left" w:pos="900"/>
        </w:tabs>
        <w:kinsoku/>
        <w:wordWrap/>
        <w:overflowPunct/>
        <w:topLinePunct w:val="0"/>
        <w:bidi w:val="0"/>
        <w:snapToGrid/>
        <w:spacing w:before="0" w:after="0" w:line="240" w:lineRule="atLeast"/>
        <w:ind w:left="960" w:hanging="960" w:hangingChars="400"/>
        <w:textAlignment w:val="auto"/>
        <w:rPr>
          <w:rFonts w:hint="eastAsia" w:ascii="宋体" w:hAnsi="宋体" w:eastAsia="宋体" w:cs="宋体"/>
          <w:b/>
          <w:bCs w:val="0"/>
          <w:color w:val="auto"/>
          <w:highlight w:val="none"/>
          <w:u w:val="none"/>
        </w:rPr>
      </w:pPr>
      <w:bookmarkStart w:id="73" w:name="_Toc516367023"/>
      <w:bookmarkStart w:id="74" w:name="_Toc520356153"/>
      <w:bookmarkStart w:id="75" w:name="_Toc10379"/>
      <w:bookmarkStart w:id="76" w:name="_Toc4601"/>
      <w:bookmarkStart w:id="77" w:name="_Toc13143"/>
      <w:bookmarkStart w:id="78" w:name="_Toc515647769"/>
      <w:r>
        <w:rPr>
          <w:rFonts w:hint="eastAsia" w:ascii="宋体" w:hAnsi="宋体" w:eastAsia="宋体" w:cs="宋体"/>
          <w:b/>
          <w:bCs w:val="0"/>
          <w:color w:val="auto"/>
          <w:highlight w:val="none"/>
          <w:u w:val="none"/>
        </w:rPr>
        <w:t>10</w:t>
      </w:r>
      <w:r>
        <w:rPr>
          <w:rFonts w:hint="eastAsia" w:hAnsi="宋体" w:cs="宋体"/>
          <w:b/>
          <w:bCs w:val="0"/>
          <w:color w:val="auto"/>
          <w:highlight w:val="none"/>
          <w:u w:val="none"/>
          <w:lang w:eastAsia="zh-CN"/>
        </w:rPr>
        <w:t>.</w:t>
      </w:r>
      <w:r>
        <w:rPr>
          <w:rFonts w:hint="eastAsia" w:hAnsi="宋体" w:cs="宋体"/>
          <w:b/>
          <w:bCs w:val="0"/>
          <w:color w:val="auto"/>
          <w:highlight w:val="none"/>
          <w:u w:val="none"/>
          <w:lang w:val="en-US" w:eastAsia="zh-CN"/>
        </w:rPr>
        <w:t xml:space="preserve">     </w:t>
      </w:r>
      <w:r>
        <w:rPr>
          <w:rFonts w:hint="eastAsia" w:ascii="宋体" w:hAnsi="宋体" w:eastAsia="宋体" w:cs="宋体"/>
          <w:b/>
          <w:bCs w:val="0"/>
          <w:color w:val="auto"/>
          <w:highlight w:val="none"/>
          <w:u w:val="none"/>
        </w:rPr>
        <w:t>证明投标标的的合格性和符合招标文件规定的技术文件</w:t>
      </w:r>
      <w:bookmarkEnd w:id="73"/>
      <w:bookmarkEnd w:id="74"/>
      <w:bookmarkEnd w:id="75"/>
      <w:bookmarkEnd w:id="76"/>
      <w:bookmarkEnd w:id="77"/>
      <w:bookmarkEnd w:id="78"/>
    </w:p>
    <w:p w14:paraId="2F30E343">
      <w:pPr>
        <w:pageBreakBefore w:val="0"/>
        <w:widowControl w:val="0"/>
        <w:kinsoku/>
        <w:wordWrap/>
        <w:overflowPunct/>
        <w:topLinePunct w:val="0"/>
        <w:bidi w:val="0"/>
        <w:snapToGrid/>
        <w:spacing w:line="240" w:lineRule="atLeast"/>
        <w:ind w:left="96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10.1</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投标人应提交证明文件，证明其投标内容符合招标文件规定。该证明文件是投标文件的一部分。</w:t>
      </w:r>
    </w:p>
    <w:p w14:paraId="64F72D60">
      <w:pPr>
        <w:pageBreakBefore w:val="0"/>
        <w:widowControl w:val="0"/>
        <w:kinsoku/>
        <w:wordWrap/>
        <w:overflowPunct/>
        <w:topLinePunct w:val="0"/>
        <w:bidi w:val="0"/>
        <w:snapToGrid/>
        <w:spacing w:line="240" w:lineRule="atLeast"/>
        <w:ind w:left="960" w:hanging="960" w:hangingChars="400"/>
        <w:textAlignment w:val="auto"/>
        <w:rPr>
          <w:rFonts w:hint="eastAsia" w:ascii="宋体" w:hAnsi="宋体" w:eastAsia="宋体" w:cs="宋体"/>
          <w:color w:val="auto"/>
          <w:sz w:val="24"/>
          <w:highlight w:val="none"/>
        </w:rPr>
      </w:pPr>
      <w:bookmarkStart w:id="79" w:name="_Ref467306244"/>
      <w:r>
        <w:rPr>
          <w:rFonts w:hint="eastAsia" w:ascii="宋体" w:hAnsi="宋体" w:eastAsia="宋体" w:cs="宋体"/>
          <w:color w:val="auto"/>
          <w:sz w:val="24"/>
          <w:highlight w:val="none"/>
        </w:rPr>
        <w:t>10.2</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上款所述的证明文件，可以是文字资料、图纸和数据，</w:t>
      </w:r>
      <w:bookmarkEnd w:id="79"/>
      <w:r>
        <w:rPr>
          <w:rFonts w:hint="eastAsia" w:ascii="宋体" w:hAnsi="宋体" w:eastAsia="宋体" w:cs="宋体"/>
          <w:color w:val="auto"/>
          <w:sz w:val="24"/>
          <w:highlight w:val="none"/>
        </w:rPr>
        <w:t>它包括：</w:t>
      </w:r>
    </w:p>
    <w:p w14:paraId="75F66A19">
      <w:pPr>
        <w:pageBreakBefore w:val="0"/>
        <w:widowControl w:val="0"/>
        <w:kinsoku/>
        <w:wordWrap/>
        <w:overflowPunct/>
        <w:topLinePunct w:val="0"/>
        <w:bidi w:val="0"/>
        <w:snapToGrid/>
        <w:spacing w:line="240" w:lineRule="atLeast"/>
        <w:ind w:left="96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10.2.1</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货物主要技术指标和性能的详细说明；</w:t>
      </w:r>
    </w:p>
    <w:p w14:paraId="6F53C254">
      <w:pPr>
        <w:pageBreakBefore w:val="0"/>
        <w:widowControl w:val="0"/>
        <w:kinsoku/>
        <w:wordWrap/>
        <w:overflowPunct/>
        <w:topLinePunct w:val="0"/>
        <w:bidi w:val="0"/>
        <w:snapToGrid/>
        <w:spacing w:line="240" w:lineRule="atLeast"/>
        <w:ind w:left="96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10.2.2</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货物从买方开始使用至招标文件规定的保质期内正常、连续地使用所必须的备件和专用工具清单，包括备件和专用工具的货源及现行价格；</w:t>
      </w:r>
    </w:p>
    <w:p w14:paraId="5FEE1CF5">
      <w:pPr>
        <w:pageBreakBefore w:val="0"/>
        <w:widowControl w:val="0"/>
        <w:kinsoku/>
        <w:wordWrap/>
        <w:overflowPunct/>
        <w:topLinePunct w:val="0"/>
        <w:bidi w:val="0"/>
        <w:snapToGrid/>
        <w:spacing w:line="240" w:lineRule="atLeast"/>
        <w:ind w:left="96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10.2.3</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对照招标文件技术规格，逐条说明所提供货物及伴随的工程和服务已对招标文件的技术规格做出了实质性的响应，或申明与技术规格条文的偏差和例外。</w:t>
      </w:r>
    </w:p>
    <w:p w14:paraId="32594354">
      <w:pPr>
        <w:pageBreakBefore w:val="0"/>
        <w:widowControl w:val="0"/>
        <w:kinsoku/>
        <w:wordWrap/>
        <w:overflowPunct/>
        <w:topLinePunct w:val="0"/>
        <w:bidi w:val="0"/>
        <w:snapToGrid/>
        <w:spacing w:line="240" w:lineRule="atLeast"/>
        <w:ind w:left="96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10.3</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投标人应注意采购人在技术规格中指出的工艺、材料和设备的参照品牌型号或分类号仅起说明作用，并没有任何限制性。投标人在投标中可以选用替代牌号或分类号，但这些替代要实质上相当于技术规格的要求。采购人、采购代理机构承诺不以上述参照品牌型号或分类号作为评标时判定其投标是否有效的标准。</w:t>
      </w:r>
    </w:p>
    <w:p w14:paraId="6621FE66">
      <w:pPr>
        <w:pStyle w:val="5"/>
        <w:spacing w:before="0" w:after="0" w:line="240" w:lineRule="atLeast"/>
        <w:rPr>
          <w:rFonts w:hint="eastAsia" w:ascii="宋体" w:hAnsi="宋体" w:eastAsia="宋体" w:cs="宋体"/>
          <w:color w:val="auto"/>
          <w:highlight w:val="none"/>
          <w:u w:val="none"/>
        </w:rPr>
      </w:pPr>
      <w:bookmarkStart w:id="80" w:name="_Toc19624"/>
      <w:bookmarkStart w:id="81" w:name="_Toc515647770"/>
      <w:bookmarkStart w:id="82" w:name="_Toc23231"/>
      <w:bookmarkStart w:id="83" w:name="_Toc520356155"/>
      <w:bookmarkStart w:id="84" w:name="_Toc2248"/>
      <w:r>
        <w:rPr>
          <w:rFonts w:hint="eastAsia" w:ascii="宋体" w:hAnsi="宋体" w:eastAsia="宋体" w:cs="宋体"/>
          <w:color w:val="auto"/>
          <w:highlight w:val="none"/>
          <w:u w:val="none"/>
        </w:rPr>
        <w:t>11.投标报价</w:t>
      </w:r>
      <w:bookmarkEnd w:id="80"/>
      <w:bookmarkEnd w:id="81"/>
      <w:bookmarkEnd w:id="82"/>
      <w:bookmarkEnd w:id="83"/>
      <w:bookmarkEnd w:id="84"/>
    </w:p>
    <w:p w14:paraId="0D2252FE">
      <w:pPr>
        <w:keepNext w:val="0"/>
        <w:keepLines w:val="0"/>
        <w:pageBreakBefore w:val="0"/>
        <w:widowControl w:val="0"/>
        <w:kinsoku/>
        <w:wordWrap/>
        <w:overflowPunct/>
        <w:topLinePunct w:val="0"/>
        <w:autoSpaceDE/>
        <w:autoSpaceDN/>
        <w:bidi w:val="0"/>
        <w:adjustRightInd/>
        <w:snapToGrid/>
        <w:spacing w:line="240" w:lineRule="atLeast"/>
        <w:ind w:left="96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11.1</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所有投标均以人民币报价。投标人的投标报价应遵守《中华人民共和国价格法》。同时，根据《中华人民共和国政府采购法》第二条的规定，为保证公平竞争，如有货物主体部分的赠与行为，其投标将被认定为</w:t>
      </w:r>
      <w:r>
        <w:rPr>
          <w:rFonts w:hint="eastAsia" w:ascii="宋体" w:hAnsi="宋体" w:eastAsia="宋体" w:cs="宋体"/>
          <w:b/>
          <w:bCs/>
          <w:color w:val="auto"/>
          <w:sz w:val="24"/>
          <w:highlight w:val="none"/>
        </w:rPr>
        <w:t>投标无效</w:t>
      </w:r>
      <w:r>
        <w:rPr>
          <w:rFonts w:hint="eastAsia" w:ascii="宋体" w:hAnsi="宋体" w:eastAsia="宋体" w:cs="宋体"/>
          <w:color w:val="auto"/>
          <w:sz w:val="24"/>
          <w:highlight w:val="none"/>
        </w:rPr>
        <w:t>。</w:t>
      </w:r>
    </w:p>
    <w:p w14:paraId="0CDC7883">
      <w:pPr>
        <w:keepNext w:val="0"/>
        <w:keepLines w:val="0"/>
        <w:pageBreakBefore w:val="0"/>
        <w:widowControl w:val="0"/>
        <w:kinsoku/>
        <w:wordWrap/>
        <w:overflowPunct/>
        <w:topLinePunct w:val="0"/>
        <w:autoSpaceDE/>
        <w:autoSpaceDN/>
        <w:bidi w:val="0"/>
        <w:adjustRightInd/>
        <w:snapToGrid/>
        <w:spacing w:line="240" w:lineRule="atLeast"/>
        <w:ind w:left="96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11.2</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投标人应在投标分项报价表上标明投标货物及相关服务的单价（如适用）和总价，并由法定代表人或其授权代表签署。</w:t>
      </w:r>
    </w:p>
    <w:p w14:paraId="497F941D">
      <w:pPr>
        <w:keepNext w:val="0"/>
        <w:keepLines w:val="0"/>
        <w:pageBreakBefore w:val="0"/>
        <w:widowControl w:val="0"/>
        <w:kinsoku/>
        <w:wordWrap/>
        <w:overflowPunct/>
        <w:topLinePunct w:val="0"/>
        <w:autoSpaceDE/>
        <w:autoSpaceDN/>
        <w:bidi w:val="0"/>
        <w:adjustRightInd/>
        <w:snapToGrid/>
        <w:spacing w:line="240" w:lineRule="atLeast"/>
        <w:ind w:left="96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11.3</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投标分项报价表上的价格应按下列方式填写：</w:t>
      </w:r>
    </w:p>
    <w:p w14:paraId="30AB9AB3">
      <w:pPr>
        <w:keepNext w:val="0"/>
        <w:keepLines w:val="0"/>
        <w:pageBreakBefore w:val="0"/>
        <w:widowControl w:val="0"/>
        <w:kinsoku/>
        <w:wordWrap/>
        <w:overflowPunct/>
        <w:topLinePunct w:val="0"/>
        <w:autoSpaceDE/>
        <w:autoSpaceDN/>
        <w:bidi w:val="0"/>
        <w:adjustRightInd/>
        <w:snapToGrid/>
        <w:spacing w:line="240" w:lineRule="atLeast"/>
        <w:ind w:left="96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11.3.1  投标货物（包括备品备件、专用工具等）的出厂价（包括已在中国国内的进口货物完税后的仓库交货价、展室交货价或货架交货价），投标货物安装、调试、检验、技术服务和培训等费用；</w:t>
      </w:r>
    </w:p>
    <w:p w14:paraId="67AFCDF8">
      <w:pPr>
        <w:keepNext w:val="0"/>
        <w:keepLines w:val="0"/>
        <w:pageBreakBefore w:val="0"/>
        <w:widowControl w:val="0"/>
        <w:kinsoku/>
        <w:wordWrap/>
        <w:overflowPunct/>
        <w:topLinePunct w:val="0"/>
        <w:autoSpaceDE/>
        <w:autoSpaceDN/>
        <w:bidi w:val="0"/>
        <w:adjustRightInd/>
        <w:snapToGrid/>
        <w:spacing w:line="240" w:lineRule="atLeast"/>
        <w:ind w:left="96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11.3.2  货物运至最终目的地的运输费和保险费用。</w:t>
      </w:r>
    </w:p>
    <w:p w14:paraId="4301B990">
      <w:pPr>
        <w:keepNext w:val="0"/>
        <w:keepLines w:val="0"/>
        <w:pageBreakBefore w:val="0"/>
        <w:widowControl w:val="0"/>
        <w:kinsoku/>
        <w:wordWrap/>
        <w:overflowPunct/>
        <w:topLinePunct w:val="0"/>
        <w:autoSpaceDE/>
        <w:autoSpaceDN/>
        <w:bidi w:val="0"/>
        <w:adjustRightInd/>
        <w:snapToGrid/>
        <w:spacing w:line="240" w:lineRule="atLeast"/>
        <w:ind w:left="96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11.4</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投标人所报的各分项投标单价在合同履行过程中是固定不变的，不得以任何理由予以变更。任何包含价格调整要求的投标，其投标将被认定为</w:t>
      </w:r>
      <w:r>
        <w:rPr>
          <w:rFonts w:hint="eastAsia" w:ascii="宋体" w:hAnsi="宋体" w:eastAsia="宋体" w:cs="宋体"/>
          <w:b/>
          <w:bCs/>
          <w:color w:val="auto"/>
          <w:sz w:val="24"/>
          <w:highlight w:val="none"/>
        </w:rPr>
        <w:t>投标无效</w:t>
      </w:r>
      <w:r>
        <w:rPr>
          <w:rFonts w:hint="eastAsia" w:ascii="宋体" w:hAnsi="宋体" w:eastAsia="宋体" w:cs="宋体"/>
          <w:color w:val="auto"/>
          <w:sz w:val="24"/>
          <w:highlight w:val="none"/>
        </w:rPr>
        <w:t>。</w:t>
      </w:r>
    </w:p>
    <w:p w14:paraId="61A00001">
      <w:pPr>
        <w:keepNext w:val="0"/>
        <w:keepLines w:val="0"/>
        <w:pageBreakBefore w:val="0"/>
        <w:widowControl w:val="0"/>
        <w:kinsoku/>
        <w:wordWrap/>
        <w:overflowPunct/>
        <w:topLinePunct w:val="0"/>
        <w:autoSpaceDE/>
        <w:autoSpaceDN/>
        <w:bidi w:val="0"/>
        <w:adjustRightInd/>
        <w:snapToGrid/>
        <w:spacing w:line="240" w:lineRule="atLeast"/>
        <w:ind w:left="96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11.5</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每种货物只能有一个投标报价。采购人不接受具有附加条件的报价。</w:t>
      </w:r>
    </w:p>
    <w:p w14:paraId="3FF8A13E">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ascii="宋体" w:hAnsi="宋体" w:eastAsia="宋体" w:cs="宋体"/>
          <w:color w:val="auto"/>
          <w:highlight w:val="none"/>
          <w:u w:val="none"/>
        </w:rPr>
      </w:pPr>
      <w:bookmarkStart w:id="85" w:name="_Toc11514"/>
      <w:bookmarkStart w:id="86" w:name="_Toc22212"/>
      <w:bookmarkStart w:id="87" w:name="_Toc515647771"/>
      <w:bookmarkStart w:id="88" w:name="_Toc520356156"/>
      <w:bookmarkStart w:id="89" w:name="_Toc17788"/>
      <w:bookmarkStart w:id="90" w:name="_Ref467306513"/>
      <w:r>
        <w:rPr>
          <w:rFonts w:hint="eastAsia" w:ascii="宋体" w:hAnsi="宋体" w:eastAsia="宋体" w:cs="宋体"/>
          <w:color w:val="auto"/>
          <w:highlight w:val="none"/>
          <w:u w:val="none"/>
        </w:rPr>
        <w:t>12.投标保证金</w:t>
      </w:r>
      <w:bookmarkEnd w:id="85"/>
      <w:bookmarkEnd w:id="86"/>
      <w:bookmarkEnd w:id="87"/>
      <w:bookmarkEnd w:id="88"/>
      <w:bookmarkEnd w:id="89"/>
      <w:bookmarkEnd w:id="90"/>
    </w:p>
    <w:p w14:paraId="627C476F">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bookmarkStart w:id="91" w:name="_Ref467306302"/>
      <w:r>
        <w:rPr>
          <w:rFonts w:hint="eastAsia" w:ascii="宋体" w:hAnsi="宋体" w:eastAsia="宋体" w:cs="宋体"/>
          <w:color w:val="auto"/>
          <w:sz w:val="24"/>
          <w:highlight w:val="none"/>
        </w:rPr>
        <w:t>12.1</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投标人应提交</w:t>
      </w:r>
      <w:r>
        <w:rPr>
          <w:rFonts w:hint="eastAsia" w:ascii="宋体" w:hAnsi="宋体" w:eastAsia="宋体" w:cs="宋体"/>
          <w:color w:val="auto"/>
          <w:sz w:val="24"/>
          <w:highlight w:val="none"/>
          <w:u w:val="single"/>
        </w:rPr>
        <w:t>投标人须知资料表</w:t>
      </w:r>
      <w:r>
        <w:rPr>
          <w:rFonts w:hint="eastAsia" w:ascii="宋体" w:hAnsi="宋体" w:eastAsia="宋体" w:cs="宋体"/>
          <w:color w:val="auto"/>
          <w:sz w:val="24"/>
          <w:highlight w:val="none"/>
        </w:rPr>
        <w:t>中规定的投标保证金</w:t>
      </w:r>
      <w:bookmarkEnd w:id="91"/>
      <w:r>
        <w:rPr>
          <w:rFonts w:hint="eastAsia" w:ascii="宋体" w:hAnsi="宋体" w:eastAsia="宋体" w:cs="宋体"/>
          <w:color w:val="auto"/>
          <w:sz w:val="24"/>
          <w:highlight w:val="none"/>
        </w:rPr>
        <w:t>，并作为其投标的一部分。</w:t>
      </w:r>
    </w:p>
    <w:p w14:paraId="78DF298E">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12.2</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投标人存在下列情形的，投标保证金不予退还：</w:t>
      </w:r>
    </w:p>
    <w:p w14:paraId="3AE94D37">
      <w:pPr>
        <w:pStyle w:val="13"/>
        <w:pageBreakBefore w:val="0"/>
        <w:widowControl w:val="0"/>
        <w:tabs>
          <w:tab w:val="left" w:pos="2240"/>
        </w:tabs>
        <w:kinsoku/>
        <w:wordWrap/>
        <w:overflowPunct/>
        <w:topLinePunct w:val="0"/>
        <w:bidi w:val="0"/>
        <w:snapToGrid/>
        <w:spacing w:line="240" w:lineRule="atLeast"/>
        <w:ind w:left="957" w:leftChars="456" w:firstLine="0" w:firstLineChars="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（1）在投标有效期内，撤销投标的；</w:t>
      </w:r>
    </w:p>
    <w:p w14:paraId="34C207FF">
      <w:pPr>
        <w:pStyle w:val="13"/>
        <w:pageBreakBefore w:val="0"/>
        <w:widowControl w:val="0"/>
        <w:tabs>
          <w:tab w:val="left" w:pos="2240"/>
        </w:tabs>
        <w:kinsoku/>
        <w:wordWrap/>
        <w:overflowPunct/>
        <w:topLinePunct w:val="0"/>
        <w:bidi w:val="0"/>
        <w:snapToGrid/>
        <w:spacing w:line="240" w:lineRule="atLeast"/>
        <w:ind w:left="957" w:leftChars="456" w:firstLine="0" w:firstLineChars="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（2）中标后不按本须知第30条的规定与采购人签订合同的；</w:t>
      </w:r>
    </w:p>
    <w:p w14:paraId="68494B99">
      <w:pPr>
        <w:pStyle w:val="13"/>
        <w:pageBreakBefore w:val="0"/>
        <w:widowControl w:val="0"/>
        <w:tabs>
          <w:tab w:val="left" w:pos="2240"/>
        </w:tabs>
        <w:kinsoku/>
        <w:wordWrap/>
        <w:overflowPunct/>
        <w:topLinePunct w:val="0"/>
        <w:bidi w:val="0"/>
        <w:snapToGrid/>
        <w:spacing w:line="240" w:lineRule="atLeast"/>
        <w:ind w:left="957" w:leftChars="456" w:firstLine="0" w:firstLineChars="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（3）中标后不按本须知第31条的规定提交履约保证金的；</w:t>
      </w:r>
    </w:p>
    <w:p w14:paraId="7C323A38">
      <w:pPr>
        <w:pStyle w:val="13"/>
        <w:pageBreakBefore w:val="0"/>
        <w:widowControl w:val="0"/>
        <w:tabs>
          <w:tab w:val="left" w:pos="2240"/>
        </w:tabs>
        <w:kinsoku/>
        <w:wordWrap/>
        <w:overflowPunct/>
        <w:topLinePunct w:val="0"/>
        <w:bidi w:val="0"/>
        <w:snapToGrid/>
        <w:spacing w:line="240" w:lineRule="atLeast"/>
        <w:ind w:left="957" w:leftChars="456" w:firstLine="0" w:firstLineChars="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（4）中标后不按本须知第32条的规定缴纳中标服务费的；</w:t>
      </w:r>
    </w:p>
    <w:p w14:paraId="27C63377">
      <w:pPr>
        <w:pStyle w:val="13"/>
        <w:pageBreakBefore w:val="0"/>
        <w:widowControl w:val="0"/>
        <w:tabs>
          <w:tab w:val="left" w:pos="2240"/>
        </w:tabs>
        <w:kinsoku/>
        <w:wordWrap/>
        <w:overflowPunct/>
        <w:topLinePunct w:val="0"/>
        <w:bidi w:val="0"/>
        <w:snapToGrid/>
        <w:spacing w:line="240" w:lineRule="atLeast"/>
        <w:ind w:left="957" w:leftChars="456" w:firstLine="0" w:firstLineChars="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（5）存在其他违法违规行为的。</w:t>
      </w:r>
    </w:p>
    <w:p w14:paraId="6B719AB4">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bookmarkStart w:id="92" w:name="_Ref467306336"/>
      <w:r>
        <w:rPr>
          <w:rFonts w:hint="eastAsia" w:ascii="宋体" w:hAnsi="宋体" w:eastAsia="宋体" w:cs="宋体"/>
          <w:color w:val="auto"/>
          <w:sz w:val="24"/>
          <w:highlight w:val="none"/>
        </w:rPr>
        <w:t>12.3</w:t>
      </w:r>
      <w:r>
        <w:rPr>
          <w:rFonts w:hint="eastAsia" w:ascii="宋体" w:hAnsi="宋体" w:eastAsia="宋体" w:cs="宋体"/>
          <w:color w:val="auto"/>
          <w:sz w:val="24"/>
          <w:highlight w:val="none"/>
        </w:rPr>
        <w:tab/>
      </w:r>
      <w:bookmarkEnd w:id="92"/>
      <w:r>
        <w:rPr>
          <w:rFonts w:hint="eastAsia" w:ascii="宋体" w:hAnsi="宋体" w:eastAsia="宋体" w:cs="宋体"/>
          <w:color w:val="auto"/>
          <w:sz w:val="24"/>
          <w:highlight w:val="none"/>
        </w:rPr>
        <w:t>政府采购信用担保试点范围内的项目，接受符合财政部门规定的政府采购投标担保函原件。</w:t>
      </w:r>
    </w:p>
    <w:p w14:paraId="7A555C1E">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12.4</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投标人未按本须知第12.1和12.3条规定提交投标保证金的，其投标将被认定为</w:t>
      </w:r>
      <w:r>
        <w:rPr>
          <w:rFonts w:hint="eastAsia" w:ascii="宋体" w:hAnsi="宋体" w:eastAsia="宋体" w:cs="宋体"/>
          <w:b/>
          <w:bCs/>
          <w:color w:val="auto"/>
          <w:sz w:val="24"/>
          <w:highlight w:val="none"/>
        </w:rPr>
        <w:t>投标无效</w:t>
      </w:r>
      <w:r>
        <w:rPr>
          <w:rFonts w:hint="eastAsia" w:ascii="宋体" w:hAnsi="宋体" w:eastAsia="宋体" w:cs="宋体"/>
          <w:color w:val="auto"/>
          <w:sz w:val="24"/>
          <w:highlight w:val="none"/>
        </w:rPr>
        <w:t>。</w:t>
      </w:r>
    </w:p>
    <w:p w14:paraId="2339299B">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12.4.1  采用电汇形式的，一般可以实时入账。</w:t>
      </w:r>
    </w:p>
    <w:p w14:paraId="7000E84C">
      <w:pPr>
        <w:pageBreakBefore w:val="0"/>
        <w:widowControl w:val="0"/>
        <w:kinsoku/>
        <w:wordWrap/>
        <w:overflowPunct/>
        <w:topLinePunct w:val="0"/>
        <w:bidi w:val="0"/>
        <w:snapToGrid/>
        <w:spacing w:line="240" w:lineRule="atLeast"/>
        <w:ind w:left="960" w:leftChars="0" w:hanging="960" w:hangingChars="40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12.4.2  采用支票形式的，投标人则应充分考虑支票入账时间，以确保投标保证金能按时进入指定账户。根据银行信息交换和付款时间，支票从递交至实际入账一般需要4-5个工作日。如投标人未及时提交支票或支票不符合银行委托收款要求（如污损、折叠、胶装等），导致投标保证金不能按时进入指定账户的，将按照招标文件的第22.2条相关规定处理。</w:t>
      </w:r>
    </w:p>
    <w:p w14:paraId="24BF1903">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12.5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 xml:space="preserve"> 联合体投标的，可以由联合体中的一方或者共同提交投标保证金。以一方名义提交投标保证金的，对联合体各方均具有约束力。</w:t>
      </w:r>
    </w:p>
    <w:p w14:paraId="307C2245">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12.6</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投标保证金的退还</w:t>
      </w:r>
    </w:p>
    <w:p w14:paraId="774C326D">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12.6.1  中标人应在与采购人签订合同之日起5个工作日内，及时联系保证金收受机构办理投标保证金无息退还手续。</w:t>
      </w:r>
    </w:p>
    <w:p w14:paraId="67DF99EC">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12.6.2  未中标投标人的投标保证金将在中标通知书发出之日暨中标结果公告公布之日起5个工作日内无息退还。投标人应及时联系保证金收受机构办理退还投标保证金手续。</w:t>
      </w:r>
    </w:p>
    <w:p w14:paraId="67B2D6F6">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12.6.3  政府采购投标担保函不予退回。</w:t>
      </w:r>
    </w:p>
    <w:p w14:paraId="3D245069">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12.7    因投标人自身原因导致无法及时退还的，采购人或采购代理机构将不承担相应责任。</w:t>
      </w:r>
    </w:p>
    <w:p w14:paraId="794A4A0C">
      <w:pPr>
        <w:pStyle w:val="5"/>
        <w:spacing w:before="0" w:after="0" w:line="240" w:lineRule="atLeast"/>
        <w:rPr>
          <w:rFonts w:hint="eastAsia" w:ascii="宋体" w:hAnsi="宋体" w:eastAsia="宋体" w:cs="宋体"/>
          <w:color w:val="auto"/>
          <w:highlight w:val="none"/>
          <w:u w:val="none"/>
        </w:rPr>
      </w:pPr>
      <w:bookmarkStart w:id="93" w:name="_Toc23590"/>
      <w:bookmarkStart w:id="94" w:name="_Toc32569"/>
      <w:bookmarkStart w:id="95" w:name="_Toc515647772"/>
      <w:bookmarkStart w:id="96" w:name="_Toc520356157"/>
      <w:bookmarkStart w:id="97" w:name="_Toc22901"/>
      <w:r>
        <w:rPr>
          <w:rFonts w:hint="eastAsia" w:ascii="宋体" w:hAnsi="宋体" w:eastAsia="宋体" w:cs="宋体"/>
          <w:color w:val="auto"/>
          <w:highlight w:val="none"/>
          <w:u w:val="none"/>
        </w:rPr>
        <w:t>13.投标有效期</w:t>
      </w:r>
      <w:bookmarkEnd w:id="93"/>
      <w:bookmarkEnd w:id="94"/>
      <w:bookmarkEnd w:id="95"/>
      <w:bookmarkEnd w:id="96"/>
      <w:bookmarkEnd w:id="97"/>
    </w:p>
    <w:p w14:paraId="62F5ADD7">
      <w:pPr>
        <w:keepNext w:val="0"/>
        <w:keepLines w:val="0"/>
        <w:pageBreakBefore w:val="0"/>
        <w:widowControl w:val="0"/>
        <w:kinsoku/>
        <w:wordWrap/>
        <w:overflowPunct/>
        <w:topLinePunct w:val="0"/>
        <w:autoSpaceDE/>
        <w:autoSpaceDN/>
        <w:bidi w:val="0"/>
        <w:adjustRightInd/>
        <w:snapToGrid/>
        <w:spacing w:line="240" w:lineRule="atLeast"/>
        <w:ind w:left="96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13.1</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投标应在</w:t>
      </w:r>
      <w:r>
        <w:rPr>
          <w:rFonts w:hint="eastAsia" w:ascii="宋体" w:hAnsi="宋体" w:eastAsia="宋体" w:cs="宋体"/>
          <w:color w:val="auto"/>
          <w:sz w:val="24"/>
          <w:highlight w:val="none"/>
          <w:u w:val="single"/>
        </w:rPr>
        <w:t>投标人须知资料表</w:t>
      </w:r>
      <w:r>
        <w:rPr>
          <w:rFonts w:hint="eastAsia" w:ascii="宋体" w:hAnsi="宋体" w:eastAsia="宋体" w:cs="宋体"/>
          <w:color w:val="auto"/>
          <w:sz w:val="24"/>
          <w:highlight w:val="none"/>
        </w:rPr>
        <w:t>中规定时间内保持有效。投标有效期不满足要求的投标，其投标将被认定为</w:t>
      </w:r>
      <w:r>
        <w:rPr>
          <w:rFonts w:hint="eastAsia" w:ascii="宋体" w:hAnsi="宋体" w:eastAsia="宋体" w:cs="宋体"/>
          <w:b/>
          <w:bCs/>
          <w:color w:val="auto"/>
          <w:sz w:val="24"/>
          <w:highlight w:val="none"/>
        </w:rPr>
        <w:t>投标无效</w:t>
      </w:r>
      <w:r>
        <w:rPr>
          <w:rFonts w:hint="eastAsia" w:ascii="宋体" w:hAnsi="宋体" w:eastAsia="宋体" w:cs="宋体"/>
          <w:color w:val="auto"/>
          <w:sz w:val="24"/>
          <w:highlight w:val="none"/>
        </w:rPr>
        <w:t>。</w:t>
      </w:r>
    </w:p>
    <w:p w14:paraId="02A58EC1">
      <w:pPr>
        <w:keepNext w:val="0"/>
        <w:keepLines w:val="0"/>
        <w:pageBreakBefore w:val="0"/>
        <w:widowControl w:val="0"/>
        <w:kinsoku/>
        <w:wordWrap/>
        <w:overflowPunct/>
        <w:topLinePunct w:val="0"/>
        <w:autoSpaceDE/>
        <w:autoSpaceDN/>
        <w:bidi w:val="0"/>
        <w:adjustRightInd/>
        <w:snapToGrid/>
        <w:spacing w:line="240" w:lineRule="atLeast"/>
        <w:ind w:left="96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13.2</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为保证有充分时间签订合同，采购人或采购代理机构可根据实际情况，在原投标有效期截止之前，要求投标人延长投标文件的有效期。接受该要求的投标人将不会被要求和允许修正其投标，且本须知中有关投标保证金的要求须在延长的有效期内继续有效。投标人可以拒绝延长投标有效期的要求，其投标保证金将及时无息退还。上述要求和答复都应以书面形式提交。</w:t>
      </w:r>
    </w:p>
    <w:p w14:paraId="075D91F7">
      <w:pPr>
        <w:pStyle w:val="5"/>
        <w:pageBreakBefore w:val="0"/>
        <w:widowControl w:val="0"/>
        <w:kinsoku/>
        <w:wordWrap/>
        <w:overflowPunct/>
        <w:topLinePunct w:val="0"/>
        <w:bidi w:val="0"/>
        <w:snapToGrid/>
        <w:spacing w:before="0" w:after="0" w:line="240" w:lineRule="atLeast"/>
        <w:ind w:left="960" w:hanging="960" w:hangingChars="400"/>
        <w:textAlignment w:val="auto"/>
        <w:rPr>
          <w:rFonts w:hint="eastAsia" w:ascii="宋体" w:hAnsi="宋体" w:eastAsia="宋体" w:cs="宋体"/>
          <w:color w:val="auto"/>
          <w:highlight w:val="none"/>
          <w:u w:val="none"/>
        </w:rPr>
      </w:pPr>
      <w:bookmarkStart w:id="98" w:name="_Toc520356158"/>
      <w:bookmarkStart w:id="99" w:name="_Toc515647773"/>
      <w:bookmarkStart w:id="100" w:name="_Toc493"/>
      <w:bookmarkStart w:id="101" w:name="_Toc17074"/>
      <w:bookmarkStart w:id="102" w:name="_Toc17609"/>
      <w:r>
        <w:rPr>
          <w:rFonts w:hint="eastAsia" w:ascii="宋体" w:hAnsi="宋体" w:eastAsia="宋体" w:cs="宋体"/>
          <w:color w:val="auto"/>
          <w:highlight w:val="none"/>
          <w:u w:val="none"/>
        </w:rPr>
        <w:t>14.投标文件的签署</w:t>
      </w:r>
      <w:bookmarkEnd w:id="98"/>
      <w:r>
        <w:rPr>
          <w:rFonts w:hint="eastAsia" w:ascii="宋体" w:hAnsi="宋体" w:eastAsia="宋体" w:cs="宋体"/>
          <w:color w:val="auto"/>
          <w:highlight w:val="none"/>
          <w:u w:val="none"/>
        </w:rPr>
        <w:t>及规定</w:t>
      </w:r>
      <w:bookmarkEnd w:id="99"/>
      <w:bookmarkEnd w:id="100"/>
      <w:bookmarkEnd w:id="101"/>
      <w:bookmarkEnd w:id="102"/>
    </w:p>
    <w:p w14:paraId="7FE2D78C">
      <w:pPr>
        <w:pageBreakBefore w:val="0"/>
        <w:widowControl w:val="0"/>
        <w:kinsoku/>
        <w:wordWrap/>
        <w:overflowPunct/>
        <w:topLinePunct w:val="0"/>
        <w:bidi w:val="0"/>
        <w:snapToGrid/>
        <w:spacing w:line="240" w:lineRule="atLeast"/>
        <w:ind w:left="960" w:hanging="960" w:hangingChars="400"/>
        <w:textAlignment w:val="auto"/>
        <w:rPr>
          <w:rFonts w:hint="eastAsia" w:ascii="宋体" w:hAnsi="宋体" w:eastAsia="宋体" w:cs="宋体"/>
          <w:color w:val="auto"/>
          <w:sz w:val="24"/>
          <w:highlight w:val="none"/>
        </w:rPr>
      </w:pPr>
      <w:bookmarkStart w:id="103" w:name="_Toc216582808"/>
      <w:bookmarkStart w:id="104" w:name="_Toc25925"/>
      <w:bookmarkStart w:id="105" w:name="_Toc515647774"/>
      <w:bookmarkStart w:id="106" w:name="_Toc520356159"/>
      <w:bookmarkStart w:id="107" w:name="_Toc16865"/>
      <w:bookmarkStart w:id="108" w:name="_Toc11179"/>
      <w:r>
        <w:rPr>
          <w:rFonts w:hint="eastAsia" w:ascii="宋体" w:hAnsi="宋体" w:eastAsia="宋体" w:cs="宋体"/>
          <w:color w:val="auto"/>
          <w:sz w:val="24"/>
          <w:highlight w:val="none"/>
        </w:rPr>
        <w:t>14.1</w:t>
      </w:r>
      <w:r>
        <w:rPr>
          <w:rFonts w:hint="eastAsia" w:ascii="宋体" w:hAnsi="宋体" w:eastAsia="宋体" w:cs="宋体"/>
          <w:color w:val="auto"/>
          <w:sz w:val="24"/>
          <w:highlight w:val="none"/>
        </w:rPr>
        <w:tab/>
      </w:r>
      <w:r>
        <w:rPr>
          <w:rFonts w:hint="eastAsia" w:ascii="宋体" w:hAnsi="宋体" w:eastAsia="宋体" w:cs="宋体"/>
          <w:color w:val="auto"/>
          <w:sz w:val="24"/>
          <w:highlight w:val="none"/>
          <w:lang w:val="en-US" w:eastAsia="zh-CN"/>
        </w:rPr>
        <w:t>投标人</w:t>
      </w:r>
      <w:r>
        <w:rPr>
          <w:rFonts w:hint="eastAsia" w:ascii="宋体" w:hAnsi="宋体" w:eastAsia="宋体" w:cs="宋体"/>
          <w:color w:val="auto"/>
          <w:sz w:val="24"/>
          <w:highlight w:val="none"/>
        </w:rPr>
        <w:t>应按</w:t>
      </w:r>
      <w:r>
        <w:rPr>
          <w:rFonts w:hint="eastAsia" w:ascii="宋体" w:hAnsi="宋体" w:eastAsia="宋体" w:cs="宋体"/>
          <w:color w:val="auto"/>
          <w:sz w:val="24"/>
          <w:highlight w:val="none"/>
          <w:lang w:val="en-US" w:eastAsia="zh-CN"/>
        </w:rPr>
        <w:t>投标人</w:t>
      </w:r>
      <w:r>
        <w:rPr>
          <w:rFonts w:hint="eastAsia" w:ascii="宋体" w:hAnsi="宋体" w:eastAsia="宋体" w:cs="宋体"/>
          <w:color w:val="auto"/>
          <w:sz w:val="24"/>
          <w:highlight w:val="none"/>
        </w:rPr>
        <w:t>须知资料表中的规定，准备和递交</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加密上传</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电子投标</w:t>
      </w:r>
      <w:r>
        <w:rPr>
          <w:rFonts w:hint="eastAsia" w:ascii="宋体" w:hAnsi="宋体" w:eastAsia="宋体" w:cs="宋体"/>
          <w:color w:val="auto"/>
          <w:sz w:val="24"/>
          <w:highlight w:val="none"/>
          <w:lang w:eastAsia="zh-CN"/>
        </w:rPr>
        <w:t>文件</w:t>
      </w:r>
      <w:r>
        <w:rPr>
          <w:rFonts w:hint="eastAsia" w:ascii="宋体" w:hAnsi="宋体" w:eastAsia="宋体" w:cs="宋体"/>
          <w:color w:val="auto"/>
          <w:sz w:val="24"/>
          <w:highlight w:val="none"/>
        </w:rPr>
        <w:t>。</w:t>
      </w:r>
    </w:p>
    <w:p w14:paraId="3B895510">
      <w:pPr>
        <w:pageBreakBefore w:val="0"/>
        <w:widowControl w:val="0"/>
        <w:kinsoku/>
        <w:wordWrap/>
        <w:overflowPunct/>
        <w:topLinePunct w:val="0"/>
        <w:bidi w:val="0"/>
        <w:snapToGrid/>
        <w:spacing w:line="240" w:lineRule="atLeast"/>
        <w:ind w:left="960" w:hanging="960" w:hangingChars="4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14.</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 xml:space="preserve">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 xml:space="preserve"> 所有</w:t>
      </w:r>
      <w:r>
        <w:rPr>
          <w:rFonts w:hint="eastAsia" w:ascii="宋体" w:hAnsi="宋体" w:eastAsia="宋体" w:cs="宋体"/>
          <w:color w:val="auto"/>
          <w:sz w:val="24"/>
          <w:highlight w:val="none"/>
          <w:lang w:val="en-US" w:eastAsia="zh-CN"/>
        </w:rPr>
        <w:t>投标</w:t>
      </w:r>
      <w:r>
        <w:rPr>
          <w:rFonts w:hint="eastAsia" w:ascii="宋体" w:hAnsi="宋体" w:eastAsia="宋体" w:cs="宋体"/>
          <w:color w:val="auto"/>
          <w:sz w:val="24"/>
          <w:highlight w:val="none"/>
          <w:lang w:eastAsia="zh-CN"/>
        </w:rPr>
        <w:t>文件</w:t>
      </w:r>
      <w:r>
        <w:rPr>
          <w:rFonts w:hint="eastAsia" w:ascii="宋体" w:hAnsi="宋体" w:eastAsia="宋体" w:cs="宋体"/>
          <w:color w:val="auto"/>
          <w:sz w:val="24"/>
          <w:highlight w:val="none"/>
        </w:rPr>
        <w:t>应按照</w:t>
      </w:r>
      <w:r>
        <w:rPr>
          <w:rFonts w:hint="eastAsia" w:ascii="宋体" w:hAnsi="宋体" w:eastAsia="宋体" w:cs="宋体"/>
          <w:color w:val="auto"/>
          <w:sz w:val="24"/>
          <w:highlight w:val="none"/>
          <w:lang w:eastAsia="zh-CN"/>
        </w:rPr>
        <w:t>招标文件</w:t>
      </w:r>
      <w:r>
        <w:rPr>
          <w:rFonts w:hint="eastAsia" w:ascii="宋体" w:hAnsi="宋体" w:eastAsia="宋体" w:cs="宋体"/>
          <w:color w:val="auto"/>
          <w:sz w:val="24"/>
          <w:highlight w:val="none"/>
        </w:rPr>
        <w:t>规定的格式填写、签署和盖章</w:t>
      </w:r>
      <w:r>
        <w:rPr>
          <w:rFonts w:hint="eastAsia" w:ascii="宋体" w:hAnsi="宋体" w:eastAsia="宋体" w:cs="宋体"/>
          <w:color w:val="auto"/>
          <w:sz w:val="24"/>
          <w:highlight w:val="none"/>
          <w:lang w:eastAsia="zh-CN"/>
        </w:rPr>
        <w:t>。</w:t>
      </w:r>
    </w:p>
    <w:p w14:paraId="4D8A74FB">
      <w:pPr>
        <w:pageBreakBefore w:val="0"/>
        <w:widowControl w:val="0"/>
        <w:kinsoku/>
        <w:wordWrap/>
        <w:overflowPunct/>
        <w:topLinePunct w:val="0"/>
        <w:bidi w:val="0"/>
        <w:snapToGrid/>
        <w:spacing w:line="240" w:lineRule="atLeast"/>
        <w:ind w:left="96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14.</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ab/>
      </w:r>
      <w:r>
        <w:rPr>
          <w:rFonts w:hint="eastAsia" w:ascii="宋体" w:hAnsi="宋体" w:eastAsia="宋体" w:cs="宋体"/>
          <w:color w:val="auto"/>
          <w:sz w:val="24"/>
          <w:highlight w:val="none"/>
          <w:lang w:val="en-US" w:eastAsia="zh-CN"/>
        </w:rPr>
        <w:t>投标</w:t>
      </w:r>
      <w:r>
        <w:rPr>
          <w:rFonts w:hint="eastAsia" w:ascii="宋体" w:hAnsi="宋体" w:eastAsia="宋体" w:cs="宋体"/>
          <w:color w:val="auto"/>
          <w:sz w:val="24"/>
          <w:highlight w:val="none"/>
          <w:lang w:eastAsia="zh-CN"/>
        </w:rPr>
        <w:t>文件</w:t>
      </w:r>
      <w:r>
        <w:rPr>
          <w:rFonts w:hint="eastAsia" w:ascii="宋体" w:hAnsi="宋体" w:eastAsia="宋体" w:cs="宋体"/>
          <w:color w:val="auto"/>
          <w:sz w:val="24"/>
          <w:highlight w:val="none"/>
        </w:rPr>
        <w:t>因字迹潦草、表达不清或</w:t>
      </w:r>
      <w:r>
        <w:rPr>
          <w:rFonts w:hint="eastAsia" w:ascii="宋体" w:hAnsi="宋体" w:eastAsia="宋体" w:cs="宋体"/>
          <w:color w:val="auto"/>
          <w:sz w:val="24"/>
          <w:highlight w:val="none"/>
          <w:lang w:val="en-US" w:eastAsia="zh-CN"/>
        </w:rPr>
        <w:t>未按照</w:t>
      </w:r>
      <w:r>
        <w:rPr>
          <w:rFonts w:hint="eastAsia" w:ascii="宋体" w:hAnsi="宋体" w:eastAsia="宋体" w:cs="宋体"/>
          <w:color w:val="auto"/>
          <w:sz w:val="24"/>
          <w:highlight w:val="none"/>
          <w:lang w:eastAsia="zh-CN"/>
        </w:rPr>
        <w:t>招标文件</w:t>
      </w:r>
      <w:r>
        <w:rPr>
          <w:rFonts w:hint="eastAsia" w:ascii="宋体" w:hAnsi="宋体" w:eastAsia="宋体" w:cs="宋体"/>
          <w:color w:val="auto"/>
          <w:sz w:val="24"/>
          <w:highlight w:val="none"/>
        </w:rPr>
        <w:t>规定的格式填写、签署和盖章所引起的后果由</w:t>
      </w:r>
      <w:r>
        <w:rPr>
          <w:rFonts w:hint="eastAsia" w:ascii="宋体" w:hAnsi="宋体" w:eastAsia="宋体" w:cs="宋体"/>
          <w:color w:val="auto"/>
          <w:sz w:val="24"/>
          <w:highlight w:val="none"/>
          <w:lang w:eastAsia="zh-CN"/>
        </w:rPr>
        <w:t>供应商</w:t>
      </w:r>
      <w:r>
        <w:rPr>
          <w:rFonts w:hint="eastAsia" w:ascii="宋体" w:hAnsi="宋体" w:eastAsia="宋体" w:cs="宋体"/>
          <w:color w:val="auto"/>
          <w:sz w:val="24"/>
          <w:highlight w:val="none"/>
        </w:rPr>
        <w:t>负责。</w:t>
      </w:r>
    </w:p>
    <w:p w14:paraId="3505E72B">
      <w:pPr>
        <w:pStyle w:val="3"/>
        <w:spacing w:before="0" w:line="240" w:lineRule="atLeast"/>
        <w:ind w:left="1079" w:leftChars="257" w:hanging="540"/>
        <w:rPr>
          <w:rFonts w:hint="eastAsia" w:ascii="宋体" w:hAnsi="宋体" w:eastAsia="宋体" w:cs="宋体"/>
          <w:color w:val="auto"/>
          <w:highlight w:val="none"/>
        </w:rPr>
      </w:pPr>
      <w:r>
        <w:rPr>
          <w:rFonts w:hint="eastAsia" w:ascii="宋体" w:hAnsi="宋体" w:eastAsia="宋体" w:cs="宋体"/>
          <w:color w:val="auto"/>
          <w:sz w:val="28"/>
          <w:highlight w:val="none"/>
        </w:rPr>
        <w:t>四   投标文件的递交</w:t>
      </w:r>
      <w:bookmarkEnd w:id="103"/>
      <w:bookmarkEnd w:id="104"/>
      <w:bookmarkEnd w:id="105"/>
      <w:bookmarkEnd w:id="106"/>
      <w:bookmarkEnd w:id="107"/>
      <w:bookmarkEnd w:id="108"/>
    </w:p>
    <w:p w14:paraId="304ADA00">
      <w:pPr>
        <w:pStyle w:val="5"/>
        <w:pageBreakBefore w:val="0"/>
        <w:widowControl w:val="0"/>
        <w:kinsoku/>
        <w:wordWrap/>
        <w:overflowPunct/>
        <w:topLinePunct w:val="0"/>
        <w:bidi w:val="0"/>
        <w:snapToGrid/>
        <w:spacing w:before="0" w:after="0" w:line="240" w:lineRule="atLeast"/>
        <w:ind w:left="960" w:hanging="960" w:hangingChars="400"/>
        <w:textAlignment w:val="auto"/>
        <w:rPr>
          <w:rFonts w:hint="eastAsia" w:ascii="宋体" w:hAnsi="宋体" w:eastAsia="宋体" w:cs="宋体"/>
          <w:color w:val="auto"/>
          <w:highlight w:val="none"/>
          <w:u w:val="none"/>
        </w:rPr>
      </w:pPr>
      <w:bookmarkStart w:id="109" w:name="_Toc515647775"/>
      <w:bookmarkStart w:id="110" w:name="_Toc520356160"/>
      <w:bookmarkStart w:id="111" w:name="_Toc32337"/>
      <w:bookmarkStart w:id="112" w:name="_Toc26195"/>
      <w:bookmarkStart w:id="113" w:name="_Toc21645"/>
      <w:r>
        <w:rPr>
          <w:rFonts w:hint="eastAsia" w:ascii="宋体" w:hAnsi="宋体" w:eastAsia="宋体" w:cs="宋体"/>
          <w:color w:val="auto"/>
          <w:highlight w:val="none"/>
          <w:u w:val="none"/>
        </w:rPr>
        <w:t>15.投标文件的密封和标记</w:t>
      </w:r>
      <w:bookmarkEnd w:id="109"/>
      <w:bookmarkEnd w:id="110"/>
      <w:bookmarkEnd w:id="111"/>
      <w:bookmarkEnd w:id="112"/>
      <w:bookmarkEnd w:id="113"/>
    </w:p>
    <w:p w14:paraId="47BEE943">
      <w:pPr>
        <w:pageBreakBefore w:val="0"/>
        <w:widowControl w:val="0"/>
        <w:kinsoku/>
        <w:wordWrap/>
        <w:overflowPunct/>
        <w:topLinePunct w:val="0"/>
        <w:bidi w:val="0"/>
        <w:snapToGrid/>
        <w:spacing w:line="240" w:lineRule="atLeast"/>
        <w:ind w:left="960" w:hanging="960" w:hangingChars="400"/>
        <w:textAlignment w:val="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 xml:space="preserve">15.1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 xml:space="preserve"> </w:t>
      </w:r>
      <w:r>
        <w:rPr>
          <w:rFonts w:hint="eastAsia" w:ascii="宋体" w:hAnsi="宋体" w:eastAsia="宋体" w:cs="宋体"/>
          <w:b/>
          <w:bCs/>
          <w:color w:val="auto"/>
          <w:sz w:val="24"/>
          <w:highlight w:val="none"/>
        </w:rPr>
        <w:t>为方便</w:t>
      </w:r>
      <w:r>
        <w:rPr>
          <w:rFonts w:hint="eastAsia" w:ascii="宋体" w:hAnsi="宋体" w:eastAsia="宋体" w:cs="宋体"/>
          <w:b/>
          <w:bCs/>
          <w:color w:val="auto"/>
          <w:sz w:val="24"/>
          <w:highlight w:val="none"/>
          <w:lang w:val="en-US" w:eastAsia="zh-CN"/>
        </w:rPr>
        <w:t>评审</w:t>
      </w:r>
      <w:r>
        <w:rPr>
          <w:rFonts w:hint="eastAsia" w:ascii="宋体" w:hAnsi="宋体" w:eastAsia="宋体" w:cs="宋体"/>
          <w:b/>
          <w:bCs/>
          <w:color w:val="auto"/>
          <w:sz w:val="24"/>
          <w:highlight w:val="none"/>
        </w:rPr>
        <w:t>及进行资格审查，</w:t>
      </w:r>
      <w:r>
        <w:rPr>
          <w:rFonts w:hint="eastAsia" w:ascii="宋体" w:hAnsi="宋体" w:eastAsia="宋体" w:cs="宋体"/>
          <w:b/>
          <w:bCs/>
          <w:color w:val="auto"/>
          <w:sz w:val="24"/>
          <w:highlight w:val="none"/>
          <w:lang w:val="en-US" w:eastAsia="zh-CN"/>
        </w:rPr>
        <w:t>投标人</w:t>
      </w:r>
      <w:r>
        <w:rPr>
          <w:rFonts w:hint="eastAsia" w:ascii="宋体" w:hAnsi="宋体" w:eastAsia="宋体" w:cs="宋体"/>
          <w:b/>
          <w:bCs/>
          <w:color w:val="auto"/>
          <w:sz w:val="24"/>
          <w:highlight w:val="none"/>
        </w:rPr>
        <w:t>应完整地按</w:t>
      </w:r>
      <w:r>
        <w:rPr>
          <w:rFonts w:hint="eastAsia" w:ascii="宋体" w:hAnsi="宋体" w:eastAsia="宋体" w:cs="宋体"/>
          <w:b/>
          <w:bCs/>
          <w:color w:val="auto"/>
          <w:sz w:val="24"/>
          <w:highlight w:val="none"/>
          <w:lang w:val="en-US" w:eastAsia="zh-CN"/>
        </w:rPr>
        <w:t>招标</w:t>
      </w:r>
      <w:r>
        <w:rPr>
          <w:rFonts w:hint="eastAsia" w:ascii="宋体" w:hAnsi="宋体" w:eastAsia="宋体" w:cs="宋体"/>
          <w:b/>
          <w:bCs/>
          <w:color w:val="auto"/>
          <w:sz w:val="24"/>
          <w:highlight w:val="none"/>
          <w:lang w:eastAsia="zh-CN"/>
        </w:rPr>
        <w:t>文件</w:t>
      </w:r>
      <w:r>
        <w:rPr>
          <w:rFonts w:hint="eastAsia" w:ascii="宋体" w:hAnsi="宋体" w:eastAsia="宋体" w:cs="宋体"/>
          <w:b/>
          <w:bCs/>
          <w:color w:val="auto"/>
          <w:sz w:val="24"/>
          <w:highlight w:val="none"/>
        </w:rPr>
        <w:t>提供的</w:t>
      </w:r>
      <w:r>
        <w:rPr>
          <w:rFonts w:hint="eastAsia" w:ascii="宋体" w:hAnsi="宋体" w:eastAsia="宋体" w:cs="宋体"/>
          <w:b/>
          <w:bCs/>
          <w:color w:val="auto"/>
          <w:sz w:val="24"/>
          <w:highlight w:val="none"/>
          <w:lang w:val="en-US" w:eastAsia="zh-CN"/>
        </w:rPr>
        <w:t>投标文件</w:t>
      </w:r>
      <w:r>
        <w:rPr>
          <w:rFonts w:hint="eastAsia" w:ascii="宋体" w:hAnsi="宋体" w:eastAsia="宋体" w:cs="宋体"/>
          <w:b/>
          <w:bCs/>
          <w:color w:val="auto"/>
          <w:sz w:val="24"/>
          <w:highlight w:val="none"/>
        </w:rPr>
        <w:t>格式及要求编写</w:t>
      </w:r>
      <w:r>
        <w:rPr>
          <w:rFonts w:hint="eastAsia" w:ascii="宋体" w:hAnsi="宋体" w:eastAsia="宋体" w:cs="宋体"/>
          <w:b/>
          <w:bCs/>
          <w:color w:val="auto"/>
          <w:sz w:val="24"/>
          <w:highlight w:val="none"/>
          <w:lang w:val="en-US" w:eastAsia="zh-CN"/>
        </w:rPr>
        <w:t>投标文件</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lang w:val="en-US" w:eastAsia="zh-CN"/>
        </w:rPr>
        <w:t xml:space="preserve"> 投标人须在投标截止时间前完成在系统上递交电子投标文件。投标人的电子投标文件是经过CA证书加密后上传提交的，任何单位或个人均无法在投标截止时间(即开标时间)之前查看或篡改，不存在泄密风险。（严格按照政采云电子投标流程制作并上传电子投标文件）</w:t>
      </w:r>
    </w:p>
    <w:p w14:paraId="1E20DED8">
      <w:pPr>
        <w:pStyle w:val="5"/>
        <w:pageBreakBefore w:val="0"/>
        <w:widowControl w:val="0"/>
        <w:kinsoku/>
        <w:wordWrap/>
        <w:overflowPunct/>
        <w:topLinePunct w:val="0"/>
        <w:bidi w:val="0"/>
        <w:snapToGrid/>
        <w:spacing w:before="0" w:after="0" w:line="240" w:lineRule="atLeast"/>
        <w:ind w:left="960" w:hanging="960" w:hangingChars="400"/>
        <w:textAlignment w:val="auto"/>
        <w:rPr>
          <w:rFonts w:hint="eastAsia" w:ascii="宋体" w:hAnsi="宋体" w:eastAsia="宋体" w:cs="宋体"/>
          <w:color w:val="auto"/>
          <w:highlight w:val="none"/>
          <w:u w:val="none"/>
        </w:rPr>
      </w:pPr>
      <w:bookmarkStart w:id="114" w:name="_Toc12751"/>
      <w:bookmarkStart w:id="115" w:name="_Toc515647776"/>
      <w:bookmarkStart w:id="116" w:name="_Toc520356161"/>
      <w:bookmarkStart w:id="117" w:name="_Toc24017"/>
      <w:bookmarkStart w:id="118" w:name="_Toc9840"/>
      <w:r>
        <w:rPr>
          <w:rFonts w:hint="eastAsia" w:ascii="宋体" w:hAnsi="宋体" w:eastAsia="宋体" w:cs="宋体"/>
          <w:color w:val="auto"/>
          <w:highlight w:val="none"/>
          <w:u w:val="none"/>
        </w:rPr>
        <w:t>16.投标截止</w:t>
      </w:r>
      <w:bookmarkEnd w:id="114"/>
      <w:bookmarkEnd w:id="115"/>
      <w:bookmarkEnd w:id="116"/>
      <w:bookmarkEnd w:id="117"/>
      <w:bookmarkEnd w:id="118"/>
    </w:p>
    <w:p w14:paraId="6373FE6C">
      <w:pPr>
        <w:pageBreakBefore w:val="0"/>
        <w:widowControl w:val="0"/>
        <w:kinsoku/>
        <w:wordWrap/>
        <w:overflowPunct/>
        <w:topLinePunct w:val="0"/>
        <w:bidi w:val="0"/>
        <w:snapToGrid/>
        <w:spacing w:line="240" w:lineRule="atLeast"/>
        <w:ind w:left="96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16.1</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投标人应在</w:t>
      </w:r>
      <w:r>
        <w:rPr>
          <w:rFonts w:hint="eastAsia" w:ascii="宋体" w:hAnsi="宋体" w:eastAsia="宋体" w:cs="宋体"/>
          <w:color w:val="auto"/>
          <w:sz w:val="24"/>
          <w:highlight w:val="none"/>
          <w:u w:val="single"/>
        </w:rPr>
        <w:t>投标人须知资料表中</w:t>
      </w:r>
      <w:r>
        <w:rPr>
          <w:rFonts w:hint="eastAsia" w:ascii="宋体" w:hAnsi="宋体" w:eastAsia="宋体" w:cs="宋体"/>
          <w:color w:val="auto"/>
          <w:sz w:val="24"/>
          <w:highlight w:val="none"/>
        </w:rPr>
        <w:t>规定的截止时间前，将投标文件递交到招标公告中规定的地点。</w:t>
      </w:r>
    </w:p>
    <w:p w14:paraId="48AF158D">
      <w:pPr>
        <w:pageBreakBefore w:val="0"/>
        <w:widowControl w:val="0"/>
        <w:kinsoku/>
        <w:wordWrap/>
        <w:overflowPunct/>
        <w:topLinePunct w:val="0"/>
        <w:bidi w:val="0"/>
        <w:snapToGrid/>
        <w:spacing w:line="240" w:lineRule="atLeast"/>
        <w:ind w:left="96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16.2</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采购人和采购代理机构有权按本须知的规定，延迟投标截止时间。在此情况下，采购人、采购代理机构和投标人受投标截止时间制约的所有权利和义务均应延长至新的截止时间。</w:t>
      </w:r>
    </w:p>
    <w:p w14:paraId="377E5EF4">
      <w:pPr>
        <w:pStyle w:val="5"/>
        <w:pageBreakBefore w:val="0"/>
        <w:widowControl w:val="0"/>
        <w:kinsoku/>
        <w:wordWrap/>
        <w:overflowPunct/>
        <w:topLinePunct w:val="0"/>
        <w:bidi w:val="0"/>
        <w:snapToGrid/>
        <w:spacing w:before="0" w:after="0" w:line="240" w:lineRule="atLeast"/>
        <w:ind w:left="960" w:hanging="960" w:hangingChars="400"/>
        <w:textAlignment w:val="auto"/>
        <w:rPr>
          <w:rFonts w:hint="eastAsia" w:ascii="宋体" w:hAnsi="宋体" w:eastAsia="宋体" w:cs="宋体"/>
          <w:color w:val="auto"/>
          <w:highlight w:val="none"/>
          <w:u w:val="none"/>
        </w:rPr>
      </w:pPr>
      <w:bookmarkStart w:id="119" w:name="_Toc18537"/>
      <w:bookmarkStart w:id="120" w:name="_Toc24275"/>
      <w:bookmarkStart w:id="121" w:name="_Toc24785"/>
      <w:bookmarkStart w:id="122" w:name="_Toc515647777"/>
      <w:bookmarkStart w:id="123" w:name="_Toc520356162"/>
      <w:r>
        <w:rPr>
          <w:rFonts w:hint="eastAsia" w:ascii="宋体" w:hAnsi="宋体" w:eastAsia="宋体" w:cs="宋体"/>
          <w:color w:val="auto"/>
          <w:highlight w:val="none"/>
          <w:u w:val="none"/>
        </w:rPr>
        <w:t>17.投标文件的接收、修改与撤回</w:t>
      </w:r>
      <w:bookmarkEnd w:id="119"/>
      <w:bookmarkEnd w:id="120"/>
      <w:bookmarkEnd w:id="121"/>
      <w:bookmarkEnd w:id="122"/>
      <w:bookmarkEnd w:id="123"/>
    </w:p>
    <w:p w14:paraId="4340C026">
      <w:pPr>
        <w:pageBreakBefore w:val="0"/>
        <w:widowControl w:val="0"/>
        <w:kinsoku/>
        <w:wordWrap/>
        <w:overflowPunct/>
        <w:topLinePunct w:val="0"/>
        <w:bidi w:val="0"/>
        <w:snapToGrid/>
        <w:spacing w:line="240" w:lineRule="atLeast"/>
        <w:ind w:left="960" w:hanging="960" w:hangingChars="400"/>
        <w:textAlignment w:val="auto"/>
        <w:rPr>
          <w:rFonts w:hint="eastAsia" w:ascii="宋体" w:hAnsi="宋体" w:eastAsia="宋体" w:cs="宋体"/>
          <w:b w:val="0"/>
          <w:bCs w:val="0"/>
          <w:color w:val="auto"/>
          <w:sz w:val="24"/>
          <w:highlight w:val="none"/>
          <w:lang w:val="en-US" w:eastAsia="zh-CN"/>
        </w:rPr>
      </w:pPr>
      <w:bookmarkStart w:id="124" w:name="_Toc515647778"/>
      <w:bookmarkStart w:id="125" w:name="_Toc12436"/>
      <w:bookmarkStart w:id="126" w:name="_Toc20246"/>
      <w:bookmarkStart w:id="127" w:name="_Toc28398"/>
      <w:bookmarkStart w:id="128" w:name="_Toc520356163"/>
      <w:bookmarkStart w:id="129" w:name="_Toc216582809"/>
      <w:r>
        <w:rPr>
          <w:rFonts w:hint="eastAsia" w:ascii="宋体" w:hAnsi="宋体" w:eastAsia="宋体" w:cs="宋体"/>
          <w:b w:val="0"/>
          <w:bCs w:val="0"/>
          <w:color w:val="auto"/>
          <w:sz w:val="24"/>
          <w:highlight w:val="none"/>
          <w:lang w:val="en-US" w:eastAsia="zh-CN"/>
        </w:rPr>
        <w:t>17.1</w:t>
      </w:r>
      <w:r>
        <w:rPr>
          <w:rFonts w:hint="eastAsia" w:ascii="宋体" w:hAnsi="宋体" w:eastAsia="宋体" w:cs="宋体"/>
          <w:b w:val="0"/>
          <w:bCs w:val="0"/>
          <w:color w:val="auto"/>
          <w:sz w:val="24"/>
          <w:highlight w:val="none"/>
          <w:lang w:val="en-US" w:eastAsia="zh-CN"/>
        </w:rPr>
        <w:tab/>
      </w:r>
      <w:r>
        <w:rPr>
          <w:rFonts w:hint="eastAsia" w:ascii="宋体" w:hAnsi="宋体" w:eastAsia="宋体" w:cs="宋体"/>
          <w:b w:val="0"/>
          <w:bCs w:val="0"/>
          <w:color w:val="auto"/>
          <w:sz w:val="24"/>
          <w:highlight w:val="none"/>
          <w:lang w:val="en-US" w:eastAsia="zh-CN"/>
        </w:rPr>
        <w:t>在投标文件提交截止时间前，投标人须将电子投标文件成功完整上传到政采云平台项目采购系统。时间以政采云平台项目采购系统服务器从中国科学院国家授时中心取得的北京时间为准，投标截止时间结束后，系统将不允许投标人上传投标文件，已上传投标文件但未完成传输的文件系统将拒绝接收。</w:t>
      </w:r>
    </w:p>
    <w:p w14:paraId="1B968663">
      <w:pPr>
        <w:pageBreakBefore w:val="0"/>
        <w:widowControl w:val="0"/>
        <w:kinsoku/>
        <w:wordWrap/>
        <w:overflowPunct/>
        <w:topLinePunct w:val="0"/>
        <w:bidi w:val="0"/>
        <w:snapToGrid/>
        <w:spacing w:line="240" w:lineRule="atLeast"/>
        <w:ind w:left="960" w:hanging="960" w:hangingChars="400"/>
        <w:textAlignment w:val="auto"/>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17.2</w:t>
      </w:r>
      <w:r>
        <w:rPr>
          <w:rFonts w:hint="eastAsia" w:ascii="宋体" w:hAnsi="宋体" w:eastAsia="宋体" w:cs="宋体"/>
          <w:b w:val="0"/>
          <w:bCs w:val="0"/>
          <w:color w:val="auto"/>
          <w:sz w:val="24"/>
          <w:highlight w:val="none"/>
          <w:lang w:val="en-US" w:eastAsia="zh-CN"/>
        </w:rPr>
        <w:tab/>
      </w:r>
      <w:r>
        <w:rPr>
          <w:rFonts w:hint="eastAsia" w:ascii="宋体" w:hAnsi="宋体" w:eastAsia="宋体" w:cs="宋体"/>
          <w:b w:val="0"/>
          <w:bCs w:val="0"/>
          <w:color w:val="auto"/>
          <w:sz w:val="24"/>
          <w:highlight w:val="none"/>
          <w:lang w:val="en-US" w:eastAsia="zh-CN"/>
        </w:rPr>
        <w:t>代理机构对因不可抗力事件造成的投标文件的损坏、丢失的，不承担责任。</w:t>
      </w:r>
    </w:p>
    <w:p w14:paraId="5FF77AE7">
      <w:pPr>
        <w:pageBreakBefore w:val="0"/>
        <w:widowControl w:val="0"/>
        <w:kinsoku/>
        <w:wordWrap/>
        <w:overflowPunct/>
        <w:topLinePunct w:val="0"/>
        <w:bidi w:val="0"/>
        <w:snapToGrid/>
        <w:spacing w:line="240" w:lineRule="atLeast"/>
        <w:ind w:left="960" w:hanging="960" w:hangingChars="400"/>
        <w:textAlignment w:val="auto"/>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17.3</w:t>
      </w:r>
      <w:r>
        <w:rPr>
          <w:rFonts w:hint="eastAsia" w:ascii="宋体" w:hAnsi="宋体" w:eastAsia="宋体" w:cs="宋体"/>
          <w:b w:val="0"/>
          <w:bCs w:val="0"/>
          <w:color w:val="auto"/>
          <w:sz w:val="24"/>
          <w:highlight w:val="none"/>
          <w:lang w:val="en-US" w:eastAsia="zh-CN"/>
        </w:rPr>
        <w:tab/>
      </w:r>
      <w:r>
        <w:rPr>
          <w:rFonts w:hint="eastAsia" w:ascii="宋体" w:hAnsi="宋体" w:eastAsia="宋体" w:cs="宋体"/>
          <w:b w:val="0"/>
          <w:bCs w:val="0"/>
          <w:color w:val="auto"/>
          <w:sz w:val="24"/>
          <w:highlight w:val="none"/>
          <w:lang w:val="en-US" w:eastAsia="zh-CN"/>
        </w:rPr>
        <w:t xml:space="preserve">出现下述情形之一，属于未成功提交投标文件，按无效投标处理： </w:t>
      </w:r>
    </w:p>
    <w:p w14:paraId="0131D7C1">
      <w:pPr>
        <w:pageBreakBefore w:val="0"/>
        <w:widowControl w:val="0"/>
        <w:kinsoku/>
        <w:wordWrap/>
        <w:overflowPunct/>
        <w:topLinePunct w:val="0"/>
        <w:bidi w:val="0"/>
        <w:snapToGrid/>
        <w:spacing w:line="240" w:lineRule="atLeast"/>
        <w:ind w:left="957" w:leftChars="456" w:firstLine="0" w:firstLineChars="0"/>
        <w:textAlignment w:val="auto"/>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 xml:space="preserve">（1）至提交投标文件截止时间，投标文件未完整上传的。 </w:t>
      </w:r>
    </w:p>
    <w:p w14:paraId="2C3A044B">
      <w:pPr>
        <w:pageBreakBefore w:val="0"/>
        <w:widowControl w:val="0"/>
        <w:kinsoku/>
        <w:wordWrap/>
        <w:overflowPunct/>
        <w:topLinePunct w:val="0"/>
        <w:bidi w:val="0"/>
        <w:snapToGrid/>
        <w:spacing w:line="240" w:lineRule="atLeast"/>
        <w:ind w:left="957" w:leftChars="456" w:firstLine="0" w:firstLineChars="0"/>
        <w:textAlignment w:val="auto"/>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 xml:space="preserve">（2）投标文件未按投标格式中注明需签字盖章的要求进行签名（含电子签名）和加盖电子印章，或签名（含电子签名）或电子印章不完整的。 </w:t>
      </w:r>
    </w:p>
    <w:p w14:paraId="0B5FE898">
      <w:pPr>
        <w:pageBreakBefore w:val="0"/>
        <w:widowControl w:val="0"/>
        <w:kinsoku/>
        <w:wordWrap/>
        <w:overflowPunct/>
        <w:topLinePunct w:val="0"/>
        <w:bidi w:val="0"/>
        <w:snapToGrid/>
        <w:spacing w:line="240" w:lineRule="atLeast"/>
        <w:ind w:left="957" w:leftChars="456" w:firstLine="0" w:firstLineChars="0"/>
        <w:textAlignment w:val="auto"/>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 xml:space="preserve">（3）投标文件损坏或格式不正确的。 </w:t>
      </w:r>
    </w:p>
    <w:p w14:paraId="19D6FAB6">
      <w:pPr>
        <w:pageBreakBefore w:val="0"/>
        <w:widowControl w:val="0"/>
        <w:kinsoku/>
        <w:wordWrap/>
        <w:overflowPunct/>
        <w:topLinePunct w:val="0"/>
        <w:bidi w:val="0"/>
        <w:snapToGrid/>
        <w:spacing w:line="240" w:lineRule="atLeast"/>
        <w:ind w:left="960" w:hanging="960" w:hangingChars="400"/>
        <w:textAlignment w:val="auto"/>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17.4</w:t>
      </w:r>
      <w:r>
        <w:rPr>
          <w:rFonts w:hint="eastAsia" w:ascii="宋体" w:hAnsi="宋体" w:eastAsia="宋体" w:cs="宋体"/>
          <w:b w:val="0"/>
          <w:bCs w:val="0"/>
          <w:color w:val="auto"/>
          <w:sz w:val="24"/>
          <w:highlight w:val="none"/>
          <w:lang w:val="en-US" w:eastAsia="zh-CN"/>
        </w:rPr>
        <w:tab/>
      </w:r>
      <w:r>
        <w:rPr>
          <w:rFonts w:hint="eastAsia" w:ascii="宋体" w:hAnsi="宋体" w:eastAsia="宋体" w:cs="宋体"/>
          <w:b w:val="0"/>
          <w:bCs w:val="0"/>
          <w:color w:val="auto"/>
          <w:sz w:val="24"/>
          <w:highlight w:val="none"/>
          <w:lang w:val="en-US" w:eastAsia="zh-CN"/>
        </w:rPr>
        <w:t>在提交投标文件截止时间前，投标人可以修改或撤回未解密的电子投标文件，并于提交投标文件截止时间前将修改后重新生成的电子投标文件上传至政采云平台项目采购系统，到达投标文件提交截止时间后，将不允许修改或撤回。</w:t>
      </w:r>
    </w:p>
    <w:p w14:paraId="0AED6334">
      <w:pPr>
        <w:pageBreakBefore w:val="0"/>
        <w:widowControl w:val="0"/>
        <w:kinsoku/>
        <w:wordWrap/>
        <w:overflowPunct/>
        <w:topLinePunct w:val="0"/>
        <w:bidi w:val="0"/>
        <w:snapToGrid/>
        <w:spacing w:line="240" w:lineRule="atLeast"/>
        <w:ind w:left="960" w:hanging="960" w:hangingChars="400"/>
        <w:textAlignment w:val="auto"/>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17.5</w:t>
      </w:r>
      <w:r>
        <w:rPr>
          <w:rFonts w:hint="eastAsia" w:ascii="宋体" w:hAnsi="宋体" w:eastAsia="宋体" w:cs="宋体"/>
          <w:b w:val="0"/>
          <w:bCs w:val="0"/>
          <w:color w:val="auto"/>
          <w:sz w:val="24"/>
          <w:highlight w:val="none"/>
          <w:lang w:val="en-US" w:eastAsia="zh-CN"/>
        </w:rPr>
        <w:tab/>
      </w:r>
      <w:r>
        <w:rPr>
          <w:rFonts w:hint="eastAsia" w:ascii="宋体" w:hAnsi="宋体" w:eastAsia="宋体" w:cs="宋体"/>
          <w:b w:val="0"/>
          <w:bCs w:val="0"/>
          <w:color w:val="auto"/>
          <w:sz w:val="24"/>
          <w:highlight w:val="none"/>
          <w:lang w:val="en-US" w:eastAsia="zh-CN"/>
        </w:rPr>
        <w:t>在提交投标文件截止时间后，投标人不得补充、修改和更换投标文件。</w:t>
      </w:r>
    </w:p>
    <w:p w14:paraId="74B3A344">
      <w:pPr>
        <w:pageBreakBefore w:val="0"/>
        <w:widowControl w:val="0"/>
        <w:kinsoku/>
        <w:wordWrap/>
        <w:overflowPunct/>
        <w:topLinePunct w:val="0"/>
        <w:bidi w:val="0"/>
        <w:snapToGrid/>
        <w:spacing w:line="240" w:lineRule="atLeast"/>
        <w:ind w:left="960" w:hanging="960" w:hangingChars="400"/>
        <w:textAlignment w:val="auto"/>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 xml:space="preserve">17.6 </w:t>
      </w:r>
      <w:r>
        <w:rPr>
          <w:rFonts w:hint="eastAsia" w:ascii="宋体" w:hAnsi="宋体" w:cs="宋体"/>
          <w:b w:val="0"/>
          <w:bCs w:val="0"/>
          <w:color w:val="auto"/>
          <w:sz w:val="24"/>
          <w:highlight w:val="none"/>
          <w:lang w:val="en-US" w:eastAsia="zh-CN"/>
        </w:rPr>
        <w:t xml:space="preserve"> </w:t>
      </w:r>
      <w:r>
        <w:rPr>
          <w:rFonts w:hint="eastAsia" w:ascii="宋体" w:hAnsi="宋体" w:eastAsia="宋体" w:cs="宋体"/>
          <w:b w:val="0"/>
          <w:bCs w:val="0"/>
          <w:color w:val="auto"/>
          <w:sz w:val="24"/>
          <w:highlight w:val="none"/>
          <w:lang w:val="en-US" w:eastAsia="zh-CN"/>
        </w:rPr>
        <w:t xml:space="preserve">  到达开标时间后，投标人需使用上传投标文件的同一数字证书解密，投标人须在采购代理机构规定的时间内完成投标文件解密，投标人因非系统原因导致的逾期未解密投标文件，将作无效投标处理。</w:t>
      </w:r>
    </w:p>
    <w:p w14:paraId="588F5B41">
      <w:pPr>
        <w:pStyle w:val="3"/>
        <w:spacing w:before="0" w:line="240" w:lineRule="atLeast"/>
        <w:ind w:left="1079" w:leftChars="257" w:hanging="540"/>
        <w:rPr>
          <w:rFonts w:hint="eastAsia" w:ascii="宋体" w:hAnsi="宋体" w:eastAsia="宋体" w:cs="宋体"/>
          <w:color w:val="auto"/>
          <w:sz w:val="28"/>
          <w:highlight w:val="none"/>
        </w:rPr>
      </w:pPr>
      <w:r>
        <w:rPr>
          <w:rFonts w:hint="eastAsia" w:ascii="宋体" w:hAnsi="宋体" w:eastAsia="宋体" w:cs="宋体"/>
          <w:color w:val="auto"/>
          <w:sz w:val="28"/>
          <w:highlight w:val="none"/>
        </w:rPr>
        <w:t>五   开标及评标</w:t>
      </w:r>
      <w:bookmarkEnd w:id="124"/>
      <w:bookmarkEnd w:id="125"/>
      <w:bookmarkEnd w:id="126"/>
      <w:bookmarkEnd w:id="127"/>
      <w:bookmarkEnd w:id="128"/>
      <w:bookmarkEnd w:id="129"/>
    </w:p>
    <w:p w14:paraId="17B66378">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ascii="宋体" w:hAnsi="宋体" w:eastAsia="宋体" w:cs="宋体"/>
          <w:color w:val="auto"/>
          <w:highlight w:val="none"/>
          <w:u w:val="none"/>
        </w:rPr>
      </w:pPr>
      <w:bookmarkStart w:id="130" w:name="_Toc515647779"/>
      <w:bookmarkStart w:id="131" w:name="_Toc17257"/>
      <w:bookmarkStart w:id="132" w:name="_Toc25345"/>
      <w:bookmarkStart w:id="133" w:name="_Toc7186"/>
      <w:bookmarkStart w:id="134" w:name="_Toc520356164"/>
      <w:r>
        <w:rPr>
          <w:rFonts w:hint="eastAsia" w:hAnsi="宋体" w:cs="宋体"/>
          <w:color w:val="auto"/>
          <w:highlight w:val="none"/>
          <w:u w:val="none"/>
          <w:lang w:val="en-US" w:eastAsia="zh-CN"/>
        </w:rPr>
        <w:t>18.</w:t>
      </w:r>
      <w:r>
        <w:rPr>
          <w:rFonts w:hint="eastAsia" w:ascii="宋体" w:hAnsi="宋体" w:eastAsia="宋体" w:cs="宋体"/>
          <w:color w:val="auto"/>
          <w:highlight w:val="none"/>
          <w:u w:val="none"/>
        </w:rPr>
        <w:t>开标</w:t>
      </w:r>
      <w:bookmarkEnd w:id="130"/>
      <w:bookmarkEnd w:id="131"/>
      <w:bookmarkEnd w:id="132"/>
      <w:bookmarkEnd w:id="133"/>
      <w:bookmarkEnd w:id="134"/>
    </w:p>
    <w:p w14:paraId="19B48F01">
      <w:pPr>
        <w:pageBreakBefore w:val="0"/>
        <w:widowControl w:val="0"/>
        <w:numPr>
          <w:ilvl w:val="1"/>
          <w:numId w:val="0"/>
        </w:numPr>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bookmarkStart w:id="135" w:name="_Toc520356165"/>
      <w:bookmarkStart w:id="136" w:name="_Toc21372"/>
      <w:bookmarkStart w:id="137" w:name="_Toc515647780"/>
      <w:bookmarkStart w:id="138" w:name="_Toc19296"/>
      <w:bookmarkStart w:id="139" w:name="_Toc31290"/>
      <w:r>
        <w:rPr>
          <w:rFonts w:hint="default" w:ascii="宋体" w:hAnsi="宋体" w:eastAsia="宋体" w:cs="宋体"/>
          <w:color w:val="auto"/>
          <w:kern w:val="2"/>
          <w:sz w:val="24"/>
          <w:szCs w:val="24"/>
          <w:highlight w:val="none"/>
          <w:lang w:val="en-US" w:eastAsia="zh-CN" w:bidi="ar-SA"/>
        </w:rPr>
        <w:t>18.1</w:t>
      </w:r>
      <w:r>
        <w:rPr>
          <w:rFonts w:hint="eastAsia" w:ascii="宋体" w:hAnsi="宋体" w:cs="宋体"/>
          <w:color w:val="auto"/>
          <w:kern w:val="2"/>
          <w:sz w:val="24"/>
          <w:szCs w:val="24"/>
          <w:highlight w:val="none"/>
          <w:lang w:val="en-US" w:eastAsia="zh-CN" w:bidi="ar-SA"/>
        </w:rPr>
        <w:t xml:space="preserve">    </w:t>
      </w:r>
      <w:r>
        <w:rPr>
          <w:rFonts w:hint="eastAsia" w:ascii="宋体" w:hAnsi="宋体" w:eastAsia="宋体" w:cs="宋体"/>
          <w:color w:val="auto"/>
          <w:sz w:val="24"/>
          <w:highlight w:val="none"/>
        </w:rPr>
        <w:t>采购人和采购代理机构将按</w:t>
      </w:r>
      <w:r>
        <w:rPr>
          <w:rFonts w:hint="eastAsia" w:ascii="宋体" w:hAnsi="宋体" w:eastAsia="宋体" w:cs="宋体"/>
          <w:color w:val="auto"/>
          <w:sz w:val="24"/>
          <w:highlight w:val="none"/>
          <w:u w:val="single"/>
        </w:rPr>
        <w:t>投标人须知资料表</w:t>
      </w:r>
      <w:r>
        <w:rPr>
          <w:rFonts w:hint="eastAsia" w:ascii="宋体" w:hAnsi="宋体" w:eastAsia="宋体" w:cs="宋体"/>
          <w:color w:val="auto"/>
          <w:sz w:val="24"/>
          <w:highlight w:val="none"/>
        </w:rPr>
        <w:t>中规定的开标时间和地点组织公开开标并邀请所有投标人代表参加。</w:t>
      </w:r>
    </w:p>
    <w:p w14:paraId="1889E78A">
      <w:pPr>
        <w:pageBreakBefore w:val="0"/>
        <w:widowControl w:val="0"/>
        <w:kinsoku/>
        <w:wordWrap/>
        <w:overflowPunct/>
        <w:topLinePunct w:val="0"/>
        <w:bidi w:val="0"/>
        <w:snapToGrid/>
        <w:spacing w:line="240" w:lineRule="atLeast"/>
        <w:ind w:left="957" w:leftChars="456" w:firstLine="0" w:firstLineChars="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投标人不足3家的，不得开标。</w:t>
      </w:r>
    </w:p>
    <w:p w14:paraId="538A438E">
      <w:pPr>
        <w:pageBreakBefore w:val="0"/>
        <w:widowControl w:val="0"/>
        <w:numPr>
          <w:ilvl w:val="1"/>
          <w:numId w:val="0"/>
        </w:numPr>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lang w:val="en-US" w:eastAsia="zh-CN"/>
        </w:rPr>
      </w:pPr>
      <w:r>
        <w:rPr>
          <w:rFonts w:hint="default" w:ascii="宋体" w:hAnsi="宋体" w:eastAsia="宋体" w:cs="宋体"/>
          <w:color w:val="auto"/>
          <w:kern w:val="2"/>
          <w:sz w:val="24"/>
          <w:szCs w:val="24"/>
          <w:highlight w:val="none"/>
          <w:lang w:val="en-US" w:eastAsia="zh-CN" w:bidi="ar-SA"/>
        </w:rPr>
        <w:t>18.2</w:t>
      </w:r>
      <w:r>
        <w:rPr>
          <w:rFonts w:hint="eastAsia" w:ascii="宋体" w:hAnsi="宋体" w:cs="宋体"/>
          <w:color w:val="auto"/>
          <w:kern w:val="2"/>
          <w:sz w:val="24"/>
          <w:szCs w:val="24"/>
          <w:highlight w:val="none"/>
          <w:lang w:val="en-US" w:eastAsia="zh-CN" w:bidi="ar-SA"/>
        </w:rPr>
        <w:t xml:space="preserve">    </w:t>
      </w:r>
      <w:r>
        <w:rPr>
          <w:rFonts w:hint="eastAsia" w:ascii="宋体" w:hAnsi="宋体" w:eastAsia="宋体" w:cs="宋体"/>
          <w:color w:val="auto"/>
          <w:sz w:val="24"/>
          <w:highlight w:val="none"/>
          <w:lang w:val="en-US" w:eastAsia="zh-CN"/>
        </w:rPr>
        <w:t>投标人应当按照本招标文件载明的时间和模式等要求参加开标。开标时，投标人应当使用上传本项目（采购包）电子投标文件时加密所用数字证书在开始解密后按照代理机构规定的时间内完成电子投标文件的解密，如遇不可抗力等其他特殊情况，采购代理机构可视情况延长解密时间。投标人未携带数字证书或其他非系统原因导致的在规定时间内未解密投标文件，将作无效投标处理。（采用不见面电子开标，各投标人在参加开标以前须自行对使用电脑的网络环境、驱动安装、客户端安装以及数字证书的有效性等进行检测，确保可以正常使用）。</w:t>
      </w:r>
    </w:p>
    <w:p w14:paraId="79C5DD20">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18.3    采购人或采购代理机构将对开标过程进行记录，由参加开标的各投标人代表和相关工作人员签字确认，并存档备查。</w:t>
      </w:r>
    </w:p>
    <w:p w14:paraId="6559E8E9">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18.4    投标人代表对开标过程和开标记录有疑义，以及认为采购人、采购代理机构相关工作人员有需要回避的情形的，应当场提出询问或者回避申请。</w:t>
      </w:r>
    </w:p>
    <w:p w14:paraId="0877740E">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ascii="宋体" w:hAnsi="宋体" w:eastAsia="宋体" w:cs="宋体"/>
          <w:color w:val="auto"/>
          <w:highlight w:val="none"/>
          <w:u w:val="none"/>
        </w:rPr>
      </w:pPr>
      <w:r>
        <w:rPr>
          <w:rFonts w:hint="eastAsia" w:ascii="宋体" w:hAnsi="宋体" w:eastAsia="宋体" w:cs="宋体"/>
          <w:color w:val="auto"/>
          <w:highlight w:val="none"/>
          <w:u w:val="none"/>
        </w:rPr>
        <w:t>19.</w:t>
      </w:r>
      <w:bookmarkEnd w:id="135"/>
      <w:r>
        <w:rPr>
          <w:rFonts w:hint="eastAsia" w:ascii="宋体" w:hAnsi="宋体" w:eastAsia="宋体" w:cs="宋体"/>
          <w:color w:val="auto"/>
          <w:highlight w:val="none"/>
          <w:u w:val="none"/>
        </w:rPr>
        <w:t>资格审查及组建评标委员会</w:t>
      </w:r>
      <w:bookmarkEnd w:id="136"/>
      <w:bookmarkEnd w:id="137"/>
      <w:bookmarkEnd w:id="138"/>
      <w:bookmarkEnd w:id="139"/>
    </w:p>
    <w:p w14:paraId="7BEF32A8">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19.</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 xml:space="preserve">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采购人或采购代理机构将在开标</w:t>
      </w:r>
      <w:r>
        <w:rPr>
          <w:rFonts w:hint="eastAsia" w:ascii="宋体" w:hAnsi="宋体" w:eastAsia="宋体" w:cs="宋体"/>
          <w:color w:val="auto"/>
          <w:sz w:val="24"/>
          <w:highlight w:val="none"/>
          <w:lang w:eastAsia="zh-CN"/>
        </w:rPr>
        <w:t>后</w:t>
      </w:r>
      <w:r>
        <w:rPr>
          <w:rFonts w:hint="eastAsia" w:ascii="宋体" w:hAnsi="宋体" w:eastAsia="宋体" w:cs="宋体"/>
          <w:color w:val="auto"/>
          <w:sz w:val="24"/>
          <w:highlight w:val="none"/>
          <w:lang w:val="en-US" w:eastAsia="zh-CN"/>
        </w:rPr>
        <w:t>1个小时</w:t>
      </w:r>
      <w:r>
        <w:rPr>
          <w:rFonts w:hint="eastAsia" w:ascii="宋体" w:hAnsi="宋体" w:eastAsia="宋体" w:cs="宋体"/>
          <w:color w:val="auto"/>
          <w:sz w:val="24"/>
          <w:highlight w:val="none"/>
        </w:rPr>
        <w:t>内查询投标人的信用记录。投标人存在不良信用记录的，其投标将被认定为投标无效。</w:t>
      </w:r>
    </w:p>
    <w:p w14:paraId="2DA8D519">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rPr>
        <w:t>19.2</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不良信用记录指：投标人被“信用中国”网站列入失信被执行人和重大税收违法案件当事人名单的、被“中国政府采购网”网站列入政府采购严重违法失信行为记录名单（处罚期限尚未届满的）的供应商，及国家企业信用信息公示系统(http://www.gsxt.gov.cn)被列入失信被执行人、重大税收违法案件当事人名单中的，以及存在《中华人民共和国政府采购法实施条例》第十九条规定的行政处罚记录。</w:t>
      </w:r>
      <w:r>
        <w:rPr>
          <w:rFonts w:hint="eastAsia" w:ascii="宋体" w:hAnsi="宋体" w:eastAsia="宋体" w:cs="宋体"/>
          <w:color w:val="auto"/>
          <w:sz w:val="24"/>
          <w:szCs w:val="24"/>
          <w:highlight w:val="none"/>
        </w:rPr>
        <w:t>以联合体形式参加投标的，联合体任何成员存在以上不良信用记录的，联合体投标将被认定为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382EC68D">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19.2.</w:t>
      </w:r>
      <w:r>
        <w:rPr>
          <w:rFonts w:hint="eastAsia" w:ascii="宋体" w:hAnsi="宋体" w:eastAsia="宋体" w:cs="宋体"/>
          <w:color w:val="auto"/>
          <w:sz w:val="24"/>
          <w:highlight w:val="none"/>
          <w:lang w:val="en-US" w:eastAsia="zh-CN"/>
        </w:rPr>
        <w:t>1</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查询及记录方式：采购人或采购代理机构经办人将查询网页打印并存档备查。投标人不良信用记录以采购人或采购代理机构查询结果为准。在本</w:t>
      </w:r>
      <w:r>
        <w:rPr>
          <w:rFonts w:hint="eastAsia" w:ascii="宋体" w:hAnsi="宋体" w:eastAsia="宋体" w:cs="宋体"/>
          <w:color w:val="auto"/>
          <w:sz w:val="24"/>
          <w:highlight w:val="none"/>
          <w:lang w:val="en-US" w:eastAsia="zh-CN"/>
        </w:rPr>
        <w:t>招标</w:t>
      </w:r>
      <w:r>
        <w:rPr>
          <w:rFonts w:hint="eastAsia" w:ascii="宋体" w:hAnsi="宋体" w:eastAsia="宋体" w:cs="宋体"/>
          <w:color w:val="auto"/>
          <w:sz w:val="24"/>
          <w:highlight w:val="none"/>
          <w:lang w:eastAsia="zh-CN"/>
        </w:rPr>
        <w:t>文件</w:t>
      </w:r>
      <w:r>
        <w:rPr>
          <w:rFonts w:hint="eastAsia" w:ascii="宋体" w:hAnsi="宋体" w:eastAsia="宋体" w:cs="宋体"/>
          <w:color w:val="auto"/>
          <w:sz w:val="24"/>
          <w:highlight w:val="none"/>
        </w:rPr>
        <w:t>规定的查询时间之后，网站信息发生的任何变更均不再作为评标依据。投标人自行提供的与网站信息不一致的其他证明材料亦不作为资格审查依据。</w:t>
      </w:r>
    </w:p>
    <w:p w14:paraId="7A8EBDCB">
      <w:pPr>
        <w:keepNext w:val="0"/>
        <w:keepLines w:val="0"/>
        <w:pageBreakBefore w:val="0"/>
        <w:widowControl w:val="0"/>
        <w:kinsoku/>
        <w:wordWrap/>
        <w:overflowPunct/>
        <w:topLinePunct w:val="0"/>
        <w:autoSpaceDE/>
        <w:autoSpaceDN/>
        <w:bidi w:val="0"/>
        <w:adjustRightInd/>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19.3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 xml:space="preserve"> 按照《中华人民共和国政府采购法》、《中华人民共和国政府采购法实施条例》及本项目本级和上级财政部门的有关规定依法组建的评标委员会，负责评标工作。</w:t>
      </w:r>
      <w:bookmarkStart w:id="140" w:name="_Toc520356166"/>
      <w:r>
        <w:rPr>
          <w:rFonts w:hint="eastAsia" w:ascii="宋体" w:hAnsi="宋体" w:eastAsia="宋体" w:cs="宋体"/>
          <w:color w:val="auto"/>
          <w:sz w:val="24"/>
          <w:highlight w:val="none"/>
        </w:rPr>
        <w:t>本项目评标委员会成员</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名，政采云平台随机抽取专家</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人。</w:t>
      </w:r>
    </w:p>
    <w:p w14:paraId="16F7BC6D">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ascii="宋体" w:hAnsi="宋体" w:eastAsia="宋体" w:cs="宋体"/>
          <w:b w:val="0"/>
          <w:bCs/>
          <w:color w:val="auto"/>
          <w:highlight w:val="none"/>
          <w:bdr w:val="single" w:color="auto" w:sz="4" w:space="0"/>
        </w:rPr>
      </w:pPr>
      <w:bookmarkStart w:id="141" w:name="_Toc515647781"/>
      <w:bookmarkStart w:id="142" w:name="_Toc28479"/>
      <w:bookmarkStart w:id="143" w:name="_Toc19949"/>
      <w:bookmarkStart w:id="144" w:name="_Toc26332"/>
      <w:r>
        <w:rPr>
          <w:rFonts w:hint="eastAsia" w:ascii="宋体" w:hAnsi="宋体" w:eastAsia="宋体" w:cs="宋体"/>
          <w:color w:val="auto"/>
          <w:highlight w:val="none"/>
          <w:u w:val="none"/>
        </w:rPr>
        <w:t>20.投标文件</w:t>
      </w:r>
      <w:bookmarkEnd w:id="140"/>
      <w:r>
        <w:rPr>
          <w:rFonts w:hint="eastAsia" w:ascii="宋体" w:hAnsi="宋体" w:eastAsia="宋体" w:cs="宋体"/>
          <w:color w:val="auto"/>
          <w:highlight w:val="none"/>
          <w:u w:val="none"/>
        </w:rPr>
        <w:t>符合性审查与澄清</w:t>
      </w:r>
      <w:bookmarkEnd w:id="141"/>
      <w:bookmarkEnd w:id="142"/>
      <w:bookmarkEnd w:id="143"/>
      <w:bookmarkEnd w:id="144"/>
    </w:p>
    <w:p w14:paraId="7F95F0B7">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20.1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 xml:space="preserve"> 符合性审查是指依据招标文件的规定，从投标文件的有效性和完整性对招标文件的响应程度进行审查，以确定是否对招标文件的实质性要求做出响应。</w:t>
      </w:r>
      <w:bookmarkStart w:id="145" w:name="_Hlt522424701"/>
      <w:bookmarkEnd w:id="145"/>
      <w:bookmarkStart w:id="146" w:name="_Toc520356167"/>
    </w:p>
    <w:p w14:paraId="72CAA244">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20.2</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投标文件的澄清</w:t>
      </w:r>
    </w:p>
    <w:p w14:paraId="28120AB7">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20.2.1  在评标期间，评标委员会将以书面方式要求投标人对其投标文件中含义不明确、对同类问题表述不一致或者有明显文字和计算错误的内容，以及评标委员会认为投标人的报价明显低于其他通过符合性检查投标人的报价，有可能影响履约的情况作必要的澄清、说明或补正。投标人的澄清、说明或补正应在评标委员会规定的时间内以书面方式进行，并不得超出投标文件范围或者改变投标文件的实质性内容。</w:t>
      </w:r>
    </w:p>
    <w:p w14:paraId="3CE64680">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20.2.2  投标人的的澄清、说明或补正将作为投标文件的一部分。</w:t>
      </w:r>
    </w:p>
    <w:p w14:paraId="38A117B9">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20.3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 xml:space="preserve"> 投标文件报价出现前后不一致的，按照下列规定修正：</w:t>
      </w:r>
    </w:p>
    <w:p w14:paraId="50FFB5E1">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（一）投标文件中开标一览表（报价表）内容与投标文件中相应内容不一致的，以开标一览表（报价表）为准；</w:t>
      </w:r>
    </w:p>
    <w:p w14:paraId="4F6D3738">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（二）大写金额和小写金额不一致的，以大写金额为准；</w:t>
      </w:r>
    </w:p>
    <w:p w14:paraId="736FED3C">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（三）单价金额小数点或者百分比有明显错位的，以开标一览表的总价为准，并修改单价；</w:t>
      </w:r>
    </w:p>
    <w:p w14:paraId="463217A0">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（四）总价金额与按单价汇总金额不一致的，以单价金额计算结果为准。</w:t>
      </w:r>
    </w:p>
    <w:p w14:paraId="6B35B870">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同时出现两种以上不一致的，按照前款规定的顺序修正。修正后的报价按照第20.2条的规定经投标人确认后产生约束力，投标人不确认的，其投标将被认定为</w:t>
      </w:r>
      <w:r>
        <w:rPr>
          <w:rFonts w:hint="eastAsia" w:ascii="宋体" w:hAnsi="宋体" w:eastAsia="宋体" w:cs="宋体"/>
          <w:b/>
          <w:bCs/>
          <w:color w:val="auto"/>
          <w:sz w:val="24"/>
          <w:highlight w:val="none"/>
        </w:rPr>
        <w:t>投标无效</w:t>
      </w:r>
      <w:r>
        <w:rPr>
          <w:rFonts w:hint="eastAsia" w:ascii="宋体" w:hAnsi="宋体" w:eastAsia="宋体" w:cs="宋体"/>
          <w:color w:val="auto"/>
          <w:sz w:val="24"/>
          <w:highlight w:val="none"/>
        </w:rPr>
        <w:t>。</w:t>
      </w:r>
    </w:p>
    <w:p w14:paraId="6D1D3FE4">
      <w:pPr>
        <w:pageBreakBefore w:val="0"/>
        <w:widowControl w:val="0"/>
        <w:kinsoku/>
        <w:wordWrap/>
        <w:overflowPunct/>
        <w:topLinePunct w:val="0"/>
        <w:bidi w:val="0"/>
        <w:snapToGrid/>
        <w:spacing w:line="240" w:lineRule="atLeast"/>
        <w:ind w:left="957" w:leftChars="456" w:firstLine="0" w:firstLineChars="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对不同文字文本投标文件的解释发生异议的，以中文文本为准。</w:t>
      </w:r>
    </w:p>
    <w:p w14:paraId="3CE2A91E">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20.4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 xml:space="preserve"> 如一个分包内只有一种产品，不同投标人所投产品为同一品牌的，按如下方式处理：</w:t>
      </w:r>
    </w:p>
    <w:p w14:paraId="1FE09A3B">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20.4.1  如本项目使用最低评标价法，提供相同品牌产品的不同投标人以其中通过资格审查、符合性审查且报价最低的参加评标；报价相同的，由采购人或者采购人委托评标委员会按照招标文件中评标办法规定的方式确定一个参加评标的投标人；未规定的采取随机抽取方式确定，其他投标将被认定为</w:t>
      </w:r>
      <w:r>
        <w:rPr>
          <w:rFonts w:hint="eastAsia" w:ascii="宋体" w:hAnsi="宋体" w:eastAsia="宋体" w:cs="宋体"/>
          <w:b/>
          <w:bCs/>
          <w:color w:val="auto"/>
          <w:sz w:val="24"/>
          <w:highlight w:val="none"/>
        </w:rPr>
        <w:t>投标无效</w:t>
      </w:r>
      <w:r>
        <w:rPr>
          <w:rFonts w:hint="eastAsia" w:ascii="宋体" w:hAnsi="宋体" w:eastAsia="宋体" w:cs="宋体"/>
          <w:color w:val="auto"/>
          <w:sz w:val="24"/>
          <w:highlight w:val="none"/>
        </w:rPr>
        <w:t>。</w:t>
      </w:r>
    </w:p>
    <w:p w14:paraId="098D73AC">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20.4.2  如本项目使用综合评分法，提供相同品牌产品且通过资格审查、符合性审查的不同投标人，按不同投标人计算，评审后得分最高的同品牌投标人获得中标人推荐资格；评审得分相同的，由采购人或者采购人委托评标委员会按照招标文件中评标办法规定的方式确定一个投标人获得中标人推荐资格；未规定的采取随机抽取方式确定，其他同品牌投标人不作为中标候选人。</w:t>
      </w:r>
    </w:p>
    <w:p w14:paraId="690F5D15">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ascii="宋体" w:hAnsi="宋体" w:eastAsia="宋体" w:cs="宋体"/>
          <w:color w:val="auto"/>
          <w:highlight w:val="none"/>
          <w:u w:val="none"/>
        </w:rPr>
      </w:pPr>
      <w:bookmarkStart w:id="147" w:name="_Toc515647782"/>
      <w:bookmarkStart w:id="148" w:name="_Toc18529"/>
      <w:bookmarkStart w:id="149" w:name="_Toc9469"/>
      <w:bookmarkStart w:id="150" w:name="_Toc6364"/>
      <w:r>
        <w:rPr>
          <w:rFonts w:hint="eastAsia" w:ascii="宋体" w:hAnsi="宋体" w:eastAsia="宋体" w:cs="宋体"/>
          <w:color w:val="auto"/>
          <w:highlight w:val="none"/>
          <w:u w:val="none"/>
        </w:rPr>
        <w:t>21.投标偏离</w:t>
      </w:r>
      <w:bookmarkEnd w:id="147"/>
      <w:bookmarkEnd w:id="148"/>
      <w:bookmarkEnd w:id="149"/>
      <w:bookmarkEnd w:id="150"/>
    </w:p>
    <w:p w14:paraId="1044889D">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 xml:space="preserve"> 评标委员会可以接受投标文件中不构成实质性偏离的不正规或不一致。</w:t>
      </w:r>
    </w:p>
    <w:p w14:paraId="742D3388">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ascii="宋体" w:hAnsi="宋体" w:eastAsia="宋体" w:cs="宋体"/>
          <w:color w:val="auto"/>
          <w:highlight w:val="none"/>
          <w:u w:val="none"/>
        </w:rPr>
      </w:pPr>
      <w:bookmarkStart w:id="151" w:name="_Toc515647783"/>
      <w:bookmarkStart w:id="152" w:name="_Toc23936"/>
      <w:bookmarkStart w:id="153" w:name="_Toc6092"/>
      <w:bookmarkStart w:id="154" w:name="_Toc4950"/>
      <w:r>
        <w:rPr>
          <w:rFonts w:hint="eastAsia" w:ascii="宋体" w:hAnsi="宋体" w:eastAsia="宋体" w:cs="宋体"/>
          <w:color w:val="auto"/>
          <w:highlight w:val="none"/>
          <w:u w:val="none"/>
        </w:rPr>
        <w:t>22.投标</w:t>
      </w:r>
      <w:bookmarkEnd w:id="151"/>
      <w:r>
        <w:rPr>
          <w:rFonts w:hint="eastAsia" w:ascii="宋体" w:hAnsi="宋体" w:eastAsia="宋体" w:cs="宋体"/>
          <w:color w:val="auto"/>
          <w:highlight w:val="none"/>
          <w:u w:val="none"/>
        </w:rPr>
        <w:t>无效</w:t>
      </w:r>
      <w:bookmarkEnd w:id="152"/>
      <w:bookmarkEnd w:id="153"/>
      <w:bookmarkEnd w:id="154"/>
    </w:p>
    <w:p w14:paraId="4FBC77F4">
      <w:pPr>
        <w:keepNext w:val="0"/>
        <w:keepLines w:val="0"/>
        <w:pageBreakBefore w:val="0"/>
        <w:widowControl w:val="0"/>
        <w:kinsoku/>
        <w:wordWrap/>
        <w:overflowPunct/>
        <w:topLinePunct w:val="0"/>
        <w:autoSpaceDE/>
        <w:autoSpaceDN/>
        <w:bidi w:val="0"/>
        <w:adjustRightInd/>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22.1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在比较与评价之前，根据本须知的规定，评标委员会要审查每份投标文件是否实质上响应了招标文件的要求。实质上响应的投标应该是与招标文件要求的全部条款、条件和规格相符，没有重大偏离的投标。对关键条款的偏离，将被认定为</w:t>
      </w:r>
      <w:r>
        <w:rPr>
          <w:rFonts w:hint="eastAsia" w:ascii="宋体" w:hAnsi="宋体" w:eastAsia="宋体" w:cs="宋体"/>
          <w:b/>
          <w:bCs/>
          <w:color w:val="auto"/>
          <w:sz w:val="24"/>
          <w:highlight w:val="none"/>
        </w:rPr>
        <w:t>投标无效</w:t>
      </w:r>
      <w:r>
        <w:rPr>
          <w:rFonts w:hint="eastAsia" w:ascii="宋体" w:hAnsi="宋体" w:eastAsia="宋体" w:cs="宋体"/>
          <w:color w:val="auto"/>
          <w:sz w:val="24"/>
          <w:highlight w:val="none"/>
        </w:rPr>
        <w:t>。投标人不得通过修正或撤销不符合要求的偏离，从而使其投标成为实质上响应的投标。</w:t>
      </w:r>
    </w:p>
    <w:p w14:paraId="50FFE0BD">
      <w:pPr>
        <w:keepNext w:val="0"/>
        <w:keepLines w:val="0"/>
        <w:pageBreakBefore w:val="0"/>
        <w:widowControl w:val="0"/>
        <w:kinsoku/>
        <w:wordWrap/>
        <w:overflowPunct/>
        <w:topLinePunct w:val="0"/>
        <w:autoSpaceDE/>
        <w:autoSpaceDN/>
        <w:bidi w:val="0"/>
        <w:adjustRightInd/>
        <w:snapToGrid/>
        <w:spacing w:line="240" w:lineRule="atLeast"/>
        <w:ind w:left="957" w:leftChars="456" w:firstLine="0" w:firstLineChars="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评标委员会决定投标的响应性只根据招标文件要求、投标文件内容及财政主管部门指定相关信息发布媒体。</w:t>
      </w:r>
    </w:p>
    <w:p w14:paraId="72C6F76C">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22.2</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如发现下列情况之一的，其投标将被认定为</w:t>
      </w:r>
      <w:r>
        <w:rPr>
          <w:rFonts w:hint="eastAsia" w:ascii="宋体" w:hAnsi="宋体" w:eastAsia="宋体" w:cs="宋体"/>
          <w:b/>
          <w:bCs/>
          <w:color w:val="auto"/>
          <w:sz w:val="24"/>
          <w:highlight w:val="none"/>
        </w:rPr>
        <w:t>投标无效</w:t>
      </w:r>
      <w:r>
        <w:rPr>
          <w:rFonts w:hint="eastAsia" w:ascii="宋体" w:hAnsi="宋体" w:eastAsia="宋体" w:cs="宋体"/>
          <w:color w:val="auto"/>
          <w:sz w:val="24"/>
          <w:highlight w:val="none"/>
        </w:rPr>
        <w:t>：（</w:t>
      </w:r>
      <w:r>
        <w:rPr>
          <w:rFonts w:hint="eastAsia" w:ascii="宋体" w:hAnsi="宋体" w:eastAsia="宋体" w:cs="宋体"/>
          <w:b/>
          <w:color w:val="auto"/>
          <w:sz w:val="24"/>
          <w:highlight w:val="none"/>
        </w:rPr>
        <w:t>以下情形应当在招标文件中规定，并以醒目的方式标明</w:t>
      </w:r>
      <w:r>
        <w:rPr>
          <w:rFonts w:hint="eastAsia" w:ascii="宋体" w:hAnsi="宋体" w:eastAsia="宋体" w:cs="宋体"/>
          <w:color w:val="auto"/>
          <w:sz w:val="24"/>
          <w:highlight w:val="none"/>
        </w:rPr>
        <w:t>）</w:t>
      </w:r>
    </w:p>
    <w:p w14:paraId="7EB5A784">
      <w:pPr>
        <w:pageBreakBefore w:val="0"/>
        <w:widowControl w:val="0"/>
        <w:numPr>
          <w:ilvl w:val="0"/>
          <w:numId w:val="0"/>
        </w:numPr>
        <w:kinsoku/>
        <w:wordWrap/>
        <w:overflowPunct/>
        <w:topLinePunct w:val="0"/>
        <w:bidi w:val="0"/>
        <w:snapToGrid/>
        <w:spacing w:line="240" w:lineRule="atLeast"/>
        <w:ind w:left="957" w:leftChars="456" w:firstLine="0" w:firstLineChars="0"/>
        <w:textAlignment w:val="auto"/>
        <w:rPr>
          <w:rFonts w:hint="eastAsia" w:ascii="宋体" w:hAnsi="宋体" w:eastAsia="宋体" w:cs="宋体"/>
          <w:b/>
          <w:bCs/>
          <w:color w:val="auto"/>
          <w:sz w:val="24"/>
          <w:highlight w:val="none"/>
        </w:rPr>
      </w:pPr>
      <w:r>
        <w:rPr>
          <w:rFonts w:hint="eastAsia" w:ascii="仿宋_GB2312" w:hAnsi="宋体" w:eastAsia="仿宋_GB2312" w:cs="Times New Roman"/>
          <w:b/>
          <w:bCs/>
          <w:color w:val="auto"/>
          <w:kern w:val="2"/>
          <w:sz w:val="24"/>
          <w:szCs w:val="24"/>
          <w:highlight w:val="none"/>
          <w:lang w:val="en-US" w:eastAsia="zh-CN" w:bidi="ar-SA"/>
        </w:rPr>
        <w:t>（1）</w:t>
      </w:r>
      <w:r>
        <w:rPr>
          <w:rFonts w:hint="eastAsia" w:ascii="宋体" w:hAnsi="宋体" w:eastAsia="宋体" w:cs="宋体"/>
          <w:b/>
          <w:bCs/>
          <w:color w:val="auto"/>
          <w:sz w:val="24"/>
          <w:highlight w:val="none"/>
        </w:rPr>
        <w:t>未按招标文件规定的形式和金额提交投标保证金的；</w:t>
      </w:r>
    </w:p>
    <w:p w14:paraId="16232733">
      <w:pPr>
        <w:pageBreakBefore w:val="0"/>
        <w:widowControl w:val="0"/>
        <w:numPr>
          <w:ilvl w:val="0"/>
          <w:numId w:val="0"/>
        </w:numPr>
        <w:kinsoku/>
        <w:wordWrap/>
        <w:overflowPunct/>
        <w:topLinePunct w:val="0"/>
        <w:bidi w:val="0"/>
        <w:snapToGrid/>
        <w:spacing w:line="240" w:lineRule="atLeast"/>
        <w:ind w:left="957" w:leftChars="456" w:firstLine="0" w:firstLineChars="0"/>
        <w:textAlignment w:val="auto"/>
        <w:rPr>
          <w:rFonts w:hint="eastAsia" w:ascii="宋体" w:hAnsi="宋体" w:eastAsia="宋体" w:cs="宋体"/>
          <w:b/>
          <w:bCs/>
          <w:color w:val="auto"/>
          <w:sz w:val="24"/>
          <w:highlight w:val="none"/>
        </w:rPr>
      </w:pPr>
      <w:r>
        <w:rPr>
          <w:rFonts w:hint="eastAsia" w:ascii="仿宋_GB2312" w:hAnsi="宋体" w:eastAsia="仿宋_GB2312" w:cs="Times New Roman"/>
          <w:b/>
          <w:bCs/>
          <w:color w:val="auto"/>
          <w:kern w:val="2"/>
          <w:sz w:val="24"/>
          <w:szCs w:val="24"/>
          <w:highlight w:val="none"/>
          <w:lang w:val="en-US" w:eastAsia="zh-CN" w:bidi="ar-SA"/>
        </w:rPr>
        <w:t>（2）</w:t>
      </w:r>
      <w:r>
        <w:rPr>
          <w:rFonts w:hint="eastAsia" w:ascii="宋体" w:hAnsi="宋体" w:eastAsia="宋体" w:cs="宋体"/>
          <w:b/>
          <w:bCs/>
          <w:color w:val="auto"/>
          <w:sz w:val="24"/>
          <w:highlight w:val="none"/>
        </w:rPr>
        <w:t>未按照招标文件规定要求签署、盖章的；</w:t>
      </w:r>
    </w:p>
    <w:p w14:paraId="1EAE2CB3">
      <w:pPr>
        <w:pageBreakBefore w:val="0"/>
        <w:widowControl w:val="0"/>
        <w:numPr>
          <w:ilvl w:val="0"/>
          <w:numId w:val="0"/>
        </w:numPr>
        <w:kinsoku/>
        <w:wordWrap/>
        <w:overflowPunct/>
        <w:topLinePunct w:val="0"/>
        <w:bidi w:val="0"/>
        <w:snapToGrid/>
        <w:spacing w:line="240" w:lineRule="atLeast"/>
        <w:ind w:left="957" w:leftChars="456" w:firstLine="0" w:firstLineChars="0"/>
        <w:textAlignment w:val="auto"/>
        <w:rPr>
          <w:rFonts w:hint="eastAsia" w:ascii="宋体" w:hAnsi="宋体" w:eastAsia="宋体" w:cs="宋体"/>
          <w:b/>
          <w:bCs/>
          <w:color w:val="auto"/>
          <w:sz w:val="24"/>
          <w:highlight w:val="none"/>
        </w:rPr>
      </w:pPr>
      <w:r>
        <w:rPr>
          <w:rFonts w:hint="eastAsia" w:ascii="仿宋_GB2312" w:hAnsi="宋体" w:eastAsia="仿宋_GB2312" w:cs="Times New Roman"/>
          <w:b/>
          <w:bCs/>
          <w:color w:val="auto"/>
          <w:kern w:val="2"/>
          <w:sz w:val="24"/>
          <w:szCs w:val="24"/>
          <w:highlight w:val="none"/>
          <w:lang w:val="en-US" w:eastAsia="zh-CN" w:bidi="ar-SA"/>
        </w:rPr>
        <w:t>（3）</w:t>
      </w:r>
      <w:r>
        <w:rPr>
          <w:rFonts w:hint="eastAsia" w:ascii="宋体" w:hAnsi="宋体" w:eastAsia="宋体" w:cs="宋体"/>
          <w:b/>
          <w:bCs/>
          <w:color w:val="auto"/>
          <w:sz w:val="24"/>
          <w:highlight w:val="none"/>
        </w:rPr>
        <w:t>未满足招标文件中技术条款的实质性要求；</w:t>
      </w:r>
    </w:p>
    <w:p w14:paraId="7C3101CD">
      <w:pPr>
        <w:pageBreakBefore w:val="0"/>
        <w:widowControl w:val="0"/>
        <w:numPr>
          <w:ilvl w:val="0"/>
          <w:numId w:val="0"/>
        </w:numPr>
        <w:kinsoku/>
        <w:wordWrap/>
        <w:overflowPunct/>
        <w:topLinePunct w:val="0"/>
        <w:bidi w:val="0"/>
        <w:snapToGrid/>
        <w:spacing w:line="240" w:lineRule="atLeast"/>
        <w:ind w:left="957" w:leftChars="456" w:firstLine="0" w:firstLineChars="0"/>
        <w:textAlignment w:val="auto"/>
        <w:rPr>
          <w:rFonts w:hint="eastAsia" w:ascii="宋体" w:hAnsi="宋体" w:eastAsia="宋体" w:cs="宋体"/>
          <w:b/>
          <w:bCs/>
          <w:color w:val="auto"/>
          <w:sz w:val="24"/>
          <w:highlight w:val="none"/>
        </w:rPr>
      </w:pPr>
      <w:r>
        <w:rPr>
          <w:rFonts w:hint="eastAsia" w:ascii="仿宋_GB2312" w:hAnsi="宋体" w:eastAsia="仿宋_GB2312" w:cs="Times New Roman"/>
          <w:b/>
          <w:bCs/>
          <w:color w:val="auto"/>
          <w:kern w:val="2"/>
          <w:sz w:val="24"/>
          <w:szCs w:val="24"/>
          <w:highlight w:val="none"/>
          <w:lang w:val="en-US" w:eastAsia="zh-CN" w:bidi="ar-SA"/>
        </w:rPr>
        <w:t>（4）</w:t>
      </w:r>
      <w:r>
        <w:rPr>
          <w:rFonts w:hint="eastAsia" w:ascii="宋体" w:hAnsi="宋体" w:eastAsia="宋体" w:cs="宋体"/>
          <w:b/>
          <w:bCs/>
          <w:color w:val="auto"/>
          <w:sz w:val="24"/>
          <w:highlight w:val="none"/>
        </w:rPr>
        <w:t>与其他投标人串通投标，或者与招标人串通投标；</w:t>
      </w:r>
    </w:p>
    <w:p w14:paraId="55A9727F">
      <w:pPr>
        <w:pageBreakBefore w:val="0"/>
        <w:widowControl w:val="0"/>
        <w:numPr>
          <w:ilvl w:val="0"/>
          <w:numId w:val="0"/>
        </w:numPr>
        <w:kinsoku/>
        <w:wordWrap/>
        <w:overflowPunct/>
        <w:topLinePunct w:val="0"/>
        <w:bidi w:val="0"/>
        <w:snapToGrid/>
        <w:spacing w:line="240" w:lineRule="atLeast"/>
        <w:ind w:left="957" w:leftChars="456" w:firstLine="0" w:firstLineChars="0"/>
        <w:textAlignment w:val="auto"/>
        <w:rPr>
          <w:rFonts w:hint="eastAsia" w:ascii="宋体" w:hAnsi="宋体" w:eastAsia="宋体" w:cs="宋体"/>
          <w:b/>
          <w:bCs/>
          <w:color w:val="auto"/>
          <w:sz w:val="24"/>
          <w:highlight w:val="none"/>
        </w:rPr>
      </w:pPr>
      <w:r>
        <w:rPr>
          <w:rFonts w:hint="eastAsia" w:ascii="仿宋_GB2312" w:hAnsi="宋体" w:eastAsia="仿宋_GB2312" w:cs="Times New Roman"/>
          <w:b/>
          <w:bCs/>
          <w:color w:val="auto"/>
          <w:kern w:val="2"/>
          <w:sz w:val="24"/>
          <w:szCs w:val="24"/>
          <w:highlight w:val="none"/>
          <w:lang w:val="en-US" w:eastAsia="zh-CN" w:bidi="ar-SA"/>
        </w:rPr>
        <w:t>（5）</w:t>
      </w:r>
      <w:r>
        <w:rPr>
          <w:rFonts w:hint="eastAsia" w:ascii="宋体" w:hAnsi="宋体" w:eastAsia="宋体" w:cs="宋体"/>
          <w:b/>
          <w:bCs/>
          <w:color w:val="auto"/>
          <w:sz w:val="24"/>
          <w:highlight w:val="none"/>
        </w:rPr>
        <w:t>属于招标文件规定的其他投标无效情形；</w:t>
      </w:r>
    </w:p>
    <w:p w14:paraId="110290DE">
      <w:pPr>
        <w:pageBreakBefore w:val="0"/>
        <w:widowControl w:val="0"/>
        <w:numPr>
          <w:ilvl w:val="0"/>
          <w:numId w:val="0"/>
        </w:numPr>
        <w:kinsoku/>
        <w:wordWrap/>
        <w:overflowPunct/>
        <w:topLinePunct w:val="0"/>
        <w:bidi w:val="0"/>
        <w:snapToGrid/>
        <w:spacing w:line="240" w:lineRule="atLeast"/>
        <w:ind w:left="957" w:leftChars="456" w:firstLine="0" w:firstLineChars="0"/>
        <w:textAlignment w:val="auto"/>
        <w:rPr>
          <w:rFonts w:hint="eastAsia" w:ascii="宋体" w:hAnsi="宋体" w:eastAsia="宋体" w:cs="宋体"/>
          <w:b/>
          <w:bCs/>
          <w:color w:val="auto"/>
          <w:sz w:val="24"/>
          <w:highlight w:val="none"/>
        </w:rPr>
      </w:pPr>
      <w:r>
        <w:rPr>
          <w:rFonts w:hint="eastAsia" w:ascii="仿宋_GB2312" w:hAnsi="宋体" w:eastAsia="仿宋_GB2312" w:cs="Times New Roman"/>
          <w:b/>
          <w:bCs/>
          <w:color w:val="auto"/>
          <w:kern w:val="2"/>
          <w:sz w:val="24"/>
          <w:szCs w:val="24"/>
          <w:highlight w:val="none"/>
          <w:lang w:val="en-US" w:eastAsia="zh-CN" w:bidi="ar-SA"/>
        </w:rPr>
        <w:t>（6）</w:t>
      </w:r>
      <w:r>
        <w:rPr>
          <w:rFonts w:hint="eastAsia" w:ascii="宋体" w:hAnsi="宋体" w:eastAsia="宋体" w:cs="宋体"/>
          <w:b/>
          <w:bCs/>
          <w:color w:val="auto"/>
          <w:sz w:val="24"/>
          <w:highlight w:val="none"/>
        </w:rPr>
        <w:t>评标委员会认为投标人的报价明显低于其他通过符合性检查投标人的报价，有可能影响履约的，且投标人未按照规定证明其报价合理性的；</w:t>
      </w:r>
    </w:p>
    <w:p w14:paraId="390377F3">
      <w:pPr>
        <w:pageBreakBefore w:val="0"/>
        <w:widowControl w:val="0"/>
        <w:numPr>
          <w:ilvl w:val="0"/>
          <w:numId w:val="0"/>
        </w:numPr>
        <w:kinsoku/>
        <w:wordWrap/>
        <w:overflowPunct/>
        <w:topLinePunct w:val="0"/>
        <w:bidi w:val="0"/>
        <w:snapToGrid/>
        <w:spacing w:line="240" w:lineRule="atLeast"/>
        <w:ind w:left="957" w:leftChars="456" w:firstLine="0" w:firstLineChars="0"/>
        <w:textAlignment w:val="auto"/>
        <w:rPr>
          <w:rFonts w:hint="eastAsia" w:ascii="宋体" w:hAnsi="宋体" w:eastAsia="宋体" w:cs="宋体"/>
          <w:b/>
          <w:bCs/>
          <w:color w:val="auto"/>
          <w:sz w:val="24"/>
          <w:highlight w:val="none"/>
        </w:rPr>
      </w:pPr>
      <w:r>
        <w:rPr>
          <w:rFonts w:hint="eastAsia" w:ascii="仿宋_GB2312" w:hAnsi="宋体" w:eastAsia="仿宋_GB2312" w:cs="Times New Roman"/>
          <w:b/>
          <w:bCs/>
          <w:color w:val="auto"/>
          <w:kern w:val="2"/>
          <w:sz w:val="24"/>
          <w:szCs w:val="24"/>
          <w:highlight w:val="none"/>
          <w:lang w:val="en-US" w:eastAsia="zh-CN" w:bidi="ar-SA"/>
        </w:rPr>
        <w:t>（7）</w:t>
      </w:r>
      <w:r>
        <w:rPr>
          <w:rFonts w:hint="eastAsia" w:ascii="宋体" w:hAnsi="宋体" w:eastAsia="宋体" w:cs="宋体"/>
          <w:b/>
          <w:bCs/>
          <w:color w:val="auto"/>
          <w:sz w:val="24"/>
          <w:highlight w:val="none"/>
        </w:rPr>
        <w:t>投标文件含有采购人不能接受的附加条件的；</w:t>
      </w:r>
    </w:p>
    <w:p w14:paraId="13E42F3F">
      <w:pPr>
        <w:pageBreakBefore w:val="0"/>
        <w:widowControl w:val="0"/>
        <w:numPr>
          <w:ilvl w:val="0"/>
          <w:numId w:val="0"/>
        </w:numPr>
        <w:tabs>
          <w:tab w:val="left" w:pos="0"/>
        </w:tabs>
        <w:kinsoku/>
        <w:wordWrap/>
        <w:overflowPunct/>
        <w:topLinePunct w:val="0"/>
        <w:bidi w:val="0"/>
        <w:snapToGrid/>
        <w:spacing w:line="240" w:lineRule="atLeast"/>
        <w:ind w:left="957" w:leftChars="456" w:firstLine="0" w:firstLineChars="0"/>
        <w:textAlignment w:val="auto"/>
        <w:rPr>
          <w:rFonts w:hint="eastAsia" w:ascii="宋体" w:hAnsi="宋体" w:eastAsia="宋体" w:cs="宋体"/>
          <w:b/>
          <w:bCs/>
          <w:color w:val="auto"/>
          <w:sz w:val="24"/>
          <w:highlight w:val="none"/>
        </w:rPr>
      </w:pPr>
      <w:r>
        <w:rPr>
          <w:rFonts w:hint="eastAsia" w:ascii="仿宋_GB2312" w:hAnsi="宋体" w:eastAsia="仿宋_GB2312" w:cs="Times New Roman"/>
          <w:b/>
          <w:bCs/>
          <w:color w:val="auto"/>
          <w:kern w:val="2"/>
          <w:sz w:val="24"/>
          <w:szCs w:val="24"/>
          <w:highlight w:val="none"/>
          <w:lang w:val="en-US" w:eastAsia="zh-CN" w:bidi="ar-SA"/>
        </w:rPr>
        <w:t>（8）</w:t>
      </w:r>
      <w:r>
        <w:rPr>
          <w:rFonts w:hint="eastAsia" w:ascii="宋体" w:hAnsi="宋体" w:eastAsia="宋体" w:cs="宋体"/>
          <w:b/>
          <w:bCs/>
          <w:color w:val="auto"/>
          <w:sz w:val="24"/>
          <w:highlight w:val="none"/>
        </w:rPr>
        <w:t>不符合法规和招标文件中规定的其他实质性要求的。</w:t>
      </w:r>
    </w:p>
    <w:p w14:paraId="0C7058B7">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ascii="宋体" w:hAnsi="宋体" w:eastAsia="宋体" w:cs="宋体"/>
          <w:color w:val="auto"/>
          <w:highlight w:val="none"/>
          <w:u w:val="none"/>
        </w:rPr>
      </w:pPr>
      <w:bookmarkStart w:id="155" w:name="_Toc22941"/>
      <w:bookmarkStart w:id="156" w:name="_Toc8521"/>
      <w:bookmarkStart w:id="157" w:name="_Toc13652"/>
      <w:bookmarkStart w:id="158" w:name="_Toc515647784"/>
      <w:r>
        <w:rPr>
          <w:rFonts w:hint="eastAsia" w:ascii="宋体" w:hAnsi="宋体" w:eastAsia="宋体" w:cs="宋体"/>
          <w:color w:val="auto"/>
          <w:highlight w:val="none"/>
          <w:u w:val="none"/>
        </w:rPr>
        <w:t>23.</w:t>
      </w:r>
      <w:bookmarkEnd w:id="146"/>
      <w:r>
        <w:rPr>
          <w:rFonts w:hint="eastAsia" w:ascii="宋体" w:hAnsi="宋体" w:eastAsia="宋体" w:cs="宋体"/>
          <w:color w:val="auto"/>
          <w:highlight w:val="none"/>
          <w:u w:val="none"/>
        </w:rPr>
        <w:t>比较与评价</w:t>
      </w:r>
      <w:bookmarkEnd w:id="155"/>
      <w:bookmarkEnd w:id="156"/>
      <w:bookmarkEnd w:id="157"/>
      <w:bookmarkEnd w:id="158"/>
    </w:p>
    <w:p w14:paraId="2A48F839">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23.1</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经符合性审查合格的投标文件，评标委员会将根据招标文件确定的评标方法和标准，对其技术部分和商务部分作进一步的比较和评价。</w:t>
      </w:r>
    </w:p>
    <w:p w14:paraId="1665D2B8">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b/>
          <w:bCs/>
          <w:color w:val="auto"/>
          <w:sz w:val="24"/>
          <w:highlight w:val="none"/>
        </w:rPr>
      </w:pPr>
      <w:r>
        <w:rPr>
          <w:rFonts w:hint="eastAsia" w:ascii="宋体" w:hAnsi="宋体" w:eastAsia="宋体" w:cs="宋体"/>
          <w:color w:val="auto"/>
          <w:sz w:val="24"/>
          <w:highlight w:val="none"/>
        </w:rPr>
        <w:t xml:space="preserve">23.2  </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评标严格按照招标文件的要求和条件进行。根据实际情况，在</w:t>
      </w:r>
      <w:r>
        <w:rPr>
          <w:rFonts w:hint="eastAsia" w:ascii="宋体" w:hAnsi="宋体" w:eastAsia="宋体" w:cs="宋体"/>
          <w:color w:val="auto"/>
          <w:sz w:val="24"/>
          <w:highlight w:val="none"/>
          <w:u w:val="single"/>
        </w:rPr>
        <w:t>投标人须知资料表</w:t>
      </w:r>
      <w:r>
        <w:rPr>
          <w:rFonts w:hint="eastAsia" w:ascii="宋体" w:hAnsi="宋体" w:eastAsia="宋体" w:cs="宋体"/>
          <w:color w:val="auto"/>
          <w:sz w:val="24"/>
          <w:highlight w:val="none"/>
        </w:rPr>
        <w:t>中规定采用下列（2）评标方法，详细评标标准见招标文件</w:t>
      </w:r>
      <w:r>
        <w:rPr>
          <w:rFonts w:hint="eastAsia" w:ascii="宋体" w:hAnsi="宋体" w:eastAsia="宋体" w:cs="宋体"/>
          <w:b/>
          <w:bCs/>
          <w:color w:val="auto"/>
          <w:sz w:val="24"/>
          <w:highlight w:val="none"/>
        </w:rPr>
        <w:t>第六章：</w:t>
      </w:r>
    </w:p>
    <w:p w14:paraId="2F1F69A7">
      <w:pPr>
        <w:pageBreakBefore w:val="0"/>
        <w:widowControl w:val="0"/>
        <w:kinsoku/>
        <w:wordWrap/>
        <w:overflowPunct/>
        <w:topLinePunct w:val="0"/>
        <w:bidi w:val="0"/>
        <w:snapToGrid/>
        <w:spacing w:line="240" w:lineRule="atLeast"/>
        <w:ind w:left="957" w:leftChars="456" w:firstLine="0" w:firstLineChars="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（1）最低评标价法，是指投标文件满足招标文件全部实质性要求，且投标报价最低的投标人为中标候选人的评标方法。</w:t>
      </w:r>
    </w:p>
    <w:p w14:paraId="77EC1796">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 xml:space="preserve"> 综合评分法，是指投标文件满足招标文件全部实质性要求，且按照评审因素的量化指标评审得分最高的投标人为中标候选人的评标方法。</w:t>
      </w:r>
    </w:p>
    <w:p w14:paraId="53DE2410">
      <w:pPr>
        <w:pStyle w:val="13"/>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23.3   </w:t>
      </w:r>
      <w:r>
        <w:rPr>
          <w:rFonts w:hint="eastAsia" w:hAnsi="宋体" w:cs="宋体"/>
          <w:color w:val="auto"/>
          <w:sz w:val="24"/>
          <w:szCs w:val="24"/>
          <w:highlight w:val="none"/>
          <w:lang w:val="en-US" w:eastAsia="zh-CN"/>
        </w:rPr>
        <w:t xml:space="preserve"> </w:t>
      </w:r>
      <w:r>
        <w:rPr>
          <w:rFonts w:hint="eastAsia" w:ascii="宋体" w:hAnsi="宋体" w:eastAsia="宋体" w:cs="宋体"/>
          <w:b/>
          <w:bCs/>
          <w:color w:val="auto"/>
          <w:kern w:val="2"/>
          <w:sz w:val="24"/>
          <w:szCs w:val="24"/>
          <w:highlight w:val="none"/>
          <w:lang w:val="en-US" w:eastAsia="zh-CN" w:bidi="ar-SA"/>
        </w:rPr>
        <w:t>本项目</w:t>
      </w:r>
      <w:r>
        <w:rPr>
          <w:rFonts w:hint="eastAsia" w:hAnsi="宋体" w:cs="宋体"/>
          <w:b/>
          <w:bCs/>
          <w:color w:val="auto"/>
          <w:kern w:val="2"/>
          <w:sz w:val="24"/>
          <w:szCs w:val="24"/>
          <w:highlight w:val="none"/>
          <w:lang w:val="en-US" w:eastAsia="zh-CN" w:bidi="ar-SA"/>
        </w:rPr>
        <w:t>专门</w:t>
      </w:r>
      <w:r>
        <w:rPr>
          <w:rFonts w:hint="eastAsia" w:ascii="宋体" w:hAnsi="宋体" w:eastAsia="宋体" w:cs="宋体"/>
          <w:b/>
          <w:bCs/>
          <w:color w:val="auto"/>
          <w:kern w:val="2"/>
          <w:sz w:val="24"/>
          <w:szCs w:val="24"/>
          <w:highlight w:val="none"/>
          <w:lang w:val="en-US" w:eastAsia="zh-CN" w:bidi="ar-SA"/>
        </w:rPr>
        <w:t>面向中小企业采购。</w:t>
      </w:r>
    </w:p>
    <w:p w14:paraId="7097881D">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ascii="宋体" w:hAnsi="宋体" w:eastAsia="宋体" w:cs="宋体"/>
          <w:color w:val="auto"/>
          <w:highlight w:val="none"/>
          <w:u w:val="none"/>
        </w:rPr>
      </w:pPr>
      <w:bookmarkStart w:id="159" w:name="_Toc520356168"/>
      <w:bookmarkStart w:id="160" w:name="_Toc20227"/>
      <w:bookmarkStart w:id="161" w:name="_Toc31728"/>
      <w:bookmarkStart w:id="162" w:name="_Toc9378"/>
      <w:bookmarkStart w:id="163" w:name="_Toc515647785"/>
      <w:r>
        <w:rPr>
          <w:rFonts w:hint="eastAsia" w:ascii="宋体" w:hAnsi="宋体" w:eastAsia="宋体" w:cs="宋体"/>
          <w:color w:val="auto"/>
          <w:highlight w:val="none"/>
          <w:u w:val="none"/>
        </w:rPr>
        <w:t>24</w:t>
      </w:r>
      <w:bookmarkEnd w:id="159"/>
      <w:r>
        <w:rPr>
          <w:rFonts w:hint="eastAsia" w:ascii="宋体" w:hAnsi="宋体" w:eastAsia="宋体" w:cs="宋体"/>
          <w:color w:val="auto"/>
          <w:highlight w:val="none"/>
          <w:u w:val="none"/>
        </w:rPr>
        <w:t>.废标</w:t>
      </w:r>
      <w:bookmarkEnd w:id="160"/>
      <w:bookmarkEnd w:id="161"/>
      <w:bookmarkEnd w:id="162"/>
      <w:bookmarkEnd w:id="163"/>
    </w:p>
    <w:p w14:paraId="3E71D093">
      <w:pPr>
        <w:pageBreakBefore w:val="0"/>
        <w:widowControl w:val="0"/>
        <w:kinsoku/>
        <w:wordWrap/>
        <w:overflowPunct/>
        <w:topLinePunct w:val="0"/>
        <w:bidi w:val="0"/>
        <w:snapToGrid/>
        <w:spacing w:line="240" w:lineRule="atLeast"/>
        <w:ind w:left="957" w:leftChars="456" w:firstLine="0" w:firstLineChars="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出现下列情形之一，将导致项目废标： </w:t>
      </w:r>
    </w:p>
    <w:p w14:paraId="742EEC71">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（1）符合专业条件的供应商或者对招标文件做实质性响应的供应商不足三家；</w:t>
      </w:r>
    </w:p>
    <w:p w14:paraId="5FA0D06A">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（2）出现影响采购公正的违法、违规行为的；</w:t>
      </w:r>
    </w:p>
    <w:p w14:paraId="0FD44656">
      <w:pPr>
        <w:pageBreakBefore w:val="0"/>
        <w:widowControl w:val="0"/>
        <w:kinsoku/>
        <w:wordWrap/>
        <w:overflowPunct/>
        <w:topLinePunct w:val="0"/>
        <w:bidi w:val="0"/>
        <w:snapToGrid/>
        <w:spacing w:line="240" w:lineRule="atLeast"/>
        <w:ind w:left="957" w:leftChars="456" w:firstLine="0" w:firstLineChars="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（3）投标人的报价均超过了采购预算，采购人不能支付的；</w:t>
      </w:r>
    </w:p>
    <w:p w14:paraId="49C49BC8">
      <w:pPr>
        <w:pageBreakBefore w:val="0"/>
        <w:widowControl w:val="0"/>
        <w:kinsoku/>
        <w:wordWrap/>
        <w:overflowPunct/>
        <w:topLinePunct w:val="0"/>
        <w:bidi w:val="0"/>
        <w:snapToGrid/>
        <w:spacing w:line="240" w:lineRule="atLeast"/>
        <w:ind w:left="957" w:leftChars="456" w:firstLine="0" w:firstLineChars="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（4）因重大变故，采购任务取消的。   </w:t>
      </w:r>
    </w:p>
    <w:p w14:paraId="223C5B08">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ascii="宋体" w:hAnsi="宋体" w:eastAsia="宋体" w:cs="宋体"/>
          <w:color w:val="auto"/>
          <w:highlight w:val="none"/>
          <w:u w:val="none"/>
        </w:rPr>
      </w:pPr>
      <w:bookmarkStart w:id="164" w:name="_Toc31289"/>
      <w:bookmarkStart w:id="165" w:name="_Toc11175"/>
      <w:bookmarkStart w:id="166" w:name="_Toc515647786"/>
      <w:bookmarkStart w:id="167" w:name="_Toc24972"/>
      <w:bookmarkStart w:id="168" w:name="_Toc520356169"/>
      <w:r>
        <w:rPr>
          <w:rFonts w:hint="eastAsia" w:ascii="宋体" w:hAnsi="宋体" w:eastAsia="宋体" w:cs="宋体"/>
          <w:color w:val="auto"/>
          <w:highlight w:val="none"/>
          <w:u w:val="none"/>
        </w:rPr>
        <w:t>25.保密原则</w:t>
      </w:r>
      <w:bookmarkEnd w:id="164"/>
      <w:bookmarkEnd w:id="165"/>
      <w:bookmarkEnd w:id="166"/>
      <w:bookmarkEnd w:id="167"/>
    </w:p>
    <w:p w14:paraId="6662AE31">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25.1</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评标将在严格保密的情况下进行。</w:t>
      </w:r>
    </w:p>
    <w:p w14:paraId="55AE8C2E">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25.2</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政府采购评审专家应当遵守评审工作纪律，不得泄露评审文件、评审情况和评审中获悉的商业秘密。</w:t>
      </w:r>
    </w:p>
    <w:p w14:paraId="494A2C66">
      <w:pPr>
        <w:pStyle w:val="3"/>
        <w:spacing w:before="0" w:line="240" w:lineRule="atLeast"/>
        <w:ind w:left="1079" w:leftChars="257" w:hanging="540"/>
        <w:rPr>
          <w:rFonts w:hint="eastAsia" w:ascii="宋体" w:hAnsi="宋体" w:eastAsia="宋体" w:cs="宋体"/>
          <w:color w:val="auto"/>
          <w:sz w:val="28"/>
          <w:szCs w:val="28"/>
          <w:highlight w:val="none"/>
        </w:rPr>
      </w:pPr>
      <w:bookmarkStart w:id="169" w:name="_Toc12143"/>
      <w:bookmarkStart w:id="170" w:name="_Toc216582810"/>
      <w:bookmarkStart w:id="171" w:name="_Toc23904"/>
      <w:bookmarkStart w:id="172" w:name="_Toc2153"/>
      <w:bookmarkStart w:id="173" w:name="_Toc515647787"/>
      <w:r>
        <w:rPr>
          <w:rFonts w:hint="eastAsia" w:ascii="宋体" w:hAnsi="宋体" w:eastAsia="宋体" w:cs="宋体"/>
          <w:color w:val="auto"/>
          <w:sz w:val="28"/>
          <w:szCs w:val="28"/>
          <w:highlight w:val="none"/>
        </w:rPr>
        <w:t xml:space="preserve">六   </w:t>
      </w:r>
      <w:bookmarkEnd w:id="168"/>
      <w:r>
        <w:rPr>
          <w:rFonts w:hint="eastAsia" w:ascii="宋体" w:hAnsi="宋体" w:eastAsia="宋体" w:cs="宋体"/>
          <w:color w:val="auto"/>
          <w:sz w:val="28"/>
          <w:szCs w:val="28"/>
          <w:highlight w:val="none"/>
        </w:rPr>
        <w:t>确定中标</w:t>
      </w:r>
      <w:bookmarkEnd w:id="169"/>
      <w:bookmarkEnd w:id="170"/>
      <w:bookmarkEnd w:id="171"/>
      <w:bookmarkEnd w:id="172"/>
      <w:bookmarkEnd w:id="173"/>
    </w:p>
    <w:p w14:paraId="102C0A50">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ascii="宋体" w:hAnsi="宋体" w:eastAsia="宋体" w:cs="宋体"/>
          <w:color w:val="auto"/>
          <w:highlight w:val="none"/>
          <w:u w:val="none"/>
        </w:rPr>
      </w:pPr>
      <w:bookmarkStart w:id="174" w:name="_Toc515647788"/>
      <w:bookmarkStart w:id="175" w:name="_Toc520356170"/>
      <w:bookmarkStart w:id="176" w:name="_Ref467307010"/>
      <w:bookmarkStart w:id="177" w:name="_Toc28066"/>
      <w:bookmarkStart w:id="178" w:name="_Toc23762"/>
      <w:bookmarkStart w:id="179" w:name="_Toc23617"/>
      <w:r>
        <w:rPr>
          <w:rFonts w:hint="eastAsia" w:ascii="宋体" w:hAnsi="宋体" w:eastAsia="宋体" w:cs="宋体"/>
          <w:color w:val="auto"/>
          <w:highlight w:val="none"/>
          <w:u w:val="none"/>
        </w:rPr>
        <w:t>26.中标候选人的确定原则及标准</w:t>
      </w:r>
      <w:bookmarkEnd w:id="174"/>
      <w:bookmarkEnd w:id="175"/>
      <w:bookmarkEnd w:id="176"/>
      <w:bookmarkEnd w:id="177"/>
      <w:bookmarkEnd w:id="178"/>
      <w:bookmarkEnd w:id="179"/>
    </w:p>
    <w:p w14:paraId="79946997">
      <w:pPr>
        <w:pageBreakBefore w:val="0"/>
        <w:widowControl w:val="0"/>
        <w:kinsoku/>
        <w:wordWrap/>
        <w:overflowPunct/>
        <w:topLinePunct w:val="0"/>
        <w:bidi w:val="0"/>
        <w:snapToGrid/>
        <w:spacing w:line="240" w:lineRule="atLeast"/>
        <w:ind w:left="957" w:leftChars="456" w:firstLine="0" w:firstLineChars="0"/>
        <w:textAlignment w:val="auto"/>
        <w:rPr>
          <w:rFonts w:hint="eastAsia" w:ascii="宋体" w:hAnsi="宋体" w:eastAsia="宋体" w:cs="宋体"/>
          <w:color w:val="auto"/>
          <w:sz w:val="24"/>
          <w:highlight w:val="none"/>
        </w:rPr>
      </w:pPr>
      <w:bookmarkStart w:id="180" w:name="_Toc520356171"/>
      <w:bookmarkStart w:id="181" w:name="_Toc515647789"/>
      <w:r>
        <w:rPr>
          <w:rFonts w:hint="eastAsia" w:ascii="宋体" w:hAnsi="宋体" w:eastAsia="宋体" w:cs="宋体"/>
          <w:color w:val="auto"/>
          <w:sz w:val="24"/>
          <w:highlight w:val="none"/>
        </w:rPr>
        <w:t>除第28条规定外，对实质上响应招标文件的投标人按下列</w:t>
      </w:r>
      <w:r>
        <w:rPr>
          <w:rFonts w:hint="eastAsia" w:ascii="宋体" w:hAnsi="宋体" w:eastAsia="宋体" w:cs="宋体"/>
          <w:color w:val="auto"/>
          <w:sz w:val="24"/>
          <w:highlight w:val="none"/>
          <w:lang w:val="en-US" w:eastAsia="zh-CN"/>
        </w:rPr>
        <w:t>第（2）种</w:t>
      </w:r>
      <w:r>
        <w:rPr>
          <w:rFonts w:hint="eastAsia" w:ascii="宋体" w:hAnsi="宋体" w:eastAsia="宋体" w:cs="宋体"/>
          <w:color w:val="auto"/>
          <w:sz w:val="24"/>
          <w:highlight w:val="none"/>
        </w:rPr>
        <w:t>方法进行排序，确定投标候选人：</w:t>
      </w:r>
    </w:p>
    <w:p w14:paraId="3EB261A6">
      <w:pPr>
        <w:pageBreakBefore w:val="0"/>
        <w:widowControl w:val="0"/>
        <w:kinsoku/>
        <w:wordWrap/>
        <w:overflowPunct/>
        <w:topLinePunct w:val="0"/>
        <w:bidi w:val="0"/>
        <w:snapToGrid/>
        <w:spacing w:line="240" w:lineRule="atLeast"/>
        <w:ind w:left="957" w:leftChars="456" w:firstLine="0" w:firstLineChars="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（1）最低评标价法，是指投标文件满足招标文件全部实质性要求，且投标报价最低的投标人为中标候选人的评标方法。</w:t>
      </w:r>
    </w:p>
    <w:p w14:paraId="66A8566B">
      <w:pPr>
        <w:pageBreakBefore w:val="0"/>
        <w:widowControl w:val="0"/>
        <w:kinsoku/>
        <w:wordWrap/>
        <w:overflowPunct/>
        <w:topLinePunct w:val="0"/>
        <w:bidi w:val="0"/>
        <w:snapToGrid/>
        <w:spacing w:line="240" w:lineRule="atLeast"/>
        <w:ind w:left="957" w:leftChars="456" w:firstLine="0" w:firstLineChars="0"/>
        <w:textAlignment w:val="auto"/>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（2） 综合评分法，是指投标文件满足招标文件全部实质性要求，且按照评审因素的量化指标评审得分最高的投标人为中标候选人的评标方法。</w:t>
      </w:r>
    </w:p>
    <w:p w14:paraId="44D8BB6F">
      <w:pPr>
        <w:pStyle w:val="5"/>
        <w:pageBreakBefore w:val="0"/>
        <w:widowControl w:val="0"/>
        <w:tabs>
          <w:tab w:val="left" w:pos="900"/>
        </w:tabs>
        <w:kinsoku/>
        <w:wordWrap/>
        <w:overflowPunct/>
        <w:topLinePunct w:val="0"/>
        <w:bidi w:val="0"/>
        <w:snapToGrid/>
        <w:spacing w:before="0" w:after="0" w:line="240" w:lineRule="atLeast"/>
        <w:ind w:left="960" w:leftChars="0" w:hanging="960" w:hangingChars="400"/>
        <w:textAlignment w:val="auto"/>
        <w:rPr>
          <w:rFonts w:hint="eastAsia" w:ascii="宋体" w:hAnsi="宋体" w:eastAsia="宋体" w:cs="宋体"/>
          <w:color w:val="auto"/>
          <w:highlight w:val="none"/>
          <w:u w:val="none"/>
        </w:rPr>
      </w:pPr>
      <w:bookmarkStart w:id="182" w:name="_Toc9653"/>
      <w:bookmarkStart w:id="183" w:name="_Toc23951"/>
      <w:bookmarkStart w:id="184" w:name="_Toc19950"/>
      <w:r>
        <w:rPr>
          <w:rFonts w:hint="eastAsia" w:ascii="宋体" w:hAnsi="宋体" w:eastAsia="宋体" w:cs="宋体"/>
          <w:color w:val="auto"/>
          <w:highlight w:val="none"/>
          <w:u w:val="none"/>
        </w:rPr>
        <w:t>27</w:t>
      </w:r>
      <w:bookmarkEnd w:id="180"/>
      <w:r>
        <w:rPr>
          <w:rFonts w:hint="eastAsia" w:ascii="宋体" w:hAnsi="宋体" w:eastAsia="宋体" w:cs="宋体"/>
          <w:color w:val="auto"/>
          <w:highlight w:val="none"/>
          <w:u w:val="none"/>
        </w:rPr>
        <w:t>.确定中标候选人和中标人</w:t>
      </w:r>
      <w:bookmarkEnd w:id="181"/>
      <w:bookmarkEnd w:id="182"/>
      <w:bookmarkEnd w:id="183"/>
      <w:bookmarkEnd w:id="184"/>
    </w:p>
    <w:p w14:paraId="427E0BF9">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评标委员会将根据评标标准，按</w:t>
      </w:r>
      <w:r>
        <w:rPr>
          <w:rFonts w:hint="eastAsia" w:ascii="宋体" w:hAnsi="宋体" w:eastAsia="宋体" w:cs="宋体"/>
          <w:color w:val="auto"/>
          <w:sz w:val="24"/>
          <w:highlight w:val="none"/>
          <w:u w:val="single"/>
        </w:rPr>
        <w:t>投标人须知资料表中</w:t>
      </w:r>
      <w:r>
        <w:rPr>
          <w:rFonts w:hint="eastAsia" w:ascii="宋体" w:hAnsi="宋体" w:eastAsia="宋体" w:cs="宋体"/>
          <w:color w:val="auto"/>
          <w:sz w:val="24"/>
          <w:highlight w:val="none"/>
        </w:rPr>
        <w:t>规定数量推荐中标候选人；或根据采购人的委托，直接确定中标人。</w:t>
      </w:r>
    </w:p>
    <w:p w14:paraId="6C34C20B">
      <w:pPr>
        <w:pStyle w:val="5"/>
        <w:pageBreakBefore w:val="0"/>
        <w:widowControl w:val="0"/>
        <w:tabs>
          <w:tab w:val="left" w:pos="900"/>
        </w:tabs>
        <w:kinsoku/>
        <w:wordWrap/>
        <w:overflowPunct/>
        <w:topLinePunct w:val="0"/>
        <w:bidi w:val="0"/>
        <w:snapToGrid/>
        <w:spacing w:before="0" w:after="0" w:line="240" w:lineRule="atLeast"/>
        <w:ind w:left="960" w:leftChars="0" w:hanging="960" w:hangingChars="400"/>
        <w:textAlignment w:val="auto"/>
        <w:rPr>
          <w:rFonts w:hint="eastAsia" w:ascii="宋体" w:hAnsi="宋体" w:eastAsia="宋体" w:cs="宋体"/>
          <w:color w:val="auto"/>
          <w:highlight w:val="none"/>
          <w:u w:val="none"/>
        </w:rPr>
      </w:pPr>
      <w:bookmarkStart w:id="185" w:name="_Toc520356173"/>
      <w:bookmarkStart w:id="186" w:name="_Ref467306874"/>
      <w:bookmarkStart w:id="187" w:name="_Toc515647790"/>
      <w:bookmarkStart w:id="188" w:name="_Toc8389"/>
      <w:bookmarkStart w:id="189" w:name="_Toc13782"/>
      <w:bookmarkStart w:id="190" w:name="_Toc28562"/>
      <w:r>
        <w:rPr>
          <w:rFonts w:hint="eastAsia" w:ascii="宋体" w:hAnsi="宋体" w:eastAsia="宋体" w:cs="宋体"/>
          <w:color w:val="auto"/>
          <w:highlight w:val="none"/>
          <w:u w:val="none"/>
        </w:rPr>
        <w:t>28.</w:t>
      </w:r>
      <w:bookmarkEnd w:id="185"/>
      <w:bookmarkEnd w:id="186"/>
      <w:r>
        <w:rPr>
          <w:rFonts w:hint="eastAsia" w:ascii="宋体" w:hAnsi="宋体" w:eastAsia="宋体" w:cs="宋体"/>
          <w:color w:val="auto"/>
          <w:highlight w:val="none"/>
          <w:u w:val="none"/>
        </w:rPr>
        <w:t>采购任务取消</w:t>
      </w:r>
      <w:bookmarkEnd w:id="187"/>
      <w:bookmarkEnd w:id="188"/>
      <w:bookmarkEnd w:id="189"/>
      <w:bookmarkEnd w:id="190"/>
    </w:p>
    <w:p w14:paraId="0542FF9E">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因重大变故采购任务取消时，采购人有权拒绝任何投标人中标，且对受影响的投标人不承担任何责任。</w:t>
      </w:r>
      <w:bookmarkStart w:id="191" w:name="_Toc520356174"/>
    </w:p>
    <w:p w14:paraId="77DF1EF2">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ascii="宋体" w:hAnsi="宋体" w:eastAsia="宋体" w:cs="宋体"/>
          <w:color w:val="auto"/>
          <w:highlight w:val="none"/>
          <w:u w:val="none"/>
        </w:rPr>
      </w:pPr>
      <w:bookmarkStart w:id="192" w:name="_Toc30170"/>
      <w:bookmarkStart w:id="193" w:name="_Toc31142"/>
      <w:bookmarkStart w:id="194" w:name="_Toc515647791"/>
      <w:bookmarkStart w:id="195" w:name="_Toc31099"/>
      <w:r>
        <w:rPr>
          <w:rFonts w:hint="eastAsia" w:ascii="宋体" w:hAnsi="宋体" w:eastAsia="宋体" w:cs="宋体"/>
          <w:color w:val="auto"/>
          <w:highlight w:val="none"/>
          <w:u w:val="none"/>
        </w:rPr>
        <w:t>29.中标通知书</w:t>
      </w:r>
      <w:bookmarkEnd w:id="191"/>
      <w:r>
        <w:rPr>
          <w:rFonts w:hint="eastAsia" w:ascii="宋体" w:hAnsi="宋体" w:eastAsia="宋体" w:cs="宋体"/>
          <w:color w:val="auto"/>
          <w:highlight w:val="none"/>
          <w:u w:val="none"/>
        </w:rPr>
        <w:t>和招标结果通知书</w:t>
      </w:r>
      <w:bookmarkEnd w:id="192"/>
      <w:bookmarkEnd w:id="193"/>
      <w:bookmarkEnd w:id="194"/>
      <w:bookmarkEnd w:id="195"/>
    </w:p>
    <w:p w14:paraId="620E6182">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29.1</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在投标有效期内，中标人确定后，采购人或者采购代理机构发布中标公告，同时以书面形式向中标人发出中标通知书。</w:t>
      </w:r>
    </w:p>
    <w:p w14:paraId="6BD85532">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29.2</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中标通知书是合同的组成部分。</w:t>
      </w:r>
    </w:p>
    <w:p w14:paraId="56DF8931">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29.3    招标结果通知书和中标通知书同时发出。招标结果通知书中将告知未通过资格审查的投标人未通过的原因；采用综合评分法评审的，还将告知未中标人本人的评审得分和排序。</w:t>
      </w:r>
    </w:p>
    <w:p w14:paraId="3675D858">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ascii="宋体" w:hAnsi="宋体" w:eastAsia="宋体" w:cs="宋体"/>
          <w:color w:val="auto"/>
          <w:highlight w:val="none"/>
          <w:u w:val="none"/>
        </w:rPr>
      </w:pPr>
      <w:bookmarkStart w:id="196" w:name="_Toc14795"/>
      <w:bookmarkStart w:id="197" w:name="_Ref467306377"/>
      <w:bookmarkStart w:id="198" w:name="_Toc790"/>
      <w:bookmarkStart w:id="199" w:name="_Toc515647792"/>
      <w:bookmarkStart w:id="200" w:name="_Ref467306978"/>
      <w:bookmarkStart w:id="201" w:name="_Ref467307204"/>
      <w:bookmarkStart w:id="202" w:name="_Toc520356175"/>
      <w:bookmarkStart w:id="203" w:name="_Ref467307062"/>
      <w:bookmarkStart w:id="204" w:name="_Toc7779"/>
      <w:r>
        <w:rPr>
          <w:rFonts w:hint="eastAsia" w:ascii="宋体" w:hAnsi="宋体" w:eastAsia="宋体" w:cs="宋体"/>
          <w:color w:val="auto"/>
          <w:highlight w:val="none"/>
          <w:u w:val="none"/>
        </w:rPr>
        <w:t>30.签订合同</w:t>
      </w:r>
      <w:bookmarkEnd w:id="196"/>
      <w:bookmarkEnd w:id="197"/>
      <w:bookmarkEnd w:id="198"/>
      <w:bookmarkEnd w:id="199"/>
      <w:bookmarkEnd w:id="200"/>
      <w:bookmarkEnd w:id="201"/>
      <w:bookmarkEnd w:id="202"/>
      <w:bookmarkEnd w:id="203"/>
      <w:bookmarkEnd w:id="204"/>
    </w:p>
    <w:p w14:paraId="63A0F4C4">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30.1</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中标人应当自发出中标通知书之日起30日内，与采购人签订合同。</w:t>
      </w:r>
    </w:p>
    <w:p w14:paraId="00A761BB">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30.2</w:t>
      </w:r>
      <w:r>
        <w:rPr>
          <w:rFonts w:hint="eastAsia" w:ascii="宋体" w:hAnsi="宋体" w:eastAsia="宋体" w:cs="宋体"/>
          <w:color w:val="auto"/>
          <w:sz w:val="24"/>
          <w:highlight w:val="none"/>
        </w:rPr>
        <w:tab/>
      </w:r>
      <w:bookmarkStart w:id="205" w:name="_Toc520356176"/>
      <w:bookmarkStart w:id="206" w:name="_Ref467306425"/>
      <w:bookmarkStart w:id="207" w:name="_Ref467307090"/>
      <w:r>
        <w:rPr>
          <w:rFonts w:hint="eastAsia" w:ascii="宋体" w:hAnsi="宋体" w:eastAsia="宋体" w:cs="宋体"/>
          <w:color w:val="auto"/>
          <w:sz w:val="24"/>
          <w:highlight w:val="none"/>
        </w:rPr>
        <w:t>招标文件、中标人的投标文件及其澄清文件等，均为签订合同的依据。</w:t>
      </w:r>
    </w:p>
    <w:p w14:paraId="223BFCBF">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30.3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 xml:space="preserve"> 中标人拒绝与采购人签订合同的，采购人可以按照评审报告推荐的中标候选人名单排序，确定下一中标候选人为中标人，也可以重新开展政府采购活动。</w:t>
      </w:r>
    </w:p>
    <w:p w14:paraId="7FEA41F5">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30.4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 xml:space="preserve"> 当出现法规规定的</w:t>
      </w:r>
      <w:r>
        <w:rPr>
          <w:rFonts w:hint="eastAsia" w:ascii="宋体" w:hAnsi="宋体" w:eastAsia="宋体" w:cs="宋体"/>
          <w:b/>
          <w:color w:val="auto"/>
          <w:sz w:val="24"/>
          <w:highlight w:val="none"/>
        </w:rPr>
        <w:t>中标无效或中标结果无效</w:t>
      </w:r>
      <w:r>
        <w:rPr>
          <w:rFonts w:hint="eastAsia" w:ascii="宋体" w:hAnsi="宋体" w:eastAsia="宋体" w:cs="宋体"/>
          <w:color w:val="auto"/>
          <w:sz w:val="24"/>
          <w:highlight w:val="none"/>
        </w:rPr>
        <w:t>情形时，采购人可与排名下一位的中标候选人另行签订合同，或依法重新开展采购活动。</w:t>
      </w:r>
    </w:p>
    <w:p w14:paraId="4CE70B4D">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ascii="宋体" w:hAnsi="宋体" w:eastAsia="宋体" w:cs="宋体"/>
          <w:color w:val="auto"/>
          <w:highlight w:val="none"/>
          <w:u w:val="none"/>
        </w:rPr>
      </w:pPr>
      <w:bookmarkStart w:id="208" w:name="_Toc7188"/>
      <w:bookmarkStart w:id="209" w:name="_Toc22555"/>
      <w:bookmarkStart w:id="210" w:name="_Toc515647793"/>
      <w:bookmarkStart w:id="211" w:name="_Toc14080"/>
      <w:r>
        <w:rPr>
          <w:rFonts w:hint="eastAsia" w:ascii="宋体" w:hAnsi="宋体" w:eastAsia="宋体" w:cs="宋体"/>
          <w:color w:val="auto"/>
          <w:highlight w:val="none"/>
          <w:u w:val="none"/>
        </w:rPr>
        <w:t>31.履约保证金</w:t>
      </w:r>
      <w:bookmarkEnd w:id="205"/>
      <w:bookmarkEnd w:id="206"/>
      <w:bookmarkEnd w:id="207"/>
      <w:bookmarkEnd w:id="208"/>
      <w:bookmarkEnd w:id="209"/>
      <w:bookmarkEnd w:id="210"/>
      <w:bookmarkEnd w:id="211"/>
    </w:p>
    <w:p w14:paraId="6F58E0D1">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31.1</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中标人应按照</w:t>
      </w:r>
      <w:r>
        <w:rPr>
          <w:rFonts w:hint="eastAsia" w:ascii="宋体" w:hAnsi="宋体" w:eastAsia="宋体" w:cs="宋体"/>
          <w:color w:val="auto"/>
          <w:sz w:val="24"/>
          <w:highlight w:val="none"/>
          <w:u w:val="single"/>
        </w:rPr>
        <w:t>投标人须知资料表</w:t>
      </w:r>
      <w:r>
        <w:rPr>
          <w:rFonts w:hint="eastAsia" w:ascii="宋体" w:hAnsi="宋体" w:eastAsia="宋体" w:cs="宋体"/>
          <w:color w:val="auto"/>
          <w:sz w:val="24"/>
          <w:highlight w:val="none"/>
        </w:rPr>
        <w:t>规定向采购人缴纳履约保证金（如采用保函形式，格式见本章附件1）。</w:t>
      </w:r>
    </w:p>
    <w:p w14:paraId="61BEB226">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31.2</w:t>
      </w:r>
      <w:r>
        <w:rPr>
          <w:rFonts w:hint="eastAsia" w:ascii="宋体" w:hAnsi="宋体" w:eastAsia="宋体" w:cs="宋体"/>
          <w:color w:val="auto"/>
          <w:sz w:val="24"/>
          <w:highlight w:val="none"/>
        </w:rPr>
        <w:tab/>
      </w:r>
      <w:r>
        <w:rPr>
          <w:rFonts w:hint="eastAsia" w:ascii="宋体" w:hAnsi="宋体" w:eastAsia="宋体" w:cs="宋体"/>
          <w:color w:val="auto"/>
          <w:sz w:val="24"/>
          <w:highlight w:val="none"/>
        </w:rPr>
        <w:t>政府采购利用担保试点范围内的项目，除31.1规定的情形外，中标人也可以按照财政部门的规定，向采购人提供合格的履约担保函（格式见本章附件2）。</w:t>
      </w:r>
    </w:p>
    <w:p w14:paraId="3B315CA3">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31.3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如果中标人没有按照上述履约保证金的规定执行，将视为放弃中标资格，中标人的投标保证金将不予退还。在此情况下，采购人可确定下一候选人为中标人，也可以重新开展采购活动。</w:t>
      </w:r>
    </w:p>
    <w:p w14:paraId="49406645">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ascii="宋体" w:hAnsi="宋体" w:eastAsia="宋体" w:cs="宋体"/>
          <w:color w:val="auto"/>
          <w:highlight w:val="none"/>
          <w:u w:val="none"/>
        </w:rPr>
      </w:pPr>
      <w:bookmarkStart w:id="212" w:name="_Toc3090"/>
      <w:bookmarkStart w:id="213" w:name="_Toc31936"/>
      <w:bookmarkStart w:id="214" w:name="_Toc515647794"/>
      <w:bookmarkStart w:id="215" w:name="_Toc29408"/>
      <w:r>
        <w:rPr>
          <w:rFonts w:hint="eastAsia" w:ascii="宋体" w:hAnsi="宋体" w:eastAsia="宋体" w:cs="宋体"/>
          <w:color w:val="auto"/>
          <w:highlight w:val="none"/>
          <w:u w:val="none"/>
        </w:rPr>
        <w:t>32.中标服务费</w:t>
      </w:r>
      <w:bookmarkEnd w:id="212"/>
      <w:bookmarkEnd w:id="213"/>
      <w:bookmarkEnd w:id="214"/>
      <w:bookmarkEnd w:id="215"/>
    </w:p>
    <w:p w14:paraId="7197D2F7">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 xml:space="preserve"> 中标人须按照</w:t>
      </w:r>
      <w:r>
        <w:rPr>
          <w:rFonts w:hint="eastAsia" w:ascii="宋体" w:hAnsi="宋体" w:eastAsia="宋体" w:cs="宋体"/>
          <w:color w:val="auto"/>
          <w:sz w:val="24"/>
          <w:highlight w:val="none"/>
          <w:u w:val="single"/>
        </w:rPr>
        <w:t>投标须知资料表</w:t>
      </w:r>
      <w:r>
        <w:rPr>
          <w:rFonts w:hint="eastAsia" w:ascii="宋体" w:hAnsi="宋体" w:eastAsia="宋体" w:cs="宋体"/>
          <w:color w:val="auto"/>
          <w:sz w:val="24"/>
          <w:highlight w:val="none"/>
        </w:rPr>
        <w:t>规定，向采购代理机构支付中标服务费。</w:t>
      </w:r>
    </w:p>
    <w:p w14:paraId="4E09599D">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ascii="宋体" w:hAnsi="宋体" w:eastAsia="宋体" w:cs="宋体"/>
          <w:color w:val="auto"/>
          <w:highlight w:val="none"/>
          <w:u w:val="none"/>
        </w:rPr>
      </w:pPr>
      <w:bookmarkStart w:id="216" w:name="_Toc6923"/>
      <w:bookmarkStart w:id="217" w:name="_Toc7049"/>
      <w:bookmarkStart w:id="218" w:name="_Toc13588"/>
      <w:bookmarkStart w:id="219" w:name="_Toc515647795"/>
      <w:r>
        <w:rPr>
          <w:rFonts w:hint="eastAsia" w:ascii="宋体" w:hAnsi="宋体" w:eastAsia="宋体" w:cs="宋体"/>
          <w:color w:val="auto"/>
          <w:highlight w:val="none"/>
          <w:u w:val="none"/>
        </w:rPr>
        <w:t>33.政府采购信用担保</w:t>
      </w:r>
      <w:bookmarkEnd w:id="216"/>
      <w:bookmarkEnd w:id="217"/>
      <w:bookmarkEnd w:id="218"/>
      <w:bookmarkEnd w:id="219"/>
    </w:p>
    <w:p w14:paraId="31A6868C">
      <w:pPr>
        <w:keepNext w:val="0"/>
        <w:keepLines w:val="0"/>
        <w:pageBreakBefore w:val="0"/>
        <w:widowControl w:val="0"/>
        <w:kinsoku/>
        <w:wordWrap/>
        <w:overflowPunct/>
        <w:topLinePunct w:val="0"/>
        <w:autoSpaceDE/>
        <w:autoSpaceDN/>
        <w:bidi w:val="0"/>
        <w:adjustRightInd/>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33.1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本项目是否属于信用担保试点范围见</w:t>
      </w:r>
      <w:r>
        <w:rPr>
          <w:rFonts w:hint="eastAsia" w:ascii="宋体" w:hAnsi="宋体" w:eastAsia="宋体" w:cs="宋体"/>
          <w:color w:val="auto"/>
          <w:sz w:val="24"/>
          <w:highlight w:val="none"/>
          <w:u w:val="single"/>
        </w:rPr>
        <w:t>投标人须知资料表</w:t>
      </w:r>
      <w:r>
        <w:rPr>
          <w:rFonts w:hint="eastAsia" w:ascii="宋体" w:hAnsi="宋体" w:eastAsia="宋体" w:cs="宋体"/>
          <w:color w:val="auto"/>
          <w:sz w:val="24"/>
          <w:highlight w:val="none"/>
        </w:rPr>
        <w:t>。</w:t>
      </w:r>
    </w:p>
    <w:p w14:paraId="6DD8F470">
      <w:pPr>
        <w:keepNext w:val="0"/>
        <w:keepLines w:val="0"/>
        <w:pageBreakBefore w:val="0"/>
        <w:widowControl w:val="0"/>
        <w:kinsoku/>
        <w:wordWrap/>
        <w:overflowPunct/>
        <w:topLinePunct w:val="0"/>
        <w:autoSpaceDE/>
        <w:autoSpaceDN/>
        <w:bidi w:val="0"/>
        <w:adjustRightInd/>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33.2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 xml:space="preserve"> 如属于政府采购信用担保试点范围内，中小型企业投标人可以自由按照财政部门的规定，采用投标担保、履约担保和融资担保。</w:t>
      </w:r>
    </w:p>
    <w:p w14:paraId="325372A6">
      <w:pPr>
        <w:keepNext w:val="0"/>
        <w:keepLines w:val="0"/>
        <w:pageBreakBefore w:val="0"/>
        <w:widowControl w:val="0"/>
        <w:kinsoku/>
        <w:wordWrap/>
        <w:overflowPunct/>
        <w:topLinePunct w:val="0"/>
        <w:autoSpaceDE/>
        <w:autoSpaceDN/>
        <w:bidi w:val="0"/>
        <w:adjustRightInd/>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33.2.1</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 xml:space="preserve"> 投标人递交的投标担保函和履约担保函应符合本招标文件的规定。</w:t>
      </w:r>
    </w:p>
    <w:p w14:paraId="670032D9">
      <w:pPr>
        <w:keepNext w:val="0"/>
        <w:keepLines w:val="0"/>
        <w:pageBreakBefore w:val="0"/>
        <w:widowControl w:val="0"/>
        <w:kinsoku/>
        <w:wordWrap/>
        <w:overflowPunct/>
        <w:topLinePunct w:val="0"/>
        <w:autoSpaceDE/>
        <w:autoSpaceDN/>
        <w:bidi w:val="0"/>
        <w:adjustRightInd/>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33.2.2</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 xml:space="preserve"> 中标人可以采取融资担保的形式为政府采购项目履约进行融资。</w:t>
      </w:r>
    </w:p>
    <w:p w14:paraId="0E8BE8E9">
      <w:pPr>
        <w:keepNext w:val="0"/>
        <w:keepLines w:val="0"/>
        <w:pageBreakBefore w:val="0"/>
        <w:widowControl w:val="0"/>
        <w:kinsoku/>
        <w:wordWrap/>
        <w:overflowPunct/>
        <w:topLinePunct w:val="0"/>
        <w:autoSpaceDE/>
        <w:autoSpaceDN/>
        <w:bidi w:val="0"/>
        <w:adjustRightInd/>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33.2.3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合格的政府采购专业信用担保机构名单见</w:t>
      </w:r>
      <w:r>
        <w:rPr>
          <w:rFonts w:hint="eastAsia" w:ascii="宋体" w:hAnsi="宋体" w:eastAsia="宋体" w:cs="宋体"/>
          <w:color w:val="auto"/>
          <w:sz w:val="24"/>
          <w:highlight w:val="none"/>
          <w:u w:val="single"/>
        </w:rPr>
        <w:t>投标人须知资料表</w:t>
      </w:r>
      <w:r>
        <w:rPr>
          <w:rFonts w:hint="eastAsia" w:ascii="宋体" w:hAnsi="宋体" w:eastAsia="宋体" w:cs="宋体"/>
          <w:color w:val="auto"/>
          <w:sz w:val="24"/>
          <w:highlight w:val="none"/>
        </w:rPr>
        <w:t>。</w:t>
      </w:r>
    </w:p>
    <w:p w14:paraId="44218EB9">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ascii="宋体" w:hAnsi="宋体" w:eastAsia="宋体" w:cs="宋体"/>
          <w:color w:val="auto"/>
          <w:highlight w:val="none"/>
          <w:u w:val="none"/>
        </w:rPr>
      </w:pPr>
      <w:bookmarkStart w:id="220" w:name="_Toc27198"/>
      <w:bookmarkStart w:id="221" w:name="_Toc23999"/>
      <w:bookmarkStart w:id="222" w:name="_Toc515647796"/>
      <w:bookmarkStart w:id="223" w:name="_Toc2133"/>
      <w:r>
        <w:rPr>
          <w:rFonts w:hint="eastAsia" w:ascii="宋体" w:hAnsi="宋体" w:eastAsia="宋体" w:cs="宋体"/>
          <w:color w:val="auto"/>
          <w:highlight w:val="none"/>
          <w:u w:val="none"/>
        </w:rPr>
        <w:t>34.廉洁自律规定</w:t>
      </w:r>
      <w:bookmarkEnd w:id="220"/>
      <w:bookmarkEnd w:id="221"/>
      <w:bookmarkEnd w:id="222"/>
      <w:bookmarkEnd w:id="223"/>
    </w:p>
    <w:p w14:paraId="7B04935E">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34.1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 xml:space="preserve">  采购代理机构工作人员不得以不正当手段获取政府采购代理业务，不得与采购人、供应商恶意串通操纵政府采购活动。</w:t>
      </w:r>
    </w:p>
    <w:p w14:paraId="6FD579D9">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34.2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 xml:space="preserve"> 采购代理机构工作人员不得接受采购人或者供应商组织的宴请、旅游、娱乐，不得收受礼品、现金、有价证券等，不得向采购人或者供应商报销应当由个人承担的费用。</w:t>
      </w:r>
    </w:p>
    <w:p w14:paraId="10BB4A65">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34.3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 xml:space="preserve"> 为强化采购代理机构内部监督机制，供应商可按</w:t>
      </w:r>
      <w:r>
        <w:rPr>
          <w:rFonts w:hint="eastAsia" w:ascii="宋体" w:hAnsi="宋体" w:eastAsia="宋体" w:cs="宋体"/>
          <w:color w:val="auto"/>
          <w:sz w:val="24"/>
          <w:highlight w:val="none"/>
          <w:u w:val="single"/>
        </w:rPr>
        <w:t>投标人须知资料表中的</w:t>
      </w:r>
      <w:r>
        <w:rPr>
          <w:rFonts w:hint="eastAsia" w:ascii="宋体" w:hAnsi="宋体" w:eastAsia="宋体" w:cs="宋体"/>
          <w:color w:val="auto"/>
          <w:sz w:val="24"/>
          <w:highlight w:val="none"/>
        </w:rPr>
        <w:t>监督电话和邮箱，反映采购代理机构的廉洁自律等问题。</w:t>
      </w:r>
    </w:p>
    <w:p w14:paraId="4D3FB67C">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ascii="宋体" w:hAnsi="宋体" w:eastAsia="宋体" w:cs="宋体"/>
          <w:color w:val="auto"/>
          <w:highlight w:val="none"/>
          <w:u w:val="none"/>
        </w:rPr>
      </w:pPr>
      <w:bookmarkStart w:id="224" w:name="_Toc10437"/>
      <w:bookmarkStart w:id="225" w:name="_Toc25480"/>
      <w:bookmarkStart w:id="226" w:name="_Toc11586"/>
      <w:bookmarkStart w:id="227" w:name="_Toc515647797"/>
      <w:r>
        <w:rPr>
          <w:rFonts w:hint="eastAsia" w:ascii="宋体" w:hAnsi="宋体" w:eastAsia="宋体" w:cs="宋体"/>
          <w:color w:val="auto"/>
          <w:highlight w:val="none"/>
          <w:u w:val="none"/>
        </w:rPr>
        <w:t>35.人员回避</w:t>
      </w:r>
      <w:bookmarkEnd w:id="224"/>
      <w:bookmarkEnd w:id="225"/>
      <w:bookmarkEnd w:id="226"/>
      <w:bookmarkEnd w:id="227"/>
    </w:p>
    <w:p w14:paraId="6B4AAEE2">
      <w:pPr>
        <w:pageBreakBefore w:val="0"/>
        <w:widowControl w:val="0"/>
        <w:kinsoku/>
        <w:wordWrap/>
        <w:overflowPunct/>
        <w:topLinePunct w:val="0"/>
        <w:bidi w:val="0"/>
        <w:snapToGrid/>
        <w:spacing w:line="240" w:lineRule="atLeast"/>
        <w:ind w:left="960" w:leftChars="0" w:hanging="960" w:hangingChars="4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 xml:space="preserve"> 投标人认为采购人员及其相关人员有法律法规所列与其他供应商有利害关系的，可以向采购人或采购代理机构书面提出回避申请，并说明理由。</w:t>
      </w:r>
    </w:p>
    <w:p w14:paraId="5AA6D20E">
      <w:pPr>
        <w:pStyle w:val="5"/>
        <w:pageBreakBefore w:val="0"/>
        <w:widowControl w:val="0"/>
        <w:kinsoku/>
        <w:wordWrap/>
        <w:overflowPunct/>
        <w:topLinePunct w:val="0"/>
        <w:bidi w:val="0"/>
        <w:snapToGrid/>
        <w:spacing w:before="0" w:after="0" w:line="240" w:lineRule="atLeast"/>
        <w:ind w:left="960" w:leftChars="0" w:hanging="960" w:hangingChars="400"/>
        <w:textAlignment w:val="auto"/>
        <w:rPr>
          <w:rFonts w:hint="eastAsia" w:ascii="宋体" w:hAnsi="宋体" w:eastAsia="宋体" w:cs="宋体"/>
          <w:color w:val="auto"/>
          <w:highlight w:val="none"/>
          <w:u w:val="none"/>
        </w:rPr>
      </w:pPr>
      <w:bookmarkStart w:id="228" w:name="_Toc515647798"/>
      <w:bookmarkStart w:id="229" w:name="_Toc11115"/>
      <w:bookmarkStart w:id="230" w:name="_Toc1148"/>
      <w:bookmarkStart w:id="231" w:name="_Toc10700"/>
      <w:r>
        <w:rPr>
          <w:rFonts w:hint="eastAsia" w:ascii="宋体" w:hAnsi="宋体" w:eastAsia="宋体" w:cs="宋体"/>
          <w:color w:val="auto"/>
          <w:highlight w:val="none"/>
          <w:u w:val="none"/>
        </w:rPr>
        <w:t>36.质疑与接收</w:t>
      </w:r>
      <w:bookmarkEnd w:id="228"/>
      <w:bookmarkEnd w:id="229"/>
      <w:bookmarkEnd w:id="230"/>
      <w:bookmarkEnd w:id="231"/>
    </w:p>
    <w:p w14:paraId="0B67A340">
      <w:pPr>
        <w:pageBreakBefore w:val="0"/>
        <w:widowControl w:val="0"/>
        <w:kinsoku/>
        <w:wordWrap/>
        <w:overflowPunct/>
        <w:topLinePunct w:val="0"/>
        <w:bidi w:val="0"/>
        <w:snapToGrid/>
        <w:spacing w:line="360" w:lineRule="exact"/>
        <w:ind w:left="960" w:leftChars="0" w:hanging="960" w:hanging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36.1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供应商认为招标文件、招标过程和中标结果使自己的权益受到损害的，可以根据《中华人民共和国政府采购法》、《中华人民共和国政府采购法实施条例》和《政府采购质疑和投诉办法》的有关规定，依法向采购人或其委托的采购代理机构提出质疑。</w:t>
      </w:r>
    </w:p>
    <w:p w14:paraId="07D91951">
      <w:pPr>
        <w:pStyle w:val="40"/>
        <w:pageBreakBefore w:val="0"/>
        <w:widowControl w:val="0"/>
        <w:kinsoku/>
        <w:wordWrap/>
        <w:overflowPunct/>
        <w:topLinePunct w:val="0"/>
        <w:bidi w:val="0"/>
        <w:snapToGrid/>
        <w:spacing w:line="360" w:lineRule="exact"/>
        <w:ind w:left="960" w:leftChars="0" w:hanging="960" w:hanging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36.2 </w:t>
      </w:r>
      <w:r>
        <w:rPr>
          <w:rFonts w:hint="eastAsia"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供应商对本项目提出质疑，必须按照相关法律法规的要求和程序，提供的质疑材料必须具备事实依据和法律依据。质疑函应当包含具体的质疑事项及事实依据，不得进行虚假及恶意质疑，如所提供的质疑材料出现恶意诋毁或与事实不符等现象，我公司将该企业的行为上报相应主管部门。</w:t>
      </w:r>
    </w:p>
    <w:p w14:paraId="5E9FE370">
      <w:pPr>
        <w:pStyle w:val="40"/>
        <w:pageBreakBefore w:val="0"/>
        <w:widowControl w:val="0"/>
        <w:kinsoku/>
        <w:wordWrap/>
        <w:overflowPunct/>
        <w:topLinePunct w:val="0"/>
        <w:bidi w:val="0"/>
        <w:snapToGrid/>
        <w:spacing w:line="360" w:lineRule="exact"/>
        <w:ind w:left="960" w:leftChars="0" w:hanging="960" w:hanging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36.3  </w:t>
      </w:r>
      <w:r>
        <w:rPr>
          <w:rFonts w:hint="eastAsia"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投诉的事项应当包含投诉的请求和法律依据，投诉的事项不得超出所质疑事项的范围。投诉人有捏造事实、提供虚假材料、以非法手段取得证明材料的行为之一的，属于虚假、恶意投诉，由财政部门列入不良行为记录名单，禁止其1至3年内参加政府采购活动。证据来源的合法性存在明显疑问，投诉人无法证明其取得方式合法的，视为以非法手段取得证明材料。</w:t>
      </w:r>
    </w:p>
    <w:p w14:paraId="5DC84DA8">
      <w:pPr>
        <w:pageBreakBefore w:val="0"/>
        <w:widowControl w:val="0"/>
        <w:kinsoku/>
        <w:wordWrap/>
        <w:overflowPunct/>
        <w:topLinePunct w:val="0"/>
        <w:bidi w:val="0"/>
        <w:snapToGrid/>
        <w:spacing w:line="360" w:lineRule="exact"/>
        <w:ind w:left="960" w:leftChars="0" w:hanging="960" w:hanging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36.4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质疑供应商应按照财政部制定的《政府采购质疑函范本》格式（可从财政部官方网站下载）和《政府采购质疑和投诉办法》的要求，在法定质疑期内以纸质形式提出质疑，针对同一采购程序环节的质疑应一次性提出。超出法定质疑期的、重复提出的、分次提出的或内容、形式不符合《政府采购质疑和投诉办法》的，质疑供应商将依法承担不利后果。</w:t>
      </w:r>
    </w:p>
    <w:p w14:paraId="1A7308CD">
      <w:pPr>
        <w:pageBreakBefore w:val="0"/>
        <w:widowControl w:val="0"/>
        <w:kinsoku/>
        <w:wordWrap/>
        <w:overflowPunct/>
        <w:topLinePunct w:val="0"/>
        <w:bidi w:val="0"/>
        <w:snapToGrid/>
        <w:spacing w:line="360" w:lineRule="exact"/>
        <w:ind w:left="960" w:leftChars="0" w:hanging="960" w:hanging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36.5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采购代理机构质疑函接收部门、联系电话和通讯地址, 见</w:t>
      </w:r>
      <w:r>
        <w:rPr>
          <w:rFonts w:hint="eastAsia" w:ascii="宋体" w:hAnsi="宋体" w:eastAsia="宋体" w:cs="宋体"/>
          <w:color w:val="auto"/>
          <w:sz w:val="24"/>
          <w:szCs w:val="24"/>
          <w:highlight w:val="none"/>
          <w:u w:val="single"/>
        </w:rPr>
        <w:t>供应商须知资料表。</w:t>
      </w:r>
    </w:p>
    <w:p w14:paraId="4BC5E4A2">
      <w:pPr>
        <w:pageBreakBefore w:val="0"/>
        <w:widowControl w:val="0"/>
        <w:kinsoku/>
        <w:wordWrap/>
        <w:overflowPunct/>
        <w:topLinePunct w:val="0"/>
        <w:bidi w:val="0"/>
        <w:snapToGrid/>
        <w:spacing w:line="360" w:lineRule="exact"/>
        <w:ind w:left="960" w:leftChars="0" w:hanging="960" w:hangingChars="4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36.6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供应商认为采购文件、采购过程和中标结果使自己的权益受到损害的，可以在知道或者应知其权益受到损害之日起7个工作日内，以书面形式向采购方提出质疑。供应商应知其权益受到损害之日，是指：</w:t>
      </w:r>
    </w:p>
    <w:p w14:paraId="65DF2045">
      <w:pPr>
        <w:pageBreakBefore w:val="0"/>
        <w:widowControl w:val="0"/>
        <w:kinsoku/>
        <w:wordWrap/>
        <w:overflowPunct/>
        <w:topLinePunct w:val="0"/>
        <w:bidi w:val="0"/>
        <w:snapToGrid/>
        <w:spacing w:line="360" w:lineRule="exact"/>
        <w:ind w:left="957" w:leftChars="456"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（一）对可以质疑的采购文件提出质疑的，为收到采购文件之日或者采购文件公告期限届满之日；</w:t>
      </w:r>
    </w:p>
    <w:p w14:paraId="0F99EBD4">
      <w:pPr>
        <w:pageBreakBefore w:val="0"/>
        <w:widowControl w:val="0"/>
        <w:kinsoku/>
        <w:wordWrap/>
        <w:overflowPunct/>
        <w:topLinePunct w:val="0"/>
        <w:bidi w:val="0"/>
        <w:snapToGrid/>
        <w:spacing w:line="360" w:lineRule="exact"/>
        <w:ind w:left="957" w:leftChars="456"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（二）对采购过程提出质疑的，为各采购程序环节结束之日；</w:t>
      </w:r>
    </w:p>
    <w:p w14:paraId="6A6359EC">
      <w:pPr>
        <w:pageBreakBefore w:val="0"/>
        <w:widowControl w:val="0"/>
        <w:kinsoku/>
        <w:wordWrap/>
        <w:overflowPunct/>
        <w:topLinePunct w:val="0"/>
        <w:bidi w:val="0"/>
        <w:snapToGrid/>
        <w:spacing w:line="360" w:lineRule="exact"/>
        <w:ind w:left="957" w:leftChars="456"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（三）对中标结果提出质疑的，为中标结果公告期限届满之日。</w:t>
      </w:r>
    </w:p>
    <w:p w14:paraId="23C7E7C4">
      <w:pPr>
        <w:pageBreakBefore w:val="0"/>
        <w:widowControl w:val="0"/>
        <w:kinsoku/>
        <w:wordWrap/>
        <w:overflowPunct/>
        <w:topLinePunct w:val="0"/>
        <w:bidi w:val="0"/>
        <w:snapToGrid/>
        <w:spacing w:line="360" w:lineRule="exact"/>
        <w:ind w:left="960" w:leftChars="0" w:hanging="960" w:hangingChars="400"/>
        <w:jc w:val="left"/>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rPr>
        <w:t xml:space="preserve">36.7  </w:t>
      </w:r>
      <w:r>
        <w:rPr>
          <w:rFonts w:hint="eastAsia" w:ascii="宋体" w:hAnsi="宋体" w:cs="宋体"/>
          <w:b w:val="0"/>
          <w:bCs w:val="0"/>
          <w:color w:val="auto"/>
          <w:sz w:val="24"/>
          <w:szCs w:val="24"/>
          <w:highlight w:val="none"/>
          <w:lang w:val="en-US" w:eastAsia="zh-CN"/>
        </w:rPr>
        <w:t xml:space="preserve"> </w:t>
      </w:r>
      <w:r>
        <w:rPr>
          <w:rFonts w:hint="eastAsia" w:ascii="宋体" w:hAnsi="宋体" w:eastAsia="宋体" w:cs="宋体"/>
          <w:b w:val="0"/>
          <w:bCs w:val="0"/>
          <w:color w:val="auto"/>
          <w:sz w:val="24"/>
          <w:szCs w:val="24"/>
          <w:highlight w:val="none"/>
        </w:rPr>
        <w:t xml:space="preserve"> </w:t>
      </w:r>
      <w:r>
        <w:rPr>
          <w:rFonts w:hint="eastAsia" w:ascii="宋体" w:hAnsi="宋体" w:eastAsia="宋体" w:cs="宋体"/>
          <w:b w:val="0"/>
          <w:bCs w:val="0"/>
          <w:color w:val="auto"/>
          <w:sz w:val="24"/>
          <w:szCs w:val="24"/>
          <w:highlight w:val="none"/>
          <w:lang w:val="en-US" w:eastAsia="zh-CN"/>
        </w:rPr>
        <w:t>供应商有权提出一次质疑，不能多次提出。</w:t>
      </w:r>
    </w:p>
    <w:p w14:paraId="426663EC">
      <w:pPr>
        <w:pageBreakBefore w:val="0"/>
        <w:widowControl w:val="0"/>
        <w:kinsoku/>
        <w:wordWrap/>
        <w:overflowPunct/>
        <w:topLinePunct w:val="0"/>
        <w:bidi w:val="0"/>
        <w:snapToGrid/>
        <w:spacing w:line="360" w:lineRule="exact"/>
        <w:ind w:left="960" w:leftChars="0" w:hanging="960" w:hangingChars="400"/>
        <w:jc w:val="left"/>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sz w:val="24"/>
          <w:szCs w:val="24"/>
          <w:highlight w:val="none"/>
          <w:lang w:val="en-US" w:eastAsia="zh-CN"/>
        </w:rPr>
        <w:t xml:space="preserve">36.8  </w:t>
      </w:r>
      <w:r>
        <w:rPr>
          <w:rFonts w:hint="eastAsia" w:ascii="宋体" w:hAnsi="宋体" w:cs="宋体"/>
          <w:b w:val="0"/>
          <w:bCs w:val="0"/>
          <w:color w:val="auto"/>
          <w:sz w:val="24"/>
          <w:szCs w:val="24"/>
          <w:highlight w:val="none"/>
          <w:lang w:val="en-US" w:eastAsia="zh-CN"/>
        </w:rPr>
        <w:t xml:space="preserve"> </w:t>
      </w:r>
      <w:r>
        <w:rPr>
          <w:rFonts w:hint="eastAsia" w:ascii="宋体" w:hAnsi="宋体" w:eastAsia="宋体" w:cs="宋体"/>
          <w:b w:val="0"/>
          <w:bCs w:val="0"/>
          <w:color w:val="auto"/>
          <w:sz w:val="24"/>
          <w:szCs w:val="24"/>
          <w:highlight w:val="none"/>
          <w:lang w:val="en-US" w:eastAsia="zh-CN"/>
        </w:rPr>
        <w:t xml:space="preserve"> </w:t>
      </w:r>
      <w:r>
        <w:rPr>
          <w:rFonts w:hint="eastAsia" w:ascii="宋体" w:hAnsi="宋体" w:eastAsia="宋体" w:cs="宋体"/>
          <w:b w:val="0"/>
          <w:bCs w:val="0"/>
          <w:color w:val="auto"/>
          <w:sz w:val="24"/>
          <w:szCs w:val="24"/>
          <w:highlight w:val="none"/>
        </w:rPr>
        <w:t>对可以质</w:t>
      </w:r>
      <w:r>
        <w:rPr>
          <w:rFonts w:hint="eastAsia" w:ascii="宋体" w:hAnsi="宋体" w:eastAsia="宋体" w:cs="宋体"/>
          <w:color w:val="auto"/>
          <w:sz w:val="24"/>
          <w:szCs w:val="24"/>
          <w:highlight w:val="none"/>
        </w:rPr>
        <w:t>疑的采购文件提出质疑的，质疑人为参与本项目的报价方或潜在报价方。可质疑的文件为采购公告以及采购文件（包括属于其组成部分的澄清、修改、补充文件和评审标准、合同文本等）。</w:t>
      </w:r>
    </w:p>
    <w:p w14:paraId="70B083A7">
      <w:pPr>
        <w:pageBreakBefore w:val="0"/>
        <w:widowControl w:val="0"/>
        <w:kinsoku/>
        <w:wordWrap/>
        <w:overflowPunct/>
        <w:topLinePunct w:val="0"/>
        <w:bidi w:val="0"/>
        <w:snapToGrid/>
        <w:spacing w:line="360" w:lineRule="exact"/>
        <w:ind w:left="960" w:leftChars="0" w:hanging="960" w:hangingChars="4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w:t>
      </w: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对采购过程和中标结果提出质疑的，质疑人为直接参与本项目的报价方。采购过程,即从采购项目信息公告发布起到中标结果公告止，包括采购文件的发出、提交</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开启、评审等各个采购程序环节。</w:t>
      </w:r>
    </w:p>
    <w:p w14:paraId="0A625042">
      <w:pPr>
        <w:pageBreakBefore w:val="0"/>
        <w:widowControl w:val="0"/>
        <w:kinsoku/>
        <w:wordWrap/>
        <w:overflowPunct/>
        <w:topLinePunct w:val="0"/>
        <w:bidi w:val="0"/>
        <w:snapToGrid/>
        <w:spacing w:line="360" w:lineRule="exact"/>
        <w:ind w:left="960" w:leftChars="0" w:hanging="960" w:hangingChars="4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提出质疑应当符合下列条件：</w:t>
      </w:r>
    </w:p>
    <w:p w14:paraId="192D962A">
      <w:pPr>
        <w:pageBreakBefore w:val="0"/>
        <w:widowControl w:val="0"/>
        <w:kinsoku/>
        <w:wordWrap/>
        <w:overflowPunct/>
        <w:topLinePunct w:val="0"/>
        <w:bidi w:val="0"/>
        <w:snapToGrid/>
        <w:spacing w:line="360" w:lineRule="exact"/>
        <w:ind w:firstLine="960" w:firstLineChars="4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（一）质疑主体应当符合有关规定；</w:t>
      </w:r>
    </w:p>
    <w:p w14:paraId="7F91428C">
      <w:pPr>
        <w:pageBreakBefore w:val="0"/>
        <w:widowControl w:val="0"/>
        <w:kinsoku/>
        <w:wordWrap/>
        <w:overflowPunct/>
        <w:topLinePunct w:val="0"/>
        <w:bidi w:val="0"/>
        <w:snapToGrid/>
        <w:spacing w:line="360" w:lineRule="exact"/>
        <w:ind w:left="957" w:leftChars="456"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（二）在质疑法定期限内提出；</w:t>
      </w:r>
    </w:p>
    <w:p w14:paraId="28041C2C">
      <w:pPr>
        <w:pageBreakBefore w:val="0"/>
        <w:widowControl w:val="0"/>
        <w:kinsoku/>
        <w:wordWrap/>
        <w:overflowPunct/>
        <w:topLinePunct w:val="0"/>
        <w:bidi w:val="0"/>
        <w:snapToGrid/>
        <w:spacing w:line="360" w:lineRule="exact"/>
        <w:ind w:left="957" w:leftChars="456"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（三）属于可以提出质疑的政府采购事项受理范围和本项目采购人的管辖权范围；</w:t>
      </w:r>
    </w:p>
    <w:p w14:paraId="269859FD">
      <w:pPr>
        <w:pageBreakBefore w:val="0"/>
        <w:widowControl w:val="0"/>
        <w:kinsoku/>
        <w:wordWrap/>
        <w:overflowPunct/>
        <w:topLinePunct w:val="0"/>
        <w:bidi w:val="0"/>
        <w:snapToGrid/>
        <w:spacing w:line="360" w:lineRule="exact"/>
        <w:ind w:left="957" w:leftChars="456"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（四）政府采购法律、法规、规章规定的其他条件。</w:t>
      </w:r>
    </w:p>
    <w:p w14:paraId="20468D48">
      <w:pPr>
        <w:pageBreakBefore w:val="0"/>
        <w:widowControl w:val="0"/>
        <w:kinsoku/>
        <w:wordWrap/>
        <w:overflowPunct/>
        <w:topLinePunct w:val="0"/>
        <w:bidi w:val="0"/>
        <w:snapToGrid/>
        <w:spacing w:line="360" w:lineRule="exact"/>
        <w:ind w:left="960" w:leftChars="0" w:hanging="960" w:hangingChars="4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w:t>
      </w: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5E4F89EA">
      <w:pPr>
        <w:pageBreakBefore w:val="0"/>
        <w:widowControl w:val="0"/>
        <w:kinsoku/>
        <w:wordWrap/>
        <w:overflowPunct/>
        <w:topLinePunct w:val="0"/>
        <w:bidi w:val="0"/>
        <w:snapToGrid/>
        <w:spacing w:line="360" w:lineRule="exact"/>
        <w:ind w:left="960" w:leftChars="0" w:hanging="960" w:hangingChars="4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w:t>
      </w: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质疑人所提供的证明材料应当具有真实性、合法性以及与质疑事项的关联性和证明力，否则不能作为认定该质疑事项成立的依据。</w:t>
      </w:r>
    </w:p>
    <w:p w14:paraId="00246911">
      <w:pPr>
        <w:pageBreakBefore w:val="0"/>
        <w:widowControl w:val="0"/>
        <w:kinsoku/>
        <w:wordWrap/>
        <w:overflowPunct/>
        <w:topLinePunct w:val="0"/>
        <w:bidi w:val="0"/>
        <w:snapToGrid/>
        <w:spacing w:line="360" w:lineRule="exact"/>
        <w:ind w:left="960" w:leftChars="0" w:hanging="960" w:hangingChars="4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w:t>
      </w:r>
      <w:r>
        <w:rPr>
          <w:rFonts w:hint="eastAsia" w:ascii="宋体" w:hAnsi="宋体" w:eastAsia="宋体" w:cs="宋体"/>
          <w:color w:val="auto"/>
          <w:sz w:val="24"/>
          <w:szCs w:val="24"/>
          <w:highlight w:val="none"/>
          <w:lang w:val="en-US" w:eastAsia="zh-CN"/>
        </w:rPr>
        <w:t>13</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质疑人提出质疑时应当提交质疑函。质疑函包括下列内容：</w:t>
      </w:r>
    </w:p>
    <w:p w14:paraId="1A873BC4">
      <w:pPr>
        <w:pageBreakBefore w:val="0"/>
        <w:widowControl w:val="0"/>
        <w:kinsoku/>
        <w:wordWrap/>
        <w:overflowPunct/>
        <w:topLinePunct w:val="0"/>
        <w:bidi w:val="0"/>
        <w:snapToGrid/>
        <w:spacing w:line="360" w:lineRule="exact"/>
        <w:ind w:left="957" w:leftChars="456"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（一）提出质疑的质疑人的名称、地址、邮编、联系人及联系电话等；</w:t>
      </w:r>
    </w:p>
    <w:p w14:paraId="3B50C78A">
      <w:pPr>
        <w:pageBreakBefore w:val="0"/>
        <w:widowControl w:val="0"/>
        <w:kinsoku/>
        <w:wordWrap/>
        <w:overflowPunct/>
        <w:topLinePunct w:val="0"/>
        <w:bidi w:val="0"/>
        <w:snapToGrid/>
        <w:spacing w:line="360" w:lineRule="exact"/>
        <w:ind w:left="957" w:leftChars="456"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（二）质疑项目的名称、编号；</w:t>
      </w:r>
    </w:p>
    <w:p w14:paraId="0BBA7A0C">
      <w:pPr>
        <w:pageBreakBefore w:val="0"/>
        <w:widowControl w:val="0"/>
        <w:kinsoku/>
        <w:wordWrap/>
        <w:overflowPunct/>
        <w:topLinePunct w:val="0"/>
        <w:bidi w:val="0"/>
        <w:snapToGrid/>
        <w:spacing w:line="360" w:lineRule="exact"/>
        <w:ind w:left="957" w:leftChars="456"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（三）质疑事项；</w:t>
      </w:r>
    </w:p>
    <w:p w14:paraId="659C7A70">
      <w:pPr>
        <w:pageBreakBefore w:val="0"/>
        <w:widowControl w:val="0"/>
        <w:kinsoku/>
        <w:wordWrap/>
        <w:overflowPunct/>
        <w:topLinePunct w:val="0"/>
        <w:bidi w:val="0"/>
        <w:snapToGrid/>
        <w:spacing w:line="360" w:lineRule="exact"/>
        <w:ind w:left="957" w:leftChars="456"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（四）事实依据和证明材料；</w:t>
      </w:r>
    </w:p>
    <w:p w14:paraId="05368C6C">
      <w:pPr>
        <w:pageBreakBefore w:val="0"/>
        <w:widowControl w:val="0"/>
        <w:kinsoku/>
        <w:wordWrap/>
        <w:overflowPunct/>
        <w:topLinePunct w:val="0"/>
        <w:bidi w:val="0"/>
        <w:snapToGrid/>
        <w:spacing w:line="360" w:lineRule="exact"/>
        <w:ind w:left="957" w:leftChars="456"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（五）法律依据；</w:t>
      </w:r>
    </w:p>
    <w:p w14:paraId="721F906B">
      <w:pPr>
        <w:pageBreakBefore w:val="0"/>
        <w:widowControl w:val="0"/>
        <w:kinsoku/>
        <w:wordWrap/>
        <w:overflowPunct/>
        <w:topLinePunct w:val="0"/>
        <w:bidi w:val="0"/>
        <w:snapToGrid/>
        <w:spacing w:line="360" w:lineRule="exact"/>
        <w:ind w:left="957" w:leftChars="456"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（六）提出质疑的日期。</w:t>
      </w:r>
    </w:p>
    <w:p w14:paraId="10F40684">
      <w:pPr>
        <w:pageBreakBefore w:val="0"/>
        <w:widowControl w:val="0"/>
        <w:kinsoku/>
        <w:wordWrap/>
        <w:overflowPunct/>
        <w:topLinePunct w:val="0"/>
        <w:bidi w:val="0"/>
        <w:snapToGrid/>
        <w:spacing w:line="360" w:lineRule="exact"/>
        <w:ind w:left="957" w:leftChars="456"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质疑函采用实名制。质疑人为自然人的应当由本人签字，并附有效身份证明文件；质疑人为法人或者非法人组织的应当由法定代表人或者负责人签字并加盖公章，并附有效身份证明文件。</w:t>
      </w:r>
    </w:p>
    <w:p w14:paraId="2B54F9DD">
      <w:pPr>
        <w:pageBreakBefore w:val="0"/>
        <w:widowControl w:val="0"/>
        <w:kinsoku/>
        <w:wordWrap/>
        <w:overflowPunct/>
        <w:topLinePunct w:val="0"/>
        <w:bidi w:val="0"/>
        <w:snapToGrid/>
        <w:spacing w:line="360" w:lineRule="exact"/>
        <w:ind w:left="960" w:leftChars="0" w:hanging="960" w:hangingChars="4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w:t>
      </w:r>
      <w:r>
        <w:rPr>
          <w:rFonts w:hint="eastAsia" w:ascii="宋体" w:hAnsi="宋体" w:eastAsia="宋体" w:cs="宋体"/>
          <w:color w:val="auto"/>
          <w:sz w:val="24"/>
          <w:szCs w:val="24"/>
          <w:highlight w:val="none"/>
          <w:lang w:val="en-US" w:eastAsia="zh-CN"/>
        </w:rPr>
        <w:t>14</w:t>
      </w: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质疑人可以委托代理人进行质疑。代理人应当提交授权委托书。授权委托书应当载明委托代理的具体权限、期限和相关事项。</w:t>
      </w:r>
    </w:p>
    <w:p w14:paraId="61B7EEC1">
      <w:pPr>
        <w:pageBreakBefore w:val="0"/>
        <w:widowControl w:val="0"/>
        <w:kinsoku/>
        <w:wordWrap/>
        <w:overflowPunct/>
        <w:topLinePunct w:val="0"/>
        <w:bidi w:val="0"/>
        <w:snapToGrid/>
        <w:spacing w:line="360" w:lineRule="exact"/>
        <w:ind w:left="960" w:leftChars="0" w:hanging="960" w:hangingChars="4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36.1</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质疑的审查和受理</w:t>
      </w:r>
    </w:p>
    <w:p w14:paraId="3E7A5CA7">
      <w:pPr>
        <w:pageBreakBefore w:val="0"/>
        <w:widowControl w:val="0"/>
        <w:kinsoku/>
        <w:wordWrap/>
        <w:overflowPunct/>
        <w:topLinePunct w:val="0"/>
        <w:bidi w:val="0"/>
        <w:snapToGrid/>
        <w:spacing w:line="360" w:lineRule="exact"/>
        <w:ind w:left="957" w:leftChars="456"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采购方在收到质疑函后应当及时审查是否符合质疑受理条件，对符合质疑受理条件的，及时予以受理。</w:t>
      </w:r>
    </w:p>
    <w:p w14:paraId="61F0A235">
      <w:pPr>
        <w:pageBreakBefore w:val="0"/>
        <w:widowControl w:val="0"/>
        <w:kinsoku/>
        <w:wordWrap/>
        <w:overflowPunct/>
        <w:topLinePunct w:val="0"/>
        <w:bidi w:val="0"/>
        <w:snapToGrid/>
        <w:spacing w:line="360" w:lineRule="exact"/>
        <w:ind w:left="960" w:leftChars="0" w:hanging="960" w:hangingChars="4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对不符合质疑受理条件的，分别按照下列不同情形予以处理：</w:t>
      </w:r>
    </w:p>
    <w:p w14:paraId="74B4DB1D">
      <w:pPr>
        <w:pageBreakBefore w:val="0"/>
        <w:widowControl w:val="0"/>
        <w:kinsoku/>
        <w:wordWrap/>
        <w:overflowPunct/>
        <w:topLinePunct w:val="0"/>
        <w:bidi w:val="0"/>
        <w:snapToGrid/>
        <w:spacing w:line="360" w:lineRule="exact"/>
        <w:ind w:left="957" w:leftChars="456"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（一）质疑函内容不符合规定的，告知质疑人进行修改并重新提出质疑。修改后质疑事项仍不具体、不明确或者最终递交质疑函的时间超过质疑法定期限的，不予受理；</w:t>
      </w:r>
    </w:p>
    <w:p w14:paraId="32A0B1CF">
      <w:pPr>
        <w:pageBreakBefore w:val="0"/>
        <w:widowControl w:val="0"/>
        <w:kinsoku/>
        <w:wordWrap/>
        <w:overflowPunct/>
        <w:topLinePunct w:val="0"/>
        <w:bidi w:val="0"/>
        <w:snapToGrid/>
        <w:spacing w:line="360" w:lineRule="exact"/>
        <w:ind w:left="957" w:leftChars="456"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（二）质疑主体不符合有关规定的，告知质疑人不予受理；</w:t>
      </w:r>
    </w:p>
    <w:p w14:paraId="3A147AFC">
      <w:pPr>
        <w:pageBreakBefore w:val="0"/>
        <w:widowControl w:val="0"/>
        <w:kinsoku/>
        <w:wordWrap/>
        <w:overflowPunct/>
        <w:topLinePunct w:val="0"/>
        <w:bidi w:val="0"/>
        <w:snapToGrid/>
        <w:spacing w:line="360" w:lineRule="exact"/>
        <w:ind w:left="957" w:leftChars="456"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（三）超过质疑法定期限提出质疑的，告知质疑人不予受理；</w:t>
      </w:r>
    </w:p>
    <w:p w14:paraId="10257160">
      <w:pPr>
        <w:pageBreakBefore w:val="0"/>
        <w:widowControl w:val="0"/>
        <w:kinsoku/>
        <w:wordWrap/>
        <w:overflowPunct/>
        <w:topLinePunct w:val="0"/>
        <w:bidi w:val="0"/>
        <w:snapToGrid/>
        <w:spacing w:line="360" w:lineRule="exact"/>
        <w:ind w:left="957" w:leftChars="456"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（四）对不属于可以提出质疑的政府采购事项提出质疑的，告知质疑人不予受理；</w:t>
      </w:r>
    </w:p>
    <w:p w14:paraId="06299F21">
      <w:pPr>
        <w:pageBreakBefore w:val="0"/>
        <w:widowControl w:val="0"/>
        <w:kinsoku/>
        <w:wordWrap/>
        <w:overflowPunct/>
        <w:topLinePunct w:val="0"/>
        <w:bidi w:val="0"/>
        <w:snapToGrid/>
        <w:spacing w:line="360" w:lineRule="exact"/>
        <w:ind w:left="957" w:leftChars="456"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（五）质疑不属于本项目采购方管辖的，告知质疑人向有管辖权的采购人提出质疑；</w:t>
      </w:r>
    </w:p>
    <w:p w14:paraId="0F9B4F9F">
      <w:pPr>
        <w:pageBreakBefore w:val="0"/>
        <w:widowControl w:val="0"/>
        <w:kinsoku/>
        <w:wordWrap/>
        <w:overflowPunct/>
        <w:topLinePunct w:val="0"/>
        <w:bidi w:val="0"/>
        <w:snapToGrid/>
        <w:spacing w:line="360" w:lineRule="exact"/>
        <w:ind w:left="957" w:leftChars="456"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（六）质疑不符合其他条件的，告知质疑人不予受理。</w:t>
      </w:r>
    </w:p>
    <w:p w14:paraId="1088E91B">
      <w:pPr>
        <w:pageBreakBefore w:val="0"/>
        <w:widowControl w:val="0"/>
        <w:kinsoku/>
        <w:wordWrap/>
        <w:overflowPunct/>
        <w:topLinePunct w:val="0"/>
        <w:bidi w:val="0"/>
        <w:snapToGrid/>
        <w:spacing w:line="360" w:lineRule="exact"/>
        <w:ind w:left="960" w:leftChars="0" w:hanging="960" w:hangingChars="4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36.1</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质疑的处理和答复</w:t>
      </w:r>
    </w:p>
    <w:p w14:paraId="5D450B27">
      <w:pPr>
        <w:pageBreakBefore w:val="0"/>
        <w:widowControl w:val="0"/>
        <w:kinsoku/>
        <w:wordWrap/>
        <w:overflowPunct/>
        <w:topLinePunct w:val="0"/>
        <w:bidi w:val="0"/>
        <w:snapToGrid/>
        <w:spacing w:line="360" w:lineRule="exact"/>
        <w:ind w:left="960" w:leftChars="0" w:hanging="960" w:hangingChars="4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采购方受理质疑后，将及时把质疑函发送给被质疑人，并要求其在一定限期内提交书面答复，同时提供有关证据、依据和相关材料。</w:t>
      </w:r>
    </w:p>
    <w:p w14:paraId="14AB99D5">
      <w:pPr>
        <w:pageBreakBefore w:val="0"/>
        <w:widowControl w:val="0"/>
        <w:kinsoku/>
        <w:wordWrap/>
        <w:overflowPunct/>
        <w:topLinePunct w:val="0"/>
        <w:bidi w:val="0"/>
        <w:snapToGrid/>
        <w:spacing w:line="360" w:lineRule="exact"/>
        <w:ind w:left="960" w:leftChars="0" w:hanging="960" w:hangingChars="4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w:t>
      </w:r>
      <w:r>
        <w:rPr>
          <w:rFonts w:hint="eastAsia" w:ascii="宋体" w:hAnsi="宋体" w:eastAsia="宋体" w:cs="宋体"/>
          <w:color w:val="auto"/>
          <w:sz w:val="24"/>
          <w:szCs w:val="24"/>
          <w:highlight w:val="none"/>
          <w:lang w:val="en-US" w:eastAsia="zh-CN"/>
        </w:rPr>
        <w:t>19</w:t>
      </w: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对于质疑事项中涉及的问题较多、情况比较复杂的，为了全面查清事实、取得充分的证据，采购方认为有必要时，可以进行调查取证或者组织质证。</w:t>
      </w:r>
    </w:p>
    <w:p w14:paraId="58643D95">
      <w:pPr>
        <w:pageBreakBefore w:val="0"/>
        <w:widowControl w:val="0"/>
        <w:kinsoku/>
        <w:wordWrap/>
        <w:overflowPunct/>
        <w:topLinePunct w:val="0"/>
        <w:bidi w:val="0"/>
        <w:snapToGrid/>
        <w:spacing w:line="360" w:lineRule="exact"/>
        <w:ind w:left="960" w:leftChars="0" w:hanging="960" w:hangingChars="4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w:t>
      </w:r>
      <w:r>
        <w:rPr>
          <w:rFonts w:hint="eastAsia" w:ascii="宋体" w:hAnsi="宋体" w:eastAsia="宋体" w:cs="宋体"/>
          <w:color w:val="auto"/>
          <w:sz w:val="24"/>
          <w:szCs w:val="24"/>
          <w:highlight w:val="none"/>
          <w:lang w:val="en-US" w:eastAsia="zh-CN"/>
        </w:rPr>
        <w:t>20</w:t>
      </w: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对评审过程、中标结果提出质疑的，采购方可以组织原评审委员会协助答复质疑。</w:t>
      </w:r>
    </w:p>
    <w:p w14:paraId="6B5784CE">
      <w:pPr>
        <w:pageBreakBefore w:val="0"/>
        <w:widowControl w:val="0"/>
        <w:kinsoku/>
        <w:wordWrap/>
        <w:overflowPunct/>
        <w:topLinePunct w:val="0"/>
        <w:bidi w:val="0"/>
        <w:snapToGrid/>
        <w:spacing w:line="360" w:lineRule="exact"/>
        <w:ind w:left="960" w:leftChars="0" w:hanging="960" w:hangingChars="4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36.2</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质疑处理过程中，质疑人书面申请撤回质疑的，将终止质疑处理程序。</w:t>
      </w:r>
    </w:p>
    <w:p w14:paraId="4AFDED79">
      <w:pPr>
        <w:pageBreakBefore w:val="0"/>
        <w:widowControl w:val="0"/>
        <w:kinsoku/>
        <w:wordWrap/>
        <w:overflowPunct/>
        <w:topLinePunct w:val="0"/>
        <w:bidi w:val="0"/>
        <w:snapToGrid/>
        <w:spacing w:line="360" w:lineRule="exact"/>
        <w:ind w:left="960" w:leftChars="0" w:hanging="960" w:hangingChars="4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36.2</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质疑人拒绝配合采购方依法对质疑进行调查处理的，采购方将按质疑人自动撤回质疑处理；被质疑人拒绝配合采购方依法对质疑进行调查处理的，采购方将视同其认可质疑事项。</w:t>
      </w:r>
    </w:p>
    <w:p w14:paraId="0BA0AF3A">
      <w:pPr>
        <w:pageBreakBefore w:val="0"/>
        <w:widowControl w:val="0"/>
        <w:kinsoku/>
        <w:wordWrap/>
        <w:overflowPunct/>
        <w:topLinePunct w:val="0"/>
        <w:bidi w:val="0"/>
        <w:snapToGrid/>
        <w:spacing w:line="360" w:lineRule="exact"/>
        <w:ind w:left="960" w:leftChars="0" w:hanging="960" w:hangingChars="4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36.2</w:t>
      </w:r>
      <w:r>
        <w:rPr>
          <w:rFonts w:hint="eastAsia" w:ascii="宋体" w:hAnsi="宋体" w:eastAsia="宋体" w:cs="宋体"/>
          <w:color w:val="auto"/>
          <w:sz w:val="24"/>
          <w:szCs w:val="24"/>
          <w:highlight w:val="none"/>
          <w:lang w:val="en-US" w:eastAsia="zh-CN"/>
        </w:rPr>
        <w:t xml:space="preserve">3 </w:t>
      </w: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质疑人拒绝配合采购方依法对质疑进行调查处理的，采购方将按质疑人自动撤回质疑处理；被质疑人拒绝配合采购方依法对质疑进行调查处理的，采购方将视同其认可质疑事项。</w:t>
      </w:r>
    </w:p>
    <w:p w14:paraId="18FF2DE4">
      <w:pPr>
        <w:pageBreakBefore w:val="0"/>
        <w:widowControl w:val="0"/>
        <w:kinsoku/>
        <w:wordWrap/>
        <w:overflowPunct/>
        <w:topLinePunct w:val="0"/>
        <w:bidi w:val="0"/>
        <w:snapToGrid/>
        <w:spacing w:line="360" w:lineRule="exact"/>
        <w:ind w:left="960" w:leftChars="0" w:hanging="960" w:hangingChars="400"/>
        <w:jc w:val="left"/>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color w:val="auto"/>
          <w:sz w:val="24"/>
          <w:szCs w:val="24"/>
          <w:highlight w:val="none"/>
        </w:rPr>
        <w:t>36.2</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采购方将在正式受理质疑后7个工作日内作出答复。</w:t>
      </w:r>
      <w:r>
        <w:rPr>
          <w:rFonts w:hint="eastAsia" w:ascii="宋体" w:hAnsi="宋体" w:eastAsia="宋体" w:cs="宋体"/>
          <w:color w:val="auto"/>
          <w:sz w:val="24"/>
          <w:szCs w:val="24"/>
          <w:highlight w:val="none"/>
          <w:lang w:val="en-US" w:eastAsia="zh-CN"/>
        </w:rPr>
        <w:t xml:space="preserve"> </w:t>
      </w:r>
    </w:p>
    <w:p w14:paraId="354EE02E">
      <w:pPr>
        <w:pStyle w:val="40"/>
        <w:pageBreakBefore w:val="0"/>
        <w:widowControl w:val="0"/>
        <w:kinsoku/>
        <w:wordWrap/>
        <w:overflowPunct/>
        <w:topLinePunct w:val="0"/>
        <w:bidi w:val="0"/>
        <w:snapToGrid/>
        <w:spacing w:line="360" w:lineRule="exact"/>
        <w:ind w:left="960" w:leftChars="0" w:hanging="960" w:hanging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36.2</w:t>
      </w:r>
      <w:r>
        <w:rPr>
          <w:rFonts w:hint="eastAsia" w:ascii="宋体" w:hAnsi="宋体" w:eastAsia="宋体" w:cs="宋体"/>
          <w:color w:val="auto"/>
          <w:sz w:val="24"/>
          <w:szCs w:val="24"/>
          <w:highlight w:val="none"/>
          <w:lang w:val="en-US" w:eastAsia="zh-CN"/>
        </w:rPr>
        <w:t>5</w:t>
      </w:r>
      <w:r>
        <w:rPr>
          <w:rFonts w:hint="eastAsia"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质疑答复应当包括下列内容：</w:t>
      </w:r>
    </w:p>
    <w:p w14:paraId="171CA22C">
      <w:pPr>
        <w:pStyle w:val="40"/>
        <w:pageBreakBefore w:val="0"/>
        <w:widowControl w:val="0"/>
        <w:kinsoku/>
        <w:wordWrap/>
        <w:overflowPunct/>
        <w:topLinePunct w:val="0"/>
        <w:bidi w:val="0"/>
        <w:snapToGrid/>
        <w:spacing w:line="360" w:lineRule="exact"/>
        <w:ind w:left="957" w:leftChars="456"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（一）质疑人的姓名或者名称；</w:t>
      </w:r>
    </w:p>
    <w:p w14:paraId="00B8C81A">
      <w:pPr>
        <w:pStyle w:val="40"/>
        <w:pageBreakBefore w:val="0"/>
        <w:widowControl w:val="0"/>
        <w:kinsoku/>
        <w:wordWrap/>
        <w:overflowPunct/>
        <w:topLinePunct w:val="0"/>
        <w:bidi w:val="0"/>
        <w:snapToGrid/>
        <w:spacing w:line="360" w:lineRule="exact"/>
        <w:ind w:left="957" w:leftChars="456"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（二）收到质疑函的日期、质疑项目名称及编号；</w:t>
      </w:r>
    </w:p>
    <w:p w14:paraId="5D249059">
      <w:pPr>
        <w:pStyle w:val="40"/>
        <w:pageBreakBefore w:val="0"/>
        <w:widowControl w:val="0"/>
        <w:kinsoku/>
        <w:wordWrap/>
        <w:overflowPunct/>
        <w:topLinePunct w:val="0"/>
        <w:bidi w:val="0"/>
        <w:snapToGrid/>
        <w:spacing w:line="360" w:lineRule="exact"/>
        <w:ind w:left="957" w:leftChars="456"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（三）质疑事项、质疑答复的具体内容、事实依据和法律依据；</w:t>
      </w:r>
    </w:p>
    <w:p w14:paraId="60E39E69">
      <w:pPr>
        <w:pStyle w:val="40"/>
        <w:pageBreakBefore w:val="0"/>
        <w:widowControl w:val="0"/>
        <w:kinsoku/>
        <w:wordWrap/>
        <w:overflowPunct/>
        <w:topLinePunct w:val="0"/>
        <w:bidi w:val="0"/>
        <w:snapToGrid/>
        <w:spacing w:line="360" w:lineRule="exact"/>
        <w:ind w:left="957" w:leftChars="456"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（四）告知质疑供应商依法投诉的权利；</w:t>
      </w:r>
    </w:p>
    <w:p w14:paraId="44FA5123">
      <w:pPr>
        <w:pStyle w:val="40"/>
        <w:pageBreakBefore w:val="0"/>
        <w:widowControl w:val="0"/>
        <w:kinsoku/>
        <w:wordWrap/>
        <w:overflowPunct/>
        <w:topLinePunct w:val="0"/>
        <w:bidi w:val="0"/>
        <w:snapToGrid/>
        <w:spacing w:line="360" w:lineRule="exact"/>
        <w:ind w:left="957" w:leftChars="456"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（五）质疑答复人名称；</w:t>
      </w:r>
    </w:p>
    <w:p w14:paraId="01B55823">
      <w:pPr>
        <w:pageBreakBefore w:val="0"/>
        <w:widowControl w:val="0"/>
        <w:kinsoku/>
        <w:wordWrap/>
        <w:overflowPunct/>
        <w:topLinePunct w:val="0"/>
        <w:bidi w:val="0"/>
        <w:snapToGrid/>
        <w:spacing w:line="240" w:lineRule="atLeast"/>
        <w:ind w:left="957" w:leftChars="456" w:firstLine="0" w:firstLineChars="0"/>
        <w:textAlignment w:val="auto"/>
        <w:rPr>
          <w:rFonts w:hint="eastAsia" w:ascii="宋体" w:hAnsi="宋体" w:eastAsia="宋体" w:cs="宋体"/>
          <w:color w:val="auto"/>
          <w:sz w:val="24"/>
          <w:highlight w:val="none"/>
        </w:rPr>
      </w:pPr>
      <w:r>
        <w:rPr>
          <w:rFonts w:hint="eastAsia" w:ascii="宋体" w:hAnsi="宋体" w:eastAsia="宋体" w:cs="宋体"/>
          <w:color w:val="auto"/>
          <w:sz w:val="24"/>
          <w:szCs w:val="24"/>
          <w:highlight w:val="none"/>
        </w:rPr>
        <w:t>（六）答复质疑的日期。</w:t>
      </w:r>
    </w:p>
    <w:p w14:paraId="375B94E5">
      <w:pPr>
        <w:spacing w:line="240" w:lineRule="atLeast"/>
        <w:ind w:left="900" w:hanging="900" w:hangingChars="375"/>
        <w:rPr>
          <w:rFonts w:hint="eastAsia" w:ascii="宋体" w:hAnsi="宋体" w:eastAsia="宋体" w:cs="宋体"/>
          <w:color w:val="auto"/>
          <w:sz w:val="24"/>
          <w:highlight w:val="none"/>
        </w:rPr>
      </w:pPr>
    </w:p>
    <w:p w14:paraId="737C776E">
      <w:pPr>
        <w:pageBreakBefore w:val="0"/>
        <w:kinsoku/>
        <w:wordWrap/>
        <w:overflowPunct/>
        <w:topLinePunct w:val="0"/>
        <w:bidi w:val="0"/>
        <w:spacing w:line="360" w:lineRule="exact"/>
        <w:ind w:left="0" w:leftChars="0"/>
        <w:jc w:val="center"/>
        <w:textAlignment w:val="auto"/>
        <w:outlineLvl w:val="2"/>
        <w:rPr>
          <w:rFonts w:hint="eastAsia" w:ascii="宋体" w:hAnsi="宋体" w:eastAsia="宋体" w:cs="宋体"/>
          <w:b/>
          <w:bCs/>
          <w:color w:val="auto"/>
          <w:sz w:val="24"/>
          <w:szCs w:val="24"/>
          <w:highlight w:val="none"/>
        </w:rPr>
      </w:pPr>
      <w:bookmarkStart w:id="232" w:name="_Toc1819"/>
      <w:bookmarkStart w:id="233" w:name="_Toc24946"/>
      <w:bookmarkStart w:id="234" w:name="_Toc2799"/>
      <w:bookmarkStart w:id="235" w:name="_Toc2500"/>
      <w:bookmarkStart w:id="236" w:name="_Toc6493"/>
      <w:bookmarkStart w:id="237" w:name="_Toc16553"/>
      <w:bookmarkStart w:id="238" w:name="_Toc5602"/>
      <w:bookmarkStart w:id="239" w:name="_Toc11973"/>
      <w:bookmarkStart w:id="240" w:name="_Toc30512"/>
      <w:bookmarkStart w:id="241" w:name="_Toc2072"/>
      <w:bookmarkStart w:id="242" w:name="_Toc13021"/>
      <w:bookmarkStart w:id="243" w:name="_Toc27146"/>
      <w:bookmarkStart w:id="244" w:name="_Toc22908"/>
      <w:bookmarkStart w:id="245" w:name="_Toc30855"/>
      <w:bookmarkStart w:id="246" w:name="_Toc12088"/>
      <w:bookmarkStart w:id="247" w:name="_Toc11297"/>
      <w:bookmarkStart w:id="248" w:name="_Toc4981"/>
      <w:bookmarkStart w:id="249" w:name="_Toc14742"/>
      <w:bookmarkStart w:id="250" w:name="_Toc25636"/>
      <w:bookmarkStart w:id="251" w:name="_Toc23411"/>
      <w:bookmarkStart w:id="252" w:name="_Toc8353"/>
      <w:bookmarkStart w:id="253" w:name="_Toc1369"/>
      <w:bookmarkStart w:id="254" w:name="_Toc3696"/>
      <w:bookmarkStart w:id="255" w:name="_Toc18518"/>
      <w:bookmarkStart w:id="256" w:name="_Toc9437"/>
      <w:bookmarkStart w:id="257" w:name="_Toc27601"/>
      <w:bookmarkStart w:id="258" w:name="_Toc27096"/>
      <w:bookmarkStart w:id="259" w:name="_Toc30093"/>
      <w:bookmarkStart w:id="260" w:name="_Toc16652"/>
    </w:p>
    <w:p w14:paraId="577315B2">
      <w:pPr>
        <w:pageBreakBefore w:val="0"/>
        <w:kinsoku/>
        <w:wordWrap/>
        <w:overflowPunct/>
        <w:topLinePunct w:val="0"/>
        <w:bidi w:val="0"/>
        <w:spacing w:line="360" w:lineRule="exact"/>
        <w:ind w:left="0" w:leftChars="0"/>
        <w:jc w:val="center"/>
        <w:textAlignment w:val="auto"/>
        <w:outlineLvl w:val="2"/>
        <w:rPr>
          <w:rFonts w:hint="eastAsia" w:ascii="宋体" w:hAnsi="宋体" w:eastAsia="宋体" w:cs="宋体"/>
          <w:b/>
          <w:bCs/>
          <w:color w:val="auto"/>
          <w:sz w:val="24"/>
          <w:szCs w:val="24"/>
          <w:highlight w:val="none"/>
        </w:rPr>
      </w:pPr>
    </w:p>
    <w:p w14:paraId="154894EB">
      <w:pPr>
        <w:pageBreakBefore w:val="0"/>
        <w:kinsoku/>
        <w:wordWrap/>
        <w:overflowPunct/>
        <w:topLinePunct w:val="0"/>
        <w:bidi w:val="0"/>
        <w:spacing w:line="360" w:lineRule="exact"/>
        <w:ind w:left="0" w:leftChars="0"/>
        <w:jc w:val="center"/>
        <w:textAlignment w:val="auto"/>
        <w:outlineLvl w:val="2"/>
        <w:rPr>
          <w:rFonts w:hint="eastAsia" w:ascii="宋体" w:hAnsi="宋体" w:eastAsia="宋体" w:cs="宋体"/>
          <w:b/>
          <w:bCs/>
          <w:color w:val="auto"/>
          <w:sz w:val="24"/>
          <w:szCs w:val="24"/>
          <w:highlight w:val="none"/>
        </w:rPr>
      </w:pPr>
    </w:p>
    <w:p w14:paraId="1BF4A2DD">
      <w:pPr>
        <w:pageBreakBefore w:val="0"/>
        <w:kinsoku/>
        <w:wordWrap/>
        <w:overflowPunct/>
        <w:topLinePunct w:val="0"/>
        <w:bidi w:val="0"/>
        <w:spacing w:line="360" w:lineRule="exact"/>
        <w:ind w:left="0" w:leftChars="0"/>
        <w:jc w:val="center"/>
        <w:textAlignment w:val="auto"/>
        <w:outlineLvl w:val="2"/>
        <w:rPr>
          <w:rFonts w:hint="eastAsia" w:ascii="宋体" w:hAnsi="宋体" w:eastAsia="宋体" w:cs="宋体"/>
          <w:b/>
          <w:bCs/>
          <w:color w:val="auto"/>
          <w:sz w:val="24"/>
          <w:szCs w:val="24"/>
          <w:highlight w:val="none"/>
        </w:rPr>
      </w:pPr>
    </w:p>
    <w:p w14:paraId="4D68D594">
      <w:pPr>
        <w:pageBreakBefore w:val="0"/>
        <w:kinsoku/>
        <w:wordWrap/>
        <w:overflowPunct/>
        <w:topLinePunct w:val="0"/>
        <w:bidi w:val="0"/>
        <w:spacing w:line="360" w:lineRule="exact"/>
        <w:ind w:left="0" w:leftChars="0"/>
        <w:jc w:val="center"/>
        <w:textAlignment w:val="auto"/>
        <w:outlineLvl w:val="2"/>
        <w:rPr>
          <w:rFonts w:hint="eastAsia" w:ascii="宋体" w:hAnsi="宋体" w:eastAsia="宋体" w:cs="宋体"/>
          <w:b/>
          <w:bCs/>
          <w:color w:val="auto"/>
          <w:sz w:val="24"/>
          <w:szCs w:val="24"/>
          <w:highlight w:val="none"/>
        </w:rPr>
      </w:pPr>
    </w:p>
    <w:p w14:paraId="7D88EF74">
      <w:pPr>
        <w:pageBreakBefore w:val="0"/>
        <w:kinsoku/>
        <w:wordWrap/>
        <w:overflowPunct/>
        <w:topLinePunct w:val="0"/>
        <w:bidi w:val="0"/>
        <w:spacing w:line="360" w:lineRule="exact"/>
        <w:ind w:left="0" w:leftChars="0"/>
        <w:jc w:val="center"/>
        <w:textAlignment w:val="auto"/>
        <w:outlineLvl w:val="2"/>
        <w:rPr>
          <w:rFonts w:hint="eastAsia" w:ascii="宋体" w:hAnsi="宋体" w:eastAsia="宋体" w:cs="宋体"/>
          <w:b/>
          <w:bCs/>
          <w:color w:val="auto"/>
          <w:sz w:val="24"/>
          <w:szCs w:val="24"/>
          <w:highlight w:val="none"/>
        </w:rPr>
      </w:pPr>
    </w:p>
    <w:p w14:paraId="6C515378">
      <w:pPr>
        <w:pageBreakBefore w:val="0"/>
        <w:kinsoku/>
        <w:wordWrap/>
        <w:overflowPunct/>
        <w:topLinePunct w:val="0"/>
        <w:bidi w:val="0"/>
        <w:spacing w:line="360" w:lineRule="exact"/>
        <w:ind w:left="0" w:leftChars="0"/>
        <w:jc w:val="center"/>
        <w:textAlignment w:val="auto"/>
        <w:outlineLvl w:val="2"/>
        <w:rPr>
          <w:rFonts w:hint="eastAsia" w:ascii="宋体" w:hAnsi="宋体" w:eastAsia="宋体" w:cs="宋体"/>
          <w:b/>
          <w:bCs/>
          <w:color w:val="auto"/>
          <w:sz w:val="24"/>
          <w:szCs w:val="24"/>
          <w:highlight w:val="none"/>
        </w:rPr>
      </w:pPr>
    </w:p>
    <w:p w14:paraId="54BDC622">
      <w:pPr>
        <w:pageBreakBefore w:val="0"/>
        <w:kinsoku/>
        <w:wordWrap/>
        <w:overflowPunct/>
        <w:topLinePunct w:val="0"/>
        <w:bidi w:val="0"/>
        <w:spacing w:line="360" w:lineRule="exact"/>
        <w:ind w:left="0" w:leftChars="0"/>
        <w:jc w:val="center"/>
        <w:textAlignment w:val="auto"/>
        <w:outlineLvl w:val="2"/>
        <w:rPr>
          <w:rFonts w:hint="eastAsia" w:ascii="宋体" w:hAnsi="宋体" w:eastAsia="宋体" w:cs="宋体"/>
          <w:b/>
          <w:bCs/>
          <w:color w:val="auto"/>
          <w:sz w:val="24"/>
          <w:szCs w:val="24"/>
          <w:highlight w:val="none"/>
        </w:rPr>
      </w:pPr>
    </w:p>
    <w:p w14:paraId="757437E7">
      <w:pPr>
        <w:pageBreakBefore w:val="0"/>
        <w:kinsoku/>
        <w:wordWrap/>
        <w:overflowPunct/>
        <w:topLinePunct w:val="0"/>
        <w:bidi w:val="0"/>
        <w:spacing w:line="360" w:lineRule="exact"/>
        <w:ind w:left="0" w:leftChars="0"/>
        <w:jc w:val="center"/>
        <w:textAlignment w:val="auto"/>
        <w:outlineLvl w:val="2"/>
        <w:rPr>
          <w:rFonts w:hint="eastAsia" w:ascii="宋体" w:hAnsi="宋体" w:eastAsia="宋体" w:cs="宋体"/>
          <w:b/>
          <w:bCs/>
          <w:color w:val="auto"/>
          <w:sz w:val="24"/>
          <w:szCs w:val="24"/>
          <w:highlight w:val="none"/>
        </w:rPr>
      </w:pPr>
    </w:p>
    <w:p w14:paraId="49301D51">
      <w:pPr>
        <w:pageBreakBefore w:val="0"/>
        <w:kinsoku/>
        <w:wordWrap/>
        <w:overflowPunct/>
        <w:topLinePunct w:val="0"/>
        <w:bidi w:val="0"/>
        <w:spacing w:line="360" w:lineRule="exact"/>
        <w:ind w:left="0" w:leftChars="0"/>
        <w:jc w:val="center"/>
        <w:textAlignment w:val="auto"/>
        <w:outlineLvl w:val="2"/>
        <w:rPr>
          <w:rFonts w:hint="eastAsia" w:ascii="宋体" w:hAnsi="宋体" w:eastAsia="宋体" w:cs="宋体"/>
          <w:b/>
          <w:bCs/>
          <w:color w:val="auto"/>
          <w:sz w:val="24"/>
          <w:szCs w:val="24"/>
          <w:highlight w:val="none"/>
        </w:rPr>
      </w:pPr>
    </w:p>
    <w:p w14:paraId="07F5CC0D">
      <w:pPr>
        <w:pageBreakBefore w:val="0"/>
        <w:kinsoku/>
        <w:wordWrap/>
        <w:overflowPunct/>
        <w:topLinePunct w:val="0"/>
        <w:bidi w:val="0"/>
        <w:spacing w:line="360" w:lineRule="exact"/>
        <w:ind w:left="0" w:leftChars="0"/>
        <w:jc w:val="center"/>
        <w:textAlignment w:val="auto"/>
        <w:outlineLvl w:val="2"/>
        <w:rPr>
          <w:rFonts w:hint="eastAsia" w:ascii="宋体" w:hAnsi="宋体" w:eastAsia="宋体" w:cs="宋体"/>
          <w:b/>
          <w:bCs/>
          <w:color w:val="auto"/>
          <w:sz w:val="24"/>
          <w:szCs w:val="24"/>
          <w:highlight w:val="none"/>
        </w:rPr>
      </w:pPr>
    </w:p>
    <w:p w14:paraId="492D5A1C">
      <w:pPr>
        <w:pageBreakBefore w:val="0"/>
        <w:kinsoku/>
        <w:wordWrap/>
        <w:overflowPunct/>
        <w:topLinePunct w:val="0"/>
        <w:bidi w:val="0"/>
        <w:spacing w:line="360" w:lineRule="exact"/>
        <w:ind w:left="0" w:leftChars="0"/>
        <w:jc w:val="center"/>
        <w:textAlignment w:val="auto"/>
        <w:outlineLvl w:val="2"/>
        <w:rPr>
          <w:rFonts w:hint="eastAsia" w:ascii="宋体" w:hAnsi="宋体" w:eastAsia="宋体" w:cs="宋体"/>
          <w:b/>
          <w:bCs/>
          <w:color w:val="auto"/>
          <w:sz w:val="24"/>
          <w:szCs w:val="24"/>
          <w:highlight w:val="none"/>
        </w:rPr>
      </w:pPr>
    </w:p>
    <w:p w14:paraId="6E17B25A">
      <w:pPr>
        <w:pageBreakBefore w:val="0"/>
        <w:kinsoku/>
        <w:wordWrap/>
        <w:overflowPunct/>
        <w:topLinePunct w:val="0"/>
        <w:bidi w:val="0"/>
        <w:spacing w:line="360" w:lineRule="exact"/>
        <w:ind w:left="0" w:leftChars="0"/>
        <w:jc w:val="center"/>
        <w:textAlignment w:val="auto"/>
        <w:outlineLvl w:val="2"/>
        <w:rPr>
          <w:rFonts w:hint="eastAsia" w:ascii="宋体" w:hAnsi="宋体" w:eastAsia="宋体" w:cs="宋体"/>
          <w:b/>
          <w:bCs/>
          <w:color w:val="auto"/>
          <w:sz w:val="24"/>
          <w:szCs w:val="24"/>
          <w:highlight w:val="none"/>
        </w:rPr>
      </w:pPr>
    </w:p>
    <w:p w14:paraId="2F050CFD">
      <w:pPr>
        <w:pageBreakBefore w:val="0"/>
        <w:kinsoku/>
        <w:wordWrap/>
        <w:overflowPunct/>
        <w:topLinePunct w:val="0"/>
        <w:bidi w:val="0"/>
        <w:spacing w:line="360" w:lineRule="exact"/>
        <w:ind w:left="0" w:leftChars="0"/>
        <w:jc w:val="center"/>
        <w:textAlignment w:val="auto"/>
        <w:outlineLvl w:val="2"/>
        <w:rPr>
          <w:rFonts w:hint="eastAsia" w:ascii="宋体" w:hAnsi="宋体" w:eastAsia="宋体" w:cs="宋体"/>
          <w:b/>
          <w:bCs/>
          <w:color w:val="auto"/>
          <w:sz w:val="24"/>
          <w:szCs w:val="24"/>
          <w:highlight w:val="none"/>
        </w:rPr>
      </w:pPr>
    </w:p>
    <w:p w14:paraId="021FC34D">
      <w:pPr>
        <w:pageBreakBefore w:val="0"/>
        <w:kinsoku/>
        <w:wordWrap/>
        <w:overflowPunct/>
        <w:topLinePunct w:val="0"/>
        <w:bidi w:val="0"/>
        <w:spacing w:line="360" w:lineRule="exact"/>
        <w:ind w:left="0" w:leftChars="0"/>
        <w:jc w:val="center"/>
        <w:textAlignment w:val="auto"/>
        <w:outlineLvl w:val="2"/>
        <w:rPr>
          <w:rFonts w:hint="eastAsia" w:ascii="宋体" w:hAnsi="宋体" w:eastAsia="宋体" w:cs="宋体"/>
          <w:b/>
          <w:bCs/>
          <w:color w:val="auto"/>
          <w:sz w:val="24"/>
          <w:szCs w:val="24"/>
          <w:highlight w:val="none"/>
        </w:rPr>
      </w:pPr>
    </w:p>
    <w:p w14:paraId="5791D1C7">
      <w:pPr>
        <w:pageBreakBefore w:val="0"/>
        <w:kinsoku/>
        <w:wordWrap/>
        <w:overflowPunct/>
        <w:topLinePunct w:val="0"/>
        <w:bidi w:val="0"/>
        <w:spacing w:line="360" w:lineRule="exact"/>
        <w:ind w:left="0" w:leftChars="0"/>
        <w:jc w:val="center"/>
        <w:textAlignment w:val="auto"/>
        <w:outlineLvl w:val="2"/>
        <w:rPr>
          <w:rFonts w:hint="eastAsia" w:ascii="宋体" w:hAnsi="宋体" w:eastAsia="宋体" w:cs="宋体"/>
          <w:b/>
          <w:bCs/>
          <w:color w:val="auto"/>
          <w:sz w:val="24"/>
          <w:szCs w:val="24"/>
          <w:highlight w:val="none"/>
        </w:rPr>
      </w:pPr>
    </w:p>
    <w:p w14:paraId="57231097">
      <w:pPr>
        <w:pageBreakBefore w:val="0"/>
        <w:kinsoku/>
        <w:wordWrap/>
        <w:overflowPunct/>
        <w:topLinePunct w:val="0"/>
        <w:bidi w:val="0"/>
        <w:spacing w:line="360" w:lineRule="exact"/>
        <w:ind w:left="0" w:leftChars="0"/>
        <w:jc w:val="center"/>
        <w:textAlignment w:val="auto"/>
        <w:outlineLvl w:val="2"/>
        <w:rPr>
          <w:rFonts w:hint="eastAsia" w:ascii="宋体" w:hAnsi="宋体" w:eastAsia="宋体" w:cs="宋体"/>
          <w:b/>
          <w:bCs/>
          <w:color w:val="auto"/>
          <w:sz w:val="24"/>
          <w:szCs w:val="24"/>
          <w:highlight w:val="none"/>
        </w:rPr>
      </w:pPr>
    </w:p>
    <w:p w14:paraId="40E4A8EF">
      <w:pPr>
        <w:pageBreakBefore w:val="0"/>
        <w:kinsoku/>
        <w:wordWrap/>
        <w:overflowPunct/>
        <w:topLinePunct w:val="0"/>
        <w:bidi w:val="0"/>
        <w:spacing w:line="360" w:lineRule="exact"/>
        <w:ind w:left="0" w:leftChars="0"/>
        <w:jc w:val="center"/>
        <w:textAlignment w:val="auto"/>
        <w:outlineLvl w:val="2"/>
        <w:rPr>
          <w:rFonts w:hint="eastAsia" w:ascii="宋体" w:hAnsi="宋体" w:eastAsia="宋体" w:cs="宋体"/>
          <w:b/>
          <w:bCs/>
          <w:color w:val="auto"/>
          <w:sz w:val="24"/>
          <w:szCs w:val="24"/>
          <w:highlight w:val="none"/>
        </w:rPr>
      </w:pPr>
    </w:p>
    <w:p w14:paraId="3246DCEE">
      <w:pPr>
        <w:pageBreakBefore w:val="0"/>
        <w:kinsoku/>
        <w:wordWrap/>
        <w:overflowPunct/>
        <w:topLinePunct w:val="0"/>
        <w:bidi w:val="0"/>
        <w:spacing w:line="360" w:lineRule="exact"/>
        <w:ind w:left="0" w:leftChars="0"/>
        <w:jc w:val="center"/>
        <w:textAlignment w:val="auto"/>
        <w:outlineLvl w:val="2"/>
        <w:rPr>
          <w:rFonts w:hint="eastAsia" w:ascii="宋体" w:hAnsi="宋体" w:eastAsia="宋体" w:cs="宋体"/>
          <w:b/>
          <w:bCs/>
          <w:color w:val="auto"/>
          <w:sz w:val="24"/>
          <w:szCs w:val="24"/>
          <w:highlight w:val="none"/>
        </w:rPr>
      </w:pPr>
    </w:p>
    <w:p w14:paraId="7F14FCB3">
      <w:pPr>
        <w:pageBreakBefore w:val="0"/>
        <w:kinsoku/>
        <w:wordWrap/>
        <w:overflowPunct/>
        <w:topLinePunct w:val="0"/>
        <w:bidi w:val="0"/>
        <w:spacing w:line="360" w:lineRule="exact"/>
        <w:ind w:left="0" w:leftChars="0"/>
        <w:jc w:val="center"/>
        <w:textAlignment w:val="auto"/>
        <w:outlineLvl w:val="2"/>
        <w:rPr>
          <w:rFonts w:hint="eastAsia" w:ascii="宋体" w:hAnsi="宋体" w:eastAsia="宋体" w:cs="宋体"/>
          <w:b/>
          <w:bCs/>
          <w:color w:val="auto"/>
          <w:sz w:val="24"/>
          <w:szCs w:val="24"/>
          <w:highlight w:val="none"/>
        </w:rPr>
      </w:pPr>
    </w:p>
    <w:p w14:paraId="41BDCD93">
      <w:pPr>
        <w:pageBreakBefore w:val="0"/>
        <w:kinsoku/>
        <w:wordWrap/>
        <w:overflowPunct/>
        <w:topLinePunct w:val="0"/>
        <w:bidi w:val="0"/>
        <w:spacing w:line="360" w:lineRule="exact"/>
        <w:ind w:left="0" w:leftChars="0"/>
        <w:jc w:val="center"/>
        <w:textAlignment w:val="auto"/>
        <w:outlineLvl w:val="2"/>
        <w:rPr>
          <w:rFonts w:hint="eastAsia" w:ascii="宋体" w:hAnsi="宋体" w:eastAsia="宋体" w:cs="宋体"/>
          <w:b/>
          <w:bCs/>
          <w:color w:val="auto"/>
          <w:sz w:val="24"/>
          <w:szCs w:val="24"/>
          <w:highlight w:val="none"/>
        </w:rPr>
      </w:pPr>
    </w:p>
    <w:p w14:paraId="51A65F6E">
      <w:pPr>
        <w:pageBreakBefore w:val="0"/>
        <w:kinsoku/>
        <w:wordWrap/>
        <w:overflowPunct/>
        <w:topLinePunct w:val="0"/>
        <w:bidi w:val="0"/>
        <w:spacing w:line="360" w:lineRule="exact"/>
        <w:ind w:left="0" w:leftChars="0"/>
        <w:jc w:val="center"/>
        <w:textAlignment w:val="auto"/>
        <w:outlineLvl w:val="2"/>
        <w:rPr>
          <w:rFonts w:hint="eastAsia" w:ascii="宋体" w:hAnsi="宋体" w:eastAsia="宋体" w:cs="宋体"/>
          <w:b/>
          <w:bCs/>
          <w:color w:val="auto"/>
          <w:sz w:val="24"/>
          <w:szCs w:val="24"/>
          <w:highlight w:val="none"/>
        </w:rPr>
      </w:pPr>
    </w:p>
    <w:p w14:paraId="21087E8E">
      <w:pPr>
        <w:pageBreakBefore w:val="0"/>
        <w:kinsoku/>
        <w:wordWrap/>
        <w:overflowPunct/>
        <w:topLinePunct w:val="0"/>
        <w:bidi w:val="0"/>
        <w:spacing w:line="360" w:lineRule="exact"/>
        <w:ind w:left="0" w:leftChars="0"/>
        <w:jc w:val="center"/>
        <w:textAlignment w:val="auto"/>
        <w:outlineLvl w:val="2"/>
        <w:rPr>
          <w:rFonts w:hint="eastAsia" w:ascii="宋体" w:hAnsi="宋体" w:eastAsia="宋体" w:cs="宋体"/>
          <w:b/>
          <w:bCs/>
          <w:color w:val="auto"/>
          <w:sz w:val="24"/>
          <w:szCs w:val="24"/>
          <w:highlight w:val="none"/>
        </w:rPr>
      </w:pPr>
    </w:p>
    <w:p w14:paraId="3EA730E2">
      <w:pPr>
        <w:pageBreakBefore w:val="0"/>
        <w:kinsoku/>
        <w:wordWrap/>
        <w:overflowPunct/>
        <w:topLinePunct w:val="0"/>
        <w:bidi w:val="0"/>
        <w:spacing w:line="360" w:lineRule="exact"/>
        <w:ind w:left="0" w:leftChars="0"/>
        <w:jc w:val="center"/>
        <w:textAlignment w:val="auto"/>
        <w:outlineLvl w:val="2"/>
        <w:rPr>
          <w:rFonts w:hint="eastAsia" w:ascii="宋体" w:hAnsi="宋体" w:eastAsia="宋体" w:cs="宋体"/>
          <w:b/>
          <w:bCs/>
          <w:color w:val="auto"/>
          <w:sz w:val="24"/>
          <w:szCs w:val="24"/>
          <w:highlight w:val="none"/>
        </w:rPr>
      </w:pPr>
    </w:p>
    <w:p w14:paraId="4416C815">
      <w:pPr>
        <w:pageBreakBefore w:val="0"/>
        <w:kinsoku/>
        <w:wordWrap/>
        <w:overflowPunct/>
        <w:topLinePunct w:val="0"/>
        <w:bidi w:val="0"/>
        <w:spacing w:line="360" w:lineRule="exact"/>
        <w:ind w:left="0" w:leftChars="0"/>
        <w:jc w:val="center"/>
        <w:textAlignment w:val="auto"/>
        <w:outlineLvl w:val="2"/>
        <w:rPr>
          <w:rFonts w:hint="eastAsia" w:ascii="宋体" w:hAnsi="宋体" w:eastAsia="宋体" w:cs="宋体"/>
          <w:b/>
          <w:bCs/>
          <w:color w:val="auto"/>
          <w:sz w:val="24"/>
          <w:szCs w:val="24"/>
          <w:highlight w:val="none"/>
        </w:rPr>
      </w:pPr>
    </w:p>
    <w:p w14:paraId="3B57BCDB">
      <w:pPr>
        <w:pageBreakBefore w:val="0"/>
        <w:kinsoku/>
        <w:wordWrap/>
        <w:overflowPunct/>
        <w:topLinePunct w:val="0"/>
        <w:bidi w:val="0"/>
        <w:spacing w:line="360" w:lineRule="exact"/>
        <w:ind w:left="0" w:leftChars="0"/>
        <w:jc w:val="center"/>
        <w:textAlignment w:val="auto"/>
        <w:outlineLvl w:val="2"/>
        <w:rPr>
          <w:rFonts w:hint="eastAsia" w:ascii="宋体" w:hAnsi="宋体" w:eastAsia="宋体" w:cs="宋体"/>
          <w:b/>
          <w:bCs/>
          <w:color w:val="auto"/>
          <w:sz w:val="24"/>
          <w:szCs w:val="24"/>
          <w:highlight w:val="none"/>
        </w:rPr>
      </w:pPr>
    </w:p>
    <w:p w14:paraId="45473168">
      <w:pPr>
        <w:pageBreakBefore w:val="0"/>
        <w:kinsoku/>
        <w:wordWrap/>
        <w:overflowPunct/>
        <w:topLinePunct w:val="0"/>
        <w:bidi w:val="0"/>
        <w:spacing w:line="360" w:lineRule="exact"/>
        <w:ind w:left="0" w:leftChars="0"/>
        <w:jc w:val="center"/>
        <w:textAlignment w:val="auto"/>
        <w:outlineLvl w:val="2"/>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质疑函范本</w:t>
      </w:r>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p>
    <w:p w14:paraId="23202F13">
      <w:pPr>
        <w:pageBreakBefore w:val="0"/>
        <w:kinsoku/>
        <w:wordWrap/>
        <w:overflowPunct/>
        <w:topLinePunct w:val="0"/>
        <w:bidi w:val="0"/>
        <w:adjustRightInd w:val="0"/>
        <w:snapToGrid w:val="0"/>
        <w:spacing w:line="360" w:lineRule="exact"/>
        <w:ind w:left="0" w:leftChars="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一、质疑供应商基本信息</w:t>
      </w:r>
    </w:p>
    <w:p w14:paraId="69ECBA90">
      <w:pPr>
        <w:pageBreakBefore w:val="0"/>
        <w:kinsoku/>
        <w:wordWrap/>
        <w:overflowPunct/>
        <w:topLinePunct w:val="0"/>
        <w:bidi w:val="0"/>
        <w:adjustRightInd w:val="0"/>
        <w:snapToGrid w:val="0"/>
        <w:spacing w:line="360" w:lineRule="exact"/>
        <w:ind w:left="0" w:leftChars="0"/>
        <w:textAlignment w:val="auto"/>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质疑供应商：</w:t>
      </w:r>
      <w:r>
        <w:rPr>
          <w:rFonts w:hint="eastAsia" w:ascii="宋体" w:hAnsi="宋体" w:eastAsia="宋体" w:cs="宋体"/>
          <w:color w:val="auto"/>
          <w:sz w:val="24"/>
          <w:szCs w:val="24"/>
          <w:highlight w:val="none"/>
          <w:u w:val="single"/>
        </w:rPr>
        <w:t xml:space="preserve">                                        </w:t>
      </w:r>
    </w:p>
    <w:p w14:paraId="219BE939">
      <w:pPr>
        <w:pageBreakBefore w:val="0"/>
        <w:kinsoku/>
        <w:wordWrap/>
        <w:overflowPunct/>
        <w:topLinePunct w:val="0"/>
        <w:bidi w:val="0"/>
        <w:adjustRightInd w:val="0"/>
        <w:snapToGrid w:val="0"/>
        <w:spacing w:line="360" w:lineRule="exact"/>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邮编：</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dotted"/>
        </w:rPr>
        <w:t xml:space="preserve">                    </w:t>
      </w:r>
    </w:p>
    <w:p w14:paraId="40A292D3">
      <w:pPr>
        <w:pageBreakBefore w:val="0"/>
        <w:kinsoku/>
        <w:wordWrap/>
        <w:overflowPunct/>
        <w:topLinePunct w:val="0"/>
        <w:bidi w:val="0"/>
        <w:adjustRightInd w:val="0"/>
        <w:snapToGrid w:val="0"/>
        <w:spacing w:line="360" w:lineRule="exact"/>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u w:val="single"/>
        </w:rPr>
        <w:t xml:space="preserve">                              </w:t>
      </w:r>
    </w:p>
    <w:p w14:paraId="5EA71659">
      <w:pPr>
        <w:pageBreakBefore w:val="0"/>
        <w:kinsoku/>
        <w:wordWrap/>
        <w:overflowPunct/>
        <w:topLinePunct w:val="0"/>
        <w:bidi w:val="0"/>
        <w:adjustRightInd w:val="0"/>
        <w:snapToGrid w:val="0"/>
        <w:spacing w:line="360" w:lineRule="exact"/>
        <w:ind w:left="0" w:leftChars="0"/>
        <w:textAlignment w:val="auto"/>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授权代表：</w:t>
      </w:r>
      <w:r>
        <w:rPr>
          <w:rFonts w:hint="eastAsia" w:ascii="宋体" w:hAnsi="宋体" w:eastAsia="宋体" w:cs="宋体"/>
          <w:color w:val="auto"/>
          <w:sz w:val="24"/>
          <w:szCs w:val="24"/>
          <w:highlight w:val="none"/>
          <w:u w:val="single"/>
        </w:rPr>
        <w:t xml:space="preserve">                                          </w:t>
      </w:r>
    </w:p>
    <w:p w14:paraId="6F3DCB95">
      <w:pPr>
        <w:pageBreakBefore w:val="0"/>
        <w:kinsoku/>
        <w:wordWrap/>
        <w:overflowPunct/>
        <w:topLinePunct w:val="0"/>
        <w:bidi w:val="0"/>
        <w:adjustRightInd w:val="0"/>
        <w:snapToGrid w:val="0"/>
        <w:spacing w:line="360" w:lineRule="exact"/>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u w:val="single"/>
        </w:rPr>
        <w:t xml:space="preserve">                                          </w:t>
      </w:r>
    </w:p>
    <w:p w14:paraId="6F69E561">
      <w:pPr>
        <w:pageBreakBefore w:val="0"/>
        <w:kinsoku/>
        <w:wordWrap/>
        <w:overflowPunct/>
        <w:topLinePunct w:val="0"/>
        <w:bidi w:val="0"/>
        <w:adjustRightInd w:val="0"/>
        <w:snapToGrid w:val="0"/>
        <w:spacing w:line="360" w:lineRule="exact"/>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邮编：</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dotted"/>
        </w:rPr>
        <w:t xml:space="preserve">               </w:t>
      </w:r>
    </w:p>
    <w:p w14:paraId="104DEC8E">
      <w:pPr>
        <w:pageBreakBefore w:val="0"/>
        <w:kinsoku/>
        <w:wordWrap/>
        <w:overflowPunct/>
        <w:topLinePunct w:val="0"/>
        <w:bidi w:val="0"/>
        <w:adjustRightInd w:val="0"/>
        <w:snapToGrid w:val="0"/>
        <w:spacing w:line="360" w:lineRule="exact"/>
        <w:ind w:left="0" w:leftChars="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二、质疑项目基本情况</w:t>
      </w:r>
    </w:p>
    <w:p w14:paraId="1E725119">
      <w:pPr>
        <w:pageBreakBefore w:val="0"/>
        <w:kinsoku/>
        <w:wordWrap/>
        <w:overflowPunct/>
        <w:topLinePunct w:val="0"/>
        <w:bidi w:val="0"/>
        <w:adjustRightInd w:val="0"/>
        <w:snapToGrid w:val="0"/>
        <w:spacing w:line="360" w:lineRule="exact"/>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质疑项目的名称：</w:t>
      </w:r>
      <w:r>
        <w:rPr>
          <w:rFonts w:hint="eastAsia" w:ascii="宋体" w:hAnsi="宋体" w:eastAsia="宋体" w:cs="宋体"/>
          <w:color w:val="auto"/>
          <w:sz w:val="24"/>
          <w:szCs w:val="24"/>
          <w:highlight w:val="none"/>
          <w:u w:val="single"/>
        </w:rPr>
        <w:t xml:space="preserve">                                      </w:t>
      </w:r>
    </w:p>
    <w:p w14:paraId="4022B1CF">
      <w:pPr>
        <w:pageBreakBefore w:val="0"/>
        <w:kinsoku/>
        <w:wordWrap/>
        <w:overflowPunct/>
        <w:topLinePunct w:val="0"/>
        <w:bidi w:val="0"/>
        <w:adjustRightInd w:val="0"/>
        <w:snapToGrid w:val="0"/>
        <w:spacing w:line="360" w:lineRule="exact"/>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质疑项目的编号：</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包号：</w:t>
      </w:r>
      <w:r>
        <w:rPr>
          <w:rFonts w:hint="eastAsia" w:ascii="宋体" w:hAnsi="宋体" w:eastAsia="宋体" w:cs="宋体"/>
          <w:color w:val="auto"/>
          <w:sz w:val="24"/>
          <w:szCs w:val="24"/>
          <w:highlight w:val="none"/>
          <w:u w:val="single"/>
        </w:rPr>
        <w:t xml:space="preserve">                 </w:t>
      </w:r>
    </w:p>
    <w:p w14:paraId="5DB4B76D">
      <w:pPr>
        <w:pageBreakBefore w:val="0"/>
        <w:kinsoku/>
        <w:wordWrap/>
        <w:overflowPunct/>
        <w:topLinePunct w:val="0"/>
        <w:bidi w:val="0"/>
        <w:adjustRightInd w:val="0"/>
        <w:snapToGrid w:val="0"/>
        <w:spacing w:line="360" w:lineRule="exact"/>
        <w:ind w:left="0" w:leftChars="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采购人名称：</w:t>
      </w:r>
      <w:r>
        <w:rPr>
          <w:rFonts w:hint="eastAsia" w:ascii="宋体" w:hAnsi="宋体" w:eastAsia="宋体" w:cs="宋体"/>
          <w:color w:val="auto"/>
          <w:sz w:val="24"/>
          <w:szCs w:val="24"/>
          <w:highlight w:val="none"/>
          <w:u w:val="single"/>
        </w:rPr>
        <w:t xml:space="preserve">                                         </w:t>
      </w:r>
    </w:p>
    <w:p w14:paraId="4B1D6289">
      <w:pPr>
        <w:pageBreakBefore w:val="0"/>
        <w:kinsoku/>
        <w:wordWrap/>
        <w:overflowPunct/>
        <w:topLinePunct w:val="0"/>
        <w:bidi w:val="0"/>
        <w:adjustRightInd w:val="0"/>
        <w:snapToGrid w:val="0"/>
        <w:spacing w:line="360" w:lineRule="exact"/>
        <w:ind w:left="0" w:leftChars="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采购文件获取日期：</w:t>
      </w:r>
      <w:r>
        <w:rPr>
          <w:rFonts w:hint="eastAsia" w:ascii="宋体" w:hAnsi="宋体" w:eastAsia="宋体" w:cs="宋体"/>
          <w:color w:val="auto"/>
          <w:sz w:val="24"/>
          <w:szCs w:val="24"/>
          <w:highlight w:val="none"/>
          <w:u w:val="single"/>
        </w:rPr>
        <w:t xml:space="preserve">                                           </w:t>
      </w:r>
    </w:p>
    <w:p w14:paraId="3DD70549">
      <w:pPr>
        <w:pageBreakBefore w:val="0"/>
        <w:kinsoku/>
        <w:wordWrap/>
        <w:overflowPunct/>
        <w:topLinePunct w:val="0"/>
        <w:bidi w:val="0"/>
        <w:adjustRightInd w:val="0"/>
        <w:snapToGrid w:val="0"/>
        <w:spacing w:line="360" w:lineRule="exact"/>
        <w:ind w:left="0" w:leftChars="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三、质疑事项具体内容</w:t>
      </w:r>
    </w:p>
    <w:p w14:paraId="51CD72D1">
      <w:pPr>
        <w:pageBreakBefore w:val="0"/>
        <w:kinsoku/>
        <w:wordWrap/>
        <w:overflowPunct/>
        <w:topLinePunct w:val="0"/>
        <w:bidi w:val="0"/>
        <w:adjustRightInd w:val="0"/>
        <w:snapToGrid w:val="0"/>
        <w:spacing w:line="360" w:lineRule="exact"/>
        <w:ind w:left="0" w:leftChars="0"/>
        <w:textAlignment w:val="auto"/>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质疑事项1：</w:t>
      </w:r>
      <w:r>
        <w:rPr>
          <w:rFonts w:hint="eastAsia" w:ascii="宋体" w:hAnsi="宋体" w:eastAsia="宋体" w:cs="宋体"/>
          <w:color w:val="auto"/>
          <w:sz w:val="24"/>
          <w:szCs w:val="24"/>
          <w:highlight w:val="none"/>
          <w:u w:val="single"/>
        </w:rPr>
        <w:t xml:space="preserve">                                         </w:t>
      </w:r>
    </w:p>
    <w:p w14:paraId="2DB602CA">
      <w:pPr>
        <w:pageBreakBefore w:val="0"/>
        <w:kinsoku/>
        <w:wordWrap/>
        <w:overflowPunct/>
        <w:topLinePunct w:val="0"/>
        <w:bidi w:val="0"/>
        <w:adjustRightInd w:val="0"/>
        <w:snapToGrid w:val="0"/>
        <w:spacing w:line="360" w:lineRule="exact"/>
        <w:ind w:left="0" w:leftChars="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事实依据：</w:t>
      </w:r>
      <w:r>
        <w:rPr>
          <w:rFonts w:hint="eastAsia" w:ascii="宋体" w:hAnsi="宋体" w:eastAsia="宋体" w:cs="宋体"/>
          <w:color w:val="auto"/>
          <w:sz w:val="24"/>
          <w:szCs w:val="24"/>
          <w:highlight w:val="none"/>
          <w:u w:val="single"/>
        </w:rPr>
        <w:t xml:space="preserve">                                          </w:t>
      </w:r>
    </w:p>
    <w:p w14:paraId="58175E6E">
      <w:pPr>
        <w:pageBreakBefore w:val="0"/>
        <w:kinsoku/>
        <w:wordWrap/>
        <w:overflowPunct/>
        <w:topLinePunct w:val="0"/>
        <w:bidi w:val="0"/>
        <w:adjustRightInd w:val="0"/>
        <w:snapToGrid w:val="0"/>
        <w:spacing w:line="360" w:lineRule="exact"/>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p>
    <w:p w14:paraId="33CB9E5D">
      <w:pPr>
        <w:pageBreakBefore w:val="0"/>
        <w:kinsoku/>
        <w:wordWrap/>
        <w:overflowPunct/>
        <w:topLinePunct w:val="0"/>
        <w:bidi w:val="0"/>
        <w:adjustRightInd w:val="0"/>
        <w:snapToGrid w:val="0"/>
        <w:spacing w:line="360" w:lineRule="exact"/>
        <w:ind w:left="0" w:leftChars="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法律依据：</w:t>
      </w:r>
      <w:r>
        <w:rPr>
          <w:rFonts w:hint="eastAsia" w:ascii="宋体" w:hAnsi="宋体" w:eastAsia="宋体" w:cs="宋体"/>
          <w:color w:val="auto"/>
          <w:sz w:val="24"/>
          <w:szCs w:val="24"/>
          <w:highlight w:val="none"/>
          <w:u w:val="single"/>
        </w:rPr>
        <w:t xml:space="preserve">                                          </w:t>
      </w:r>
    </w:p>
    <w:p w14:paraId="7A6BAED4">
      <w:pPr>
        <w:pageBreakBefore w:val="0"/>
        <w:kinsoku/>
        <w:wordWrap/>
        <w:overflowPunct/>
        <w:topLinePunct w:val="0"/>
        <w:bidi w:val="0"/>
        <w:adjustRightInd w:val="0"/>
        <w:snapToGrid w:val="0"/>
        <w:spacing w:line="360" w:lineRule="exact"/>
        <w:ind w:left="0" w:leftChars="0"/>
        <w:textAlignment w:val="auto"/>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u w:val="single"/>
        </w:rPr>
        <w:t xml:space="preserve">                                                     </w:t>
      </w:r>
    </w:p>
    <w:p w14:paraId="25391418">
      <w:pPr>
        <w:pageBreakBefore w:val="0"/>
        <w:kinsoku/>
        <w:wordWrap/>
        <w:overflowPunct/>
        <w:topLinePunct w:val="0"/>
        <w:bidi w:val="0"/>
        <w:adjustRightInd w:val="0"/>
        <w:snapToGrid w:val="0"/>
        <w:spacing w:line="360" w:lineRule="exact"/>
        <w:ind w:left="0" w:leftChars="0"/>
        <w:textAlignment w:val="auto"/>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质疑事项2</w:t>
      </w:r>
    </w:p>
    <w:p w14:paraId="06D95003">
      <w:pPr>
        <w:pageBreakBefore w:val="0"/>
        <w:kinsoku/>
        <w:wordWrap/>
        <w:overflowPunct/>
        <w:topLinePunct w:val="0"/>
        <w:bidi w:val="0"/>
        <w:adjustRightInd w:val="0"/>
        <w:snapToGrid w:val="0"/>
        <w:spacing w:line="360" w:lineRule="exact"/>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p w14:paraId="468162E0">
      <w:pPr>
        <w:pageBreakBefore w:val="0"/>
        <w:kinsoku/>
        <w:wordWrap/>
        <w:overflowPunct/>
        <w:topLinePunct w:val="0"/>
        <w:bidi w:val="0"/>
        <w:adjustRightInd w:val="0"/>
        <w:snapToGrid w:val="0"/>
        <w:spacing w:line="360" w:lineRule="exact"/>
        <w:ind w:left="0" w:leftChars="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四、与质疑事项相关的质疑请求</w:t>
      </w:r>
    </w:p>
    <w:p w14:paraId="12F5F0C6">
      <w:pPr>
        <w:pageBreakBefore w:val="0"/>
        <w:kinsoku/>
        <w:wordWrap/>
        <w:overflowPunct/>
        <w:topLinePunct w:val="0"/>
        <w:bidi w:val="0"/>
        <w:adjustRightInd w:val="0"/>
        <w:snapToGrid w:val="0"/>
        <w:spacing w:line="360" w:lineRule="exact"/>
        <w:ind w:left="0" w:leftChars="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请求：</w:t>
      </w:r>
      <w:r>
        <w:rPr>
          <w:rFonts w:hint="eastAsia" w:ascii="宋体" w:hAnsi="宋体" w:eastAsia="宋体" w:cs="宋体"/>
          <w:color w:val="auto"/>
          <w:sz w:val="24"/>
          <w:szCs w:val="24"/>
          <w:highlight w:val="none"/>
          <w:u w:val="single"/>
        </w:rPr>
        <w:t xml:space="preserve">                                               </w:t>
      </w:r>
    </w:p>
    <w:p w14:paraId="3459E7B4">
      <w:pPr>
        <w:pageBreakBefore w:val="0"/>
        <w:kinsoku/>
        <w:wordWrap/>
        <w:overflowPunct/>
        <w:topLinePunct w:val="0"/>
        <w:bidi w:val="0"/>
        <w:spacing w:line="360" w:lineRule="exact"/>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签字(签章)：                   公章：                      </w:t>
      </w:r>
    </w:p>
    <w:p w14:paraId="794B26E1">
      <w:pPr>
        <w:pageBreakBefore w:val="0"/>
        <w:kinsoku/>
        <w:wordWrap/>
        <w:overflowPunct/>
        <w:topLinePunct w:val="0"/>
        <w:bidi w:val="0"/>
        <w:spacing w:line="360" w:lineRule="exact"/>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日期：    </w:t>
      </w:r>
    </w:p>
    <w:p w14:paraId="50144143">
      <w:pPr>
        <w:pageBreakBefore w:val="0"/>
        <w:kinsoku/>
        <w:wordWrap/>
        <w:overflowPunct/>
        <w:topLinePunct w:val="0"/>
        <w:bidi w:val="0"/>
        <w:spacing w:line="360" w:lineRule="exact"/>
        <w:ind w:left="0" w:leftChars="0"/>
        <w:textAlignment w:val="auto"/>
        <w:rPr>
          <w:rFonts w:hint="eastAsia" w:ascii="宋体" w:hAnsi="宋体" w:eastAsia="宋体" w:cs="宋体"/>
          <w:b/>
          <w:color w:val="auto"/>
          <w:sz w:val="24"/>
          <w:szCs w:val="24"/>
          <w:highlight w:val="none"/>
        </w:rPr>
      </w:pPr>
    </w:p>
    <w:p w14:paraId="7C479ADB">
      <w:pPr>
        <w:pageBreakBefore w:val="0"/>
        <w:kinsoku/>
        <w:wordWrap/>
        <w:overflowPunct/>
        <w:topLinePunct w:val="0"/>
        <w:bidi w:val="0"/>
        <w:spacing w:line="360" w:lineRule="exact"/>
        <w:ind w:left="0" w:left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质疑函制作说明：</w:t>
      </w:r>
    </w:p>
    <w:p w14:paraId="7C3B0EA2">
      <w:pPr>
        <w:pageBreakBefore w:val="0"/>
        <w:widowControl/>
        <w:kinsoku/>
        <w:wordWrap/>
        <w:overflowPunct/>
        <w:topLinePunct w:val="0"/>
        <w:bidi w:val="0"/>
        <w:spacing w:line="360" w:lineRule="exact"/>
        <w:ind w:left="0" w:lef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1.供应商提出质疑时，应提交质疑函和必要的证明材料。</w:t>
      </w:r>
    </w:p>
    <w:p w14:paraId="50FCAD5E">
      <w:pPr>
        <w:pageBreakBefore w:val="0"/>
        <w:widowControl/>
        <w:kinsoku/>
        <w:wordWrap/>
        <w:overflowPunct/>
        <w:topLinePunct w:val="0"/>
        <w:bidi w:val="0"/>
        <w:spacing w:line="360" w:lineRule="exact"/>
        <w:ind w:left="0" w:lef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2.质疑供应商若委托代理人进行质疑的，质疑函应按要求列明“授权代表”的有关内容，并在附件中提交由质疑</w:t>
      </w:r>
      <w:r>
        <w:rPr>
          <w:rFonts w:hint="eastAsia" w:ascii="宋体" w:hAnsi="宋体" w:eastAsia="宋体" w:cs="宋体"/>
          <w:color w:val="auto"/>
          <w:kern w:val="0"/>
          <w:sz w:val="24"/>
          <w:szCs w:val="24"/>
          <w:highlight w:val="none"/>
        </w:rPr>
        <w:t>供应商签署的授权委托书。授权委托书应载明代理人的姓名或者名称、代理事项、具体权限、期限和相关事项。</w:t>
      </w:r>
    </w:p>
    <w:p w14:paraId="798A7825">
      <w:pPr>
        <w:pageBreakBefore w:val="0"/>
        <w:widowControl/>
        <w:kinsoku/>
        <w:wordWrap/>
        <w:overflowPunct/>
        <w:topLinePunct w:val="0"/>
        <w:bidi w:val="0"/>
        <w:spacing w:line="360" w:lineRule="exact"/>
        <w:ind w:left="0" w:lef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3.质疑供应商若对项目的某一分包进行质疑，质疑函中应列明具体分包号。</w:t>
      </w:r>
    </w:p>
    <w:p w14:paraId="3D824E8D">
      <w:pPr>
        <w:pageBreakBefore w:val="0"/>
        <w:widowControl/>
        <w:kinsoku/>
        <w:wordWrap/>
        <w:overflowPunct/>
        <w:topLinePunct w:val="0"/>
        <w:bidi w:val="0"/>
        <w:spacing w:line="360" w:lineRule="exact"/>
        <w:ind w:left="0" w:lef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4.质疑函的质疑事项应具体、明确，并有必要的事实依据和法律依据。</w:t>
      </w:r>
    </w:p>
    <w:p w14:paraId="32CEF419">
      <w:pPr>
        <w:pageBreakBefore w:val="0"/>
        <w:widowControl/>
        <w:kinsoku/>
        <w:wordWrap/>
        <w:overflowPunct/>
        <w:topLinePunct w:val="0"/>
        <w:bidi w:val="0"/>
        <w:spacing w:line="360" w:lineRule="exact"/>
        <w:ind w:left="0" w:lef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5.质疑函的质疑请求应与质疑事项相关。</w:t>
      </w:r>
    </w:p>
    <w:p w14:paraId="4104F0C0">
      <w:pPr>
        <w:pageBreakBefore w:val="0"/>
        <w:widowControl/>
        <w:kinsoku/>
        <w:wordWrap/>
        <w:overflowPunct/>
        <w:topLinePunct w:val="0"/>
        <w:bidi w:val="0"/>
        <w:spacing w:line="360" w:lineRule="exact"/>
        <w:ind w:left="0" w:leftChars="0" w:firstLine="480" w:firstLineChars="200"/>
        <w:jc w:val="left"/>
        <w:textAlignment w:val="auto"/>
        <w:rPr>
          <w:rFonts w:hint="eastAsia" w:ascii="宋体" w:hAnsi="宋体" w:eastAsia="宋体" w:cs="宋体"/>
          <w:color w:val="auto"/>
          <w:highlight w:val="none"/>
        </w:rPr>
      </w:pPr>
      <w:r>
        <w:rPr>
          <w:rFonts w:hint="eastAsia" w:ascii="宋体" w:hAnsi="宋体" w:eastAsia="宋体" w:cs="宋体"/>
          <w:color w:val="auto"/>
          <w:sz w:val="24"/>
          <w:szCs w:val="24"/>
          <w:highlight w:val="none"/>
        </w:rPr>
        <w:t>6.质疑供应商为自然人的，质疑函应由本人签字；质疑供应商为法人或者其他组织的，质疑函应由法定代表人、主要负责人，或者其授权代表签字或者盖章，并加盖公章。</w:t>
      </w:r>
      <w:r>
        <w:rPr>
          <w:rFonts w:hint="eastAsia" w:ascii="宋体" w:hAnsi="宋体" w:eastAsia="宋体" w:cs="宋体"/>
          <w:color w:val="auto"/>
          <w:highlight w:val="none"/>
        </w:rPr>
        <w:br w:type="page"/>
      </w:r>
      <w:bookmarkStart w:id="261" w:name="_Toc21748"/>
      <w:bookmarkStart w:id="262" w:name="_Toc11469"/>
      <w:bookmarkStart w:id="263" w:name="_Toc515647799"/>
      <w:bookmarkStart w:id="264" w:name="_Toc16186"/>
    </w:p>
    <w:p w14:paraId="698A0470">
      <w:pPr>
        <w:pStyle w:val="3"/>
        <w:spacing w:before="0" w:line="240" w:lineRule="atLeast"/>
        <w:ind w:left="1079" w:leftChars="257" w:hanging="540"/>
        <w:rPr>
          <w:rFonts w:hint="eastAsia" w:ascii="宋体" w:hAnsi="宋体" w:eastAsia="宋体" w:cs="宋体"/>
          <w:color w:val="auto"/>
          <w:szCs w:val="24"/>
          <w:highlight w:val="none"/>
        </w:rPr>
      </w:pPr>
      <w:r>
        <w:rPr>
          <w:rFonts w:hint="eastAsia" w:ascii="宋体" w:hAnsi="宋体" w:eastAsia="宋体" w:cs="宋体"/>
          <w:color w:val="auto"/>
          <w:sz w:val="28"/>
          <w:szCs w:val="22"/>
          <w:highlight w:val="none"/>
        </w:rPr>
        <w:t>附件1：履约保证金保函（格式）</w:t>
      </w:r>
      <w:bookmarkEnd w:id="261"/>
      <w:bookmarkEnd w:id="262"/>
      <w:bookmarkEnd w:id="263"/>
      <w:bookmarkEnd w:id="264"/>
    </w:p>
    <w:p w14:paraId="3F9FEF6A">
      <w:pPr>
        <w:pStyle w:val="13"/>
        <w:spacing w:line="240" w:lineRule="atLeast"/>
        <w:ind w:left="1079" w:leftChars="257" w:hanging="54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                         （中标后开具）</w:t>
      </w:r>
    </w:p>
    <w:p w14:paraId="4C38679F">
      <w:pPr>
        <w:pStyle w:val="13"/>
        <w:spacing w:line="240" w:lineRule="atLeast"/>
        <w:ind w:left="1079" w:leftChars="257" w:hanging="540"/>
        <w:rPr>
          <w:rFonts w:hint="eastAsia" w:ascii="宋体" w:hAnsi="宋体" w:eastAsia="宋体" w:cs="宋体"/>
          <w:b/>
          <w:color w:val="auto"/>
          <w:sz w:val="24"/>
          <w:highlight w:val="none"/>
        </w:rPr>
      </w:pPr>
    </w:p>
    <w:p w14:paraId="5D1939CE">
      <w:pPr>
        <w:pStyle w:val="13"/>
        <w:spacing w:line="240" w:lineRule="atLeast"/>
        <w:rPr>
          <w:rFonts w:hint="eastAsia" w:ascii="宋体" w:hAnsi="宋体" w:eastAsia="宋体" w:cs="宋体"/>
          <w:color w:val="auto"/>
          <w:sz w:val="24"/>
          <w:highlight w:val="none"/>
        </w:rPr>
      </w:pPr>
      <w:r>
        <w:rPr>
          <w:rFonts w:hint="eastAsia" w:ascii="宋体" w:hAnsi="宋体" w:eastAsia="宋体" w:cs="宋体"/>
          <w:color w:val="auto"/>
          <w:sz w:val="24"/>
          <w:highlight w:val="none"/>
        </w:rPr>
        <w:t>致: (</w:t>
      </w:r>
      <w:r>
        <w:rPr>
          <w:rFonts w:hint="eastAsia" w:ascii="宋体" w:hAnsi="宋体" w:eastAsia="宋体" w:cs="宋体"/>
          <w:i/>
          <w:color w:val="auto"/>
          <w:sz w:val="24"/>
          <w:highlight w:val="none"/>
          <w:u w:val="single"/>
        </w:rPr>
        <w:t>买方名称</w:t>
      </w:r>
      <w:r>
        <w:rPr>
          <w:rFonts w:hint="eastAsia" w:ascii="宋体" w:hAnsi="宋体" w:eastAsia="宋体" w:cs="宋体"/>
          <w:color w:val="auto"/>
          <w:sz w:val="24"/>
          <w:highlight w:val="none"/>
        </w:rPr>
        <w:t>)</w:t>
      </w:r>
    </w:p>
    <w:p w14:paraId="5EAF90C8">
      <w:pPr>
        <w:pStyle w:val="13"/>
        <w:spacing w:line="240" w:lineRule="atLeast"/>
        <w:ind w:left="1079" w:leftChars="257" w:hanging="54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号合同履约保函</w:t>
      </w:r>
    </w:p>
    <w:p w14:paraId="2CB1CF29">
      <w:pPr>
        <w:pStyle w:val="13"/>
        <w:spacing w:line="240" w:lineRule="atLeast"/>
        <w:ind w:left="1079" w:leftChars="257" w:hanging="540"/>
        <w:jc w:val="center"/>
        <w:rPr>
          <w:rFonts w:hint="eastAsia" w:ascii="宋体" w:hAnsi="宋体" w:eastAsia="宋体" w:cs="宋体"/>
          <w:color w:val="auto"/>
          <w:sz w:val="24"/>
          <w:highlight w:val="none"/>
        </w:rPr>
      </w:pPr>
    </w:p>
    <w:p w14:paraId="62787488">
      <w:pPr>
        <w:pStyle w:val="13"/>
        <w:spacing w:line="240" w:lineRule="atLeast"/>
        <w:ind w:firstLine="600" w:firstLineChars="250"/>
        <w:rPr>
          <w:rFonts w:hint="eastAsia" w:ascii="宋体" w:hAnsi="宋体" w:eastAsia="宋体" w:cs="宋体"/>
          <w:color w:val="auto"/>
          <w:sz w:val="24"/>
          <w:highlight w:val="none"/>
        </w:rPr>
      </w:pPr>
      <w:r>
        <w:rPr>
          <w:rFonts w:hint="eastAsia" w:ascii="宋体" w:hAnsi="宋体" w:eastAsia="宋体" w:cs="宋体"/>
          <w:color w:val="auto"/>
          <w:sz w:val="24"/>
          <w:highlight w:val="none"/>
        </w:rPr>
        <w:t>本保函作为贵方与(</w:t>
      </w:r>
      <w:r>
        <w:rPr>
          <w:rFonts w:hint="eastAsia" w:ascii="宋体" w:hAnsi="宋体" w:eastAsia="宋体" w:cs="宋体"/>
          <w:i/>
          <w:color w:val="auto"/>
          <w:sz w:val="24"/>
          <w:highlight w:val="none"/>
          <w:u w:val="single"/>
        </w:rPr>
        <w:t>卖方名称</w:t>
      </w:r>
      <w:r>
        <w:rPr>
          <w:rFonts w:hint="eastAsia" w:ascii="宋体" w:hAnsi="宋体" w:eastAsia="宋体" w:cs="宋体"/>
          <w:color w:val="auto"/>
          <w:sz w:val="24"/>
          <w:highlight w:val="none"/>
        </w:rPr>
        <w:t>)(以下简称卖方)于</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日就</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项目(以下简称项目)项下提供(</w:t>
      </w:r>
      <w:r>
        <w:rPr>
          <w:rFonts w:hint="eastAsia" w:ascii="宋体" w:hAnsi="宋体" w:eastAsia="宋体" w:cs="宋体"/>
          <w:i/>
          <w:color w:val="auto"/>
          <w:sz w:val="24"/>
          <w:highlight w:val="none"/>
          <w:u w:val="single"/>
        </w:rPr>
        <w:t>货物名称</w:t>
      </w:r>
      <w:r>
        <w:rPr>
          <w:rFonts w:hint="eastAsia" w:ascii="宋体" w:hAnsi="宋体" w:eastAsia="宋体" w:cs="宋体"/>
          <w:color w:val="auto"/>
          <w:sz w:val="24"/>
          <w:highlight w:val="none"/>
        </w:rPr>
        <w:t>)(以下简称货物)签订的(</w:t>
      </w:r>
      <w:r>
        <w:rPr>
          <w:rFonts w:hint="eastAsia" w:ascii="宋体" w:hAnsi="宋体" w:eastAsia="宋体" w:cs="宋体"/>
          <w:i/>
          <w:color w:val="auto"/>
          <w:sz w:val="24"/>
          <w:highlight w:val="none"/>
          <w:u w:val="single"/>
        </w:rPr>
        <w:t>合同号</w:t>
      </w:r>
      <w:r>
        <w:rPr>
          <w:rFonts w:hint="eastAsia" w:ascii="宋体" w:hAnsi="宋体" w:eastAsia="宋体" w:cs="宋体"/>
          <w:color w:val="auto"/>
          <w:sz w:val="24"/>
          <w:highlight w:val="none"/>
        </w:rPr>
        <w:t>)号合同的履约保函。</w:t>
      </w:r>
    </w:p>
    <w:p w14:paraId="5E945F46">
      <w:pPr>
        <w:pStyle w:val="13"/>
        <w:spacing w:line="240" w:lineRule="atLeast"/>
        <w:ind w:firstLine="540" w:firstLineChars="225"/>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i/>
          <w:color w:val="auto"/>
          <w:sz w:val="24"/>
          <w:highlight w:val="none"/>
          <w:u w:val="single"/>
        </w:rPr>
        <w:t>出具保函的银行名称</w:t>
      </w:r>
      <w:r>
        <w:rPr>
          <w:rFonts w:hint="eastAsia" w:ascii="宋体" w:hAnsi="宋体" w:eastAsia="宋体" w:cs="宋体"/>
          <w:color w:val="auto"/>
          <w:sz w:val="24"/>
          <w:highlight w:val="none"/>
        </w:rPr>
        <w:t>)(以下简称银行)无条件地、不可撤销地具结保证本行、其继承人和受让人无追索地向贵方以(</w:t>
      </w:r>
      <w:r>
        <w:rPr>
          <w:rFonts w:hint="eastAsia" w:ascii="宋体" w:hAnsi="宋体" w:eastAsia="宋体" w:cs="宋体"/>
          <w:i/>
          <w:color w:val="auto"/>
          <w:sz w:val="24"/>
          <w:highlight w:val="none"/>
          <w:u w:val="single"/>
        </w:rPr>
        <w:t>货币名称</w:t>
      </w:r>
      <w:r>
        <w:rPr>
          <w:rFonts w:hint="eastAsia" w:ascii="宋体" w:hAnsi="宋体" w:eastAsia="宋体" w:cs="宋体"/>
          <w:color w:val="auto"/>
          <w:sz w:val="24"/>
          <w:highlight w:val="none"/>
        </w:rPr>
        <w:t>)支付总额不超过(</w:t>
      </w:r>
      <w:r>
        <w:rPr>
          <w:rFonts w:hint="eastAsia" w:ascii="宋体" w:hAnsi="宋体" w:eastAsia="宋体" w:cs="宋体"/>
          <w:i/>
          <w:color w:val="auto"/>
          <w:sz w:val="24"/>
          <w:highlight w:val="none"/>
          <w:u w:val="single"/>
        </w:rPr>
        <w:t>货币数量</w:t>
      </w:r>
      <w:r>
        <w:rPr>
          <w:rFonts w:hint="eastAsia" w:ascii="宋体" w:hAnsi="宋体" w:eastAsia="宋体" w:cs="宋体"/>
          <w:color w:val="auto"/>
          <w:sz w:val="24"/>
          <w:highlight w:val="none"/>
        </w:rPr>
        <w:t>),即相当于合同价格的</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%,并以此约定如下:</w:t>
      </w:r>
    </w:p>
    <w:p w14:paraId="1E7B371A">
      <w:pPr>
        <w:pStyle w:val="13"/>
        <w:spacing w:line="240" w:lineRule="atLeast"/>
        <w:ind w:left="539" w:leftChars="257"/>
        <w:rPr>
          <w:rFonts w:hint="eastAsia" w:ascii="宋体" w:hAnsi="宋体" w:eastAsia="宋体" w:cs="宋体"/>
          <w:color w:val="auto"/>
          <w:sz w:val="24"/>
          <w:highlight w:val="none"/>
        </w:rPr>
      </w:pPr>
      <w:r>
        <w:rPr>
          <w:rFonts w:hint="eastAsia" w:ascii="宋体" w:hAnsi="宋体" w:eastAsia="宋体" w:cs="宋体"/>
          <w:color w:val="auto"/>
          <w:sz w:val="24"/>
          <w:highlight w:val="none"/>
        </w:rPr>
        <w:t>1.只要贵方确定卖方未能忠实地履行所有合同文件的规定和双方此后一致 同意的修改、补充和变动,包括更改和/或修补贵方认为有缺陷的货物(以下简称违约),无论卖方有任何反对,本行将凭贵方关于卖方违约说明的书面通知,立即按贵方提出的累计总额不超过上述金额的款项和按贵方通知规定的方式付给贵方。</w:t>
      </w:r>
    </w:p>
    <w:p w14:paraId="5C1A46CB">
      <w:pPr>
        <w:pStyle w:val="13"/>
        <w:spacing w:line="240" w:lineRule="atLeast"/>
        <w:ind w:left="540"/>
        <w:rPr>
          <w:rFonts w:hint="eastAsia" w:ascii="宋体" w:hAnsi="宋体" w:eastAsia="宋体" w:cs="宋体"/>
          <w:color w:val="auto"/>
          <w:sz w:val="24"/>
          <w:highlight w:val="none"/>
        </w:rPr>
      </w:pPr>
      <w:r>
        <w:rPr>
          <w:rFonts w:hint="eastAsia" w:ascii="宋体" w:hAnsi="宋体" w:eastAsia="宋体" w:cs="宋体"/>
          <w:color w:val="auto"/>
          <w:sz w:val="24"/>
          <w:highlight w:val="none"/>
        </w:rPr>
        <w:t>2.本保函项下的任何支付应为免税和净值。对于现有或将来的税收、关税、收费、费用扣减或预提税款，不论这些款项是何种性质和由谁征收，都不应从本保函项下的支付中扣除。</w:t>
      </w:r>
    </w:p>
    <w:p w14:paraId="4AD95E1F">
      <w:pPr>
        <w:pStyle w:val="13"/>
        <w:spacing w:line="240" w:lineRule="atLeast"/>
        <w:ind w:left="540"/>
        <w:rPr>
          <w:rFonts w:hint="eastAsia" w:ascii="宋体" w:hAnsi="宋体" w:eastAsia="宋体" w:cs="宋体"/>
          <w:color w:val="auto"/>
          <w:sz w:val="24"/>
          <w:highlight w:val="none"/>
        </w:rPr>
      </w:pPr>
      <w:r>
        <w:rPr>
          <w:rFonts w:hint="eastAsia" w:ascii="宋体" w:hAnsi="宋体" w:eastAsia="宋体" w:cs="宋体"/>
          <w:color w:val="auto"/>
          <w:sz w:val="24"/>
          <w:highlight w:val="none"/>
        </w:rPr>
        <w:t>3.本保函的条款构成本行无条件的、不可撤销的直接责任。对即将履行的合同条款的任何变更、贵方在时间上的宽限、或由贵方采取的如果没有本款可能免除本行责任的任何其它行为，均不能解除或免除本行在本保函项下的责任。</w:t>
      </w:r>
    </w:p>
    <w:p w14:paraId="7B4F332D">
      <w:pPr>
        <w:pStyle w:val="13"/>
        <w:spacing w:line="240" w:lineRule="atLeast"/>
        <w:ind w:left="1079"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4.本保函在本合同规定的保证期期满前完全有效。</w:t>
      </w:r>
    </w:p>
    <w:p w14:paraId="6ECC6F96">
      <w:pPr>
        <w:pStyle w:val="13"/>
        <w:spacing w:line="240" w:lineRule="atLeast"/>
        <w:ind w:left="1079" w:leftChars="257" w:hanging="540"/>
        <w:rPr>
          <w:rFonts w:hint="eastAsia" w:ascii="宋体" w:hAnsi="宋体" w:eastAsia="宋体" w:cs="宋体"/>
          <w:color w:val="auto"/>
          <w:sz w:val="24"/>
          <w:highlight w:val="none"/>
        </w:rPr>
      </w:pPr>
    </w:p>
    <w:p w14:paraId="06C3C17E">
      <w:pPr>
        <w:pStyle w:val="13"/>
        <w:spacing w:line="240" w:lineRule="atLeast"/>
        <w:ind w:left="1079"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谨启</w:t>
      </w:r>
    </w:p>
    <w:p w14:paraId="4F96661A">
      <w:pPr>
        <w:pStyle w:val="13"/>
        <w:spacing w:line="240" w:lineRule="atLeast"/>
        <w:ind w:left="1079"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出具保函银行名称：</w:t>
      </w:r>
      <w:r>
        <w:rPr>
          <w:rFonts w:hint="eastAsia" w:ascii="宋体" w:hAnsi="宋体" w:eastAsia="宋体" w:cs="宋体"/>
          <w:color w:val="auto"/>
          <w:sz w:val="24"/>
          <w:highlight w:val="none"/>
          <w:u w:val="single"/>
        </w:rPr>
        <w:t xml:space="preserve">                             </w:t>
      </w:r>
    </w:p>
    <w:p w14:paraId="306CBE81">
      <w:pPr>
        <w:pStyle w:val="13"/>
        <w:spacing w:line="240" w:lineRule="atLeast"/>
        <w:ind w:left="1079" w:leftChars="257" w:hanging="54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签字人姓名和职务：</w:t>
      </w:r>
      <w:r>
        <w:rPr>
          <w:rFonts w:hint="eastAsia" w:ascii="宋体" w:hAnsi="宋体" w:eastAsia="宋体" w:cs="宋体"/>
          <w:color w:val="auto"/>
          <w:sz w:val="24"/>
          <w:highlight w:val="none"/>
          <w:u w:val="single"/>
        </w:rPr>
        <w:t xml:space="preserve">                             </w:t>
      </w:r>
    </w:p>
    <w:p w14:paraId="64DB3276">
      <w:pPr>
        <w:pStyle w:val="13"/>
        <w:spacing w:line="240" w:lineRule="atLeast"/>
        <w:ind w:left="1079"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签字人签名：</w:t>
      </w:r>
      <w:r>
        <w:rPr>
          <w:rFonts w:hint="eastAsia" w:ascii="宋体" w:hAnsi="宋体" w:eastAsia="宋体" w:cs="宋体"/>
          <w:color w:val="auto"/>
          <w:sz w:val="24"/>
          <w:highlight w:val="none"/>
          <w:u w:val="single"/>
        </w:rPr>
        <w:t xml:space="preserve">                                   </w:t>
      </w:r>
    </w:p>
    <w:p w14:paraId="54DB9954">
      <w:pPr>
        <w:pStyle w:val="13"/>
        <w:spacing w:line="240" w:lineRule="atLeast"/>
        <w:ind w:left="1079" w:leftChars="257" w:hanging="54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公章：</w:t>
      </w:r>
      <w:r>
        <w:rPr>
          <w:rFonts w:hint="eastAsia" w:ascii="宋体" w:hAnsi="宋体" w:eastAsia="宋体" w:cs="宋体"/>
          <w:color w:val="auto"/>
          <w:sz w:val="24"/>
          <w:highlight w:val="none"/>
          <w:u w:val="single"/>
        </w:rPr>
        <w:t xml:space="preserve">                                         </w:t>
      </w:r>
    </w:p>
    <w:p w14:paraId="71BA60AD">
      <w:pPr>
        <w:pStyle w:val="3"/>
        <w:spacing w:before="0" w:line="240" w:lineRule="atLeast"/>
        <w:ind w:left="1079" w:leftChars="257" w:hanging="540"/>
        <w:rPr>
          <w:rFonts w:hint="eastAsia" w:ascii="宋体" w:hAnsi="宋体" w:eastAsia="宋体" w:cs="宋体"/>
          <w:color w:val="auto"/>
          <w:sz w:val="28"/>
          <w:szCs w:val="22"/>
          <w:highlight w:val="none"/>
        </w:rPr>
      </w:pPr>
      <w:r>
        <w:rPr>
          <w:rFonts w:hint="eastAsia" w:ascii="宋体" w:hAnsi="宋体" w:eastAsia="宋体" w:cs="宋体"/>
          <w:color w:val="auto"/>
          <w:highlight w:val="none"/>
        </w:rPr>
        <w:br w:type="page"/>
      </w:r>
      <w:bookmarkStart w:id="265" w:name="_Toc515647800"/>
      <w:bookmarkStart w:id="266" w:name="_Toc10951"/>
      <w:bookmarkStart w:id="267" w:name="_Toc6548"/>
      <w:bookmarkStart w:id="268" w:name="_Toc7612"/>
      <w:r>
        <w:rPr>
          <w:rFonts w:hint="eastAsia" w:ascii="宋体" w:hAnsi="宋体" w:eastAsia="宋体" w:cs="宋体"/>
          <w:color w:val="auto"/>
          <w:sz w:val="28"/>
          <w:szCs w:val="22"/>
          <w:highlight w:val="none"/>
        </w:rPr>
        <w:t>附件2：履约担保函格式</w:t>
      </w:r>
      <w:bookmarkEnd w:id="265"/>
      <w:bookmarkEnd w:id="266"/>
      <w:bookmarkEnd w:id="267"/>
      <w:bookmarkEnd w:id="268"/>
    </w:p>
    <w:p w14:paraId="3223A7D9">
      <w:pPr>
        <w:pStyle w:val="3"/>
        <w:spacing w:before="0" w:line="240" w:lineRule="atLeast"/>
        <w:ind w:left="1079" w:leftChars="257" w:hanging="540"/>
        <w:rPr>
          <w:rFonts w:hint="eastAsia" w:ascii="宋体" w:hAnsi="宋体" w:eastAsia="宋体" w:cs="宋体"/>
          <w:b w:val="0"/>
          <w:color w:val="auto"/>
          <w:sz w:val="28"/>
          <w:szCs w:val="18"/>
          <w:highlight w:val="none"/>
        </w:rPr>
      </w:pPr>
      <w:bookmarkStart w:id="269" w:name="_Toc30861"/>
      <w:bookmarkStart w:id="270" w:name="_Toc515647801"/>
      <w:bookmarkStart w:id="271" w:name="_Toc13962"/>
      <w:bookmarkStart w:id="272" w:name="_Toc162"/>
      <w:r>
        <w:rPr>
          <w:rFonts w:hint="eastAsia" w:ascii="宋体" w:hAnsi="宋体" w:eastAsia="宋体" w:cs="宋体"/>
          <w:color w:val="auto"/>
          <w:sz w:val="28"/>
          <w:szCs w:val="22"/>
          <w:highlight w:val="none"/>
        </w:rPr>
        <w:t>（采用政府采购信用担保形式时使用）</w:t>
      </w:r>
      <w:bookmarkEnd w:id="269"/>
      <w:bookmarkEnd w:id="270"/>
      <w:bookmarkEnd w:id="271"/>
      <w:bookmarkEnd w:id="272"/>
    </w:p>
    <w:p w14:paraId="6B1C5693">
      <w:pPr>
        <w:spacing w:line="240" w:lineRule="atLeast"/>
        <w:ind w:left="1079" w:leftChars="257" w:hanging="540"/>
        <w:rPr>
          <w:rFonts w:hint="eastAsia" w:ascii="宋体" w:hAnsi="宋体" w:eastAsia="宋体" w:cs="宋体"/>
          <w:b/>
          <w:color w:val="auto"/>
          <w:kern w:val="0"/>
          <w:sz w:val="24"/>
          <w:szCs w:val="20"/>
          <w:highlight w:val="none"/>
        </w:rPr>
      </w:pPr>
    </w:p>
    <w:p w14:paraId="050BC6AD">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政府采购履约担保函（项目用）</w:t>
      </w:r>
    </w:p>
    <w:p w14:paraId="30CECA80">
      <w:pP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编号：</w:t>
      </w:r>
    </w:p>
    <w:p w14:paraId="1A9709FB">
      <w:pPr>
        <w:rPr>
          <w:rFonts w:hint="eastAsia" w:ascii="宋体" w:hAnsi="宋体" w:eastAsia="宋体" w:cs="宋体"/>
          <w:color w:val="auto"/>
          <w:sz w:val="24"/>
          <w:highlight w:val="none"/>
        </w:rPr>
      </w:pPr>
    </w:p>
    <w:p w14:paraId="5CFF7AA5">
      <w:pPr>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（采购人）：</w:t>
      </w:r>
    </w:p>
    <w:p w14:paraId="15CC9CD5">
      <w:pPr>
        <w:rPr>
          <w:rFonts w:hint="eastAsia" w:ascii="宋体" w:hAnsi="宋体" w:eastAsia="宋体" w:cs="宋体"/>
          <w:color w:val="auto"/>
          <w:sz w:val="24"/>
          <w:highlight w:val="none"/>
        </w:rPr>
      </w:pPr>
    </w:p>
    <w:p w14:paraId="4A9C42D3">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鉴于你方与</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（以下简称供应商）于</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日签定编号为   的《</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政府采购合同》（以下简称主合同），且依据该合同的约定，供应商应在</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年</w:t>
      </w:r>
    </w:p>
    <w:p w14:paraId="54467511">
      <w:pPr>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日前向你方交纳履约保证金，且可以履约担保函的形式交纳履约保证金。应供应商的申请，我方以保证的方式向你方提供如下履约保证金担保：</w:t>
      </w:r>
    </w:p>
    <w:p w14:paraId="76699FD4">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一、保证责任的情形及保证金额</w:t>
      </w:r>
    </w:p>
    <w:p w14:paraId="3B6E4B38">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（一）在供应商出现下列情形之一时，我方承担保证责任：</w:t>
      </w:r>
    </w:p>
    <w:p w14:paraId="3651D2E8">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1．将中标项目转让给他人，或者在投标文件中未说明，且未经采购招标机构人同意，将中标项目分包给他人的；</w:t>
      </w:r>
    </w:p>
    <w:p w14:paraId="0146D84F">
      <w:pP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2．主合同约定的应当缴纳履约保证金的情形: </w:t>
      </w:r>
    </w:p>
    <w:p w14:paraId="5F8E4A24">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（1）未按主合同约定的质量、数量和期限供应货物/提供服务/完成工程的；</w:t>
      </w:r>
    </w:p>
    <w:p w14:paraId="0C51A55E">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2EDDDAC9">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（二）我方的保证范围是主合同约定的合同价款总额的</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%数额为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元（大写</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），币种为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。（即主合同履约保证金金额）</w:t>
      </w:r>
    </w:p>
    <w:p w14:paraId="05121A95">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二、保证的方式及保证期间</w:t>
      </w:r>
    </w:p>
    <w:p w14:paraId="23EE6ECD">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我方保证的方式为：连带责任保证。</w:t>
      </w:r>
    </w:p>
    <w:p w14:paraId="64CD8C46">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我方保证的期间为：自本合同生效之日起至供应商按照主合同约定的供货/完工期限届满后</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日内。</w:t>
      </w:r>
    </w:p>
    <w:p w14:paraId="432C9C83">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如果供应商未按主合同约定向贵方供应货物/提供服务/完成工程的，由我方在保证金额内向你方支付上述款项。</w:t>
      </w:r>
    </w:p>
    <w:p w14:paraId="6162160B">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三、承担保证责任的程序</w:t>
      </w:r>
    </w:p>
    <w:p w14:paraId="17F2AB00">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1．你方要求我方承担保证责任的，应在本保函保证期间内向我方发出书面索赔通知。索赔通知应写明要求索赔的金额，支付款项应到达的帐号。并附有证明供应商违约事实的证明材料。</w:t>
      </w:r>
    </w:p>
    <w:p w14:paraId="2AA34DCE">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如果你方与供应商因货物质量问题产生争议，你方还需同时提供</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部门出具的质量检测报告，或经诉讼（仲裁）程序裁决后的裁决书、调解书，本保证人即按照检测结果或裁决书、调解书决定是否承担保证责任。</w:t>
      </w:r>
    </w:p>
    <w:p w14:paraId="57C15DD7">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 我方收到你方的书面索赔通知及相应证明材料，在</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工作日内进行核定后按照本保函的承诺承担保证责任。</w:t>
      </w:r>
    </w:p>
    <w:p w14:paraId="761CAEBC">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四、保证责任的终止</w:t>
      </w:r>
    </w:p>
    <w:p w14:paraId="2CAE8517">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1．保证期间届满你方未向我方书面主张保证责任的，自保证期间届满次日起，我方保证责任自动终止。保证期间届满前，主合同约定的货物\工程\服务全部验收合格的，自验收合格日起，我方保证责任自动终止。</w:t>
      </w:r>
    </w:p>
    <w:p w14:paraId="2FC58D2F">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2．我方按照本保函向你方履行了保证责任后，自我方向你方支付款项（支付款项从我方账户划出）之日起，保证责任即终止。</w:t>
      </w:r>
    </w:p>
    <w:p w14:paraId="53765C46">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3．按照法律法规的规定或出现应终止我方保证责任的其它情形的，我方在本保函项下的保证责任亦终止。</w:t>
      </w:r>
    </w:p>
    <w:p w14:paraId="195AC96D">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你方与供应商修改主合同，加重我方保证责任的，我方对加重部分不承担保证责任，但该等修改事先经我方书面同意的除外；你方与供应商修改主合同履行期限，我方保证期间仍依修改前的履行期限计算，但该等修改事先经我方书面同意的除外。</w:t>
      </w:r>
    </w:p>
    <w:p w14:paraId="23842064">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五、免责条款</w:t>
      </w:r>
    </w:p>
    <w:p w14:paraId="0C1E6704">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1．因你方违反主合同约定致使供应商不能履行义务的，我方不承担保证责任。</w:t>
      </w:r>
    </w:p>
    <w:p w14:paraId="4D40053D">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2．依照法律法规的规定或你方与供应商的另行约定，全部或者部分免除供应商应缴纳的保证金义务的，我方亦免除相应的保证责任。</w:t>
      </w:r>
    </w:p>
    <w:p w14:paraId="42A4C94A">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3．因不可抗力造成供应商不能履行供货义务的，我方不承担保证责任。</w:t>
      </w:r>
    </w:p>
    <w:p w14:paraId="28C4C83B">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六、争议的解决</w:t>
      </w:r>
    </w:p>
    <w:p w14:paraId="3DE5D9C9">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因本保函发生的纠纷，由你我双方协商解决，协商不成的，通过诉讼程序解决，诉讼管辖地法院为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法院。</w:t>
      </w:r>
    </w:p>
    <w:p w14:paraId="2EFEFE99">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七、保函的生效</w:t>
      </w:r>
    </w:p>
    <w:p w14:paraId="4FDF8EE0">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本保函自我方加盖公章之日起生效。</w:t>
      </w:r>
    </w:p>
    <w:p w14:paraId="45B5E00F">
      <w:pPr>
        <w:rPr>
          <w:rFonts w:hint="eastAsia" w:ascii="宋体" w:hAnsi="宋体" w:eastAsia="宋体" w:cs="宋体"/>
          <w:color w:val="auto"/>
          <w:sz w:val="24"/>
          <w:highlight w:val="none"/>
        </w:rPr>
      </w:pPr>
    </w:p>
    <w:p w14:paraId="3D5284F9">
      <w:pP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416A1CF6">
      <w:pPr>
        <w:ind w:firstLine="5400" w:firstLineChars="2250"/>
        <w:rPr>
          <w:rFonts w:hint="eastAsia" w:ascii="宋体" w:hAnsi="宋体" w:eastAsia="宋体" w:cs="宋体"/>
          <w:color w:val="auto"/>
          <w:sz w:val="24"/>
          <w:highlight w:val="none"/>
        </w:rPr>
      </w:pPr>
    </w:p>
    <w:p w14:paraId="07BC60CC">
      <w:pPr>
        <w:ind w:firstLine="5400" w:firstLineChars="2250"/>
        <w:rPr>
          <w:rFonts w:hint="eastAsia" w:ascii="宋体" w:hAnsi="宋体" w:eastAsia="宋体" w:cs="宋体"/>
          <w:color w:val="auto"/>
          <w:sz w:val="24"/>
          <w:highlight w:val="none"/>
        </w:rPr>
      </w:pPr>
    </w:p>
    <w:p w14:paraId="5B62B158">
      <w:pPr>
        <w:ind w:firstLine="5400" w:firstLineChars="2250"/>
        <w:rPr>
          <w:rFonts w:hint="eastAsia" w:ascii="宋体" w:hAnsi="宋体" w:eastAsia="宋体" w:cs="宋体"/>
          <w:color w:val="auto"/>
          <w:sz w:val="24"/>
          <w:highlight w:val="none"/>
        </w:rPr>
      </w:pPr>
      <w:r>
        <w:rPr>
          <w:rFonts w:hint="eastAsia" w:ascii="宋体" w:hAnsi="宋体" w:eastAsia="宋体" w:cs="宋体"/>
          <w:color w:val="auto"/>
          <w:sz w:val="24"/>
          <w:highlight w:val="none"/>
        </w:rPr>
        <w:t>保证人：（公章）</w:t>
      </w:r>
    </w:p>
    <w:p w14:paraId="5DB3A8DE">
      <w:pP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6D13CA7D">
      <w:pP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年     月      日</w:t>
      </w:r>
    </w:p>
    <w:p w14:paraId="2262941C">
      <w:pPr>
        <w:pStyle w:val="4"/>
        <w:spacing w:line="240" w:lineRule="atLeast"/>
        <w:ind w:firstLine="0"/>
        <w:rPr>
          <w:rFonts w:hint="eastAsia" w:ascii="宋体" w:hAnsi="宋体" w:eastAsia="宋体" w:cs="宋体"/>
          <w:color w:val="auto"/>
          <w:kern w:val="2"/>
          <w:szCs w:val="24"/>
          <w:highlight w:val="none"/>
        </w:rPr>
      </w:pPr>
      <w:r>
        <w:rPr>
          <w:rFonts w:hint="eastAsia" w:ascii="宋体" w:hAnsi="宋体" w:eastAsia="宋体" w:cs="宋体"/>
          <w:b/>
          <w:color w:val="auto"/>
          <w:highlight w:val="none"/>
        </w:rPr>
        <w:br w:type="page"/>
      </w:r>
    </w:p>
    <w:p w14:paraId="7F6D1E29">
      <w:pPr>
        <w:pStyle w:val="2"/>
        <w:numPr>
          <w:ilvl w:val="0"/>
          <w:numId w:val="1"/>
        </w:numPr>
        <w:spacing w:before="0" w:after="0" w:line="240" w:lineRule="atLeast"/>
        <w:ind w:left="3810" w:leftChars="0" w:firstLineChars="0"/>
        <w:jc w:val="both"/>
        <w:rPr>
          <w:rFonts w:hint="eastAsia" w:ascii="宋体" w:hAnsi="宋体" w:eastAsia="宋体" w:cs="宋体"/>
          <w:color w:val="auto"/>
          <w:highlight w:val="none"/>
        </w:rPr>
      </w:pPr>
      <w:bookmarkStart w:id="273" w:name="_Toc702"/>
      <w:bookmarkStart w:id="274" w:name="_Toc728"/>
      <w:bookmarkStart w:id="275" w:name="_Toc515647802"/>
      <w:bookmarkStart w:id="276" w:name="_Toc19692"/>
      <w:bookmarkStart w:id="277" w:name="_Toc216582812"/>
      <w:r>
        <w:rPr>
          <w:rFonts w:hint="eastAsia" w:ascii="宋体" w:hAnsi="宋体" w:eastAsia="宋体" w:cs="宋体"/>
          <w:color w:val="auto"/>
          <w:highlight w:val="none"/>
        </w:rPr>
        <w:t>投标文件格式</w:t>
      </w:r>
      <w:bookmarkEnd w:id="273"/>
      <w:bookmarkEnd w:id="274"/>
      <w:bookmarkEnd w:id="275"/>
      <w:bookmarkEnd w:id="276"/>
      <w:bookmarkEnd w:id="277"/>
    </w:p>
    <w:p w14:paraId="710F0C7D">
      <w:pPr>
        <w:spacing w:line="240" w:lineRule="atLeast"/>
        <w:ind w:left="735" w:leftChars="350" w:firstLine="120" w:firstLineChars="50"/>
        <w:rPr>
          <w:rFonts w:hint="eastAsia" w:ascii="宋体" w:hAnsi="宋体" w:eastAsia="宋体" w:cs="宋体"/>
          <w:color w:val="auto"/>
          <w:sz w:val="24"/>
          <w:highlight w:val="none"/>
        </w:rPr>
      </w:pPr>
    </w:p>
    <w:p w14:paraId="355B60D1">
      <w:pPr>
        <w:pStyle w:val="3"/>
        <w:spacing w:before="0" w:line="240" w:lineRule="atLeast"/>
        <w:ind w:left="1257" w:leftChars="599" w:firstLine="820" w:firstLineChars="342"/>
        <w:jc w:val="both"/>
        <w:rPr>
          <w:rFonts w:hint="eastAsia" w:ascii="宋体" w:hAnsi="宋体" w:eastAsia="宋体" w:cs="宋体"/>
          <w:color w:val="auto"/>
          <w:sz w:val="24"/>
          <w:highlight w:val="none"/>
        </w:rPr>
      </w:pPr>
      <w:bookmarkStart w:id="278" w:name="_Toc18694"/>
      <w:bookmarkStart w:id="279" w:name="_Toc18974"/>
      <w:bookmarkStart w:id="280" w:name="_Toc6220"/>
      <w:bookmarkStart w:id="281" w:name="_Toc515647803"/>
      <w:r>
        <w:rPr>
          <w:rFonts w:hint="eastAsia" w:ascii="宋体" w:hAnsi="宋体" w:eastAsia="宋体" w:cs="宋体"/>
          <w:color w:val="auto"/>
          <w:sz w:val="24"/>
          <w:highlight w:val="none"/>
        </w:rPr>
        <w:t>第一部分 开标一览表及资格证明文件</w:t>
      </w:r>
      <w:bookmarkEnd w:id="278"/>
      <w:bookmarkEnd w:id="279"/>
      <w:bookmarkEnd w:id="280"/>
      <w:bookmarkEnd w:id="281"/>
    </w:p>
    <w:p w14:paraId="1094345E">
      <w:pPr>
        <w:spacing w:line="240" w:lineRule="atLeast"/>
        <w:ind w:left="708" w:hanging="708" w:hangingChars="295"/>
        <w:jc w:val="center"/>
        <w:rPr>
          <w:rFonts w:hint="eastAsia" w:ascii="宋体" w:hAnsi="宋体" w:eastAsia="宋体" w:cs="宋体"/>
          <w:color w:val="auto"/>
          <w:sz w:val="24"/>
          <w:highlight w:val="none"/>
        </w:rPr>
      </w:pPr>
    </w:p>
    <w:p w14:paraId="46D37DF9">
      <w:pPr>
        <w:tabs>
          <w:tab w:val="left" w:pos="5580"/>
        </w:tabs>
        <w:spacing w:line="3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1、开标一览表；</w:t>
      </w:r>
    </w:p>
    <w:p w14:paraId="51F5AC23">
      <w:pPr>
        <w:spacing w:line="360" w:lineRule="exact"/>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rPr>
        <w:t>2、</w:t>
      </w:r>
      <w:r>
        <w:rPr>
          <w:rFonts w:hint="eastAsia" w:ascii="宋体" w:hAnsi="宋体" w:eastAsia="宋体" w:cs="宋体"/>
          <w:bCs/>
          <w:color w:val="auto"/>
          <w:kern w:val="0"/>
          <w:sz w:val="24"/>
          <w:highlight w:val="none"/>
          <w:lang w:val="en-US" w:eastAsia="zh-CN"/>
        </w:rPr>
        <w:t>单位三证合一营业执照</w:t>
      </w:r>
      <w:r>
        <w:rPr>
          <w:rFonts w:hint="eastAsia" w:ascii="宋体" w:hAnsi="宋体" w:eastAsia="宋体" w:cs="宋体"/>
          <w:bCs/>
          <w:color w:val="auto"/>
          <w:kern w:val="0"/>
          <w:sz w:val="24"/>
          <w:highlight w:val="none"/>
        </w:rPr>
        <w:t>；</w:t>
      </w:r>
    </w:p>
    <w:p w14:paraId="747A0D6F">
      <w:pPr>
        <w:spacing w:line="360" w:lineRule="exact"/>
        <w:rPr>
          <w:rFonts w:hint="eastAsia" w:ascii="宋体" w:hAnsi="宋体" w:eastAsia="宋体" w:cs="宋体"/>
          <w:b/>
          <w:color w:val="auto"/>
          <w:sz w:val="24"/>
          <w:highlight w:val="none"/>
        </w:rPr>
      </w:pPr>
      <w:r>
        <w:rPr>
          <w:rFonts w:hint="eastAsia" w:ascii="宋体" w:hAnsi="宋体" w:eastAsia="宋体" w:cs="宋体"/>
          <w:bCs/>
          <w:color w:val="auto"/>
          <w:kern w:val="0"/>
          <w:sz w:val="24"/>
          <w:highlight w:val="none"/>
          <w:lang w:val="en-US" w:eastAsia="zh-CN"/>
        </w:rPr>
        <w:t>3</w:t>
      </w:r>
      <w:r>
        <w:rPr>
          <w:rFonts w:hint="eastAsia" w:ascii="宋体" w:hAnsi="宋体" w:eastAsia="宋体" w:cs="宋体"/>
          <w:bCs/>
          <w:color w:val="auto"/>
          <w:kern w:val="0"/>
          <w:sz w:val="24"/>
          <w:highlight w:val="none"/>
        </w:rPr>
        <w:t>、</w:t>
      </w:r>
      <w:r>
        <w:rPr>
          <w:rFonts w:hint="eastAsia" w:ascii="宋体" w:hAnsi="宋体" w:cs="宋体"/>
          <w:bCs/>
          <w:color w:val="auto"/>
          <w:sz w:val="24"/>
          <w:highlight w:val="none"/>
          <w:lang w:eastAsia="zh-CN"/>
        </w:rPr>
        <w:t>法定代表人身份证明书；法定代表人授权委托书</w:t>
      </w:r>
      <w:r>
        <w:rPr>
          <w:rFonts w:hint="eastAsia" w:ascii="宋体" w:hAnsi="宋体" w:cs="宋体"/>
          <w:bCs/>
          <w:color w:val="auto"/>
          <w:kern w:val="0"/>
          <w:sz w:val="24"/>
          <w:highlight w:val="none"/>
        </w:rPr>
        <w:t>；</w:t>
      </w:r>
    </w:p>
    <w:p w14:paraId="0643CFF8">
      <w:pPr>
        <w:widowControl/>
        <w:numPr>
          <w:ilvl w:val="0"/>
          <w:numId w:val="0"/>
        </w:numPr>
        <w:spacing w:line="360" w:lineRule="exact"/>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4、</w:t>
      </w:r>
      <w:r>
        <w:rPr>
          <w:rFonts w:hint="eastAsia" w:ascii="宋体" w:hAnsi="宋体" w:cs="宋体"/>
          <w:color w:val="auto"/>
          <w:sz w:val="24"/>
          <w:highlight w:val="none"/>
          <w:lang w:eastAsia="zh-CN"/>
        </w:rPr>
        <w:t>依法缴纳近三个月中任意一个月的社保缴纳凭证；依法缴纳近三个月任意一个月的税收良好记录证明（完税证明为非社保缴纳明细）</w:t>
      </w:r>
      <w:r>
        <w:rPr>
          <w:rFonts w:hint="eastAsia" w:ascii="宋体" w:hAnsi="宋体" w:eastAsia="宋体" w:cs="宋体"/>
          <w:color w:val="auto"/>
          <w:sz w:val="24"/>
          <w:highlight w:val="none"/>
        </w:rPr>
        <w:t>；</w:t>
      </w:r>
    </w:p>
    <w:p w14:paraId="3A3C57EE">
      <w:pPr>
        <w:spacing w:line="240" w:lineRule="atLeas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、具有良好的商业信誉和健全的财务会计制度，</w:t>
      </w:r>
      <w:r>
        <w:rPr>
          <w:rFonts w:hint="eastAsia" w:ascii="宋体" w:hAnsi="宋体" w:eastAsia="宋体" w:cs="宋体"/>
          <w:color w:val="auto"/>
          <w:sz w:val="24"/>
          <w:highlight w:val="none"/>
          <w:lang w:eastAsia="zh-CN"/>
        </w:rPr>
        <w:t>提供</w:t>
      </w:r>
      <w:r>
        <w:rPr>
          <w:rFonts w:hint="eastAsia" w:ascii="宋体" w:hAnsi="宋体" w:cs="宋体"/>
          <w:color w:val="auto"/>
          <w:sz w:val="24"/>
          <w:highlight w:val="none"/>
          <w:lang w:eastAsia="zh-CN"/>
        </w:rPr>
        <w:t>202</w:t>
      </w:r>
      <w:r>
        <w:rPr>
          <w:rFonts w:hint="eastAsia" w:ascii="宋体" w:hAnsi="宋体" w:cs="宋体"/>
          <w:color w:val="auto"/>
          <w:sz w:val="24"/>
          <w:highlight w:val="none"/>
          <w:lang w:val="en-US" w:eastAsia="zh-CN"/>
        </w:rPr>
        <w:t>3</w:t>
      </w:r>
      <w:r>
        <w:rPr>
          <w:rFonts w:hint="eastAsia" w:ascii="宋体" w:hAnsi="宋体" w:cs="宋体"/>
          <w:color w:val="auto"/>
          <w:sz w:val="24"/>
          <w:highlight w:val="none"/>
          <w:lang w:eastAsia="zh-CN"/>
        </w:rPr>
        <w:t>年度或202</w:t>
      </w:r>
      <w:r>
        <w:rPr>
          <w:rFonts w:hint="eastAsia" w:ascii="宋体" w:hAnsi="宋体" w:cs="宋体"/>
          <w:color w:val="auto"/>
          <w:sz w:val="24"/>
          <w:highlight w:val="none"/>
          <w:lang w:val="en-US" w:eastAsia="zh-CN"/>
        </w:rPr>
        <w:t>4</w:t>
      </w:r>
      <w:r>
        <w:rPr>
          <w:rFonts w:hint="eastAsia" w:ascii="宋体" w:hAnsi="宋体" w:cs="宋体"/>
          <w:color w:val="auto"/>
          <w:sz w:val="24"/>
          <w:highlight w:val="none"/>
          <w:lang w:eastAsia="zh-CN"/>
        </w:rPr>
        <w:t>年度</w:t>
      </w:r>
      <w:r>
        <w:rPr>
          <w:rFonts w:hint="eastAsia" w:ascii="宋体" w:hAnsi="宋体" w:eastAsia="宋体" w:cs="宋体"/>
          <w:color w:val="auto"/>
          <w:sz w:val="24"/>
          <w:highlight w:val="none"/>
          <w:lang w:eastAsia="zh-CN"/>
        </w:rPr>
        <w:t>经会计事务所出具财务审计报告；（新成立的公司须提供近一个月的银行资信证明）</w:t>
      </w:r>
      <w:r>
        <w:rPr>
          <w:rFonts w:hint="eastAsia" w:ascii="宋体" w:hAnsi="宋体" w:eastAsia="宋体" w:cs="宋体"/>
          <w:color w:val="auto"/>
          <w:sz w:val="24"/>
          <w:highlight w:val="none"/>
        </w:rPr>
        <w:t xml:space="preserve">； </w:t>
      </w:r>
    </w:p>
    <w:p w14:paraId="3298695E">
      <w:pPr>
        <w:spacing w:line="240" w:lineRule="atLeas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未在“信用中国”网站 被列入失信被执行人、重大税收违法案件当事人名单；中国政府采购网，</w:t>
      </w:r>
      <w:r>
        <w:rPr>
          <w:rFonts w:hint="eastAsia" w:ascii="宋体" w:hAnsi="宋体" w:eastAsia="宋体" w:cs="宋体"/>
          <w:color w:val="auto"/>
          <w:sz w:val="24"/>
          <w:highlight w:val="none"/>
          <w:lang w:val="en-US" w:eastAsia="zh-CN"/>
        </w:rPr>
        <w:fldChar w:fldCharType="begin"/>
      </w:r>
      <w:r>
        <w:rPr>
          <w:rFonts w:hint="eastAsia" w:ascii="宋体" w:hAnsi="宋体" w:eastAsia="宋体" w:cs="宋体"/>
          <w:color w:val="auto"/>
          <w:sz w:val="24"/>
          <w:highlight w:val="none"/>
          <w:lang w:val="en-US" w:eastAsia="zh-CN"/>
        </w:rPr>
        <w:instrText xml:space="preserve"> HYPERLINK "http://www.ccgp.gov.cn/search/cr/%EF%BC%89%E4%B8%A5%E9%87%8D%E8%BF%9D%E6%B3%95%E5%A4%B1%E4%BF%A1%E8%A1%8C%E4%B8%BA%E8%AE%B0%E5%BD%95%E5%90%8D%E5%8D%95%E7%9A%84%EF%BC%88%E5%B0%9A%E5%9C%A8%E5%A4%84%E7%BD%9A%E6%9C%9F%E5%86%85%E7%9A%84%EF%BC%89%EF%BC%8C%E2%80%9C%E5%9B%BD%E5%AE%B6%E4%BC%81%E4%B8%9A%E4%BF%A1%E7%94%A8%E4%BF%A1%E6%81%AF%E5%85%AC%E7%A4%BA%E7%B3%BB%E7%BB%9F%EF%BC%88http://www.gsxt.gov.cn%EF%BC%89%E2%80%9D%E5%88%97%E5%85%A5%E7%BB%8F%E8%90%A5%E5%BC%82%E5%B8%B8%E5%90%8D%E5%BD%95%E4%BF%A1%E6%81%AF%E3%80%81%E5%88%97%E5%85%A5%E4%B8%A5%E9%87%8D%E8%BF%9D%E6%B3%95%E5%A4%B1%E4%BF%A1%E4%BC%81%E4%B8%9A%E5%90%8D%E5%8D%95%EF%BC%88%E9%BB%91%E5%90%8D%E5%8D%95%EF%BC%89%E4%BF%A1%E6%81%AF%E5%8F%8A%E4%BC%81%E4%B8%9A%E4%BF%A1%E7%94%A8%E4%BF%A1%E6%81%AF%E5%85%AC%E7%A4%BA%E6%8A%A5%E5%91%8A%EF%BC%9B%EF%BC%88%E4%BB%A5%E6%8B%9B%E6%A0%87%E4%BB%A3%E7%90%86%E6%88%96%E6%8B%9B%E6%A0%87%E4%BA%BA%E6%9F%A5%E8%AF%A2%E4%B8%BA%E5%87%86%EF%BC%89" </w:instrText>
      </w:r>
      <w:r>
        <w:rPr>
          <w:rFonts w:hint="eastAsia" w:ascii="宋体" w:hAnsi="宋体" w:eastAsia="宋体" w:cs="宋体"/>
          <w:color w:val="auto"/>
          <w:sz w:val="24"/>
          <w:highlight w:val="none"/>
          <w:lang w:val="en-US" w:eastAsia="zh-CN"/>
        </w:rPr>
        <w:fldChar w:fldCharType="separate"/>
      </w:r>
      <w:r>
        <w:rPr>
          <w:rFonts w:hint="eastAsia" w:ascii="宋体" w:hAnsi="宋体" w:eastAsia="宋体" w:cs="宋体"/>
          <w:color w:val="auto"/>
          <w:sz w:val="24"/>
          <w:highlight w:val="none"/>
          <w:lang w:val="en-US" w:eastAsia="zh-CN"/>
        </w:rPr>
        <w:t>严重违法失信行为记录名单的（尚在处罚期内的）；“国家企业信用信息公示系统”列入经营异常名录信息、列入严重违法失信企业名单（黑名单）信息的企业</w:t>
      </w:r>
      <w:r>
        <w:rPr>
          <w:rFonts w:hint="eastAsia" w:ascii="宋体" w:hAnsi="宋体" w:eastAsia="宋体" w:cs="宋体"/>
          <w:color w:val="auto"/>
          <w:sz w:val="24"/>
          <w:highlight w:val="none"/>
          <w:lang w:val="en-US" w:eastAsia="zh-CN"/>
        </w:rPr>
        <w:fldChar w:fldCharType="end"/>
      </w:r>
      <w:r>
        <w:rPr>
          <w:rFonts w:hint="eastAsia" w:ascii="宋体" w:hAnsi="宋体" w:eastAsia="宋体" w:cs="宋体"/>
          <w:color w:val="auto"/>
          <w:sz w:val="24"/>
          <w:highlight w:val="none"/>
          <w:lang w:val="en-US" w:eastAsia="zh-CN"/>
        </w:rPr>
        <w:t>，附网站截图。</w:t>
      </w:r>
    </w:p>
    <w:p w14:paraId="46C1D086">
      <w:pPr>
        <w:pStyle w:val="4"/>
        <w:ind w:firstLine="0"/>
        <w:rPr>
          <w:rFonts w:hint="eastAsia" w:ascii="宋体" w:hAnsi="宋体" w:eastAsia="宋体" w:cs="宋体"/>
          <w:color w:val="auto"/>
          <w:highlight w:val="none"/>
        </w:rPr>
      </w:pPr>
      <w:r>
        <w:rPr>
          <w:rFonts w:hint="eastAsia" w:ascii="宋体" w:hAnsi="宋体" w:eastAsia="宋体" w:cs="宋体"/>
          <w:color w:val="auto"/>
          <w:szCs w:val="24"/>
          <w:highlight w:val="none"/>
          <w:lang w:val="en-US" w:eastAsia="zh-CN"/>
        </w:rPr>
        <w:t>7</w:t>
      </w:r>
      <w:r>
        <w:rPr>
          <w:rFonts w:hint="eastAsia" w:ascii="宋体" w:hAnsi="宋体" w:eastAsia="宋体" w:cs="宋体"/>
          <w:color w:val="auto"/>
          <w:szCs w:val="24"/>
          <w:highlight w:val="none"/>
        </w:rPr>
        <w:t>、投标单位（供应商）提供针对本次项目《反商业贿赂承诺书》</w:t>
      </w:r>
    </w:p>
    <w:p w14:paraId="58CB2671">
      <w:pPr>
        <w:tabs>
          <w:tab w:val="left" w:pos="5580"/>
        </w:tabs>
        <w:spacing w:line="3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、参加政府采购活动近3年内，在经营活动中没有重大违法记录的书面声明；</w:t>
      </w:r>
    </w:p>
    <w:p w14:paraId="53A49DFA">
      <w:pPr>
        <w:tabs>
          <w:tab w:val="left" w:pos="5580"/>
        </w:tabs>
        <w:spacing w:line="3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9</w:t>
      </w:r>
      <w:r>
        <w:rPr>
          <w:rFonts w:hint="eastAsia" w:ascii="宋体" w:hAnsi="宋体" w:eastAsia="宋体" w:cs="宋体"/>
          <w:color w:val="auto"/>
          <w:sz w:val="24"/>
          <w:highlight w:val="none"/>
        </w:rPr>
        <w:t>、投标保证金缴纳凭证或投标担保函；</w:t>
      </w:r>
    </w:p>
    <w:p w14:paraId="78707E79">
      <w:pPr>
        <w:tabs>
          <w:tab w:val="left" w:pos="5580"/>
        </w:tabs>
        <w:spacing w:line="3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10</w:t>
      </w:r>
      <w:r>
        <w:rPr>
          <w:rFonts w:hint="eastAsia" w:ascii="宋体" w:hAnsi="宋体" w:eastAsia="宋体" w:cs="宋体"/>
          <w:color w:val="auto"/>
          <w:sz w:val="24"/>
          <w:highlight w:val="none"/>
        </w:rPr>
        <w:t>、投标人须知资料表要求的其他证明文件；</w:t>
      </w:r>
    </w:p>
    <w:p w14:paraId="184AC879">
      <w:pPr>
        <w:tabs>
          <w:tab w:val="left" w:pos="5580"/>
        </w:tabs>
        <w:spacing w:line="3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11</w:t>
      </w:r>
      <w:r>
        <w:rPr>
          <w:rFonts w:hint="eastAsia" w:ascii="宋体" w:hAnsi="宋体" w:eastAsia="宋体" w:cs="宋体"/>
          <w:color w:val="auto"/>
          <w:sz w:val="24"/>
          <w:highlight w:val="none"/>
        </w:rPr>
        <w:t>、投标人可提供有利于投标的其他证明材料；</w:t>
      </w:r>
    </w:p>
    <w:p w14:paraId="260E6AF0">
      <w:pPr>
        <w:tabs>
          <w:tab w:val="left" w:pos="5580"/>
        </w:tabs>
        <w:spacing w:line="240" w:lineRule="atLeast"/>
        <w:ind w:left="1" w:firstLine="564" w:firstLineChars="235"/>
        <w:rPr>
          <w:rFonts w:hint="eastAsia" w:ascii="宋体" w:hAnsi="宋体" w:eastAsia="宋体" w:cs="宋体"/>
          <w:color w:val="auto"/>
          <w:sz w:val="24"/>
          <w:highlight w:val="none"/>
        </w:rPr>
      </w:pPr>
    </w:p>
    <w:p w14:paraId="6D6F3B92">
      <w:pPr>
        <w:tabs>
          <w:tab w:val="left" w:pos="5580"/>
        </w:tabs>
        <w:spacing w:line="240" w:lineRule="atLeast"/>
        <w:ind w:left="1" w:firstLine="564" w:firstLineChars="235"/>
        <w:rPr>
          <w:rFonts w:hint="eastAsia" w:ascii="宋体" w:hAnsi="宋体" w:eastAsia="宋体" w:cs="宋体"/>
          <w:color w:val="auto"/>
          <w:sz w:val="24"/>
          <w:highlight w:val="none"/>
        </w:rPr>
      </w:pPr>
    </w:p>
    <w:p w14:paraId="7E0BE9C5">
      <w:pPr>
        <w:tabs>
          <w:tab w:val="left" w:pos="5580"/>
        </w:tabs>
        <w:spacing w:line="240" w:lineRule="atLeast"/>
        <w:ind w:left="1" w:firstLine="564" w:firstLineChars="235"/>
        <w:rPr>
          <w:rFonts w:hint="eastAsia" w:ascii="宋体" w:hAnsi="宋体" w:eastAsia="宋体" w:cs="宋体"/>
          <w:color w:val="auto"/>
          <w:sz w:val="24"/>
          <w:highlight w:val="none"/>
        </w:rPr>
      </w:pPr>
    </w:p>
    <w:p w14:paraId="370D12C5">
      <w:pPr>
        <w:tabs>
          <w:tab w:val="left" w:pos="5580"/>
        </w:tabs>
        <w:spacing w:line="240" w:lineRule="atLeast"/>
        <w:ind w:left="1" w:firstLine="564" w:firstLineChars="235"/>
        <w:rPr>
          <w:rFonts w:hint="eastAsia" w:ascii="宋体" w:hAnsi="宋体" w:eastAsia="宋体" w:cs="宋体"/>
          <w:color w:val="auto"/>
          <w:sz w:val="24"/>
          <w:highlight w:val="none"/>
        </w:rPr>
      </w:pPr>
    </w:p>
    <w:p w14:paraId="4CB485A3">
      <w:pPr>
        <w:tabs>
          <w:tab w:val="left" w:pos="5580"/>
        </w:tabs>
        <w:spacing w:line="240" w:lineRule="atLeast"/>
        <w:ind w:left="1" w:firstLine="564" w:firstLineChars="235"/>
        <w:rPr>
          <w:rFonts w:hint="eastAsia" w:ascii="宋体" w:hAnsi="宋体" w:eastAsia="宋体" w:cs="宋体"/>
          <w:color w:val="auto"/>
          <w:sz w:val="24"/>
          <w:highlight w:val="none"/>
        </w:rPr>
      </w:pPr>
    </w:p>
    <w:p w14:paraId="7F83028B">
      <w:pPr>
        <w:tabs>
          <w:tab w:val="left" w:pos="5580"/>
        </w:tabs>
        <w:spacing w:line="240" w:lineRule="atLeast"/>
        <w:ind w:left="1" w:firstLine="564" w:firstLineChars="235"/>
        <w:rPr>
          <w:rFonts w:hint="eastAsia" w:ascii="宋体" w:hAnsi="宋体" w:eastAsia="宋体" w:cs="宋体"/>
          <w:color w:val="auto"/>
          <w:sz w:val="24"/>
          <w:highlight w:val="none"/>
        </w:rPr>
      </w:pPr>
    </w:p>
    <w:p w14:paraId="24258DD9">
      <w:pPr>
        <w:tabs>
          <w:tab w:val="left" w:pos="5580"/>
        </w:tabs>
        <w:spacing w:line="240" w:lineRule="atLeast"/>
        <w:ind w:left="1" w:firstLine="564" w:firstLineChars="235"/>
        <w:rPr>
          <w:rFonts w:hint="eastAsia" w:ascii="宋体" w:hAnsi="宋体" w:eastAsia="宋体" w:cs="宋体"/>
          <w:color w:val="auto"/>
          <w:sz w:val="24"/>
          <w:highlight w:val="none"/>
        </w:rPr>
      </w:pPr>
    </w:p>
    <w:p w14:paraId="4CC3CE15">
      <w:pPr>
        <w:tabs>
          <w:tab w:val="left" w:pos="5580"/>
        </w:tabs>
        <w:spacing w:line="240" w:lineRule="atLeast"/>
        <w:ind w:left="1" w:firstLine="564" w:firstLineChars="235"/>
        <w:rPr>
          <w:rFonts w:hint="eastAsia" w:ascii="宋体" w:hAnsi="宋体" w:eastAsia="宋体" w:cs="宋体"/>
          <w:color w:val="auto"/>
          <w:sz w:val="24"/>
          <w:highlight w:val="none"/>
        </w:rPr>
      </w:pPr>
    </w:p>
    <w:p w14:paraId="221FF26F">
      <w:pPr>
        <w:tabs>
          <w:tab w:val="left" w:pos="5580"/>
        </w:tabs>
        <w:spacing w:line="240" w:lineRule="atLeast"/>
        <w:ind w:left="1" w:firstLine="564" w:firstLineChars="235"/>
        <w:rPr>
          <w:rFonts w:hint="eastAsia" w:ascii="宋体" w:hAnsi="宋体" w:eastAsia="宋体" w:cs="宋体"/>
          <w:color w:val="auto"/>
          <w:sz w:val="24"/>
          <w:highlight w:val="none"/>
        </w:rPr>
      </w:pPr>
    </w:p>
    <w:p w14:paraId="6B3F8420">
      <w:pPr>
        <w:tabs>
          <w:tab w:val="left" w:pos="5580"/>
        </w:tabs>
        <w:spacing w:line="240" w:lineRule="atLeast"/>
        <w:ind w:left="1" w:firstLine="564" w:firstLineChars="235"/>
        <w:rPr>
          <w:rFonts w:hint="eastAsia" w:ascii="宋体" w:hAnsi="宋体" w:eastAsia="宋体" w:cs="宋体"/>
          <w:color w:val="auto"/>
          <w:sz w:val="24"/>
          <w:highlight w:val="none"/>
        </w:rPr>
      </w:pPr>
    </w:p>
    <w:p w14:paraId="55578D30">
      <w:pPr>
        <w:tabs>
          <w:tab w:val="left" w:pos="5580"/>
        </w:tabs>
        <w:spacing w:line="240" w:lineRule="atLeast"/>
        <w:ind w:left="1" w:firstLine="564" w:firstLineChars="235"/>
        <w:rPr>
          <w:rFonts w:hint="eastAsia" w:ascii="宋体" w:hAnsi="宋体" w:eastAsia="宋体" w:cs="宋体"/>
          <w:color w:val="auto"/>
          <w:sz w:val="24"/>
          <w:highlight w:val="none"/>
        </w:rPr>
      </w:pPr>
    </w:p>
    <w:p w14:paraId="5F89AF68">
      <w:pPr>
        <w:tabs>
          <w:tab w:val="left" w:pos="5580"/>
        </w:tabs>
        <w:spacing w:line="240" w:lineRule="atLeast"/>
        <w:ind w:left="1" w:firstLine="564" w:firstLineChars="235"/>
        <w:rPr>
          <w:rFonts w:hint="eastAsia" w:ascii="宋体" w:hAnsi="宋体" w:eastAsia="宋体" w:cs="宋体"/>
          <w:color w:val="auto"/>
          <w:sz w:val="24"/>
          <w:highlight w:val="none"/>
        </w:rPr>
      </w:pPr>
    </w:p>
    <w:p w14:paraId="48E3E212">
      <w:pPr>
        <w:tabs>
          <w:tab w:val="left" w:pos="5580"/>
        </w:tabs>
        <w:spacing w:line="240" w:lineRule="atLeast"/>
        <w:ind w:left="1" w:firstLine="564" w:firstLineChars="235"/>
        <w:rPr>
          <w:rFonts w:hint="eastAsia" w:ascii="宋体" w:hAnsi="宋体" w:eastAsia="宋体" w:cs="宋体"/>
          <w:color w:val="auto"/>
          <w:sz w:val="24"/>
          <w:highlight w:val="none"/>
        </w:rPr>
      </w:pPr>
    </w:p>
    <w:p w14:paraId="131F562C">
      <w:pPr>
        <w:tabs>
          <w:tab w:val="left" w:pos="5580"/>
        </w:tabs>
        <w:spacing w:line="240" w:lineRule="atLeast"/>
        <w:ind w:left="1" w:firstLine="564" w:firstLineChars="235"/>
        <w:rPr>
          <w:rFonts w:hint="eastAsia" w:ascii="宋体" w:hAnsi="宋体" w:eastAsia="宋体" w:cs="宋体"/>
          <w:color w:val="auto"/>
          <w:sz w:val="24"/>
          <w:highlight w:val="none"/>
        </w:rPr>
      </w:pPr>
    </w:p>
    <w:p w14:paraId="2BF33E8A">
      <w:pPr>
        <w:tabs>
          <w:tab w:val="left" w:pos="5580"/>
        </w:tabs>
        <w:spacing w:line="240" w:lineRule="atLeast"/>
        <w:ind w:left="1" w:firstLine="564" w:firstLineChars="235"/>
        <w:rPr>
          <w:rFonts w:hint="eastAsia" w:ascii="宋体" w:hAnsi="宋体" w:eastAsia="宋体" w:cs="宋体"/>
          <w:color w:val="auto"/>
          <w:sz w:val="24"/>
          <w:highlight w:val="none"/>
        </w:rPr>
      </w:pPr>
    </w:p>
    <w:p w14:paraId="365EA490">
      <w:pPr>
        <w:tabs>
          <w:tab w:val="left" w:pos="5580"/>
        </w:tabs>
        <w:spacing w:line="240" w:lineRule="atLeast"/>
        <w:ind w:left="1" w:firstLine="564" w:firstLineChars="235"/>
        <w:rPr>
          <w:rFonts w:hint="eastAsia" w:ascii="宋体" w:hAnsi="宋体" w:eastAsia="宋体" w:cs="宋体"/>
          <w:color w:val="auto"/>
          <w:sz w:val="24"/>
          <w:highlight w:val="none"/>
        </w:rPr>
      </w:pPr>
    </w:p>
    <w:p w14:paraId="5CBC14B3">
      <w:pPr>
        <w:tabs>
          <w:tab w:val="left" w:pos="5580"/>
        </w:tabs>
        <w:spacing w:line="240" w:lineRule="atLeast"/>
        <w:ind w:left="1" w:firstLine="564" w:firstLineChars="235"/>
        <w:rPr>
          <w:rFonts w:hint="eastAsia" w:ascii="宋体" w:hAnsi="宋体" w:eastAsia="宋体" w:cs="宋体"/>
          <w:color w:val="auto"/>
          <w:sz w:val="24"/>
          <w:highlight w:val="none"/>
        </w:rPr>
      </w:pPr>
    </w:p>
    <w:p w14:paraId="2C2265E7">
      <w:pPr>
        <w:tabs>
          <w:tab w:val="left" w:pos="5580"/>
        </w:tabs>
        <w:spacing w:line="240" w:lineRule="atLeast"/>
        <w:ind w:left="1" w:firstLine="564" w:firstLineChars="235"/>
        <w:rPr>
          <w:rFonts w:hint="eastAsia" w:ascii="宋体" w:hAnsi="宋体" w:eastAsia="宋体" w:cs="宋体"/>
          <w:color w:val="auto"/>
          <w:sz w:val="24"/>
          <w:highlight w:val="none"/>
        </w:rPr>
      </w:pPr>
    </w:p>
    <w:p w14:paraId="328F16D1">
      <w:pPr>
        <w:tabs>
          <w:tab w:val="left" w:pos="5580"/>
        </w:tabs>
        <w:spacing w:line="240" w:lineRule="atLeast"/>
        <w:ind w:left="1" w:firstLine="564" w:firstLineChars="235"/>
        <w:rPr>
          <w:rFonts w:hint="eastAsia" w:ascii="宋体" w:hAnsi="宋体" w:eastAsia="宋体" w:cs="宋体"/>
          <w:color w:val="auto"/>
          <w:sz w:val="24"/>
          <w:highlight w:val="none"/>
        </w:rPr>
      </w:pPr>
    </w:p>
    <w:p w14:paraId="3BB44901">
      <w:pPr>
        <w:tabs>
          <w:tab w:val="left" w:pos="5580"/>
        </w:tabs>
        <w:spacing w:line="240" w:lineRule="atLeast"/>
        <w:ind w:left="1" w:firstLine="564" w:firstLineChars="235"/>
        <w:rPr>
          <w:rFonts w:hint="eastAsia" w:ascii="宋体" w:hAnsi="宋体" w:eastAsia="宋体" w:cs="宋体"/>
          <w:color w:val="auto"/>
          <w:sz w:val="24"/>
          <w:highlight w:val="none"/>
        </w:rPr>
      </w:pPr>
    </w:p>
    <w:p w14:paraId="1A69F498">
      <w:pPr>
        <w:pStyle w:val="3"/>
        <w:spacing w:before="0" w:line="240" w:lineRule="atLeast"/>
        <w:ind w:left="1079" w:leftChars="257" w:hanging="540"/>
        <w:rPr>
          <w:rFonts w:hint="eastAsia" w:ascii="宋体" w:hAnsi="宋体" w:eastAsia="宋体" w:cs="宋体"/>
          <w:b/>
          <w:bCs/>
          <w:color w:val="auto"/>
          <w:kern w:val="2"/>
          <w:sz w:val="28"/>
          <w:szCs w:val="28"/>
          <w:highlight w:val="none"/>
          <w:lang w:val="en-US" w:eastAsia="zh-CN" w:bidi="ar-SA"/>
        </w:rPr>
      </w:pPr>
      <w:bookmarkStart w:id="282" w:name="_Toc14309"/>
      <w:bookmarkStart w:id="283" w:name="_Toc16568"/>
      <w:bookmarkStart w:id="284" w:name="_Toc515647804"/>
      <w:bookmarkStart w:id="285" w:name="_Toc30524"/>
      <w:r>
        <w:rPr>
          <w:rFonts w:hint="eastAsia" w:ascii="宋体" w:hAnsi="宋体" w:eastAsia="宋体" w:cs="宋体"/>
          <w:b/>
          <w:bCs/>
          <w:color w:val="auto"/>
          <w:kern w:val="2"/>
          <w:sz w:val="28"/>
          <w:szCs w:val="28"/>
          <w:highlight w:val="none"/>
          <w:lang w:val="en-US" w:eastAsia="zh-CN" w:bidi="ar-SA"/>
        </w:rPr>
        <w:t>1、开标一览表</w:t>
      </w:r>
      <w:bookmarkEnd w:id="282"/>
      <w:bookmarkEnd w:id="283"/>
      <w:bookmarkEnd w:id="284"/>
      <w:bookmarkEnd w:id="285"/>
    </w:p>
    <w:p w14:paraId="7C39E985">
      <w:pPr>
        <w:pStyle w:val="13"/>
        <w:tabs>
          <w:tab w:val="left" w:pos="5580"/>
        </w:tabs>
        <w:spacing w:line="240" w:lineRule="atLeast"/>
        <w:ind w:left="268" w:leftChars="128"/>
        <w:rPr>
          <w:rFonts w:hint="eastAsia" w:ascii="宋体" w:hAnsi="宋体" w:eastAsia="宋体" w:cs="宋体"/>
          <w:color w:val="auto"/>
          <w:sz w:val="24"/>
          <w:szCs w:val="24"/>
          <w:highlight w:val="none"/>
        </w:rPr>
      </w:pPr>
    </w:p>
    <w:p w14:paraId="6C47D0F8">
      <w:pPr>
        <w:pStyle w:val="4"/>
        <w:tabs>
          <w:tab w:val="left" w:pos="5580"/>
        </w:tabs>
        <w:spacing w:line="240" w:lineRule="atLeast"/>
        <w:ind w:left="1079" w:leftChars="257" w:hanging="540"/>
        <w:jc w:val="both"/>
        <w:rPr>
          <w:rFonts w:hint="eastAsia" w:ascii="宋体" w:hAnsi="宋体" w:eastAsia="宋体" w:cs="宋体"/>
          <w:color w:val="auto"/>
          <w:highlight w:val="none"/>
        </w:rPr>
      </w:pPr>
      <w:bookmarkStart w:id="286" w:name="_Hlt520356241"/>
      <w:bookmarkEnd w:id="286"/>
      <w:bookmarkStart w:id="287" w:name="_Ref467988698"/>
      <w:bookmarkStart w:id="288" w:name="_Toc480942349"/>
      <w:bookmarkStart w:id="289" w:name="_Toc520356217"/>
      <w:bookmarkStart w:id="290" w:name="_Toc216582813"/>
      <w:r>
        <w:rPr>
          <w:rFonts w:hint="eastAsia" w:ascii="宋体" w:hAnsi="宋体" w:eastAsia="宋体" w:cs="宋体"/>
          <w:b/>
          <w:color w:val="auto"/>
          <w:highlight w:val="none"/>
        </w:rPr>
        <w:cr/>
      </w:r>
    </w:p>
    <w:p w14:paraId="00204004">
      <w:pPr>
        <w:tabs>
          <w:tab w:val="left" w:pos="1800"/>
          <w:tab w:val="left" w:pos="5580"/>
        </w:tabs>
        <w:spacing w:line="240" w:lineRule="atLeast"/>
        <w:ind w:left="1079" w:leftChars="257" w:right="-867" w:rightChars="-413" w:hanging="540"/>
        <w:rPr>
          <w:rFonts w:hint="eastAsia" w:ascii="宋体" w:hAnsi="宋体" w:cs="宋体"/>
          <w:color w:val="auto"/>
          <w:sz w:val="24"/>
          <w:highlight w:val="none"/>
        </w:rPr>
      </w:pPr>
      <w:r>
        <w:rPr>
          <w:rFonts w:hint="eastAsia" w:ascii="宋体" w:hAnsi="宋体" w:cs="宋体"/>
          <w:color w:val="auto"/>
          <w:sz w:val="24"/>
          <w:highlight w:val="none"/>
        </w:rPr>
        <w:t xml:space="preserve">项目名称：　                  项目编号：                 包号：         </w:t>
      </w:r>
    </w:p>
    <w:p w14:paraId="502D6247">
      <w:pPr>
        <w:tabs>
          <w:tab w:val="left" w:pos="1800"/>
          <w:tab w:val="left" w:pos="5580"/>
        </w:tabs>
        <w:spacing w:line="240" w:lineRule="atLeast"/>
        <w:ind w:left="1079" w:leftChars="257" w:right="-867" w:rightChars="-413" w:hanging="540"/>
        <w:rPr>
          <w:rFonts w:hint="eastAsia" w:ascii="宋体" w:hAnsi="宋体" w:cs="宋体"/>
          <w:color w:val="auto"/>
          <w:sz w:val="24"/>
          <w:highlight w:val="none"/>
        </w:rPr>
      </w:pPr>
      <w:r>
        <w:rPr>
          <w:rFonts w:hint="eastAsia" w:ascii="宋体" w:hAnsi="宋体" w:cs="宋体"/>
          <w:color w:val="auto"/>
          <w:sz w:val="24"/>
          <w:highlight w:val="none"/>
        </w:rPr>
        <w:t>报价单位：人民币</w:t>
      </w:r>
      <w:r>
        <w:rPr>
          <w:rFonts w:hint="eastAsia" w:ascii="宋体" w:hAnsi="宋体" w:cs="宋体"/>
          <w:b/>
          <w:color w:val="auto"/>
          <w:sz w:val="24"/>
          <w:highlight w:val="none"/>
        </w:rPr>
        <w:t xml:space="preserve">  元</w:t>
      </w:r>
    </w:p>
    <w:tbl>
      <w:tblPr>
        <w:tblStyle w:val="33"/>
        <w:tblW w:w="8411" w:type="dxa"/>
        <w:tblInd w:w="-61" w:type="dxa"/>
        <w:tblLayout w:type="fixed"/>
        <w:tblCellMar>
          <w:top w:w="0" w:type="dxa"/>
          <w:left w:w="0" w:type="dxa"/>
          <w:bottom w:w="0" w:type="dxa"/>
          <w:right w:w="0" w:type="dxa"/>
        </w:tblCellMar>
      </w:tblPr>
      <w:tblGrid>
        <w:gridCol w:w="1420"/>
        <w:gridCol w:w="1916"/>
        <w:gridCol w:w="1312"/>
        <w:gridCol w:w="1353"/>
        <w:gridCol w:w="1085"/>
        <w:gridCol w:w="1325"/>
      </w:tblGrid>
      <w:tr w14:paraId="0AC8EAB5">
        <w:tblPrEx>
          <w:tblCellMar>
            <w:top w:w="0" w:type="dxa"/>
            <w:left w:w="0" w:type="dxa"/>
            <w:bottom w:w="0" w:type="dxa"/>
            <w:right w:w="0" w:type="dxa"/>
          </w:tblCellMar>
        </w:tblPrEx>
        <w:trPr>
          <w:trHeight w:val="662" w:hRule="atLeast"/>
        </w:trPr>
        <w:tc>
          <w:tcPr>
            <w:tcW w:w="1420" w:type="dxa"/>
            <w:tcBorders>
              <w:top w:val="single" w:color="auto" w:sz="4" w:space="0"/>
              <w:left w:val="single" w:color="auto" w:sz="4" w:space="0"/>
              <w:bottom w:val="single" w:color="auto" w:sz="8" w:space="0"/>
              <w:right w:val="single" w:color="auto" w:sz="4" w:space="0"/>
            </w:tcBorders>
            <w:noWrap w:val="0"/>
            <w:vAlign w:val="center"/>
          </w:tcPr>
          <w:p w14:paraId="153108E7">
            <w:pPr>
              <w:tabs>
                <w:tab w:val="left" w:pos="5580"/>
              </w:tabs>
              <w:spacing w:line="240" w:lineRule="atLeast"/>
              <w:ind w:right="-199"/>
              <w:jc w:val="center"/>
              <w:rPr>
                <w:rFonts w:hint="eastAsia" w:ascii="宋体" w:hAnsi="宋体" w:cs="宋体"/>
                <w:color w:val="auto"/>
                <w:sz w:val="24"/>
                <w:highlight w:val="none"/>
              </w:rPr>
            </w:pPr>
            <w:r>
              <w:rPr>
                <w:rFonts w:hint="eastAsia" w:ascii="宋体" w:hAnsi="宋体" w:cs="宋体"/>
                <w:color w:val="auto"/>
                <w:sz w:val="24"/>
                <w:highlight w:val="none"/>
              </w:rPr>
              <w:t>项目名称</w:t>
            </w:r>
          </w:p>
        </w:tc>
        <w:tc>
          <w:tcPr>
            <w:tcW w:w="1916" w:type="dxa"/>
            <w:tcBorders>
              <w:top w:val="single" w:color="auto" w:sz="4" w:space="0"/>
              <w:left w:val="single" w:color="auto" w:sz="8" w:space="0"/>
              <w:bottom w:val="single" w:color="auto" w:sz="8" w:space="0"/>
              <w:right w:val="single" w:color="auto" w:sz="4" w:space="0"/>
            </w:tcBorders>
            <w:noWrap w:val="0"/>
            <w:vAlign w:val="center"/>
          </w:tcPr>
          <w:p w14:paraId="6B58ED8E">
            <w:pPr>
              <w:tabs>
                <w:tab w:val="left" w:pos="5580"/>
              </w:tabs>
              <w:spacing w:line="240" w:lineRule="atLeast"/>
              <w:jc w:val="center"/>
              <w:rPr>
                <w:rFonts w:hint="eastAsia" w:ascii="宋体" w:hAnsi="宋体" w:cs="宋体"/>
                <w:color w:val="auto"/>
                <w:sz w:val="24"/>
                <w:highlight w:val="none"/>
              </w:rPr>
            </w:pPr>
            <w:r>
              <w:rPr>
                <w:rFonts w:hint="eastAsia" w:ascii="宋体" w:hAnsi="宋体" w:cs="宋体"/>
                <w:color w:val="auto"/>
                <w:sz w:val="24"/>
                <w:highlight w:val="none"/>
              </w:rPr>
              <w:t>投标总价</w:t>
            </w:r>
          </w:p>
        </w:tc>
        <w:tc>
          <w:tcPr>
            <w:tcW w:w="1312" w:type="dxa"/>
            <w:tcBorders>
              <w:top w:val="single" w:color="auto" w:sz="8" w:space="0"/>
              <w:left w:val="nil"/>
              <w:bottom w:val="single" w:color="auto" w:sz="8" w:space="0"/>
              <w:right w:val="single" w:color="auto" w:sz="4" w:space="0"/>
            </w:tcBorders>
            <w:noWrap w:val="0"/>
            <w:vAlign w:val="center"/>
          </w:tcPr>
          <w:p w14:paraId="1A93C08E">
            <w:pPr>
              <w:tabs>
                <w:tab w:val="left" w:pos="5580"/>
              </w:tabs>
              <w:spacing w:line="240" w:lineRule="atLeast"/>
              <w:jc w:val="center"/>
              <w:rPr>
                <w:rFonts w:hint="eastAsia" w:ascii="宋体" w:hAnsi="宋体" w:cs="宋体"/>
                <w:color w:val="auto"/>
                <w:sz w:val="24"/>
                <w:highlight w:val="none"/>
              </w:rPr>
            </w:pPr>
            <w:r>
              <w:rPr>
                <w:rFonts w:hint="eastAsia" w:ascii="宋体" w:hAnsi="宋体" w:cs="宋体"/>
                <w:color w:val="auto"/>
                <w:sz w:val="24"/>
                <w:highlight w:val="none"/>
              </w:rPr>
              <w:t>投标保证金</w:t>
            </w:r>
          </w:p>
        </w:tc>
        <w:tc>
          <w:tcPr>
            <w:tcW w:w="1353" w:type="dxa"/>
            <w:tcBorders>
              <w:top w:val="single" w:color="auto" w:sz="8" w:space="0"/>
              <w:left w:val="nil"/>
              <w:bottom w:val="single" w:color="auto" w:sz="8" w:space="0"/>
              <w:right w:val="single" w:color="auto" w:sz="4" w:space="0"/>
            </w:tcBorders>
            <w:noWrap w:val="0"/>
            <w:vAlign w:val="center"/>
          </w:tcPr>
          <w:p w14:paraId="2A833A71">
            <w:pPr>
              <w:tabs>
                <w:tab w:val="left" w:pos="5580"/>
              </w:tabs>
              <w:spacing w:line="240" w:lineRule="atLeast"/>
              <w:jc w:val="center"/>
              <w:rPr>
                <w:rFonts w:hint="eastAsia" w:ascii="宋体" w:hAnsi="宋体" w:cs="宋体"/>
                <w:color w:val="auto"/>
                <w:sz w:val="24"/>
                <w:highlight w:val="none"/>
              </w:rPr>
            </w:pPr>
            <w:r>
              <w:rPr>
                <w:rFonts w:hint="eastAsia" w:ascii="宋体" w:hAnsi="宋体" w:cs="宋体"/>
                <w:color w:val="auto"/>
                <w:sz w:val="24"/>
                <w:highlight w:val="none"/>
              </w:rPr>
              <w:t>交货期</w:t>
            </w:r>
          </w:p>
        </w:tc>
        <w:tc>
          <w:tcPr>
            <w:tcW w:w="1085" w:type="dxa"/>
            <w:tcBorders>
              <w:top w:val="single" w:color="auto" w:sz="8" w:space="0"/>
              <w:left w:val="nil"/>
              <w:bottom w:val="single" w:color="auto" w:sz="8" w:space="0"/>
              <w:right w:val="single" w:color="auto" w:sz="4" w:space="0"/>
            </w:tcBorders>
            <w:noWrap w:val="0"/>
            <w:vAlign w:val="center"/>
          </w:tcPr>
          <w:p w14:paraId="1B78949B">
            <w:pPr>
              <w:tabs>
                <w:tab w:val="left" w:pos="5580"/>
              </w:tabs>
              <w:spacing w:line="240" w:lineRule="atLeast"/>
              <w:jc w:val="center"/>
              <w:rPr>
                <w:rFonts w:hint="eastAsia" w:ascii="宋体" w:hAnsi="宋体" w:cs="宋体"/>
                <w:color w:val="auto"/>
                <w:sz w:val="24"/>
                <w:highlight w:val="none"/>
              </w:rPr>
            </w:pPr>
            <w:r>
              <w:rPr>
                <w:rFonts w:hint="eastAsia" w:ascii="宋体" w:hAnsi="宋体" w:cs="宋体"/>
                <w:color w:val="auto"/>
                <w:sz w:val="24"/>
                <w:highlight w:val="none"/>
              </w:rPr>
              <w:t>交货地点</w:t>
            </w:r>
          </w:p>
        </w:tc>
        <w:tc>
          <w:tcPr>
            <w:tcW w:w="1325" w:type="dxa"/>
            <w:tcBorders>
              <w:top w:val="single" w:color="auto" w:sz="8" w:space="0"/>
              <w:left w:val="single" w:color="auto" w:sz="4" w:space="0"/>
              <w:bottom w:val="single" w:color="auto" w:sz="8" w:space="0"/>
              <w:right w:val="single" w:color="auto" w:sz="8" w:space="0"/>
            </w:tcBorders>
            <w:noWrap w:val="0"/>
            <w:vAlign w:val="center"/>
          </w:tcPr>
          <w:p w14:paraId="524092B6">
            <w:pPr>
              <w:tabs>
                <w:tab w:val="left" w:pos="5580"/>
              </w:tabs>
              <w:spacing w:line="240" w:lineRule="atLeast"/>
              <w:jc w:val="center"/>
              <w:rPr>
                <w:rFonts w:hint="eastAsia" w:ascii="宋体" w:hAnsi="宋体" w:cs="宋体"/>
                <w:color w:val="auto"/>
                <w:sz w:val="24"/>
                <w:highlight w:val="none"/>
              </w:rPr>
            </w:pPr>
            <w:r>
              <w:rPr>
                <w:rFonts w:hint="eastAsia" w:ascii="宋体" w:hAnsi="宋体" w:cs="宋体"/>
                <w:color w:val="auto"/>
                <w:sz w:val="24"/>
                <w:highlight w:val="none"/>
              </w:rPr>
              <w:t>备注</w:t>
            </w:r>
          </w:p>
        </w:tc>
      </w:tr>
      <w:tr w14:paraId="1DA15072">
        <w:tblPrEx>
          <w:tblCellMar>
            <w:top w:w="0" w:type="dxa"/>
            <w:left w:w="0" w:type="dxa"/>
            <w:bottom w:w="0" w:type="dxa"/>
            <w:right w:w="0" w:type="dxa"/>
          </w:tblCellMar>
        </w:tblPrEx>
        <w:trPr>
          <w:cantSplit/>
          <w:trHeight w:val="1640" w:hRule="atLeast"/>
        </w:trPr>
        <w:tc>
          <w:tcPr>
            <w:tcW w:w="1420" w:type="dxa"/>
            <w:tcBorders>
              <w:top w:val="single" w:color="auto" w:sz="8" w:space="0"/>
              <w:left w:val="single" w:color="auto" w:sz="4" w:space="0"/>
              <w:bottom w:val="single" w:color="auto" w:sz="4" w:space="0"/>
              <w:right w:val="single" w:color="auto" w:sz="4" w:space="0"/>
            </w:tcBorders>
            <w:noWrap w:val="0"/>
            <w:vAlign w:val="center"/>
          </w:tcPr>
          <w:p w14:paraId="662ED923">
            <w:pPr>
              <w:tabs>
                <w:tab w:val="left" w:pos="5580"/>
              </w:tabs>
              <w:spacing w:line="240" w:lineRule="atLeast"/>
              <w:ind w:left="1079" w:leftChars="257" w:hanging="540"/>
              <w:jc w:val="center"/>
              <w:rPr>
                <w:rFonts w:hint="eastAsia" w:ascii="宋体" w:hAnsi="宋体" w:cs="宋体"/>
                <w:color w:val="auto"/>
                <w:sz w:val="24"/>
                <w:highlight w:val="none"/>
              </w:rPr>
            </w:pPr>
          </w:p>
        </w:tc>
        <w:tc>
          <w:tcPr>
            <w:tcW w:w="1916" w:type="dxa"/>
            <w:tcBorders>
              <w:top w:val="single" w:color="auto" w:sz="8" w:space="0"/>
              <w:left w:val="single" w:color="auto" w:sz="8" w:space="0"/>
              <w:bottom w:val="single" w:color="auto" w:sz="4" w:space="0"/>
              <w:right w:val="single" w:color="auto" w:sz="4" w:space="0"/>
            </w:tcBorders>
            <w:noWrap w:val="0"/>
            <w:vAlign w:val="center"/>
          </w:tcPr>
          <w:p w14:paraId="520E4319">
            <w:pPr>
              <w:tabs>
                <w:tab w:val="left" w:pos="5580"/>
              </w:tabs>
              <w:spacing w:line="240" w:lineRule="atLeast"/>
              <w:jc w:val="left"/>
              <w:rPr>
                <w:rFonts w:hint="eastAsia" w:ascii="宋体" w:hAnsi="宋体" w:cs="宋体"/>
                <w:color w:val="auto"/>
                <w:sz w:val="24"/>
                <w:highlight w:val="none"/>
              </w:rPr>
            </w:pPr>
            <w:r>
              <w:rPr>
                <w:rFonts w:hint="eastAsia" w:ascii="宋体" w:hAnsi="宋体" w:cs="宋体"/>
                <w:color w:val="auto"/>
                <w:sz w:val="24"/>
                <w:highlight w:val="none"/>
              </w:rPr>
              <w:t>大写：</w:t>
            </w:r>
          </w:p>
          <w:p w14:paraId="399576A9">
            <w:pPr>
              <w:tabs>
                <w:tab w:val="left" w:pos="5580"/>
              </w:tabs>
              <w:spacing w:line="240" w:lineRule="atLeast"/>
              <w:jc w:val="left"/>
              <w:rPr>
                <w:rFonts w:hint="eastAsia" w:ascii="宋体" w:hAnsi="宋体" w:cs="宋体"/>
                <w:color w:val="auto"/>
                <w:sz w:val="24"/>
                <w:highlight w:val="none"/>
              </w:rPr>
            </w:pPr>
            <w:r>
              <w:rPr>
                <w:rFonts w:hint="eastAsia" w:ascii="宋体" w:hAnsi="宋体" w:cs="宋体"/>
                <w:color w:val="auto"/>
                <w:sz w:val="24"/>
                <w:highlight w:val="none"/>
              </w:rPr>
              <w:t>小写：</w:t>
            </w:r>
          </w:p>
        </w:tc>
        <w:tc>
          <w:tcPr>
            <w:tcW w:w="1312" w:type="dxa"/>
            <w:tcBorders>
              <w:top w:val="single" w:color="auto" w:sz="8" w:space="0"/>
              <w:left w:val="nil"/>
              <w:bottom w:val="single" w:color="auto" w:sz="4" w:space="0"/>
              <w:right w:val="single" w:color="auto" w:sz="4" w:space="0"/>
            </w:tcBorders>
            <w:noWrap w:val="0"/>
            <w:vAlign w:val="center"/>
          </w:tcPr>
          <w:p w14:paraId="28348B09">
            <w:pPr>
              <w:tabs>
                <w:tab w:val="left" w:pos="5580"/>
              </w:tabs>
              <w:spacing w:line="240" w:lineRule="atLeast"/>
              <w:ind w:left="1079" w:leftChars="257" w:hanging="540"/>
              <w:jc w:val="center"/>
              <w:rPr>
                <w:rFonts w:hint="eastAsia" w:ascii="宋体" w:hAnsi="宋体" w:cs="宋体"/>
                <w:color w:val="auto"/>
                <w:sz w:val="24"/>
                <w:highlight w:val="none"/>
              </w:rPr>
            </w:pPr>
          </w:p>
        </w:tc>
        <w:tc>
          <w:tcPr>
            <w:tcW w:w="1353" w:type="dxa"/>
            <w:tcBorders>
              <w:top w:val="single" w:color="auto" w:sz="8" w:space="0"/>
              <w:left w:val="nil"/>
              <w:bottom w:val="single" w:color="auto" w:sz="4" w:space="0"/>
              <w:right w:val="single" w:color="auto" w:sz="4" w:space="0"/>
            </w:tcBorders>
            <w:noWrap w:val="0"/>
            <w:vAlign w:val="center"/>
          </w:tcPr>
          <w:p w14:paraId="57A836B7">
            <w:pPr>
              <w:tabs>
                <w:tab w:val="left" w:pos="5580"/>
              </w:tabs>
              <w:spacing w:line="240" w:lineRule="atLeast"/>
              <w:ind w:left="1079" w:leftChars="257" w:hanging="540"/>
              <w:jc w:val="center"/>
              <w:rPr>
                <w:rFonts w:hint="eastAsia" w:ascii="宋体" w:hAnsi="宋体" w:cs="宋体"/>
                <w:color w:val="auto"/>
                <w:sz w:val="24"/>
                <w:highlight w:val="none"/>
              </w:rPr>
            </w:pPr>
          </w:p>
        </w:tc>
        <w:tc>
          <w:tcPr>
            <w:tcW w:w="1085" w:type="dxa"/>
            <w:tcBorders>
              <w:top w:val="single" w:color="auto" w:sz="8" w:space="0"/>
              <w:left w:val="nil"/>
              <w:bottom w:val="single" w:color="auto" w:sz="4" w:space="0"/>
              <w:right w:val="single" w:color="auto" w:sz="4" w:space="0"/>
            </w:tcBorders>
            <w:noWrap w:val="0"/>
            <w:vAlign w:val="center"/>
          </w:tcPr>
          <w:p w14:paraId="340FF6DD">
            <w:pPr>
              <w:tabs>
                <w:tab w:val="left" w:pos="5580"/>
              </w:tabs>
              <w:spacing w:line="240" w:lineRule="atLeast"/>
              <w:ind w:left="1079" w:leftChars="257" w:hanging="540"/>
              <w:jc w:val="center"/>
              <w:rPr>
                <w:rFonts w:hint="eastAsia" w:ascii="宋体" w:hAnsi="宋体" w:cs="宋体"/>
                <w:color w:val="auto"/>
                <w:sz w:val="24"/>
                <w:highlight w:val="none"/>
              </w:rPr>
            </w:pPr>
          </w:p>
        </w:tc>
        <w:tc>
          <w:tcPr>
            <w:tcW w:w="1325" w:type="dxa"/>
            <w:tcBorders>
              <w:top w:val="single" w:color="auto" w:sz="8" w:space="0"/>
              <w:left w:val="single" w:color="auto" w:sz="4" w:space="0"/>
              <w:bottom w:val="single" w:color="auto" w:sz="4" w:space="0"/>
              <w:right w:val="single" w:color="auto" w:sz="8" w:space="0"/>
            </w:tcBorders>
            <w:noWrap w:val="0"/>
            <w:vAlign w:val="center"/>
          </w:tcPr>
          <w:p w14:paraId="7DDF535D">
            <w:pPr>
              <w:tabs>
                <w:tab w:val="left" w:pos="5580"/>
              </w:tabs>
              <w:spacing w:line="240" w:lineRule="atLeast"/>
              <w:ind w:left="1079" w:leftChars="257" w:hanging="540"/>
              <w:jc w:val="center"/>
              <w:rPr>
                <w:rFonts w:hint="eastAsia" w:ascii="宋体" w:hAnsi="宋体" w:cs="宋体"/>
                <w:color w:val="auto"/>
                <w:sz w:val="24"/>
                <w:highlight w:val="none"/>
              </w:rPr>
            </w:pPr>
          </w:p>
        </w:tc>
      </w:tr>
    </w:tbl>
    <w:p w14:paraId="44D6E7E7">
      <w:pPr>
        <w:pStyle w:val="13"/>
        <w:tabs>
          <w:tab w:val="left" w:pos="5580"/>
        </w:tabs>
        <w:spacing w:line="240" w:lineRule="atLeast"/>
        <w:ind w:left="1079" w:leftChars="257" w:hanging="540"/>
        <w:rPr>
          <w:rFonts w:hint="eastAsia" w:hAnsi="宋体" w:cs="宋体"/>
          <w:color w:val="auto"/>
          <w:sz w:val="24"/>
          <w:highlight w:val="none"/>
        </w:rPr>
      </w:pPr>
    </w:p>
    <w:p w14:paraId="76645441">
      <w:pPr>
        <w:pStyle w:val="13"/>
        <w:tabs>
          <w:tab w:val="left" w:pos="5580"/>
        </w:tabs>
        <w:spacing w:line="240" w:lineRule="atLeast"/>
        <w:ind w:left="1079" w:leftChars="257" w:hanging="540"/>
        <w:rPr>
          <w:rFonts w:hint="eastAsia" w:hAnsi="宋体" w:cs="宋体"/>
          <w:color w:val="auto"/>
          <w:sz w:val="24"/>
          <w:highlight w:val="none"/>
          <w:u w:val="single"/>
        </w:rPr>
      </w:pPr>
    </w:p>
    <w:p w14:paraId="1394D369">
      <w:pPr>
        <w:pStyle w:val="13"/>
        <w:tabs>
          <w:tab w:val="left" w:pos="5580"/>
        </w:tabs>
        <w:spacing w:line="240" w:lineRule="atLeast"/>
        <w:ind w:left="1079" w:leftChars="257" w:hanging="540"/>
        <w:rPr>
          <w:rFonts w:hint="eastAsia" w:hAnsi="宋体" w:cs="宋体"/>
          <w:color w:val="auto"/>
          <w:sz w:val="24"/>
          <w:highlight w:val="none"/>
        </w:rPr>
      </w:pPr>
      <w:r>
        <w:rPr>
          <w:rFonts w:hint="eastAsia" w:hAnsi="宋体" w:cs="宋体"/>
          <w:color w:val="auto"/>
          <w:sz w:val="24"/>
          <w:highlight w:val="none"/>
        </w:rPr>
        <w:t>投标人名称（单位盖章）：</w:t>
      </w:r>
      <w:r>
        <w:rPr>
          <w:rFonts w:hint="eastAsia" w:hAnsi="宋体" w:cs="宋体"/>
          <w:color w:val="auto"/>
          <w:sz w:val="24"/>
          <w:highlight w:val="none"/>
          <w:u w:val="single"/>
        </w:rPr>
        <w:t xml:space="preserve">                       </w:t>
      </w:r>
    </w:p>
    <w:p w14:paraId="71A224B7">
      <w:pPr>
        <w:pStyle w:val="13"/>
        <w:tabs>
          <w:tab w:val="left" w:pos="5580"/>
        </w:tabs>
        <w:spacing w:line="240" w:lineRule="atLeast"/>
        <w:ind w:left="1079" w:leftChars="257" w:hanging="540"/>
        <w:rPr>
          <w:rFonts w:hint="eastAsia" w:hAnsi="宋体" w:cs="宋体"/>
          <w:color w:val="auto"/>
          <w:sz w:val="24"/>
          <w:highlight w:val="none"/>
          <w:u w:val="single"/>
        </w:rPr>
      </w:pPr>
      <w:r>
        <w:rPr>
          <w:rFonts w:hint="eastAsia" w:hAnsi="宋体" w:cs="宋体"/>
          <w:color w:val="auto"/>
          <w:sz w:val="24"/>
          <w:highlight w:val="none"/>
        </w:rPr>
        <w:t>法定代表人或委托代理人(签字):</w:t>
      </w:r>
      <w:r>
        <w:rPr>
          <w:rFonts w:hint="eastAsia" w:hAnsi="宋体" w:cs="宋体"/>
          <w:color w:val="auto"/>
          <w:sz w:val="24"/>
          <w:highlight w:val="none"/>
          <w:u w:val="single"/>
        </w:rPr>
        <w:tab/>
      </w:r>
    </w:p>
    <w:p w14:paraId="06E15A5D">
      <w:pPr>
        <w:pStyle w:val="13"/>
        <w:tabs>
          <w:tab w:val="left" w:pos="5580"/>
        </w:tabs>
        <w:spacing w:line="240" w:lineRule="atLeast"/>
        <w:ind w:left="1079" w:leftChars="257" w:hanging="540"/>
        <w:rPr>
          <w:rFonts w:hint="eastAsia" w:ascii="宋体" w:hAnsi="宋体" w:eastAsia="宋体" w:cs="宋体"/>
          <w:color w:val="auto"/>
          <w:sz w:val="24"/>
          <w:highlight w:val="none"/>
          <w:u w:val="single"/>
        </w:rPr>
      </w:pPr>
    </w:p>
    <w:p w14:paraId="6282374D">
      <w:pPr>
        <w:pStyle w:val="13"/>
        <w:tabs>
          <w:tab w:val="left" w:pos="5580"/>
        </w:tabs>
        <w:spacing w:line="240" w:lineRule="atLeast"/>
        <w:ind w:left="1079" w:leftChars="257" w:hanging="540"/>
        <w:rPr>
          <w:rFonts w:hint="eastAsia" w:ascii="宋体" w:hAnsi="宋体" w:eastAsia="宋体" w:cs="宋体"/>
          <w:color w:val="auto"/>
          <w:sz w:val="24"/>
          <w:highlight w:val="none"/>
        </w:rPr>
      </w:pPr>
    </w:p>
    <w:p w14:paraId="7A568157">
      <w:pPr>
        <w:pStyle w:val="13"/>
        <w:tabs>
          <w:tab w:val="left" w:pos="5580"/>
        </w:tabs>
        <w:spacing w:line="240" w:lineRule="atLeast"/>
        <w:ind w:left="1079"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注:1、此表应按投标人须知的规定装订密封。</w:t>
      </w:r>
    </w:p>
    <w:p w14:paraId="7DE90B44">
      <w:pPr>
        <w:pStyle w:val="13"/>
        <w:tabs>
          <w:tab w:val="left" w:pos="5580"/>
        </w:tabs>
        <w:spacing w:line="240" w:lineRule="atLeast"/>
        <w:ind w:left="1078" w:leftChars="428" w:hanging="180" w:hangingChars="75"/>
        <w:rPr>
          <w:rFonts w:hint="eastAsia" w:ascii="宋体" w:hAnsi="宋体" w:eastAsia="宋体" w:cs="宋体"/>
          <w:color w:val="auto"/>
          <w:sz w:val="24"/>
          <w:highlight w:val="none"/>
        </w:rPr>
      </w:pPr>
      <w:r>
        <w:rPr>
          <w:rFonts w:hint="eastAsia" w:ascii="宋体" w:hAnsi="宋体" w:eastAsia="宋体" w:cs="宋体"/>
          <w:color w:val="auto"/>
          <w:sz w:val="24"/>
          <w:highlight w:val="none"/>
        </w:rPr>
        <w:t>2、此表中，每包的投标总价应和投标分项报价表的总价相一致。</w:t>
      </w:r>
    </w:p>
    <w:p w14:paraId="18F5D864">
      <w:pPr>
        <w:pStyle w:val="13"/>
        <w:tabs>
          <w:tab w:val="left" w:pos="5580"/>
        </w:tabs>
        <w:spacing w:line="240" w:lineRule="atLeast"/>
        <w:ind w:left="1078" w:leftChars="428" w:hanging="180" w:hangingChars="75"/>
        <w:rPr>
          <w:rFonts w:hint="eastAsia" w:hAnsi="宋体" w:cs="宋体"/>
          <w:color w:val="auto"/>
          <w:sz w:val="24"/>
          <w:highlight w:val="none"/>
        </w:rPr>
      </w:pPr>
      <w:r>
        <w:rPr>
          <w:rFonts w:hint="eastAsia" w:hAnsi="宋体" w:cs="宋体"/>
          <w:color w:val="auto"/>
          <w:sz w:val="24"/>
          <w:highlight w:val="none"/>
        </w:rPr>
        <w:t>3、根据中华人民共和国财政部令第87号--政府采购货物和服务招标投标管理办法</w:t>
      </w:r>
      <w:r>
        <w:rPr>
          <w:rFonts w:hAnsi="宋体" w:cs="宋体"/>
          <w:color w:val="auto"/>
          <w:sz w:val="24"/>
          <w:highlight w:val="none"/>
        </w:rPr>
        <w:t>第六十条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3D7740B2">
      <w:pPr>
        <w:rPr>
          <w:rFonts w:hint="eastAsia" w:ascii="宋体" w:hAnsi="宋体" w:eastAsia="宋体" w:cs="宋体"/>
          <w:b/>
          <w:color w:val="auto"/>
          <w:sz w:val="24"/>
          <w:highlight w:val="none"/>
        </w:rPr>
      </w:pPr>
    </w:p>
    <w:p w14:paraId="5960BD06">
      <w:pPr>
        <w:pStyle w:val="24"/>
        <w:rPr>
          <w:rFonts w:hint="eastAsia" w:ascii="宋体" w:hAnsi="宋体" w:eastAsia="宋体" w:cs="宋体"/>
          <w:b/>
          <w:color w:val="auto"/>
          <w:sz w:val="24"/>
          <w:highlight w:val="none"/>
        </w:rPr>
      </w:pPr>
    </w:p>
    <w:p w14:paraId="2C9718B7">
      <w:pPr>
        <w:pStyle w:val="9"/>
        <w:rPr>
          <w:rFonts w:hint="eastAsia" w:ascii="宋体" w:hAnsi="宋体" w:eastAsia="宋体" w:cs="宋体"/>
          <w:b/>
          <w:color w:val="auto"/>
          <w:sz w:val="24"/>
          <w:highlight w:val="none"/>
        </w:rPr>
      </w:pPr>
    </w:p>
    <w:p w14:paraId="09004796">
      <w:pPr>
        <w:rPr>
          <w:rFonts w:hint="eastAsia" w:ascii="宋体" w:hAnsi="宋体" w:eastAsia="宋体" w:cs="宋体"/>
          <w:b/>
          <w:color w:val="auto"/>
          <w:sz w:val="24"/>
          <w:highlight w:val="none"/>
        </w:rPr>
      </w:pPr>
    </w:p>
    <w:p w14:paraId="770DF234">
      <w:pPr>
        <w:pStyle w:val="40"/>
        <w:rPr>
          <w:rFonts w:hint="eastAsia" w:ascii="宋体" w:hAnsi="宋体" w:eastAsia="宋体" w:cs="宋体"/>
          <w:b/>
          <w:color w:val="auto"/>
          <w:sz w:val="24"/>
          <w:highlight w:val="none"/>
        </w:rPr>
      </w:pPr>
    </w:p>
    <w:p w14:paraId="79DFB60D">
      <w:pPr>
        <w:pStyle w:val="40"/>
        <w:rPr>
          <w:rFonts w:hint="eastAsia" w:ascii="宋体" w:hAnsi="宋体" w:eastAsia="宋体" w:cs="宋体"/>
          <w:b/>
          <w:color w:val="auto"/>
          <w:sz w:val="24"/>
          <w:highlight w:val="none"/>
        </w:rPr>
      </w:pPr>
    </w:p>
    <w:p w14:paraId="7A235330">
      <w:pPr>
        <w:pStyle w:val="24"/>
        <w:rPr>
          <w:rFonts w:hint="eastAsia" w:ascii="宋体" w:hAnsi="宋体" w:eastAsia="宋体" w:cs="宋体"/>
          <w:color w:val="auto"/>
          <w:highlight w:val="none"/>
        </w:rPr>
      </w:pPr>
    </w:p>
    <w:p w14:paraId="31E2C67A">
      <w:pPr>
        <w:pStyle w:val="9"/>
        <w:rPr>
          <w:rFonts w:hint="eastAsia" w:ascii="宋体" w:hAnsi="宋体" w:eastAsia="宋体" w:cs="宋体"/>
          <w:color w:val="auto"/>
          <w:highlight w:val="none"/>
        </w:rPr>
      </w:pPr>
    </w:p>
    <w:p w14:paraId="729E4098">
      <w:pPr>
        <w:pStyle w:val="32"/>
        <w:rPr>
          <w:rFonts w:hint="eastAsia"/>
          <w:color w:val="auto"/>
          <w:highlight w:val="none"/>
        </w:rPr>
      </w:pPr>
    </w:p>
    <w:p w14:paraId="6F22FC43">
      <w:pPr>
        <w:pStyle w:val="32"/>
        <w:rPr>
          <w:rFonts w:hint="eastAsia"/>
          <w:color w:val="auto"/>
          <w:highlight w:val="none"/>
        </w:rPr>
      </w:pPr>
    </w:p>
    <w:p w14:paraId="05DEB3DF">
      <w:pPr>
        <w:pStyle w:val="13"/>
        <w:tabs>
          <w:tab w:val="left" w:pos="5580"/>
        </w:tabs>
        <w:spacing w:line="240" w:lineRule="atLeast"/>
        <w:ind w:left="1079" w:leftChars="257" w:hanging="540"/>
        <w:jc w:val="center"/>
        <w:rPr>
          <w:rFonts w:hint="eastAsia" w:ascii="宋体" w:hAnsi="宋体" w:eastAsia="宋体" w:cs="宋体"/>
          <w:b/>
          <w:color w:val="auto"/>
          <w:sz w:val="24"/>
          <w:highlight w:val="none"/>
        </w:rPr>
      </w:pPr>
    </w:p>
    <w:p w14:paraId="7852AF1E">
      <w:pPr>
        <w:pStyle w:val="3"/>
        <w:spacing w:before="0" w:line="240" w:lineRule="atLeast"/>
        <w:ind w:left="1079" w:leftChars="257" w:hanging="540"/>
        <w:rPr>
          <w:rFonts w:hint="eastAsia" w:ascii="宋体" w:hAnsi="宋体" w:eastAsia="宋体" w:cs="宋体"/>
          <w:color w:val="auto"/>
          <w:sz w:val="24"/>
          <w:highlight w:val="none"/>
        </w:rPr>
      </w:pPr>
      <w:r>
        <w:rPr>
          <w:rFonts w:hint="eastAsia" w:ascii="宋体" w:hAnsi="宋体" w:eastAsia="宋体" w:cs="宋体"/>
          <w:b/>
          <w:bCs/>
          <w:color w:val="auto"/>
          <w:sz w:val="28"/>
          <w:szCs w:val="28"/>
          <w:highlight w:val="none"/>
        </w:rPr>
        <w:t xml:space="preserve"> 2、</w:t>
      </w:r>
      <w:r>
        <w:rPr>
          <w:rFonts w:hint="eastAsia" w:ascii="宋体" w:hAnsi="宋体" w:eastAsia="宋体" w:cs="宋体"/>
          <w:b/>
          <w:bCs/>
          <w:color w:val="auto"/>
          <w:sz w:val="28"/>
          <w:szCs w:val="28"/>
          <w:highlight w:val="none"/>
          <w:lang w:val="en-US" w:eastAsia="zh-CN"/>
        </w:rPr>
        <w:t>单位三证合一营业执照</w:t>
      </w:r>
      <w:r>
        <w:rPr>
          <w:rFonts w:hint="eastAsia" w:ascii="宋体" w:hAnsi="宋体" w:eastAsia="宋体" w:cs="宋体"/>
          <w:color w:val="auto"/>
          <w:sz w:val="24"/>
          <w:highlight w:val="none"/>
        </w:rPr>
        <w:t>；</w:t>
      </w:r>
    </w:p>
    <w:p w14:paraId="71D27A90">
      <w:pPr>
        <w:pStyle w:val="13"/>
        <w:tabs>
          <w:tab w:val="left" w:pos="5580"/>
        </w:tabs>
        <w:spacing w:line="240" w:lineRule="atLeast"/>
        <w:ind w:left="1079" w:leftChars="257" w:hanging="540"/>
        <w:jc w:val="center"/>
        <w:rPr>
          <w:rFonts w:hint="eastAsia" w:ascii="宋体" w:hAnsi="宋体" w:eastAsia="宋体" w:cs="宋体"/>
          <w:b/>
          <w:color w:val="auto"/>
          <w:sz w:val="24"/>
          <w:highlight w:val="none"/>
        </w:rPr>
      </w:pPr>
    </w:p>
    <w:p w14:paraId="27382E17">
      <w:pPr>
        <w:pStyle w:val="13"/>
        <w:tabs>
          <w:tab w:val="left" w:pos="5580"/>
        </w:tabs>
        <w:spacing w:line="240" w:lineRule="atLeast"/>
        <w:ind w:left="1079" w:leftChars="257" w:hanging="540"/>
        <w:rPr>
          <w:rFonts w:hint="eastAsia" w:ascii="宋体" w:hAnsi="宋体" w:eastAsia="宋体" w:cs="宋体"/>
          <w:b/>
          <w:color w:val="auto"/>
          <w:sz w:val="24"/>
          <w:highlight w:val="none"/>
        </w:rPr>
      </w:pPr>
    </w:p>
    <w:p w14:paraId="04910428">
      <w:pPr>
        <w:pStyle w:val="13"/>
        <w:tabs>
          <w:tab w:val="left" w:pos="5580"/>
        </w:tabs>
        <w:spacing w:line="240" w:lineRule="atLeast"/>
        <w:ind w:left="1079" w:leftChars="257" w:hanging="540"/>
        <w:rPr>
          <w:rFonts w:hint="eastAsia" w:ascii="宋体" w:hAnsi="宋体" w:eastAsia="宋体" w:cs="宋体"/>
          <w:b/>
          <w:color w:val="auto"/>
          <w:sz w:val="24"/>
          <w:highlight w:val="none"/>
        </w:rPr>
      </w:pPr>
    </w:p>
    <w:p w14:paraId="3CBF37FA">
      <w:pPr>
        <w:pStyle w:val="13"/>
        <w:tabs>
          <w:tab w:val="left" w:pos="5580"/>
        </w:tabs>
        <w:spacing w:line="240" w:lineRule="atLeast"/>
        <w:ind w:left="1079"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说明：1.提供有效的营业执照等证明文件复印件，复印件上应加盖本单位章。</w:t>
      </w:r>
    </w:p>
    <w:p w14:paraId="4D651058">
      <w:pPr>
        <w:pStyle w:val="13"/>
        <w:tabs>
          <w:tab w:val="left" w:pos="5580"/>
        </w:tabs>
        <w:spacing w:line="240" w:lineRule="atLeast"/>
        <w:ind w:left="1079"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0C7EC4AE">
      <w:pPr>
        <w:pStyle w:val="13"/>
        <w:tabs>
          <w:tab w:val="left" w:pos="5580"/>
        </w:tabs>
        <w:spacing w:line="240" w:lineRule="atLeast"/>
        <w:ind w:left="1079" w:leftChars="257" w:hanging="540"/>
        <w:rPr>
          <w:rFonts w:hint="eastAsia" w:ascii="宋体" w:hAnsi="宋体" w:eastAsia="宋体" w:cs="宋体"/>
          <w:color w:val="auto"/>
          <w:sz w:val="24"/>
          <w:highlight w:val="none"/>
        </w:rPr>
      </w:pPr>
    </w:p>
    <w:p w14:paraId="34D69954">
      <w:pPr>
        <w:numPr>
          <w:ilvl w:val="0"/>
          <w:numId w:val="0"/>
        </w:numPr>
        <w:adjustRightInd w:val="0"/>
        <w:snapToGrid w:val="0"/>
        <w:spacing w:before="312" w:beforeLines="100" w:after="312" w:afterLines="100" w:line="360" w:lineRule="exact"/>
        <w:jc w:val="center"/>
        <w:rPr>
          <w:rFonts w:hint="eastAsia" w:ascii="宋体" w:hAnsi="宋体" w:cs="宋体"/>
          <w:b/>
          <w:bCs/>
          <w:color w:val="auto"/>
          <w:kern w:val="0"/>
          <w:sz w:val="24"/>
          <w:szCs w:val="24"/>
          <w:highlight w:val="none"/>
        </w:rPr>
      </w:pPr>
      <w:r>
        <w:rPr>
          <w:rFonts w:hint="eastAsia" w:ascii="宋体" w:hAnsi="宋体" w:eastAsia="宋体" w:cs="宋体"/>
          <w:color w:val="auto"/>
          <w:sz w:val="24"/>
          <w:highlight w:val="none"/>
        </w:rPr>
        <w:br w:type="page"/>
      </w:r>
      <w:bookmarkStart w:id="291" w:name="_Toc11047"/>
      <w:bookmarkStart w:id="292" w:name="_Toc28445"/>
      <w:bookmarkStart w:id="293" w:name="_Toc515647809"/>
      <w:bookmarkStart w:id="294" w:name="_Toc31238"/>
      <w:r>
        <w:rPr>
          <w:rFonts w:hint="eastAsia" w:ascii="宋体" w:hAnsi="宋体" w:eastAsia="宋体" w:cs="宋体"/>
          <w:b/>
          <w:bCs/>
          <w:color w:val="auto"/>
          <w:kern w:val="0"/>
          <w:sz w:val="28"/>
          <w:szCs w:val="28"/>
          <w:highlight w:val="none"/>
          <w:lang w:val="en-US" w:eastAsia="zh-CN"/>
        </w:rPr>
        <w:t>3</w:t>
      </w:r>
      <w:r>
        <w:rPr>
          <w:rFonts w:hint="eastAsia" w:ascii="宋体" w:hAnsi="宋体" w:eastAsia="宋体" w:cs="宋体"/>
          <w:b/>
          <w:bCs/>
          <w:color w:val="auto"/>
          <w:kern w:val="0"/>
          <w:sz w:val="28"/>
          <w:szCs w:val="28"/>
          <w:highlight w:val="none"/>
        </w:rPr>
        <w:t>、</w:t>
      </w:r>
      <w:r>
        <w:rPr>
          <w:rFonts w:hint="eastAsia" w:ascii="宋体" w:hAnsi="宋体" w:cs="宋体"/>
          <w:b/>
          <w:bCs/>
          <w:color w:val="auto"/>
          <w:kern w:val="0"/>
          <w:sz w:val="28"/>
          <w:szCs w:val="28"/>
          <w:highlight w:val="none"/>
        </w:rPr>
        <w:t>法定代表人身份证明书；法定代表人授权委托书；</w:t>
      </w:r>
    </w:p>
    <w:p w14:paraId="394B6AAA">
      <w:pPr>
        <w:adjustRightInd w:val="0"/>
        <w:snapToGrid w:val="0"/>
        <w:spacing w:before="312" w:beforeLines="100" w:after="312" w:afterLines="100" w:line="360" w:lineRule="auto"/>
        <w:jc w:val="center"/>
        <w:rPr>
          <w:rFonts w:hint="eastAsia" w:ascii="宋体" w:hAnsi="宋体" w:cs="宋体"/>
          <w:color w:val="auto"/>
          <w:sz w:val="24"/>
          <w:szCs w:val="24"/>
          <w:highlight w:val="none"/>
        </w:rPr>
      </w:pPr>
      <w:r>
        <w:rPr>
          <w:rFonts w:hint="eastAsia" w:ascii="宋体" w:hAnsi="宋体" w:cs="宋体"/>
          <w:b/>
          <w:color w:val="auto"/>
          <w:sz w:val="24"/>
          <w:szCs w:val="24"/>
          <w:highlight w:val="none"/>
        </w:rPr>
        <w:t>（一）法定代表人身份证明书</w:t>
      </w:r>
    </w:p>
    <w:p w14:paraId="7341A139">
      <w:pPr>
        <w:spacing w:line="360" w:lineRule="auto"/>
        <w:rPr>
          <w:rFonts w:hint="eastAsia" w:ascii="宋体" w:hAnsi="宋体" w:cs="宋体"/>
          <w:color w:val="auto"/>
          <w:sz w:val="24"/>
          <w:highlight w:val="none"/>
        </w:rPr>
      </w:pPr>
      <w:r>
        <w:rPr>
          <w:rFonts w:hint="eastAsia" w:ascii="仿宋" w:hAnsi="仿宋" w:eastAsia="仿宋" w:cs="宋体"/>
          <w:color w:val="auto"/>
          <w:sz w:val="24"/>
          <w:highlight w:val="none"/>
        </w:rPr>
        <w:t xml:space="preserve">   </w:t>
      </w:r>
      <w:r>
        <w:rPr>
          <w:rFonts w:hint="eastAsia" w:ascii="宋体" w:hAnsi="宋体" w:cs="宋体"/>
          <w:color w:val="auto"/>
          <w:sz w:val="24"/>
          <w:highlight w:val="none"/>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同志，现任我单位</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（职务）为法定代表人，特此证明。</w:t>
      </w:r>
    </w:p>
    <w:p w14:paraId="550D0DC5">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单位：                      签发日期：</w:t>
      </w:r>
    </w:p>
    <w:p w14:paraId="542769B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法定代表人：                性别：            年龄：           </w:t>
      </w:r>
    </w:p>
    <w:p w14:paraId="342E2C5D">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身份证号码：                联系电话：</w:t>
      </w:r>
    </w:p>
    <w:p w14:paraId="7D04563B">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营业执照号码：              经济性质：</w:t>
      </w:r>
    </w:p>
    <w:p w14:paraId="7FF6B4FE">
      <w:pPr>
        <w:spacing w:line="360" w:lineRule="auto"/>
        <w:rPr>
          <w:rFonts w:hint="eastAsia" w:ascii="宋体" w:hAnsi="宋体" w:cs="宋体"/>
          <w:color w:val="auto"/>
          <w:sz w:val="24"/>
          <w:highlight w:val="none"/>
        </w:rPr>
      </w:pPr>
      <w:r>
        <w:rPr>
          <w:rFonts w:hint="eastAsia" w:ascii="宋体" w:hAnsi="宋体" w:cs="宋体"/>
          <w:color w:val="auto"/>
          <w:sz w:val="24"/>
          <w:highlight w:val="none"/>
        </w:rPr>
        <w:t>说明：</w:t>
      </w:r>
    </w:p>
    <w:p w14:paraId="1F06519D">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1、法定代表人为企业事业单位、国家机关、社会团体的主要行政负责人。</w:t>
      </w:r>
    </w:p>
    <w:p w14:paraId="048E9900">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2、内容必须填写真实、清楚、涂改无效，不得转让。</w:t>
      </w:r>
    </w:p>
    <w:p w14:paraId="49EC625B">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3、将此证明书原件提交采购代理机构作为谈判</w:t>
      </w:r>
      <w:r>
        <w:rPr>
          <w:rFonts w:hint="eastAsia" w:ascii="宋体" w:hAnsi="宋体" w:cs="宋体"/>
          <w:color w:val="auto"/>
          <w:sz w:val="24"/>
          <w:highlight w:val="none"/>
          <w:lang w:eastAsia="zh-CN"/>
        </w:rPr>
        <w:t>投标文件</w:t>
      </w:r>
      <w:r>
        <w:rPr>
          <w:rFonts w:hint="eastAsia" w:ascii="宋体" w:hAnsi="宋体" w:cs="宋体"/>
          <w:color w:val="auto"/>
          <w:sz w:val="24"/>
          <w:highlight w:val="none"/>
        </w:rPr>
        <w:t>附件。</w:t>
      </w:r>
    </w:p>
    <w:p w14:paraId="58ECC172">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w:t>
      </w:r>
    </w:p>
    <w:p w14:paraId="7F7CDD50">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附：法定代表人身份证复印件</w:t>
      </w:r>
    </w:p>
    <w:p w14:paraId="33B35EE4">
      <w:pPr>
        <w:spacing w:line="360" w:lineRule="auto"/>
        <w:rPr>
          <w:rFonts w:hint="eastAsia" w:ascii="宋体" w:hAnsi="宋体" w:cs="宋体"/>
          <w:color w:val="auto"/>
          <w:sz w:val="24"/>
          <w:highlight w:val="none"/>
        </w:rPr>
      </w:pPr>
      <w:r>
        <w:rPr>
          <w:rFonts w:hint="eastAsia" w:ascii="宋体" w:hAnsi="宋体" w:cs="宋体"/>
          <w:color w:val="auto"/>
          <w:sz w:val="24"/>
          <w:highlight w:val="none"/>
        </w:rPr>
        <mc:AlternateContent>
          <mc:Choice Requires="wps">
            <w:drawing>
              <wp:anchor distT="0" distB="0" distL="114300" distR="114300" simplePos="0" relativeHeight="251659264" behindDoc="0" locked="0" layoutInCell="1" allowOverlap="1">
                <wp:simplePos x="0" y="0"/>
                <wp:positionH relativeFrom="column">
                  <wp:posOffset>154305</wp:posOffset>
                </wp:positionH>
                <wp:positionV relativeFrom="paragraph">
                  <wp:posOffset>10795</wp:posOffset>
                </wp:positionV>
                <wp:extent cx="2333625" cy="1584325"/>
                <wp:effectExtent l="4445" t="4445" r="5080" b="11430"/>
                <wp:wrapNone/>
                <wp:docPr id="14" name="流程图: 可选过程 14"/>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4086C739">
                            <w:pPr>
                              <w:jc w:val="center"/>
                              <w:rPr>
                                <w:rFonts w:hAnsi="宋体"/>
                                <w:szCs w:val="21"/>
                              </w:rPr>
                            </w:pPr>
                          </w:p>
                          <w:p w14:paraId="6AC3DB5D">
                            <w:pPr>
                              <w:jc w:val="center"/>
                              <w:rPr>
                                <w:rFonts w:hAnsi="宋体"/>
                                <w:szCs w:val="21"/>
                              </w:rPr>
                            </w:pPr>
                          </w:p>
                          <w:p w14:paraId="5593ABF9">
                            <w:pPr>
                              <w:jc w:val="center"/>
                              <w:rPr>
                                <w:rFonts w:hAnsi="宋体"/>
                                <w:szCs w:val="21"/>
                              </w:rPr>
                            </w:pPr>
                          </w:p>
                          <w:p w14:paraId="418FB14D">
                            <w:pPr>
                              <w:jc w:val="center"/>
                              <w:rPr>
                                <w:rFonts w:hint="eastAsia"/>
                                <w:szCs w:val="21"/>
                              </w:rPr>
                            </w:pPr>
                            <w:r>
                              <w:rPr>
                                <w:rFonts w:hint="eastAsia" w:hAnsi="宋体"/>
                                <w:szCs w:val="21"/>
                              </w:rPr>
                              <w:t>法定代表人身份证复印件正面</w:t>
                            </w:r>
                          </w:p>
                        </w:txbxContent>
                      </wps:txbx>
                      <wps:bodyPr upright="1"/>
                    </wps:wsp>
                  </a:graphicData>
                </a:graphic>
              </wp:anchor>
            </w:drawing>
          </mc:Choice>
          <mc:Fallback>
            <w:pict>
              <v:shape id="_x0000_s1026" o:spid="_x0000_s1026" o:spt="176" type="#_x0000_t176" style="position:absolute;left:0pt;margin-left:12.15pt;margin-top:0.85pt;height:124.75pt;width:183.75pt;z-index:251659264;mso-width-relative:page;mso-height-relative:page;" fillcolor="#FFFFFF" filled="t" stroked="t" coordsize="21600,21600" o:gfxdata="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B5WTr11gAAAAgBAAAPAAAAAAAAAAEAIAAAACIAAABkcnMvZG93bnJldi54bWxQSwEC&#10;FAAUAAAACACHTuJAgT5kQy8CAABgBAAADgAAAAAAAAABACAAAAAlAQAAZHJzL2Uyb0RvYy54bWxQ&#10;SwUGAAAAAAYABgBZAQAAxgUAAAAA&#10;">
                <v:fill on="t" focussize="0,0"/>
                <v:stroke color="#000000" joinstyle="miter"/>
                <v:imagedata o:title=""/>
                <o:lock v:ext="edit" aspectratio="f"/>
                <v:textbox>
                  <w:txbxContent>
                    <w:p w14:paraId="4086C739">
                      <w:pPr>
                        <w:jc w:val="center"/>
                        <w:rPr>
                          <w:rFonts w:hAnsi="宋体"/>
                          <w:szCs w:val="21"/>
                        </w:rPr>
                      </w:pPr>
                    </w:p>
                    <w:p w14:paraId="6AC3DB5D">
                      <w:pPr>
                        <w:jc w:val="center"/>
                        <w:rPr>
                          <w:rFonts w:hAnsi="宋体"/>
                          <w:szCs w:val="21"/>
                        </w:rPr>
                      </w:pPr>
                    </w:p>
                    <w:p w14:paraId="5593ABF9">
                      <w:pPr>
                        <w:jc w:val="center"/>
                        <w:rPr>
                          <w:rFonts w:hAnsi="宋体"/>
                          <w:szCs w:val="21"/>
                        </w:rPr>
                      </w:pPr>
                    </w:p>
                    <w:p w14:paraId="418FB14D">
                      <w:pPr>
                        <w:jc w:val="center"/>
                        <w:rPr>
                          <w:rFonts w:hint="eastAsia"/>
                          <w:szCs w:val="21"/>
                        </w:rPr>
                      </w:pPr>
                      <w:r>
                        <w:rPr>
                          <w:rFonts w:hint="eastAsia" w:hAnsi="宋体"/>
                          <w:szCs w:val="21"/>
                        </w:rPr>
                        <w:t>法定代表人身份证复印件正面</w:t>
                      </w:r>
                    </w:p>
                  </w:txbxContent>
                </v:textbox>
              </v:shape>
            </w:pict>
          </mc:Fallback>
        </mc:AlternateContent>
      </w:r>
      <w:r>
        <w:rPr>
          <w:rFonts w:hint="eastAsia" w:ascii="宋体" w:hAnsi="宋体" w:cs="宋体"/>
          <w:color w:val="auto"/>
          <w:sz w:val="24"/>
          <w:highlight w:val="none"/>
        </w:rPr>
        <mc:AlternateContent>
          <mc:Choice Requires="wps">
            <w:drawing>
              <wp:anchor distT="0" distB="0" distL="114300" distR="114300" simplePos="0" relativeHeight="251660288" behindDoc="0" locked="0" layoutInCell="1" allowOverlap="1">
                <wp:simplePos x="0" y="0"/>
                <wp:positionH relativeFrom="column">
                  <wp:posOffset>2918460</wp:posOffset>
                </wp:positionH>
                <wp:positionV relativeFrom="paragraph">
                  <wp:posOffset>28575</wp:posOffset>
                </wp:positionV>
                <wp:extent cx="2609850" cy="1557020"/>
                <wp:effectExtent l="7620" t="7620" r="11430" b="16510"/>
                <wp:wrapNone/>
                <wp:docPr id="15" name="圆角矩形 15"/>
                <wp:cNvGraphicFramePr/>
                <a:graphic xmlns:a="http://schemas.openxmlformats.org/drawingml/2006/main">
                  <a:graphicData uri="http://schemas.microsoft.com/office/word/2010/wordprocessingShape">
                    <wps:wsp>
                      <wps:cNvSpPr/>
                      <wps:spPr>
                        <a:xfrm>
                          <a:off x="0" y="0"/>
                          <a:ext cx="2609850" cy="155702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6CD201CB">
                            <w:pPr>
                              <w:jc w:val="center"/>
                              <w:rPr>
                                <w:rFonts w:hAnsi="宋体"/>
                                <w:szCs w:val="21"/>
                              </w:rPr>
                            </w:pPr>
                            <w:r>
                              <w:rPr>
                                <w:rFonts w:hint="eastAsia" w:hAnsi="宋体"/>
                                <w:szCs w:val="21"/>
                              </w:rPr>
                              <w:t xml:space="preserve">  </w:t>
                            </w:r>
                          </w:p>
                          <w:p w14:paraId="345B032F">
                            <w:pPr>
                              <w:jc w:val="center"/>
                              <w:rPr>
                                <w:rFonts w:hAnsi="宋体"/>
                                <w:szCs w:val="21"/>
                              </w:rPr>
                            </w:pPr>
                          </w:p>
                          <w:p w14:paraId="19CF4881">
                            <w:pPr>
                              <w:jc w:val="center"/>
                              <w:rPr>
                                <w:rFonts w:hAnsi="宋体"/>
                                <w:szCs w:val="21"/>
                              </w:rPr>
                            </w:pPr>
                          </w:p>
                          <w:p w14:paraId="05AC8028">
                            <w:pPr>
                              <w:jc w:val="center"/>
                              <w:rPr>
                                <w:szCs w:val="21"/>
                              </w:rPr>
                            </w:pPr>
                            <w:r>
                              <w:rPr>
                                <w:rFonts w:hint="eastAsia" w:hAnsi="宋体"/>
                                <w:szCs w:val="21"/>
                              </w:rPr>
                              <w:t>法定代表人身份证复印件反面</w:t>
                            </w:r>
                          </w:p>
                          <w:p w14:paraId="1F55B81F"/>
                          <w:p w14:paraId="70190266">
                            <w:pPr>
                              <w:pStyle w:val="4"/>
                            </w:pPr>
                          </w:p>
                          <w:p w14:paraId="13A8C53A">
                            <w:pPr>
                              <w:pStyle w:val="4"/>
                            </w:pPr>
                          </w:p>
                          <w:p w14:paraId="20EB9256">
                            <w:pPr>
                              <w:pStyle w:val="4"/>
                            </w:pPr>
                          </w:p>
                          <w:p w14:paraId="527A109C">
                            <w:pPr>
                              <w:pStyle w:val="4"/>
                            </w:pPr>
                          </w:p>
                        </w:txbxContent>
                      </wps:txbx>
                      <wps:bodyPr upright="1"/>
                    </wps:wsp>
                  </a:graphicData>
                </a:graphic>
              </wp:anchor>
            </w:drawing>
          </mc:Choice>
          <mc:Fallback>
            <w:pict>
              <v:roundrect id="_x0000_s1026" o:spid="_x0000_s1026" o:spt="2" style="position:absolute;left:0pt;margin-left:229.8pt;margin-top:2.25pt;height:122.6pt;width:205.5pt;z-index:251660288;mso-width-relative:page;mso-height-relative:page;" fillcolor="#FFFFFF" filled="t" stroked="t" coordsize="21600,21600" arcsize="0.166666666666667" o:gfxdata="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I8vY1/aAAAACQEAAA8AAAAAAAAAAQAgAAAAIgAAAGRycy9kb3ducmV2LnhtbFBL&#10;AQIUABQAAAAIAIdO4kCL2ZNHLQIAAGgEAAAOAAAAAAAAAAEAIAAAACkBAABkcnMvZTJvRG9jLnht&#10;bFBLBQYAAAAABgAGAFkBAADIBQAAAAA=&#10;">
                <v:fill on="t" focussize="0,0"/>
                <v:stroke weight="1.25pt" color="#808080" joinstyle="round"/>
                <v:imagedata o:title=""/>
                <o:lock v:ext="edit" aspectratio="f"/>
                <v:textbox>
                  <w:txbxContent>
                    <w:p w14:paraId="6CD201CB">
                      <w:pPr>
                        <w:jc w:val="center"/>
                        <w:rPr>
                          <w:rFonts w:hAnsi="宋体"/>
                          <w:szCs w:val="21"/>
                        </w:rPr>
                      </w:pPr>
                      <w:r>
                        <w:rPr>
                          <w:rFonts w:hint="eastAsia" w:hAnsi="宋体"/>
                          <w:szCs w:val="21"/>
                        </w:rPr>
                        <w:t xml:space="preserve">  </w:t>
                      </w:r>
                    </w:p>
                    <w:p w14:paraId="345B032F">
                      <w:pPr>
                        <w:jc w:val="center"/>
                        <w:rPr>
                          <w:rFonts w:hAnsi="宋体"/>
                          <w:szCs w:val="21"/>
                        </w:rPr>
                      </w:pPr>
                    </w:p>
                    <w:p w14:paraId="19CF4881">
                      <w:pPr>
                        <w:jc w:val="center"/>
                        <w:rPr>
                          <w:rFonts w:hAnsi="宋体"/>
                          <w:szCs w:val="21"/>
                        </w:rPr>
                      </w:pPr>
                    </w:p>
                    <w:p w14:paraId="05AC8028">
                      <w:pPr>
                        <w:jc w:val="center"/>
                        <w:rPr>
                          <w:szCs w:val="21"/>
                        </w:rPr>
                      </w:pPr>
                      <w:r>
                        <w:rPr>
                          <w:rFonts w:hint="eastAsia" w:hAnsi="宋体"/>
                          <w:szCs w:val="21"/>
                        </w:rPr>
                        <w:t>法定代表人身份证复印件反面</w:t>
                      </w:r>
                    </w:p>
                    <w:p w14:paraId="1F55B81F"/>
                    <w:p w14:paraId="70190266">
                      <w:pPr>
                        <w:pStyle w:val="4"/>
                      </w:pPr>
                    </w:p>
                    <w:p w14:paraId="13A8C53A">
                      <w:pPr>
                        <w:pStyle w:val="4"/>
                      </w:pPr>
                    </w:p>
                    <w:p w14:paraId="20EB9256">
                      <w:pPr>
                        <w:pStyle w:val="4"/>
                      </w:pPr>
                    </w:p>
                    <w:p w14:paraId="527A109C">
                      <w:pPr>
                        <w:pStyle w:val="4"/>
                      </w:pPr>
                    </w:p>
                  </w:txbxContent>
                </v:textbox>
              </v:roundrect>
            </w:pict>
          </mc:Fallback>
        </mc:AlternateContent>
      </w:r>
    </w:p>
    <w:p w14:paraId="471A7A79">
      <w:pPr>
        <w:spacing w:line="360" w:lineRule="auto"/>
        <w:rPr>
          <w:rFonts w:hint="eastAsia" w:ascii="宋体" w:hAnsi="宋体" w:cs="宋体"/>
          <w:color w:val="auto"/>
          <w:sz w:val="24"/>
          <w:highlight w:val="none"/>
        </w:rPr>
      </w:pPr>
    </w:p>
    <w:p w14:paraId="279428C7">
      <w:pPr>
        <w:spacing w:line="360" w:lineRule="auto"/>
        <w:rPr>
          <w:rFonts w:hint="eastAsia" w:ascii="宋体" w:hAnsi="宋体" w:cs="宋体"/>
          <w:color w:val="auto"/>
          <w:sz w:val="24"/>
          <w:highlight w:val="none"/>
        </w:rPr>
      </w:pPr>
    </w:p>
    <w:p w14:paraId="026AD09F">
      <w:pPr>
        <w:tabs>
          <w:tab w:val="left" w:pos="654"/>
          <w:tab w:val="left" w:pos="1734"/>
          <w:tab w:val="left" w:pos="2814"/>
          <w:tab w:val="left" w:pos="3894"/>
          <w:tab w:val="left" w:pos="5334"/>
          <w:tab w:val="left" w:pos="6414"/>
          <w:tab w:val="left" w:pos="7254"/>
          <w:tab w:val="left" w:pos="8574"/>
          <w:tab w:val="left" w:pos="9654"/>
        </w:tabs>
        <w:spacing w:line="360" w:lineRule="auto"/>
        <w:rPr>
          <w:rFonts w:hint="eastAsia" w:ascii="宋体" w:hAnsi="宋体" w:cs="宋体"/>
          <w:color w:val="auto"/>
          <w:sz w:val="24"/>
          <w:highlight w:val="none"/>
        </w:rPr>
      </w:pPr>
    </w:p>
    <w:p w14:paraId="5BB5031C">
      <w:pPr>
        <w:autoSpaceDE w:val="0"/>
        <w:autoSpaceDN w:val="0"/>
        <w:adjustRightInd w:val="0"/>
        <w:spacing w:line="360" w:lineRule="auto"/>
        <w:ind w:right="246"/>
        <w:rPr>
          <w:rFonts w:hint="eastAsia" w:ascii="宋体" w:hAnsi="宋体" w:cs="宋体"/>
          <w:color w:val="auto"/>
          <w:kern w:val="0"/>
          <w:sz w:val="24"/>
          <w:highlight w:val="none"/>
        </w:rPr>
      </w:pPr>
    </w:p>
    <w:p w14:paraId="00C09110">
      <w:pPr>
        <w:autoSpaceDE w:val="0"/>
        <w:autoSpaceDN w:val="0"/>
        <w:adjustRightInd w:val="0"/>
        <w:spacing w:line="360" w:lineRule="auto"/>
        <w:ind w:right="246"/>
        <w:rPr>
          <w:rFonts w:hint="eastAsia" w:ascii="宋体" w:hAnsi="宋体" w:cs="宋体"/>
          <w:color w:val="auto"/>
          <w:kern w:val="0"/>
          <w:sz w:val="24"/>
          <w:highlight w:val="none"/>
        </w:rPr>
      </w:pPr>
    </w:p>
    <w:p w14:paraId="76B79FB0">
      <w:pPr>
        <w:pStyle w:val="24"/>
        <w:rPr>
          <w:rFonts w:hint="eastAsia"/>
          <w:color w:val="auto"/>
          <w:highlight w:val="none"/>
        </w:rPr>
      </w:pPr>
    </w:p>
    <w:p w14:paraId="0330D2D9">
      <w:pPr>
        <w:autoSpaceDE w:val="0"/>
        <w:autoSpaceDN w:val="0"/>
        <w:adjustRightInd w:val="0"/>
        <w:spacing w:line="360" w:lineRule="auto"/>
        <w:ind w:right="246" w:firstLine="784" w:firstLineChars="327"/>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投标人（盖章）：         </w:t>
      </w:r>
      <w:r>
        <w:rPr>
          <w:rFonts w:hint="eastAsia" w:ascii="宋体" w:hAnsi="宋体" w:cs="宋体"/>
          <w:color w:val="auto"/>
          <w:kern w:val="0"/>
          <w:sz w:val="24"/>
          <w:highlight w:val="none"/>
          <w:u w:val="single"/>
        </w:rPr>
        <w:t xml:space="preserve">           </w:t>
      </w:r>
    </w:p>
    <w:p w14:paraId="0EB84B50">
      <w:pPr>
        <w:adjustRightInd w:val="0"/>
        <w:snapToGrid w:val="0"/>
        <w:spacing w:line="360" w:lineRule="auto"/>
        <w:ind w:firstLine="784" w:firstLineChars="327"/>
        <w:rPr>
          <w:rFonts w:hint="eastAsia" w:ascii="宋体" w:hAnsi="宋体" w:cs="宋体"/>
          <w:color w:val="auto"/>
          <w:sz w:val="24"/>
          <w:highlight w:val="none"/>
        </w:rPr>
      </w:pPr>
      <w:r>
        <w:rPr>
          <w:rFonts w:hint="eastAsia" w:ascii="宋体" w:hAnsi="宋体" w:cs="宋体"/>
          <w:color w:val="auto"/>
          <w:sz w:val="24"/>
          <w:highlight w:val="none"/>
        </w:rPr>
        <w:t>法定代表人（签</w:t>
      </w:r>
      <w:r>
        <w:rPr>
          <w:rFonts w:hint="eastAsia" w:ascii="宋体" w:hAnsi="宋体" w:cs="宋体"/>
          <w:color w:val="auto"/>
          <w:sz w:val="24"/>
          <w:highlight w:val="none"/>
          <w:lang w:val="en-US" w:eastAsia="zh-CN"/>
        </w:rPr>
        <w:t>/</w:t>
      </w:r>
      <w:r>
        <w:rPr>
          <w:rFonts w:hint="eastAsia" w:ascii="宋体" w:hAnsi="宋体" w:cs="宋体"/>
          <w:color w:val="auto"/>
          <w:sz w:val="24"/>
          <w:highlight w:val="none"/>
        </w:rPr>
        <w:t>章）：</w:t>
      </w:r>
      <w:r>
        <w:rPr>
          <w:rFonts w:hint="eastAsia" w:ascii="宋体" w:hAnsi="宋体" w:cs="宋体"/>
          <w:color w:val="auto"/>
          <w:sz w:val="24"/>
          <w:highlight w:val="none"/>
          <w:u w:val="single"/>
        </w:rPr>
        <w:t xml:space="preserve">             </w:t>
      </w:r>
    </w:p>
    <w:p w14:paraId="3DBC88E5">
      <w:pPr>
        <w:adjustRightInd w:val="0"/>
        <w:snapToGrid w:val="0"/>
        <w:spacing w:line="360" w:lineRule="auto"/>
        <w:ind w:firstLine="784" w:firstLineChars="327"/>
        <w:rPr>
          <w:rFonts w:hint="eastAsia" w:ascii="宋体" w:hAnsi="宋体" w:cs="宋体"/>
          <w:color w:val="auto"/>
          <w:sz w:val="24"/>
          <w:highlight w:val="none"/>
          <w:u w:val="single"/>
        </w:rPr>
      </w:pPr>
      <w:r>
        <w:rPr>
          <w:rFonts w:hint="eastAsia" w:ascii="宋体" w:hAnsi="宋体" w:cs="宋体"/>
          <w:color w:val="auto"/>
          <w:sz w:val="24"/>
          <w:highlight w:val="none"/>
        </w:rPr>
        <w:t>日   期：</w:t>
      </w:r>
      <w:r>
        <w:rPr>
          <w:rFonts w:hint="eastAsia" w:ascii="宋体" w:hAnsi="宋体" w:cs="宋体"/>
          <w:color w:val="auto"/>
          <w:sz w:val="24"/>
          <w:highlight w:val="none"/>
          <w:u w:val="single"/>
        </w:rPr>
        <w:t xml:space="preserve">                        </w:t>
      </w:r>
    </w:p>
    <w:p w14:paraId="1C08DB16">
      <w:pPr>
        <w:pStyle w:val="13"/>
        <w:tabs>
          <w:tab w:val="left" w:pos="5580"/>
        </w:tabs>
        <w:spacing w:line="240" w:lineRule="atLeast"/>
        <w:ind w:left="1079" w:leftChars="257" w:hanging="540"/>
        <w:rPr>
          <w:rFonts w:hint="eastAsia" w:ascii="仿宋" w:hAnsi="仿宋" w:eastAsia="仿宋"/>
          <w:b/>
          <w:color w:val="auto"/>
          <w:sz w:val="24"/>
          <w:highlight w:val="none"/>
        </w:rPr>
      </w:pPr>
    </w:p>
    <w:p w14:paraId="2D46BFF1">
      <w:pPr>
        <w:pStyle w:val="13"/>
        <w:tabs>
          <w:tab w:val="left" w:pos="5580"/>
        </w:tabs>
        <w:spacing w:line="240" w:lineRule="atLeast"/>
        <w:ind w:left="1108" w:leftChars="371" w:hanging="329" w:hangingChars="157"/>
        <w:rPr>
          <w:rFonts w:hint="eastAsia" w:hAnsi="宋体" w:cs="宋体"/>
          <w:color w:val="auto"/>
          <w:sz w:val="24"/>
          <w:highlight w:val="none"/>
        </w:rPr>
      </w:pPr>
      <w:r>
        <w:rPr>
          <w:rFonts w:hint="eastAsia"/>
          <w:color w:val="auto"/>
          <w:highlight w:val="none"/>
        </w:rPr>
        <w:t>注：</w:t>
      </w:r>
      <w:r>
        <w:rPr>
          <w:rFonts w:hint="eastAsia" w:hAnsi="宋体" w:cs="宋体"/>
          <w:color w:val="auto"/>
          <w:sz w:val="24"/>
          <w:highlight w:val="none"/>
        </w:rPr>
        <w:t>1. 投标人为自然人的，应提供身份证明的复印件。</w:t>
      </w:r>
    </w:p>
    <w:p w14:paraId="4D59BB65">
      <w:pPr>
        <w:pStyle w:val="13"/>
        <w:tabs>
          <w:tab w:val="left" w:pos="5580"/>
        </w:tabs>
        <w:spacing w:line="240" w:lineRule="atLeast"/>
        <w:ind w:left="1079" w:leftChars="257" w:hanging="540"/>
        <w:rPr>
          <w:rFonts w:hint="eastAsia" w:hAnsi="宋体" w:cs="宋体"/>
          <w:color w:val="auto"/>
          <w:sz w:val="24"/>
          <w:highlight w:val="none"/>
        </w:rPr>
      </w:pPr>
      <w:r>
        <w:rPr>
          <w:rFonts w:hint="eastAsia" w:hAnsi="宋体" w:cs="宋体"/>
          <w:color w:val="auto"/>
          <w:sz w:val="24"/>
          <w:highlight w:val="none"/>
        </w:rPr>
        <w:t xml:space="preserve">        2.联合体投标应提供联合体各方满足以上要求的证明文件。</w:t>
      </w:r>
    </w:p>
    <w:p w14:paraId="5FD2FF46">
      <w:pPr>
        <w:pStyle w:val="3"/>
        <w:tabs>
          <w:tab w:val="left" w:pos="540"/>
        </w:tabs>
        <w:spacing w:line="240" w:lineRule="atLeast"/>
        <w:jc w:val="center"/>
        <w:rPr>
          <w:rFonts w:hint="eastAsia" w:ascii="宋体" w:hAnsi="宋体" w:cs="宋体"/>
          <w:color w:val="auto"/>
          <w:szCs w:val="28"/>
          <w:highlight w:val="none"/>
        </w:rPr>
      </w:pPr>
      <w:r>
        <w:rPr>
          <w:rFonts w:hint="eastAsia" w:ascii="宋体" w:hAnsi="宋体" w:cs="宋体"/>
          <w:color w:val="auto"/>
          <w:sz w:val="24"/>
          <w:szCs w:val="24"/>
          <w:highlight w:val="none"/>
        </w:rPr>
        <w:br w:type="page"/>
      </w:r>
      <w:bookmarkStart w:id="295" w:name="_Toc1083"/>
      <w:bookmarkStart w:id="296" w:name="_Toc515647807"/>
      <w:bookmarkStart w:id="297" w:name="_Toc22472"/>
      <w:bookmarkStart w:id="298" w:name="_Toc23503"/>
      <w:r>
        <w:rPr>
          <w:rFonts w:hint="eastAsia" w:asciiTheme="minorEastAsia" w:hAnsiTheme="minorEastAsia" w:eastAsiaTheme="minorEastAsia" w:cstheme="minorEastAsia"/>
          <w:color w:val="auto"/>
          <w:sz w:val="24"/>
          <w:szCs w:val="24"/>
          <w:highlight w:val="none"/>
        </w:rPr>
        <w:t xml:space="preserve"> </w:t>
      </w:r>
      <w:bookmarkStart w:id="299" w:name="_Toc23386"/>
      <w:bookmarkStart w:id="300" w:name="_Toc29028"/>
      <w:bookmarkStart w:id="301" w:name="_Toc1846"/>
      <w:r>
        <w:rPr>
          <w:rFonts w:hint="eastAsia" w:asciiTheme="minorEastAsia" w:hAnsiTheme="minorEastAsia" w:eastAsiaTheme="minorEastAsia" w:cstheme="minorEastAsia"/>
          <w:color w:val="auto"/>
          <w:sz w:val="24"/>
          <w:szCs w:val="24"/>
          <w:highlight w:val="none"/>
        </w:rPr>
        <w:t>（二）法定代表人授权委托书</w:t>
      </w:r>
      <w:bookmarkEnd w:id="295"/>
      <w:bookmarkEnd w:id="296"/>
      <w:bookmarkEnd w:id="297"/>
      <w:bookmarkEnd w:id="298"/>
      <w:bookmarkEnd w:id="299"/>
      <w:bookmarkEnd w:id="300"/>
      <w:bookmarkEnd w:id="301"/>
    </w:p>
    <w:p w14:paraId="59CB048D">
      <w:pPr>
        <w:pStyle w:val="3"/>
        <w:tabs>
          <w:tab w:val="left" w:pos="540"/>
        </w:tabs>
        <w:jc w:val="both"/>
        <w:rPr>
          <w:rFonts w:hint="eastAsia" w:ascii="宋体" w:hAnsi="宋体" w:cs="宋体"/>
          <w:color w:val="auto"/>
          <w:sz w:val="24"/>
          <w:highlight w:val="none"/>
        </w:rPr>
      </w:pPr>
      <w:bookmarkStart w:id="302" w:name="_Toc30228"/>
      <w:bookmarkStart w:id="303" w:name="_Toc6592"/>
      <w:bookmarkStart w:id="304" w:name="_Toc5232"/>
      <w:r>
        <w:rPr>
          <w:rFonts w:hint="eastAsia" w:ascii="宋体" w:hAnsi="宋体" w:cs="宋体"/>
          <w:color w:val="auto"/>
          <w:szCs w:val="28"/>
          <w:highlight w:val="none"/>
        </w:rPr>
        <w:cr/>
      </w:r>
      <w:r>
        <w:rPr>
          <w:rFonts w:hint="eastAsia" w:asciiTheme="minorEastAsia" w:hAnsiTheme="minorEastAsia" w:eastAsiaTheme="minorEastAsia" w:cstheme="minorEastAsia"/>
          <w:color w:val="auto"/>
          <w:sz w:val="24"/>
          <w:highlight w:val="none"/>
        </w:rPr>
        <w:t xml:space="preserve">    本授权书声明：注册于</w:t>
      </w:r>
      <w:r>
        <w:rPr>
          <w:rFonts w:hint="eastAsia" w:asciiTheme="minorEastAsia" w:hAnsiTheme="minorEastAsia" w:eastAsiaTheme="minorEastAsia" w:cstheme="minorEastAsia"/>
          <w:bCs/>
          <w:color w:val="auto"/>
          <w:sz w:val="24"/>
          <w:highlight w:val="none"/>
          <w:u w:val="single"/>
        </w:rPr>
        <w:t>（国家或地区的名称）</w:t>
      </w:r>
      <w:r>
        <w:rPr>
          <w:rFonts w:hint="eastAsia" w:asciiTheme="minorEastAsia" w:hAnsiTheme="minorEastAsia" w:eastAsiaTheme="minorEastAsia" w:cstheme="minorEastAsia"/>
          <w:color w:val="auto"/>
          <w:sz w:val="24"/>
          <w:highlight w:val="none"/>
        </w:rPr>
        <w:t>的</w:t>
      </w: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bCs/>
          <w:color w:val="auto"/>
          <w:sz w:val="24"/>
          <w:highlight w:val="none"/>
          <w:u w:val="single"/>
        </w:rPr>
        <w:t>投标人</w:t>
      </w: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color w:val="auto"/>
          <w:sz w:val="24"/>
          <w:highlight w:val="none"/>
        </w:rPr>
        <w:t>的</w:t>
      </w: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bCs/>
          <w:color w:val="auto"/>
          <w:sz w:val="24"/>
          <w:highlight w:val="none"/>
          <w:u w:val="single"/>
        </w:rPr>
        <w:t>法人代表姓名、职务</w:t>
      </w: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color w:val="auto"/>
          <w:sz w:val="24"/>
          <w:highlight w:val="none"/>
        </w:rPr>
        <w:t>代表我单位授权</w:t>
      </w: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bCs/>
          <w:color w:val="auto"/>
          <w:sz w:val="24"/>
          <w:highlight w:val="none"/>
          <w:u w:val="single"/>
        </w:rPr>
        <w:t>单位名称</w:t>
      </w: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color w:val="auto"/>
          <w:sz w:val="24"/>
          <w:highlight w:val="none"/>
        </w:rPr>
        <w:t>的</w:t>
      </w: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bCs/>
          <w:color w:val="auto"/>
          <w:sz w:val="24"/>
          <w:highlight w:val="none"/>
          <w:u w:val="single"/>
        </w:rPr>
        <w:t>被授权人的姓名、职务</w:t>
      </w: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color w:val="auto"/>
          <w:sz w:val="24"/>
          <w:highlight w:val="none"/>
        </w:rPr>
        <w:t>为我单位的合法代理人，就</w:t>
      </w: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bCs/>
          <w:color w:val="auto"/>
          <w:sz w:val="24"/>
          <w:highlight w:val="none"/>
          <w:u w:val="single"/>
        </w:rPr>
        <w:t>项目名称</w:t>
      </w: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color w:val="auto"/>
          <w:sz w:val="24"/>
          <w:highlight w:val="none"/>
        </w:rPr>
        <w:t>的投标，以我单位名义处理一切与之有关的事务。</w:t>
      </w:r>
      <w:r>
        <w:rPr>
          <w:rFonts w:hint="eastAsia" w:ascii="宋体" w:hAnsi="宋体" w:cs="宋体"/>
          <w:color w:val="auto"/>
          <w:sz w:val="24"/>
          <w:highlight w:val="none"/>
        </w:rPr>
        <w:cr/>
      </w:r>
      <w:bookmarkEnd w:id="302"/>
      <w:bookmarkEnd w:id="303"/>
      <w:bookmarkEnd w:id="304"/>
      <w:r>
        <w:rPr>
          <w:rFonts w:hint="eastAsia" w:ascii="宋体" w:hAnsi="宋体" w:cs="宋体"/>
          <w:color w:val="auto"/>
          <w:sz w:val="24"/>
          <w:highlight w:val="none"/>
        </w:rPr>
        <w:t>　　</w:t>
      </w:r>
    </w:p>
    <w:p w14:paraId="35F7043B">
      <w:pPr>
        <w:pStyle w:val="13"/>
        <w:tabs>
          <w:tab w:val="left" w:pos="5580"/>
        </w:tabs>
        <w:spacing w:line="240" w:lineRule="atLeast"/>
        <w:ind w:left="-539" w:leftChars="-257" w:firstLine="900" w:firstLineChars="375"/>
        <w:rPr>
          <w:rFonts w:hint="eastAsia" w:hAnsi="宋体" w:cs="宋体"/>
          <w:color w:val="auto"/>
          <w:sz w:val="24"/>
          <w:highlight w:val="none"/>
        </w:rPr>
      </w:pPr>
    </w:p>
    <w:p w14:paraId="358E80E4">
      <w:pPr>
        <w:pStyle w:val="13"/>
        <w:tabs>
          <w:tab w:val="left" w:pos="5580"/>
        </w:tabs>
        <w:spacing w:line="240" w:lineRule="atLeast"/>
        <w:ind w:left="-539" w:leftChars="-257" w:firstLine="900" w:firstLineChars="375"/>
        <w:rPr>
          <w:rFonts w:hint="eastAsia" w:hAnsi="宋体" w:cs="宋体"/>
          <w:color w:val="auto"/>
          <w:sz w:val="24"/>
          <w:highlight w:val="none"/>
        </w:rPr>
      </w:pPr>
      <w:r>
        <w:rPr>
          <w:rFonts w:hint="eastAsia" w:hAnsi="宋体" w:cs="宋体"/>
          <w:color w:val="auto"/>
          <w:sz w:val="24"/>
          <w:highlight w:val="none"/>
        </w:rPr>
        <mc:AlternateContent>
          <mc:Choice Requires="wps">
            <w:drawing>
              <wp:anchor distT="0" distB="0" distL="114300" distR="114300" simplePos="0" relativeHeight="251664384" behindDoc="0" locked="0" layoutInCell="1" allowOverlap="1">
                <wp:simplePos x="0" y="0"/>
                <wp:positionH relativeFrom="column">
                  <wp:posOffset>2827655</wp:posOffset>
                </wp:positionH>
                <wp:positionV relativeFrom="paragraph">
                  <wp:posOffset>581025</wp:posOffset>
                </wp:positionV>
                <wp:extent cx="2230755" cy="1239520"/>
                <wp:effectExtent l="8255" t="7620" r="8890" b="10160"/>
                <wp:wrapNone/>
                <wp:docPr id="12" name="圆角矩形 12"/>
                <wp:cNvGraphicFramePr/>
                <a:graphic xmlns:a="http://schemas.openxmlformats.org/drawingml/2006/main">
                  <a:graphicData uri="http://schemas.microsoft.com/office/word/2010/wordprocessingShape">
                    <wps:wsp>
                      <wps:cNvSpPr/>
                      <wps:spPr>
                        <a:xfrm>
                          <a:off x="0" y="0"/>
                          <a:ext cx="2230755" cy="1239520"/>
                        </a:xfrm>
                        <a:prstGeom prst="roundRect">
                          <a:avLst>
                            <a:gd name="adj" fmla="val 16667"/>
                          </a:avLst>
                        </a:prstGeom>
                        <a:solidFill>
                          <a:srgbClr val="FFFFFF"/>
                        </a:solidFill>
                        <a:ln w="15875" cap="flat" cmpd="sng">
                          <a:solidFill>
                            <a:srgbClr val="808080"/>
                          </a:solidFill>
                          <a:prstDash val="solid"/>
                          <a:headEnd type="none" w="med" len="med"/>
                          <a:tailEnd type="none" w="med" len="med"/>
                        </a:ln>
                      </wps:spPr>
                      <wps:txbx>
                        <w:txbxContent>
                          <w:p w14:paraId="6E126DAB">
                            <w:pPr>
                              <w:jc w:val="center"/>
                              <w:rPr>
                                <w:rFonts w:hint="eastAsia" w:hAnsi="宋体"/>
                              </w:rPr>
                            </w:pPr>
                            <w:r>
                              <w:rPr>
                                <w:rFonts w:hint="eastAsia" w:hAnsi="宋体"/>
                              </w:rPr>
                              <w:t xml:space="preserve">  </w:t>
                            </w:r>
                          </w:p>
                          <w:p w14:paraId="4189B880">
                            <w:pPr>
                              <w:rPr>
                                <w:rFonts w:hint="eastAsia" w:hAnsi="宋体"/>
                              </w:rPr>
                            </w:pPr>
                          </w:p>
                          <w:p w14:paraId="2C9CF938">
                            <w:pPr>
                              <w:jc w:val="center"/>
                              <w:rPr>
                                <w:szCs w:val="21"/>
                              </w:rPr>
                            </w:pPr>
                            <w:r>
                              <w:rPr>
                                <w:rFonts w:hint="eastAsia" w:hAnsi="宋体"/>
                                <w:szCs w:val="21"/>
                              </w:rPr>
                              <w:t>法定代表人身份证复印件反面</w:t>
                            </w:r>
                          </w:p>
                          <w:p w14:paraId="44FC56DE"/>
                        </w:txbxContent>
                      </wps:txbx>
                      <wps:bodyPr upright="1"/>
                    </wps:wsp>
                  </a:graphicData>
                </a:graphic>
              </wp:anchor>
            </w:drawing>
          </mc:Choice>
          <mc:Fallback>
            <w:pict>
              <v:roundrect id="_x0000_s1026" o:spid="_x0000_s1026" o:spt="2" style="position:absolute;left:0pt;margin-left:222.65pt;margin-top:45.75pt;height:97.6pt;width:175.65pt;z-index:251664384;mso-width-relative:page;mso-height-relative:page;" fillcolor="#FFFFFF" filled="t" stroked="t" coordsize="21600,21600" arcsize="0.166666666666667" o:gfxdata="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BqWaq90AAAAKAQAADwAAAAAAAAABACAAAAAiAAAAZHJzL2Rvd25yZXYueG1sUEsBAhQA&#10;FAAAAAgAh07iQIqj2s8mAgAAWgQAAA4AAAAAAAAAAQAgAAAALAEAAGRycy9lMm9Eb2MueG1sUEsF&#10;BgAAAAAGAAYAWQEAAMQFAAAAAA==&#10;">
                <v:fill on="t" focussize="0,0"/>
                <v:stroke weight="1.25pt" color="#808080" joinstyle="round"/>
                <v:imagedata o:title=""/>
                <o:lock v:ext="edit" aspectratio="f"/>
                <v:textbox>
                  <w:txbxContent>
                    <w:p w14:paraId="6E126DAB">
                      <w:pPr>
                        <w:jc w:val="center"/>
                        <w:rPr>
                          <w:rFonts w:hint="eastAsia" w:hAnsi="宋体"/>
                        </w:rPr>
                      </w:pPr>
                      <w:r>
                        <w:rPr>
                          <w:rFonts w:hint="eastAsia" w:hAnsi="宋体"/>
                        </w:rPr>
                        <w:t xml:space="preserve">  </w:t>
                      </w:r>
                    </w:p>
                    <w:p w14:paraId="4189B880">
                      <w:pPr>
                        <w:rPr>
                          <w:rFonts w:hint="eastAsia" w:hAnsi="宋体"/>
                        </w:rPr>
                      </w:pPr>
                    </w:p>
                    <w:p w14:paraId="2C9CF938">
                      <w:pPr>
                        <w:jc w:val="center"/>
                        <w:rPr>
                          <w:szCs w:val="21"/>
                        </w:rPr>
                      </w:pPr>
                      <w:r>
                        <w:rPr>
                          <w:rFonts w:hint="eastAsia" w:hAnsi="宋体"/>
                          <w:szCs w:val="21"/>
                        </w:rPr>
                        <w:t>法定代表人身份证复印件反面</w:t>
                      </w:r>
                    </w:p>
                    <w:p w14:paraId="44FC56DE"/>
                  </w:txbxContent>
                </v:textbox>
              </v:roundrect>
            </w:pict>
          </mc:Fallback>
        </mc:AlternateContent>
      </w:r>
      <w:r>
        <w:rPr>
          <w:rFonts w:hint="eastAsia" w:hAnsi="宋体" w:cs="宋体"/>
          <w:color w:val="auto"/>
          <w:sz w:val="24"/>
          <w:highlight w:val="none"/>
        </w:rPr>
        <mc:AlternateContent>
          <mc:Choice Requires="wps">
            <w:drawing>
              <wp:anchor distT="0" distB="0" distL="114300" distR="114300" simplePos="0" relativeHeight="251663360" behindDoc="0" locked="0" layoutInCell="1" allowOverlap="1">
                <wp:simplePos x="0" y="0"/>
                <wp:positionH relativeFrom="column">
                  <wp:posOffset>321945</wp:posOffset>
                </wp:positionH>
                <wp:positionV relativeFrom="paragraph">
                  <wp:posOffset>566420</wp:posOffset>
                </wp:positionV>
                <wp:extent cx="2270760" cy="1302385"/>
                <wp:effectExtent l="7620" t="7620" r="26670" b="23495"/>
                <wp:wrapNone/>
                <wp:docPr id="11" name="圆角矩形 11"/>
                <wp:cNvGraphicFramePr/>
                <a:graphic xmlns:a="http://schemas.openxmlformats.org/drawingml/2006/main">
                  <a:graphicData uri="http://schemas.microsoft.com/office/word/2010/wordprocessingShape">
                    <wps:wsp>
                      <wps:cNvSpPr/>
                      <wps:spPr>
                        <a:xfrm>
                          <a:off x="0" y="0"/>
                          <a:ext cx="2270760" cy="1302385"/>
                        </a:xfrm>
                        <a:prstGeom prst="roundRect">
                          <a:avLst>
                            <a:gd name="adj" fmla="val 16667"/>
                          </a:avLst>
                        </a:prstGeom>
                        <a:solidFill>
                          <a:srgbClr val="FFFFFF"/>
                        </a:solidFill>
                        <a:ln w="15875" cap="flat" cmpd="sng">
                          <a:solidFill>
                            <a:srgbClr val="808080"/>
                          </a:solidFill>
                          <a:prstDash val="solid"/>
                          <a:headEnd type="none" w="med" len="med"/>
                          <a:tailEnd type="none" w="med" len="med"/>
                        </a:ln>
                      </wps:spPr>
                      <wps:txbx>
                        <w:txbxContent>
                          <w:p w14:paraId="4D384EAC">
                            <w:pPr>
                              <w:jc w:val="center"/>
                              <w:rPr>
                                <w:rFonts w:hint="eastAsia" w:hAnsi="宋体"/>
                              </w:rPr>
                            </w:pPr>
                          </w:p>
                          <w:p w14:paraId="5DF0A44F">
                            <w:pPr>
                              <w:rPr>
                                <w:rFonts w:hint="eastAsia" w:hAnsi="宋体"/>
                              </w:rPr>
                            </w:pPr>
                          </w:p>
                          <w:p w14:paraId="5F267DF1">
                            <w:pPr>
                              <w:jc w:val="center"/>
                              <w:rPr>
                                <w:rFonts w:hint="eastAsia"/>
                                <w:szCs w:val="21"/>
                              </w:rPr>
                            </w:pPr>
                            <w:r>
                              <w:rPr>
                                <w:rFonts w:hint="eastAsia" w:hAnsi="宋体"/>
                                <w:szCs w:val="21"/>
                              </w:rPr>
                              <w:t>法定代表人身份证复印件正面</w:t>
                            </w:r>
                          </w:p>
                          <w:p w14:paraId="73140367"/>
                        </w:txbxContent>
                      </wps:txbx>
                      <wps:bodyPr upright="1"/>
                    </wps:wsp>
                  </a:graphicData>
                </a:graphic>
              </wp:anchor>
            </w:drawing>
          </mc:Choice>
          <mc:Fallback>
            <w:pict>
              <v:roundrect id="_x0000_s1026" o:spid="_x0000_s1026" o:spt="2" style="position:absolute;left:0pt;margin-left:25.35pt;margin-top:44.6pt;height:102.55pt;width:178.8pt;z-index:251663360;mso-width-relative:page;mso-height-relative:page;" fillcolor="#FFFFFF" filled="t" stroked="t" coordsize="21600,21600" arcsize="0.166666666666667" o:gfxdata="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H8xKFdsAAAAJAQAADwAAAAAAAAABACAAAAAiAAAAZHJzL2Rvd25yZXYueG1sUEsBAhQAFAAA&#10;AAgAh07iQN7ZmxYlAgAAWgQAAA4AAAAAAAAAAQAgAAAAKgEAAGRycy9lMm9Eb2MueG1sUEsFBgAA&#10;AAAGAAYAWQEAAMEFAAAAAA==&#10;">
                <v:fill on="t" focussize="0,0"/>
                <v:stroke weight="1.25pt" color="#808080" joinstyle="round"/>
                <v:imagedata o:title=""/>
                <o:lock v:ext="edit" aspectratio="f"/>
                <v:textbox>
                  <w:txbxContent>
                    <w:p w14:paraId="4D384EAC">
                      <w:pPr>
                        <w:jc w:val="center"/>
                        <w:rPr>
                          <w:rFonts w:hint="eastAsia" w:hAnsi="宋体"/>
                        </w:rPr>
                      </w:pPr>
                    </w:p>
                    <w:p w14:paraId="5DF0A44F">
                      <w:pPr>
                        <w:rPr>
                          <w:rFonts w:hint="eastAsia" w:hAnsi="宋体"/>
                        </w:rPr>
                      </w:pPr>
                    </w:p>
                    <w:p w14:paraId="5F267DF1">
                      <w:pPr>
                        <w:jc w:val="center"/>
                        <w:rPr>
                          <w:rFonts w:hint="eastAsia"/>
                          <w:szCs w:val="21"/>
                        </w:rPr>
                      </w:pPr>
                      <w:r>
                        <w:rPr>
                          <w:rFonts w:hint="eastAsia" w:hAnsi="宋体"/>
                          <w:szCs w:val="21"/>
                        </w:rPr>
                        <w:t>法定代表人身份证复印件正面</w:t>
                      </w:r>
                    </w:p>
                    <w:p w14:paraId="73140367"/>
                  </w:txbxContent>
                </v:textbox>
              </v:roundrect>
            </w:pict>
          </mc:Fallback>
        </mc:AlternateContent>
      </w:r>
      <w:r>
        <w:rPr>
          <w:rFonts w:hint="eastAsia" w:hAnsi="宋体" w:cs="宋体"/>
          <w:color w:val="auto"/>
          <w:sz w:val="24"/>
          <w:highlight w:val="none"/>
        </w:rPr>
        <w:t>本授权书于</w:t>
      </w:r>
      <w:r>
        <w:rPr>
          <w:rFonts w:hint="eastAsia" w:hAnsi="宋体" w:cs="宋体"/>
          <w:color w:val="auto"/>
          <w:sz w:val="24"/>
          <w:highlight w:val="none"/>
          <w:u w:val="single"/>
        </w:rPr>
        <w:t xml:space="preserve">        </w:t>
      </w:r>
      <w:r>
        <w:rPr>
          <w:rFonts w:hint="eastAsia" w:hAnsi="宋体" w:cs="宋体"/>
          <w:color w:val="auto"/>
          <w:sz w:val="24"/>
          <w:highlight w:val="none"/>
        </w:rPr>
        <w:t>年</w:t>
      </w:r>
      <w:r>
        <w:rPr>
          <w:rFonts w:hint="eastAsia" w:hAnsi="宋体" w:cs="宋体"/>
          <w:color w:val="auto"/>
          <w:sz w:val="24"/>
          <w:highlight w:val="none"/>
          <w:u w:val="single"/>
        </w:rPr>
        <w:t xml:space="preserve">     </w:t>
      </w:r>
      <w:r>
        <w:rPr>
          <w:rFonts w:hint="eastAsia" w:hAnsi="宋体" w:cs="宋体"/>
          <w:color w:val="auto"/>
          <w:sz w:val="24"/>
          <w:highlight w:val="none"/>
        </w:rPr>
        <w:t>月</w:t>
      </w:r>
      <w:r>
        <w:rPr>
          <w:rFonts w:hint="eastAsia" w:hAnsi="宋体" w:cs="宋体"/>
          <w:color w:val="auto"/>
          <w:sz w:val="24"/>
          <w:highlight w:val="none"/>
          <w:u w:val="single"/>
        </w:rPr>
        <w:t xml:space="preserve">      </w:t>
      </w:r>
      <w:r>
        <w:rPr>
          <w:rFonts w:hint="eastAsia" w:hAnsi="宋体" w:cs="宋体"/>
          <w:color w:val="auto"/>
          <w:sz w:val="24"/>
          <w:highlight w:val="none"/>
        </w:rPr>
        <w:t>日签字生效,特此声明。</w:t>
      </w:r>
      <w:r>
        <w:rPr>
          <w:rFonts w:hint="eastAsia" w:hAnsi="宋体" w:cs="宋体"/>
          <w:color w:val="auto"/>
          <w:sz w:val="24"/>
          <w:highlight w:val="none"/>
        </w:rPr>
        <w:cr/>
      </w:r>
      <w:r>
        <w:rPr>
          <w:rFonts w:hint="eastAsia" w:hAnsi="宋体" w:cs="宋体"/>
          <w:color w:val="auto"/>
          <w:sz w:val="24"/>
          <w:highlight w:val="none"/>
        </w:rPr>
        <w:cr/>
      </w:r>
    </w:p>
    <w:p w14:paraId="43CF5F9C">
      <w:pPr>
        <w:pStyle w:val="13"/>
        <w:tabs>
          <w:tab w:val="left" w:pos="5580"/>
        </w:tabs>
        <w:spacing w:line="240" w:lineRule="atLeast"/>
        <w:ind w:left="-539" w:leftChars="-257" w:firstLine="900" w:firstLineChars="375"/>
        <w:rPr>
          <w:rFonts w:hint="eastAsia" w:hAnsi="宋体" w:cs="宋体"/>
          <w:color w:val="auto"/>
          <w:sz w:val="24"/>
          <w:highlight w:val="none"/>
        </w:rPr>
      </w:pPr>
    </w:p>
    <w:p w14:paraId="1FE508E0">
      <w:pPr>
        <w:spacing w:line="360" w:lineRule="auto"/>
        <w:ind w:firstLine="240" w:firstLineChars="100"/>
        <w:rPr>
          <w:rFonts w:hint="eastAsia" w:ascii="宋体" w:hAnsi="宋体" w:cs="宋体"/>
          <w:color w:val="auto"/>
          <w:sz w:val="24"/>
          <w:highlight w:val="none"/>
        </w:rPr>
      </w:pPr>
    </w:p>
    <w:p w14:paraId="03143ED9">
      <w:pPr>
        <w:spacing w:line="360" w:lineRule="auto"/>
        <w:ind w:firstLine="240" w:firstLineChars="100"/>
        <w:rPr>
          <w:rFonts w:hint="eastAsia" w:ascii="宋体" w:hAnsi="宋体" w:cs="宋体"/>
          <w:color w:val="auto"/>
          <w:sz w:val="24"/>
          <w:highlight w:val="none"/>
        </w:rPr>
      </w:pPr>
    </w:p>
    <w:p w14:paraId="052365F2">
      <w:pPr>
        <w:spacing w:line="360" w:lineRule="auto"/>
        <w:ind w:firstLine="240" w:firstLineChars="100"/>
        <w:rPr>
          <w:rFonts w:hint="eastAsia" w:ascii="宋体" w:hAnsi="宋体" w:cs="宋体"/>
          <w:color w:val="auto"/>
          <w:sz w:val="24"/>
          <w:highlight w:val="none"/>
        </w:rPr>
      </w:pPr>
    </w:p>
    <w:p w14:paraId="2AF8E21C">
      <w:pPr>
        <w:spacing w:line="360" w:lineRule="auto"/>
        <w:ind w:firstLine="240" w:firstLineChars="100"/>
        <w:rPr>
          <w:rFonts w:hint="eastAsia" w:ascii="宋体" w:hAnsi="宋体" w:cs="宋体"/>
          <w:color w:val="auto"/>
          <w:sz w:val="24"/>
          <w:highlight w:val="none"/>
        </w:rPr>
      </w:pPr>
    </w:p>
    <w:p w14:paraId="256033AE">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mc:AlternateContent>
          <mc:Choice Requires="wps">
            <w:drawing>
              <wp:anchor distT="0" distB="0" distL="114300" distR="114300" simplePos="0" relativeHeight="251662336" behindDoc="0" locked="0" layoutInCell="1" allowOverlap="1">
                <wp:simplePos x="0" y="0"/>
                <wp:positionH relativeFrom="column">
                  <wp:posOffset>2877185</wp:posOffset>
                </wp:positionH>
                <wp:positionV relativeFrom="paragraph">
                  <wp:posOffset>44450</wp:posOffset>
                </wp:positionV>
                <wp:extent cx="2268855" cy="1211580"/>
                <wp:effectExtent l="7620" t="7620" r="9525" b="19050"/>
                <wp:wrapNone/>
                <wp:docPr id="10" name="圆角矩形 10"/>
                <wp:cNvGraphicFramePr/>
                <a:graphic xmlns:a="http://schemas.openxmlformats.org/drawingml/2006/main">
                  <a:graphicData uri="http://schemas.microsoft.com/office/word/2010/wordprocessingShape">
                    <wps:wsp>
                      <wps:cNvSpPr/>
                      <wps:spPr>
                        <a:xfrm>
                          <a:off x="0" y="0"/>
                          <a:ext cx="2268855" cy="1211580"/>
                        </a:xfrm>
                        <a:prstGeom prst="roundRect">
                          <a:avLst>
                            <a:gd name="adj" fmla="val 16667"/>
                          </a:avLst>
                        </a:prstGeom>
                        <a:solidFill>
                          <a:srgbClr val="FFFFFF"/>
                        </a:solidFill>
                        <a:ln w="15875" cap="flat" cmpd="sng">
                          <a:solidFill>
                            <a:srgbClr val="808080"/>
                          </a:solidFill>
                          <a:prstDash val="solid"/>
                          <a:headEnd type="none" w="med" len="med"/>
                          <a:tailEnd type="none" w="med" len="med"/>
                        </a:ln>
                      </wps:spPr>
                      <wps:txbx>
                        <w:txbxContent>
                          <w:p w14:paraId="21542376">
                            <w:pPr>
                              <w:rPr>
                                <w:rFonts w:hint="eastAsia" w:hAnsi="宋体"/>
                              </w:rPr>
                            </w:pPr>
                          </w:p>
                          <w:p w14:paraId="7EDA30FC">
                            <w:pPr>
                              <w:rPr>
                                <w:rFonts w:hint="eastAsia" w:hAnsi="宋体"/>
                              </w:rPr>
                            </w:pPr>
                          </w:p>
                          <w:p w14:paraId="265955B0">
                            <w:r>
                              <w:rPr>
                                <w:rFonts w:hint="eastAsia" w:hAnsi="宋体"/>
                              </w:rPr>
                              <w:t>被授权委托人身份证复印件反面</w:t>
                            </w:r>
                          </w:p>
                          <w:p w14:paraId="04C4F07E"/>
                        </w:txbxContent>
                      </wps:txbx>
                      <wps:bodyPr upright="1"/>
                    </wps:wsp>
                  </a:graphicData>
                </a:graphic>
              </wp:anchor>
            </w:drawing>
          </mc:Choice>
          <mc:Fallback>
            <w:pict>
              <v:roundrect id="_x0000_s1026" o:spid="_x0000_s1026" o:spt="2" style="position:absolute;left:0pt;margin-left:226.55pt;margin-top:3.5pt;height:95.4pt;width:178.65pt;z-index:251662336;mso-width-relative:page;mso-height-relative:page;" fillcolor="#FFFFFF" filled="t" stroked="t" coordsize="21600,21600" arcsize="0.166666666666667" o:gfxdata="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Cojqzr2gAAAAkBAAAPAAAAAAAAAAEAIAAAACIAAABkcnMvZG93bnJldi54bWxQSwECFAAUAAAA&#10;CACHTuJAJURdByUCAABaBAAADgAAAAAAAAABACAAAAApAQAAZHJzL2Uyb0RvYy54bWxQSwUGAAAA&#10;AAYABgBZAQAAwAUAAAAA&#10;">
                <v:fill on="t" focussize="0,0"/>
                <v:stroke weight="1.25pt" color="#808080" joinstyle="round"/>
                <v:imagedata o:title=""/>
                <o:lock v:ext="edit" aspectratio="f"/>
                <v:textbox>
                  <w:txbxContent>
                    <w:p w14:paraId="21542376">
                      <w:pPr>
                        <w:rPr>
                          <w:rFonts w:hint="eastAsia" w:hAnsi="宋体"/>
                        </w:rPr>
                      </w:pPr>
                    </w:p>
                    <w:p w14:paraId="7EDA30FC">
                      <w:pPr>
                        <w:rPr>
                          <w:rFonts w:hint="eastAsia" w:hAnsi="宋体"/>
                        </w:rPr>
                      </w:pPr>
                    </w:p>
                    <w:p w14:paraId="265955B0">
                      <w:r>
                        <w:rPr>
                          <w:rFonts w:hint="eastAsia" w:hAnsi="宋体"/>
                        </w:rPr>
                        <w:t>被授权委托人身份证复印件反面</w:t>
                      </w:r>
                    </w:p>
                    <w:p w14:paraId="04C4F07E"/>
                  </w:txbxContent>
                </v:textbox>
              </v:roundrect>
            </w:pict>
          </mc:Fallback>
        </mc:AlternateContent>
      </w:r>
      <w:r>
        <w:rPr>
          <w:rFonts w:hint="eastAsia" w:ascii="宋体" w:hAnsi="宋体" w:cs="宋体"/>
          <w:color w:val="auto"/>
          <w:sz w:val="24"/>
          <w:highlight w:val="none"/>
        </w:rPr>
        <mc:AlternateContent>
          <mc:Choice Requires="wps">
            <w:drawing>
              <wp:anchor distT="0" distB="0" distL="114300" distR="114300" simplePos="0" relativeHeight="251661312" behindDoc="0" locked="0" layoutInCell="1" allowOverlap="1">
                <wp:simplePos x="0" y="0"/>
                <wp:positionH relativeFrom="column">
                  <wp:posOffset>354330</wp:posOffset>
                </wp:positionH>
                <wp:positionV relativeFrom="paragraph">
                  <wp:posOffset>60325</wp:posOffset>
                </wp:positionV>
                <wp:extent cx="2259965" cy="1209675"/>
                <wp:effectExtent l="4445" t="4445" r="21590" b="5080"/>
                <wp:wrapNone/>
                <wp:docPr id="13" name="流程图: 可选过程 13"/>
                <wp:cNvGraphicFramePr/>
                <a:graphic xmlns:a="http://schemas.openxmlformats.org/drawingml/2006/main">
                  <a:graphicData uri="http://schemas.microsoft.com/office/word/2010/wordprocessingShape">
                    <wps:wsp>
                      <wps:cNvSpPr/>
                      <wps:spPr>
                        <a:xfrm>
                          <a:off x="0" y="0"/>
                          <a:ext cx="2259965" cy="120967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7B584462">
                            <w:pPr>
                              <w:rPr>
                                <w:rFonts w:hint="eastAsia" w:hAnsi="宋体"/>
                              </w:rPr>
                            </w:pPr>
                          </w:p>
                          <w:p w14:paraId="43B02466">
                            <w:pPr>
                              <w:jc w:val="center"/>
                              <w:rPr>
                                <w:rFonts w:hint="eastAsia" w:hAnsi="宋体"/>
                              </w:rPr>
                            </w:pPr>
                          </w:p>
                          <w:p w14:paraId="30E4F74E">
                            <w:pPr>
                              <w:jc w:val="center"/>
                            </w:pPr>
                            <w:r>
                              <w:rPr>
                                <w:rFonts w:hint="eastAsia" w:hAnsi="宋体"/>
                              </w:rPr>
                              <w:t>被授权委托人身份证复印件正面</w:t>
                            </w:r>
                          </w:p>
                        </w:txbxContent>
                      </wps:txbx>
                      <wps:bodyPr upright="1"/>
                    </wps:wsp>
                  </a:graphicData>
                </a:graphic>
              </wp:anchor>
            </w:drawing>
          </mc:Choice>
          <mc:Fallback>
            <w:pict>
              <v:shape id="_x0000_s1026" o:spid="_x0000_s1026" o:spt="176" type="#_x0000_t176" style="position:absolute;left:0pt;margin-left:27.9pt;margin-top:4.75pt;height:95.25pt;width:177.95pt;z-index:251661312;mso-width-relative:page;mso-height-relative:page;" fillcolor="#FFFFFF" filled="t" stroked="t" coordsize="21600,21600" o:gfxdata="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jM+O7tYAAAAIAQAADwAAAAAAAAABACAAAAAiAAAAZHJzL2Rvd25yZXYueG1sUEsBAhQAFAAA&#10;AAgAh07iQHQjn8sqAgAAUgQAAA4AAAAAAAAAAQAgAAAAJQEAAGRycy9lMm9Eb2MueG1sUEsFBgAA&#10;AAAGAAYAWQEAAMEFAAAAAA==&#10;">
                <v:fill on="t" focussize="0,0"/>
                <v:stroke color="#000000" joinstyle="miter"/>
                <v:imagedata o:title=""/>
                <o:lock v:ext="edit" aspectratio="f"/>
                <v:textbox>
                  <w:txbxContent>
                    <w:p w14:paraId="7B584462">
                      <w:pPr>
                        <w:rPr>
                          <w:rFonts w:hint="eastAsia" w:hAnsi="宋体"/>
                        </w:rPr>
                      </w:pPr>
                    </w:p>
                    <w:p w14:paraId="43B02466">
                      <w:pPr>
                        <w:jc w:val="center"/>
                        <w:rPr>
                          <w:rFonts w:hint="eastAsia" w:hAnsi="宋体"/>
                        </w:rPr>
                      </w:pPr>
                    </w:p>
                    <w:p w14:paraId="30E4F74E">
                      <w:pPr>
                        <w:jc w:val="center"/>
                      </w:pPr>
                      <w:r>
                        <w:rPr>
                          <w:rFonts w:hint="eastAsia" w:hAnsi="宋体"/>
                        </w:rPr>
                        <w:t>被授权委托人身份证复印件正面</w:t>
                      </w:r>
                    </w:p>
                  </w:txbxContent>
                </v:textbox>
              </v:shape>
            </w:pict>
          </mc:Fallback>
        </mc:AlternateContent>
      </w:r>
    </w:p>
    <w:p w14:paraId="372E7B1A">
      <w:pPr>
        <w:spacing w:line="360" w:lineRule="auto"/>
        <w:ind w:firstLine="240" w:firstLineChars="100"/>
        <w:rPr>
          <w:rFonts w:hint="eastAsia" w:ascii="宋体" w:hAnsi="宋体" w:cs="宋体"/>
          <w:color w:val="auto"/>
          <w:sz w:val="24"/>
          <w:highlight w:val="none"/>
        </w:rPr>
      </w:pPr>
    </w:p>
    <w:p w14:paraId="3569E8B8">
      <w:pPr>
        <w:spacing w:line="360" w:lineRule="auto"/>
        <w:ind w:firstLine="240" w:firstLineChars="100"/>
        <w:rPr>
          <w:rFonts w:hint="eastAsia" w:ascii="宋体" w:hAnsi="宋体" w:cs="宋体"/>
          <w:color w:val="auto"/>
          <w:sz w:val="24"/>
          <w:highlight w:val="none"/>
        </w:rPr>
      </w:pPr>
    </w:p>
    <w:p w14:paraId="235F5372">
      <w:pPr>
        <w:spacing w:line="360" w:lineRule="auto"/>
        <w:rPr>
          <w:rFonts w:hint="eastAsia" w:ascii="宋体" w:hAnsi="宋体" w:cs="宋体"/>
          <w:color w:val="auto"/>
          <w:sz w:val="24"/>
          <w:highlight w:val="none"/>
        </w:rPr>
      </w:pPr>
    </w:p>
    <w:p w14:paraId="4ACDAA89">
      <w:pPr>
        <w:pStyle w:val="13"/>
        <w:tabs>
          <w:tab w:val="left" w:pos="5580"/>
        </w:tabs>
        <w:spacing w:line="240" w:lineRule="atLeast"/>
        <w:rPr>
          <w:rFonts w:hint="eastAsia" w:hAnsi="宋体" w:cs="宋体"/>
          <w:color w:val="auto"/>
          <w:sz w:val="24"/>
          <w:highlight w:val="none"/>
        </w:rPr>
      </w:pPr>
    </w:p>
    <w:p w14:paraId="48C4BFA8">
      <w:pPr>
        <w:pStyle w:val="13"/>
        <w:tabs>
          <w:tab w:val="left" w:pos="5580"/>
        </w:tabs>
        <w:spacing w:line="360" w:lineRule="auto"/>
        <w:ind w:firstLine="960" w:firstLineChars="400"/>
        <w:rPr>
          <w:rFonts w:hint="eastAsia" w:hAnsi="宋体" w:cs="宋体"/>
          <w:color w:val="auto"/>
          <w:sz w:val="24"/>
          <w:highlight w:val="none"/>
          <w:u w:val="single"/>
        </w:rPr>
      </w:pPr>
      <w:r>
        <w:rPr>
          <w:rFonts w:hint="eastAsia" w:hAnsi="宋体" w:cs="宋体"/>
          <w:color w:val="auto"/>
          <w:sz w:val="24"/>
          <w:highlight w:val="none"/>
        </w:rPr>
        <w:t>投 标 人（盖章）：</w:t>
      </w:r>
      <w:r>
        <w:rPr>
          <w:rFonts w:hint="eastAsia" w:hAnsi="宋体" w:cs="宋体"/>
          <w:color w:val="auto"/>
          <w:sz w:val="24"/>
          <w:highlight w:val="none"/>
          <w:u w:val="single"/>
        </w:rPr>
        <w:t xml:space="preserve">                           </w:t>
      </w:r>
    </w:p>
    <w:p w14:paraId="224AFACE">
      <w:pPr>
        <w:pStyle w:val="13"/>
        <w:tabs>
          <w:tab w:val="left" w:pos="5580"/>
        </w:tabs>
        <w:spacing w:line="360" w:lineRule="auto"/>
        <w:ind w:firstLine="960" w:firstLineChars="400"/>
        <w:rPr>
          <w:rFonts w:hint="eastAsia" w:hAnsi="宋体" w:cs="宋体"/>
          <w:color w:val="auto"/>
          <w:sz w:val="24"/>
          <w:highlight w:val="none"/>
        </w:rPr>
      </w:pPr>
      <w:r>
        <w:rPr>
          <w:rFonts w:hint="eastAsia" w:hAnsi="宋体" w:cs="宋体"/>
          <w:color w:val="auto"/>
          <w:sz w:val="24"/>
          <w:highlight w:val="none"/>
        </w:rPr>
        <w:t>法定代表人</w:t>
      </w:r>
      <w:r>
        <w:rPr>
          <w:rFonts w:hint="eastAsia" w:ascii="宋体" w:hAnsi="宋体" w:cs="宋体"/>
          <w:color w:val="auto"/>
          <w:sz w:val="24"/>
          <w:highlight w:val="none"/>
        </w:rPr>
        <w:t>（签</w:t>
      </w:r>
      <w:r>
        <w:rPr>
          <w:rFonts w:hint="eastAsia" w:ascii="宋体" w:hAnsi="宋体" w:cs="宋体"/>
          <w:color w:val="auto"/>
          <w:sz w:val="24"/>
          <w:highlight w:val="none"/>
          <w:lang w:val="en-US" w:eastAsia="zh-CN"/>
        </w:rPr>
        <w:t>/</w:t>
      </w:r>
      <w:r>
        <w:rPr>
          <w:rFonts w:hint="eastAsia" w:ascii="宋体" w:hAnsi="宋体" w:cs="宋体"/>
          <w:color w:val="auto"/>
          <w:sz w:val="24"/>
          <w:highlight w:val="none"/>
        </w:rPr>
        <w:t>章）</w:t>
      </w:r>
      <w:r>
        <w:rPr>
          <w:rFonts w:hint="eastAsia" w:hAnsi="宋体" w:cs="宋体"/>
          <w:color w:val="auto"/>
          <w:sz w:val="24"/>
          <w:highlight w:val="none"/>
        </w:rPr>
        <w:t>：</w:t>
      </w:r>
      <w:r>
        <w:rPr>
          <w:rFonts w:hint="eastAsia" w:hAnsi="宋体" w:cs="宋体"/>
          <w:color w:val="auto"/>
          <w:sz w:val="24"/>
          <w:highlight w:val="none"/>
          <w:u w:val="single"/>
        </w:rPr>
        <w:t xml:space="preserve">                        </w:t>
      </w:r>
    </w:p>
    <w:p w14:paraId="2C4B148A">
      <w:pPr>
        <w:pStyle w:val="13"/>
        <w:tabs>
          <w:tab w:val="left" w:pos="5580"/>
        </w:tabs>
        <w:spacing w:line="360" w:lineRule="auto"/>
        <w:ind w:firstLine="960" w:firstLineChars="400"/>
        <w:rPr>
          <w:rFonts w:hint="eastAsia" w:hAnsi="宋体" w:cs="宋体"/>
          <w:color w:val="auto"/>
          <w:sz w:val="24"/>
          <w:highlight w:val="none"/>
        </w:rPr>
      </w:pPr>
      <w:r>
        <w:rPr>
          <w:rFonts w:hint="eastAsia" w:hAnsi="宋体" w:cs="宋体"/>
          <w:color w:val="auto"/>
          <w:sz w:val="24"/>
          <w:highlight w:val="none"/>
          <w:u w:val="single" w:color="EEECE1"/>
        </w:rPr>
        <w:t>身</w:t>
      </w:r>
      <w:r>
        <w:rPr>
          <w:rFonts w:hint="eastAsia" w:hAnsi="宋体" w:cs="宋体"/>
          <w:color w:val="auto"/>
          <w:sz w:val="24"/>
          <w:highlight w:val="none"/>
        </w:rPr>
        <w:t>份证号码：</w:t>
      </w:r>
      <w:r>
        <w:rPr>
          <w:rFonts w:hint="eastAsia" w:hAnsi="宋体" w:cs="宋体"/>
          <w:color w:val="auto"/>
          <w:sz w:val="24"/>
          <w:highlight w:val="none"/>
          <w:u w:val="single"/>
        </w:rPr>
        <w:t xml:space="preserve">                                 </w:t>
      </w:r>
      <w:r>
        <w:rPr>
          <w:rFonts w:hint="eastAsia" w:hAnsi="宋体" w:cs="宋体"/>
          <w:color w:val="auto"/>
          <w:sz w:val="24"/>
          <w:highlight w:val="none"/>
        </w:rPr>
        <w:t xml:space="preserve"> </w:t>
      </w:r>
    </w:p>
    <w:p w14:paraId="35B66382">
      <w:pPr>
        <w:pStyle w:val="13"/>
        <w:tabs>
          <w:tab w:val="left" w:pos="5580"/>
        </w:tabs>
        <w:spacing w:line="360" w:lineRule="auto"/>
        <w:ind w:firstLine="960" w:firstLineChars="400"/>
        <w:rPr>
          <w:rFonts w:hint="eastAsia" w:hAnsi="宋体" w:eastAsia="宋体" w:cs="宋体"/>
          <w:color w:val="auto"/>
          <w:sz w:val="24"/>
          <w:highlight w:val="none"/>
          <w:u w:val="single"/>
          <w:lang w:val="en-US" w:eastAsia="zh-CN"/>
        </w:rPr>
      </w:pPr>
      <w:r>
        <w:rPr>
          <w:rFonts w:hint="eastAsia" w:hAnsi="宋体" w:cs="宋体"/>
          <w:color w:val="auto"/>
          <w:sz w:val="24"/>
          <w:highlight w:val="none"/>
        </w:rPr>
        <w:t>委托代理人</w:t>
      </w:r>
      <w:r>
        <w:rPr>
          <w:rFonts w:hint="eastAsia" w:ascii="宋体" w:hAnsi="宋体" w:cs="宋体"/>
          <w:color w:val="auto"/>
          <w:sz w:val="24"/>
          <w:highlight w:val="none"/>
        </w:rPr>
        <w:t>（签</w:t>
      </w:r>
      <w:r>
        <w:rPr>
          <w:rFonts w:hint="eastAsia" w:ascii="宋体" w:hAnsi="宋体" w:cs="宋体"/>
          <w:color w:val="auto"/>
          <w:sz w:val="24"/>
          <w:highlight w:val="none"/>
          <w:lang w:val="en-US" w:eastAsia="zh-CN"/>
        </w:rPr>
        <w:t>/</w:t>
      </w:r>
      <w:r>
        <w:rPr>
          <w:rFonts w:hint="eastAsia" w:ascii="宋体" w:hAnsi="宋体" w:cs="宋体"/>
          <w:color w:val="auto"/>
          <w:sz w:val="24"/>
          <w:highlight w:val="none"/>
        </w:rPr>
        <w:t>章）</w:t>
      </w:r>
      <w:r>
        <w:rPr>
          <w:rFonts w:hint="eastAsia" w:hAnsi="宋体" w:cs="宋体"/>
          <w:color w:val="auto"/>
          <w:sz w:val="24"/>
          <w:highlight w:val="none"/>
        </w:rPr>
        <w:t>：</w:t>
      </w:r>
      <w:r>
        <w:rPr>
          <w:rFonts w:hint="eastAsia" w:hAnsi="宋体" w:cs="宋体"/>
          <w:color w:val="auto"/>
          <w:sz w:val="24"/>
          <w:highlight w:val="none"/>
          <w:u w:val="single"/>
        </w:rPr>
        <w:t xml:space="preserve">                       </w:t>
      </w:r>
      <w:r>
        <w:rPr>
          <w:rFonts w:hint="eastAsia" w:hAnsi="宋体" w:cs="宋体"/>
          <w:color w:val="auto"/>
          <w:sz w:val="24"/>
          <w:highlight w:val="none"/>
          <w:u w:val="single"/>
          <w:lang w:val="en-US" w:eastAsia="zh-CN"/>
        </w:rPr>
        <w:t xml:space="preserve"> </w:t>
      </w:r>
    </w:p>
    <w:p w14:paraId="6122B8B2">
      <w:pPr>
        <w:pStyle w:val="13"/>
        <w:tabs>
          <w:tab w:val="left" w:pos="5580"/>
        </w:tabs>
        <w:spacing w:line="360" w:lineRule="auto"/>
        <w:ind w:firstLine="960" w:firstLineChars="400"/>
        <w:rPr>
          <w:rFonts w:hint="eastAsia" w:hAnsi="宋体" w:cs="宋体"/>
          <w:color w:val="auto"/>
          <w:sz w:val="24"/>
          <w:highlight w:val="none"/>
        </w:rPr>
      </w:pPr>
      <w:r>
        <w:rPr>
          <w:rFonts w:hint="eastAsia" w:hAnsi="宋体" w:cs="宋体"/>
          <w:color w:val="auto"/>
          <w:sz w:val="24"/>
          <w:highlight w:val="none"/>
        </w:rPr>
        <w:t>身份证号码：</w:t>
      </w:r>
      <w:r>
        <w:rPr>
          <w:rFonts w:hint="eastAsia" w:hAnsi="宋体" w:cs="宋体"/>
          <w:color w:val="auto"/>
          <w:sz w:val="24"/>
          <w:highlight w:val="none"/>
          <w:u w:val="single"/>
        </w:rPr>
        <w:t xml:space="preserve">                                 </w:t>
      </w:r>
      <w:r>
        <w:rPr>
          <w:rFonts w:hint="eastAsia" w:hAnsi="宋体" w:cs="宋体"/>
          <w:color w:val="auto"/>
          <w:sz w:val="24"/>
          <w:highlight w:val="none"/>
        </w:rPr>
        <w:t xml:space="preserve">                            </w:t>
      </w:r>
    </w:p>
    <w:p w14:paraId="31E9359E">
      <w:pPr>
        <w:pStyle w:val="13"/>
        <w:tabs>
          <w:tab w:val="left" w:pos="5580"/>
        </w:tabs>
        <w:spacing w:line="360" w:lineRule="auto"/>
        <w:ind w:firstLine="960" w:firstLineChars="400"/>
        <w:rPr>
          <w:rFonts w:hint="eastAsia" w:hAnsi="宋体" w:cs="宋体"/>
          <w:color w:val="auto"/>
          <w:sz w:val="24"/>
          <w:highlight w:val="none"/>
        </w:rPr>
      </w:pPr>
      <w:r>
        <w:rPr>
          <w:rFonts w:hint="eastAsia" w:hAnsi="宋体" w:cs="宋体"/>
          <w:color w:val="auto"/>
          <w:sz w:val="24"/>
          <w:highlight w:val="none"/>
        </w:rPr>
        <w:t>详细通讯地址：</w:t>
      </w:r>
      <w:r>
        <w:rPr>
          <w:rFonts w:hint="eastAsia" w:hAnsi="宋体" w:cs="宋体"/>
          <w:color w:val="auto"/>
          <w:sz w:val="24"/>
          <w:highlight w:val="none"/>
          <w:u w:val="single"/>
        </w:rPr>
        <w:t xml:space="preserve">                               </w:t>
      </w:r>
      <w:r>
        <w:rPr>
          <w:rFonts w:hint="eastAsia" w:hAnsi="宋体" w:cs="宋体"/>
          <w:color w:val="auto"/>
          <w:sz w:val="24"/>
          <w:highlight w:val="none"/>
        </w:rPr>
        <w:t xml:space="preserve">                                  </w:t>
      </w:r>
    </w:p>
    <w:p w14:paraId="3C5F9E8C">
      <w:pPr>
        <w:pStyle w:val="13"/>
        <w:tabs>
          <w:tab w:val="left" w:pos="5580"/>
        </w:tabs>
        <w:spacing w:line="360" w:lineRule="auto"/>
        <w:ind w:firstLine="960" w:firstLineChars="400"/>
        <w:rPr>
          <w:rFonts w:hint="eastAsia" w:hAnsi="宋体" w:cs="宋体"/>
          <w:color w:val="auto"/>
          <w:sz w:val="24"/>
          <w:highlight w:val="none"/>
          <w:u w:val="single"/>
        </w:rPr>
      </w:pPr>
      <w:r>
        <w:rPr>
          <w:rFonts w:hint="eastAsia" w:hAnsi="宋体" w:cs="宋体"/>
          <w:color w:val="auto"/>
          <w:sz w:val="24"/>
          <w:highlight w:val="none"/>
        </w:rPr>
        <w:t>邮 政 编 码 ：</w:t>
      </w:r>
      <w:r>
        <w:rPr>
          <w:rFonts w:hint="eastAsia" w:hAnsi="宋体" w:cs="宋体"/>
          <w:color w:val="auto"/>
          <w:sz w:val="24"/>
          <w:highlight w:val="none"/>
          <w:u w:val="single"/>
        </w:rPr>
        <w:t xml:space="preserve">                               </w:t>
      </w:r>
    </w:p>
    <w:p w14:paraId="6F3D3D6A">
      <w:pPr>
        <w:pStyle w:val="13"/>
        <w:tabs>
          <w:tab w:val="left" w:pos="5580"/>
        </w:tabs>
        <w:spacing w:line="360" w:lineRule="auto"/>
        <w:ind w:firstLine="960" w:firstLineChars="400"/>
        <w:rPr>
          <w:rFonts w:hint="eastAsia" w:ascii="宋体" w:hAnsi="宋体" w:eastAsia="宋体" w:cs="宋体"/>
          <w:color w:val="auto"/>
          <w:sz w:val="24"/>
          <w:highlight w:val="none"/>
          <w:u w:val="single"/>
        </w:rPr>
      </w:pPr>
      <w:r>
        <w:rPr>
          <w:rFonts w:hint="eastAsia" w:hAnsi="宋体" w:cs="宋体"/>
          <w:color w:val="auto"/>
          <w:sz w:val="24"/>
          <w:highlight w:val="none"/>
        </w:rPr>
        <w:t>日       期 ：</w:t>
      </w:r>
      <w:r>
        <w:rPr>
          <w:rFonts w:hint="eastAsia" w:hAnsi="宋体" w:cs="宋体"/>
          <w:color w:val="auto"/>
          <w:sz w:val="24"/>
          <w:highlight w:val="none"/>
          <w:u w:val="single"/>
        </w:rPr>
        <w:t xml:space="preserve">                               </w:t>
      </w:r>
    </w:p>
    <w:p w14:paraId="1841C66D">
      <w:pPr>
        <w:pStyle w:val="13"/>
        <w:tabs>
          <w:tab w:val="left" w:pos="5580"/>
        </w:tabs>
        <w:spacing w:line="360" w:lineRule="auto"/>
        <w:ind w:firstLine="480" w:firstLineChars="200"/>
        <w:rPr>
          <w:rFonts w:hint="eastAsia" w:ascii="宋体" w:hAnsi="宋体" w:eastAsia="宋体" w:cs="宋体"/>
          <w:color w:val="auto"/>
          <w:sz w:val="24"/>
          <w:highlight w:val="none"/>
          <w:u w:val="single"/>
        </w:rPr>
      </w:pPr>
    </w:p>
    <w:p w14:paraId="04212E24">
      <w:pPr>
        <w:pStyle w:val="13"/>
        <w:tabs>
          <w:tab w:val="left" w:pos="5580"/>
        </w:tabs>
        <w:spacing w:line="360" w:lineRule="auto"/>
        <w:ind w:firstLine="480" w:firstLineChars="200"/>
        <w:rPr>
          <w:rFonts w:hint="eastAsia" w:ascii="宋体" w:hAnsi="宋体" w:eastAsia="宋体" w:cs="宋体"/>
          <w:color w:val="auto"/>
          <w:sz w:val="24"/>
          <w:highlight w:val="none"/>
          <w:u w:val="single"/>
        </w:rPr>
      </w:pPr>
    </w:p>
    <w:p w14:paraId="1E229DA0">
      <w:pPr>
        <w:pStyle w:val="14"/>
        <w:rPr>
          <w:rFonts w:hint="eastAsia"/>
          <w:color w:val="auto"/>
          <w:highlight w:val="none"/>
        </w:rPr>
      </w:pPr>
    </w:p>
    <w:p w14:paraId="0F3C6072">
      <w:pPr>
        <w:tabs>
          <w:tab w:val="left" w:pos="5580"/>
        </w:tabs>
        <w:spacing w:line="360" w:lineRule="exact"/>
        <w:rPr>
          <w:rFonts w:hint="eastAsia" w:ascii="宋体" w:hAnsi="宋体" w:eastAsia="宋体" w:cs="宋体"/>
          <w:b/>
          <w:bCs/>
          <w:color w:val="auto"/>
          <w:sz w:val="28"/>
          <w:szCs w:val="28"/>
          <w:highlight w:val="none"/>
        </w:rPr>
      </w:pPr>
    </w:p>
    <w:p w14:paraId="4EB67195">
      <w:pPr>
        <w:numPr>
          <w:ilvl w:val="0"/>
          <w:numId w:val="0"/>
        </w:numPr>
        <w:tabs>
          <w:tab w:val="left" w:pos="5580"/>
        </w:tabs>
        <w:spacing w:line="240" w:lineRule="atLeast"/>
        <w:ind w:leftChars="257"/>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lang w:val="en-US" w:eastAsia="zh-CN"/>
        </w:rPr>
        <w:t>4、</w:t>
      </w:r>
      <w:r>
        <w:rPr>
          <w:rFonts w:hint="eastAsia" w:ascii="宋体" w:hAnsi="宋体" w:cs="宋体"/>
          <w:b/>
          <w:bCs/>
          <w:color w:val="auto"/>
          <w:sz w:val="28"/>
          <w:szCs w:val="28"/>
          <w:highlight w:val="none"/>
          <w:lang w:val="en-US" w:eastAsia="zh-CN"/>
        </w:rPr>
        <w:t>依法缴纳近三个月中任意一个月的社保缴纳凭证；依法缴纳近三个月任意一个月的税收良好记录证明（完税证明为非社保缴纳明细）；</w:t>
      </w:r>
      <w:r>
        <w:rPr>
          <w:rFonts w:hint="eastAsia" w:ascii="宋体" w:hAnsi="宋体" w:eastAsia="宋体" w:cs="宋体"/>
          <w:b/>
          <w:bCs/>
          <w:color w:val="auto"/>
          <w:sz w:val="28"/>
          <w:szCs w:val="28"/>
          <w:highlight w:val="none"/>
          <w:lang w:val="en-US" w:eastAsia="zh-CN"/>
        </w:rPr>
        <w:t>；</w:t>
      </w:r>
    </w:p>
    <w:p w14:paraId="10A37D66">
      <w:pPr>
        <w:pStyle w:val="4"/>
        <w:ind w:firstLine="0"/>
        <w:rPr>
          <w:rFonts w:hint="eastAsia" w:ascii="宋体" w:hAnsi="宋体" w:eastAsia="宋体" w:cs="宋体"/>
          <w:color w:val="auto"/>
          <w:highlight w:val="none"/>
        </w:rPr>
      </w:pPr>
    </w:p>
    <w:p w14:paraId="0E0B8882">
      <w:pPr>
        <w:pStyle w:val="4"/>
        <w:ind w:firstLine="720" w:firstLineChars="300"/>
        <w:rPr>
          <w:rFonts w:hint="eastAsia" w:ascii="宋体" w:hAnsi="宋体" w:eastAsia="宋体" w:cs="宋体"/>
          <w:color w:val="auto"/>
          <w:highlight w:val="none"/>
        </w:rPr>
      </w:pPr>
      <w:r>
        <w:rPr>
          <w:rFonts w:hint="eastAsia" w:ascii="宋体" w:hAnsi="宋体" w:eastAsia="宋体" w:cs="宋体"/>
          <w:color w:val="auto"/>
          <w:highlight w:val="none"/>
        </w:rPr>
        <w:t>注：1.按照投标人须知资料表中的规定提供复印件。</w:t>
      </w:r>
    </w:p>
    <w:p w14:paraId="6C35B4F5">
      <w:pPr>
        <w:pStyle w:val="4"/>
        <w:ind w:firstLine="0"/>
        <w:rPr>
          <w:rFonts w:hint="eastAsia" w:ascii="宋体" w:hAnsi="宋体" w:eastAsia="宋体" w:cs="宋体"/>
          <w:color w:val="auto"/>
          <w:highlight w:val="none"/>
        </w:rPr>
      </w:pPr>
      <w:r>
        <w:rPr>
          <w:rFonts w:hint="eastAsia" w:ascii="宋体" w:hAnsi="宋体" w:eastAsia="宋体" w:cs="宋体"/>
          <w:color w:val="auto"/>
          <w:highlight w:val="none"/>
        </w:rPr>
        <w:t xml:space="preserve">      2.复印件上应加盖本单位章。</w:t>
      </w:r>
    </w:p>
    <w:p w14:paraId="762E9BF3">
      <w:pPr>
        <w:pStyle w:val="4"/>
        <w:ind w:firstLine="0"/>
        <w:rPr>
          <w:rFonts w:hint="eastAsia" w:ascii="宋体" w:hAnsi="宋体" w:eastAsia="宋体" w:cs="宋体"/>
          <w:color w:val="auto"/>
          <w:highlight w:val="none"/>
        </w:rPr>
      </w:pPr>
      <w:r>
        <w:rPr>
          <w:rFonts w:hint="eastAsia" w:ascii="宋体" w:hAnsi="宋体" w:eastAsia="宋体" w:cs="宋体"/>
          <w:color w:val="auto"/>
          <w:highlight w:val="none"/>
        </w:rPr>
        <w:t xml:space="preserve">      3.如果是联合体投标，联合体各方均需提供上述证明。</w:t>
      </w:r>
    </w:p>
    <w:p w14:paraId="4655E0F0">
      <w:pPr>
        <w:pStyle w:val="4"/>
        <w:ind w:firstLine="0"/>
        <w:rPr>
          <w:rFonts w:hint="eastAsia" w:ascii="宋体" w:hAnsi="宋体" w:eastAsia="宋体" w:cs="宋体"/>
          <w:color w:val="auto"/>
          <w:highlight w:val="none"/>
        </w:rPr>
      </w:pPr>
    </w:p>
    <w:p w14:paraId="33530C11">
      <w:pPr>
        <w:pStyle w:val="4"/>
        <w:ind w:firstLine="0"/>
        <w:rPr>
          <w:rFonts w:hint="eastAsia" w:ascii="宋体" w:hAnsi="宋体" w:eastAsia="宋体" w:cs="宋体"/>
          <w:color w:val="auto"/>
          <w:highlight w:val="none"/>
        </w:rPr>
      </w:pPr>
    </w:p>
    <w:p w14:paraId="429F0DF5">
      <w:pPr>
        <w:pStyle w:val="4"/>
        <w:ind w:firstLine="0"/>
        <w:rPr>
          <w:rFonts w:hint="eastAsia" w:ascii="宋体" w:hAnsi="宋体" w:eastAsia="宋体" w:cs="宋体"/>
          <w:color w:val="auto"/>
          <w:highlight w:val="none"/>
        </w:rPr>
      </w:pPr>
    </w:p>
    <w:p w14:paraId="3F049324">
      <w:pPr>
        <w:pStyle w:val="4"/>
        <w:ind w:firstLine="0"/>
        <w:rPr>
          <w:rFonts w:hint="eastAsia" w:ascii="宋体" w:hAnsi="宋体" w:eastAsia="宋体" w:cs="宋体"/>
          <w:color w:val="auto"/>
          <w:highlight w:val="none"/>
        </w:rPr>
      </w:pPr>
    </w:p>
    <w:p w14:paraId="6217261F">
      <w:pPr>
        <w:pStyle w:val="7"/>
        <w:rPr>
          <w:rFonts w:hint="eastAsia" w:ascii="宋体" w:hAnsi="宋体" w:eastAsia="宋体" w:cs="宋体"/>
          <w:color w:val="auto"/>
          <w:highlight w:val="none"/>
        </w:rPr>
      </w:pPr>
    </w:p>
    <w:p w14:paraId="5DF808AB">
      <w:pPr>
        <w:rPr>
          <w:rFonts w:hint="eastAsia" w:ascii="宋体" w:hAnsi="宋体" w:eastAsia="宋体" w:cs="宋体"/>
          <w:color w:val="auto"/>
          <w:highlight w:val="none"/>
        </w:rPr>
      </w:pPr>
    </w:p>
    <w:p w14:paraId="49F90867">
      <w:pPr>
        <w:pStyle w:val="24"/>
        <w:rPr>
          <w:rFonts w:hint="eastAsia" w:ascii="宋体" w:hAnsi="宋体" w:eastAsia="宋体" w:cs="宋体"/>
          <w:color w:val="auto"/>
          <w:highlight w:val="none"/>
        </w:rPr>
      </w:pPr>
    </w:p>
    <w:p w14:paraId="70448452">
      <w:pPr>
        <w:pStyle w:val="4"/>
        <w:ind w:firstLine="0"/>
        <w:rPr>
          <w:rFonts w:hint="eastAsia" w:ascii="宋体" w:hAnsi="宋体" w:eastAsia="宋体" w:cs="宋体"/>
          <w:color w:val="auto"/>
          <w:highlight w:val="none"/>
        </w:rPr>
      </w:pPr>
    </w:p>
    <w:p w14:paraId="6650CC71">
      <w:pPr>
        <w:pStyle w:val="4"/>
        <w:keepNext w:val="0"/>
        <w:keepLines w:val="0"/>
        <w:pageBreakBefore w:val="0"/>
        <w:widowControl w:val="0"/>
        <w:kinsoku/>
        <w:wordWrap/>
        <w:overflowPunct/>
        <w:topLinePunct w:val="0"/>
        <w:bidi w:val="0"/>
        <w:snapToGrid/>
        <w:spacing w:line="440" w:lineRule="exact"/>
        <w:ind w:firstLine="0"/>
        <w:textAlignment w:val="auto"/>
        <w:rPr>
          <w:rFonts w:hint="eastAsia" w:ascii="宋体" w:hAnsi="宋体" w:eastAsia="宋体" w:cs="宋体"/>
          <w:color w:val="auto"/>
          <w:highlight w:val="none"/>
        </w:rPr>
      </w:pPr>
    </w:p>
    <w:p w14:paraId="294969E9">
      <w:pPr>
        <w:pStyle w:val="7"/>
        <w:rPr>
          <w:rFonts w:hint="eastAsia" w:ascii="宋体" w:hAnsi="宋体" w:eastAsia="宋体" w:cs="宋体"/>
          <w:color w:val="auto"/>
          <w:highlight w:val="none"/>
        </w:rPr>
      </w:pPr>
    </w:p>
    <w:p w14:paraId="7280107F">
      <w:pPr>
        <w:rPr>
          <w:rFonts w:hint="eastAsia" w:ascii="宋体" w:hAnsi="宋体" w:eastAsia="宋体" w:cs="宋体"/>
          <w:color w:val="auto"/>
          <w:highlight w:val="none"/>
        </w:rPr>
      </w:pPr>
    </w:p>
    <w:p w14:paraId="71AE67DF">
      <w:pPr>
        <w:pStyle w:val="24"/>
        <w:rPr>
          <w:rFonts w:hint="eastAsia" w:ascii="宋体" w:hAnsi="宋体" w:eastAsia="宋体" w:cs="宋体"/>
          <w:color w:val="auto"/>
          <w:highlight w:val="none"/>
        </w:rPr>
      </w:pPr>
    </w:p>
    <w:p w14:paraId="77D9C173">
      <w:pPr>
        <w:numPr>
          <w:ilvl w:val="0"/>
          <w:numId w:val="0"/>
        </w:numPr>
        <w:tabs>
          <w:tab w:val="left" w:pos="5580"/>
        </w:tabs>
        <w:spacing w:line="240" w:lineRule="atLeast"/>
        <w:ind w:leftChars="257"/>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lang w:val="en-US" w:eastAsia="zh-CN"/>
        </w:rPr>
        <w:t>5、具有良好的商业信誉和健全的财务会计制度，提供</w:t>
      </w:r>
      <w:r>
        <w:rPr>
          <w:rFonts w:hint="eastAsia" w:ascii="宋体" w:hAnsi="宋体" w:cs="宋体"/>
          <w:b/>
          <w:bCs/>
          <w:color w:val="auto"/>
          <w:sz w:val="28"/>
          <w:szCs w:val="28"/>
          <w:highlight w:val="none"/>
          <w:lang w:val="en-US" w:eastAsia="zh-CN"/>
        </w:rPr>
        <w:t>2023年度或2024年度</w:t>
      </w:r>
      <w:r>
        <w:rPr>
          <w:rFonts w:hint="eastAsia" w:ascii="宋体" w:hAnsi="宋体" w:eastAsia="宋体" w:cs="宋体"/>
          <w:b/>
          <w:bCs/>
          <w:color w:val="auto"/>
          <w:sz w:val="28"/>
          <w:szCs w:val="28"/>
          <w:highlight w:val="none"/>
          <w:lang w:val="en-US" w:eastAsia="zh-CN"/>
        </w:rPr>
        <w:t>经会计事务所出具财务审计报告；（新成立的公司须提供近一个月的银行资信证明）；</w:t>
      </w:r>
    </w:p>
    <w:p w14:paraId="2ED287EA">
      <w:pPr>
        <w:pStyle w:val="4"/>
        <w:ind w:firstLine="720" w:firstLineChars="300"/>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注：1、如提供本单位</w:t>
      </w:r>
      <w:r>
        <w:rPr>
          <w:rFonts w:hint="eastAsia" w:hAnsi="宋体" w:cs="宋体"/>
          <w:color w:val="auto"/>
          <w:highlight w:val="none"/>
          <w:lang w:val="en-US" w:eastAsia="zh-CN"/>
        </w:rPr>
        <w:t>2023年度或2024年度</w:t>
      </w:r>
      <w:r>
        <w:rPr>
          <w:rFonts w:hint="eastAsia" w:ascii="宋体" w:hAnsi="宋体" w:eastAsia="宋体" w:cs="宋体"/>
          <w:color w:val="auto"/>
          <w:highlight w:val="none"/>
          <w:lang w:val="en-US" w:eastAsia="zh-CN"/>
        </w:rPr>
        <w:t>经会计师事务所出具的审计报告复印件（新成立的公司须提供近一个月的银行资信证明</w:t>
      </w:r>
      <w:r>
        <w:rPr>
          <w:rFonts w:hint="eastAsia" w:ascii="宋体" w:hAnsi="宋体" w:eastAsia="宋体" w:cs="宋体"/>
          <w:color w:val="auto"/>
          <w:highlight w:val="none"/>
        </w:rPr>
        <w:t>复印件</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，须加盖本单位章。</w:t>
      </w:r>
    </w:p>
    <w:p w14:paraId="455DCB18">
      <w:pPr>
        <w:pStyle w:val="4"/>
        <w:ind w:firstLine="720" w:firstLineChars="300"/>
        <w:rPr>
          <w:rFonts w:hint="eastAsia" w:ascii="宋体" w:hAnsi="宋体" w:eastAsia="宋体" w:cs="宋体"/>
          <w:color w:val="auto"/>
          <w:highlight w:val="none"/>
        </w:rPr>
      </w:pPr>
      <w:r>
        <w:rPr>
          <w:rFonts w:hint="eastAsia" w:ascii="宋体" w:hAnsi="宋体" w:eastAsia="宋体" w:cs="宋体"/>
          <w:color w:val="auto"/>
          <w:highlight w:val="none"/>
        </w:rPr>
        <w:t>2、如提供银行出具的证明文件。银行证明文件可提供原件，也可提供银行开具证明文件的复印件。若提供的是复印件，招标采购单位保留审核原件的权利。银行出具的证明文件应能说明该投标人与银行之间业务往来正常，企业信誉良好等。</w:t>
      </w:r>
    </w:p>
    <w:p w14:paraId="6979B51D">
      <w:pPr>
        <w:pStyle w:val="4"/>
        <w:ind w:firstLine="720" w:firstLineChars="300"/>
        <w:rPr>
          <w:rFonts w:hint="eastAsia" w:ascii="宋体" w:hAnsi="宋体" w:eastAsia="宋体" w:cs="宋体"/>
          <w:color w:val="auto"/>
          <w:highlight w:val="none"/>
        </w:rPr>
      </w:pPr>
      <w:r>
        <w:rPr>
          <w:rFonts w:hint="eastAsia" w:ascii="宋体" w:hAnsi="宋体" w:eastAsia="宋体" w:cs="宋体"/>
          <w:color w:val="auto"/>
          <w:highlight w:val="none"/>
        </w:rPr>
        <w:t>3、如果是联合体投标，联合体各方均需提供上述证明。</w:t>
      </w:r>
    </w:p>
    <w:p w14:paraId="0BF73D05">
      <w:pPr>
        <w:pStyle w:val="4"/>
        <w:ind w:firstLine="720" w:firstLineChars="300"/>
        <w:rPr>
          <w:rFonts w:hint="eastAsia" w:ascii="宋体" w:hAnsi="宋体" w:eastAsia="宋体" w:cs="宋体"/>
          <w:color w:val="auto"/>
          <w:highlight w:val="none"/>
        </w:rPr>
      </w:pPr>
      <w:r>
        <w:rPr>
          <w:rFonts w:hint="eastAsia" w:ascii="宋体" w:hAnsi="宋体" w:eastAsia="宋体" w:cs="宋体"/>
          <w:color w:val="auto"/>
          <w:highlight w:val="none"/>
        </w:rPr>
        <w:t>4、如采用合格的投标担保函的，可提供投标担保函复印件替代。</w:t>
      </w:r>
    </w:p>
    <w:p w14:paraId="3B60B4A6">
      <w:pPr>
        <w:pStyle w:val="4"/>
        <w:ind w:firstLine="0"/>
        <w:rPr>
          <w:rFonts w:hint="eastAsia" w:ascii="宋体" w:hAnsi="宋体" w:eastAsia="宋体" w:cs="宋体"/>
          <w:color w:val="auto"/>
          <w:highlight w:val="none"/>
        </w:rPr>
      </w:pPr>
    </w:p>
    <w:p w14:paraId="7BB743CE">
      <w:pPr>
        <w:pStyle w:val="4"/>
        <w:ind w:firstLine="0"/>
        <w:rPr>
          <w:rFonts w:hint="eastAsia" w:ascii="宋体" w:hAnsi="宋体" w:eastAsia="宋体" w:cs="宋体"/>
          <w:color w:val="auto"/>
          <w:highlight w:val="none"/>
        </w:rPr>
      </w:pPr>
    </w:p>
    <w:p w14:paraId="080837F1">
      <w:pPr>
        <w:pStyle w:val="7"/>
        <w:rPr>
          <w:rFonts w:hint="eastAsia" w:ascii="宋体" w:hAnsi="宋体" w:eastAsia="宋体" w:cs="宋体"/>
          <w:color w:val="auto"/>
          <w:highlight w:val="none"/>
        </w:rPr>
      </w:pPr>
    </w:p>
    <w:p w14:paraId="0B6ED6D9">
      <w:pPr>
        <w:pStyle w:val="7"/>
        <w:rPr>
          <w:rFonts w:hint="eastAsia" w:ascii="宋体" w:hAnsi="宋体" w:eastAsia="宋体" w:cs="宋体"/>
          <w:color w:val="auto"/>
          <w:highlight w:val="none"/>
        </w:rPr>
      </w:pPr>
    </w:p>
    <w:p w14:paraId="775C6F11">
      <w:pPr>
        <w:rPr>
          <w:rFonts w:hint="eastAsia" w:ascii="宋体" w:hAnsi="宋体" w:eastAsia="宋体" w:cs="宋体"/>
          <w:color w:val="auto"/>
          <w:highlight w:val="none"/>
        </w:rPr>
      </w:pPr>
    </w:p>
    <w:p w14:paraId="151C1BD2">
      <w:pPr>
        <w:pStyle w:val="24"/>
        <w:rPr>
          <w:rFonts w:hint="eastAsia" w:ascii="宋体" w:hAnsi="宋体" w:eastAsia="宋体" w:cs="宋体"/>
          <w:color w:val="auto"/>
          <w:highlight w:val="none"/>
        </w:rPr>
      </w:pPr>
    </w:p>
    <w:p w14:paraId="73651E86">
      <w:pPr>
        <w:numPr>
          <w:ilvl w:val="0"/>
          <w:numId w:val="2"/>
        </w:numPr>
        <w:tabs>
          <w:tab w:val="left" w:pos="5580"/>
        </w:tabs>
        <w:spacing w:line="240" w:lineRule="atLeast"/>
        <w:ind w:leftChars="257"/>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lang w:val="en-US" w:eastAsia="zh-CN"/>
        </w:rPr>
        <w:t>未在“信用中国”网站 被列入失信被执行人、重大税收违法案件当事人名单；中国政府采购网，</w:t>
      </w:r>
      <w:r>
        <w:rPr>
          <w:rFonts w:hint="eastAsia" w:ascii="宋体" w:hAnsi="宋体" w:eastAsia="宋体" w:cs="宋体"/>
          <w:b/>
          <w:bCs/>
          <w:color w:val="auto"/>
          <w:sz w:val="28"/>
          <w:szCs w:val="28"/>
          <w:highlight w:val="none"/>
          <w:lang w:val="en-US" w:eastAsia="zh-CN"/>
        </w:rPr>
        <w:fldChar w:fldCharType="begin"/>
      </w:r>
      <w:r>
        <w:rPr>
          <w:rFonts w:hint="eastAsia" w:ascii="宋体" w:hAnsi="宋体" w:eastAsia="宋体" w:cs="宋体"/>
          <w:b/>
          <w:bCs/>
          <w:color w:val="auto"/>
          <w:sz w:val="28"/>
          <w:szCs w:val="28"/>
          <w:highlight w:val="none"/>
          <w:lang w:val="en-US" w:eastAsia="zh-CN"/>
        </w:rPr>
        <w:instrText xml:space="preserve"> HYPERLINK "http://www.ccgp.gov.cn/search/cr/%EF%BC%89%E4%B8%A5%E9%87%8D%E8%BF%9D%E6%B3%95%E5%A4%B1%E4%BF%A1%E8%A1%8C%E4%B8%BA%E8%AE%B0%E5%BD%95%E5%90%8D%E5%8D%95%E7%9A%84%EF%BC%88%E5%B0%9A%E5%9C%A8%E5%A4%84%E7%BD%9A%E6%9C%9F%E5%86%85%E7%9A%84%EF%BC%89%EF%BC%8C%E2%80%9C%E5%9B%BD%E5%AE%B6%E4%BC%81%E4%B8%9A%E4%BF%A1%E7%94%A8%E4%BF%A1%E6%81%AF%E5%85%AC%E7%A4%BA%E7%B3%BB%E7%BB%9F%EF%BC%88http://www.gsxt.gov.cn%EF%BC%89%E2%80%9D%E5%88%97%E5%85%A5%E7%BB%8F%E8%90%A5%E5%BC%82%E5%B8%B8%E5%90%8D%E5%BD%95%E4%BF%A1%E6%81%AF%E3%80%81%E5%88%97%E5%85%A5%E4%B8%A5%E9%87%8D%E8%BF%9D%E6%B3%95%E5%A4%B1%E4%BF%A1%E4%BC%81%E4%B8%9A%E5%90%8D%E5%8D%95%EF%BC%88%E9%BB%91%E5%90%8D%E5%8D%95%EF%BC%89%E4%BF%A1%E6%81%AF%E5%8F%8A%E4%BC%81%E4%B8%9A%E4%BF%A1%E7%94%A8%E4%BF%A1%E6%81%AF%E5%85%AC%E7%A4%BA%E6%8A%A5%E5%91%8A%EF%BC%9B%EF%BC%88%E4%BB%A5%E6%8B%9B%E6%A0%87%E4%BB%A3%E7%90%86%E6%88%96%E6%8B%9B%E6%A0%87%E4%BA%BA%E6%9F%A5%E8%AF%A2%E4%B8%BA%E5%87%86%EF%BC%89" </w:instrText>
      </w:r>
      <w:r>
        <w:rPr>
          <w:rFonts w:hint="eastAsia" w:ascii="宋体" w:hAnsi="宋体" w:eastAsia="宋体" w:cs="宋体"/>
          <w:b/>
          <w:bCs/>
          <w:color w:val="auto"/>
          <w:sz w:val="28"/>
          <w:szCs w:val="28"/>
          <w:highlight w:val="none"/>
          <w:lang w:val="en-US" w:eastAsia="zh-CN"/>
        </w:rPr>
        <w:fldChar w:fldCharType="separate"/>
      </w:r>
      <w:r>
        <w:rPr>
          <w:rFonts w:hint="eastAsia" w:ascii="宋体" w:hAnsi="宋体" w:eastAsia="宋体" w:cs="宋体"/>
          <w:b/>
          <w:bCs/>
          <w:color w:val="auto"/>
          <w:sz w:val="28"/>
          <w:szCs w:val="28"/>
          <w:highlight w:val="none"/>
          <w:lang w:val="en-US" w:eastAsia="zh-CN"/>
        </w:rPr>
        <w:t>严重违法失信行为记录名单的（尚在处罚期内的）；“国家企业信用信息公示系统”列入经营异常名录信息、列入严重违法失信企业名单（黑名单）信息的企业</w:t>
      </w:r>
      <w:r>
        <w:rPr>
          <w:rFonts w:hint="eastAsia" w:ascii="宋体" w:hAnsi="宋体" w:eastAsia="宋体" w:cs="宋体"/>
          <w:b/>
          <w:bCs/>
          <w:color w:val="auto"/>
          <w:sz w:val="28"/>
          <w:szCs w:val="28"/>
          <w:highlight w:val="none"/>
          <w:lang w:val="en-US" w:eastAsia="zh-CN"/>
        </w:rPr>
        <w:fldChar w:fldCharType="end"/>
      </w:r>
      <w:r>
        <w:rPr>
          <w:rFonts w:hint="eastAsia" w:ascii="宋体" w:hAnsi="宋体" w:eastAsia="宋体" w:cs="宋体"/>
          <w:b/>
          <w:bCs/>
          <w:color w:val="auto"/>
          <w:sz w:val="28"/>
          <w:szCs w:val="28"/>
          <w:highlight w:val="none"/>
          <w:lang w:val="en-US" w:eastAsia="zh-CN"/>
        </w:rPr>
        <w:t>，附网站截图。</w:t>
      </w:r>
    </w:p>
    <w:p w14:paraId="0034E341">
      <w:pPr>
        <w:pStyle w:val="24"/>
        <w:widowControl w:val="0"/>
        <w:numPr>
          <w:ilvl w:val="0"/>
          <w:numId w:val="0"/>
        </w:numPr>
        <w:snapToGrid w:val="0"/>
        <w:jc w:val="left"/>
        <w:rPr>
          <w:rFonts w:hint="eastAsia" w:ascii="宋体" w:hAnsi="宋体" w:eastAsia="宋体" w:cs="宋体"/>
          <w:color w:val="auto"/>
          <w:highlight w:val="none"/>
          <w:lang w:val="en-US" w:eastAsia="zh-CN"/>
        </w:rPr>
      </w:pPr>
    </w:p>
    <w:p w14:paraId="31F3EC02">
      <w:pPr>
        <w:pStyle w:val="9"/>
        <w:rPr>
          <w:rFonts w:hint="eastAsia" w:ascii="宋体" w:hAnsi="宋体" w:eastAsia="宋体" w:cs="宋体"/>
          <w:color w:val="auto"/>
          <w:highlight w:val="none"/>
          <w:lang w:val="en-US" w:eastAsia="zh-CN"/>
        </w:rPr>
      </w:pPr>
    </w:p>
    <w:p w14:paraId="30D29FF2">
      <w:pPr>
        <w:pStyle w:val="32"/>
        <w:rPr>
          <w:rFonts w:hint="eastAsia" w:ascii="宋体" w:hAnsi="宋体" w:eastAsia="宋体" w:cs="宋体"/>
          <w:color w:val="auto"/>
          <w:highlight w:val="none"/>
          <w:lang w:val="en-US" w:eastAsia="zh-CN"/>
        </w:rPr>
      </w:pPr>
    </w:p>
    <w:p w14:paraId="79690A9D">
      <w:pPr>
        <w:pStyle w:val="32"/>
        <w:rPr>
          <w:rFonts w:hint="eastAsia" w:ascii="宋体" w:hAnsi="宋体" w:eastAsia="宋体" w:cs="宋体"/>
          <w:color w:val="auto"/>
          <w:highlight w:val="none"/>
          <w:lang w:val="en-US" w:eastAsia="zh-CN"/>
        </w:rPr>
      </w:pPr>
    </w:p>
    <w:p w14:paraId="0E9975AC">
      <w:pPr>
        <w:tabs>
          <w:tab w:val="left" w:pos="5580"/>
        </w:tabs>
        <w:spacing w:line="360" w:lineRule="exact"/>
        <w:rPr>
          <w:rFonts w:hint="eastAsia" w:ascii="宋体" w:hAnsi="宋体" w:eastAsia="宋体" w:cs="宋体"/>
          <w:b/>
          <w:bCs/>
          <w:color w:val="auto"/>
          <w:sz w:val="28"/>
          <w:szCs w:val="28"/>
          <w:highlight w:val="none"/>
          <w:lang w:val="en-US" w:eastAsia="zh-CN"/>
        </w:rPr>
      </w:pPr>
    </w:p>
    <w:p w14:paraId="4B70C4B6">
      <w:pPr>
        <w:pStyle w:val="13"/>
        <w:tabs>
          <w:tab w:val="left" w:pos="5580"/>
        </w:tabs>
        <w:spacing w:line="240" w:lineRule="atLeast"/>
        <w:jc w:val="center"/>
        <w:outlineLvl w:val="1"/>
        <w:rPr>
          <w:rFonts w:hint="eastAsia" w:ascii="宋体" w:hAnsi="宋体" w:eastAsia="宋体" w:cs="宋体"/>
          <w:b/>
          <w:color w:val="000000"/>
          <w:kern w:val="0"/>
          <w:sz w:val="24"/>
          <w:szCs w:val="24"/>
          <w:highlight w:val="none"/>
        </w:rPr>
      </w:pPr>
      <w:r>
        <w:rPr>
          <w:rFonts w:hint="eastAsia" w:ascii="宋体" w:hAnsi="宋体" w:eastAsia="宋体" w:cs="宋体"/>
          <w:b/>
          <w:bCs/>
          <w:color w:val="auto"/>
          <w:sz w:val="28"/>
          <w:szCs w:val="28"/>
          <w:highlight w:val="none"/>
          <w:lang w:val="en-US" w:eastAsia="zh-CN"/>
        </w:rPr>
        <w:t>7</w:t>
      </w:r>
      <w:r>
        <w:rPr>
          <w:rFonts w:hint="eastAsia" w:ascii="宋体" w:hAnsi="宋体" w:eastAsia="宋体" w:cs="宋体"/>
          <w:b/>
          <w:bCs/>
          <w:color w:val="auto"/>
          <w:sz w:val="28"/>
          <w:szCs w:val="28"/>
          <w:highlight w:val="none"/>
        </w:rPr>
        <w:t>、</w:t>
      </w:r>
      <w:r>
        <w:rPr>
          <w:rFonts w:hint="eastAsia" w:ascii="宋体" w:hAnsi="宋体" w:eastAsia="宋体" w:cs="宋体"/>
          <w:b/>
          <w:color w:val="000000"/>
          <w:kern w:val="0"/>
          <w:sz w:val="24"/>
          <w:szCs w:val="24"/>
          <w:highlight w:val="none"/>
          <w:lang w:val="en-US" w:eastAsia="zh-CN"/>
        </w:rPr>
        <w:t>投标单位</w:t>
      </w:r>
      <w:r>
        <w:rPr>
          <w:rFonts w:hint="eastAsia" w:ascii="宋体" w:hAnsi="宋体" w:eastAsia="宋体" w:cs="宋体"/>
          <w:b/>
          <w:color w:val="000000"/>
          <w:kern w:val="0"/>
          <w:sz w:val="24"/>
          <w:szCs w:val="24"/>
          <w:highlight w:val="none"/>
        </w:rPr>
        <w:t>提供针对本次项目《反商业贿赂承诺书》；</w:t>
      </w:r>
    </w:p>
    <w:p w14:paraId="755DA994">
      <w:pPr>
        <w:pStyle w:val="13"/>
        <w:tabs>
          <w:tab w:val="left" w:pos="5580"/>
        </w:tabs>
        <w:spacing w:line="240" w:lineRule="atLeast"/>
        <w:outlineLvl w:val="1"/>
        <w:rPr>
          <w:rFonts w:hint="eastAsia" w:ascii="宋体" w:hAnsi="宋体" w:eastAsia="宋体" w:cs="宋体"/>
          <w:b/>
          <w:color w:val="000000"/>
          <w:kern w:val="0"/>
          <w:sz w:val="24"/>
          <w:szCs w:val="24"/>
          <w:highlight w:val="none"/>
        </w:rPr>
      </w:pPr>
    </w:p>
    <w:p w14:paraId="02CF1251">
      <w:pPr>
        <w:pStyle w:val="4"/>
        <w:spacing w:line="600" w:lineRule="auto"/>
        <w:ind w:firstLine="720" w:firstLineChars="300"/>
        <w:rPr>
          <w:rFonts w:hint="eastAsia" w:ascii="宋体" w:hAnsi="宋体" w:eastAsia="宋体" w:cs="宋体"/>
          <w:color w:val="000000"/>
          <w:highlight w:val="none"/>
        </w:rPr>
      </w:pPr>
      <w:r>
        <w:rPr>
          <w:rFonts w:hint="eastAsia" w:ascii="宋体" w:hAnsi="宋体" w:eastAsia="宋体" w:cs="宋体"/>
          <w:color w:val="000000"/>
          <w:highlight w:val="none"/>
        </w:rPr>
        <w:t>我公司承诺在</w:t>
      </w:r>
      <w:r>
        <w:rPr>
          <w:rFonts w:hint="eastAsia" w:ascii="宋体" w:hAnsi="宋体" w:eastAsia="宋体" w:cs="宋体"/>
          <w:color w:val="000000"/>
          <w:highlight w:val="none"/>
          <w:u w:val="single"/>
        </w:rPr>
        <w:t xml:space="preserve">                      </w:t>
      </w:r>
      <w:r>
        <w:rPr>
          <w:rFonts w:hint="eastAsia" w:ascii="宋体" w:hAnsi="宋体" w:eastAsia="宋体" w:cs="宋体"/>
          <w:color w:val="000000"/>
          <w:highlight w:val="none"/>
        </w:rPr>
        <w:t>招标活动中，不给予国家工作人员以及中介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 </w:t>
      </w:r>
    </w:p>
    <w:p w14:paraId="53D63778">
      <w:pPr>
        <w:pStyle w:val="4"/>
        <w:spacing w:line="600" w:lineRule="auto"/>
        <w:ind w:firstLine="720" w:firstLineChars="300"/>
        <w:rPr>
          <w:rFonts w:hint="eastAsia" w:ascii="宋体" w:hAnsi="宋体" w:eastAsia="宋体" w:cs="宋体"/>
          <w:color w:val="000000"/>
          <w:highlight w:val="none"/>
        </w:rPr>
      </w:pPr>
      <w:r>
        <w:rPr>
          <w:rFonts w:hint="eastAsia" w:ascii="宋体" w:hAnsi="宋体" w:eastAsia="宋体" w:cs="宋体"/>
          <w:color w:val="000000"/>
          <w:highlight w:val="none"/>
        </w:rPr>
        <w:t>公司法人代表（</w:t>
      </w:r>
      <w:r>
        <w:rPr>
          <w:rFonts w:hint="eastAsia" w:ascii="宋体" w:hAnsi="宋体" w:eastAsia="宋体" w:cs="宋体"/>
          <w:color w:val="000000"/>
          <w:highlight w:val="none"/>
          <w:lang w:val="en-US" w:eastAsia="zh-CN"/>
        </w:rPr>
        <w:t>签/章</w:t>
      </w:r>
      <w:r>
        <w:rPr>
          <w:rFonts w:hint="eastAsia" w:ascii="宋体" w:hAnsi="宋体" w:eastAsia="宋体" w:cs="宋体"/>
          <w:color w:val="000000"/>
          <w:highlight w:val="none"/>
        </w:rPr>
        <w:t>）：</w:t>
      </w:r>
    </w:p>
    <w:p w14:paraId="202FBD6D">
      <w:pPr>
        <w:pStyle w:val="4"/>
        <w:spacing w:line="600" w:lineRule="auto"/>
        <w:ind w:firstLine="720" w:firstLineChars="300"/>
        <w:rPr>
          <w:rFonts w:hint="eastAsia" w:ascii="宋体" w:hAnsi="宋体" w:eastAsia="宋体" w:cs="宋体"/>
          <w:color w:val="000000"/>
          <w:highlight w:val="none"/>
        </w:rPr>
      </w:pPr>
      <w:r>
        <w:rPr>
          <w:rFonts w:hint="eastAsia" w:ascii="宋体" w:hAnsi="宋体" w:eastAsia="宋体" w:cs="宋体"/>
          <w:color w:val="000000"/>
          <w:highlight w:val="none"/>
        </w:rPr>
        <w:t>法人授权代表（</w:t>
      </w:r>
      <w:r>
        <w:rPr>
          <w:rFonts w:hint="eastAsia" w:ascii="宋体" w:hAnsi="宋体" w:eastAsia="宋体" w:cs="宋体"/>
          <w:color w:val="000000"/>
          <w:highlight w:val="none"/>
          <w:lang w:val="en-US" w:eastAsia="zh-CN"/>
        </w:rPr>
        <w:t>签/章</w:t>
      </w:r>
      <w:r>
        <w:rPr>
          <w:rFonts w:hint="eastAsia" w:ascii="宋体" w:hAnsi="宋体" w:eastAsia="宋体" w:cs="宋体"/>
          <w:color w:val="000000"/>
          <w:highlight w:val="none"/>
        </w:rPr>
        <w:t>）：</w:t>
      </w:r>
    </w:p>
    <w:p w14:paraId="1528EFA9">
      <w:pPr>
        <w:pStyle w:val="4"/>
        <w:spacing w:line="600" w:lineRule="auto"/>
        <w:ind w:firstLine="720" w:firstLineChars="300"/>
        <w:rPr>
          <w:rFonts w:hint="eastAsia" w:ascii="宋体" w:hAnsi="宋体" w:eastAsia="宋体" w:cs="宋体"/>
          <w:color w:val="000000"/>
          <w:highlight w:val="none"/>
        </w:rPr>
      </w:pPr>
      <w:r>
        <w:rPr>
          <w:rFonts w:hint="eastAsia" w:ascii="宋体" w:hAnsi="宋体" w:eastAsia="宋体" w:cs="宋体"/>
          <w:color w:val="000000"/>
          <w:highlight w:val="none"/>
        </w:rPr>
        <w:t>项目经办人（</w:t>
      </w:r>
      <w:r>
        <w:rPr>
          <w:rFonts w:hint="eastAsia" w:ascii="宋体" w:hAnsi="宋体" w:eastAsia="宋体" w:cs="宋体"/>
          <w:color w:val="000000"/>
          <w:highlight w:val="none"/>
          <w:lang w:val="en-US" w:eastAsia="zh-CN"/>
        </w:rPr>
        <w:t>签/章</w:t>
      </w:r>
      <w:r>
        <w:rPr>
          <w:rFonts w:hint="eastAsia" w:ascii="宋体" w:hAnsi="宋体" w:eastAsia="宋体" w:cs="宋体"/>
          <w:color w:val="000000"/>
          <w:highlight w:val="none"/>
        </w:rPr>
        <w:t>）：</w:t>
      </w:r>
    </w:p>
    <w:p w14:paraId="1A8AF3BF">
      <w:pPr>
        <w:widowControl/>
        <w:spacing w:before="100" w:beforeAutospacing="1" w:after="100" w:afterAutospacing="1" w:line="360" w:lineRule="auto"/>
        <w:ind w:firstLine="897"/>
        <w:jc w:val="left"/>
        <w:rPr>
          <w:rFonts w:hint="eastAsia" w:ascii="宋体" w:hAnsi="宋体" w:eastAsia="宋体" w:cs="宋体"/>
          <w:color w:val="auto"/>
          <w:szCs w:val="21"/>
          <w:highlight w:val="none"/>
        </w:rPr>
      </w:pPr>
    </w:p>
    <w:p w14:paraId="791DCADA">
      <w:pPr>
        <w:pStyle w:val="4"/>
        <w:ind w:firstLine="0"/>
        <w:rPr>
          <w:rFonts w:hint="eastAsia" w:ascii="宋体" w:hAnsi="宋体" w:eastAsia="宋体" w:cs="宋体"/>
          <w:color w:val="auto"/>
          <w:highlight w:val="none"/>
        </w:rPr>
      </w:pPr>
    </w:p>
    <w:p w14:paraId="61A456C3">
      <w:pPr>
        <w:pStyle w:val="4"/>
        <w:numPr>
          <w:ilvl w:val="0"/>
          <w:numId w:val="0"/>
        </w:numPr>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lang w:val="en-US" w:eastAsia="zh-CN"/>
        </w:rPr>
        <w:t>8、</w:t>
      </w:r>
      <w:r>
        <w:rPr>
          <w:rFonts w:hint="eastAsia" w:ascii="宋体" w:hAnsi="宋体" w:eastAsia="宋体" w:cs="宋体"/>
          <w:b/>
          <w:bCs/>
          <w:color w:val="auto"/>
          <w:sz w:val="28"/>
          <w:szCs w:val="28"/>
          <w:highlight w:val="none"/>
        </w:rPr>
        <w:t>参加政府采购活动近3年内，在经营活动中没有重大违法记录的书面声明；</w:t>
      </w:r>
    </w:p>
    <w:p w14:paraId="1647D8B9">
      <w:pPr>
        <w:pStyle w:val="4"/>
        <w:ind w:firstLine="720" w:firstLineChars="300"/>
        <w:rPr>
          <w:rFonts w:hint="eastAsia" w:ascii="宋体" w:hAnsi="宋体" w:eastAsia="宋体" w:cs="宋体"/>
          <w:color w:val="auto"/>
          <w:highlight w:val="none"/>
        </w:rPr>
      </w:pPr>
      <w:r>
        <w:rPr>
          <w:rFonts w:hint="eastAsia" w:ascii="宋体" w:hAnsi="宋体" w:eastAsia="宋体" w:cs="宋体"/>
          <w:color w:val="auto"/>
          <w:highlight w:val="none"/>
        </w:rPr>
        <w:t>注：1.投标人应按照相关法规规定如实作出说明。</w:t>
      </w:r>
    </w:p>
    <w:p w14:paraId="15774F43">
      <w:pPr>
        <w:pStyle w:val="4"/>
        <w:ind w:firstLine="720" w:firstLineChars="300"/>
        <w:rPr>
          <w:rFonts w:hint="eastAsia" w:ascii="宋体" w:hAnsi="宋体" w:eastAsia="宋体" w:cs="宋体"/>
          <w:color w:val="auto"/>
          <w:highlight w:val="none"/>
        </w:rPr>
      </w:pPr>
      <w:r>
        <w:rPr>
          <w:rFonts w:hint="eastAsia" w:ascii="宋体" w:hAnsi="宋体" w:eastAsia="宋体" w:cs="宋体"/>
          <w:color w:val="auto"/>
          <w:highlight w:val="none"/>
        </w:rPr>
        <w:t>2．按照招标文件的规定加盖本单位章（自然人投标的无需盖章，需要签字）。</w:t>
      </w:r>
    </w:p>
    <w:p w14:paraId="29B8C097">
      <w:pPr>
        <w:pStyle w:val="4"/>
        <w:ind w:firstLine="0"/>
        <w:rPr>
          <w:rFonts w:hint="eastAsia" w:ascii="宋体" w:hAnsi="宋体" w:eastAsia="宋体" w:cs="宋体"/>
          <w:color w:val="auto"/>
          <w:highlight w:val="none"/>
        </w:rPr>
      </w:pPr>
      <w:r>
        <w:rPr>
          <w:rFonts w:hint="eastAsia" w:ascii="宋体" w:hAnsi="宋体" w:eastAsia="宋体" w:cs="宋体"/>
          <w:color w:val="auto"/>
          <w:highlight w:val="none"/>
        </w:rPr>
        <w:t xml:space="preserve">      3.如果是联合体投标，联合体各方均需提供上述证明。</w:t>
      </w:r>
    </w:p>
    <w:p w14:paraId="173F3330">
      <w:pPr>
        <w:pStyle w:val="4"/>
        <w:ind w:firstLine="0"/>
        <w:rPr>
          <w:rFonts w:hint="eastAsia" w:ascii="宋体" w:hAnsi="宋体" w:eastAsia="宋体" w:cs="宋体"/>
          <w:color w:val="auto"/>
          <w:highlight w:val="none"/>
        </w:rPr>
      </w:pPr>
    </w:p>
    <w:p w14:paraId="4C862FA9">
      <w:pPr>
        <w:pStyle w:val="7"/>
        <w:rPr>
          <w:rFonts w:hint="eastAsia" w:ascii="宋体" w:hAnsi="宋体" w:eastAsia="宋体" w:cs="宋体"/>
          <w:color w:val="auto"/>
          <w:highlight w:val="none"/>
        </w:rPr>
      </w:pPr>
    </w:p>
    <w:p w14:paraId="37A17A0D">
      <w:pPr>
        <w:rPr>
          <w:rFonts w:hint="eastAsia" w:ascii="宋体" w:hAnsi="宋体" w:eastAsia="宋体" w:cs="宋体"/>
          <w:color w:val="auto"/>
          <w:highlight w:val="none"/>
        </w:rPr>
      </w:pPr>
    </w:p>
    <w:p w14:paraId="42C2E3A7">
      <w:pPr>
        <w:pStyle w:val="24"/>
        <w:rPr>
          <w:rFonts w:hint="eastAsia" w:ascii="宋体" w:hAnsi="宋体" w:eastAsia="宋体" w:cs="宋体"/>
          <w:color w:val="auto"/>
          <w:highlight w:val="none"/>
        </w:rPr>
      </w:pPr>
    </w:p>
    <w:p w14:paraId="1A7E0E1C">
      <w:pPr>
        <w:pStyle w:val="9"/>
        <w:rPr>
          <w:rFonts w:hint="eastAsia" w:ascii="宋体" w:hAnsi="宋体" w:eastAsia="宋体" w:cs="宋体"/>
          <w:color w:val="auto"/>
          <w:highlight w:val="none"/>
        </w:rPr>
      </w:pPr>
    </w:p>
    <w:p w14:paraId="76A9865E">
      <w:pPr>
        <w:pStyle w:val="32"/>
        <w:rPr>
          <w:rFonts w:hint="eastAsia" w:ascii="宋体" w:hAnsi="宋体" w:eastAsia="宋体" w:cs="宋体"/>
          <w:color w:val="auto"/>
          <w:highlight w:val="none"/>
        </w:rPr>
      </w:pPr>
    </w:p>
    <w:p w14:paraId="6CC722C0">
      <w:pPr>
        <w:rPr>
          <w:rFonts w:hint="eastAsia" w:ascii="宋体" w:hAnsi="宋体" w:eastAsia="宋体" w:cs="宋体"/>
          <w:color w:val="auto"/>
          <w:highlight w:val="none"/>
        </w:rPr>
      </w:pPr>
    </w:p>
    <w:p w14:paraId="5B43D328">
      <w:pPr>
        <w:pStyle w:val="24"/>
        <w:rPr>
          <w:rFonts w:hint="eastAsia" w:ascii="宋体" w:hAnsi="宋体" w:eastAsia="宋体" w:cs="宋体"/>
          <w:color w:val="auto"/>
          <w:highlight w:val="none"/>
        </w:rPr>
      </w:pPr>
    </w:p>
    <w:p w14:paraId="211CBB6B">
      <w:pPr>
        <w:pStyle w:val="9"/>
        <w:rPr>
          <w:rFonts w:hint="eastAsia" w:ascii="宋体" w:hAnsi="宋体" w:eastAsia="宋体" w:cs="宋体"/>
          <w:color w:val="auto"/>
          <w:highlight w:val="none"/>
        </w:rPr>
      </w:pPr>
    </w:p>
    <w:p w14:paraId="757A38B0">
      <w:pPr>
        <w:pStyle w:val="32"/>
        <w:rPr>
          <w:rFonts w:hint="eastAsia" w:ascii="宋体" w:hAnsi="宋体" w:eastAsia="宋体" w:cs="宋体"/>
          <w:color w:val="auto"/>
          <w:highlight w:val="none"/>
        </w:rPr>
      </w:pPr>
    </w:p>
    <w:p w14:paraId="3C476BE2">
      <w:pPr>
        <w:rPr>
          <w:rFonts w:hint="eastAsia" w:ascii="宋体" w:hAnsi="宋体" w:eastAsia="宋体" w:cs="宋体"/>
          <w:color w:val="auto"/>
          <w:highlight w:val="none"/>
        </w:rPr>
      </w:pPr>
    </w:p>
    <w:p w14:paraId="549A259A">
      <w:pPr>
        <w:pStyle w:val="24"/>
        <w:rPr>
          <w:rFonts w:hint="eastAsia" w:ascii="宋体" w:hAnsi="宋体" w:eastAsia="宋体" w:cs="宋体"/>
          <w:color w:val="auto"/>
          <w:highlight w:val="none"/>
        </w:rPr>
      </w:pPr>
    </w:p>
    <w:p w14:paraId="4777D89C">
      <w:pPr>
        <w:pStyle w:val="9"/>
        <w:rPr>
          <w:rFonts w:hint="eastAsia" w:ascii="宋体" w:hAnsi="宋体" w:eastAsia="宋体" w:cs="宋体"/>
          <w:color w:val="auto"/>
          <w:highlight w:val="none"/>
        </w:rPr>
      </w:pPr>
    </w:p>
    <w:p w14:paraId="2336BFCF">
      <w:pPr>
        <w:pStyle w:val="32"/>
        <w:rPr>
          <w:rFonts w:hint="eastAsia" w:ascii="宋体" w:hAnsi="宋体" w:eastAsia="宋体" w:cs="宋体"/>
          <w:color w:val="auto"/>
          <w:highlight w:val="none"/>
        </w:rPr>
      </w:pPr>
    </w:p>
    <w:p w14:paraId="1E1CBCED">
      <w:pPr>
        <w:rPr>
          <w:rFonts w:hint="eastAsia" w:ascii="宋体" w:hAnsi="宋体" w:eastAsia="宋体" w:cs="宋体"/>
          <w:color w:val="auto"/>
          <w:highlight w:val="none"/>
        </w:rPr>
      </w:pPr>
    </w:p>
    <w:p w14:paraId="51B35D44">
      <w:pPr>
        <w:pStyle w:val="24"/>
        <w:rPr>
          <w:rFonts w:hint="eastAsia" w:ascii="宋体" w:hAnsi="宋体" w:eastAsia="宋体" w:cs="宋体"/>
          <w:color w:val="auto"/>
          <w:highlight w:val="none"/>
        </w:rPr>
      </w:pPr>
    </w:p>
    <w:p w14:paraId="5B44DD04">
      <w:pPr>
        <w:pStyle w:val="9"/>
        <w:rPr>
          <w:rFonts w:hint="eastAsia" w:ascii="宋体" w:hAnsi="宋体" w:eastAsia="宋体" w:cs="宋体"/>
          <w:color w:val="auto"/>
          <w:highlight w:val="none"/>
        </w:rPr>
      </w:pPr>
    </w:p>
    <w:p w14:paraId="21032270">
      <w:pPr>
        <w:pStyle w:val="32"/>
        <w:rPr>
          <w:rFonts w:hint="eastAsia" w:ascii="宋体" w:hAnsi="宋体" w:eastAsia="宋体" w:cs="宋体"/>
          <w:color w:val="auto"/>
          <w:highlight w:val="none"/>
        </w:rPr>
      </w:pPr>
    </w:p>
    <w:p w14:paraId="1E2BFBA4">
      <w:pPr>
        <w:rPr>
          <w:rFonts w:hint="eastAsia" w:ascii="宋体" w:hAnsi="宋体" w:eastAsia="宋体" w:cs="宋体"/>
          <w:color w:val="auto"/>
          <w:highlight w:val="none"/>
        </w:rPr>
      </w:pPr>
    </w:p>
    <w:p w14:paraId="7D7F8D67">
      <w:pPr>
        <w:pStyle w:val="24"/>
        <w:rPr>
          <w:rFonts w:hint="eastAsia" w:ascii="宋体" w:hAnsi="宋体" w:eastAsia="宋体" w:cs="宋体"/>
          <w:color w:val="auto"/>
          <w:highlight w:val="none"/>
        </w:rPr>
      </w:pPr>
    </w:p>
    <w:p w14:paraId="2FD3FCB5">
      <w:pPr>
        <w:pStyle w:val="9"/>
        <w:rPr>
          <w:rFonts w:hint="eastAsia" w:ascii="宋体" w:hAnsi="宋体" w:eastAsia="宋体" w:cs="宋体"/>
          <w:color w:val="auto"/>
          <w:highlight w:val="none"/>
        </w:rPr>
      </w:pPr>
    </w:p>
    <w:p w14:paraId="083E1C94">
      <w:pPr>
        <w:pStyle w:val="32"/>
        <w:rPr>
          <w:rFonts w:hint="eastAsia" w:ascii="宋体" w:hAnsi="宋体" w:eastAsia="宋体" w:cs="宋体"/>
          <w:color w:val="auto"/>
          <w:highlight w:val="none"/>
        </w:rPr>
      </w:pPr>
    </w:p>
    <w:p w14:paraId="66A0CD00">
      <w:pPr>
        <w:rPr>
          <w:rFonts w:hint="eastAsia" w:ascii="宋体" w:hAnsi="宋体" w:eastAsia="宋体" w:cs="宋体"/>
          <w:color w:val="auto"/>
          <w:highlight w:val="none"/>
        </w:rPr>
      </w:pPr>
    </w:p>
    <w:p w14:paraId="4DB1BEE2">
      <w:pPr>
        <w:pStyle w:val="42"/>
        <w:rPr>
          <w:rFonts w:hint="eastAsia" w:ascii="宋体" w:hAnsi="宋体" w:eastAsia="宋体" w:cs="宋体"/>
          <w:color w:val="auto"/>
          <w:highlight w:val="none"/>
        </w:rPr>
      </w:pPr>
    </w:p>
    <w:p w14:paraId="0F029D2A">
      <w:pPr>
        <w:pStyle w:val="32"/>
        <w:rPr>
          <w:rFonts w:hint="eastAsia" w:ascii="宋体" w:hAnsi="宋体" w:eastAsia="宋体" w:cs="宋体"/>
          <w:color w:val="auto"/>
          <w:highlight w:val="none"/>
        </w:rPr>
      </w:pPr>
    </w:p>
    <w:p w14:paraId="66D177C1">
      <w:pPr>
        <w:rPr>
          <w:rFonts w:hint="eastAsia" w:ascii="宋体" w:hAnsi="宋体" w:eastAsia="宋体" w:cs="宋体"/>
          <w:color w:val="auto"/>
          <w:highlight w:val="none"/>
        </w:rPr>
      </w:pPr>
    </w:p>
    <w:p w14:paraId="2A49D3CE">
      <w:pPr>
        <w:pStyle w:val="24"/>
        <w:rPr>
          <w:rFonts w:hint="eastAsia" w:ascii="宋体" w:hAnsi="宋体" w:eastAsia="宋体" w:cs="宋体"/>
          <w:color w:val="auto"/>
          <w:highlight w:val="none"/>
        </w:rPr>
      </w:pPr>
    </w:p>
    <w:p w14:paraId="0EE1332B">
      <w:pPr>
        <w:rPr>
          <w:rFonts w:hint="eastAsia" w:ascii="宋体" w:hAnsi="宋体" w:eastAsia="宋体" w:cs="宋体"/>
          <w:color w:val="auto"/>
          <w:highlight w:val="none"/>
        </w:rPr>
      </w:pPr>
    </w:p>
    <w:p w14:paraId="2C8AFD8A">
      <w:pPr>
        <w:pStyle w:val="24"/>
        <w:rPr>
          <w:rFonts w:hint="eastAsia" w:ascii="宋体" w:hAnsi="宋体" w:eastAsia="宋体" w:cs="宋体"/>
          <w:color w:val="auto"/>
          <w:highlight w:val="none"/>
        </w:rPr>
      </w:pPr>
    </w:p>
    <w:p w14:paraId="60D61ABC">
      <w:pPr>
        <w:pStyle w:val="9"/>
        <w:rPr>
          <w:rFonts w:hint="eastAsia" w:ascii="宋体" w:hAnsi="宋体" w:eastAsia="宋体" w:cs="宋体"/>
          <w:color w:val="auto"/>
          <w:highlight w:val="none"/>
        </w:rPr>
      </w:pPr>
    </w:p>
    <w:p w14:paraId="2FEBFE44">
      <w:pPr>
        <w:pStyle w:val="32"/>
        <w:rPr>
          <w:rFonts w:hint="eastAsia" w:ascii="宋体" w:hAnsi="宋体" w:eastAsia="宋体" w:cs="宋体"/>
          <w:color w:val="auto"/>
          <w:highlight w:val="none"/>
        </w:rPr>
      </w:pPr>
    </w:p>
    <w:p w14:paraId="6081E947">
      <w:pPr>
        <w:tabs>
          <w:tab w:val="left" w:pos="5580"/>
        </w:tabs>
        <w:spacing w:line="360" w:lineRule="exact"/>
        <w:ind w:firstLine="560" w:firstLineChars="200"/>
        <w:jc w:val="center"/>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lang w:val="en-US" w:eastAsia="zh-CN"/>
        </w:rPr>
        <w:t>9</w:t>
      </w:r>
      <w:r>
        <w:rPr>
          <w:rFonts w:hint="eastAsia" w:ascii="宋体" w:hAnsi="宋体" w:eastAsia="宋体" w:cs="宋体"/>
          <w:b/>
          <w:bCs/>
          <w:color w:val="auto"/>
          <w:sz w:val="28"/>
          <w:szCs w:val="28"/>
          <w:highlight w:val="none"/>
        </w:rPr>
        <w:t>、投标保证金缴纳凭证或投标担保函</w:t>
      </w:r>
    </w:p>
    <w:p w14:paraId="1EA3DA72">
      <w:pPr>
        <w:pStyle w:val="24"/>
        <w:ind w:left="718" w:leftChars="342"/>
        <w:jc w:val="center"/>
        <w:rPr>
          <w:rFonts w:hint="eastAsia" w:ascii="宋体" w:hAnsi="宋体" w:eastAsia="宋体" w:cs="宋体"/>
          <w:color w:val="auto"/>
          <w:highlight w:val="none"/>
        </w:rPr>
      </w:pPr>
    </w:p>
    <w:p w14:paraId="7945BD00">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投标人可将本项目投标保证金支付的汇款凭证、支票、汇票或保证金收据（如有）的复印件作为缴纳凭证，复印件上应加盖本单位章；使用银行保函等其他投标担保函的，应将担保函</w:t>
      </w:r>
      <w:r>
        <w:rPr>
          <w:rFonts w:hint="eastAsia" w:ascii="宋体" w:hAnsi="宋体" w:eastAsia="宋体" w:cs="宋体"/>
          <w:color w:val="auto"/>
          <w:sz w:val="24"/>
          <w:highlight w:val="none"/>
          <w:lang w:val="en-US" w:eastAsia="zh-CN"/>
        </w:rPr>
        <w:t>扫描件做入电子文件中</w:t>
      </w:r>
      <w:r>
        <w:rPr>
          <w:rFonts w:hint="eastAsia" w:ascii="宋体" w:hAnsi="宋体" w:eastAsia="宋体" w:cs="宋体"/>
          <w:color w:val="auto"/>
          <w:sz w:val="24"/>
          <w:highlight w:val="none"/>
        </w:rPr>
        <w:t>；如采用政府采购信用担保形式的，应使用政府采购投标担保函（投标文件格式六）,将原件装订在本部分正本中。</w:t>
      </w:r>
    </w:p>
    <w:p w14:paraId="69E13DD6">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政府采购投标担保函 </w:t>
      </w:r>
    </w:p>
    <w:p w14:paraId="597653EE">
      <w:pPr>
        <w:rPr>
          <w:rFonts w:hint="eastAsia" w:ascii="宋体" w:hAnsi="宋体" w:eastAsia="宋体" w:cs="宋体"/>
          <w:color w:val="auto"/>
          <w:sz w:val="24"/>
          <w:highlight w:val="none"/>
        </w:rPr>
      </w:pPr>
      <w:r>
        <w:rPr>
          <w:rFonts w:hint="eastAsia" w:ascii="宋体" w:hAnsi="宋体" w:eastAsia="宋体" w:cs="宋体"/>
          <w:color w:val="auto"/>
          <w:sz w:val="24"/>
          <w:highlight w:val="none"/>
        </w:rPr>
        <w:t>编号：</w:t>
      </w:r>
    </w:p>
    <w:p w14:paraId="203F06EC">
      <w:pP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（采购人或采购代理机构）：</w:t>
      </w:r>
    </w:p>
    <w:p w14:paraId="355E2665">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鉴于</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（以下简称“投标人”）拟参加编号为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的</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xml:space="preserve">                            </w:t>
      </w:r>
    </w:p>
    <w:p w14:paraId="6BC10B10">
      <w:pPr>
        <w:rPr>
          <w:rFonts w:hint="eastAsia" w:ascii="宋体" w:hAnsi="宋体" w:eastAsia="宋体" w:cs="宋体"/>
          <w:color w:val="auto"/>
          <w:sz w:val="24"/>
          <w:highlight w:val="none"/>
        </w:rPr>
      </w:pPr>
      <w:r>
        <w:rPr>
          <w:rFonts w:hint="eastAsia" w:ascii="宋体" w:hAnsi="宋体" w:eastAsia="宋体" w:cs="宋体"/>
          <w:color w:val="auto"/>
          <w:sz w:val="24"/>
          <w:highlight w:val="none"/>
        </w:rPr>
        <w:t>项目（以下简称“本项目”）投标，根据本项目招标文件，供应商参加投标时应向你方交纳投标保证金，且可以投标担保函的形式交纳投标保证金。应供应商的申请，我方以保证的方式向你方提供如下投标保证金担保：</w:t>
      </w:r>
    </w:p>
    <w:p w14:paraId="5E784C5D">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一、保证责任的情形及保证金额</w:t>
      </w:r>
    </w:p>
    <w:p w14:paraId="2280492F">
      <w:pPr>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（一）在投标人出现下列情形之一时，我方承担保证责任：</w:t>
      </w:r>
    </w:p>
    <w:p w14:paraId="694AD55D">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1．中标后投标人无正当理由不与采购人或者采购代理机构签订《政府采购合同》；</w:t>
      </w:r>
    </w:p>
    <w:p w14:paraId="114E0DC6">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2．招标文件规定的投标人应当缴纳保证金的其他情形。</w:t>
      </w:r>
    </w:p>
    <w:p w14:paraId="42F8BCED">
      <w:pPr>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（二）我方承担保证责任的最高金额为人民币</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元（大写</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），即本项目的投标保证金金额。</w:t>
      </w:r>
    </w:p>
    <w:p w14:paraId="5C7DC876">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二、保证的方式及保证期间</w:t>
      </w:r>
    </w:p>
    <w:p w14:paraId="64E9BF01">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我方保证的方式为：连带责任保证。</w:t>
      </w:r>
    </w:p>
    <w:p w14:paraId="5720813B">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我方的保证期间为：自本保函生效之日起</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个月止。</w:t>
      </w:r>
    </w:p>
    <w:p w14:paraId="1604AC61">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三、承担保证责任的程序</w:t>
      </w:r>
    </w:p>
    <w:p w14:paraId="4C949514">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1．你方要求我方承担保证责任的，应在本保函保证期间内向我方发出书面索赔通知。索赔通知应写明要求索赔的金额，支付款项应到达的账号，并附有证明投标人发生我方应承担保证责任情形的事实材料。</w:t>
      </w:r>
    </w:p>
    <w:p w14:paraId="3D4E7537">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2．我方在收到索赔通知及相关证明材料后，在</w:t>
      </w:r>
      <w:r>
        <w:rPr>
          <w:rFonts w:hint="eastAsia" w:ascii="宋体" w:hAnsi="宋体" w:eastAsia="宋体" w:cs="宋体"/>
          <w:color w:val="auto"/>
          <w:sz w:val="24"/>
          <w:highlight w:val="none"/>
          <w:u w:val="single"/>
        </w:rPr>
        <w:t>　　　</w:t>
      </w:r>
      <w:r>
        <w:rPr>
          <w:rFonts w:hint="eastAsia" w:ascii="宋体" w:hAnsi="宋体" w:eastAsia="宋体" w:cs="宋体"/>
          <w:color w:val="auto"/>
          <w:sz w:val="24"/>
          <w:highlight w:val="none"/>
        </w:rPr>
        <w:t>个工作日内进行审查，符合应承担保证责任情形的，我方应按照你方的要求代投标人向你方支付投标保证金。</w:t>
      </w:r>
    </w:p>
    <w:p w14:paraId="5DC96CEE">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四、保证责任的终止</w:t>
      </w:r>
    </w:p>
    <w:p w14:paraId="53E12F06">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1．保证期间届满你方未向我方书面主张保证责任的，自保证期间届满次日起，我方保证责任自动终止。</w:t>
      </w:r>
    </w:p>
    <w:p w14:paraId="215D72FC">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2．我方按照本保函向你贵方履行了保证责任后，自我方向你贵方支付款项（支付款项从我方账户划出）之日起，保证责任终止。</w:t>
      </w:r>
    </w:p>
    <w:p w14:paraId="00151DCF">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3．按照法律法规的规定或出现我方保证责任终止的其它情形的，我方在本保函项下的保证责任亦终止。</w:t>
      </w:r>
    </w:p>
    <w:p w14:paraId="2E908F77">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五、免责条款</w:t>
      </w:r>
    </w:p>
    <w:p w14:paraId="54B1F123">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1．依照法律规定或你方与投标人的另行约定，全部或者部分免除投标人投标保证金义务时，我方亦免除相应的保证责任。</w:t>
      </w:r>
    </w:p>
    <w:p w14:paraId="2037C9D5">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2．因你方原因致使投标人发生本保函第一条第（一）款约定情形的，我方不承担保证责任。</w:t>
      </w:r>
    </w:p>
    <w:p w14:paraId="33EED92D">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3．因不可抗力造成投标人发生本保函第一条约定情形的，我方不承担保证责任。</w:t>
      </w:r>
    </w:p>
    <w:p w14:paraId="4FEE98B3">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4．你方或其他有权机关对招标文件进行任何澄清或修改，加重我方保证责任的，我方对加重部分不承担保证责任，但该澄清或修改经我方事先书面同意的除外。</w:t>
      </w:r>
    </w:p>
    <w:p w14:paraId="067BF227">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六、争议的解决</w:t>
      </w:r>
    </w:p>
    <w:p w14:paraId="0D6E7FC5">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因本保函发生的纠纷，由你我双方协商解决，协商不成的，通过诉讼程序解决，诉讼管辖地法院为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法院。</w:t>
      </w:r>
    </w:p>
    <w:p w14:paraId="5CDD9374">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七、保函的生效</w:t>
      </w:r>
    </w:p>
    <w:p w14:paraId="116A8117">
      <w:pPr>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本保函自我方加盖公章之日起生效。</w:t>
      </w:r>
    </w:p>
    <w:p w14:paraId="2590B8B4">
      <w:pPr>
        <w:ind w:firstLine="6360" w:firstLineChars="2650"/>
        <w:rPr>
          <w:rFonts w:hint="eastAsia" w:ascii="宋体" w:hAnsi="宋体" w:eastAsia="宋体" w:cs="宋体"/>
          <w:color w:val="auto"/>
          <w:sz w:val="24"/>
          <w:highlight w:val="none"/>
        </w:rPr>
      </w:pPr>
      <w:r>
        <w:rPr>
          <w:rFonts w:hint="eastAsia" w:ascii="宋体" w:hAnsi="宋体" w:eastAsia="宋体" w:cs="宋体"/>
          <w:color w:val="auto"/>
          <w:sz w:val="24"/>
          <w:highlight w:val="none"/>
        </w:rPr>
        <w:t>保证人：（公章）</w:t>
      </w:r>
    </w:p>
    <w:p w14:paraId="2C66995E">
      <w:pP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3739CEC8">
      <w:pPr>
        <w:tabs>
          <w:tab w:val="left" w:pos="5580"/>
        </w:tabs>
        <w:spacing w:line="360" w:lineRule="exact"/>
        <w:jc w:val="righ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年     月</w:t>
      </w:r>
      <w:r>
        <w:rPr>
          <w:rFonts w:hint="eastAsia" w:ascii="宋体" w:hAnsi="宋体" w:eastAsia="宋体" w:cs="宋体"/>
          <w:color w:val="auto"/>
          <w:sz w:val="24"/>
          <w:highlight w:val="none"/>
          <w:lang w:val="en-US" w:eastAsia="zh-CN"/>
        </w:rPr>
        <w:t xml:space="preserve">     日</w:t>
      </w:r>
    </w:p>
    <w:p w14:paraId="02456A7F">
      <w:pPr>
        <w:tabs>
          <w:tab w:val="left" w:pos="5580"/>
        </w:tabs>
        <w:spacing w:line="360" w:lineRule="exact"/>
        <w:jc w:val="right"/>
        <w:rPr>
          <w:rFonts w:hint="eastAsia" w:ascii="宋体" w:hAnsi="宋体" w:eastAsia="宋体" w:cs="宋体"/>
          <w:color w:val="auto"/>
          <w:sz w:val="24"/>
          <w:highlight w:val="none"/>
          <w:lang w:val="en-US" w:eastAsia="zh-CN"/>
        </w:rPr>
      </w:pPr>
    </w:p>
    <w:p w14:paraId="566E9844">
      <w:pPr>
        <w:tabs>
          <w:tab w:val="left" w:pos="5580"/>
        </w:tabs>
        <w:spacing w:line="360" w:lineRule="exact"/>
        <w:jc w:val="center"/>
        <w:rPr>
          <w:rFonts w:hint="eastAsia" w:ascii="宋体" w:hAnsi="宋体" w:eastAsia="宋体" w:cs="宋体"/>
          <w:color w:val="auto"/>
          <w:highlight w:val="none"/>
        </w:rPr>
      </w:pPr>
      <w:r>
        <w:rPr>
          <w:rFonts w:hint="eastAsia" w:ascii="宋体" w:hAnsi="宋体" w:eastAsia="宋体" w:cs="宋体"/>
          <w:color w:val="auto"/>
          <w:highlight w:val="none"/>
        </w:rPr>
        <w:br w:type="page"/>
      </w:r>
      <w:r>
        <w:rPr>
          <w:rFonts w:hint="eastAsia" w:ascii="宋体" w:hAnsi="宋体" w:cs="宋体"/>
          <w:color w:val="auto"/>
          <w:highlight w:val="none"/>
          <w:lang w:val="en-US" w:eastAsia="zh-CN"/>
        </w:rPr>
        <w:t xml:space="preserve">      </w:t>
      </w:r>
      <w:r>
        <w:rPr>
          <w:rFonts w:hint="eastAsia" w:ascii="宋体" w:hAnsi="宋体" w:eastAsia="宋体" w:cs="宋体"/>
          <w:b/>
          <w:bCs/>
          <w:color w:val="auto"/>
          <w:sz w:val="28"/>
          <w:szCs w:val="28"/>
          <w:highlight w:val="none"/>
          <w:lang w:val="en-US" w:eastAsia="zh-CN"/>
        </w:rPr>
        <w:t>10</w:t>
      </w:r>
      <w:r>
        <w:rPr>
          <w:rFonts w:hint="eastAsia" w:ascii="宋体" w:hAnsi="宋体" w:eastAsia="宋体" w:cs="宋体"/>
          <w:b/>
          <w:bCs/>
          <w:color w:val="auto"/>
          <w:sz w:val="28"/>
          <w:szCs w:val="28"/>
          <w:highlight w:val="none"/>
        </w:rPr>
        <w:t>、投标人须知资料表要求的其他资格证明文件</w:t>
      </w:r>
    </w:p>
    <w:p w14:paraId="6F6A275B">
      <w:pPr>
        <w:pStyle w:val="4"/>
        <w:ind w:left="718" w:leftChars="342"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注：1.应提供投标人须知资料表要求的其他资格证明文件。</w:t>
      </w:r>
    </w:p>
    <w:p w14:paraId="7365248F">
      <w:pPr>
        <w:pStyle w:val="4"/>
        <w:ind w:left="720" w:hanging="720" w:hangingChars="300"/>
        <w:rPr>
          <w:rFonts w:hint="eastAsia" w:ascii="宋体" w:hAnsi="宋体" w:eastAsia="宋体" w:cs="宋体"/>
          <w:color w:val="auto"/>
          <w:highlight w:val="none"/>
        </w:rPr>
      </w:pPr>
      <w:r>
        <w:rPr>
          <w:rFonts w:hint="eastAsia" w:ascii="宋体" w:hAnsi="宋体" w:eastAsia="宋体" w:cs="宋体"/>
          <w:color w:val="auto"/>
          <w:highlight w:val="none"/>
        </w:rPr>
        <w:t xml:space="preserve">      2.复印件上应加盖本单位章（自然人投标的无需盖章，需要签字）。</w:t>
      </w:r>
    </w:p>
    <w:p w14:paraId="5D836CEF">
      <w:pPr>
        <w:pStyle w:val="4"/>
        <w:ind w:left="720" w:hanging="720" w:hangingChars="300"/>
        <w:rPr>
          <w:rFonts w:hint="eastAsia" w:ascii="宋体" w:hAnsi="宋体" w:eastAsia="宋体" w:cs="宋体"/>
          <w:color w:val="auto"/>
          <w:highlight w:val="none"/>
        </w:rPr>
      </w:pPr>
      <w:r>
        <w:rPr>
          <w:rFonts w:hint="eastAsia" w:ascii="宋体" w:hAnsi="宋体" w:eastAsia="宋体" w:cs="宋体"/>
          <w:color w:val="auto"/>
          <w:highlight w:val="none"/>
        </w:rPr>
        <w:t xml:space="preserve">      3. 如果是联合体投标，联合体各方需提供的满足招标文件要求的其他资格证明文件。</w:t>
      </w:r>
    </w:p>
    <w:p w14:paraId="2463FA29">
      <w:pPr>
        <w:rPr>
          <w:rFonts w:hint="eastAsia" w:ascii="宋体" w:hAnsi="宋体" w:eastAsia="宋体" w:cs="宋体"/>
          <w:color w:val="auto"/>
          <w:sz w:val="24"/>
          <w:highlight w:val="none"/>
        </w:rPr>
      </w:pPr>
    </w:p>
    <w:p w14:paraId="0E8A59FC">
      <w:pPr>
        <w:pStyle w:val="32"/>
        <w:ind w:firstLine="240"/>
        <w:rPr>
          <w:rFonts w:hint="eastAsia" w:ascii="宋体" w:hAnsi="宋体" w:eastAsia="宋体" w:cs="宋体"/>
          <w:color w:val="auto"/>
          <w:highlight w:val="none"/>
        </w:rPr>
      </w:pPr>
    </w:p>
    <w:p w14:paraId="03891F35">
      <w:pPr>
        <w:rPr>
          <w:rFonts w:hint="eastAsia" w:ascii="宋体" w:hAnsi="宋体" w:eastAsia="宋体" w:cs="宋体"/>
          <w:color w:val="auto"/>
          <w:sz w:val="24"/>
          <w:highlight w:val="none"/>
        </w:rPr>
      </w:pPr>
    </w:p>
    <w:p w14:paraId="544EFAF6">
      <w:pPr>
        <w:pStyle w:val="3"/>
        <w:tabs>
          <w:tab w:val="left" w:pos="540"/>
        </w:tabs>
        <w:rPr>
          <w:rFonts w:hint="eastAsia" w:ascii="宋体" w:hAnsi="宋体" w:eastAsia="宋体" w:cs="宋体"/>
          <w:color w:val="auto"/>
          <w:sz w:val="24"/>
          <w:szCs w:val="24"/>
          <w:highlight w:val="none"/>
        </w:rPr>
      </w:pPr>
    </w:p>
    <w:p w14:paraId="12D3A281">
      <w:pPr>
        <w:ind w:firstLine="560" w:firstLineChars="200"/>
        <w:jc w:val="center"/>
        <w:rPr>
          <w:rFonts w:hint="eastAsia" w:ascii="宋体" w:hAnsi="宋体" w:eastAsia="宋体" w:cs="宋体"/>
          <w:color w:val="auto"/>
          <w:sz w:val="24"/>
          <w:highlight w:val="none"/>
        </w:rPr>
      </w:pPr>
      <w:bookmarkStart w:id="305" w:name="_Toc22951"/>
      <w:bookmarkStart w:id="306" w:name="_Toc3644"/>
      <w:bookmarkStart w:id="307" w:name="_Toc12856"/>
      <w:r>
        <w:rPr>
          <w:rFonts w:hint="eastAsia" w:ascii="宋体" w:hAnsi="宋体" w:eastAsia="宋体" w:cs="宋体"/>
          <w:b/>
          <w:bCs/>
          <w:color w:val="auto"/>
          <w:sz w:val="28"/>
          <w:szCs w:val="28"/>
          <w:highlight w:val="none"/>
          <w:lang w:val="en-US" w:eastAsia="zh-CN"/>
        </w:rPr>
        <w:t>11</w:t>
      </w:r>
      <w:r>
        <w:rPr>
          <w:rFonts w:hint="eastAsia" w:ascii="宋体" w:hAnsi="宋体" w:eastAsia="宋体" w:cs="宋体"/>
          <w:b/>
          <w:bCs/>
          <w:color w:val="auto"/>
          <w:sz w:val="28"/>
          <w:szCs w:val="28"/>
          <w:highlight w:val="none"/>
        </w:rPr>
        <w:t>、投标人可提供有利于投标的其他证明材料</w:t>
      </w:r>
      <w:bookmarkEnd w:id="291"/>
      <w:bookmarkEnd w:id="292"/>
      <w:bookmarkEnd w:id="293"/>
      <w:bookmarkEnd w:id="294"/>
      <w:bookmarkEnd w:id="305"/>
      <w:bookmarkEnd w:id="306"/>
      <w:bookmarkEnd w:id="307"/>
    </w:p>
    <w:p w14:paraId="0DA423A4">
      <w:pPr>
        <w:rPr>
          <w:rFonts w:hint="eastAsia" w:ascii="宋体" w:hAnsi="宋体" w:eastAsia="宋体" w:cs="宋体"/>
          <w:color w:val="auto"/>
          <w:sz w:val="24"/>
          <w:highlight w:val="none"/>
        </w:rPr>
      </w:pPr>
    </w:p>
    <w:p w14:paraId="2EF59B0C">
      <w:pPr>
        <w:pStyle w:val="13"/>
        <w:tabs>
          <w:tab w:val="left" w:pos="5580"/>
        </w:tabs>
        <w:spacing w:line="240" w:lineRule="atLeast"/>
        <w:rPr>
          <w:rFonts w:hint="eastAsia" w:ascii="宋体" w:hAnsi="宋体" w:eastAsia="宋体" w:cs="宋体"/>
          <w:color w:val="auto"/>
          <w:sz w:val="24"/>
          <w:highlight w:val="none"/>
          <w:u w:val="single"/>
        </w:rPr>
      </w:pPr>
    </w:p>
    <w:p w14:paraId="3EB49ECE">
      <w:pPr>
        <w:pStyle w:val="13"/>
        <w:tabs>
          <w:tab w:val="left" w:pos="5580"/>
        </w:tabs>
        <w:spacing w:line="240" w:lineRule="atLeast"/>
        <w:ind w:left="58" w:leftChars="28" w:firstLine="3120" w:firstLineChars="1300"/>
        <w:rPr>
          <w:rFonts w:hint="eastAsia" w:ascii="宋体" w:hAnsi="宋体" w:eastAsia="宋体" w:cs="宋体"/>
          <w:b/>
          <w:color w:val="auto"/>
          <w:kern w:val="0"/>
          <w:sz w:val="24"/>
          <w:highlight w:val="none"/>
          <w:lang w:val="en-US" w:eastAsia="zh-CN"/>
        </w:rPr>
      </w:pPr>
    </w:p>
    <w:p w14:paraId="133FF3F0">
      <w:pPr>
        <w:pStyle w:val="13"/>
        <w:tabs>
          <w:tab w:val="left" w:pos="5580"/>
        </w:tabs>
        <w:spacing w:line="240" w:lineRule="atLeast"/>
        <w:ind w:left="58" w:leftChars="28" w:firstLine="3120" w:firstLineChars="1300"/>
        <w:rPr>
          <w:rFonts w:hint="eastAsia" w:ascii="宋体" w:hAnsi="宋体" w:eastAsia="宋体" w:cs="宋体"/>
          <w:b/>
          <w:color w:val="auto"/>
          <w:kern w:val="0"/>
          <w:sz w:val="24"/>
          <w:highlight w:val="none"/>
          <w:lang w:val="en-US" w:eastAsia="zh-CN"/>
        </w:rPr>
      </w:pPr>
    </w:p>
    <w:p w14:paraId="3FD79B6D">
      <w:pPr>
        <w:pStyle w:val="13"/>
        <w:tabs>
          <w:tab w:val="left" w:pos="5580"/>
        </w:tabs>
        <w:spacing w:line="240" w:lineRule="atLeast"/>
        <w:ind w:left="58" w:leftChars="28" w:firstLine="3120" w:firstLineChars="1300"/>
        <w:rPr>
          <w:rFonts w:hint="eastAsia" w:ascii="宋体" w:hAnsi="宋体" w:eastAsia="宋体" w:cs="宋体"/>
          <w:b/>
          <w:color w:val="auto"/>
          <w:kern w:val="0"/>
          <w:sz w:val="24"/>
          <w:highlight w:val="none"/>
          <w:lang w:val="en-US" w:eastAsia="zh-CN"/>
        </w:rPr>
      </w:pPr>
    </w:p>
    <w:p w14:paraId="65FEA3F8">
      <w:pPr>
        <w:pStyle w:val="13"/>
        <w:tabs>
          <w:tab w:val="left" w:pos="5580"/>
        </w:tabs>
        <w:spacing w:line="240" w:lineRule="atLeast"/>
        <w:ind w:left="58" w:leftChars="28" w:firstLine="3120" w:firstLineChars="1300"/>
        <w:rPr>
          <w:rFonts w:hint="eastAsia" w:ascii="宋体" w:hAnsi="宋体" w:eastAsia="宋体" w:cs="宋体"/>
          <w:b/>
          <w:color w:val="auto"/>
          <w:kern w:val="0"/>
          <w:sz w:val="24"/>
          <w:highlight w:val="none"/>
          <w:lang w:val="en-US" w:eastAsia="zh-CN"/>
        </w:rPr>
      </w:pPr>
    </w:p>
    <w:p w14:paraId="4A5CD782">
      <w:pPr>
        <w:pStyle w:val="13"/>
        <w:tabs>
          <w:tab w:val="left" w:pos="5580"/>
        </w:tabs>
        <w:spacing w:line="240" w:lineRule="atLeast"/>
        <w:ind w:left="58" w:leftChars="28" w:firstLine="3120" w:firstLineChars="1300"/>
        <w:rPr>
          <w:rFonts w:hint="eastAsia" w:ascii="宋体" w:hAnsi="宋体" w:eastAsia="宋体" w:cs="宋体"/>
          <w:b/>
          <w:color w:val="auto"/>
          <w:kern w:val="0"/>
          <w:sz w:val="24"/>
          <w:highlight w:val="none"/>
          <w:lang w:val="en-US" w:eastAsia="zh-CN"/>
        </w:rPr>
      </w:pPr>
    </w:p>
    <w:p w14:paraId="52E04796">
      <w:pPr>
        <w:pStyle w:val="13"/>
        <w:tabs>
          <w:tab w:val="left" w:pos="5580"/>
        </w:tabs>
        <w:spacing w:line="240" w:lineRule="atLeast"/>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r>
        <w:rPr>
          <w:rFonts w:hint="eastAsia" w:ascii="宋体" w:hAnsi="宋体" w:eastAsia="宋体" w:cs="宋体"/>
          <w:color w:val="auto"/>
          <w:sz w:val="24"/>
          <w:highlight w:val="none"/>
        </w:rPr>
        <w:t xml:space="preserve"> </w:t>
      </w:r>
    </w:p>
    <w:p w14:paraId="7C0A2A05">
      <w:pPr>
        <w:pStyle w:val="3"/>
        <w:numPr>
          <w:ilvl w:val="0"/>
          <w:numId w:val="3"/>
        </w:numPr>
        <w:spacing w:before="0" w:line="240" w:lineRule="atLeast"/>
        <w:ind w:left="1079" w:leftChars="257" w:hanging="540"/>
        <w:rPr>
          <w:rFonts w:hint="eastAsia" w:ascii="宋体" w:hAnsi="宋体" w:eastAsia="宋体" w:cs="宋体"/>
          <w:color w:val="auto"/>
          <w:sz w:val="28"/>
          <w:szCs w:val="21"/>
          <w:highlight w:val="none"/>
        </w:rPr>
      </w:pPr>
      <w:bookmarkStart w:id="308" w:name="_Toc22967"/>
      <w:bookmarkStart w:id="309" w:name="_Toc30317"/>
      <w:bookmarkStart w:id="310" w:name="_Toc11180"/>
      <w:bookmarkStart w:id="311" w:name="_Toc515647816"/>
      <w:r>
        <w:rPr>
          <w:rFonts w:hint="eastAsia" w:ascii="宋体" w:hAnsi="宋体" w:eastAsia="宋体" w:cs="宋体"/>
          <w:color w:val="auto"/>
          <w:sz w:val="24"/>
          <w:highlight w:val="none"/>
        </w:rPr>
        <w:t xml:space="preserve"> </w:t>
      </w:r>
      <w:r>
        <w:rPr>
          <w:rFonts w:hint="eastAsia" w:ascii="宋体" w:hAnsi="宋体" w:eastAsia="宋体" w:cs="宋体"/>
          <w:color w:val="auto"/>
          <w:sz w:val="28"/>
          <w:szCs w:val="21"/>
          <w:highlight w:val="none"/>
        </w:rPr>
        <w:t>商务及技术文件</w:t>
      </w:r>
      <w:bookmarkEnd w:id="308"/>
      <w:bookmarkEnd w:id="309"/>
      <w:bookmarkEnd w:id="310"/>
      <w:bookmarkEnd w:id="311"/>
    </w:p>
    <w:p w14:paraId="75C0688A">
      <w:pPr>
        <w:pStyle w:val="4"/>
        <w:numPr>
          <w:ilvl w:val="0"/>
          <w:numId w:val="0"/>
        </w:numPr>
        <w:rPr>
          <w:rFonts w:hint="eastAsia" w:ascii="宋体" w:hAnsi="宋体" w:eastAsia="宋体" w:cs="宋体"/>
          <w:color w:val="auto"/>
          <w:highlight w:val="none"/>
        </w:rPr>
      </w:pPr>
    </w:p>
    <w:p w14:paraId="7506C545">
      <w:pPr>
        <w:pStyle w:val="13"/>
        <w:ind w:left="1079"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1、投标书</w:t>
      </w:r>
    </w:p>
    <w:p w14:paraId="417CB541">
      <w:pPr>
        <w:pStyle w:val="13"/>
        <w:ind w:left="1079"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、投标分项报价表</w:t>
      </w:r>
    </w:p>
    <w:p w14:paraId="4673CAA8">
      <w:pPr>
        <w:pStyle w:val="13"/>
        <w:ind w:left="1079"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、货物说明一览表</w:t>
      </w:r>
    </w:p>
    <w:p w14:paraId="54C3D124">
      <w:pPr>
        <w:pStyle w:val="13"/>
        <w:ind w:left="1079"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、技术规格偏离表</w:t>
      </w:r>
    </w:p>
    <w:p w14:paraId="7F4D32E4">
      <w:pPr>
        <w:pStyle w:val="13"/>
        <w:ind w:left="1079"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、商务条款偏离表</w:t>
      </w:r>
    </w:p>
    <w:p w14:paraId="344DB9D4">
      <w:pPr>
        <w:pStyle w:val="13"/>
        <w:ind w:left="310" w:leftChars="148" w:firstLine="228"/>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lang w:eastAsia="zh-CN"/>
        </w:rPr>
        <w:t>、中小企业声明函</w:t>
      </w:r>
    </w:p>
    <w:p w14:paraId="0957C332">
      <w:pPr>
        <w:pStyle w:val="13"/>
        <w:ind w:left="1079" w:leftChars="257" w:hanging="54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7、实施方案</w:t>
      </w:r>
    </w:p>
    <w:p w14:paraId="5AE9994D">
      <w:pPr>
        <w:pStyle w:val="13"/>
        <w:ind w:left="1079" w:leftChars="257" w:hanging="54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8、进度安排</w:t>
      </w:r>
    </w:p>
    <w:p w14:paraId="6D845214">
      <w:pPr>
        <w:pStyle w:val="13"/>
        <w:ind w:left="1079" w:leftChars="257" w:hanging="54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9、质量保证措施</w:t>
      </w:r>
    </w:p>
    <w:p w14:paraId="063342C7">
      <w:pPr>
        <w:pStyle w:val="13"/>
        <w:ind w:left="1079" w:leftChars="257" w:hanging="54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10、质量保证措施</w:t>
      </w:r>
    </w:p>
    <w:p w14:paraId="6F9C6011">
      <w:pPr>
        <w:pStyle w:val="13"/>
        <w:ind w:left="1079" w:leftChars="257" w:hanging="54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11、备品备件</w:t>
      </w:r>
    </w:p>
    <w:p w14:paraId="6848944A">
      <w:pPr>
        <w:pStyle w:val="13"/>
        <w:ind w:left="1079" w:leftChars="257" w:hanging="540"/>
        <w:rPr>
          <w:rFonts w:hint="eastAsia" w:ascii="宋体" w:hAnsi="宋体" w:eastAsia="宋体" w:cs="宋体"/>
          <w:color w:val="auto"/>
          <w:sz w:val="24"/>
          <w:highlight w:val="none"/>
          <w:lang w:val="en-US" w:eastAsia="zh-CN"/>
        </w:rPr>
      </w:pPr>
      <w:r>
        <w:rPr>
          <w:rFonts w:hint="eastAsia" w:hAnsi="宋体" w:cs="宋体"/>
          <w:color w:val="auto"/>
          <w:sz w:val="24"/>
          <w:highlight w:val="none"/>
          <w:lang w:val="en-US" w:eastAsia="zh-CN"/>
        </w:rPr>
        <w:t>12</w:t>
      </w:r>
      <w:r>
        <w:rPr>
          <w:rFonts w:hint="eastAsia" w:ascii="宋体" w:hAnsi="宋体" w:eastAsia="宋体" w:cs="宋体"/>
          <w:color w:val="auto"/>
          <w:sz w:val="24"/>
          <w:highlight w:val="none"/>
          <w:lang w:val="en-US" w:eastAsia="zh-CN"/>
        </w:rPr>
        <w:t>、售后服务</w:t>
      </w:r>
    </w:p>
    <w:p w14:paraId="232CAFB9">
      <w:pPr>
        <w:pStyle w:val="13"/>
        <w:ind w:left="1079" w:leftChars="257" w:hanging="54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w:t>
      </w:r>
      <w:r>
        <w:rPr>
          <w:rFonts w:hint="eastAsia" w:hAnsi="宋体" w:cs="宋体"/>
          <w:color w:val="auto"/>
          <w:sz w:val="24"/>
          <w:highlight w:val="none"/>
          <w:lang w:val="en-US" w:eastAsia="zh-CN"/>
        </w:rPr>
        <w:t>3</w:t>
      </w:r>
      <w:r>
        <w:rPr>
          <w:rFonts w:hint="eastAsia" w:ascii="宋体" w:hAnsi="宋体" w:eastAsia="宋体" w:cs="宋体"/>
          <w:color w:val="auto"/>
          <w:sz w:val="24"/>
          <w:highlight w:val="none"/>
          <w:lang w:val="en-US" w:eastAsia="zh-CN"/>
        </w:rPr>
        <w:t>、业绩（格式自拟）</w:t>
      </w:r>
    </w:p>
    <w:p w14:paraId="4249D6F7">
      <w:pPr>
        <w:pStyle w:val="13"/>
        <w:ind w:left="1079"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w:t>
      </w:r>
      <w:r>
        <w:rPr>
          <w:rFonts w:hint="eastAsia" w:hAnsi="宋体" w:cs="宋体"/>
          <w:color w:val="auto"/>
          <w:sz w:val="24"/>
          <w:highlight w:val="none"/>
          <w:lang w:val="en-US" w:eastAsia="zh-CN"/>
        </w:rPr>
        <w:t>4</w:t>
      </w:r>
      <w:r>
        <w:rPr>
          <w:rFonts w:hint="eastAsia" w:ascii="宋体" w:hAnsi="宋体" w:eastAsia="宋体" w:cs="宋体"/>
          <w:color w:val="auto"/>
          <w:sz w:val="24"/>
          <w:highlight w:val="none"/>
          <w:lang w:val="en-US" w:eastAsia="zh-CN"/>
        </w:rPr>
        <w:t>、投标单位认为应提供的其他资料</w:t>
      </w:r>
    </w:p>
    <w:p w14:paraId="55802BA2">
      <w:pPr>
        <w:pStyle w:val="13"/>
        <w:tabs>
          <w:tab w:val="left" w:pos="5580"/>
        </w:tabs>
        <w:spacing w:line="240" w:lineRule="atLeast"/>
        <w:ind w:left="1079"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p>
    <w:p w14:paraId="3ED924B3">
      <w:pPr>
        <w:pStyle w:val="3"/>
        <w:spacing w:before="0" w:line="240" w:lineRule="atLeast"/>
        <w:ind w:left="1079" w:leftChars="257" w:hanging="540"/>
        <w:rPr>
          <w:rFonts w:hint="eastAsia" w:ascii="宋体" w:hAnsi="宋体" w:eastAsia="宋体" w:cs="宋体"/>
          <w:color w:val="auto"/>
          <w:sz w:val="24"/>
          <w:highlight w:val="none"/>
        </w:rPr>
      </w:pPr>
      <w:bookmarkStart w:id="312" w:name="_Toc2041"/>
      <w:bookmarkStart w:id="313" w:name="_Toc515647817"/>
      <w:bookmarkStart w:id="314" w:name="_Toc8525"/>
      <w:bookmarkStart w:id="315" w:name="_Toc14915"/>
      <w:r>
        <w:rPr>
          <w:rFonts w:hint="eastAsia" w:ascii="宋体" w:hAnsi="宋体" w:eastAsia="宋体" w:cs="宋体"/>
          <w:color w:val="auto"/>
          <w:sz w:val="24"/>
          <w:highlight w:val="none"/>
        </w:rPr>
        <w:t xml:space="preserve">1   </w:t>
      </w:r>
      <w:bookmarkStart w:id="316" w:name="_Hlt520355504"/>
      <w:bookmarkEnd w:id="316"/>
      <w:r>
        <w:rPr>
          <w:rFonts w:hint="eastAsia" w:ascii="宋体" w:hAnsi="宋体" w:eastAsia="宋体" w:cs="宋体"/>
          <w:color w:val="auto"/>
          <w:sz w:val="24"/>
          <w:highlight w:val="none"/>
        </w:rPr>
        <w:t>投标</w:t>
      </w:r>
      <w:bookmarkEnd w:id="287"/>
      <w:bookmarkEnd w:id="288"/>
      <w:r>
        <w:rPr>
          <w:rFonts w:hint="eastAsia" w:ascii="宋体" w:hAnsi="宋体" w:eastAsia="宋体" w:cs="宋体"/>
          <w:color w:val="auto"/>
          <w:sz w:val="24"/>
          <w:highlight w:val="none"/>
        </w:rPr>
        <w:t>书</w:t>
      </w:r>
      <w:bookmarkEnd w:id="289"/>
      <w:r>
        <w:rPr>
          <w:rFonts w:hint="eastAsia" w:ascii="宋体" w:hAnsi="宋体" w:eastAsia="宋体" w:cs="宋体"/>
          <w:color w:val="auto"/>
          <w:sz w:val="24"/>
          <w:highlight w:val="none"/>
        </w:rPr>
        <w:t>（投标文件格式</w:t>
      </w:r>
      <w:r>
        <w:rPr>
          <w:rFonts w:hint="eastAsia" w:ascii="宋体" w:hAnsi="宋体" w:eastAsia="宋体" w:cs="宋体"/>
          <w:color w:val="auto"/>
          <w:sz w:val="24"/>
          <w:highlight w:val="none"/>
          <w:lang w:val="en-US" w:eastAsia="zh-CN"/>
        </w:rPr>
        <w:t>一</w:t>
      </w:r>
      <w:r>
        <w:rPr>
          <w:rFonts w:hint="eastAsia" w:ascii="宋体" w:hAnsi="宋体" w:eastAsia="宋体" w:cs="宋体"/>
          <w:color w:val="auto"/>
          <w:sz w:val="24"/>
          <w:highlight w:val="none"/>
        </w:rPr>
        <w:t>）</w:t>
      </w:r>
      <w:bookmarkEnd w:id="290"/>
      <w:bookmarkEnd w:id="312"/>
      <w:bookmarkEnd w:id="313"/>
      <w:bookmarkEnd w:id="314"/>
      <w:bookmarkEnd w:id="315"/>
    </w:p>
    <w:p w14:paraId="5C078F8C">
      <w:pPr>
        <w:tabs>
          <w:tab w:val="left" w:pos="5580"/>
        </w:tabs>
        <w:spacing w:line="240" w:lineRule="atLeast"/>
        <w:ind w:left="1079" w:leftChars="257" w:hanging="540"/>
        <w:rPr>
          <w:rFonts w:hint="eastAsia" w:ascii="宋体" w:hAnsi="宋体" w:eastAsia="宋体" w:cs="宋体"/>
          <w:color w:val="auto"/>
          <w:sz w:val="24"/>
          <w:highlight w:val="none"/>
        </w:rPr>
      </w:pPr>
    </w:p>
    <w:p w14:paraId="6E8B4CDB">
      <w:pPr>
        <w:tabs>
          <w:tab w:val="left" w:pos="5580"/>
        </w:tabs>
        <w:spacing w:line="240" w:lineRule="atLeast"/>
        <w:ind w:left="1080" w:hanging="1080"/>
        <w:rPr>
          <w:rFonts w:hint="eastAsia" w:ascii="宋体" w:hAnsi="宋体" w:eastAsia="宋体" w:cs="宋体"/>
          <w:color w:val="auto"/>
          <w:sz w:val="24"/>
          <w:highlight w:val="none"/>
        </w:rPr>
      </w:pPr>
      <w:r>
        <w:rPr>
          <w:rFonts w:hint="eastAsia" w:ascii="宋体" w:hAnsi="宋体" w:eastAsia="宋体" w:cs="宋体"/>
          <w:color w:val="auto"/>
          <w:sz w:val="24"/>
          <w:highlight w:val="none"/>
        </w:rPr>
        <w:t>致：</w:t>
      </w:r>
      <w:r>
        <w:rPr>
          <w:rFonts w:hint="eastAsia" w:ascii="宋体" w:hAnsi="宋体" w:eastAsia="宋体" w:cs="宋体"/>
          <w:color w:val="auto"/>
          <w:sz w:val="24"/>
          <w:highlight w:val="none"/>
          <w:u w:val="single"/>
        </w:rPr>
        <w:t>采购代理机构</w:t>
      </w:r>
    </w:p>
    <w:p w14:paraId="6125CC69">
      <w:pPr>
        <w:pStyle w:val="13"/>
        <w:tabs>
          <w:tab w:val="left" w:pos="5580"/>
        </w:tabs>
        <w:spacing w:line="240" w:lineRule="atLeast"/>
        <w:ind w:left="1079" w:leftChars="257" w:hanging="540"/>
        <w:rPr>
          <w:rFonts w:hint="eastAsia" w:ascii="宋体" w:hAnsi="宋体" w:eastAsia="宋体" w:cs="宋体"/>
          <w:color w:val="auto"/>
          <w:sz w:val="24"/>
          <w:highlight w:val="none"/>
        </w:rPr>
      </w:pPr>
    </w:p>
    <w:p w14:paraId="7F9E075E">
      <w:pPr>
        <w:pStyle w:val="13"/>
        <w:keepNext w:val="0"/>
        <w:keepLines w:val="0"/>
        <w:pageBreakBefore w:val="0"/>
        <w:widowControl w:val="0"/>
        <w:tabs>
          <w:tab w:val="left" w:pos="5580"/>
        </w:tabs>
        <w:kinsoku/>
        <w:wordWrap w:val="0"/>
        <w:overflowPunct/>
        <w:topLinePunct/>
        <w:autoSpaceDE/>
        <w:autoSpaceDN/>
        <w:bidi w:val="0"/>
        <w:adjustRightInd/>
        <w:snapToGrid/>
        <w:spacing w:line="240" w:lineRule="atLeast"/>
        <w:ind w:left="2" w:leftChars="1"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根据贵方(</w:t>
      </w:r>
      <w:r>
        <w:rPr>
          <w:rFonts w:hint="eastAsia" w:ascii="宋体" w:hAnsi="宋体" w:eastAsia="宋体" w:cs="宋体"/>
          <w:i/>
          <w:color w:val="auto"/>
          <w:sz w:val="24"/>
          <w:highlight w:val="none"/>
          <w:u w:val="single"/>
        </w:rPr>
        <w:t>项目名称</w:t>
      </w:r>
      <w:r>
        <w:rPr>
          <w:rFonts w:hint="eastAsia" w:ascii="宋体" w:hAnsi="宋体" w:eastAsia="宋体" w:cs="宋体"/>
          <w:color w:val="auto"/>
          <w:sz w:val="24"/>
          <w:highlight w:val="none"/>
        </w:rPr>
        <w:t>)项目的投标邀请(</w:t>
      </w:r>
      <w:r>
        <w:rPr>
          <w:rFonts w:hint="eastAsia" w:ascii="宋体" w:hAnsi="宋体" w:eastAsia="宋体" w:cs="宋体"/>
          <w:i/>
          <w:color w:val="auto"/>
          <w:sz w:val="24"/>
          <w:highlight w:val="none"/>
          <w:u w:val="single"/>
        </w:rPr>
        <w:t>招标编号</w:t>
      </w:r>
      <w:r>
        <w:rPr>
          <w:rFonts w:hint="eastAsia" w:ascii="宋体" w:hAnsi="宋体" w:eastAsia="宋体" w:cs="宋体"/>
          <w:color w:val="auto"/>
          <w:sz w:val="24"/>
          <w:highlight w:val="none"/>
        </w:rPr>
        <w:t>),签字代表(</w:t>
      </w:r>
      <w:r>
        <w:rPr>
          <w:rFonts w:hint="eastAsia" w:ascii="宋体" w:hAnsi="宋体" w:eastAsia="宋体" w:cs="宋体"/>
          <w:i/>
          <w:color w:val="auto"/>
          <w:sz w:val="24"/>
          <w:highlight w:val="none"/>
          <w:u w:val="single"/>
        </w:rPr>
        <w:t>姓名、职务</w:t>
      </w:r>
      <w:r>
        <w:rPr>
          <w:rFonts w:hint="eastAsia" w:ascii="宋体" w:hAnsi="宋体" w:eastAsia="宋体" w:cs="宋体"/>
          <w:color w:val="auto"/>
          <w:sz w:val="24"/>
          <w:highlight w:val="none"/>
        </w:rPr>
        <w:t>)经正式授权并代表投标人（</w:t>
      </w:r>
      <w:r>
        <w:rPr>
          <w:rFonts w:hint="eastAsia" w:ascii="宋体" w:hAnsi="宋体" w:eastAsia="宋体" w:cs="宋体"/>
          <w:i/>
          <w:color w:val="auto"/>
          <w:sz w:val="24"/>
          <w:highlight w:val="none"/>
          <w:u w:val="single"/>
        </w:rPr>
        <w:t>名称、地址</w:t>
      </w:r>
      <w:r>
        <w:rPr>
          <w:rFonts w:hint="eastAsia" w:ascii="宋体" w:hAnsi="宋体" w:eastAsia="宋体" w:cs="宋体"/>
          <w:color w:val="auto"/>
          <w:sz w:val="24"/>
          <w:highlight w:val="none"/>
        </w:rPr>
        <w:t>），以</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形式出具的金额为人民币</w:t>
      </w:r>
      <w:r>
        <w:rPr>
          <w:rFonts w:hint="eastAsia" w:ascii="宋体" w:hAnsi="宋体" w:eastAsia="宋体" w:cs="宋体"/>
          <w:color w:val="auto"/>
          <w:sz w:val="24"/>
          <w:highlight w:val="none"/>
          <w:u w:val="single"/>
        </w:rPr>
        <w:t>　</w:t>
      </w:r>
      <w:r>
        <w:rPr>
          <w:rFonts w:hint="eastAsia" w:hAnsi="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　　　</w:t>
      </w:r>
      <w:r>
        <w:rPr>
          <w:rFonts w:hint="eastAsia" w:ascii="宋体" w:hAnsi="宋体" w:eastAsia="宋体" w:cs="宋体"/>
          <w:color w:val="auto"/>
          <w:sz w:val="24"/>
          <w:highlight w:val="none"/>
        </w:rPr>
        <w:t>元的投标保证金。</w:t>
      </w:r>
    </w:p>
    <w:p w14:paraId="650469BE">
      <w:pPr>
        <w:pStyle w:val="13"/>
        <w:tabs>
          <w:tab w:val="left" w:pos="5580"/>
        </w:tabs>
        <w:spacing w:line="240" w:lineRule="atLeast"/>
        <w:ind w:left="1079"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据此，签字代表宣布同意如下：</w:t>
      </w:r>
    </w:p>
    <w:p w14:paraId="3844942E">
      <w:pPr>
        <w:pStyle w:val="13"/>
        <w:tabs>
          <w:tab w:val="left" w:pos="720"/>
          <w:tab w:val="left" w:pos="900"/>
        </w:tabs>
        <w:spacing w:line="240" w:lineRule="atLeast"/>
        <w:ind w:left="768" w:leftChars="257" w:hanging="229"/>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（1）附投标价格表中规定的应提供货物的投标总价详见开标一览表，</w:t>
      </w:r>
      <w:r>
        <w:rPr>
          <w:rFonts w:hint="eastAsia" w:ascii="宋体" w:hAnsi="宋体" w:eastAsia="宋体" w:cs="宋体"/>
          <w:color w:val="auto"/>
          <w:sz w:val="24"/>
          <w:highlight w:val="none"/>
          <w:u w:val="single"/>
        </w:rPr>
        <w:t>其中由小型和</w:t>
      </w:r>
      <w:r>
        <w:rPr>
          <w:rFonts w:hint="eastAsia" w:ascii="宋体" w:hAnsi="宋体" w:eastAsia="宋体" w:cs="宋体"/>
          <w:color w:val="auto"/>
          <w:sz w:val="24"/>
          <w:highlight w:val="none"/>
        </w:rPr>
        <w:t>微型企业制造产品的价格为</w:t>
      </w:r>
      <w:r>
        <w:rPr>
          <w:rFonts w:hint="eastAsia" w:ascii="宋体" w:hAnsi="宋体" w:eastAsia="宋体" w:cs="宋体"/>
          <w:color w:val="auto"/>
          <w:sz w:val="24"/>
          <w:highlight w:val="none"/>
          <w:u w:val="single"/>
        </w:rPr>
        <w:t>　　  （用文字和数字表示），占投标总价   %</w:t>
      </w:r>
      <w:r>
        <w:rPr>
          <w:rFonts w:hint="eastAsia" w:ascii="宋体" w:hAnsi="宋体" w:eastAsia="宋体" w:cs="宋体"/>
          <w:color w:val="auto"/>
          <w:sz w:val="24"/>
          <w:highlight w:val="none"/>
        </w:rPr>
        <w:t>。</w:t>
      </w:r>
    </w:p>
    <w:p w14:paraId="0FC52027">
      <w:pPr>
        <w:pStyle w:val="13"/>
        <w:tabs>
          <w:tab w:val="left" w:pos="5580"/>
        </w:tabs>
        <w:spacing w:line="240" w:lineRule="atLeast"/>
        <w:ind w:left="1079"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（2）本投标有效期为自投标截止之日起</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个日历日。</w:t>
      </w:r>
    </w:p>
    <w:p w14:paraId="498087FF">
      <w:pPr>
        <w:pStyle w:val="13"/>
        <w:tabs>
          <w:tab w:val="left" w:pos="5580"/>
        </w:tabs>
        <w:spacing w:line="240" w:lineRule="atLeast"/>
        <w:ind w:left="1079"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（3）联合体中的大中型企业和其他自然人、法人或者非法人组织，与联合体中的小型、微型企业之间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存在、不存在）投资关系（如果是联合体的话）。</w:t>
      </w:r>
    </w:p>
    <w:p w14:paraId="7C5882DB">
      <w:pPr>
        <w:pStyle w:val="13"/>
        <w:tabs>
          <w:tab w:val="left" w:pos="5580"/>
        </w:tabs>
        <w:spacing w:line="240" w:lineRule="atLeast"/>
        <w:ind w:left="1079"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（4）已详细审查全部招标文件，包括所有补充通知（如果有的话），完全理解并同意放弃对这方面有不明、误解和质疑的权力。</w:t>
      </w:r>
    </w:p>
    <w:p w14:paraId="4F67D1A1">
      <w:pPr>
        <w:pStyle w:val="13"/>
        <w:tabs>
          <w:tab w:val="left" w:pos="5580"/>
        </w:tabs>
        <w:spacing w:line="240" w:lineRule="atLeast"/>
        <w:ind w:left="1079"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（5）在规定的开标时间后，遵守招标文件中有关保证金的规定。</w:t>
      </w:r>
    </w:p>
    <w:p w14:paraId="1ECF2426">
      <w:pPr>
        <w:pStyle w:val="13"/>
        <w:tabs>
          <w:tab w:val="left" w:pos="5580"/>
        </w:tabs>
        <w:spacing w:line="240" w:lineRule="atLeast"/>
        <w:ind w:left="1079"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（6）我方不是为本项目提供整体设计、规范编制或者项目管理、监理、检测等服务的供应商，我方不是采购代理机构的附属机构。</w:t>
      </w:r>
    </w:p>
    <w:p w14:paraId="4067BBE8">
      <w:pPr>
        <w:pStyle w:val="13"/>
        <w:tabs>
          <w:tab w:val="left" w:pos="5580"/>
        </w:tabs>
        <w:spacing w:line="240" w:lineRule="atLeast"/>
        <w:ind w:left="1079"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（7）在领取中标通知书的同时按招标文件规定的形式，向贵方一次性支付中标服务费。</w:t>
      </w:r>
    </w:p>
    <w:p w14:paraId="59CB1D21">
      <w:pPr>
        <w:pStyle w:val="13"/>
        <w:tabs>
          <w:tab w:val="left" w:pos="5580"/>
        </w:tabs>
        <w:spacing w:line="240" w:lineRule="atLeast"/>
        <w:ind w:left="1079"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（8）按照贵方可能要求，提供与其投标有关的一切数据或资料，完全理解贵方不一定接受最低价的投标或收到的任何投标。</w:t>
      </w:r>
    </w:p>
    <w:p w14:paraId="21877C73">
      <w:pPr>
        <w:pStyle w:val="13"/>
        <w:tabs>
          <w:tab w:val="left" w:pos="5580"/>
        </w:tabs>
        <w:spacing w:line="240" w:lineRule="atLeast"/>
        <w:ind w:left="1079"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（9）按照招标文件的规定履行合同责任和义务。</w:t>
      </w:r>
    </w:p>
    <w:p w14:paraId="09890683">
      <w:pPr>
        <w:pStyle w:val="13"/>
        <w:tabs>
          <w:tab w:val="left" w:pos="5580"/>
        </w:tabs>
        <w:spacing w:line="240" w:lineRule="atLeast"/>
        <w:ind w:left="358" w:leftChars="68" w:hanging="216" w:hangingChars="9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与本投标有关的一切正式往来信函请寄：</w:t>
      </w:r>
    </w:p>
    <w:p w14:paraId="5B80EF64">
      <w:pPr>
        <w:pStyle w:val="13"/>
        <w:tabs>
          <w:tab w:val="left" w:pos="5580"/>
        </w:tabs>
        <w:spacing w:line="240" w:lineRule="atLeast"/>
        <w:ind w:left="1079"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地址</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xml:space="preserve">     传真</w:t>
      </w:r>
      <w:r>
        <w:rPr>
          <w:rFonts w:hint="eastAsia" w:ascii="宋体" w:hAnsi="宋体" w:eastAsia="宋体" w:cs="宋体"/>
          <w:color w:val="auto"/>
          <w:sz w:val="24"/>
          <w:highlight w:val="none"/>
          <w:u w:val="single"/>
        </w:rPr>
        <w:t xml:space="preserve">                             </w:t>
      </w:r>
    </w:p>
    <w:p w14:paraId="6D656356">
      <w:pPr>
        <w:pStyle w:val="13"/>
        <w:tabs>
          <w:tab w:val="left" w:pos="5580"/>
        </w:tabs>
        <w:spacing w:line="240" w:lineRule="atLeast"/>
        <w:ind w:left="1079" w:leftChars="257" w:hanging="540"/>
        <w:rPr>
          <w:rFonts w:hint="eastAsia" w:ascii="宋体" w:hAnsi="宋体" w:eastAsia="宋体" w:cs="宋体"/>
          <w:b/>
          <w:color w:val="auto"/>
          <w:sz w:val="24"/>
          <w:highlight w:val="none"/>
        </w:rPr>
      </w:pPr>
      <w:r>
        <w:rPr>
          <w:rFonts w:hint="eastAsia" w:ascii="宋体" w:hAnsi="宋体" w:eastAsia="宋体" w:cs="宋体"/>
          <w:color w:val="auto"/>
          <w:sz w:val="24"/>
          <w:highlight w:val="none"/>
        </w:rPr>
        <w:t>电话</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xml:space="preserve">     电子函件</w:t>
      </w:r>
      <w:r>
        <w:rPr>
          <w:rFonts w:hint="eastAsia" w:ascii="宋体" w:hAnsi="宋体" w:eastAsia="宋体" w:cs="宋体"/>
          <w:color w:val="auto"/>
          <w:sz w:val="24"/>
          <w:highlight w:val="none"/>
          <w:u w:val="single"/>
        </w:rPr>
        <w:t xml:space="preserve">                         </w:t>
      </w:r>
    </w:p>
    <w:p w14:paraId="71EF1EFC">
      <w:pPr>
        <w:pStyle w:val="13"/>
        <w:tabs>
          <w:tab w:val="left" w:pos="5580"/>
        </w:tabs>
        <w:spacing w:line="240" w:lineRule="atLeast"/>
        <w:ind w:left="1079" w:leftChars="257" w:hanging="540"/>
        <w:rPr>
          <w:rFonts w:hint="eastAsia" w:ascii="宋体" w:hAnsi="宋体" w:eastAsia="宋体" w:cs="宋体"/>
          <w:color w:val="auto"/>
          <w:sz w:val="24"/>
          <w:highlight w:val="none"/>
        </w:rPr>
      </w:pPr>
    </w:p>
    <w:p w14:paraId="7C1AD417">
      <w:pPr>
        <w:pStyle w:val="13"/>
        <w:tabs>
          <w:tab w:val="left" w:pos="5580"/>
        </w:tabs>
        <w:spacing w:line="240" w:lineRule="atLeast"/>
        <w:ind w:left="1079"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法定代表人或其委托代理人签字-----------------</w:t>
      </w:r>
    </w:p>
    <w:p w14:paraId="1E7642A5">
      <w:pPr>
        <w:pStyle w:val="13"/>
        <w:tabs>
          <w:tab w:val="left" w:pos="5580"/>
        </w:tabs>
        <w:spacing w:line="240" w:lineRule="atLeast"/>
        <w:ind w:left="1079"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投标人名称（全称）-----------------</w:t>
      </w:r>
    </w:p>
    <w:p w14:paraId="787511E5">
      <w:pPr>
        <w:pStyle w:val="13"/>
        <w:tabs>
          <w:tab w:val="left" w:pos="5580"/>
        </w:tabs>
        <w:spacing w:line="240" w:lineRule="atLeast"/>
        <w:ind w:left="1079"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投标人开户银行（全称）</w:t>
      </w:r>
      <w:r>
        <w:rPr>
          <w:rFonts w:hint="eastAsia" w:ascii="宋体" w:hAnsi="宋体" w:eastAsia="宋体" w:cs="宋体"/>
          <w:color w:val="auto"/>
          <w:sz w:val="24"/>
          <w:highlight w:val="none"/>
          <w:u w:val="single"/>
        </w:rPr>
        <w:t xml:space="preserve">　　　　　　 </w:t>
      </w:r>
    </w:p>
    <w:p w14:paraId="655BF4F3">
      <w:pPr>
        <w:pStyle w:val="13"/>
        <w:tabs>
          <w:tab w:val="left" w:pos="5580"/>
        </w:tabs>
        <w:spacing w:line="240" w:lineRule="atLeast"/>
        <w:ind w:left="1079"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投标人银行帐号</w:t>
      </w:r>
      <w:r>
        <w:rPr>
          <w:rFonts w:hint="eastAsia" w:ascii="宋体" w:hAnsi="宋体" w:eastAsia="宋体" w:cs="宋体"/>
          <w:color w:val="auto"/>
          <w:sz w:val="24"/>
          <w:highlight w:val="none"/>
          <w:u w:val="single"/>
        </w:rPr>
        <w:t>　　　　　　　　 　　</w:t>
      </w:r>
    </w:p>
    <w:p w14:paraId="151DE930">
      <w:pPr>
        <w:pStyle w:val="13"/>
        <w:tabs>
          <w:tab w:val="left" w:pos="5580"/>
        </w:tabs>
        <w:spacing w:line="240" w:lineRule="atLeast"/>
        <w:ind w:left="1079"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投标人单位章</w:t>
      </w:r>
      <w:r>
        <w:rPr>
          <w:rFonts w:hint="eastAsia" w:ascii="宋体" w:hAnsi="宋体" w:eastAsia="宋体" w:cs="宋体"/>
          <w:color w:val="auto"/>
          <w:sz w:val="24"/>
          <w:highlight w:val="none"/>
          <w:u w:val="none"/>
        </w:rPr>
        <w:t>-------------------------</w:t>
      </w:r>
    </w:p>
    <w:p w14:paraId="07EDC29B">
      <w:pPr>
        <w:pStyle w:val="13"/>
        <w:tabs>
          <w:tab w:val="left" w:pos="5580"/>
        </w:tabs>
        <w:spacing w:line="240" w:lineRule="atLeast"/>
        <w:ind w:left="1079"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日期-------------------------------</w:t>
      </w:r>
    </w:p>
    <w:p w14:paraId="1E330322">
      <w:pPr>
        <w:pStyle w:val="13"/>
        <w:tabs>
          <w:tab w:val="left" w:pos="5580"/>
        </w:tabs>
        <w:spacing w:line="240" w:lineRule="atLeast"/>
        <w:rPr>
          <w:rFonts w:hint="eastAsia" w:ascii="宋体" w:hAnsi="宋体" w:eastAsia="宋体" w:cs="宋体"/>
          <w:color w:val="auto"/>
          <w:sz w:val="24"/>
          <w:highlight w:val="none"/>
          <w:lang w:val="en-US" w:eastAsia="zh-CN"/>
        </w:rPr>
        <w:sectPr>
          <w:footerReference r:id="rId5" w:type="default"/>
          <w:pgSz w:w="11906" w:h="16838"/>
          <w:pgMar w:top="1440" w:right="1701" w:bottom="1440" w:left="1701" w:header="851" w:footer="992" w:gutter="0"/>
          <w:pgBorders>
            <w:top w:val="none" w:sz="0" w:space="0"/>
            <w:left w:val="none" w:sz="0" w:space="0"/>
            <w:bottom w:val="none" w:sz="0" w:space="0"/>
            <w:right w:val="none" w:sz="0" w:space="0"/>
          </w:pgBorders>
          <w:pgNumType w:fmt="decimal" w:start="1"/>
          <w:cols w:space="720" w:num="1"/>
          <w:docGrid w:type="linesAndChars" w:linePitch="312" w:charSpace="0"/>
        </w:sectPr>
      </w:pPr>
    </w:p>
    <w:p w14:paraId="347CE5F7">
      <w:pPr>
        <w:pStyle w:val="3"/>
        <w:spacing w:before="0" w:line="240" w:lineRule="atLeast"/>
        <w:ind w:firstLine="4819" w:firstLineChars="2000"/>
        <w:jc w:val="left"/>
        <w:rPr>
          <w:rFonts w:hint="eastAsia" w:ascii="宋体" w:hAnsi="宋体" w:eastAsia="宋体" w:cs="宋体"/>
          <w:color w:val="auto"/>
          <w:sz w:val="24"/>
          <w:highlight w:val="none"/>
        </w:rPr>
      </w:pPr>
      <w:bookmarkStart w:id="317" w:name="_Toc216582815"/>
      <w:bookmarkStart w:id="318" w:name="_Toc1881"/>
      <w:bookmarkStart w:id="319" w:name="_Toc20897"/>
      <w:bookmarkStart w:id="320" w:name="_Toc10388"/>
      <w:bookmarkStart w:id="321" w:name="_Toc515647818"/>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 xml:space="preserve">   投标分项报价表</w:t>
      </w:r>
      <w:bookmarkEnd w:id="317"/>
      <w:r>
        <w:rPr>
          <w:rFonts w:hint="eastAsia" w:ascii="宋体" w:hAnsi="宋体" w:eastAsia="宋体" w:cs="宋体"/>
          <w:color w:val="auto"/>
          <w:sz w:val="24"/>
          <w:highlight w:val="none"/>
        </w:rPr>
        <w:t>（投标文件格式</w:t>
      </w:r>
      <w:r>
        <w:rPr>
          <w:rFonts w:hint="eastAsia" w:ascii="宋体" w:hAnsi="宋体" w:eastAsia="宋体" w:cs="宋体"/>
          <w:color w:val="auto"/>
          <w:sz w:val="24"/>
          <w:highlight w:val="none"/>
          <w:lang w:val="en-US" w:eastAsia="zh-CN"/>
        </w:rPr>
        <w:t>二</w:t>
      </w:r>
      <w:r>
        <w:rPr>
          <w:rFonts w:hint="eastAsia" w:ascii="宋体" w:hAnsi="宋体" w:eastAsia="宋体" w:cs="宋体"/>
          <w:color w:val="auto"/>
          <w:sz w:val="24"/>
          <w:highlight w:val="none"/>
        </w:rPr>
        <w:t>）</w:t>
      </w:r>
      <w:bookmarkEnd w:id="318"/>
      <w:bookmarkEnd w:id="319"/>
      <w:bookmarkEnd w:id="320"/>
      <w:bookmarkEnd w:id="321"/>
    </w:p>
    <w:p w14:paraId="37A0BE3A">
      <w:pPr>
        <w:pStyle w:val="13"/>
        <w:spacing w:line="240" w:lineRule="atLeast"/>
        <w:ind w:left="1080" w:leftChars="257" w:hanging="540"/>
        <w:rPr>
          <w:rFonts w:hint="eastAsia" w:ascii="宋体" w:hAnsi="宋体" w:eastAsia="宋体" w:cs="宋体"/>
          <w:color w:val="auto"/>
          <w:sz w:val="24"/>
          <w:highlight w:val="none"/>
        </w:rPr>
      </w:pPr>
    </w:p>
    <w:p w14:paraId="5BBBF7C8">
      <w:pPr>
        <w:pStyle w:val="13"/>
        <w:spacing w:line="240" w:lineRule="atLeast"/>
        <w:ind w:firstLine="1200" w:firstLineChars="5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项目名称: </w:t>
      </w:r>
      <w:r>
        <w:rPr>
          <w:rFonts w:hint="eastAsia" w:hAnsi="宋体" w:cs="宋体"/>
          <w:color w:val="auto"/>
          <w:sz w:val="24"/>
          <w:highlight w:val="none"/>
          <w:lang w:eastAsia="zh-CN"/>
        </w:rPr>
        <w:t>新疆维吾尔自治区地质局喀什地质大队2025年度专业地质设备采购项目</w:t>
      </w:r>
      <w:r>
        <w:rPr>
          <w:rFonts w:hint="eastAsia" w:ascii="宋体" w:hAnsi="宋体" w:eastAsia="宋体" w:cs="宋体"/>
          <w:color w:val="auto"/>
          <w:sz w:val="24"/>
          <w:highlight w:val="none"/>
        </w:rPr>
        <w:t xml:space="preserve">                     </w:t>
      </w:r>
    </w:p>
    <w:tbl>
      <w:tblPr>
        <w:tblStyle w:val="3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65"/>
        <w:gridCol w:w="2489"/>
        <w:gridCol w:w="2310"/>
        <w:gridCol w:w="1484"/>
        <w:gridCol w:w="1441"/>
        <w:gridCol w:w="1215"/>
        <w:gridCol w:w="1020"/>
      </w:tblGrid>
      <w:tr w14:paraId="285BB2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jc w:val="center"/>
        </w:trPr>
        <w:tc>
          <w:tcPr>
            <w:tcW w:w="1665" w:type="dxa"/>
            <w:noWrap w:val="0"/>
            <w:vAlign w:val="center"/>
          </w:tcPr>
          <w:p w14:paraId="6B99061C">
            <w:pPr>
              <w:pStyle w:val="13"/>
              <w:spacing w:line="240" w:lineRule="atLeast"/>
              <w:ind w:left="269" w:leftChars="128"/>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序号</w:t>
            </w:r>
          </w:p>
        </w:tc>
        <w:tc>
          <w:tcPr>
            <w:tcW w:w="2489" w:type="dxa"/>
            <w:noWrap w:val="0"/>
            <w:vAlign w:val="center"/>
          </w:tcPr>
          <w:p w14:paraId="55485280">
            <w:pPr>
              <w:pStyle w:val="13"/>
              <w:spacing w:line="240" w:lineRule="atLeast"/>
              <w:ind w:left="269" w:leftChars="128"/>
              <w:jc w:val="center"/>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color w:val="auto"/>
                <w:sz w:val="24"/>
                <w:highlight w:val="none"/>
                <w:lang w:val="en-US" w:eastAsia="zh-CN"/>
              </w:rPr>
              <w:t>货物名称</w:t>
            </w:r>
          </w:p>
        </w:tc>
        <w:tc>
          <w:tcPr>
            <w:tcW w:w="2310" w:type="dxa"/>
            <w:noWrap w:val="0"/>
            <w:vAlign w:val="center"/>
          </w:tcPr>
          <w:p w14:paraId="729BAA16">
            <w:pPr>
              <w:pStyle w:val="13"/>
              <w:spacing w:line="240" w:lineRule="atLeas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型号和规格</w:t>
            </w:r>
          </w:p>
        </w:tc>
        <w:tc>
          <w:tcPr>
            <w:tcW w:w="1484" w:type="dxa"/>
            <w:noWrap w:val="0"/>
            <w:vAlign w:val="center"/>
          </w:tcPr>
          <w:p w14:paraId="4C36659C">
            <w:pPr>
              <w:pStyle w:val="13"/>
              <w:spacing w:line="240" w:lineRule="atLeas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数量</w:t>
            </w:r>
          </w:p>
        </w:tc>
        <w:tc>
          <w:tcPr>
            <w:tcW w:w="1441" w:type="dxa"/>
            <w:noWrap w:val="0"/>
            <w:vAlign w:val="center"/>
          </w:tcPr>
          <w:p w14:paraId="6FF1F7EE">
            <w:pPr>
              <w:pStyle w:val="13"/>
              <w:tabs>
                <w:tab w:val="left" w:pos="248"/>
              </w:tabs>
              <w:spacing w:line="240" w:lineRule="atLeast"/>
              <w:jc w:val="lef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ab/>
            </w:r>
            <w:r>
              <w:rPr>
                <w:rFonts w:hint="eastAsia" w:ascii="宋体" w:hAnsi="宋体" w:eastAsia="宋体" w:cs="宋体"/>
                <w:color w:val="auto"/>
                <w:sz w:val="24"/>
                <w:highlight w:val="none"/>
                <w:lang w:val="en-US" w:eastAsia="zh-CN"/>
              </w:rPr>
              <w:t>单价（元）</w:t>
            </w:r>
          </w:p>
        </w:tc>
        <w:tc>
          <w:tcPr>
            <w:tcW w:w="1215" w:type="dxa"/>
            <w:noWrap w:val="0"/>
            <w:vAlign w:val="center"/>
          </w:tcPr>
          <w:p w14:paraId="6B478870">
            <w:pPr>
              <w:pStyle w:val="13"/>
              <w:spacing w:line="240" w:lineRule="atLeas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合价（元）</w:t>
            </w:r>
          </w:p>
        </w:tc>
        <w:tc>
          <w:tcPr>
            <w:tcW w:w="1020" w:type="dxa"/>
            <w:noWrap w:val="0"/>
            <w:vAlign w:val="center"/>
          </w:tcPr>
          <w:p w14:paraId="2582822C">
            <w:pPr>
              <w:pStyle w:val="13"/>
              <w:spacing w:line="240" w:lineRule="atLeas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备注</w:t>
            </w:r>
          </w:p>
        </w:tc>
      </w:tr>
      <w:tr w14:paraId="4E3065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jc w:val="center"/>
        </w:trPr>
        <w:tc>
          <w:tcPr>
            <w:tcW w:w="1665" w:type="dxa"/>
            <w:noWrap w:val="0"/>
            <w:vAlign w:val="center"/>
          </w:tcPr>
          <w:p w14:paraId="0774F1F7">
            <w:pPr>
              <w:pStyle w:val="13"/>
              <w:spacing w:line="240" w:lineRule="atLeas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w:t>
            </w:r>
          </w:p>
        </w:tc>
        <w:tc>
          <w:tcPr>
            <w:tcW w:w="2489" w:type="dxa"/>
            <w:noWrap w:val="0"/>
            <w:vAlign w:val="center"/>
          </w:tcPr>
          <w:p w14:paraId="120C853B">
            <w:pPr>
              <w:widowControl/>
              <w:jc w:val="center"/>
              <w:textAlignment w:val="center"/>
              <w:rPr>
                <w:rFonts w:hint="eastAsia" w:ascii="宋体" w:hAnsi="宋体" w:eastAsia="宋体" w:cs="宋体"/>
                <w:color w:val="auto"/>
                <w:kern w:val="0"/>
                <w:sz w:val="22"/>
                <w:szCs w:val="22"/>
                <w:highlight w:val="none"/>
                <w:lang w:bidi="ar"/>
              </w:rPr>
            </w:pPr>
          </w:p>
        </w:tc>
        <w:tc>
          <w:tcPr>
            <w:tcW w:w="2310" w:type="dxa"/>
            <w:noWrap w:val="0"/>
            <w:vAlign w:val="center"/>
          </w:tcPr>
          <w:p w14:paraId="64226ACD">
            <w:pPr>
              <w:widowControl/>
              <w:jc w:val="center"/>
              <w:textAlignment w:val="center"/>
              <w:rPr>
                <w:rFonts w:hint="eastAsia" w:ascii="宋体" w:hAnsi="宋体" w:eastAsia="宋体" w:cs="宋体"/>
                <w:color w:val="auto"/>
                <w:sz w:val="24"/>
                <w:highlight w:val="none"/>
              </w:rPr>
            </w:pPr>
          </w:p>
        </w:tc>
        <w:tc>
          <w:tcPr>
            <w:tcW w:w="1484" w:type="dxa"/>
            <w:noWrap w:val="0"/>
            <w:vAlign w:val="center"/>
          </w:tcPr>
          <w:p w14:paraId="242C3FA8">
            <w:pPr>
              <w:widowControl/>
              <w:jc w:val="center"/>
              <w:textAlignment w:val="center"/>
              <w:rPr>
                <w:rFonts w:hint="eastAsia" w:ascii="宋体" w:hAnsi="宋体" w:eastAsia="宋体" w:cs="宋体"/>
                <w:color w:val="auto"/>
                <w:sz w:val="24"/>
                <w:highlight w:val="none"/>
              </w:rPr>
            </w:pPr>
          </w:p>
        </w:tc>
        <w:tc>
          <w:tcPr>
            <w:tcW w:w="1441" w:type="dxa"/>
            <w:noWrap w:val="0"/>
            <w:vAlign w:val="center"/>
          </w:tcPr>
          <w:p w14:paraId="3BB836E6">
            <w:pPr>
              <w:pStyle w:val="13"/>
              <w:spacing w:line="240" w:lineRule="atLeast"/>
              <w:jc w:val="center"/>
              <w:rPr>
                <w:rFonts w:hint="eastAsia" w:ascii="宋体" w:hAnsi="宋体" w:eastAsia="宋体" w:cs="宋体"/>
                <w:color w:val="auto"/>
                <w:sz w:val="24"/>
                <w:highlight w:val="none"/>
                <w:lang w:val="en-US" w:eastAsia="zh-CN"/>
              </w:rPr>
            </w:pPr>
          </w:p>
        </w:tc>
        <w:tc>
          <w:tcPr>
            <w:tcW w:w="1215" w:type="dxa"/>
            <w:noWrap w:val="0"/>
            <w:vAlign w:val="center"/>
          </w:tcPr>
          <w:p w14:paraId="2E3ED007">
            <w:pPr>
              <w:pStyle w:val="13"/>
              <w:spacing w:line="240" w:lineRule="atLeast"/>
              <w:jc w:val="center"/>
              <w:rPr>
                <w:rFonts w:hint="eastAsia" w:ascii="宋体" w:hAnsi="宋体" w:eastAsia="宋体" w:cs="宋体"/>
                <w:color w:val="auto"/>
                <w:sz w:val="24"/>
                <w:highlight w:val="none"/>
                <w:lang w:val="en-US" w:eastAsia="zh-CN"/>
              </w:rPr>
            </w:pPr>
          </w:p>
        </w:tc>
        <w:tc>
          <w:tcPr>
            <w:tcW w:w="1020" w:type="dxa"/>
            <w:noWrap w:val="0"/>
            <w:vAlign w:val="center"/>
          </w:tcPr>
          <w:p w14:paraId="10226B96">
            <w:pPr>
              <w:pStyle w:val="13"/>
              <w:spacing w:line="240" w:lineRule="atLeast"/>
              <w:jc w:val="center"/>
              <w:rPr>
                <w:rFonts w:hint="eastAsia" w:ascii="宋体" w:hAnsi="宋体" w:eastAsia="宋体" w:cs="宋体"/>
                <w:color w:val="auto"/>
                <w:sz w:val="24"/>
                <w:highlight w:val="none"/>
                <w:lang w:val="en-US" w:eastAsia="zh-CN"/>
              </w:rPr>
            </w:pPr>
          </w:p>
        </w:tc>
      </w:tr>
      <w:tr w14:paraId="1623A8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jc w:val="center"/>
        </w:trPr>
        <w:tc>
          <w:tcPr>
            <w:tcW w:w="1665" w:type="dxa"/>
            <w:noWrap w:val="0"/>
            <w:vAlign w:val="center"/>
          </w:tcPr>
          <w:p w14:paraId="0279C784">
            <w:pPr>
              <w:pStyle w:val="13"/>
              <w:spacing w:line="240" w:lineRule="atLeas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w:t>
            </w:r>
          </w:p>
        </w:tc>
        <w:tc>
          <w:tcPr>
            <w:tcW w:w="2489" w:type="dxa"/>
            <w:noWrap w:val="0"/>
            <w:vAlign w:val="center"/>
          </w:tcPr>
          <w:p w14:paraId="63A25CC4">
            <w:pPr>
              <w:widowControl/>
              <w:jc w:val="center"/>
              <w:textAlignment w:val="center"/>
              <w:rPr>
                <w:rFonts w:hint="eastAsia" w:ascii="宋体" w:hAnsi="宋体" w:eastAsia="宋体" w:cs="宋体"/>
                <w:color w:val="auto"/>
                <w:kern w:val="0"/>
                <w:sz w:val="22"/>
                <w:szCs w:val="22"/>
                <w:highlight w:val="none"/>
                <w:lang w:bidi="ar"/>
              </w:rPr>
            </w:pPr>
          </w:p>
        </w:tc>
        <w:tc>
          <w:tcPr>
            <w:tcW w:w="2310" w:type="dxa"/>
            <w:noWrap w:val="0"/>
            <w:vAlign w:val="center"/>
          </w:tcPr>
          <w:p w14:paraId="23A3467F">
            <w:pPr>
              <w:widowControl/>
              <w:jc w:val="center"/>
              <w:textAlignment w:val="center"/>
              <w:rPr>
                <w:rFonts w:hint="eastAsia" w:ascii="宋体" w:hAnsi="宋体" w:eastAsia="宋体" w:cs="宋体"/>
                <w:color w:val="auto"/>
                <w:sz w:val="24"/>
                <w:highlight w:val="none"/>
              </w:rPr>
            </w:pPr>
          </w:p>
        </w:tc>
        <w:tc>
          <w:tcPr>
            <w:tcW w:w="1484" w:type="dxa"/>
            <w:noWrap w:val="0"/>
            <w:vAlign w:val="center"/>
          </w:tcPr>
          <w:p w14:paraId="5A5372B5">
            <w:pPr>
              <w:widowControl/>
              <w:jc w:val="center"/>
              <w:textAlignment w:val="center"/>
              <w:rPr>
                <w:rFonts w:hint="eastAsia" w:ascii="宋体" w:hAnsi="宋体" w:eastAsia="宋体" w:cs="宋体"/>
                <w:color w:val="auto"/>
                <w:sz w:val="24"/>
                <w:highlight w:val="none"/>
              </w:rPr>
            </w:pPr>
          </w:p>
        </w:tc>
        <w:tc>
          <w:tcPr>
            <w:tcW w:w="1441" w:type="dxa"/>
            <w:noWrap w:val="0"/>
            <w:vAlign w:val="center"/>
          </w:tcPr>
          <w:p w14:paraId="1ED77011">
            <w:pPr>
              <w:pStyle w:val="13"/>
              <w:spacing w:line="240" w:lineRule="atLeast"/>
              <w:jc w:val="center"/>
              <w:rPr>
                <w:rFonts w:hint="eastAsia" w:ascii="宋体" w:hAnsi="宋体" w:eastAsia="宋体" w:cs="宋体"/>
                <w:color w:val="auto"/>
                <w:sz w:val="24"/>
                <w:highlight w:val="none"/>
                <w:lang w:val="en-US" w:eastAsia="zh-CN"/>
              </w:rPr>
            </w:pPr>
          </w:p>
        </w:tc>
        <w:tc>
          <w:tcPr>
            <w:tcW w:w="1215" w:type="dxa"/>
            <w:noWrap w:val="0"/>
            <w:vAlign w:val="center"/>
          </w:tcPr>
          <w:p w14:paraId="2C44D004">
            <w:pPr>
              <w:pStyle w:val="13"/>
              <w:spacing w:line="240" w:lineRule="atLeast"/>
              <w:jc w:val="center"/>
              <w:rPr>
                <w:rFonts w:hint="eastAsia" w:ascii="宋体" w:hAnsi="宋体" w:eastAsia="宋体" w:cs="宋体"/>
                <w:color w:val="auto"/>
                <w:sz w:val="24"/>
                <w:highlight w:val="none"/>
                <w:lang w:val="en-US" w:eastAsia="zh-CN"/>
              </w:rPr>
            </w:pPr>
          </w:p>
        </w:tc>
        <w:tc>
          <w:tcPr>
            <w:tcW w:w="1020" w:type="dxa"/>
            <w:noWrap w:val="0"/>
            <w:vAlign w:val="center"/>
          </w:tcPr>
          <w:p w14:paraId="5FC58D91">
            <w:pPr>
              <w:pStyle w:val="13"/>
              <w:spacing w:line="240" w:lineRule="atLeast"/>
              <w:jc w:val="center"/>
              <w:rPr>
                <w:rFonts w:hint="eastAsia" w:ascii="宋体" w:hAnsi="宋体" w:eastAsia="宋体" w:cs="宋体"/>
                <w:color w:val="auto"/>
                <w:sz w:val="24"/>
                <w:highlight w:val="none"/>
                <w:lang w:val="en-US" w:eastAsia="zh-CN"/>
              </w:rPr>
            </w:pPr>
          </w:p>
        </w:tc>
      </w:tr>
      <w:tr w14:paraId="2D61CA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1665" w:type="dxa"/>
            <w:noWrap w:val="0"/>
            <w:vAlign w:val="center"/>
          </w:tcPr>
          <w:p w14:paraId="1520E5C9">
            <w:pPr>
              <w:pStyle w:val="13"/>
              <w:spacing w:line="240" w:lineRule="atLeas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w:t>
            </w:r>
          </w:p>
        </w:tc>
        <w:tc>
          <w:tcPr>
            <w:tcW w:w="2489" w:type="dxa"/>
            <w:noWrap w:val="0"/>
            <w:vAlign w:val="center"/>
          </w:tcPr>
          <w:p w14:paraId="4CB7ACA3">
            <w:pPr>
              <w:widowControl/>
              <w:jc w:val="center"/>
              <w:textAlignment w:val="center"/>
              <w:rPr>
                <w:rFonts w:hint="eastAsia" w:ascii="宋体" w:hAnsi="宋体" w:eastAsia="宋体" w:cs="宋体"/>
                <w:color w:val="auto"/>
                <w:kern w:val="0"/>
                <w:sz w:val="22"/>
                <w:szCs w:val="22"/>
                <w:highlight w:val="none"/>
                <w:lang w:bidi="ar"/>
              </w:rPr>
            </w:pPr>
          </w:p>
        </w:tc>
        <w:tc>
          <w:tcPr>
            <w:tcW w:w="2310" w:type="dxa"/>
            <w:noWrap w:val="0"/>
            <w:vAlign w:val="center"/>
          </w:tcPr>
          <w:p w14:paraId="7016A588">
            <w:pPr>
              <w:widowControl/>
              <w:jc w:val="center"/>
              <w:textAlignment w:val="center"/>
              <w:rPr>
                <w:rFonts w:hint="eastAsia" w:ascii="宋体" w:hAnsi="宋体" w:eastAsia="宋体" w:cs="宋体"/>
                <w:color w:val="auto"/>
                <w:sz w:val="24"/>
                <w:highlight w:val="none"/>
              </w:rPr>
            </w:pPr>
          </w:p>
        </w:tc>
        <w:tc>
          <w:tcPr>
            <w:tcW w:w="1484" w:type="dxa"/>
            <w:noWrap w:val="0"/>
            <w:vAlign w:val="center"/>
          </w:tcPr>
          <w:p w14:paraId="1217E216">
            <w:pPr>
              <w:widowControl/>
              <w:jc w:val="center"/>
              <w:textAlignment w:val="center"/>
              <w:rPr>
                <w:rFonts w:hint="eastAsia" w:ascii="宋体" w:hAnsi="宋体" w:eastAsia="宋体" w:cs="宋体"/>
                <w:color w:val="auto"/>
                <w:sz w:val="24"/>
                <w:highlight w:val="none"/>
              </w:rPr>
            </w:pPr>
          </w:p>
        </w:tc>
        <w:tc>
          <w:tcPr>
            <w:tcW w:w="1441" w:type="dxa"/>
            <w:noWrap w:val="0"/>
            <w:vAlign w:val="center"/>
          </w:tcPr>
          <w:p w14:paraId="0CB29BE3">
            <w:pPr>
              <w:pStyle w:val="13"/>
              <w:spacing w:line="240" w:lineRule="atLeast"/>
              <w:jc w:val="center"/>
              <w:rPr>
                <w:rFonts w:hint="eastAsia" w:ascii="宋体" w:hAnsi="宋体" w:eastAsia="宋体" w:cs="宋体"/>
                <w:color w:val="auto"/>
                <w:sz w:val="24"/>
                <w:highlight w:val="none"/>
                <w:lang w:val="en-US" w:eastAsia="zh-CN"/>
              </w:rPr>
            </w:pPr>
          </w:p>
        </w:tc>
        <w:tc>
          <w:tcPr>
            <w:tcW w:w="1215" w:type="dxa"/>
            <w:noWrap w:val="0"/>
            <w:vAlign w:val="center"/>
          </w:tcPr>
          <w:p w14:paraId="7CEFB9D3">
            <w:pPr>
              <w:pStyle w:val="13"/>
              <w:spacing w:line="240" w:lineRule="atLeast"/>
              <w:jc w:val="center"/>
              <w:rPr>
                <w:rFonts w:hint="eastAsia" w:ascii="宋体" w:hAnsi="宋体" w:eastAsia="宋体" w:cs="宋体"/>
                <w:color w:val="auto"/>
                <w:sz w:val="24"/>
                <w:highlight w:val="none"/>
                <w:lang w:val="en-US" w:eastAsia="zh-CN"/>
              </w:rPr>
            </w:pPr>
          </w:p>
        </w:tc>
        <w:tc>
          <w:tcPr>
            <w:tcW w:w="1020" w:type="dxa"/>
            <w:noWrap w:val="0"/>
            <w:vAlign w:val="center"/>
          </w:tcPr>
          <w:p w14:paraId="418E6341">
            <w:pPr>
              <w:pStyle w:val="13"/>
              <w:spacing w:line="240" w:lineRule="atLeast"/>
              <w:jc w:val="center"/>
              <w:rPr>
                <w:rFonts w:hint="eastAsia" w:ascii="宋体" w:hAnsi="宋体" w:eastAsia="宋体" w:cs="宋体"/>
                <w:color w:val="auto"/>
                <w:sz w:val="24"/>
                <w:highlight w:val="none"/>
                <w:lang w:val="en-US" w:eastAsia="zh-CN"/>
              </w:rPr>
            </w:pPr>
          </w:p>
        </w:tc>
      </w:tr>
      <w:tr w14:paraId="354225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1665" w:type="dxa"/>
            <w:noWrap w:val="0"/>
            <w:vAlign w:val="center"/>
          </w:tcPr>
          <w:p w14:paraId="60BEE4D0">
            <w:pPr>
              <w:pStyle w:val="13"/>
              <w:spacing w:line="240" w:lineRule="atLeas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4.</w:t>
            </w:r>
          </w:p>
        </w:tc>
        <w:tc>
          <w:tcPr>
            <w:tcW w:w="2489" w:type="dxa"/>
            <w:noWrap w:val="0"/>
            <w:vAlign w:val="center"/>
          </w:tcPr>
          <w:p w14:paraId="40BA6C62">
            <w:pPr>
              <w:widowControl/>
              <w:jc w:val="center"/>
              <w:textAlignment w:val="center"/>
              <w:rPr>
                <w:rFonts w:hint="eastAsia" w:ascii="宋体" w:hAnsi="宋体" w:eastAsia="宋体" w:cs="宋体"/>
                <w:color w:val="auto"/>
                <w:kern w:val="0"/>
                <w:sz w:val="22"/>
                <w:szCs w:val="22"/>
                <w:highlight w:val="none"/>
                <w:lang w:bidi="ar"/>
              </w:rPr>
            </w:pPr>
          </w:p>
        </w:tc>
        <w:tc>
          <w:tcPr>
            <w:tcW w:w="2310" w:type="dxa"/>
            <w:noWrap w:val="0"/>
            <w:vAlign w:val="center"/>
          </w:tcPr>
          <w:p w14:paraId="32F7C0C6">
            <w:pPr>
              <w:widowControl/>
              <w:jc w:val="center"/>
              <w:textAlignment w:val="center"/>
              <w:rPr>
                <w:rFonts w:hint="eastAsia" w:ascii="宋体" w:hAnsi="宋体" w:eastAsia="宋体" w:cs="宋体"/>
                <w:color w:val="auto"/>
                <w:sz w:val="24"/>
                <w:highlight w:val="none"/>
              </w:rPr>
            </w:pPr>
          </w:p>
        </w:tc>
        <w:tc>
          <w:tcPr>
            <w:tcW w:w="1484" w:type="dxa"/>
            <w:noWrap w:val="0"/>
            <w:vAlign w:val="center"/>
          </w:tcPr>
          <w:p w14:paraId="378AC251">
            <w:pPr>
              <w:widowControl/>
              <w:jc w:val="center"/>
              <w:textAlignment w:val="center"/>
              <w:rPr>
                <w:rFonts w:hint="eastAsia" w:ascii="宋体" w:hAnsi="宋体" w:eastAsia="宋体" w:cs="宋体"/>
                <w:color w:val="auto"/>
                <w:sz w:val="24"/>
                <w:highlight w:val="none"/>
              </w:rPr>
            </w:pPr>
          </w:p>
        </w:tc>
        <w:tc>
          <w:tcPr>
            <w:tcW w:w="1441" w:type="dxa"/>
            <w:noWrap w:val="0"/>
            <w:vAlign w:val="center"/>
          </w:tcPr>
          <w:p w14:paraId="08D3BD44">
            <w:pPr>
              <w:pStyle w:val="13"/>
              <w:spacing w:line="240" w:lineRule="atLeast"/>
              <w:jc w:val="center"/>
              <w:rPr>
                <w:rFonts w:hint="eastAsia" w:ascii="宋体" w:hAnsi="宋体" w:eastAsia="宋体" w:cs="宋体"/>
                <w:color w:val="auto"/>
                <w:sz w:val="24"/>
                <w:highlight w:val="none"/>
                <w:lang w:val="en-US" w:eastAsia="zh-CN"/>
              </w:rPr>
            </w:pPr>
          </w:p>
        </w:tc>
        <w:tc>
          <w:tcPr>
            <w:tcW w:w="1215" w:type="dxa"/>
            <w:noWrap w:val="0"/>
            <w:vAlign w:val="center"/>
          </w:tcPr>
          <w:p w14:paraId="5A6531AE">
            <w:pPr>
              <w:pStyle w:val="13"/>
              <w:spacing w:line="240" w:lineRule="atLeast"/>
              <w:jc w:val="center"/>
              <w:rPr>
                <w:rFonts w:hint="eastAsia" w:ascii="宋体" w:hAnsi="宋体" w:eastAsia="宋体" w:cs="宋体"/>
                <w:color w:val="auto"/>
                <w:sz w:val="24"/>
                <w:highlight w:val="none"/>
                <w:lang w:val="en-US" w:eastAsia="zh-CN"/>
              </w:rPr>
            </w:pPr>
          </w:p>
        </w:tc>
        <w:tc>
          <w:tcPr>
            <w:tcW w:w="1020" w:type="dxa"/>
            <w:noWrap w:val="0"/>
            <w:vAlign w:val="center"/>
          </w:tcPr>
          <w:p w14:paraId="0596FEED">
            <w:pPr>
              <w:pStyle w:val="13"/>
              <w:spacing w:line="240" w:lineRule="atLeast"/>
              <w:jc w:val="center"/>
              <w:rPr>
                <w:rFonts w:hint="eastAsia" w:ascii="宋体" w:hAnsi="宋体" w:eastAsia="宋体" w:cs="宋体"/>
                <w:color w:val="auto"/>
                <w:sz w:val="24"/>
                <w:highlight w:val="none"/>
                <w:lang w:val="en-US" w:eastAsia="zh-CN"/>
              </w:rPr>
            </w:pPr>
          </w:p>
        </w:tc>
      </w:tr>
      <w:tr w14:paraId="6F3605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 w:hRule="atLeast"/>
          <w:jc w:val="center"/>
        </w:trPr>
        <w:tc>
          <w:tcPr>
            <w:tcW w:w="1665" w:type="dxa"/>
            <w:noWrap w:val="0"/>
            <w:vAlign w:val="center"/>
          </w:tcPr>
          <w:p w14:paraId="7A1D4925">
            <w:pPr>
              <w:pStyle w:val="13"/>
              <w:spacing w:line="240" w:lineRule="atLeas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5.</w:t>
            </w:r>
          </w:p>
        </w:tc>
        <w:tc>
          <w:tcPr>
            <w:tcW w:w="2489" w:type="dxa"/>
            <w:noWrap w:val="0"/>
            <w:vAlign w:val="center"/>
          </w:tcPr>
          <w:p w14:paraId="22C57659">
            <w:pPr>
              <w:widowControl/>
              <w:jc w:val="center"/>
              <w:textAlignment w:val="center"/>
              <w:rPr>
                <w:rFonts w:hint="eastAsia" w:ascii="宋体" w:hAnsi="宋体" w:eastAsia="宋体" w:cs="宋体"/>
                <w:color w:val="auto"/>
                <w:kern w:val="0"/>
                <w:sz w:val="22"/>
                <w:szCs w:val="22"/>
                <w:highlight w:val="none"/>
                <w:lang w:bidi="ar"/>
              </w:rPr>
            </w:pPr>
          </w:p>
        </w:tc>
        <w:tc>
          <w:tcPr>
            <w:tcW w:w="2310" w:type="dxa"/>
            <w:noWrap w:val="0"/>
            <w:vAlign w:val="center"/>
          </w:tcPr>
          <w:p w14:paraId="2F840D9F">
            <w:pPr>
              <w:widowControl/>
              <w:jc w:val="center"/>
              <w:textAlignment w:val="center"/>
              <w:rPr>
                <w:rFonts w:hint="eastAsia" w:ascii="宋体" w:hAnsi="宋体" w:eastAsia="宋体" w:cs="宋体"/>
                <w:color w:val="auto"/>
                <w:sz w:val="24"/>
                <w:highlight w:val="none"/>
              </w:rPr>
            </w:pPr>
          </w:p>
        </w:tc>
        <w:tc>
          <w:tcPr>
            <w:tcW w:w="1484" w:type="dxa"/>
            <w:noWrap w:val="0"/>
            <w:vAlign w:val="center"/>
          </w:tcPr>
          <w:p w14:paraId="75E73F8B">
            <w:pPr>
              <w:widowControl/>
              <w:jc w:val="center"/>
              <w:textAlignment w:val="center"/>
              <w:rPr>
                <w:rFonts w:hint="eastAsia" w:ascii="宋体" w:hAnsi="宋体" w:eastAsia="宋体" w:cs="宋体"/>
                <w:color w:val="auto"/>
                <w:sz w:val="24"/>
                <w:highlight w:val="none"/>
              </w:rPr>
            </w:pPr>
          </w:p>
        </w:tc>
        <w:tc>
          <w:tcPr>
            <w:tcW w:w="1441" w:type="dxa"/>
            <w:noWrap w:val="0"/>
            <w:vAlign w:val="center"/>
          </w:tcPr>
          <w:p w14:paraId="5CDF9086">
            <w:pPr>
              <w:pStyle w:val="13"/>
              <w:spacing w:line="240" w:lineRule="atLeast"/>
              <w:jc w:val="center"/>
              <w:rPr>
                <w:rFonts w:hint="eastAsia" w:ascii="宋体" w:hAnsi="宋体" w:eastAsia="宋体" w:cs="宋体"/>
                <w:color w:val="auto"/>
                <w:sz w:val="24"/>
                <w:highlight w:val="none"/>
                <w:lang w:val="en-US" w:eastAsia="zh-CN"/>
              </w:rPr>
            </w:pPr>
          </w:p>
        </w:tc>
        <w:tc>
          <w:tcPr>
            <w:tcW w:w="1215" w:type="dxa"/>
            <w:noWrap w:val="0"/>
            <w:vAlign w:val="center"/>
          </w:tcPr>
          <w:p w14:paraId="5DBFCFC5">
            <w:pPr>
              <w:pStyle w:val="13"/>
              <w:spacing w:line="240" w:lineRule="atLeast"/>
              <w:jc w:val="center"/>
              <w:rPr>
                <w:rFonts w:hint="eastAsia" w:ascii="宋体" w:hAnsi="宋体" w:eastAsia="宋体" w:cs="宋体"/>
                <w:color w:val="auto"/>
                <w:sz w:val="24"/>
                <w:highlight w:val="none"/>
                <w:lang w:val="en-US" w:eastAsia="zh-CN"/>
              </w:rPr>
            </w:pPr>
          </w:p>
        </w:tc>
        <w:tc>
          <w:tcPr>
            <w:tcW w:w="1020" w:type="dxa"/>
            <w:noWrap w:val="0"/>
            <w:vAlign w:val="center"/>
          </w:tcPr>
          <w:p w14:paraId="23F6097A">
            <w:pPr>
              <w:pStyle w:val="13"/>
              <w:spacing w:line="240" w:lineRule="atLeast"/>
              <w:jc w:val="center"/>
              <w:rPr>
                <w:rFonts w:hint="eastAsia" w:ascii="宋体" w:hAnsi="宋体" w:eastAsia="宋体" w:cs="宋体"/>
                <w:color w:val="auto"/>
                <w:sz w:val="24"/>
                <w:highlight w:val="none"/>
                <w:lang w:val="en-US" w:eastAsia="zh-CN"/>
              </w:rPr>
            </w:pPr>
          </w:p>
        </w:tc>
      </w:tr>
      <w:tr w14:paraId="3B88B8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jc w:val="center"/>
        </w:trPr>
        <w:tc>
          <w:tcPr>
            <w:tcW w:w="1665" w:type="dxa"/>
            <w:noWrap w:val="0"/>
            <w:vAlign w:val="center"/>
          </w:tcPr>
          <w:p w14:paraId="4B9B4D5F">
            <w:pPr>
              <w:pStyle w:val="13"/>
              <w:spacing w:line="240" w:lineRule="atLeas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6.</w:t>
            </w:r>
          </w:p>
        </w:tc>
        <w:tc>
          <w:tcPr>
            <w:tcW w:w="2489" w:type="dxa"/>
            <w:noWrap w:val="0"/>
            <w:vAlign w:val="center"/>
          </w:tcPr>
          <w:p w14:paraId="5E3FECD6">
            <w:pPr>
              <w:widowControl/>
              <w:jc w:val="center"/>
              <w:textAlignment w:val="center"/>
              <w:rPr>
                <w:rFonts w:hint="eastAsia" w:ascii="宋体" w:hAnsi="宋体" w:eastAsia="宋体" w:cs="宋体"/>
                <w:color w:val="auto"/>
                <w:kern w:val="0"/>
                <w:sz w:val="22"/>
                <w:szCs w:val="22"/>
                <w:highlight w:val="none"/>
                <w:lang w:bidi="ar"/>
              </w:rPr>
            </w:pPr>
          </w:p>
        </w:tc>
        <w:tc>
          <w:tcPr>
            <w:tcW w:w="2310" w:type="dxa"/>
            <w:noWrap w:val="0"/>
            <w:vAlign w:val="center"/>
          </w:tcPr>
          <w:p w14:paraId="7FC21C13">
            <w:pPr>
              <w:widowControl/>
              <w:jc w:val="center"/>
              <w:textAlignment w:val="center"/>
              <w:rPr>
                <w:rFonts w:hint="eastAsia" w:ascii="宋体" w:hAnsi="宋体" w:eastAsia="宋体" w:cs="宋体"/>
                <w:color w:val="auto"/>
                <w:sz w:val="24"/>
                <w:highlight w:val="none"/>
              </w:rPr>
            </w:pPr>
          </w:p>
        </w:tc>
        <w:tc>
          <w:tcPr>
            <w:tcW w:w="1484" w:type="dxa"/>
            <w:noWrap w:val="0"/>
            <w:vAlign w:val="center"/>
          </w:tcPr>
          <w:p w14:paraId="53C98B99">
            <w:pPr>
              <w:widowControl/>
              <w:jc w:val="center"/>
              <w:textAlignment w:val="center"/>
              <w:rPr>
                <w:rFonts w:hint="eastAsia" w:ascii="宋体" w:hAnsi="宋体" w:eastAsia="宋体" w:cs="宋体"/>
                <w:color w:val="auto"/>
                <w:sz w:val="24"/>
                <w:highlight w:val="none"/>
              </w:rPr>
            </w:pPr>
          </w:p>
        </w:tc>
        <w:tc>
          <w:tcPr>
            <w:tcW w:w="1441" w:type="dxa"/>
            <w:noWrap w:val="0"/>
            <w:vAlign w:val="center"/>
          </w:tcPr>
          <w:p w14:paraId="55591206">
            <w:pPr>
              <w:pStyle w:val="13"/>
              <w:spacing w:line="240" w:lineRule="atLeast"/>
              <w:jc w:val="center"/>
              <w:rPr>
                <w:rFonts w:hint="eastAsia" w:ascii="宋体" w:hAnsi="宋体" w:eastAsia="宋体" w:cs="宋体"/>
                <w:color w:val="auto"/>
                <w:sz w:val="24"/>
                <w:highlight w:val="none"/>
                <w:lang w:val="en-US" w:eastAsia="zh-CN"/>
              </w:rPr>
            </w:pPr>
          </w:p>
        </w:tc>
        <w:tc>
          <w:tcPr>
            <w:tcW w:w="1215" w:type="dxa"/>
            <w:noWrap w:val="0"/>
            <w:vAlign w:val="center"/>
          </w:tcPr>
          <w:p w14:paraId="0D32E6AE">
            <w:pPr>
              <w:pStyle w:val="13"/>
              <w:spacing w:line="240" w:lineRule="atLeast"/>
              <w:jc w:val="center"/>
              <w:rPr>
                <w:rFonts w:hint="eastAsia" w:ascii="宋体" w:hAnsi="宋体" w:eastAsia="宋体" w:cs="宋体"/>
                <w:color w:val="auto"/>
                <w:sz w:val="24"/>
                <w:highlight w:val="none"/>
                <w:lang w:val="en-US" w:eastAsia="zh-CN"/>
              </w:rPr>
            </w:pPr>
          </w:p>
        </w:tc>
        <w:tc>
          <w:tcPr>
            <w:tcW w:w="1020" w:type="dxa"/>
            <w:noWrap w:val="0"/>
            <w:vAlign w:val="center"/>
          </w:tcPr>
          <w:p w14:paraId="683A5FFE">
            <w:pPr>
              <w:pStyle w:val="13"/>
              <w:spacing w:line="240" w:lineRule="atLeast"/>
              <w:jc w:val="center"/>
              <w:rPr>
                <w:rFonts w:hint="eastAsia" w:ascii="宋体" w:hAnsi="宋体" w:eastAsia="宋体" w:cs="宋体"/>
                <w:color w:val="auto"/>
                <w:sz w:val="24"/>
                <w:highlight w:val="none"/>
                <w:lang w:val="en-US" w:eastAsia="zh-CN"/>
              </w:rPr>
            </w:pPr>
          </w:p>
        </w:tc>
      </w:tr>
      <w:tr w14:paraId="54DAC3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1665" w:type="dxa"/>
            <w:noWrap w:val="0"/>
            <w:vAlign w:val="center"/>
          </w:tcPr>
          <w:p w14:paraId="4BF23344">
            <w:pPr>
              <w:pStyle w:val="13"/>
              <w:spacing w:line="240" w:lineRule="atLeas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7.</w:t>
            </w:r>
          </w:p>
        </w:tc>
        <w:tc>
          <w:tcPr>
            <w:tcW w:w="2489" w:type="dxa"/>
            <w:noWrap w:val="0"/>
            <w:vAlign w:val="center"/>
          </w:tcPr>
          <w:p w14:paraId="5D2EB1D8">
            <w:pPr>
              <w:widowControl/>
              <w:jc w:val="center"/>
              <w:textAlignment w:val="center"/>
              <w:rPr>
                <w:rFonts w:hint="eastAsia" w:ascii="宋体" w:hAnsi="宋体" w:eastAsia="宋体" w:cs="宋体"/>
                <w:color w:val="auto"/>
                <w:kern w:val="0"/>
                <w:sz w:val="22"/>
                <w:szCs w:val="22"/>
                <w:highlight w:val="none"/>
                <w:lang w:bidi="ar"/>
              </w:rPr>
            </w:pPr>
          </w:p>
        </w:tc>
        <w:tc>
          <w:tcPr>
            <w:tcW w:w="2310" w:type="dxa"/>
            <w:noWrap w:val="0"/>
            <w:vAlign w:val="center"/>
          </w:tcPr>
          <w:p w14:paraId="18F6D19F">
            <w:pPr>
              <w:widowControl/>
              <w:jc w:val="center"/>
              <w:textAlignment w:val="center"/>
              <w:rPr>
                <w:rFonts w:hint="eastAsia" w:ascii="宋体" w:hAnsi="宋体" w:eastAsia="宋体" w:cs="宋体"/>
                <w:color w:val="auto"/>
                <w:sz w:val="24"/>
                <w:highlight w:val="none"/>
              </w:rPr>
            </w:pPr>
          </w:p>
        </w:tc>
        <w:tc>
          <w:tcPr>
            <w:tcW w:w="1484" w:type="dxa"/>
            <w:noWrap w:val="0"/>
            <w:vAlign w:val="center"/>
          </w:tcPr>
          <w:p w14:paraId="4D9CCD9E">
            <w:pPr>
              <w:widowControl/>
              <w:jc w:val="center"/>
              <w:textAlignment w:val="center"/>
              <w:rPr>
                <w:rFonts w:hint="eastAsia" w:ascii="宋体" w:hAnsi="宋体" w:eastAsia="宋体" w:cs="宋体"/>
                <w:color w:val="auto"/>
                <w:sz w:val="24"/>
                <w:highlight w:val="none"/>
              </w:rPr>
            </w:pPr>
          </w:p>
        </w:tc>
        <w:tc>
          <w:tcPr>
            <w:tcW w:w="1441" w:type="dxa"/>
            <w:noWrap w:val="0"/>
            <w:vAlign w:val="center"/>
          </w:tcPr>
          <w:p w14:paraId="2F70970A">
            <w:pPr>
              <w:pStyle w:val="13"/>
              <w:spacing w:line="240" w:lineRule="atLeast"/>
              <w:jc w:val="center"/>
              <w:rPr>
                <w:rFonts w:hint="eastAsia" w:ascii="宋体" w:hAnsi="宋体" w:eastAsia="宋体" w:cs="宋体"/>
                <w:color w:val="auto"/>
                <w:sz w:val="24"/>
                <w:highlight w:val="none"/>
                <w:lang w:val="en-US" w:eastAsia="zh-CN"/>
              </w:rPr>
            </w:pPr>
          </w:p>
        </w:tc>
        <w:tc>
          <w:tcPr>
            <w:tcW w:w="1215" w:type="dxa"/>
            <w:noWrap w:val="0"/>
            <w:vAlign w:val="center"/>
          </w:tcPr>
          <w:p w14:paraId="41EF39C0">
            <w:pPr>
              <w:pStyle w:val="13"/>
              <w:spacing w:line="240" w:lineRule="atLeast"/>
              <w:jc w:val="center"/>
              <w:rPr>
                <w:rFonts w:hint="eastAsia" w:ascii="宋体" w:hAnsi="宋体" w:eastAsia="宋体" w:cs="宋体"/>
                <w:color w:val="auto"/>
                <w:sz w:val="24"/>
                <w:highlight w:val="none"/>
                <w:lang w:val="en-US" w:eastAsia="zh-CN"/>
              </w:rPr>
            </w:pPr>
          </w:p>
        </w:tc>
        <w:tc>
          <w:tcPr>
            <w:tcW w:w="1020" w:type="dxa"/>
            <w:noWrap w:val="0"/>
            <w:vAlign w:val="center"/>
          </w:tcPr>
          <w:p w14:paraId="5DE23E03">
            <w:pPr>
              <w:pStyle w:val="13"/>
              <w:spacing w:line="240" w:lineRule="atLeast"/>
              <w:jc w:val="center"/>
              <w:rPr>
                <w:rFonts w:hint="eastAsia" w:ascii="宋体" w:hAnsi="宋体" w:eastAsia="宋体" w:cs="宋体"/>
                <w:color w:val="auto"/>
                <w:sz w:val="24"/>
                <w:highlight w:val="none"/>
                <w:lang w:val="en-US" w:eastAsia="zh-CN"/>
              </w:rPr>
            </w:pPr>
          </w:p>
        </w:tc>
      </w:tr>
      <w:tr w14:paraId="0DBBF9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1665" w:type="dxa"/>
            <w:noWrap w:val="0"/>
            <w:vAlign w:val="center"/>
          </w:tcPr>
          <w:p w14:paraId="7EFBCA22">
            <w:pPr>
              <w:pStyle w:val="13"/>
              <w:spacing w:line="240" w:lineRule="atLeas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w:t>
            </w:r>
          </w:p>
        </w:tc>
        <w:tc>
          <w:tcPr>
            <w:tcW w:w="2489" w:type="dxa"/>
            <w:noWrap w:val="0"/>
            <w:vAlign w:val="center"/>
          </w:tcPr>
          <w:p w14:paraId="5A3B5736">
            <w:pPr>
              <w:widowControl/>
              <w:jc w:val="center"/>
              <w:textAlignment w:val="center"/>
              <w:rPr>
                <w:rFonts w:hint="eastAsia" w:ascii="宋体" w:hAnsi="宋体" w:eastAsia="宋体" w:cs="宋体"/>
                <w:color w:val="auto"/>
                <w:kern w:val="0"/>
                <w:sz w:val="22"/>
                <w:szCs w:val="22"/>
                <w:highlight w:val="none"/>
                <w:lang w:bidi="ar"/>
              </w:rPr>
            </w:pPr>
          </w:p>
        </w:tc>
        <w:tc>
          <w:tcPr>
            <w:tcW w:w="2310" w:type="dxa"/>
            <w:noWrap w:val="0"/>
            <w:vAlign w:val="center"/>
          </w:tcPr>
          <w:p w14:paraId="7DB8C47A">
            <w:pPr>
              <w:widowControl/>
              <w:jc w:val="center"/>
              <w:textAlignment w:val="center"/>
              <w:rPr>
                <w:rFonts w:hint="eastAsia" w:ascii="宋体" w:hAnsi="宋体" w:eastAsia="宋体" w:cs="宋体"/>
                <w:color w:val="auto"/>
                <w:sz w:val="24"/>
                <w:highlight w:val="none"/>
              </w:rPr>
            </w:pPr>
          </w:p>
        </w:tc>
        <w:tc>
          <w:tcPr>
            <w:tcW w:w="1484" w:type="dxa"/>
            <w:noWrap w:val="0"/>
            <w:vAlign w:val="center"/>
          </w:tcPr>
          <w:p w14:paraId="759917AE">
            <w:pPr>
              <w:widowControl/>
              <w:jc w:val="center"/>
              <w:textAlignment w:val="center"/>
              <w:rPr>
                <w:rFonts w:hint="eastAsia" w:ascii="宋体" w:hAnsi="宋体" w:eastAsia="宋体" w:cs="宋体"/>
                <w:color w:val="auto"/>
                <w:sz w:val="24"/>
                <w:highlight w:val="none"/>
              </w:rPr>
            </w:pPr>
          </w:p>
        </w:tc>
        <w:tc>
          <w:tcPr>
            <w:tcW w:w="1441" w:type="dxa"/>
            <w:noWrap w:val="0"/>
            <w:vAlign w:val="center"/>
          </w:tcPr>
          <w:p w14:paraId="7D97F71E">
            <w:pPr>
              <w:pStyle w:val="13"/>
              <w:spacing w:line="240" w:lineRule="atLeast"/>
              <w:jc w:val="center"/>
              <w:rPr>
                <w:rFonts w:hint="eastAsia" w:ascii="宋体" w:hAnsi="宋体" w:eastAsia="宋体" w:cs="宋体"/>
                <w:color w:val="auto"/>
                <w:sz w:val="24"/>
                <w:highlight w:val="none"/>
                <w:lang w:val="en-US" w:eastAsia="zh-CN"/>
              </w:rPr>
            </w:pPr>
          </w:p>
        </w:tc>
        <w:tc>
          <w:tcPr>
            <w:tcW w:w="1215" w:type="dxa"/>
            <w:noWrap w:val="0"/>
            <w:vAlign w:val="center"/>
          </w:tcPr>
          <w:p w14:paraId="05C51B73">
            <w:pPr>
              <w:pStyle w:val="13"/>
              <w:spacing w:line="240" w:lineRule="atLeast"/>
              <w:jc w:val="center"/>
              <w:rPr>
                <w:rFonts w:hint="eastAsia" w:ascii="宋体" w:hAnsi="宋体" w:eastAsia="宋体" w:cs="宋体"/>
                <w:color w:val="auto"/>
                <w:sz w:val="24"/>
                <w:highlight w:val="none"/>
                <w:lang w:val="en-US" w:eastAsia="zh-CN"/>
              </w:rPr>
            </w:pPr>
          </w:p>
        </w:tc>
        <w:tc>
          <w:tcPr>
            <w:tcW w:w="1020" w:type="dxa"/>
            <w:noWrap w:val="0"/>
            <w:vAlign w:val="center"/>
          </w:tcPr>
          <w:p w14:paraId="6BBA9D44">
            <w:pPr>
              <w:pStyle w:val="13"/>
              <w:spacing w:line="240" w:lineRule="atLeast"/>
              <w:jc w:val="center"/>
              <w:rPr>
                <w:rFonts w:hint="eastAsia" w:ascii="宋体" w:hAnsi="宋体" w:eastAsia="宋体" w:cs="宋体"/>
                <w:color w:val="auto"/>
                <w:sz w:val="24"/>
                <w:highlight w:val="none"/>
                <w:lang w:val="en-US" w:eastAsia="zh-CN"/>
              </w:rPr>
            </w:pPr>
          </w:p>
        </w:tc>
      </w:tr>
      <w:tr w14:paraId="7B34C7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464" w:type="dxa"/>
            <w:gridSpan w:val="3"/>
            <w:noWrap w:val="0"/>
            <w:vAlign w:val="center"/>
          </w:tcPr>
          <w:p w14:paraId="1756E2AA">
            <w:pPr>
              <w:widowControl/>
              <w:jc w:val="center"/>
              <w:textAlignment w:val="center"/>
              <w:rPr>
                <w:rFonts w:hint="eastAsia" w:ascii="宋体" w:hAnsi="宋体" w:eastAsia="宋体" w:cs="宋体"/>
                <w:color w:val="auto"/>
                <w:kern w:val="0"/>
                <w:sz w:val="22"/>
                <w:szCs w:val="22"/>
                <w:highlight w:val="none"/>
                <w:lang w:bidi="ar"/>
              </w:rPr>
            </w:pPr>
            <w:r>
              <w:rPr>
                <w:rFonts w:hint="eastAsia" w:ascii="宋体" w:hAnsi="宋体" w:eastAsia="宋体" w:cs="宋体"/>
                <w:color w:val="auto"/>
                <w:kern w:val="0"/>
                <w:sz w:val="22"/>
                <w:szCs w:val="22"/>
                <w:highlight w:val="none"/>
                <w:lang w:bidi="ar"/>
              </w:rPr>
              <w:t>总价：</w:t>
            </w:r>
          </w:p>
        </w:tc>
        <w:tc>
          <w:tcPr>
            <w:tcW w:w="5160" w:type="dxa"/>
            <w:gridSpan w:val="4"/>
            <w:noWrap w:val="0"/>
            <w:vAlign w:val="center"/>
          </w:tcPr>
          <w:p w14:paraId="26AB6D62">
            <w:pPr>
              <w:pStyle w:val="13"/>
              <w:spacing w:line="240" w:lineRule="atLeast"/>
              <w:jc w:val="center"/>
              <w:rPr>
                <w:rFonts w:hint="eastAsia" w:ascii="宋体" w:hAnsi="宋体" w:eastAsia="宋体" w:cs="宋体"/>
                <w:color w:val="auto"/>
                <w:sz w:val="24"/>
                <w:highlight w:val="none"/>
                <w:lang w:val="en-US" w:eastAsia="zh-CN"/>
              </w:rPr>
            </w:pPr>
          </w:p>
        </w:tc>
      </w:tr>
    </w:tbl>
    <w:p w14:paraId="7C3C19E2">
      <w:pPr>
        <w:pStyle w:val="13"/>
        <w:spacing w:line="240" w:lineRule="atLeast"/>
        <w:jc w:val="center"/>
        <w:rPr>
          <w:rFonts w:hint="eastAsia" w:ascii="宋体" w:hAnsi="宋体" w:eastAsia="宋体" w:cs="宋体"/>
          <w:color w:val="auto"/>
          <w:sz w:val="24"/>
          <w:highlight w:val="none"/>
        </w:rPr>
      </w:pPr>
    </w:p>
    <w:p w14:paraId="71F7A88A">
      <w:pPr>
        <w:pStyle w:val="13"/>
        <w:spacing w:line="240" w:lineRule="atLeast"/>
        <w:ind w:left="1155" w:leftChars="371" w:hanging="376" w:hangingChars="157"/>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法定代表人或其委托代理人签字:</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rPr>
        <w:tab/>
      </w:r>
      <w:r>
        <w:rPr>
          <w:rFonts w:hint="eastAsia" w:ascii="宋体" w:hAnsi="宋体" w:eastAsia="宋体" w:cs="宋体"/>
          <w:color w:val="auto"/>
          <w:sz w:val="24"/>
          <w:highlight w:val="none"/>
          <w:u w:val="single"/>
        </w:rPr>
        <w:t xml:space="preserve">                 </w:t>
      </w:r>
    </w:p>
    <w:p w14:paraId="2FC5426A">
      <w:pPr>
        <w:pStyle w:val="13"/>
        <w:tabs>
          <w:tab w:val="left" w:pos="5370"/>
        </w:tabs>
        <w:spacing w:line="240" w:lineRule="atLeast"/>
        <w:ind w:left="1155" w:leftChars="371" w:hanging="376" w:hangingChars="157"/>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投标人(盖单位章):</w:t>
      </w:r>
      <w:r>
        <w:rPr>
          <w:rFonts w:hint="eastAsia" w:ascii="宋体" w:hAnsi="宋体" w:eastAsia="宋体" w:cs="宋体"/>
          <w:color w:val="auto"/>
          <w:sz w:val="24"/>
          <w:highlight w:val="none"/>
          <w:u w:val="single"/>
        </w:rPr>
        <w:tab/>
      </w:r>
    </w:p>
    <w:p w14:paraId="237FC271">
      <w:pPr>
        <w:pStyle w:val="13"/>
        <w:spacing w:line="240" w:lineRule="atLeast"/>
        <w:ind w:left="1155" w:leftChars="371" w:hanging="376" w:hangingChars="157"/>
        <w:rPr>
          <w:rFonts w:hint="eastAsia" w:ascii="宋体" w:hAnsi="宋体" w:eastAsia="宋体" w:cs="宋体"/>
          <w:color w:val="auto"/>
          <w:sz w:val="24"/>
          <w:highlight w:val="none"/>
        </w:rPr>
      </w:pPr>
      <w:r>
        <w:rPr>
          <w:rFonts w:hint="eastAsia" w:ascii="宋体" w:hAnsi="宋体" w:eastAsia="宋体" w:cs="宋体"/>
          <w:color w:val="auto"/>
          <w:sz w:val="24"/>
          <w:highlight w:val="none"/>
        </w:rPr>
        <w:t>注:1.如果投标人认为需要，每种货物填写一份该表。</w:t>
      </w:r>
    </w:p>
    <w:p w14:paraId="7821A156">
      <w:pPr>
        <w:pStyle w:val="13"/>
        <w:spacing w:line="240" w:lineRule="atLeast"/>
        <w:ind w:left="1155" w:leftChars="371" w:hanging="376" w:hangingChars="157"/>
        <w:rPr>
          <w:rFonts w:hint="eastAsia" w:ascii="宋体" w:hAnsi="宋体" w:eastAsia="宋体" w:cs="宋体"/>
          <w:color w:val="auto"/>
          <w:sz w:val="24"/>
          <w:highlight w:val="none"/>
        </w:rPr>
      </w:pPr>
      <w:r>
        <w:rPr>
          <w:rFonts w:hint="eastAsia" w:ascii="宋体" w:hAnsi="宋体" w:eastAsia="宋体" w:cs="宋体"/>
          <w:color w:val="auto"/>
          <w:sz w:val="24"/>
          <w:highlight w:val="none"/>
        </w:rPr>
        <w:t>2.如果按单价计算的结果与总价不一致,以单价为准修正总价。</w:t>
      </w:r>
    </w:p>
    <w:p w14:paraId="1D608B54">
      <w:pPr>
        <w:pStyle w:val="13"/>
        <w:spacing w:line="240" w:lineRule="atLeast"/>
        <w:ind w:left="1157" w:leftChars="371" w:hanging="378" w:hangingChars="157"/>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3.如果不提供详细分项报价将视为没有实质性响应招标文件。</w:t>
      </w:r>
    </w:p>
    <w:p w14:paraId="75D33CB7">
      <w:pPr>
        <w:pStyle w:val="13"/>
        <w:spacing w:line="240" w:lineRule="atLeast"/>
        <w:ind w:left="1157" w:leftChars="371" w:hanging="378" w:hangingChars="157"/>
        <w:rPr>
          <w:rFonts w:hint="eastAsia" w:ascii="宋体" w:hAnsi="宋体" w:eastAsia="宋体" w:cs="宋体"/>
          <w:b/>
          <w:bCs/>
          <w:color w:val="auto"/>
          <w:sz w:val="24"/>
          <w:highlight w:val="none"/>
          <w:lang w:val="en-US" w:eastAsia="zh-CN"/>
        </w:rPr>
      </w:pPr>
      <w:r>
        <w:rPr>
          <w:rFonts w:hint="eastAsia" w:hAnsi="宋体" w:cs="宋体"/>
          <w:b/>
          <w:bCs/>
          <w:color w:val="auto"/>
          <w:sz w:val="24"/>
          <w:highlight w:val="none"/>
          <w:lang w:val="en-US" w:eastAsia="zh-CN"/>
        </w:rPr>
        <w:t>4</w:t>
      </w:r>
      <w:r>
        <w:rPr>
          <w:rFonts w:hint="eastAsia" w:ascii="宋体" w:hAnsi="宋体" w:eastAsia="宋体" w:cs="宋体"/>
          <w:b/>
          <w:bCs/>
          <w:color w:val="auto"/>
          <w:sz w:val="24"/>
          <w:highlight w:val="none"/>
          <w:lang w:val="en-US" w:eastAsia="zh-CN"/>
        </w:rPr>
        <w:t>.单项报价不得超过单项预算价</w:t>
      </w:r>
      <w:r>
        <w:rPr>
          <w:rFonts w:hint="eastAsia" w:hAnsi="宋体" w:cs="宋体"/>
          <w:b/>
          <w:bCs/>
          <w:color w:val="auto"/>
          <w:sz w:val="24"/>
          <w:highlight w:val="none"/>
          <w:lang w:val="en-US" w:eastAsia="zh-CN"/>
        </w:rPr>
        <w:t>，否则</w:t>
      </w:r>
      <w:r>
        <w:rPr>
          <w:rFonts w:hint="eastAsia" w:ascii="宋体" w:hAnsi="宋体" w:eastAsia="宋体" w:cs="宋体"/>
          <w:b/>
          <w:bCs/>
          <w:color w:val="auto"/>
          <w:sz w:val="24"/>
          <w:highlight w:val="none"/>
        </w:rPr>
        <w:t>视为没有实质性响应招标文件</w:t>
      </w:r>
      <w:r>
        <w:rPr>
          <w:rFonts w:hint="eastAsia" w:hAnsi="宋体" w:cs="宋体"/>
          <w:b/>
          <w:bCs/>
          <w:color w:val="auto"/>
          <w:sz w:val="24"/>
          <w:highlight w:val="none"/>
          <w:lang w:eastAsia="zh-CN"/>
        </w:rPr>
        <w:t>。</w:t>
      </w:r>
    </w:p>
    <w:p w14:paraId="0D564AA8">
      <w:pPr>
        <w:pStyle w:val="13"/>
        <w:spacing w:line="240" w:lineRule="atLeast"/>
        <w:ind w:left="1155" w:leftChars="371" w:hanging="376" w:hangingChars="157"/>
        <w:rPr>
          <w:rFonts w:hint="eastAsia" w:ascii="宋体" w:hAnsi="宋体" w:eastAsia="宋体" w:cs="宋体"/>
          <w:color w:val="auto"/>
          <w:sz w:val="24"/>
          <w:highlight w:val="none"/>
        </w:rPr>
      </w:pPr>
      <w:r>
        <w:rPr>
          <w:rFonts w:hint="eastAsia" w:hAnsi="宋体" w:cs="宋体"/>
          <w:color w:val="auto"/>
          <w:sz w:val="24"/>
          <w:highlight w:val="none"/>
          <w:lang w:val="en-US" w:eastAsia="zh-CN"/>
        </w:rPr>
        <w:t>5</w:t>
      </w:r>
      <w:r>
        <w:rPr>
          <w:rFonts w:hint="eastAsia" w:ascii="宋体" w:hAnsi="宋体" w:eastAsia="宋体" w:cs="宋体"/>
          <w:color w:val="auto"/>
          <w:sz w:val="24"/>
          <w:highlight w:val="none"/>
        </w:rPr>
        <w:t>.上述各项的详细分项报价，应另页描述。</w:t>
      </w:r>
    </w:p>
    <w:p w14:paraId="3FECC3D1">
      <w:pPr>
        <w:pStyle w:val="13"/>
        <w:spacing w:line="240" w:lineRule="atLeast"/>
        <w:ind w:left="1155" w:leftChars="371" w:hanging="376" w:hangingChars="157"/>
        <w:rPr>
          <w:rFonts w:hint="eastAsia" w:ascii="宋体" w:hAnsi="宋体" w:eastAsia="宋体" w:cs="宋体"/>
          <w:color w:val="auto"/>
          <w:sz w:val="24"/>
          <w:highlight w:val="none"/>
        </w:rPr>
      </w:pPr>
      <w:r>
        <w:rPr>
          <w:rFonts w:hint="eastAsia" w:hAnsi="宋体" w:cs="宋体"/>
          <w:color w:val="auto"/>
          <w:sz w:val="24"/>
          <w:highlight w:val="none"/>
          <w:lang w:val="en-US" w:eastAsia="zh-CN"/>
        </w:rPr>
        <w:t>6</w:t>
      </w:r>
      <w:r>
        <w:rPr>
          <w:rFonts w:hint="eastAsia" w:ascii="宋体" w:hAnsi="宋体" w:eastAsia="宋体" w:cs="宋体"/>
          <w:color w:val="auto"/>
          <w:sz w:val="24"/>
          <w:highlight w:val="none"/>
        </w:rPr>
        <w:t>.如果开标一览表（报价表）内容与投标文件中明细表内容不一致的，以开标一览表（报价表）内容为准。</w:t>
      </w:r>
    </w:p>
    <w:p w14:paraId="37541032">
      <w:pPr>
        <w:pStyle w:val="13"/>
        <w:spacing w:line="240" w:lineRule="atLeast"/>
        <w:rPr>
          <w:rFonts w:hint="eastAsia" w:ascii="宋体" w:hAnsi="宋体" w:eastAsia="宋体" w:cs="宋体"/>
          <w:color w:val="auto"/>
          <w:sz w:val="24"/>
          <w:highlight w:val="none"/>
        </w:rPr>
      </w:pPr>
    </w:p>
    <w:p w14:paraId="26A03F97">
      <w:pPr>
        <w:pStyle w:val="3"/>
        <w:spacing w:before="0" w:line="240" w:lineRule="atLeast"/>
        <w:ind w:left="1080" w:leftChars="257" w:hanging="540"/>
        <w:rPr>
          <w:rFonts w:hint="eastAsia" w:ascii="宋体" w:hAnsi="宋体" w:eastAsia="宋体" w:cs="宋体"/>
          <w:color w:val="auto"/>
          <w:sz w:val="24"/>
          <w:highlight w:val="none"/>
        </w:rPr>
      </w:pPr>
      <w:bookmarkStart w:id="322" w:name="_Toc216582816"/>
      <w:bookmarkStart w:id="323" w:name="_Toc32398"/>
      <w:bookmarkStart w:id="324" w:name="_Toc14037"/>
      <w:bookmarkStart w:id="325" w:name="_Toc515647819"/>
      <w:bookmarkStart w:id="326" w:name="_Toc18267"/>
    </w:p>
    <w:p w14:paraId="78822A63">
      <w:pPr>
        <w:pStyle w:val="4"/>
        <w:rPr>
          <w:rFonts w:hint="eastAsia" w:ascii="宋体" w:hAnsi="宋体" w:eastAsia="宋体" w:cs="宋体"/>
          <w:color w:val="auto"/>
          <w:highlight w:val="none"/>
        </w:rPr>
      </w:pPr>
    </w:p>
    <w:p w14:paraId="7B4BC375">
      <w:pPr>
        <w:pStyle w:val="4"/>
        <w:rPr>
          <w:rFonts w:hint="eastAsia" w:ascii="宋体" w:hAnsi="宋体" w:eastAsia="宋体" w:cs="宋体"/>
          <w:color w:val="auto"/>
          <w:highlight w:val="none"/>
        </w:rPr>
      </w:pPr>
    </w:p>
    <w:p w14:paraId="764CC499">
      <w:pPr>
        <w:pStyle w:val="3"/>
        <w:spacing w:before="0" w:line="240" w:lineRule="atLeast"/>
        <w:ind w:left="1080"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 xml:space="preserve">   货物说明一览表</w:t>
      </w:r>
      <w:bookmarkEnd w:id="322"/>
      <w:r>
        <w:rPr>
          <w:rFonts w:hint="eastAsia" w:ascii="宋体" w:hAnsi="宋体" w:eastAsia="宋体" w:cs="宋体"/>
          <w:color w:val="auto"/>
          <w:sz w:val="24"/>
          <w:highlight w:val="none"/>
        </w:rPr>
        <w:t>（投标文件格式</w:t>
      </w:r>
      <w:r>
        <w:rPr>
          <w:rFonts w:hint="eastAsia" w:ascii="宋体" w:hAnsi="宋体" w:eastAsia="宋体" w:cs="宋体"/>
          <w:color w:val="auto"/>
          <w:sz w:val="24"/>
          <w:highlight w:val="none"/>
          <w:lang w:val="en-US" w:eastAsia="zh-CN"/>
        </w:rPr>
        <w:t>三</w:t>
      </w:r>
      <w:r>
        <w:rPr>
          <w:rFonts w:hint="eastAsia" w:ascii="宋体" w:hAnsi="宋体" w:eastAsia="宋体" w:cs="宋体"/>
          <w:color w:val="auto"/>
          <w:sz w:val="24"/>
          <w:highlight w:val="none"/>
        </w:rPr>
        <w:t>）</w:t>
      </w:r>
      <w:bookmarkEnd w:id="323"/>
      <w:bookmarkEnd w:id="324"/>
      <w:bookmarkEnd w:id="325"/>
      <w:bookmarkEnd w:id="326"/>
    </w:p>
    <w:p w14:paraId="153FA6F5">
      <w:pPr>
        <w:pStyle w:val="13"/>
        <w:spacing w:line="240" w:lineRule="atLeast"/>
        <w:ind w:left="1080" w:leftChars="257" w:hanging="540"/>
        <w:rPr>
          <w:rFonts w:hint="eastAsia" w:ascii="宋体" w:hAnsi="宋体" w:eastAsia="宋体" w:cs="宋体"/>
          <w:color w:val="auto"/>
          <w:sz w:val="24"/>
          <w:highlight w:val="none"/>
        </w:rPr>
      </w:pPr>
    </w:p>
    <w:p w14:paraId="6E8D612C">
      <w:pPr>
        <w:pStyle w:val="13"/>
        <w:spacing w:line="240" w:lineRule="atLeast"/>
        <w:ind w:left="1080"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项目名称:                                    招标编号:                                            </w:t>
      </w:r>
    </w:p>
    <w:p w14:paraId="6C414F83">
      <w:pPr>
        <w:pStyle w:val="13"/>
        <w:spacing w:line="240" w:lineRule="atLeast"/>
        <w:ind w:left="1080" w:leftChars="257" w:hanging="540"/>
        <w:rPr>
          <w:rFonts w:hint="eastAsia" w:ascii="宋体" w:hAnsi="宋体" w:eastAsia="宋体" w:cs="宋体"/>
          <w:color w:val="auto"/>
          <w:sz w:val="24"/>
          <w:highlight w:val="none"/>
        </w:rPr>
      </w:pPr>
    </w:p>
    <w:tbl>
      <w:tblPr>
        <w:tblStyle w:val="33"/>
        <w:tblW w:w="0" w:type="auto"/>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40"/>
        <w:gridCol w:w="1980"/>
        <w:gridCol w:w="1800"/>
        <w:gridCol w:w="1620"/>
        <w:gridCol w:w="1980"/>
        <w:gridCol w:w="2160"/>
        <w:gridCol w:w="1980"/>
      </w:tblGrid>
      <w:tr w14:paraId="7C2541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40" w:type="dxa"/>
            <w:noWrap w:val="0"/>
            <w:vAlign w:val="top"/>
          </w:tcPr>
          <w:p w14:paraId="6EA20EB3">
            <w:pPr>
              <w:pStyle w:val="13"/>
              <w:spacing w:line="240" w:lineRule="atLeast"/>
              <w:ind w:left="1080" w:leftChars="257" w:hanging="54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序号</w:t>
            </w:r>
          </w:p>
        </w:tc>
        <w:tc>
          <w:tcPr>
            <w:tcW w:w="1980" w:type="dxa"/>
            <w:noWrap w:val="0"/>
            <w:vAlign w:val="top"/>
          </w:tcPr>
          <w:p w14:paraId="03315EAA">
            <w:pPr>
              <w:pStyle w:val="13"/>
              <w:spacing w:line="240" w:lineRule="atLeast"/>
              <w:ind w:left="1080" w:leftChars="257" w:hanging="54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货物名称</w:t>
            </w:r>
          </w:p>
        </w:tc>
        <w:tc>
          <w:tcPr>
            <w:tcW w:w="1800" w:type="dxa"/>
            <w:noWrap w:val="0"/>
            <w:vAlign w:val="top"/>
          </w:tcPr>
          <w:p w14:paraId="4546AAAF">
            <w:pPr>
              <w:pStyle w:val="13"/>
              <w:spacing w:line="240" w:lineRule="atLeast"/>
              <w:ind w:left="1080" w:leftChars="257" w:hanging="54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主要规格</w:t>
            </w:r>
          </w:p>
        </w:tc>
        <w:tc>
          <w:tcPr>
            <w:tcW w:w="1620" w:type="dxa"/>
            <w:noWrap w:val="0"/>
            <w:vAlign w:val="top"/>
          </w:tcPr>
          <w:p w14:paraId="2698B8F3">
            <w:pPr>
              <w:pStyle w:val="13"/>
              <w:spacing w:line="240" w:lineRule="atLeast"/>
              <w:ind w:left="1080" w:leftChars="257" w:hanging="54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数量</w:t>
            </w:r>
          </w:p>
        </w:tc>
        <w:tc>
          <w:tcPr>
            <w:tcW w:w="1980" w:type="dxa"/>
            <w:noWrap w:val="0"/>
            <w:vAlign w:val="top"/>
          </w:tcPr>
          <w:p w14:paraId="60AC9EC9">
            <w:pPr>
              <w:pStyle w:val="13"/>
              <w:spacing w:line="240" w:lineRule="atLeast"/>
              <w:ind w:left="1080" w:leftChars="257" w:hanging="54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交货期</w:t>
            </w:r>
          </w:p>
        </w:tc>
        <w:tc>
          <w:tcPr>
            <w:tcW w:w="2160" w:type="dxa"/>
            <w:noWrap w:val="0"/>
            <w:vAlign w:val="top"/>
          </w:tcPr>
          <w:p w14:paraId="18A8CD08">
            <w:pPr>
              <w:pStyle w:val="13"/>
              <w:spacing w:line="240" w:lineRule="atLeast"/>
              <w:ind w:left="1080" w:leftChars="257" w:hanging="54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交货地点</w:t>
            </w:r>
          </w:p>
        </w:tc>
        <w:tc>
          <w:tcPr>
            <w:tcW w:w="1980" w:type="dxa"/>
            <w:noWrap w:val="0"/>
            <w:vAlign w:val="top"/>
          </w:tcPr>
          <w:p w14:paraId="6B44C83E">
            <w:pPr>
              <w:pStyle w:val="13"/>
              <w:spacing w:line="240" w:lineRule="atLeast"/>
              <w:ind w:left="1080" w:leftChars="257" w:hanging="54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其它</w:t>
            </w:r>
          </w:p>
        </w:tc>
      </w:tr>
      <w:tr w14:paraId="4A01E5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40" w:type="dxa"/>
            <w:noWrap w:val="0"/>
            <w:vAlign w:val="top"/>
          </w:tcPr>
          <w:p w14:paraId="099FA008">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1980" w:type="dxa"/>
            <w:noWrap w:val="0"/>
            <w:vAlign w:val="top"/>
          </w:tcPr>
          <w:p w14:paraId="39E2ADE9">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1800" w:type="dxa"/>
            <w:noWrap w:val="0"/>
            <w:vAlign w:val="top"/>
          </w:tcPr>
          <w:p w14:paraId="7E6B8984">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1620" w:type="dxa"/>
            <w:noWrap w:val="0"/>
            <w:vAlign w:val="top"/>
          </w:tcPr>
          <w:p w14:paraId="1BF3D133">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1980" w:type="dxa"/>
            <w:noWrap w:val="0"/>
            <w:vAlign w:val="top"/>
          </w:tcPr>
          <w:p w14:paraId="3E069DFF">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2160" w:type="dxa"/>
            <w:noWrap w:val="0"/>
            <w:vAlign w:val="top"/>
          </w:tcPr>
          <w:p w14:paraId="60E20759">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1980" w:type="dxa"/>
            <w:noWrap w:val="0"/>
            <w:vAlign w:val="top"/>
          </w:tcPr>
          <w:p w14:paraId="689E49D9">
            <w:pPr>
              <w:pStyle w:val="13"/>
              <w:spacing w:line="240" w:lineRule="atLeast"/>
              <w:ind w:left="1080" w:leftChars="257" w:hanging="540"/>
              <w:rPr>
                <w:rFonts w:hint="eastAsia" w:ascii="宋体" w:hAnsi="宋体" w:eastAsia="宋体" w:cs="宋体"/>
                <w:color w:val="auto"/>
                <w:sz w:val="24"/>
                <w:highlight w:val="none"/>
                <w:lang w:val="en-US" w:eastAsia="zh-CN"/>
              </w:rPr>
            </w:pPr>
          </w:p>
        </w:tc>
      </w:tr>
      <w:tr w14:paraId="4FB190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40" w:type="dxa"/>
            <w:noWrap w:val="0"/>
            <w:vAlign w:val="top"/>
          </w:tcPr>
          <w:p w14:paraId="642D0AD0">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1980" w:type="dxa"/>
            <w:noWrap w:val="0"/>
            <w:vAlign w:val="top"/>
          </w:tcPr>
          <w:p w14:paraId="3C7E856C">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1800" w:type="dxa"/>
            <w:noWrap w:val="0"/>
            <w:vAlign w:val="top"/>
          </w:tcPr>
          <w:p w14:paraId="3D3901C1">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1620" w:type="dxa"/>
            <w:noWrap w:val="0"/>
            <w:vAlign w:val="top"/>
          </w:tcPr>
          <w:p w14:paraId="184D78DA">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1980" w:type="dxa"/>
            <w:noWrap w:val="0"/>
            <w:vAlign w:val="top"/>
          </w:tcPr>
          <w:p w14:paraId="562ECF09">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2160" w:type="dxa"/>
            <w:noWrap w:val="0"/>
            <w:vAlign w:val="top"/>
          </w:tcPr>
          <w:p w14:paraId="41E88C59">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1980" w:type="dxa"/>
            <w:noWrap w:val="0"/>
            <w:vAlign w:val="top"/>
          </w:tcPr>
          <w:p w14:paraId="6FF7AD31">
            <w:pPr>
              <w:pStyle w:val="13"/>
              <w:spacing w:line="240" w:lineRule="atLeast"/>
              <w:ind w:left="1080" w:leftChars="257" w:hanging="540"/>
              <w:rPr>
                <w:rFonts w:hint="eastAsia" w:ascii="宋体" w:hAnsi="宋体" w:eastAsia="宋体" w:cs="宋体"/>
                <w:color w:val="auto"/>
                <w:sz w:val="24"/>
                <w:highlight w:val="none"/>
                <w:lang w:val="en-US" w:eastAsia="zh-CN"/>
              </w:rPr>
            </w:pPr>
          </w:p>
        </w:tc>
      </w:tr>
      <w:tr w14:paraId="203BD0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40" w:type="dxa"/>
            <w:noWrap w:val="0"/>
            <w:vAlign w:val="top"/>
          </w:tcPr>
          <w:p w14:paraId="0BFB6033">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1980" w:type="dxa"/>
            <w:noWrap w:val="0"/>
            <w:vAlign w:val="top"/>
          </w:tcPr>
          <w:p w14:paraId="144D63A9">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1800" w:type="dxa"/>
            <w:noWrap w:val="0"/>
            <w:vAlign w:val="top"/>
          </w:tcPr>
          <w:p w14:paraId="46282C38">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1620" w:type="dxa"/>
            <w:noWrap w:val="0"/>
            <w:vAlign w:val="top"/>
          </w:tcPr>
          <w:p w14:paraId="6DA54397">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1980" w:type="dxa"/>
            <w:noWrap w:val="0"/>
            <w:vAlign w:val="top"/>
          </w:tcPr>
          <w:p w14:paraId="58463192">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2160" w:type="dxa"/>
            <w:noWrap w:val="0"/>
            <w:vAlign w:val="top"/>
          </w:tcPr>
          <w:p w14:paraId="5771D22A">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1980" w:type="dxa"/>
            <w:noWrap w:val="0"/>
            <w:vAlign w:val="top"/>
          </w:tcPr>
          <w:p w14:paraId="443A3311">
            <w:pPr>
              <w:pStyle w:val="13"/>
              <w:spacing w:line="240" w:lineRule="atLeast"/>
              <w:ind w:left="1080" w:leftChars="257" w:hanging="540"/>
              <w:rPr>
                <w:rFonts w:hint="eastAsia" w:ascii="宋体" w:hAnsi="宋体" w:eastAsia="宋体" w:cs="宋体"/>
                <w:color w:val="auto"/>
                <w:sz w:val="24"/>
                <w:highlight w:val="none"/>
                <w:lang w:val="en-US" w:eastAsia="zh-CN"/>
              </w:rPr>
            </w:pPr>
          </w:p>
        </w:tc>
      </w:tr>
      <w:tr w14:paraId="305AF7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40" w:type="dxa"/>
            <w:noWrap w:val="0"/>
            <w:vAlign w:val="top"/>
          </w:tcPr>
          <w:p w14:paraId="13130911">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1980" w:type="dxa"/>
            <w:noWrap w:val="0"/>
            <w:vAlign w:val="top"/>
          </w:tcPr>
          <w:p w14:paraId="54C5515D">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1800" w:type="dxa"/>
            <w:noWrap w:val="0"/>
            <w:vAlign w:val="top"/>
          </w:tcPr>
          <w:p w14:paraId="3EA45D17">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1620" w:type="dxa"/>
            <w:noWrap w:val="0"/>
            <w:vAlign w:val="top"/>
          </w:tcPr>
          <w:p w14:paraId="57FF8874">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1980" w:type="dxa"/>
            <w:noWrap w:val="0"/>
            <w:vAlign w:val="top"/>
          </w:tcPr>
          <w:p w14:paraId="79777FC1">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2160" w:type="dxa"/>
            <w:noWrap w:val="0"/>
            <w:vAlign w:val="top"/>
          </w:tcPr>
          <w:p w14:paraId="4FE0A6E7">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1980" w:type="dxa"/>
            <w:noWrap w:val="0"/>
            <w:vAlign w:val="top"/>
          </w:tcPr>
          <w:p w14:paraId="73299127">
            <w:pPr>
              <w:pStyle w:val="13"/>
              <w:spacing w:line="240" w:lineRule="atLeast"/>
              <w:ind w:left="1080" w:leftChars="257" w:hanging="540"/>
              <w:rPr>
                <w:rFonts w:hint="eastAsia" w:ascii="宋体" w:hAnsi="宋体" w:eastAsia="宋体" w:cs="宋体"/>
                <w:color w:val="auto"/>
                <w:sz w:val="24"/>
                <w:highlight w:val="none"/>
                <w:lang w:val="en-US" w:eastAsia="zh-CN"/>
              </w:rPr>
            </w:pPr>
          </w:p>
        </w:tc>
      </w:tr>
      <w:tr w14:paraId="65D5C6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40" w:type="dxa"/>
            <w:noWrap w:val="0"/>
            <w:vAlign w:val="top"/>
          </w:tcPr>
          <w:p w14:paraId="4904BF3E">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1980" w:type="dxa"/>
            <w:noWrap w:val="0"/>
            <w:vAlign w:val="top"/>
          </w:tcPr>
          <w:p w14:paraId="2E80D816">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1800" w:type="dxa"/>
            <w:noWrap w:val="0"/>
            <w:vAlign w:val="top"/>
          </w:tcPr>
          <w:p w14:paraId="05725B2A">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1620" w:type="dxa"/>
            <w:noWrap w:val="0"/>
            <w:vAlign w:val="top"/>
          </w:tcPr>
          <w:p w14:paraId="6CEA3662">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1980" w:type="dxa"/>
            <w:noWrap w:val="0"/>
            <w:vAlign w:val="top"/>
          </w:tcPr>
          <w:p w14:paraId="1869EBF2">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2160" w:type="dxa"/>
            <w:noWrap w:val="0"/>
            <w:vAlign w:val="top"/>
          </w:tcPr>
          <w:p w14:paraId="47324497">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1980" w:type="dxa"/>
            <w:noWrap w:val="0"/>
            <w:vAlign w:val="top"/>
          </w:tcPr>
          <w:p w14:paraId="2A497714">
            <w:pPr>
              <w:pStyle w:val="13"/>
              <w:spacing w:line="240" w:lineRule="atLeast"/>
              <w:ind w:left="1080" w:leftChars="257" w:hanging="540"/>
              <w:rPr>
                <w:rFonts w:hint="eastAsia" w:ascii="宋体" w:hAnsi="宋体" w:eastAsia="宋体" w:cs="宋体"/>
                <w:color w:val="auto"/>
                <w:sz w:val="24"/>
                <w:highlight w:val="none"/>
                <w:lang w:val="en-US" w:eastAsia="zh-CN"/>
              </w:rPr>
            </w:pPr>
          </w:p>
        </w:tc>
      </w:tr>
      <w:tr w14:paraId="1A42CD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40" w:type="dxa"/>
            <w:noWrap w:val="0"/>
            <w:vAlign w:val="top"/>
          </w:tcPr>
          <w:p w14:paraId="66913B23">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1980" w:type="dxa"/>
            <w:noWrap w:val="0"/>
            <w:vAlign w:val="top"/>
          </w:tcPr>
          <w:p w14:paraId="613B0021">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1800" w:type="dxa"/>
            <w:noWrap w:val="0"/>
            <w:vAlign w:val="top"/>
          </w:tcPr>
          <w:p w14:paraId="6D9E9668">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1620" w:type="dxa"/>
            <w:noWrap w:val="0"/>
            <w:vAlign w:val="top"/>
          </w:tcPr>
          <w:p w14:paraId="5ACB5C4D">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1980" w:type="dxa"/>
            <w:noWrap w:val="0"/>
            <w:vAlign w:val="top"/>
          </w:tcPr>
          <w:p w14:paraId="66F5B151">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2160" w:type="dxa"/>
            <w:noWrap w:val="0"/>
            <w:vAlign w:val="top"/>
          </w:tcPr>
          <w:p w14:paraId="2FCE8C36">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1980" w:type="dxa"/>
            <w:noWrap w:val="0"/>
            <w:vAlign w:val="top"/>
          </w:tcPr>
          <w:p w14:paraId="58F80384">
            <w:pPr>
              <w:pStyle w:val="13"/>
              <w:spacing w:line="240" w:lineRule="atLeast"/>
              <w:ind w:left="1080" w:leftChars="257" w:hanging="540"/>
              <w:rPr>
                <w:rFonts w:hint="eastAsia" w:ascii="宋体" w:hAnsi="宋体" w:eastAsia="宋体" w:cs="宋体"/>
                <w:color w:val="auto"/>
                <w:sz w:val="24"/>
                <w:highlight w:val="none"/>
                <w:lang w:val="en-US" w:eastAsia="zh-CN"/>
              </w:rPr>
            </w:pPr>
          </w:p>
        </w:tc>
      </w:tr>
      <w:tr w14:paraId="4FC19C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40" w:type="dxa"/>
            <w:noWrap w:val="0"/>
            <w:vAlign w:val="top"/>
          </w:tcPr>
          <w:p w14:paraId="3CF81A34">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1980" w:type="dxa"/>
            <w:noWrap w:val="0"/>
            <w:vAlign w:val="top"/>
          </w:tcPr>
          <w:p w14:paraId="698B00E7">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1800" w:type="dxa"/>
            <w:noWrap w:val="0"/>
            <w:vAlign w:val="top"/>
          </w:tcPr>
          <w:p w14:paraId="732DE423">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1620" w:type="dxa"/>
            <w:noWrap w:val="0"/>
            <w:vAlign w:val="top"/>
          </w:tcPr>
          <w:p w14:paraId="57671E1A">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1980" w:type="dxa"/>
            <w:noWrap w:val="0"/>
            <w:vAlign w:val="top"/>
          </w:tcPr>
          <w:p w14:paraId="773B6D4E">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2160" w:type="dxa"/>
            <w:noWrap w:val="0"/>
            <w:vAlign w:val="top"/>
          </w:tcPr>
          <w:p w14:paraId="628BBC6A">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1980" w:type="dxa"/>
            <w:noWrap w:val="0"/>
            <w:vAlign w:val="top"/>
          </w:tcPr>
          <w:p w14:paraId="54D3CA1C">
            <w:pPr>
              <w:pStyle w:val="13"/>
              <w:spacing w:line="240" w:lineRule="atLeast"/>
              <w:ind w:left="1080" w:leftChars="257" w:hanging="540"/>
              <w:rPr>
                <w:rFonts w:hint="eastAsia" w:ascii="宋体" w:hAnsi="宋体" w:eastAsia="宋体" w:cs="宋体"/>
                <w:color w:val="auto"/>
                <w:sz w:val="24"/>
                <w:highlight w:val="none"/>
                <w:lang w:val="en-US" w:eastAsia="zh-CN"/>
              </w:rPr>
            </w:pPr>
          </w:p>
        </w:tc>
      </w:tr>
      <w:tr w14:paraId="497E4A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40" w:type="dxa"/>
            <w:noWrap w:val="0"/>
            <w:vAlign w:val="top"/>
          </w:tcPr>
          <w:p w14:paraId="2645164A">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1980" w:type="dxa"/>
            <w:noWrap w:val="0"/>
            <w:vAlign w:val="top"/>
          </w:tcPr>
          <w:p w14:paraId="0B6714BD">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1800" w:type="dxa"/>
            <w:noWrap w:val="0"/>
            <w:vAlign w:val="top"/>
          </w:tcPr>
          <w:p w14:paraId="23257FCA">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1620" w:type="dxa"/>
            <w:noWrap w:val="0"/>
            <w:vAlign w:val="top"/>
          </w:tcPr>
          <w:p w14:paraId="2EFDE1BE">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1980" w:type="dxa"/>
            <w:noWrap w:val="0"/>
            <w:vAlign w:val="top"/>
          </w:tcPr>
          <w:p w14:paraId="02379248">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2160" w:type="dxa"/>
            <w:noWrap w:val="0"/>
            <w:vAlign w:val="top"/>
          </w:tcPr>
          <w:p w14:paraId="12D1E1E2">
            <w:pPr>
              <w:pStyle w:val="13"/>
              <w:spacing w:line="240" w:lineRule="atLeast"/>
              <w:ind w:left="1080" w:leftChars="257" w:hanging="540"/>
              <w:rPr>
                <w:rFonts w:hint="eastAsia" w:ascii="宋体" w:hAnsi="宋体" w:eastAsia="宋体" w:cs="宋体"/>
                <w:color w:val="auto"/>
                <w:sz w:val="24"/>
                <w:highlight w:val="none"/>
                <w:lang w:val="en-US" w:eastAsia="zh-CN"/>
              </w:rPr>
            </w:pPr>
          </w:p>
        </w:tc>
        <w:tc>
          <w:tcPr>
            <w:tcW w:w="1980" w:type="dxa"/>
            <w:noWrap w:val="0"/>
            <w:vAlign w:val="top"/>
          </w:tcPr>
          <w:p w14:paraId="273D2B12">
            <w:pPr>
              <w:pStyle w:val="13"/>
              <w:spacing w:line="240" w:lineRule="atLeast"/>
              <w:ind w:left="1080" w:leftChars="257" w:hanging="540"/>
              <w:rPr>
                <w:rFonts w:hint="eastAsia" w:ascii="宋体" w:hAnsi="宋体" w:eastAsia="宋体" w:cs="宋体"/>
                <w:color w:val="auto"/>
                <w:sz w:val="24"/>
                <w:highlight w:val="none"/>
                <w:lang w:val="en-US" w:eastAsia="zh-CN"/>
              </w:rPr>
            </w:pPr>
          </w:p>
        </w:tc>
      </w:tr>
    </w:tbl>
    <w:p w14:paraId="42918AC5">
      <w:pPr>
        <w:pStyle w:val="13"/>
        <w:spacing w:line="240" w:lineRule="atLeast"/>
        <w:ind w:left="1080" w:leftChars="257" w:hanging="540"/>
        <w:rPr>
          <w:rFonts w:hint="eastAsia" w:ascii="宋体" w:hAnsi="宋体" w:eastAsia="宋体" w:cs="宋体"/>
          <w:color w:val="auto"/>
          <w:sz w:val="24"/>
          <w:highlight w:val="none"/>
        </w:rPr>
      </w:pPr>
    </w:p>
    <w:p w14:paraId="0EAC1B94">
      <w:pPr>
        <w:pStyle w:val="13"/>
        <w:spacing w:line="240" w:lineRule="atLeast"/>
        <w:ind w:left="1080"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法定代表人或其委托代理人签字:</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rPr>
        <w:tab/>
      </w:r>
      <w:r>
        <w:rPr>
          <w:rFonts w:hint="eastAsia" w:ascii="宋体" w:hAnsi="宋体" w:eastAsia="宋体" w:cs="宋体"/>
          <w:color w:val="auto"/>
          <w:sz w:val="24"/>
          <w:highlight w:val="none"/>
          <w:u w:val="single"/>
        </w:rPr>
        <w:t xml:space="preserve">                 </w:t>
      </w:r>
    </w:p>
    <w:p w14:paraId="06584833">
      <w:pPr>
        <w:pStyle w:val="13"/>
        <w:tabs>
          <w:tab w:val="left" w:pos="5370"/>
        </w:tabs>
        <w:spacing w:line="240" w:lineRule="atLeast"/>
        <w:ind w:left="1080" w:leftChars="257" w:hanging="54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投标人(盖单位章):</w:t>
      </w:r>
      <w:r>
        <w:rPr>
          <w:rFonts w:hint="eastAsia" w:ascii="宋体" w:hAnsi="宋体" w:eastAsia="宋体" w:cs="宋体"/>
          <w:color w:val="auto"/>
          <w:sz w:val="24"/>
          <w:highlight w:val="none"/>
          <w:u w:val="single"/>
        </w:rPr>
        <w:tab/>
      </w:r>
    </w:p>
    <w:p w14:paraId="75F873B7">
      <w:pPr>
        <w:pStyle w:val="13"/>
        <w:spacing w:line="240" w:lineRule="atLeast"/>
        <w:ind w:left="1080" w:leftChars="257" w:hanging="540"/>
        <w:rPr>
          <w:rFonts w:hint="eastAsia" w:ascii="宋体" w:hAnsi="宋体" w:eastAsia="宋体" w:cs="宋体"/>
          <w:color w:val="auto"/>
          <w:sz w:val="24"/>
          <w:highlight w:val="none"/>
        </w:rPr>
      </w:pPr>
    </w:p>
    <w:p w14:paraId="2708E20A">
      <w:pPr>
        <w:pStyle w:val="13"/>
        <w:spacing w:line="240" w:lineRule="atLeast"/>
        <w:ind w:left="1080"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注: 各项货物详细技术性能应另页描述。</w:t>
      </w:r>
    </w:p>
    <w:p w14:paraId="4DB585A2">
      <w:pPr>
        <w:pStyle w:val="13"/>
        <w:spacing w:line="240" w:lineRule="atLeast"/>
        <w:ind w:left="1080" w:leftChars="257" w:hanging="540"/>
        <w:jc w:val="center"/>
        <w:rPr>
          <w:rFonts w:hint="eastAsia" w:ascii="宋体" w:hAnsi="宋体" w:eastAsia="宋体" w:cs="宋体"/>
          <w:color w:val="auto"/>
          <w:sz w:val="24"/>
          <w:highlight w:val="none"/>
        </w:rPr>
      </w:pPr>
    </w:p>
    <w:p w14:paraId="106172CC">
      <w:pPr>
        <w:pStyle w:val="13"/>
        <w:spacing w:line="240" w:lineRule="atLeast"/>
        <w:ind w:left="1080" w:leftChars="257" w:hanging="540"/>
        <w:jc w:val="center"/>
        <w:rPr>
          <w:rFonts w:hint="eastAsia" w:ascii="宋体" w:hAnsi="宋体" w:eastAsia="宋体" w:cs="宋体"/>
          <w:color w:val="auto"/>
          <w:sz w:val="24"/>
          <w:highlight w:val="none"/>
        </w:rPr>
        <w:sectPr>
          <w:pgSz w:w="16838" w:h="11906" w:orient="landscape"/>
          <w:pgMar w:top="1797" w:right="1440" w:bottom="1797" w:left="1440" w:header="851" w:footer="992" w:gutter="0"/>
          <w:pgBorders>
            <w:top w:val="none" w:sz="0" w:space="0"/>
            <w:left w:val="none" w:sz="0" w:space="0"/>
            <w:bottom w:val="none" w:sz="0" w:space="0"/>
            <w:right w:val="none" w:sz="0" w:space="0"/>
          </w:pgBorders>
          <w:pgNumType w:fmt="decimal"/>
          <w:cols w:space="720" w:num="1"/>
          <w:docGrid w:linePitch="312" w:charSpace="0"/>
        </w:sectPr>
      </w:pPr>
    </w:p>
    <w:p w14:paraId="22AA4BD6">
      <w:pPr>
        <w:pStyle w:val="3"/>
        <w:spacing w:before="0" w:line="240" w:lineRule="atLeast"/>
        <w:ind w:left="1079" w:leftChars="257" w:hanging="540"/>
        <w:rPr>
          <w:rFonts w:hint="eastAsia" w:ascii="宋体" w:hAnsi="宋体" w:eastAsia="宋体" w:cs="宋体"/>
          <w:color w:val="auto"/>
          <w:sz w:val="24"/>
          <w:highlight w:val="none"/>
        </w:rPr>
      </w:pPr>
      <w:bookmarkStart w:id="327" w:name="_Toc216582817"/>
      <w:bookmarkStart w:id="328" w:name="_Toc515647820"/>
      <w:bookmarkStart w:id="329" w:name="_Toc29780"/>
      <w:bookmarkStart w:id="330" w:name="_Toc28959"/>
      <w:bookmarkStart w:id="331" w:name="_Toc22563"/>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 xml:space="preserve">   技术规格偏离表</w:t>
      </w:r>
      <w:bookmarkEnd w:id="327"/>
      <w:r>
        <w:rPr>
          <w:rFonts w:hint="eastAsia" w:ascii="宋体" w:hAnsi="宋体" w:eastAsia="宋体" w:cs="宋体"/>
          <w:color w:val="auto"/>
          <w:sz w:val="24"/>
          <w:highlight w:val="none"/>
        </w:rPr>
        <w:t>（投标文件格式</w:t>
      </w:r>
      <w:r>
        <w:rPr>
          <w:rFonts w:hint="eastAsia" w:ascii="宋体" w:hAnsi="宋体" w:eastAsia="宋体" w:cs="宋体"/>
          <w:color w:val="auto"/>
          <w:sz w:val="24"/>
          <w:highlight w:val="none"/>
          <w:lang w:val="en-US" w:eastAsia="zh-CN"/>
        </w:rPr>
        <w:t>四</w:t>
      </w:r>
      <w:r>
        <w:rPr>
          <w:rFonts w:hint="eastAsia" w:ascii="宋体" w:hAnsi="宋体" w:eastAsia="宋体" w:cs="宋体"/>
          <w:color w:val="auto"/>
          <w:sz w:val="24"/>
          <w:highlight w:val="none"/>
        </w:rPr>
        <w:t>）</w:t>
      </w:r>
      <w:bookmarkEnd w:id="328"/>
      <w:bookmarkEnd w:id="329"/>
      <w:bookmarkEnd w:id="330"/>
      <w:bookmarkEnd w:id="331"/>
    </w:p>
    <w:p w14:paraId="3F9D1867">
      <w:pPr>
        <w:pStyle w:val="13"/>
        <w:spacing w:line="240" w:lineRule="atLeast"/>
        <w:ind w:left="1079" w:leftChars="257" w:hanging="540"/>
        <w:rPr>
          <w:rFonts w:hint="eastAsia" w:ascii="宋体" w:hAnsi="宋体" w:eastAsia="宋体" w:cs="宋体"/>
          <w:color w:val="auto"/>
          <w:sz w:val="24"/>
          <w:highlight w:val="none"/>
        </w:rPr>
      </w:pPr>
    </w:p>
    <w:p w14:paraId="423A59A5">
      <w:pPr>
        <w:pStyle w:val="13"/>
        <w:spacing w:line="240" w:lineRule="atLeas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项目名称:                       招标编号:                 </w:t>
      </w:r>
    </w:p>
    <w:p w14:paraId="20BED719">
      <w:pPr>
        <w:pStyle w:val="13"/>
        <w:spacing w:line="240" w:lineRule="atLeast"/>
        <w:ind w:left="1079" w:leftChars="257" w:hanging="540"/>
        <w:rPr>
          <w:rFonts w:hint="eastAsia" w:ascii="宋体" w:hAnsi="宋体" w:eastAsia="宋体" w:cs="宋体"/>
          <w:color w:val="auto"/>
          <w:sz w:val="24"/>
          <w:highlight w:val="none"/>
        </w:rPr>
      </w:pPr>
    </w:p>
    <w:tbl>
      <w:tblPr>
        <w:tblStyle w:val="3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260"/>
        <w:gridCol w:w="2340"/>
        <w:gridCol w:w="1260"/>
        <w:gridCol w:w="1260"/>
        <w:gridCol w:w="900"/>
        <w:gridCol w:w="900"/>
      </w:tblGrid>
      <w:tr w14:paraId="4C093A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center"/>
          </w:tcPr>
          <w:p w14:paraId="10C84A6F">
            <w:pPr>
              <w:pStyle w:val="13"/>
              <w:spacing w:line="240" w:lineRule="atLeas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序号</w:t>
            </w:r>
          </w:p>
        </w:tc>
        <w:tc>
          <w:tcPr>
            <w:tcW w:w="1260" w:type="dxa"/>
            <w:noWrap w:val="0"/>
            <w:vAlign w:val="center"/>
          </w:tcPr>
          <w:p w14:paraId="3DD7F8CC">
            <w:pPr>
              <w:pStyle w:val="13"/>
              <w:spacing w:line="240" w:lineRule="atLeas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货物名称</w:t>
            </w:r>
          </w:p>
        </w:tc>
        <w:tc>
          <w:tcPr>
            <w:tcW w:w="2340" w:type="dxa"/>
            <w:noWrap w:val="0"/>
            <w:vAlign w:val="center"/>
          </w:tcPr>
          <w:p w14:paraId="3FAF7DCB">
            <w:pPr>
              <w:pStyle w:val="13"/>
              <w:spacing w:line="240" w:lineRule="atLeast"/>
              <w:ind w:left="268" w:leftChars="128"/>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招标文件条款号</w:t>
            </w:r>
          </w:p>
        </w:tc>
        <w:tc>
          <w:tcPr>
            <w:tcW w:w="1260" w:type="dxa"/>
            <w:noWrap w:val="0"/>
            <w:vAlign w:val="center"/>
          </w:tcPr>
          <w:p w14:paraId="6273085E">
            <w:pPr>
              <w:pStyle w:val="13"/>
              <w:spacing w:line="240" w:lineRule="atLeas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招标规格</w:t>
            </w:r>
          </w:p>
        </w:tc>
        <w:tc>
          <w:tcPr>
            <w:tcW w:w="1260" w:type="dxa"/>
            <w:noWrap w:val="0"/>
            <w:vAlign w:val="center"/>
          </w:tcPr>
          <w:p w14:paraId="69EE6663">
            <w:pPr>
              <w:pStyle w:val="13"/>
              <w:spacing w:line="240" w:lineRule="atLeas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投标规格</w:t>
            </w:r>
          </w:p>
        </w:tc>
        <w:tc>
          <w:tcPr>
            <w:tcW w:w="900" w:type="dxa"/>
            <w:noWrap w:val="0"/>
            <w:vAlign w:val="center"/>
          </w:tcPr>
          <w:p w14:paraId="1277F215">
            <w:pPr>
              <w:pStyle w:val="13"/>
              <w:spacing w:line="240" w:lineRule="atLeas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偏离</w:t>
            </w:r>
          </w:p>
        </w:tc>
        <w:tc>
          <w:tcPr>
            <w:tcW w:w="900" w:type="dxa"/>
            <w:noWrap w:val="0"/>
            <w:vAlign w:val="center"/>
          </w:tcPr>
          <w:p w14:paraId="72D3AC08">
            <w:pPr>
              <w:pStyle w:val="13"/>
              <w:spacing w:line="240" w:lineRule="atLeas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说明</w:t>
            </w:r>
          </w:p>
        </w:tc>
      </w:tr>
      <w:tr w14:paraId="256FAE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265BB5EF">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66CBD6A6">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340" w:type="dxa"/>
            <w:noWrap w:val="0"/>
            <w:vAlign w:val="top"/>
          </w:tcPr>
          <w:p w14:paraId="4B8F3FEB">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3B2A6AA6">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682F185C">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1D3A897C">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757F11C9">
            <w:pPr>
              <w:pStyle w:val="13"/>
              <w:spacing w:line="240" w:lineRule="atLeast"/>
              <w:ind w:left="1079" w:leftChars="257" w:hanging="540"/>
              <w:rPr>
                <w:rFonts w:hint="eastAsia" w:ascii="宋体" w:hAnsi="宋体" w:eastAsia="宋体" w:cs="宋体"/>
                <w:color w:val="auto"/>
                <w:sz w:val="24"/>
                <w:highlight w:val="none"/>
                <w:lang w:val="en-US" w:eastAsia="zh-CN"/>
              </w:rPr>
            </w:pPr>
          </w:p>
        </w:tc>
      </w:tr>
      <w:tr w14:paraId="586F5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4809B3D4">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2B38BD37">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340" w:type="dxa"/>
            <w:noWrap w:val="0"/>
            <w:vAlign w:val="top"/>
          </w:tcPr>
          <w:p w14:paraId="0A120D19">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1AE53F11">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1626740E">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3EB197A1">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5369864D">
            <w:pPr>
              <w:pStyle w:val="13"/>
              <w:spacing w:line="240" w:lineRule="atLeast"/>
              <w:ind w:left="1079" w:leftChars="257" w:hanging="540"/>
              <w:rPr>
                <w:rFonts w:hint="eastAsia" w:ascii="宋体" w:hAnsi="宋体" w:eastAsia="宋体" w:cs="宋体"/>
                <w:color w:val="auto"/>
                <w:sz w:val="24"/>
                <w:highlight w:val="none"/>
                <w:lang w:val="en-US" w:eastAsia="zh-CN"/>
              </w:rPr>
            </w:pPr>
          </w:p>
        </w:tc>
      </w:tr>
      <w:tr w14:paraId="677B92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62B15A2E">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505E63F0">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340" w:type="dxa"/>
            <w:noWrap w:val="0"/>
            <w:vAlign w:val="top"/>
          </w:tcPr>
          <w:p w14:paraId="08A2B879">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69EA845E">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45CC3F9E">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7CCE5C93">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4470290D">
            <w:pPr>
              <w:pStyle w:val="13"/>
              <w:spacing w:line="240" w:lineRule="atLeast"/>
              <w:ind w:left="1079" w:leftChars="257" w:hanging="540"/>
              <w:rPr>
                <w:rFonts w:hint="eastAsia" w:ascii="宋体" w:hAnsi="宋体" w:eastAsia="宋体" w:cs="宋体"/>
                <w:color w:val="auto"/>
                <w:sz w:val="24"/>
                <w:highlight w:val="none"/>
                <w:lang w:val="en-US" w:eastAsia="zh-CN"/>
              </w:rPr>
            </w:pPr>
          </w:p>
        </w:tc>
      </w:tr>
      <w:tr w14:paraId="040B1B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5933A0F4">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3361FD60">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340" w:type="dxa"/>
            <w:noWrap w:val="0"/>
            <w:vAlign w:val="top"/>
          </w:tcPr>
          <w:p w14:paraId="35CA3185">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3C639DEE">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37C54034">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7464CE85">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7F4F3DCD">
            <w:pPr>
              <w:pStyle w:val="13"/>
              <w:spacing w:line="240" w:lineRule="atLeast"/>
              <w:ind w:left="1079" w:leftChars="257" w:hanging="540"/>
              <w:rPr>
                <w:rFonts w:hint="eastAsia" w:ascii="宋体" w:hAnsi="宋体" w:eastAsia="宋体" w:cs="宋体"/>
                <w:color w:val="auto"/>
                <w:sz w:val="24"/>
                <w:highlight w:val="none"/>
                <w:lang w:val="en-US" w:eastAsia="zh-CN"/>
              </w:rPr>
            </w:pPr>
          </w:p>
        </w:tc>
      </w:tr>
      <w:tr w14:paraId="4A1542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377B1731">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392326D4">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340" w:type="dxa"/>
            <w:noWrap w:val="0"/>
            <w:vAlign w:val="top"/>
          </w:tcPr>
          <w:p w14:paraId="2AFF09FE">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21437E22">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200F2DED">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4E07E141">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57CB3AC9">
            <w:pPr>
              <w:pStyle w:val="13"/>
              <w:spacing w:line="240" w:lineRule="atLeast"/>
              <w:ind w:left="1079" w:leftChars="257" w:hanging="540"/>
              <w:rPr>
                <w:rFonts w:hint="eastAsia" w:ascii="宋体" w:hAnsi="宋体" w:eastAsia="宋体" w:cs="宋体"/>
                <w:color w:val="auto"/>
                <w:sz w:val="24"/>
                <w:highlight w:val="none"/>
                <w:lang w:val="en-US" w:eastAsia="zh-CN"/>
              </w:rPr>
            </w:pPr>
          </w:p>
        </w:tc>
      </w:tr>
      <w:tr w14:paraId="5F994F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5D71E0EB">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5D80014C">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340" w:type="dxa"/>
            <w:noWrap w:val="0"/>
            <w:vAlign w:val="top"/>
          </w:tcPr>
          <w:p w14:paraId="0B270326">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5D046042">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0B7FF4EC">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18F91835">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302EAB6C">
            <w:pPr>
              <w:pStyle w:val="13"/>
              <w:spacing w:line="240" w:lineRule="atLeast"/>
              <w:ind w:left="1079" w:leftChars="257" w:hanging="540"/>
              <w:rPr>
                <w:rFonts w:hint="eastAsia" w:ascii="宋体" w:hAnsi="宋体" w:eastAsia="宋体" w:cs="宋体"/>
                <w:color w:val="auto"/>
                <w:sz w:val="24"/>
                <w:highlight w:val="none"/>
                <w:lang w:val="en-US" w:eastAsia="zh-CN"/>
              </w:rPr>
            </w:pPr>
          </w:p>
        </w:tc>
      </w:tr>
      <w:tr w14:paraId="1301B3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0215ED1D">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357A9E79">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340" w:type="dxa"/>
            <w:noWrap w:val="0"/>
            <w:vAlign w:val="top"/>
          </w:tcPr>
          <w:p w14:paraId="1EE373CB">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6E07CD0F">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59C4690F">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691AF193">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7E5FF25D">
            <w:pPr>
              <w:pStyle w:val="13"/>
              <w:spacing w:line="240" w:lineRule="atLeast"/>
              <w:ind w:left="1079" w:leftChars="257" w:hanging="540"/>
              <w:rPr>
                <w:rFonts w:hint="eastAsia" w:ascii="宋体" w:hAnsi="宋体" w:eastAsia="宋体" w:cs="宋体"/>
                <w:color w:val="auto"/>
                <w:sz w:val="24"/>
                <w:highlight w:val="none"/>
                <w:lang w:val="en-US" w:eastAsia="zh-CN"/>
              </w:rPr>
            </w:pPr>
          </w:p>
        </w:tc>
      </w:tr>
      <w:tr w14:paraId="112D69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626CEF1F">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154BC971">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340" w:type="dxa"/>
            <w:noWrap w:val="0"/>
            <w:vAlign w:val="top"/>
          </w:tcPr>
          <w:p w14:paraId="069BE164">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29447DB6">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436D15D4">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4B896E9E">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058776F6">
            <w:pPr>
              <w:pStyle w:val="13"/>
              <w:spacing w:line="240" w:lineRule="atLeast"/>
              <w:ind w:left="1079" w:leftChars="257" w:hanging="540"/>
              <w:rPr>
                <w:rFonts w:hint="eastAsia" w:ascii="宋体" w:hAnsi="宋体" w:eastAsia="宋体" w:cs="宋体"/>
                <w:color w:val="auto"/>
                <w:sz w:val="24"/>
                <w:highlight w:val="none"/>
                <w:lang w:val="en-US" w:eastAsia="zh-CN"/>
              </w:rPr>
            </w:pPr>
          </w:p>
        </w:tc>
      </w:tr>
      <w:tr w14:paraId="77D8DA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828" w:type="dxa"/>
            <w:noWrap w:val="0"/>
            <w:vAlign w:val="top"/>
          </w:tcPr>
          <w:p w14:paraId="2E99818D">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705229E5">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340" w:type="dxa"/>
            <w:noWrap w:val="0"/>
            <w:vAlign w:val="top"/>
          </w:tcPr>
          <w:p w14:paraId="04325355">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00CB825B">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387D07F7">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5340D007">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30CF97E0">
            <w:pPr>
              <w:pStyle w:val="13"/>
              <w:spacing w:line="240" w:lineRule="atLeast"/>
              <w:ind w:left="1079" w:leftChars="257" w:hanging="540"/>
              <w:rPr>
                <w:rFonts w:hint="eastAsia" w:ascii="宋体" w:hAnsi="宋体" w:eastAsia="宋体" w:cs="宋体"/>
                <w:color w:val="auto"/>
                <w:sz w:val="24"/>
                <w:highlight w:val="none"/>
                <w:lang w:val="en-US" w:eastAsia="zh-CN"/>
              </w:rPr>
            </w:pPr>
          </w:p>
        </w:tc>
      </w:tr>
      <w:tr w14:paraId="5DE2BB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1854D007">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76C90112">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340" w:type="dxa"/>
            <w:noWrap w:val="0"/>
            <w:vAlign w:val="top"/>
          </w:tcPr>
          <w:p w14:paraId="207F0E30">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45213C11">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1DF78F3B">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1E97B95D">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38A453D1">
            <w:pPr>
              <w:pStyle w:val="13"/>
              <w:spacing w:line="240" w:lineRule="atLeast"/>
              <w:ind w:left="1079" w:leftChars="257" w:hanging="540"/>
              <w:rPr>
                <w:rFonts w:hint="eastAsia" w:ascii="宋体" w:hAnsi="宋体" w:eastAsia="宋体" w:cs="宋体"/>
                <w:color w:val="auto"/>
                <w:sz w:val="24"/>
                <w:highlight w:val="none"/>
                <w:lang w:val="en-US" w:eastAsia="zh-CN"/>
              </w:rPr>
            </w:pPr>
          </w:p>
        </w:tc>
      </w:tr>
      <w:tr w14:paraId="58805E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828" w:type="dxa"/>
            <w:noWrap w:val="0"/>
            <w:vAlign w:val="top"/>
          </w:tcPr>
          <w:p w14:paraId="6EA1B231">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71F530A6">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340" w:type="dxa"/>
            <w:noWrap w:val="0"/>
            <w:vAlign w:val="top"/>
          </w:tcPr>
          <w:p w14:paraId="5EF9F10E">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190E7189">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0F637FA6">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0C5EB5D2">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438A981B">
            <w:pPr>
              <w:pStyle w:val="13"/>
              <w:spacing w:line="240" w:lineRule="atLeast"/>
              <w:ind w:left="1079" w:leftChars="257" w:hanging="540"/>
              <w:rPr>
                <w:rFonts w:hint="eastAsia" w:ascii="宋体" w:hAnsi="宋体" w:eastAsia="宋体" w:cs="宋体"/>
                <w:color w:val="auto"/>
                <w:sz w:val="24"/>
                <w:highlight w:val="none"/>
                <w:lang w:val="en-US" w:eastAsia="zh-CN"/>
              </w:rPr>
            </w:pPr>
          </w:p>
        </w:tc>
      </w:tr>
      <w:tr w14:paraId="2E0E7A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42E72E06">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0B607A6F">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340" w:type="dxa"/>
            <w:noWrap w:val="0"/>
            <w:vAlign w:val="top"/>
          </w:tcPr>
          <w:p w14:paraId="7B982ABE">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5D9D20CE">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216DDED4">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53E91681">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24D31A8F">
            <w:pPr>
              <w:pStyle w:val="13"/>
              <w:spacing w:line="240" w:lineRule="atLeast"/>
              <w:ind w:left="1079" w:leftChars="257" w:hanging="540"/>
              <w:rPr>
                <w:rFonts w:hint="eastAsia" w:ascii="宋体" w:hAnsi="宋体" w:eastAsia="宋体" w:cs="宋体"/>
                <w:color w:val="auto"/>
                <w:sz w:val="24"/>
                <w:highlight w:val="none"/>
                <w:lang w:val="en-US" w:eastAsia="zh-CN"/>
              </w:rPr>
            </w:pPr>
          </w:p>
        </w:tc>
      </w:tr>
      <w:tr w14:paraId="6E973C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828" w:type="dxa"/>
            <w:noWrap w:val="0"/>
            <w:vAlign w:val="top"/>
          </w:tcPr>
          <w:p w14:paraId="3835A2B2">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6C88C44A">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340" w:type="dxa"/>
            <w:noWrap w:val="0"/>
            <w:vAlign w:val="top"/>
          </w:tcPr>
          <w:p w14:paraId="1BA73BFB">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0613A04E">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071B80D0">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0B292788">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5ECDAF96">
            <w:pPr>
              <w:pStyle w:val="13"/>
              <w:spacing w:line="240" w:lineRule="atLeast"/>
              <w:ind w:left="1079" w:leftChars="257" w:hanging="540"/>
              <w:rPr>
                <w:rFonts w:hint="eastAsia" w:ascii="宋体" w:hAnsi="宋体" w:eastAsia="宋体" w:cs="宋体"/>
                <w:color w:val="auto"/>
                <w:sz w:val="24"/>
                <w:highlight w:val="none"/>
                <w:lang w:val="en-US" w:eastAsia="zh-CN"/>
              </w:rPr>
            </w:pPr>
          </w:p>
        </w:tc>
      </w:tr>
      <w:tr w14:paraId="56A563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0C4AA321">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73B65842">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340" w:type="dxa"/>
            <w:noWrap w:val="0"/>
            <w:vAlign w:val="top"/>
          </w:tcPr>
          <w:p w14:paraId="7E9500BE">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0EABDAEF">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3525CC0D">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38D4E00C">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501F737C">
            <w:pPr>
              <w:pStyle w:val="13"/>
              <w:spacing w:line="240" w:lineRule="atLeast"/>
              <w:ind w:left="1079" w:leftChars="257" w:hanging="540"/>
              <w:rPr>
                <w:rFonts w:hint="eastAsia" w:ascii="宋体" w:hAnsi="宋体" w:eastAsia="宋体" w:cs="宋体"/>
                <w:color w:val="auto"/>
                <w:sz w:val="24"/>
                <w:highlight w:val="none"/>
                <w:lang w:val="en-US" w:eastAsia="zh-CN"/>
              </w:rPr>
            </w:pPr>
          </w:p>
        </w:tc>
      </w:tr>
      <w:tr w14:paraId="4C199C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828" w:type="dxa"/>
            <w:noWrap w:val="0"/>
            <w:vAlign w:val="top"/>
          </w:tcPr>
          <w:p w14:paraId="2F2C6373">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5936999E">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340" w:type="dxa"/>
            <w:noWrap w:val="0"/>
            <w:vAlign w:val="top"/>
          </w:tcPr>
          <w:p w14:paraId="4DF57214">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1FFAB4B7">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6E569B39">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16FDE4AB">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38C671FB">
            <w:pPr>
              <w:pStyle w:val="13"/>
              <w:spacing w:line="240" w:lineRule="atLeast"/>
              <w:ind w:left="1079" w:leftChars="257" w:hanging="540"/>
              <w:rPr>
                <w:rFonts w:hint="eastAsia" w:ascii="宋体" w:hAnsi="宋体" w:eastAsia="宋体" w:cs="宋体"/>
                <w:color w:val="auto"/>
                <w:sz w:val="24"/>
                <w:highlight w:val="none"/>
                <w:lang w:val="en-US" w:eastAsia="zh-CN"/>
              </w:rPr>
            </w:pPr>
          </w:p>
        </w:tc>
      </w:tr>
      <w:tr w14:paraId="5EA6FA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noWrap w:val="0"/>
            <w:vAlign w:val="top"/>
          </w:tcPr>
          <w:p w14:paraId="3A330E4E">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07A006E4">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340" w:type="dxa"/>
            <w:noWrap w:val="0"/>
            <w:vAlign w:val="top"/>
          </w:tcPr>
          <w:p w14:paraId="41D3213B">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1358E107">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2321CC81">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69F634B4">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7E288F85">
            <w:pPr>
              <w:pStyle w:val="13"/>
              <w:spacing w:line="240" w:lineRule="atLeast"/>
              <w:ind w:left="1079" w:leftChars="257" w:hanging="540"/>
              <w:rPr>
                <w:rFonts w:hint="eastAsia" w:ascii="宋体" w:hAnsi="宋体" w:eastAsia="宋体" w:cs="宋体"/>
                <w:color w:val="auto"/>
                <w:sz w:val="24"/>
                <w:highlight w:val="none"/>
                <w:lang w:val="en-US" w:eastAsia="zh-CN"/>
              </w:rPr>
            </w:pPr>
          </w:p>
        </w:tc>
      </w:tr>
      <w:tr w14:paraId="58764D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828" w:type="dxa"/>
            <w:noWrap w:val="0"/>
            <w:vAlign w:val="top"/>
          </w:tcPr>
          <w:p w14:paraId="3822A117">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3A42D273">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340" w:type="dxa"/>
            <w:noWrap w:val="0"/>
            <w:vAlign w:val="top"/>
          </w:tcPr>
          <w:p w14:paraId="527AE324">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0E889890">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1260" w:type="dxa"/>
            <w:noWrap w:val="0"/>
            <w:vAlign w:val="top"/>
          </w:tcPr>
          <w:p w14:paraId="321B6CDA">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00C23426">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0A8C9DD8">
            <w:pPr>
              <w:pStyle w:val="13"/>
              <w:spacing w:line="240" w:lineRule="atLeast"/>
              <w:ind w:left="1079" w:leftChars="257" w:hanging="540"/>
              <w:rPr>
                <w:rFonts w:hint="eastAsia" w:ascii="宋体" w:hAnsi="宋体" w:eastAsia="宋体" w:cs="宋体"/>
                <w:color w:val="auto"/>
                <w:sz w:val="24"/>
                <w:highlight w:val="none"/>
                <w:lang w:val="en-US" w:eastAsia="zh-CN"/>
              </w:rPr>
            </w:pPr>
          </w:p>
        </w:tc>
      </w:tr>
    </w:tbl>
    <w:p w14:paraId="25874FAD">
      <w:pPr>
        <w:pStyle w:val="13"/>
        <w:spacing w:line="240" w:lineRule="atLeast"/>
        <w:ind w:left="1079" w:leftChars="257" w:hanging="540"/>
        <w:rPr>
          <w:rFonts w:hint="eastAsia" w:ascii="宋体" w:hAnsi="宋体" w:eastAsia="宋体" w:cs="宋体"/>
          <w:color w:val="auto"/>
          <w:sz w:val="24"/>
          <w:highlight w:val="none"/>
        </w:rPr>
      </w:pPr>
    </w:p>
    <w:p w14:paraId="37524B0B">
      <w:pPr>
        <w:pStyle w:val="13"/>
        <w:spacing w:line="240" w:lineRule="atLeast"/>
        <w:ind w:left="1079"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法定代表人或其委托代理人签字:</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rPr>
        <w:tab/>
      </w:r>
      <w:r>
        <w:rPr>
          <w:rFonts w:hint="eastAsia" w:ascii="宋体" w:hAnsi="宋体" w:eastAsia="宋体" w:cs="宋体"/>
          <w:color w:val="auto"/>
          <w:sz w:val="24"/>
          <w:highlight w:val="none"/>
          <w:u w:val="single"/>
        </w:rPr>
        <w:t xml:space="preserve">                 </w:t>
      </w:r>
    </w:p>
    <w:p w14:paraId="2F75557E">
      <w:pPr>
        <w:pStyle w:val="13"/>
        <w:tabs>
          <w:tab w:val="left" w:pos="5370"/>
        </w:tabs>
        <w:spacing w:line="240" w:lineRule="atLeast"/>
        <w:ind w:left="1079" w:leftChars="257" w:hanging="54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投标人(盖单位章):</w:t>
      </w:r>
      <w:r>
        <w:rPr>
          <w:rFonts w:hint="eastAsia" w:ascii="宋体" w:hAnsi="宋体" w:eastAsia="宋体" w:cs="宋体"/>
          <w:color w:val="auto"/>
          <w:sz w:val="24"/>
          <w:highlight w:val="none"/>
          <w:u w:val="single"/>
        </w:rPr>
        <w:tab/>
      </w:r>
    </w:p>
    <w:p w14:paraId="017148F3">
      <w:pPr>
        <w:pStyle w:val="13"/>
        <w:tabs>
          <w:tab w:val="left" w:pos="5580"/>
        </w:tabs>
        <w:spacing w:line="240" w:lineRule="atLeast"/>
        <w:ind w:left="1079"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br w:type="page"/>
      </w:r>
    </w:p>
    <w:p w14:paraId="1E2738EB">
      <w:pPr>
        <w:pStyle w:val="3"/>
        <w:spacing w:before="0" w:line="240" w:lineRule="atLeast"/>
        <w:ind w:left="1079" w:leftChars="257" w:hanging="540"/>
        <w:rPr>
          <w:rFonts w:hint="eastAsia" w:ascii="宋体" w:hAnsi="宋体" w:eastAsia="宋体" w:cs="宋体"/>
          <w:color w:val="auto"/>
          <w:sz w:val="24"/>
          <w:highlight w:val="none"/>
        </w:rPr>
      </w:pPr>
      <w:bookmarkStart w:id="332" w:name="_Toc216582818"/>
      <w:bookmarkStart w:id="333" w:name="_Toc1980"/>
      <w:bookmarkStart w:id="334" w:name="_Toc515647821"/>
      <w:bookmarkStart w:id="335" w:name="_Toc23"/>
      <w:bookmarkStart w:id="336" w:name="_Toc28374"/>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 xml:space="preserve">   商务条款偏离表</w:t>
      </w:r>
      <w:bookmarkEnd w:id="332"/>
      <w:r>
        <w:rPr>
          <w:rFonts w:hint="eastAsia" w:ascii="宋体" w:hAnsi="宋体" w:eastAsia="宋体" w:cs="宋体"/>
          <w:color w:val="auto"/>
          <w:sz w:val="24"/>
          <w:highlight w:val="none"/>
        </w:rPr>
        <w:t>（投标文件格式</w:t>
      </w:r>
      <w:r>
        <w:rPr>
          <w:rFonts w:hint="eastAsia" w:ascii="宋体" w:hAnsi="宋体" w:eastAsia="宋体" w:cs="宋体"/>
          <w:color w:val="auto"/>
          <w:sz w:val="24"/>
          <w:highlight w:val="none"/>
          <w:lang w:val="en-US" w:eastAsia="zh-CN"/>
        </w:rPr>
        <w:t>五</w:t>
      </w:r>
      <w:r>
        <w:rPr>
          <w:rFonts w:hint="eastAsia" w:ascii="宋体" w:hAnsi="宋体" w:eastAsia="宋体" w:cs="宋体"/>
          <w:color w:val="auto"/>
          <w:sz w:val="24"/>
          <w:highlight w:val="none"/>
        </w:rPr>
        <w:t>）</w:t>
      </w:r>
      <w:bookmarkEnd w:id="333"/>
      <w:bookmarkEnd w:id="334"/>
      <w:bookmarkEnd w:id="335"/>
      <w:bookmarkEnd w:id="336"/>
    </w:p>
    <w:p w14:paraId="15487A0D">
      <w:pPr>
        <w:pStyle w:val="13"/>
        <w:spacing w:line="240" w:lineRule="atLeast"/>
        <w:ind w:left="1079" w:leftChars="257" w:hanging="540"/>
        <w:rPr>
          <w:rFonts w:hint="eastAsia" w:ascii="宋体" w:hAnsi="宋体" w:eastAsia="宋体" w:cs="宋体"/>
          <w:color w:val="auto"/>
          <w:sz w:val="24"/>
          <w:highlight w:val="none"/>
        </w:rPr>
      </w:pPr>
    </w:p>
    <w:p w14:paraId="629101FA">
      <w:pPr>
        <w:pStyle w:val="13"/>
        <w:spacing w:line="240" w:lineRule="atLeas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项目名称:                  </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 xml:space="preserve">    招标编号:             </w:t>
      </w:r>
    </w:p>
    <w:p w14:paraId="65A24A84">
      <w:pPr>
        <w:pStyle w:val="13"/>
        <w:spacing w:line="240" w:lineRule="atLeast"/>
        <w:ind w:left="1079" w:leftChars="257" w:hanging="540"/>
        <w:rPr>
          <w:rFonts w:hint="eastAsia" w:ascii="宋体" w:hAnsi="宋体" w:eastAsia="宋体" w:cs="宋体"/>
          <w:color w:val="auto"/>
          <w:sz w:val="24"/>
          <w:highlight w:val="none"/>
        </w:rPr>
      </w:pPr>
    </w:p>
    <w:tbl>
      <w:tblPr>
        <w:tblStyle w:val="3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8"/>
        <w:gridCol w:w="2040"/>
        <w:gridCol w:w="2520"/>
        <w:gridCol w:w="2520"/>
        <w:gridCol w:w="900"/>
      </w:tblGrid>
      <w:tr w14:paraId="086E78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1B596C1F">
            <w:pPr>
              <w:pStyle w:val="13"/>
              <w:spacing w:line="240" w:lineRule="atLeas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序号</w:t>
            </w:r>
          </w:p>
        </w:tc>
        <w:tc>
          <w:tcPr>
            <w:tcW w:w="2040" w:type="dxa"/>
            <w:noWrap w:val="0"/>
            <w:vAlign w:val="top"/>
          </w:tcPr>
          <w:p w14:paraId="1720E242">
            <w:pPr>
              <w:pStyle w:val="13"/>
              <w:spacing w:line="240" w:lineRule="atLeas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招标文件条款号</w:t>
            </w:r>
          </w:p>
        </w:tc>
        <w:tc>
          <w:tcPr>
            <w:tcW w:w="2520" w:type="dxa"/>
            <w:noWrap w:val="0"/>
            <w:vAlign w:val="top"/>
          </w:tcPr>
          <w:p w14:paraId="121DED3E">
            <w:pPr>
              <w:pStyle w:val="13"/>
              <w:spacing w:line="240" w:lineRule="atLeas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招标文件的商务条款</w:t>
            </w:r>
          </w:p>
        </w:tc>
        <w:tc>
          <w:tcPr>
            <w:tcW w:w="2520" w:type="dxa"/>
            <w:noWrap w:val="0"/>
            <w:vAlign w:val="top"/>
          </w:tcPr>
          <w:p w14:paraId="1FFFB61E">
            <w:pPr>
              <w:pStyle w:val="13"/>
              <w:spacing w:line="240" w:lineRule="atLeas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投标文件的商务条款</w:t>
            </w:r>
          </w:p>
        </w:tc>
        <w:tc>
          <w:tcPr>
            <w:tcW w:w="900" w:type="dxa"/>
            <w:noWrap w:val="0"/>
            <w:vAlign w:val="top"/>
          </w:tcPr>
          <w:p w14:paraId="1020F407">
            <w:pPr>
              <w:pStyle w:val="13"/>
              <w:spacing w:line="240" w:lineRule="atLeas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说明</w:t>
            </w:r>
          </w:p>
        </w:tc>
      </w:tr>
      <w:tr w14:paraId="5F83F7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43FD0D3C">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040" w:type="dxa"/>
            <w:noWrap w:val="0"/>
            <w:vAlign w:val="top"/>
          </w:tcPr>
          <w:p w14:paraId="1EF8BA12">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520" w:type="dxa"/>
            <w:noWrap w:val="0"/>
            <w:vAlign w:val="top"/>
          </w:tcPr>
          <w:p w14:paraId="6DBA661B">
            <w:pPr>
              <w:pStyle w:val="13"/>
              <w:spacing w:line="240" w:lineRule="atLeast"/>
              <w:ind w:left="1079" w:leftChars="257" w:hanging="540"/>
              <w:jc w:val="center"/>
              <w:rPr>
                <w:rFonts w:hint="eastAsia" w:ascii="宋体" w:hAnsi="宋体" w:eastAsia="宋体" w:cs="宋体"/>
                <w:color w:val="auto"/>
                <w:sz w:val="24"/>
                <w:highlight w:val="none"/>
                <w:lang w:val="en-US" w:eastAsia="zh-CN"/>
              </w:rPr>
            </w:pPr>
          </w:p>
        </w:tc>
        <w:tc>
          <w:tcPr>
            <w:tcW w:w="2520" w:type="dxa"/>
            <w:noWrap w:val="0"/>
            <w:vAlign w:val="top"/>
          </w:tcPr>
          <w:p w14:paraId="6D646FB7">
            <w:pPr>
              <w:pStyle w:val="13"/>
              <w:spacing w:line="240" w:lineRule="atLeast"/>
              <w:ind w:left="1079" w:leftChars="257" w:hanging="540"/>
              <w:jc w:val="center"/>
              <w:rPr>
                <w:rFonts w:hint="eastAsia" w:ascii="宋体" w:hAnsi="宋体" w:eastAsia="宋体" w:cs="宋体"/>
                <w:color w:val="auto"/>
                <w:sz w:val="24"/>
                <w:highlight w:val="none"/>
                <w:lang w:val="en-US" w:eastAsia="zh-CN"/>
              </w:rPr>
            </w:pPr>
          </w:p>
        </w:tc>
        <w:tc>
          <w:tcPr>
            <w:tcW w:w="900" w:type="dxa"/>
            <w:noWrap w:val="0"/>
            <w:vAlign w:val="top"/>
          </w:tcPr>
          <w:p w14:paraId="4F69849A">
            <w:pPr>
              <w:pStyle w:val="13"/>
              <w:spacing w:line="240" w:lineRule="atLeast"/>
              <w:ind w:left="1079" w:leftChars="257" w:hanging="540"/>
              <w:rPr>
                <w:rFonts w:hint="eastAsia" w:ascii="宋体" w:hAnsi="宋体" w:eastAsia="宋体" w:cs="宋体"/>
                <w:color w:val="auto"/>
                <w:sz w:val="24"/>
                <w:highlight w:val="none"/>
                <w:lang w:val="en-US" w:eastAsia="zh-CN"/>
              </w:rPr>
            </w:pPr>
          </w:p>
        </w:tc>
      </w:tr>
      <w:tr w14:paraId="58CDC8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78D744D1">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040" w:type="dxa"/>
            <w:noWrap w:val="0"/>
            <w:vAlign w:val="top"/>
          </w:tcPr>
          <w:p w14:paraId="51C9733D">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520" w:type="dxa"/>
            <w:noWrap w:val="0"/>
            <w:vAlign w:val="top"/>
          </w:tcPr>
          <w:p w14:paraId="1877F8AB">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520" w:type="dxa"/>
            <w:noWrap w:val="0"/>
            <w:vAlign w:val="top"/>
          </w:tcPr>
          <w:p w14:paraId="438DE06A">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37EA8850">
            <w:pPr>
              <w:pStyle w:val="13"/>
              <w:spacing w:line="240" w:lineRule="atLeast"/>
              <w:ind w:left="1079" w:leftChars="257" w:hanging="540"/>
              <w:rPr>
                <w:rFonts w:hint="eastAsia" w:ascii="宋体" w:hAnsi="宋体" w:eastAsia="宋体" w:cs="宋体"/>
                <w:color w:val="auto"/>
                <w:sz w:val="24"/>
                <w:highlight w:val="none"/>
                <w:lang w:val="en-US" w:eastAsia="zh-CN"/>
              </w:rPr>
            </w:pPr>
          </w:p>
        </w:tc>
      </w:tr>
      <w:tr w14:paraId="4A3484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58AC45FB">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040" w:type="dxa"/>
            <w:noWrap w:val="0"/>
            <w:vAlign w:val="top"/>
          </w:tcPr>
          <w:p w14:paraId="387D3CCE">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520" w:type="dxa"/>
            <w:noWrap w:val="0"/>
            <w:vAlign w:val="top"/>
          </w:tcPr>
          <w:p w14:paraId="7D81AC04">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520" w:type="dxa"/>
            <w:noWrap w:val="0"/>
            <w:vAlign w:val="top"/>
          </w:tcPr>
          <w:p w14:paraId="33E89266">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7F5FC973">
            <w:pPr>
              <w:pStyle w:val="13"/>
              <w:spacing w:line="240" w:lineRule="atLeast"/>
              <w:ind w:left="1079" w:leftChars="257" w:hanging="540"/>
              <w:rPr>
                <w:rFonts w:hint="eastAsia" w:ascii="宋体" w:hAnsi="宋体" w:eastAsia="宋体" w:cs="宋体"/>
                <w:color w:val="auto"/>
                <w:sz w:val="24"/>
                <w:highlight w:val="none"/>
                <w:lang w:val="en-US" w:eastAsia="zh-CN"/>
              </w:rPr>
            </w:pPr>
          </w:p>
        </w:tc>
      </w:tr>
      <w:tr w14:paraId="5DC750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59F64D75">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040" w:type="dxa"/>
            <w:noWrap w:val="0"/>
            <w:vAlign w:val="top"/>
          </w:tcPr>
          <w:p w14:paraId="75718851">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520" w:type="dxa"/>
            <w:noWrap w:val="0"/>
            <w:vAlign w:val="top"/>
          </w:tcPr>
          <w:p w14:paraId="4CD8C12D">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520" w:type="dxa"/>
            <w:noWrap w:val="0"/>
            <w:vAlign w:val="top"/>
          </w:tcPr>
          <w:p w14:paraId="63FD5BFC">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5ADFDB01">
            <w:pPr>
              <w:pStyle w:val="13"/>
              <w:spacing w:line="240" w:lineRule="atLeast"/>
              <w:ind w:left="1079" w:leftChars="257" w:hanging="540"/>
              <w:rPr>
                <w:rFonts w:hint="eastAsia" w:ascii="宋体" w:hAnsi="宋体" w:eastAsia="宋体" w:cs="宋体"/>
                <w:color w:val="auto"/>
                <w:sz w:val="24"/>
                <w:highlight w:val="none"/>
                <w:lang w:val="en-US" w:eastAsia="zh-CN"/>
              </w:rPr>
            </w:pPr>
          </w:p>
        </w:tc>
      </w:tr>
      <w:tr w14:paraId="780967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45BDE27B">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040" w:type="dxa"/>
            <w:noWrap w:val="0"/>
            <w:vAlign w:val="top"/>
          </w:tcPr>
          <w:p w14:paraId="2D276CC8">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520" w:type="dxa"/>
            <w:noWrap w:val="0"/>
            <w:vAlign w:val="top"/>
          </w:tcPr>
          <w:p w14:paraId="7CE0D91C">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520" w:type="dxa"/>
            <w:noWrap w:val="0"/>
            <w:vAlign w:val="top"/>
          </w:tcPr>
          <w:p w14:paraId="06F8F4A8">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4036125C">
            <w:pPr>
              <w:pStyle w:val="13"/>
              <w:spacing w:line="240" w:lineRule="atLeast"/>
              <w:ind w:left="1079" w:leftChars="257" w:hanging="540"/>
              <w:rPr>
                <w:rFonts w:hint="eastAsia" w:ascii="宋体" w:hAnsi="宋体" w:eastAsia="宋体" w:cs="宋体"/>
                <w:color w:val="auto"/>
                <w:sz w:val="24"/>
                <w:highlight w:val="none"/>
                <w:lang w:val="en-US" w:eastAsia="zh-CN"/>
              </w:rPr>
            </w:pPr>
          </w:p>
        </w:tc>
      </w:tr>
      <w:tr w14:paraId="33501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7A1D684A">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040" w:type="dxa"/>
            <w:noWrap w:val="0"/>
            <w:vAlign w:val="top"/>
          </w:tcPr>
          <w:p w14:paraId="3ABA8A68">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520" w:type="dxa"/>
            <w:noWrap w:val="0"/>
            <w:vAlign w:val="top"/>
          </w:tcPr>
          <w:p w14:paraId="4066599E">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520" w:type="dxa"/>
            <w:noWrap w:val="0"/>
            <w:vAlign w:val="top"/>
          </w:tcPr>
          <w:p w14:paraId="061FDC32">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6433548C">
            <w:pPr>
              <w:pStyle w:val="13"/>
              <w:spacing w:line="240" w:lineRule="atLeast"/>
              <w:ind w:left="1079" w:leftChars="257" w:hanging="540"/>
              <w:rPr>
                <w:rFonts w:hint="eastAsia" w:ascii="宋体" w:hAnsi="宋体" w:eastAsia="宋体" w:cs="宋体"/>
                <w:color w:val="auto"/>
                <w:sz w:val="24"/>
                <w:highlight w:val="none"/>
                <w:lang w:val="en-US" w:eastAsia="zh-CN"/>
              </w:rPr>
            </w:pPr>
          </w:p>
        </w:tc>
      </w:tr>
      <w:tr w14:paraId="27D28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7BF2FD16">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040" w:type="dxa"/>
            <w:noWrap w:val="0"/>
            <w:vAlign w:val="top"/>
          </w:tcPr>
          <w:p w14:paraId="0EBF63F6">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520" w:type="dxa"/>
            <w:noWrap w:val="0"/>
            <w:vAlign w:val="top"/>
          </w:tcPr>
          <w:p w14:paraId="581DBE6C">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520" w:type="dxa"/>
            <w:noWrap w:val="0"/>
            <w:vAlign w:val="top"/>
          </w:tcPr>
          <w:p w14:paraId="54DFCC39">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1ED20FF3">
            <w:pPr>
              <w:pStyle w:val="13"/>
              <w:spacing w:line="240" w:lineRule="atLeast"/>
              <w:ind w:left="1079" w:leftChars="257" w:hanging="540"/>
              <w:rPr>
                <w:rFonts w:hint="eastAsia" w:ascii="宋体" w:hAnsi="宋体" w:eastAsia="宋体" w:cs="宋体"/>
                <w:color w:val="auto"/>
                <w:sz w:val="24"/>
                <w:highlight w:val="none"/>
                <w:lang w:val="en-US" w:eastAsia="zh-CN"/>
              </w:rPr>
            </w:pPr>
          </w:p>
        </w:tc>
      </w:tr>
      <w:tr w14:paraId="0AC544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5EB72A9A">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040" w:type="dxa"/>
            <w:noWrap w:val="0"/>
            <w:vAlign w:val="top"/>
          </w:tcPr>
          <w:p w14:paraId="20D1CAB9">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520" w:type="dxa"/>
            <w:noWrap w:val="0"/>
            <w:vAlign w:val="top"/>
          </w:tcPr>
          <w:p w14:paraId="26AC46C7">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520" w:type="dxa"/>
            <w:noWrap w:val="0"/>
            <w:vAlign w:val="top"/>
          </w:tcPr>
          <w:p w14:paraId="6B931994">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2DE20C62">
            <w:pPr>
              <w:pStyle w:val="13"/>
              <w:spacing w:line="240" w:lineRule="atLeast"/>
              <w:ind w:left="1079" w:leftChars="257" w:hanging="540"/>
              <w:rPr>
                <w:rFonts w:hint="eastAsia" w:ascii="宋体" w:hAnsi="宋体" w:eastAsia="宋体" w:cs="宋体"/>
                <w:color w:val="auto"/>
                <w:sz w:val="24"/>
                <w:highlight w:val="none"/>
                <w:lang w:val="en-US" w:eastAsia="zh-CN"/>
              </w:rPr>
            </w:pPr>
          </w:p>
        </w:tc>
      </w:tr>
      <w:tr w14:paraId="150987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481D0AD6">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040" w:type="dxa"/>
            <w:noWrap w:val="0"/>
            <w:vAlign w:val="top"/>
          </w:tcPr>
          <w:p w14:paraId="4998D7DB">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520" w:type="dxa"/>
            <w:noWrap w:val="0"/>
            <w:vAlign w:val="top"/>
          </w:tcPr>
          <w:p w14:paraId="662A160A">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520" w:type="dxa"/>
            <w:noWrap w:val="0"/>
            <w:vAlign w:val="top"/>
          </w:tcPr>
          <w:p w14:paraId="4C9627D8">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23401228">
            <w:pPr>
              <w:pStyle w:val="13"/>
              <w:spacing w:line="240" w:lineRule="atLeast"/>
              <w:ind w:left="1079" w:leftChars="257" w:hanging="540"/>
              <w:rPr>
                <w:rFonts w:hint="eastAsia" w:ascii="宋体" w:hAnsi="宋体" w:eastAsia="宋体" w:cs="宋体"/>
                <w:color w:val="auto"/>
                <w:sz w:val="24"/>
                <w:highlight w:val="none"/>
                <w:lang w:val="en-US" w:eastAsia="zh-CN"/>
              </w:rPr>
            </w:pPr>
          </w:p>
        </w:tc>
      </w:tr>
      <w:tr w14:paraId="5524D1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2D663B84">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040" w:type="dxa"/>
            <w:noWrap w:val="0"/>
            <w:vAlign w:val="top"/>
          </w:tcPr>
          <w:p w14:paraId="181E0A47">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520" w:type="dxa"/>
            <w:noWrap w:val="0"/>
            <w:vAlign w:val="top"/>
          </w:tcPr>
          <w:p w14:paraId="2B5F9764">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520" w:type="dxa"/>
            <w:noWrap w:val="0"/>
            <w:vAlign w:val="top"/>
          </w:tcPr>
          <w:p w14:paraId="5D9EC3FB">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399E7652">
            <w:pPr>
              <w:pStyle w:val="13"/>
              <w:spacing w:line="240" w:lineRule="atLeast"/>
              <w:ind w:left="1079" w:leftChars="257" w:hanging="540"/>
              <w:rPr>
                <w:rFonts w:hint="eastAsia" w:ascii="宋体" w:hAnsi="宋体" w:eastAsia="宋体" w:cs="宋体"/>
                <w:color w:val="auto"/>
                <w:sz w:val="24"/>
                <w:highlight w:val="none"/>
                <w:lang w:val="en-US" w:eastAsia="zh-CN"/>
              </w:rPr>
            </w:pPr>
          </w:p>
        </w:tc>
      </w:tr>
      <w:tr w14:paraId="2FB774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154EBA1B">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040" w:type="dxa"/>
            <w:noWrap w:val="0"/>
            <w:vAlign w:val="top"/>
          </w:tcPr>
          <w:p w14:paraId="427E29B2">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520" w:type="dxa"/>
            <w:noWrap w:val="0"/>
            <w:vAlign w:val="top"/>
          </w:tcPr>
          <w:p w14:paraId="2A835D64">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520" w:type="dxa"/>
            <w:noWrap w:val="0"/>
            <w:vAlign w:val="top"/>
          </w:tcPr>
          <w:p w14:paraId="6D18F8E9">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2EF36D6B">
            <w:pPr>
              <w:pStyle w:val="13"/>
              <w:spacing w:line="240" w:lineRule="atLeast"/>
              <w:ind w:left="1079" w:leftChars="257" w:hanging="540"/>
              <w:rPr>
                <w:rFonts w:hint="eastAsia" w:ascii="宋体" w:hAnsi="宋体" w:eastAsia="宋体" w:cs="宋体"/>
                <w:color w:val="auto"/>
                <w:sz w:val="24"/>
                <w:highlight w:val="none"/>
                <w:lang w:val="en-US" w:eastAsia="zh-CN"/>
              </w:rPr>
            </w:pPr>
          </w:p>
        </w:tc>
      </w:tr>
      <w:tr w14:paraId="620FDB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2567193C">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040" w:type="dxa"/>
            <w:noWrap w:val="0"/>
            <w:vAlign w:val="top"/>
          </w:tcPr>
          <w:p w14:paraId="616126ED">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520" w:type="dxa"/>
            <w:noWrap w:val="0"/>
            <w:vAlign w:val="top"/>
          </w:tcPr>
          <w:p w14:paraId="6BAAC332">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520" w:type="dxa"/>
            <w:noWrap w:val="0"/>
            <w:vAlign w:val="top"/>
          </w:tcPr>
          <w:p w14:paraId="53DEF646">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541D60F2">
            <w:pPr>
              <w:pStyle w:val="13"/>
              <w:spacing w:line="240" w:lineRule="atLeast"/>
              <w:ind w:left="1079" w:leftChars="257" w:hanging="540"/>
              <w:rPr>
                <w:rFonts w:hint="eastAsia" w:ascii="宋体" w:hAnsi="宋体" w:eastAsia="宋体" w:cs="宋体"/>
                <w:color w:val="auto"/>
                <w:sz w:val="24"/>
                <w:highlight w:val="none"/>
                <w:lang w:val="en-US" w:eastAsia="zh-CN"/>
              </w:rPr>
            </w:pPr>
          </w:p>
        </w:tc>
      </w:tr>
      <w:tr w14:paraId="41A0D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227D8F4C">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040" w:type="dxa"/>
            <w:noWrap w:val="0"/>
            <w:vAlign w:val="top"/>
          </w:tcPr>
          <w:p w14:paraId="22932505">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520" w:type="dxa"/>
            <w:noWrap w:val="0"/>
            <w:vAlign w:val="top"/>
          </w:tcPr>
          <w:p w14:paraId="118BA08B">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520" w:type="dxa"/>
            <w:noWrap w:val="0"/>
            <w:vAlign w:val="top"/>
          </w:tcPr>
          <w:p w14:paraId="7EF75D1D">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36A7336E">
            <w:pPr>
              <w:pStyle w:val="13"/>
              <w:spacing w:line="240" w:lineRule="atLeast"/>
              <w:ind w:left="1079" w:leftChars="257" w:hanging="540"/>
              <w:rPr>
                <w:rFonts w:hint="eastAsia" w:ascii="宋体" w:hAnsi="宋体" w:eastAsia="宋体" w:cs="宋体"/>
                <w:color w:val="auto"/>
                <w:sz w:val="24"/>
                <w:highlight w:val="none"/>
                <w:lang w:val="en-US" w:eastAsia="zh-CN"/>
              </w:rPr>
            </w:pPr>
          </w:p>
        </w:tc>
      </w:tr>
      <w:tr w14:paraId="3E6467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5C035382">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040" w:type="dxa"/>
            <w:noWrap w:val="0"/>
            <w:vAlign w:val="top"/>
          </w:tcPr>
          <w:p w14:paraId="74C7C08C">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520" w:type="dxa"/>
            <w:noWrap w:val="0"/>
            <w:vAlign w:val="top"/>
          </w:tcPr>
          <w:p w14:paraId="1BD10ABD">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520" w:type="dxa"/>
            <w:noWrap w:val="0"/>
            <w:vAlign w:val="top"/>
          </w:tcPr>
          <w:p w14:paraId="1E5EBEC7">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25C82640">
            <w:pPr>
              <w:pStyle w:val="13"/>
              <w:spacing w:line="240" w:lineRule="atLeast"/>
              <w:ind w:left="1079" w:leftChars="257" w:hanging="540"/>
              <w:rPr>
                <w:rFonts w:hint="eastAsia" w:ascii="宋体" w:hAnsi="宋体" w:eastAsia="宋体" w:cs="宋体"/>
                <w:color w:val="auto"/>
                <w:sz w:val="24"/>
                <w:highlight w:val="none"/>
                <w:lang w:val="en-US" w:eastAsia="zh-CN"/>
              </w:rPr>
            </w:pPr>
          </w:p>
        </w:tc>
      </w:tr>
      <w:tr w14:paraId="56A9BF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1FE7181F">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040" w:type="dxa"/>
            <w:noWrap w:val="0"/>
            <w:vAlign w:val="top"/>
          </w:tcPr>
          <w:p w14:paraId="746DE216">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520" w:type="dxa"/>
            <w:noWrap w:val="0"/>
            <w:vAlign w:val="top"/>
          </w:tcPr>
          <w:p w14:paraId="4439BCA6">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520" w:type="dxa"/>
            <w:noWrap w:val="0"/>
            <w:vAlign w:val="top"/>
          </w:tcPr>
          <w:p w14:paraId="44E78ABE">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08604A8F">
            <w:pPr>
              <w:pStyle w:val="13"/>
              <w:spacing w:line="240" w:lineRule="atLeast"/>
              <w:ind w:left="1079" w:leftChars="257" w:hanging="540"/>
              <w:rPr>
                <w:rFonts w:hint="eastAsia" w:ascii="宋体" w:hAnsi="宋体" w:eastAsia="宋体" w:cs="宋体"/>
                <w:color w:val="auto"/>
                <w:sz w:val="24"/>
                <w:highlight w:val="none"/>
                <w:lang w:val="en-US" w:eastAsia="zh-CN"/>
              </w:rPr>
            </w:pPr>
          </w:p>
        </w:tc>
      </w:tr>
      <w:tr w14:paraId="23663B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05170E5D">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040" w:type="dxa"/>
            <w:noWrap w:val="0"/>
            <w:vAlign w:val="top"/>
          </w:tcPr>
          <w:p w14:paraId="5D5C2848">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520" w:type="dxa"/>
            <w:noWrap w:val="0"/>
            <w:vAlign w:val="top"/>
          </w:tcPr>
          <w:p w14:paraId="3FCB9F46">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520" w:type="dxa"/>
            <w:noWrap w:val="0"/>
            <w:vAlign w:val="top"/>
          </w:tcPr>
          <w:p w14:paraId="16742E61">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79A899C1">
            <w:pPr>
              <w:pStyle w:val="13"/>
              <w:spacing w:line="240" w:lineRule="atLeast"/>
              <w:ind w:left="1079" w:leftChars="257" w:hanging="540"/>
              <w:rPr>
                <w:rFonts w:hint="eastAsia" w:ascii="宋体" w:hAnsi="宋体" w:eastAsia="宋体" w:cs="宋体"/>
                <w:color w:val="auto"/>
                <w:sz w:val="24"/>
                <w:highlight w:val="none"/>
                <w:lang w:val="en-US" w:eastAsia="zh-CN"/>
              </w:rPr>
            </w:pPr>
          </w:p>
        </w:tc>
      </w:tr>
      <w:tr w14:paraId="29B022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14:paraId="23FF1211">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040" w:type="dxa"/>
            <w:noWrap w:val="0"/>
            <w:vAlign w:val="top"/>
          </w:tcPr>
          <w:p w14:paraId="46F1E4D0">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520" w:type="dxa"/>
            <w:noWrap w:val="0"/>
            <w:vAlign w:val="top"/>
          </w:tcPr>
          <w:p w14:paraId="4844DB04">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2520" w:type="dxa"/>
            <w:noWrap w:val="0"/>
            <w:vAlign w:val="top"/>
          </w:tcPr>
          <w:p w14:paraId="10AA4D01">
            <w:pPr>
              <w:pStyle w:val="13"/>
              <w:spacing w:line="240" w:lineRule="atLeast"/>
              <w:ind w:left="1079" w:leftChars="257" w:hanging="540"/>
              <w:rPr>
                <w:rFonts w:hint="eastAsia" w:ascii="宋体" w:hAnsi="宋体" w:eastAsia="宋体" w:cs="宋体"/>
                <w:color w:val="auto"/>
                <w:sz w:val="24"/>
                <w:highlight w:val="none"/>
                <w:lang w:val="en-US" w:eastAsia="zh-CN"/>
              </w:rPr>
            </w:pPr>
          </w:p>
        </w:tc>
        <w:tc>
          <w:tcPr>
            <w:tcW w:w="900" w:type="dxa"/>
            <w:noWrap w:val="0"/>
            <w:vAlign w:val="top"/>
          </w:tcPr>
          <w:p w14:paraId="1C0C1416">
            <w:pPr>
              <w:pStyle w:val="13"/>
              <w:spacing w:line="240" w:lineRule="atLeast"/>
              <w:ind w:left="1079" w:leftChars="257" w:hanging="540"/>
              <w:rPr>
                <w:rFonts w:hint="eastAsia" w:ascii="宋体" w:hAnsi="宋体" w:eastAsia="宋体" w:cs="宋体"/>
                <w:color w:val="auto"/>
                <w:sz w:val="24"/>
                <w:highlight w:val="none"/>
                <w:lang w:val="en-US" w:eastAsia="zh-CN"/>
              </w:rPr>
            </w:pPr>
          </w:p>
        </w:tc>
      </w:tr>
    </w:tbl>
    <w:p w14:paraId="1BA63B17">
      <w:pPr>
        <w:pStyle w:val="13"/>
        <w:spacing w:line="240" w:lineRule="atLeast"/>
        <w:ind w:left="1079" w:leftChars="257" w:hanging="540"/>
        <w:rPr>
          <w:rFonts w:hint="eastAsia" w:ascii="宋体" w:hAnsi="宋体" w:eastAsia="宋体" w:cs="宋体"/>
          <w:color w:val="auto"/>
          <w:sz w:val="24"/>
          <w:highlight w:val="none"/>
        </w:rPr>
      </w:pPr>
    </w:p>
    <w:p w14:paraId="2AE61627">
      <w:pPr>
        <w:pStyle w:val="13"/>
        <w:spacing w:line="240" w:lineRule="atLeast"/>
        <w:ind w:left="1079" w:leftChars="257" w:hanging="540"/>
        <w:rPr>
          <w:rFonts w:hint="eastAsia" w:ascii="宋体" w:hAnsi="宋体" w:eastAsia="宋体" w:cs="宋体"/>
          <w:color w:val="auto"/>
          <w:sz w:val="24"/>
          <w:highlight w:val="none"/>
        </w:rPr>
      </w:pPr>
    </w:p>
    <w:p w14:paraId="0393D621">
      <w:pPr>
        <w:pStyle w:val="13"/>
        <w:spacing w:line="240" w:lineRule="atLeast"/>
        <w:ind w:left="1079"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法定代表人或其委托代理人签字:</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rPr>
        <w:tab/>
      </w:r>
      <w:r>
        <w:rPr>
          <w:rFonts w:hint="eastAsia" w:ascii="宋体" w:hAnsi="宋体" w:eastAsia="宋体" w:cs="宋体"/>
          <w:color w:val="auto"/>
          <w:sz w:val="24"/>
          <w:highlight w:val="none"/>
          <w:u w:val="single"/>
        </w:rPr>
        <w:t xml:space="preserve">                 </w:t>
      </w:r>
    </w:p>
    <w:p w14:paraId="7634D3EF">
      <w:pPr>
        <w:pStyle w:val="13"/>
        <w:tabs>
          <w:tab w:val="left" w:pos="5370"/>
        </w:tabs>
        <w:spacing w:line="240" w:lineRule="atLeast"/>
        <w:ind w:left="1079" w:leftChars="257" w:hanging="54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投标人(盖单位章):</w:t>
      </w:r>
      <w:r>
        <w:rPr>
          <w:rFonts w:hint="eastAsia" w:ascii="宋体" w:hAnsi="宋体" w:eastAsia="宋体" w:cs="宋体"/>
          <w:color w:val="auto"/>
          <w:sz w:val="24"/>
          <w:highlight w:val="none"/>
          <w:u w:val="single"/>
        </w:rPr>
        <w:tab/>
      </w:r>
    </w:p>
    <w:p w14:paraId="7668B1B6">
      <w:pPr>
        <w:pStyle w:val="13"/>
        <w:spacing w:line="240" w:lineRule="atLeast"/>
        <w:ind w:left="1079"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br w:type="page"/>
      </w:r>
    </w:p>
    <w:p w14:paraId="44604321">
      <w:pPr>
        <w:pStyle w:val="3"/>
        <w:spacing w:before="0" w:line="240" w:lineRule="atLeast"/>
        <w:jc w:val="center"/>
        <w:rPr>
          <w:rFonts w:hint="eastAsia" w:ascii="宋体" w:hAnsi="宋体" w:eastAsia="宋体" w:cs="宋体"/>
          <w:b w:val="0"/>
          <w:color w:val="auto"/>
          <w:sz w:val="24"/>
          <w:highlight w:val="none"/>
          <w:lang w:val="en-US" w:eastAsia="zh-CN"/>
        </w:rPr>
      </w:pPr>
      <w:bookmarkStart w:id="337" w:name="_Hlt520274065"/>
      <w:bookmarkEnd w:id="337"/>
      <w:bookmarkStart w:id="338" w:name="_Hlt520350957"/>
      <w:bookmarkEnd w:id="338"/>
      <w:bookmarkStart w:id="339" w:name="_Hlt520271212"/>
      <w:bookmarkEnd w:id="339"/>
      <w:bookmarkStart w:id="340" w:name="_Hlt520350918"/>
      <w:bookmarkEnd w:id="340"/>
      <w:bookmarkStart w:id="341" w:name="_Hlt520273973"/>
      <w:bookmarkEnd w:id="341"/>
      <w:bookmarkStart w:id="342" w:name="_Hlt520274393"/>
      <w:bookmarkEnd w:id="342"/>
      <w:bookmarkStart w:id="343" w:name="_Hlt520273711"/>
      <w:bookmarkEnd w:id="343"/>
      <w:bookmarkStart w:id="344" w:name="_Hlt520343392"/>
      <w:bookmarkEnd w:id="344"/>
      <w:bookmarkStart w:id="345" w:name="_Hlt520274407"/>
      <w:bookmarkEnd w:id="345"/>
      <w:bookmarkStart w:id="346" w:name="_Hlt520274911"/>
      <w:bookmarkEnd w:id="346"/>
      <w:bookmarkStart w:id="347" w:name="_Hlt520343000"/>
      <w:bookmarkEnd w:id="347"/>
      <w:bookmarkStart w:id="348" w:name="_Toc21312"/>
      <w:bookmarkStart w:id="349" w:name="_Toc25347"/>
      <w:bookmarkStart w:id="350" w:name="_Toc515647823"/>
      <w:bookmarkStart w:id="351" w:name="_Toc10725"/>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 xml:space="preserve"> </w:t>
      </w:r>
      <w:r>
        <w:rPr>
          <w:rFonts w:hint="eastAsia" w:ascii="宋体" w:hAnsi="宋体" w:eastAsia="宋体" w:cs="宋体"/>
          <w:b w:val="0"/>
          <w:color w:val="auto"/>
          <w:sz w:val="24"/>
          <w:highlight w:val="none"/>
        </w:rPr>
        <w:t xml:space="preserve"> </w:t>
      </w:r>
      <w:r>
        <w:rPr>
          <w:rFonts w:hint="eastAsia" w:ascii="宋体" w:hAnsi="宋体" w:eastAsia="宋体" w:cs="宋体"/>
          <w:color w:val="auto"/>
          <w:sz w:val="24"/>
          <w:highlight w:val="none"/>
        </w:rPr>
        <w:t>投标人企业（单位）类型声明函（投标文件格式</w:t>
      </w:r>
      <w:r>
        <w:rPr>
          <w:rFonts w:hint="eastAsia" w:ascii="宋体" w:hAnsi="宋体" w:eastAsia="宋体" w:cs="宋体"/>
          <w:color w:val="auto"/>
          <w:sz w:val="24"/>
          <w:highlight w:val="none"/>
          <w:lang w:val="en-US" w:eastAsia="zh-CN"/>
        </w:rPr>
        <w:t>六</w:t>
      </w:r>
      <w:r>
        <w:rPr>
          <w:rFonts w:hint="eastAsia" w:ascii="宋体" w:hAnsi="宋体" w:eastAsia="宋体" w:cs="宋体"/>
          <w:color w:val="auto"/>
          <w:sz w:val="24"/>
          <w:highlight w:val="none"/>
        </w:rPr>
        <w:t>）</w:t>
      </w:r>
      <w:bookmarkEnd w:id="348"/>
      <w:bookmarkEnd w:id="349"/>
      <w:bookmarkEnd w:id="350"/>
      <w:bookmarkEnd w:id="351"/>
    </w:p>
    <w:p w14:paraId="374335CF">
      <w:pPr>
        <w:spacing w:line="240" w:lineRule="atLeast"/>
        <w:ind w:left="1079" w:leftChars="257" w:hanging="540"/>
        <w:jc w:val="center"/>
        <w:rPr>
          <w:rFonts w:hint="eastAsia" w:ascii="宋体" w:hAnsi="宋体" w:eastAsia="宋体" w:cs="宋体"/>
          <w:b/>
          <w:color w:val="auto"/>
          <w:kern w:val="0"/>
          <w:sz w:val="24"/>
          <w:szCs w:val="20"/>
          <w:highlight w:val="none"/>
        </w:rPr>
      </w:pPr>
    </w:p>
    <w:p w14:paraId="31BB89F3">
      <w:pPr>
        <w:pStyle w:val="66"/>
        <w:numPr>
          <w:ilvl w:val="0"/>
          <w:numId w:val="0"/>
        </w:numPr>
        <w:tabs>
          <w:tab w:val="left" w:pos="980"/>
          <w:tab w:val="left" w:pos="981"/>
        </w:tabs>
        <w:spacing w:before="71" w:after="0" w:line="240" w:lineRule="auto"/>
        <w:ind w:left="254" w:leftChars="0" w:right="0" w:rightChars="0" w:firstLine="2400" w:firstLineChars="1000"/>
        <w:jc w:val="both"/>
        <w:outlineLvl w:val="1"/>
        <w:rPr>
          <w:rFonts w:hint="eastAsia" w:ascii="宋体" w:hAnsi="宋体" w:eastAsia="宋体" w:cs="宋体"/>
          <w:b/>
          <w:color w:val="auto"/>
          <w:highlight w:val="none"/>
        </w:rPr>
      </w:pPr>
      <w:bookmarkStart w:id="352" w:name="_Toc10166"/>
      <w:r>
        <w:rPr>
          <w:rFonts w:hint="eastAsia" w:ascii="宋体" w:hAnsi="宋体" w:eastAsia="宋体" w:cs="宋体"/>
          <w:b/>
          <w:bCs w:val="0"/>
          <w:color w:val="auto"/>
          <w:highlight w:val="none"/>
        </w:rPr>
        <w:t>中小企业声明函(货物)</w:t>
      </w:r>
      <w:bookmarkEnd w:id="352"/>
    </w:p>
    <w:p w14:paraId="08DC968E">
      <w:pPr>
        <w:pStyle w:val="9"/>
        <w:keepNext w:val="0"/>
        <w:keepLines w:val="0"/>
        <w:pageBreakBefore w:val="0"/>
        <w:widowControl w:val="0"/>
        <w:kinsoku/>
        <w:wordWrap/>
        <w:overflowPunct/>
        <w:topLinePunct w:val="0"/>
        <w:autoSpaceDE w:val="0"/>
        <w:autoSpaceDN w:val="0"/>
        <w:bidi w:val="0"/>
        <w:adjustRightInd/>
        <w:snapToGrid/>
        <w:ind w:firstLine="480" w:firstLineChars="200"/>
        <w:textAlignment w:val="auto"/>
        <w:rPr>
          <w:rFonts w:hint="eastAsia" w:ascii="宋体" w:hAnsi="宋体" w:eastAsia="宋体" w:cs="宋体"/>
          <w:b w:val="0"/>
          <w:bCs/>
          <w:color w:val="auto"/>
          <w:highlight w:val="none"/>
        </w:rPr>
      </w:pPr>
      <w:r>
        <w:rPr>
          <w:rFonts w:hint="eastAsia" w:ascii="宋体" w:hAnsi="宋体" w:eastAsia="宋体" w:cs="宋体"/>
          <w:b w:val="0"/>
          <w:bCs/>
          <w:color w:val="auto"/>
          <w:highlight w:val="none"/>
        </w:rPr>
        <w:t> </w:t>
      </w:r>
    </w:p>
    <w:p w14:paraId="043A23EA">
      <w:pPr>
        <w:widowControl/>
        <w:spacing w:before="100" w:beforeAutospacing="1" w:after="100" w:afterAutospacing="1" w:line="330" w:lineRule="atLeast"/>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本企业（单位）郑重声明下列事项（按照实际情况勾选或填空）：</w:t>
      </w:r>
    </w:p>
    <w:p w14:paraId="12A3ED67">
      <w:pPr>
        <w:widowControl/>
        <w:spacing w:before="100" w:beforeAutospacing="1" w:after="100" w:afterAutospacing="1" w:line="330" w:lineRule="atLeast"/>
        <w:ind w:firstLine="420"/>
        <w:jc w:val="left"/>
        <w:rPr>
          <w:rFonts w:hint="eastAsia" w:ascii="宋体" w:hAnsi="宋体" w:cs="宋体"/>
          <w:color w:val="auto"/>
          <w:kern w:val="0"/>
          <w:sz w:val="24"/>
          <w:highlight w:val="none"/>
        </w:rPr>
      </w:pPr>
      <w:r>
        <w:rPr>
          <w:rFonts w:hint="eastAsia" w:ascii="宋体" w:hAnsi="宋体" w:cs="宋体"/>
          <w:color w:val="auto"/>
          <w:kern w:val="0"/>
          <w:sz w:val="24"/>
          <w:highlight w:val="none"/>
        </w:rPr>
        <w:t>1、□本企业（单位）为直接投标人，提供本企业（单位）服务。</w:t>
      </w:r>
    </w:p>
    <w:p w14:paraId="4D368A83">
      <w:pPr>
        <w:widowControl/>
        <w:spacing w:before="100" w:beforeAutospacing="1" w:after="100" w:afterAutospacing="1" w:line="330" w:lineRule="atLeast"/>
        <w:ind w:firstLine="240" w:firstLineChars="1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eastAsia="宋体" w:cs="宋体"/>
          <w:i w:val="0"/>
          <w:iCs w:val="0"/>
          <w:caps w:val="0"/>
          <w:color w:val="auto"/>
          <w:spacing w:val="0"/>
          <w:kern w:val="0"/>
          <w:sz w:val="24"/>
          <w:szCs w:val="24"/>
          <w:highlight w:val="none"/>
          <w:shd w:val="clear" w:color="auto" w:fill="FFFFFF"/>
          <w:lang w:val="en-US" w:eastAsia="zh-CN"/>
        </w:rPr>
        <w:t>《政府采购促进中小企业发展管理办法》（财库﹝2020﹞46号）的规定</w:t>
      </w:r>
      <w:r>
        <w:rPr>
          <w:rFonts w:hint="eastAsia" w:ascii="宋体" w:hAnsi="宋体" w:cs="宋体"/>
          <w:color w:val="auto"/>
          <w:kern w:val="0"/>
          <w:sz w:val="24"/>
          <w:highlight w:val="none"/>
        </w:rPr>
        <w:t>的划分标准，本企业为______（请填写：</w:t>
      </w:r>
      <w:r>
        <w:rPr>
          <w:rFonts w:hint="eastAsia" w:ascii="宋体" w:hAnsi="宋体" w:cs="宋体"/>
          <w:color w:val="auto"/>
          <w:kern w:val="0"/>
          <w:sz w:val="24"/>
          <w:highlight w:val="none"/>
          <w:lang w:val="en-US" w:eastAsia="zh-CN"/>
        </w:rPr>
        <w:t>大型、</w:t>
      </w:r>
      <w:r>
        <w:rPr>
          <w:rFonts w:hint="eastAsia" w:ascii="宋体" w:hAnsi="宋体" w:cs="宋体"/>
          <w:color w:val="auto"/>
          <w:kern w:val="0"/>
          <w:sz w:val="24"/>
          <w:highlight w:val="none"/>
        </w:rPr>
        <w:t>中型、小型、微型）企业。</w:t>
      </w:r>
    </w:p>
    <w:p w14:paraId="7470EEBA">
      <w:pPr>
        <w:widowControl/>
        <w:spacing w:before="100" w:beforeAutospacing="1" w:after="100" w:afterAutospacing="1" w:line="330" w:lineRule="atLeast"/>
        <w:ind w:firstLine="420"/>
        <w:jc w:val="left"/>
        <w:rPr>
          <w:rFonts w:hint="eastAsia" w:ascii="宋体" w:hAnsi="宋体" w:cs="宋体"/>
          <w:color w:val="auto"/>
          <w:kern w:val="0"/>
          <w:sz w:val="24"/>
          <w:highlight w:val="none"/>
        </w:rPr>
      </w:pPr>
      <w:r>
        <w:rPr>
          <w:rFonts w:hint="eastAsia" w:ascii="宋体" w:hAnsi="宋体" w:cs="宋体"/>
          <w:color w:val="auto"/>
          <w:kern w:val="0"/>
          <w:sz w:val="24"/>
          <w:highlight w:val="none"/>
        </w:rPr>
        <w:t>（2）本企业</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（请填写：是、不是）监狱企业。后附省级以上监狱管理局、戒毒管理局（含新疆生产建设兵团）出具的属于监狱企业的证明文件。</w:t>
      </w:r>
    </w:p>
    <w:p w14:paraId="30AF3D0F">
      <w:pPr>
        <w:widowControl/>
        <w:spacing w:before="100" w:beforeAutospacing="1" w:after="100" w:afterAutospacing="1" w:line="330" w:lineRule="atLeast"/>
        <w:ind w:firstLine="420"/>
        <w:jc w:val="left"/>
        <w:rPr>
          <w:rFonts w:hint="eastAsia" w:ascii="宋体" w:hAnsi="宋体" w:cs="宋体"/>
          <w:color w:val="auto"/>
          <w:kern w:val="0"/>
          <w:sz w:val="24"/>
          <w:highlight w:val="none"/>
        </w:rPr>
      </w:pPr>
      <w:r>
        <w:rPr>
          <w:rFonts w:hint="eastAsia" w:ascii="宋体" w:hAnsi="宋体" w:cs="宋体"/>
          <w:color w:val="auto"/>
          <w:kern w:val="0"/>
          <w:sz w:val="24"/>
          <w:highlight w:val="none"/>
        </w:rPr>
        <w:t>（3）根据《关于促进残疾人就业政府采购政策的通知》（财库〔2017〕141号）。本单位</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（请填写：是、不是）残疾人福利性单位。</w:t>
      </w:r>
    </w:p>
    <w:p w14:paraId="6FACC1A8">
      <w:pPr>
        <w:widowControl/>
        <w:spacing w:before="100" w:beforeAutospacing="1" w:after="100" w:afterAutospacing="1" w:line="330" w:lineRule="atLeast"/>
        <w:ind w:firstLine="420"/>
        <w:jc w:val="left"/>
        <w:rPr>
          <w:rFonts w:hint="eastAsia" w:ascii="宋体" w:hAnsi="宋体" w:cs="宋体"/>
          <w:color w:val="auto"/>
          <w:kern w:val="0"/>
          <w:sz w:val="24"/>
          <w:highlight w:val="none"/>
        </w:rPr>
      </w:pPr>
      <w:r>
        <w:rPr>
          <w:rFonts w:hint="eastAsia" w:ascii="宋体" w:hAnsi="宋体" w:cs="宋体"/>
          <w:color w:val="auto"/>
          <w:kern w:val="0"/>
          <w:sz w:val="24"/>
          <w:highlight w:val="none"/>
        </w:rPr>
        <w:t>2、□本项目提供伴随货物，由其他______（请填写：中型、小型、微型）企业、监狱企业或残疾人福利性单位制造。本条所称货物不包括使用大型企业注册商标的货物。（后附制造商企业（单位）类型声明函）</w:t>
      </w:r>
    </w:p>
    <w:p w14:paraId="718E05C6">
      <w:pPr>
        <w:widowControl/>
        <w:spacing w:before="100" w:beforeAutospacing="1" w:after="100" w:afterAutospacing="1" w:line="330" w:lineRule="atLeast"/>
        <w:ind w:firstLine="420"/>
        <w:jc w:val="left"/>
        <w:rPr>
          <w:rFonts w:hint="eastAsia" w:ascii="宋体" w:hAnsi="宋体" w:cs="宋体"/>
          <w:color w:val="auto"/>
          <w:kern w:val="0"/>
          <w:sz w:val="24"/>
          <w:highlight w:val="none"/>
        </w:rPr>
      </w:pPr>
      <w:r>
        <w:rPr>
          <w:rFonts w:hint="eastAsia" w:ascii="宋体" w:hAnsi="宋体" w:cs="宋体"/>
          <w:color w:val="auto"/>
          <w:kern w:val="0"/>
          <w:sz w:val="24"/>
          <w:highlight w:val="none"/>
        </w:rPr>
        <w:t>3、□本企业（单位）为联合体一方，提供本企业（单位）制造的货物，由本企业（单位）承担工程、提供服务。本企业（单位）提供协议合同金额占到共同投标协议合同总金额的比例为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44A2AE5A">
      <w:pPr>
        <w:widowControl/>
        <w:spacing w:before="100" w:beforeAutospacing="1" w:after="100" w:afterAutospacing="1" w:line="330" w:lineRule="atLeast"/>
        <w:jc w:val="left"/>
        <w:rPr>
          <w:rFonts w:hint="eastAsia" w:ascii="宋体" w:hAnsi="宋体" w:cs="宋体"/>
          <w:color w:val="auto"/>
          <w:kern w:val="0"/>
          <w:sz w:val="24"/>
          <w:highlight w:val="none"/>
        </w:rPr>
      </w:pPr>
      <w:r>
        <w:rPr>
          <w:rFonts w:hint="eastAsia" w:ascii="宋体" w:hAnsi="宋体" w:cs="宋体"/>
          <w:color w:val="auto"/>
          <w:kern w:val="0"/>
          <w:sz w:val="24"/>
          <w:highlight w:val="none"/>
        </w:rPr>
        <w:t>　　本企业（单位）对上述声明的真实性负责。如有虚假，将依法承担相应责任。</w:t>
      </w:r>
    </w:p>
    <w:p w14:paraId="62E2F0D8">
      <w:pPr>
        <w:widowControl/>
        <w:spacing w:before="100" w:beforeAutospacing="1" w:after="100" w:afterAutospacing="1" w:line="330" w:lineRule="atLeast"/>
        <w:jc w:val="left"/>
        <w:rPr>
          <w:rFonts w:hint="eastAsia" w:ascii="宋体" w:hAnsi="宋体" w:cs="宋体"/>
          <w:color w:val="auto"/>
          <w:kern w:val="0"/>
          <w:sz w:val="24"/>
          <w:highlight w:val="none"/>
        </w:rPr>
      </w:pPr>
      <w:r>
        <w:rPr>
          <w:rFonts w:hint="eastAsia" w:ascii="宋体" w:hAnsi="宋体" w:cs="宋体"/>
          <w:color w:val="auto"/>
          <w:kern w:val="0"/>
          <w:sz w:val="24"/>
          <w:highlight w:val="none"/>
        </w:rPr>
        <w:t>　　</w:t>
      </w:r>
    </w:p>
    <w:p w14:paraId="4E567A16">
      <w:pPr>
        <w:widowControl/>
        <w:spacing w:before="100" w:beforeAutospacing="1" w:after="100" w:afterAutospacing="1" w:line="330" w:lineRule="atLeast"/>
        <w:jc w:val="left"/>
        <w:rPr>
          <w:rFonts w:hint="eastAsia" w:ascii="宋体" w:hAnsi="宋体" w:cs="宋体"/>
          <w:color w:val="auto"/>
          <w:kern w:val="0"/>
          <w:sz w:val="24"/>
          <w:highlight w:val="none"/>
        </w:rPr>
      </w:pPr>
    </w:p>
    <w:p w14:paraId="1F5721AF">
      <w:pPr>
        <w:widowControl/>
        <w:spacing w:before="100" w:beforeAutospacing="1" w:after="100" w:afterAutospacing="1" w:line="330" w:lineRule="atLeast"/>
        <w:jc w:val="left"/>
        <w:rPr>
          <w:rFonts w:hint="eastAsia" w:ascii="宋体" w:hAnsi="宋体" w:cs="宋体"/>
          <w:color w:val="auto"/>
          <w:kern w:val="0"/>
          <w:sz w:val="24"/>
          <w:highlight w:val="none"/>
        </w:rPr>
      </w:pPr>
    </w:p>
    <w:p w14:paraId="22F5AC36">
      <w:pPr>
        <w:spacing w:line="240" w:lineRule="atLeast"/>
        <w:ind w:left="1079" w:leftChars="257" w:hanging="540"/>
        <w:jc w:val="center"/>
        <w:rPr>
          <w:rFonts w:hint="eastAsia" w:ascii="宋体" w:hAnsi="宋体" w:cs="宋体"/>
          <w:b/>
          <w:color w:val="auto"/>
          <w:kern w:val="0"/>
          <w:sz w:val="24"/>
          <w:szCs w:val="20"/>
          <w:highlight w:val="none"/>
        </w:rPr>
      </w:pPr>
      <w:r>
        <w:rPr>
          <w:rFonts w:hint="eastAsia" w:ascii="宋体" w:hAnsi="宋体" w:cs="宋体"/>
          <w:b/>
          <w:color w:val="auto"/>
          <w:kern w:val="0"/>
          <w:sz w:val="24"/>
          <w:szCs w:val="20"/>
          <w:highlight w:val="none"/>
        </w:rPr>
        <w:t>　</w:t>
      </w:r>
    </w:p>
    <w:p w14:paraId="623EFC38">
      <w:pPr>
        <w:widowControl/>
        <w:spacing w:before="100" w:beforeAutospacing="1" w:after="100" w:afterAutospacing="1" w:line="330" w:lineRule="atLeast"/>
        <w:ind w:firstLine="3960" w:firstLineChars="1650"/>
        <w:jc w:val="left"/>
        <w:rPr>
          <w:rFonts w:hint="eastAsia" w:ascii="宋体" w:hAnsi="宋体" w:cs="宋体"/>
          <w:color w:val="auto"/>
          <w:kern w:val="0"/>
          <w:sz w:val="24"/>
          <w:highlight w:val="none"/>
        </w:rPr>
      </w:pPr>
      <w:r>
        <w:rPr>
          <w:rFonts w:hint="eastAsia" w:ascii="宋体" w:hAnsi="宋体" w:cs="宋体"/>
          <w:color w:val="auto"/>
          <w:kern w:val="0"/>
          <w:sz w:val="24"/>
          <w:highlight w:val="none"/>
        </w:rPr>
        <w:t>投标人名称（盖单位章）：</w:t>
      </w:r>
      <w:r>
        <w:rPr>
          <w:rFonts w:hint="eastAsia" w:ascii="宋体" w:hAnsi="宋体" w:cs="宋体"/>
          <w:color w:val="auto"/>
          <w:kern w:val="0"/>
          <w:sz w:val="24"/>
          <w:highlight w:val="none"/>
          <w:u w:val="single"/>
        </w:rPr>
        <w:t xml:space="preserve">             </w:t>
      </w:r>
    </w:p>
    <w:p w14:paraId="276EDF96">
      <w:pPr>
        <w:widowControl/>
        <w:spacing w:before="100" w:beforeAutospacing="1" w:after="100" w:afterAutospacing="1" w:line="330" w:lineRule="atLeast"/>
        <w:ind w:firstLine="3720" w:firstLineChars="1550"/>
        <w:jc w:val="left"/>
        <w:rPr>
          <w:rFonts w:hint="eastAsia" w:ascii="宋体" w:hAnsi="宋体" w:cs="宋体"/>
          <w:color w:val="auto"/>
          <w:kern w:val="0"/>
          <w:sz w:val="24"/>
          <w:highlight w:val="none"/>
          <w:u w:val="single"/>
        </w:rPr>
      </w:pPr>
      <w:r>
        <w:rPr>
          <w:rFonts w:hint="eastAsia" w:ascii="宋体" w:hAnsi="宋体" w:cs="宋体"/>
          <w:color w:val="auto"/>
          <w:kern w:val="0"/>
          <w:sz w:val="24"/>
          <w:highlight w:val="none"/>
        </w:rPr>
        <w:t>　日　                期：</w:t>
      </w:r>
      <w:r>
        <w:rPr>
          <w:rFonts w:hint="eastAsia" w:ascii="宋体" w:hAnsi="宋体" w:cs="宋体"/>
          <w:color w:val="auto"/>
          <w:kern w:val="0"/>
          <w:sz w:val="24"/>
          <w:highlight w:val="none"/>
          <w:u w:val="single"/>
        </w:rPr>
        <w:t xml:space="preserve">             </w:t>
      </w:r>
    </w:p>
    <w:p w14:paraId="769E5B8F">
      <w:pPr>
        <w:pStyle w:val="9"/>
        <w:keepNext w:val="0"/>
        <w:keepLines w:val="0"/>
        <w:pageBreakBefore w:val="0"/>
        <w:widowControl w:val="0"/>
        <w:kinsoku/>
        <w:wordWrap/>
        <w:overflowPunct/>
        <w:topLinePunct w:val="0"/>
        <w:autoSpaceDE w:val="0"/>
        <w:autoSpaceDN w:val="0"/>
        <w:bidi w:val="0"/>
        <w:adjustRightInd/>
        <w:snapToGrid/>
        <w:ind w:firstLine="480" w:firstLineChars="200"/>
        <w:textAlignment w:val="auto"/>
        <w:rPr>
          <w:rFonts w:hint="eastAsia" w:ascii="宋体" w:hAnsi="宋体" w:eastAsia="宋体" w:cs="宋体"/>
          <w:b w:val="0"/>
          <w:bCs/>
          <w:color w:val="auto"/>
          <w:highlight w:val="none"/>
        </w:rPr>
      </w:pPr>
      <w:r>
        <w:rPr>
          <w:rFonts w:hint="eastAsia" w:ascii="宋体" w:hAnsi="宋体" w:eastAsia="宋体" w:cs="宋体"/>
          <w:b w:val="0"/>
          <w:bCs/>
          <w:color w:val="auto"/>
          <w:highlight w:val="none"/>
        </w:rPr>
        <w:t> </w:t>
      </w:r>
    </w:p>
    <w:p w14:paraId="71B2A2F9">
      <w:pPr>
        <w:pStyle w:val="4"/>
        <w:ind w:left="0" w:leftChars="0" w:firstLine="0" w:firstLineChars="0"/>
        <w:rPr>
          <w:rFonts w:hint="eastAsia" w:ascii="宋体" w:hAnsi="宋体" w:eastAsia="宋体" w:cs="宋体"/>
          <w:b w:val="0"/>
          <w:bCs/>
          <w:color w:val="auto"/>
          <w:highlight w:val="none"/>
        </w:rPr>
      </w:pPr>
    </w:p>
    <w:p w14:paraId="2BB4F958">
      <w:pPr>
        <w:pStyle w:val="4"/>
        <w:ind w:left="0" w:leftChars="0" w:firstLine="0" w:firstLineChars="0"/>
        <w:rPr>
          <w:rFonts w:hint="eastAsia" w:ascii="宋体" w:hAnsi="宋体" w:eastAsia="宋体" w:cs="宋体"/>
          <w:b w:val="0"/>
          <w:bCs/>
          <w:color w:val="auto"/>
          <w:highlight w:val="none"/>
        </w:rPr>
      </w:pPr>
    </w:p>
    <w:p w14:paraId="6A5EE1EE">
      <w:pPr>
        <w:pStyle w:val="4"/>
        <w:ind w:left="0" w:leftChars="0" w:firstLine="0" w:firstLineChars="0"/>
        <w:rPr>
          <w:rFonts w:hint="eastAsia" w:ascii="宋体" w:hAnsi="宋体" w:eastAsia="宋体" w:cs="宋体"/>
          <w:b w:val="0"/>
          <w:bCs/>
          <w:color w:val="auto"/>
          <w:highlight w:val="none"/>
        </w:rPr>
      </w:pPr>
    </w:p>
    <w:p w14:paraId="39C4E1DA">
      <w:pPr>
        <w:pStyle w:val="4"/>
        <w:ind w:left="0" w:leftChars="0" w:firstLine="0" w:firstLineChars="0"/>
        <w:rPr>
          <w:rFonts w:hint="eastAsia" w:ascii="宋体" w:hAnsi="宋体" w:eastAsia="宋体" w:cs="宋体"/>
          <w:b w:val="0"/>
          <w:bCs/>
          <w:color w:val="auto"/>
          <w:highlight w:val="none"/>
        </w:rPr>
      </w:pPr>
    </w:p>
    <w:p w14:paraId="7C67C4AF">
      <w:pPr>
        <w:pStyle w:val="29"/>
        <w:keepNext w:val="0"/>
        <w:keepLines w:val="0"/>
        <w:widowControl/>
        <w:suppressLineNumbers w:val="0"/>
        <w:spacing w:line="420" w:lineRule="atLeast"/>
        <w:ind w:left="0" w:firstLine="420"/>
        <w:jc w:val="center"/>
        <w:rPr>
          <w:rFonts w:hint="eastAsia" w:ascii="Times New Roman" w:hAnsi="Times New Roman" w:eastAsia="宋体" w:cs="Times New Roman"/>
          <w:i w:val="0"/>
          <w:iCs w:val="0"/>
          <w:caps w:val="0"/>
          <w:color w:val="auto"/>
          <w:spacing w:val="0"/>
          <w:sz w:val="24"/>
          <w:szCs w:val="24"/>
          <w:highlight w:val="none"/>
          <w:lang w:eastAsia="zh-CN"/>
        </w:rPr>
      </w:pPr>
      <w:r>
        <w:rPr>
          <w:rStyle w:val="36"/>
          <w:rFonts w:hint="eastAsia" w:ascii="Times New Roman" w:hAnsi="Times New Roman" w:cs="Times New Roman"/>
          <w:i w:val="0"/>
          <w:iCs w:val="0"/>
          <w:caps w:val="0"/>
          <w:color w:val="auto"/>
          <w:spacing w:val="0"/>
          <w:sz w:val="24"/>
          <w:szCs w:val="24"/>
          <w:highlight w:val="none"/>
          <w:lang w:val="en-US" w:eastAsia="zh-CN"/>
        </w:rPr>
        <w:t>6-1</w:t>
      </w:r>
      <w:r>
        <w:rPr>
          <w:rStyle w:val="36"/>
          <w:rFonts w:hint="default" w:ascii="Times New Roman" w:hAnsi="Times New Roman" w:cs="Times New Roman"/>
          <w:i w:val="0"/>
          <w:iCs w:val="0"/>
          <w:caps w:val="0"/>
          <w:color w:val="auto"/>
          <w:spacing w:val="0"/>
          <w:sz w:val="24"/>
          <w:szCs w:val="24"/>
          <w:highlight w:val="none"/>
        </w:rPr>
        <w:t>中小企业声明函</w:t>
      </w:r>
      <w:r>
        <w:rPr>
          <w:rStyle w:val="36"/>
          <w:rFonts w:hint="eastAsia" w:ascii="Times New Roman" w:hAnsi="Times New Roman" w:cs="Times New Roman"/>
          <w:i w:val="0"/>
          <w:iCs w:val="0"/>
          <w:caps w:val="0"/>
          <w:color w:val="auto"/>
          <w:spacing w:val="0"/>
          <w:sz w:val="24"/>
          <w:szCs w:val="24"/>
          <w:highlight w:val="none"/>
          <w:lang w:eastAsia="zh-CN"/>
        </w:rPr>
        <w:t>（</w:t>
      </w:r>
      <w:r>
        <w:rPr>
          <w:rStyle w:val="36"/>
          <w:rFonts w:hint="eastAsia" w:ascii="Times New Roman" w:hAnsi="Times New Roman" w:cs="Times New Roman"/>
          <w:i w:val="0"/>
          <w:iCs w:val="0"/>
          <w:caps w:val="0"/>
          <w:color w:val="auto"/>
          <w:spacing w:val="0"/>
          <w:sz w:val="24"/>
          <w:szCs w:val="24"/>
          <w:highlight w:val="none"/>
          <w:lang w:val="en-US" w:eastAsia="zh-CN"/>
        </w:rPr>
        <w:t>货物</w:t>
      </w:r>
      <w:r>
        <w:rPr>
          <w:rStyle w:val="36"/>
          <w:rFonts w:hint="eastAsia" w:ascii="Times New Roman" w:hAnsi="Times New Roman" w:cs="Times New Roman"/>
          <w:i w:val="0"/>
          <w:iCs w:val="0"/>
          <w:caps w:val="0"/>
          <w:color w:val="auto"/>
          <w:spacing w:val="0"/>
          <w:sz w:val="24"/>
          <w:szCs w:val="24"/>
          <w:highlight w:val="none"/>
          <w:lang w:eastAsia="zh-CN"/>
        </w:rPr>
        <w:t>）</w:t>
      </w:r>
    </w:p>
    <w:p w14:paraId="2856F5EF">
      <w:pPr>
        <w:pStyle w:val="29"/>
        <w:keepNext w:val="0"/>
        <w:keepLines w:val="0"/>
        <w:widowControl/>
        <w:suppressLineNumbers w:val="0"/>
        <w:spacing w:line="420" w:lineRule="atLeast"/>
        <w:ind w:left="0" w:firstLine="420"/>
        <w:rPr>
          <w:rFonts w:hint="default" w:ascii="Times New Roman" w:hAnsi="Times New Roman" w:cs="Times New Roman"/>
          <w:i w:val="0"/>
          <w:iCs w:val="0"/>
          <w:caps w:val="0"/>
          <w:color w:val="auto"/>
          <w:spacing w:val="0"/>
          <w:sz w:val="24"/>
          <w:szCs w:val="24"/>
          <w:highlight w:val="none"/>
        </w:rPr>
      </w:pPr>
      <w:r>
        <w:rPr>
          <w:rFonts w:hint="default" w:ascii="Times New Roman" w:hAnsi="Times New Roman" w:cs="Times New Roman"/>
          <w:i w:val="0"/>
          <w:iCs w:val="0"/>
          <w:caps w:val="0"/>
          <w:color w:val="auto"/>
          <w:spacing w:val="0"/>
          <w:sz w:val="24"/>
          <w:szCs w:val="24"/>
          <w:highlight w:val="none"/>
        </w:rPr>
        <w:t> </w:t>
      </w:r>
    </w:p>
    <w:p w14:paraId="770E1F69">
      <w:pPr>
        <w:pStyle w:val="29"/>
        <w:keepNext w:val="0"/>
        <w:keepLines w:val="0"/>
        <w:widowControl/>
        <w:suppressLineNumbers w:val="0"/>
        <w:spacing w:line="420" w:lineRule="atLeast"/>
        <w:ind w:left="0" w:firstLine="420"/>
        <w:rPr>
          <w:rFonts w:hint="default" w:ascii="Times New Roman" w:hAnsi="Times New Roman" w:cs="Times New Roman"/>
          <w:i w:val="0"/>
          <w:iCs w:val="0"/>
          <w:caps w:val="0"/>
          <w:color w:val="auto"/>
          <w:spacing w:val="0"/>
          <w:sz w:val="24"/>
          <w:szCs w:val="24"/>
          <w:highlight w:val="none"/>
        </w:rPr>
      </w:pPr>
      <w:r>
        <w:rPr>
          <w:rFonts w:hint="default" w:ascii="Times New Roman" w:hAnsi="Times New Roman" w:cs="Times New Roman"/>
          <w:i w:val="0"/>
          <w:iCs w:val="0"/>
          <w:caps w:val="0"/>
          <w:color w:val="auto"/>
          <w:spacing w:val="0"/>
          <w:sz w:val="24"/>
          <w:szCs w:val="24"/>
          <w:highlight w:val="none"/>
        </w:rPr>
        <w:t>本公司（联合体）郑重声明，根据《政府采购促进中小企业发展管理办法》（财库〔2020〕46号）的规定，本公司参加（单位名称）的（项目名称）采购活动，提供的货物全部由符合政策要求的中小企业制造。相关企业（含联合体中的中小企业、签订分包意向协议的中小企业）的具体情况如下：</w:t>
      </w:r>
    </w:p>
    <w:p w14:paraId="299E5C22">
      <w:pPr>
        <w:pStyle w:val="29"/>
        <w:keepNext w:val="0"/>
        <w:keepLines w:val="0"/>
        <w:widowControl/>
        <w:suppressLineNumbers w:val="0"/>
        <w:spacing w:line="420" w:lineRule="atLeast"/>
        <w:ind w:left="0" w:firstLine="420"/>
        <w:rPr>
          <w:rFonts w:hint="default" w:ascii="Times New Roman" w:hAnsi="Times New Roman" w:cs="Times New Roman"/>
          <w:i w:val="0"/>
          <w:iCs w:val="0"/>
          <w:caps w:val="0"/>
          <w:color w:val="auto"/>
          <w:spacing w:val="0"/>
          <w:sz w:val="24"/>
          <w:szCs w:val="24"/>
          <w:highlight w:val="none"/>
        </w:rPr>
      </w:pPr>
      <w:r>
        <w:rPr>
          <w:rFonts w:hint="default" w:ascii="Times New Roman" w:hAnsi="Times New Roman" w:cs="Times New Roman"/>
          <w:i w:val="0"/>
          <w:iCs w:val="0"/>
          <w:caps w:val="0"/>
          <w:color w:val="auto"/>
          <w:spacing w:val="0"/>
          <w:sz w:val="24"/>
          <w:szCs w:val="24"/>
          <w:highlight w:val="none"/>
        </w:rPr>
        <w:t>1.（标的名称），属于（采购文件中明确的所属行业）；制造商为（企业名称），从业人员</w:t>
      </w:r>
      <w:r>
        <w:rPr>
          <w:rFonts w:hint="eastAsia" w:cs="Times New Roman"/>
          <w:i w:val="0"/>
          <w:iCs w:val="0"/>
          <w:caps w:val="0"/>
          <w:color w:val="auto"/>
          <w:spacing w:val="0"/>
          <w:sz w:val="24"/>
          <w:szCs w:val="24"/>
          <w:highlight w:val="none"/>
          <w:lang w:val="en-US" w:eastAsia="zh-CN"/>
        </w:rPr>
        <w:t xml:space="preserve"> </w:t>
      </w:r>
      <w:r>
        <w:rPr>
          <w:rFonts w:hint="eastAsia" w:cs="Times New Roman"/>
          <w:i w:val="0"/>
          <w:iCs w:val="0"/>
          <w:caps w:val="0"/>
          <w:color w:val="auto"/>
          <w:spacing w:val="0"/>
          <w:sz w:val="24"/>
          <w:szCs w:val="24"/>
          <w:highlight w:val="none"/>
          <w:u w:val="single"/>
          <w:lang w:val="en-US" w:eastAsia="zh-CN"/>
        </w:rPr>
        <w:t xml:space="preserve">  </w:t>
      </w:r>
      <w:r>
        <w:rPr>
          <w:rFonts w:hint="default" w:ascii="Times New Roman" w:hAnsi="Times New Roman" w:cs="Times New Roman"/>
          <w:i w:val="0"/>
          <w:iCs w:val="0"/>
          <w:caps w:val="0"/>
          <w:color w:val="auto"/>
          <w:spacing w:val="0"/>
          <w:sz w:val="24"/>
          <w:szCs w:val="24"/>
          <w:highlight w:val="none"/>
          <w:u w:val="single"/>
        </w:rPr>
        <w:t>  </w:t>
      </w:r>
      <w:r>
        <w:rPr>
          <w:rFonts w:hint="default" w:ascii="Times New Roman" w:hAnsi="Times New Roman" w:cs="Times New Roman"/>
          <w:i w:val="0"/>
          <w:iCs w:val="0"/>
          <w:caps w:val="0"/>
          <w:color w:val="auto"/>
          <w:spacing w:val="0"/>
          <w:sz w:val="24"/>
          <w:szCs w:val="24"/>
          <w:highlight w:val="none"/>
        </w:rPr>
        <w:t>人，营业收入为</w:t>
      </w:r>
      <w:r>
        <w:rPr>
          <w:rFonts w:hint="default" w:ascii="Times New Roman" w:hAnsi="Times New Roman" w:cs="Times New Roman"/>
          <w:i w:val="0"/>
          <w:iCs w:val="0"/>
          <w:caps w:val="0"/>
          <w:color w:val="auto"/>
          <w:spacing w:val="0"/>
          <w:sz w:val="24"/>
          <w:szCs w:val="24"/>
          <w:highlight w:val="none"/>
          <w:u w:val="single"/>
        </w:rPr>
        <w:t>  </w:t>
      </w:r>
      <w:r>
        <w:rPr>
          <w:rFonts w:hint="eastAsia" w:ascii="Times New Roman" w:hAnsi="Times New Roman" w:cs="Times New Roman"/>
          <w:i w:val="0"/>
          <w:iCs w:val="0"/>
          <w:caps w:val="0"/>
          <w:color w:val="auto"/>
          <w:spacing w:val="0"/>
          <w:sz w:val="24"/>
          <w:szCs w:val="24"/>
          <w:highlight w:val="none"/>
          <w:u w:val="single"/>
          <w:lang w:val="en-US" w:eastAsia="zh-CN"/>
        </w:rPr>
        <w:t xml:space="preserve">   </w:t>
      </w:r>
      <w:r>
        <w:rPr>
          <w:rFonts w:hint="default" w:ascii="Times New Roman" w:hAnsi="Times New Roman" w:cs="Times New Roman"/>
          <w:i w:val="0"/>
          <w:iCs w:val="0"/>
          <w:caps w:val="0"/>
          <w:color w:val="auto"/>
          <w:spacing w:val="0"/>
          <w:sz w:val="24"/>
          <w:szCs w:val="24"/>
          <w:highlight w:val="none"/>
        </w:rPr>
        <w:t>万元，资产总额为 </w:t>
      </w:r>
      <w:r>
        <w:rPr>
          <w:rFonts w:hint="default" w:ascii="Times New Roman" w:hAnsi="Times New Roman" w:cs="Times New Roman"/>
          <w:i w:val="0"/>
          <w:iCs w:val="0"/>
          <w:caps w:val="0"/>
          <w:color w:val="auto"/>
          <w:spacing w:val="0"/>
          <w:sz w:val="24"/>
          <w:szCs w:val="24"/>
          <w:highlight w:val="none"/>
          <w:u w:val="single"/>
        </w:rPr>
        <w:t> </w:t>
      </w:r>
      <w:r>
        <w:rPr>
          <w:rFonts w:hint="eastAsia" w:ascii="Times New Roman" w:hAnsi="Times New Roman" w:cs="Times New Roman"/>
          <w:i w:val="0"/>
          <w:iCs w:val="0"/>
          <w:caps w:val="0"/>
          <w:color w:val="auto"/>
          <w:spacing w:val="0"/>
          <w:sz w:val="24"/>
          <w:szCs w:val="24"/>
          <w:highlight w:val="none"/>
          <w:u w:val="single"/>
          <w:lang w:val="en-US" w:eastAsia="zh-CN"/>
        </w:rPr>
        <w:t xml:space="preserve">   </w:t>
      </w:r>
      <w:r>
        <w:rPr>
          <w:rFonts w:hint="default" w:ascii="Times New Roman" w:hAnsi="Times New Roman" w:cs="Times New Roman"/>
          <w:i w:val="0"/>
          <w:iCs w:val="0"/>
          <w:caps w:val="0"/>
          <w:color w:val="auto"/>
          <w:spacing w:val="0"/>
          <w:sz w:val="24"/>
          <w:szCs w:val="24"/>
          <w:highlight w:val="none"/>
        </w:rPr>
        <w:t>万元，属于（中型企业、小型企业、微型企业）；</w:t>
      </w:r>
    </w:p>
    <w:p w14:paraId="4422A5DC">
      <w:pPr>
        <w:pStyle w:val="29"/>
        <w:keepNext w:val="0"/>
        <w:keepLines w:val="0"/>
        <w:widowControl/>
        <w:suppressLineNumbers w:val="0"/>
        <w:spacing w:line="420" w:lineRule="atLeast"/>
        <w:ind w:left="0" w:firstLine="420"/>
        <w:rPr>
          <w:rFonts w:hint="default" w:ascii="Times New Roman" w:hAnsi="Times New Roman" w:cs="Times New Roman"/>
          <w:i w:val="0"/>
          <w:iCs w:val="0"/>
          <w:caps w:val="0"/>
          <w:color w:val="auto"/>
          <w:spacing w:val="0"/>
          <w:sz w:val="24"/>
          <w:szCs w:val="24"/>
          <w:highlight w:val="none"/>
        </w:rPr>
      </w:pPr>
      <w:r>
        <w:rPr>
          <w:rFonts w:hint="eastAsia" w:cs="Times New Roman"/>
          <w:i w:val="0"/>
          <w:iCs w:val="0"/>
          <w:caps w:val="0"/>
          <w:color w:val="auto"/>
          <w:spacing w:val="0"/>
          <w:sz w:val="24"/>
          <w:szCs w:val="24"/>
          <w:highlight w:val="none"/>
          <w:lang w:val="en-US" w:eastAsia="zh-CN"/>
        </w:rPr>
        <w:t>2</w:t>
      </w:r>
      <w:r>
        <w:rPr>
          <w:rFonts w:hint="default" w:ascii="Times New Roman" w:hAnsi="Times New Roman" w:cs="Times New Roman"/>
          <w:i w:val="0"/>
          <w:iCs w:val="0"/>
          <w:caps w:val="0"/>
          <w:color w:val="auto"/>
          <w:spacing w:val="0"/>
          <w:sz w:val="24"/>
          <w:szCs w:val="24"/>
          <w:highlight w:val="none"/>
        </w:rPr>
        <w:t>.（标的名称），属于（采购文件中明确的所属行业）；制造商为（企业名称），从业人员</w:t>
      </w:r>
      <w:r>
        <w:rPr>
          <w:rFonts w:hint="eastAsia" w:cs="Times New Roman"/>
          <w:i w:val="0"/>
          <w:iCs w:val="0"/>
          <w:caps w:val="0"/>
          <w:color w:val="auto"/>
          <w:spacing w:val="0"/>
          <w:sz w:val="24"/>
          <w:szCs w:val="24"/>
          <w:highlight w:val="none"/>
          <w:lang w:val="en-US" w:eastAsia="zh-CN"/>
        </w:rPr>
        <w:t xml:space="preserve"> </w:t>
      </w:r>
      <w:r>
        <w:rPr>
          <w:rFonts w:hint="eastAsia" w:cs="Times New Roman"/>
          <w:i w:val="0"/>
          <w:iCs w:val="0"/>
          <w:caps w:val="0"/>
          <w:color w:val="auto"/>
          <w:spacing w:val="0"/>
          <w:sz w:val="24"/>
          <w:szCs w:val="24"/>
          <w:highlight w:val="none"/>
          <w:u w:val="single"/>
          <w:lang w:val="en-US" w:eastAsia="zh-CN"/>
        </w:rPr>
        <w:t xml:space="preserve">  </w:t>
      </w:r>
      <w:r>
        <w:rPr>
          <w:rFonts w:hint="default" w:ascii="Times New Roman" w:hAnsi="Times New Roman" w:cs="Times New Roman"/>
          <w:i w:val="0"/>
          <w:iCs w:val="0"/>
          <w:caps w:val="0"/>
          <w:color w:val="auto"/>
          <w:spacing w:val="0"/>
          <w:sz w:val="24"/>
          <w:szCs w:val="24"/>
          <w:highlight w:val="none"/>
          <w:u w:val="single"/>
        </w:rPr>
        <w:t>  </w:t>
      </w:r>
      <w:r>
        <w:rPr>
          <w:rFonts w:hint="default" w:ascii="Times New Roman" w:hAnsi="Times New Roman" w:cs="Times New Roman"/>
          <w:i w:val="0"/>
          <w:iCs w:val="0"/>
          <w:caps w:val="0"/>
          <w:color w:val="auto"/>
          <w:spacing w:val="0"/>
          <w:sz w:val="24"/>
          <w:szCs w:val="24"/>
          <w:highlight w:val="none"/>
        </w:rPr>
        <w:t>人，营业收入为</w:t>
      </w:r>
      <w:r>
        <w:rPr>
          <w:rFonts w:hint="default" w:ascii="Times New Roman" w:hAnsi="Times New Roman" w:cs="Times New Roman"/>
          <w:i w:val="0"/>
          <w:iCs w:val="0"/>
          <w:caps w:val="0"/>
          <w:color w:val="auto"/>
          <w:spacing w:val="0"/>
          <w:sz w:val="24"/>
          <w:szCs w:val="24"/>
          <w:highlight w:val="none"/>
          <w:u w:val="single"/>
        </w:rPr>
        <w:t>  </w:t>
      </w:r>
      <w:r>
        <w:rPr>
          <w:rFonts w:hint="eastAsia" w:ascii="Times New Roman" w:hAnsi="Times New Roman" w:cs="Times New Roman"/>
          <w:i w:val="0"/>
          <w:iCs w:val="0"/>
          <w:caps w:val="0"/>
          <w:color w:val="auto"/>
          <w:spacing w:val="0"/>
          <w:sz w:val="24"/>
          <w:szCs w:val="24"/>
          <w:highlight w:val="none"/>
          <w:u w:val="single"/>
          <w:lang w:val="en-US" w:eastAsia="zh-CN"/>
        </w:rPr>
        <w:t xml:space="preserve">   </w:t>
      </w:r>
      <w:r>
        <w:rPr>
          <w:rFonts w:hint="default" w:ascii="Times New Roman" w:hAnsi="Times New Roman" w:cs="Times New Roman"/>
          <w:i w:val="0"/>
          <w:iCs w:val="0"/>
          <w:caps w:val="0"/>
          <w:color w:val="auto"/>
          <w:spacing w:val="0"/>
          <w:sz w:val="24"/>
          <w:szCs w:val="24"/>
          <w:highlight w:val="none"/>
        </w:rPr>
        <w:t>万元，资产总额为 </w:t>
      </w:r>
      <w:r>
        <w:rPr>
          <w:rFonts w:hint="default" w:ascii="Times New Roman" w:hAnsi="Times New Roman" w:cs="Times New Roman"/>
          <w:i w:val="0"/>
          <w:iCs w:val="0"/>
          <w:caps w:val="0"/>
          <w:color w:val="auto"/>
          <w:spacing w:val="0"/>
          <w:sz w:val="24"/>
          <w:szCs w:val="24"/>
          <w:highlight w:val="none"/>
          <w:u w:val="single"/>
        </w:rPr>
        <w:t> </w:t>
      </w:r>
      <w:r>
        <w:rPr>
          <w:rFonts w:hint="eastAsia" w:ascii="Times New Roman" w:hAnsi="Times New Roman" w:cs="Times New Roman"/>
          <w:i w:val="0"/>
          <w:iCs w:val="0"/>
          <w:caps w:val="0"/>
          <w:color w:val="auto"/>
          <w:spacing w:val="0"/>
          <w:sz w:val="24"/>
          <w:szCs w:val="24"/>
          <w:highlight w:val="none"/>
          <w:u w:val="single"/>
          <w:lang w:val="en-US" w:eastAsia="zh-CN"/>
        </w:rPr>
        <w:t xml:space="preserve">   </w:t>
      </w:r>
      <w:r>
        <w:rPr>
          <w:rFonts w:hint="default" w:ascii="Times New Roman" w:hAnsi="Times New Roman" w:cs="Times New Roman"/>
          <w:i w:val="0"/>
          <w:iCs w:val="0"/>
          <w:caps w:val="0"/>
          <w:color w:val="auto"/>
          <w:spacing w:val="0"/>
          <w:sz w:val="24"/>
          <w:szCs w:val="24"/>
          <w:highlight w:val="none"/>
        </w:rPr>
        <w:t>万元，属于（中型企业、小型企业、微型企业）；……</w:t>
      </w:r>
    </w:p>
    <w:p w14:paraId="32C6C5E1">
      <w:pPr>
        <w:pStyle w:val="29"/>
        <w:keepNext w:val="0"/>
        <w:keepLines w:val="0"/>
        <w:widowControl/>
        <w:suppressLineNumbers w:val="0"/>
        <w:spacing w:line="420" w:lineRule="atLeast"/>
        <w:ind w:left="0" w:firstLine="420"/>
        <w:rPr>
          <w:rFonts w:hint="default" w:ascii="Times New Roman" w:hAnsi="Times New Roman" w:cs="Times New Roman"/>
          <w:i w:val="0"/>
          <w:iCs w:val="0"/>
          <w:caps w:val="0"/>
          <w:color w:val="auto"/>
          <w:spacing w:val="0"/>
          <w:sz w:val="24"/>
          <w:szCs w:val="24"/>
          <w:highlight w:val="none"/>
        </w:rPr>
      </w:pPr>
      <w:r>
        <w:rPr>
          <w:rFonts w:hint="default" w:ascii="Times New Roman" w:hAnsi="Times New Roman" w:cs="Times New Roman"/>
          <w:i w:val="0"/>
          <w:iCs w:val="0"/>
          <w:caps w:val="0"/>
          <w:color w:val="auto"/>
          <w:spacing w:val="0"/>
          <w:sz w:val="24"/>
          <w:szCs w:val="24"/>
          <w:highlight w:val="none"/>
        </w:rPr>
        <w:t>以上企业，不属于大企业的分支机构，不存在控股股东为大企业的情形，也不存在与大企业的负责人为同一人的情形。</w:t>
      </w:r>
    </w:p>
    <w:p w14:paraId="1CB269C4">
      <w:pPr>
        <w:pStyle w:val="29"/>
        <w:keepNext w:val="0"/>
        <w:keepLines w:val="0"/>
        <w:widowControl/>
        <w:suppressLineNumbers w:val="0"/>
        <w:spacing w:line="420" w:lineRule="atLeast"/>
        <w:ind w:left="0" w:firstLine="420"/>
        <w:rPr>
          <w:rFonts w:hint="default" w:ascii="Times New Roman" w:hAnsi="Times New Roman" w:cs="Times New Roman"/>
          <w:i w:val="0"/>
          <w:iCs w:val="0"/>
          <w:caps w:val="0"/>
          <w:color w:val="auto"/>
          <w:spacing w:val="0"/>
          <w:sz w:val="24"/>
          <w:szCs w:val="24"/>
          <w:highlight w:val="none"/>
        </w:rPr>
      </w:pPr>
      <w:r>
        <w:rPr>
          <w:rFonts w:hint="default" w:ascii="Times New Roman" w:hAnsi="Times New Roman" w:cs="Times New Roman"/>
          <w:i w:val="0"/>
          <w:iCs w:val="0"/>
          <w:caps w:val="0"/>
          <w:color w:val="auto"/>
          <w:spacing w:val="0"/>
          <w:sz w:val="24"/>
          <w:szCs w:val="24"/>
          <w:highlight w:val="none"/>
        </w:rPr>
        <w:t>本企业对上述声明内容的真实性负责。如有虚假，将依法承担相应责任。</w:t>
      </w:r>
    </w:p>
    <w:p w14:paraId="10AACDC6">
      <w:pPr>
        <w:pStyle w:val="29"/>
        <w:keepNext w:val="0"/>
        <w:keepLines w:val="0"/>
        <w:widowControl/>
        <w:suppressLineNumbers w:val="0"/>
        <w:spacing w:line="420" w:lineRule="atLeast"/>
        <w:ind w:left="0" w:firstLine="420"/>
        <w:rPr>
          <w:rFonts w:hint="default" w:ascii="Times New Roman" w:hAnsi="Times New Roman" w:cs="Times New Roman"/>
          <w:i w:val="0"/>
          <w:iCs w:val="0"/>
          <w:caps w:val="0"/>
          <w:color w:val="auto"/>
          <w:spacing w:val="0"/>
          <w:sz w:val="24"/>
          <w:szCs w:val="24"/>
          <w:highlight w:val="none"/>
        </w:rPr>
      </w:pPr>
      <w:r>
        <w:rPr>
          <w:rFonts w:hint="default" w:ascii="Times New Roman" w:hAnsi="Times New Roman" w:cs="Times New Roman"/>
          <w:i w:val="0"/>
          <w:iCs w:val="0"/>
          <w:caps w:val="0"/>
          <w:color w:val="auto"/>
          <w:spacing w:val="0"/>
          <w:sz w:val="24"/>
          <w:szCs w:val="24"/>
          <w:highlight w:val="none"/>
        </w:rPr>
        <w:t> </w:t>
      </w:r>
    </w:p>
    <w:p w14:paraId="621E7443">
      <w:pPr>
        <w:pStyle w:val="29"/>
        <w:keepNext w:val="0"/>
        <w:keepLines w:val="0"/>
        <w:widowControl/>
        <w:suppressLineNumbers w:val="0"/>
        <w:spacing w:line="420" w:lineRule="atLeast"/>
        <w:ind w:left="0" w:firstLine="420"/>
        <w:jc w:val="right"/>
        <w:rPr>
          <w:rFonts w:hint="default" w:ascii="Times New Roman" w:hAnsi="Times New Roman" w:cs="Times New Roman"/>
          <w:i w:val="0"/>
          <w:iCs w:val="0"/>
          <w:caps w:val="0"/>
          <w:color w:val="auto"/>
          <w:spacing w:val="0"/>
          <w:sz w:val="24"/>
          <w:szCs w:val="24"/>
          <w:highlight w:val="none"/>
        </w:rPr>
      </w:pPr>
      <w:r>
        <w:rPr>
          <w:rFonts w:hint="default" w:ascii="Times New Roman" w:hAnsi="Times New Roman" w:cs="Times New Roman"/>
          <w:i w:val="0"/>
          <w:iCs w:val="0"/>
          <w:caps w:val="0"/>
          <w:color w:val="auto"/>
          <w:spacing w:val="0"/>
          <w:sz w:val="24"/>
          <w:szCs w:val="24"/>
          <w:highlight w:val="none"/>
        </w:rPr>
        <w:t>                     </w:t>
      </w:r>
    </w:p>
    <w:p w14:paraId="4452B5C9">
      <w:pPr>
        <w:pStyle w:val="29"/>
        <w:keepNext w:val="0"/>
        <w:keepLines w:val="0"/>
        <w:widowControl/>
        <w:suppressLineNumbers w:val="0"/>
        <w:spacing w:line="420" w:lineRule="atLeast"/>
        <w:ind w:left="0" w:firstLine="420"/>
        <w:jc w:val="right"/>
        <w:rPr>
          <w:rFonts w:hint="default" w:ascii="Times New Roman" w:hAnsi="Times New Roman" w:cs="Times New Roman"/>
          <w:i w:val="0"/>
          <w:iCs w:val="0"/>
          <w:caps w:val="0"/>
          <w:color w:val="auto"/>
          <w:spacing w:val="0"/>
          <w:sz w:val="24"/>
          <w:szCs w:val="24"/>
          <w:highlight w:val="none"/>
        </w:rPr>
      </w:pPr>
      <w:r>
        <w:rPr>
          <w:rFonts w:hint="default" w:ascii="Times New Roman" w:hAnsi="Times New Roman" w:cs="Times New Roman"/>
          <w:i w:val="0"/>
          <w:iCs w:val="0"/>
          <w:caps w:val="0"/>
          <w:color w:val="auto"/>
          <w:spacing w:val="0"/>
          <w:sz w:val="24"/>
          <w:szCs w:val="24"/>
          <w:highlight w:val="none"/>
        </w:rPr>
        <w:t> 企业名称（盖章）：</w:t>
      </w:r>
    </w:p>
    <w:p w14:paraId="75EC51F7">
      <w:pPr>
        <w:pStyle w:val="29"/>
        <w:keepNext w:val="0"/>
        <w:keepLines w:val="0"/>
        <w:widowControl/>
        <w:suppressLineNumbers w:val="0"/>
        <w:spacing w:line="420" w:lineRule="atLeast"/>
        <w:ind w:left="0" w:firstLine="420"/>
        <w:jc w:val="right"/>
        <w:rPr>
          <w:rFonts w:hint="default" w:ascii="Times New Roman" w:hAnsi="Times New Roman" w:cs="Times New Roman"/>
          <w:i w:val="0"/>
          <w:iCs w:val="0"/>
          <w:caps w:val="0"/>
          <w:color w:val="auto"/>
          <w:spacing w:val="0"/>
          <w:sz w:val="27"/>
          <w:szCs w:val="27"/>
          <w:highlight w:val="none"/>
        </w:rPr>
      </w:pPr>
      <w:r>
        <w:rPr>
          <w:rFonts w:hint="default" w:ascii="Times New Roman" w:hAnsi="Times New Roman" w:cs="Times New Roman"/>
          <w:i w:val="0"/>
          <w:iCs w:val="0"/>
          <w:caps w:val="0"/>
          <w:color w:val="auto"/>
          <w:spacing w:val="0"/>
          <w:sz w:val="24"/>
          <w:szCs w:val="24"/>
          <w:highlight w:val="none"/>
        </w:rPr>
        <w:t> 日期：</w:t>
      </w:r>
      <w:r>
        <w:rPr>
          <w:rFonts w:hint="default" w:ascii="Times New Roman" w:hAnsi="Times New Roman" w:cs="Times New Roman"/>
          <w:i w:val="0"/>
          <w:iCs w:val="0"/>
          <w:caps w:val="0"/>
          <w:color w:val="auto"/>
          <w:spacing w:val="0"/>
          <w:sz w:val="27"/>
          <w:szCs w:val="27"/>
          <w:highlight w:val="none"/>
        </w:rPr>
        <w:t>                    </w:t>
      </w:r>
    </w:p>
    <w:p w14:paraId="41DE494B">
      <w:pPr>
        <w:rPr>
          <w:rFonts w:hint="eastAsia" w:ascii="微软雅黑" w:hAnsi="微软雅黑" w:eastAsia="微软雅黑" w:cs="微软雅黑"/>
          <w:b/>
          <w:bCs/>
          <w:color w:val="auto"/>
          <w:kern w:val="0"/>
          <w:sz w:val="32"/>
          <w:szCs w:val="32"/>
          <w:highlight w:val="none"/>
          <w:lang w:val="en-US" w:eastAsia="zh-CN"/>
        </w:rPr>
      </w:pPr>
    </w:p>
    <w:p w14:paraId="7E709C55">
      <w:pPr>
        <w:rPr>
          <w:rFonts w:hint="eastAsia" w:ascii="微软雅黑" w:hAnsi="微软雅黑" w:eastAsia="微软雅黑" w:cs="微软雅黑"/>
          <w:b/>
          <w:bCs/>
          <w:color w:val="auto"/>
          <w:kern w:val="0"/>
          <w:sz w:val="32"/>
          <w:szCs w:val="32"/>
          <w:highlight w:val="none"/>
          <w:lang w:val="en-US" w:eastAsia="zh-CN"/>
        </w:rPr>
      </w:pPr>
    </w:p>
    <w:p w14:paraId="7ABF49A4">
      <w:pPr>
        <w:rPr>
          <w:rFonts w:hint="eastAsia" w:ascii="微软雅黑" w:hAnsi="微软雅黑" w:eastAsia="微软雅黑" w:cs="微软雅黑"/>
          <w:b/>
          <w:bCs/>
          <w:color w:val="auto"/>
          <w:kern w:val="0"/>
          <w:sz w:val="32"/>
          <w:szCs w:val="32"/>
          <w:highlight w:val="none"/>
          <w:lang w:val="en-US" w:eastAsia="zh-CN"/>
        </w:rPr>
      </w:pPr>
    </w:p>
    <w:p w14:paraId="164C81FB">
      <w:pPr>
        <w:rPr>
          <w:rFonts w:hint="default" w:ascii="宋体" w:hAnsi="宋体" w:eastAsia="微软雅黑" w:cs="宋体"/>
          <w:b/>
          <w:bCs/>
          <w:color w:val="auto"/>
          <w:kern w:val="0"/>
          <w:sz w:val="32"/>
          <w:szCs w:val="32"/>
          <w:highlight w:val="none"/>
          <w:lang w:val="en-US" w:eastAsia="zh-CN"/>
        </w:rPr>
      </w:pPr>
      <w:r>
        <w:rPr>
          <w:rFonts w:hint="eastAsia" w:ascii="微软雅黑" w:hAnsi="微软雅黑" w:eastAsia="微软雅黑" w:cs="微软雅黑"/>
          <w:b/>
          <w:bCs/>
          <w:color w:val="auto"/>
          <w:kern w:val="0"/>
          <w:sz w:val="32"/>
          <w:szCs w:val="32"/>
          <w:highlight w:val="none"/>
          <w:lang w:val="en-US" w:eastAsia="zh-CN"/>
        </w:rPr>
        <w:t>本项目所属行业为工业。</w:t>
      </w:r>
    </w:p>
    <w:p w14:paraId="7F9D5628">
      <w:pPr>
        <w:pStyle w:val="9"/>
        <w:keepNext w:val="0"/>
        <w:keepLines w:val="0"/>
        <w:pageBreakBefore w:val="0"/>
        <w:widowControl w:val="0"/>
        <w:kinsoku/>
        <w:wordWrap/>
        <w:overflowPunct/>
        <w:topLinePunct w:val="0"/>
        <w:autoSpaceDE w:val="0"/>
        <w:autoSpaceDN w:val="0"/>
        <w:bidi w:val="0"/>
        <w:adjustRightInd/>
        <w:snapToGrid/>
        <w:ind w:firstLine="480"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注：潜在投标企业属于中小微企业的，请在投标文件中提供“投标人企业（单位）类型声明函”，如果未提供或提供虚假的“中小企业声明函”，投标企业将承担由此造成的一切不利后果。</w:t>
      </w:r>
    </w:p>
    <w:p w14:paraId="38C92652">
      <w:pPr>
        <w:pStyle w:val="9"/>
        <w:keepNext w:val="0"/>
        <w:keepLines w:val="0"/>
        <w:pageBreakBefore w:val="0"/>
        <w:widowControl w:val="0"/>
        <w:kinsoku/>
        <w:wordWrap/>
        <w:overflowPunct/>
        <w:topLinePunct w:val="0"/>
        <w:autoSpaceDE w:val="0"/>
        <w:autoSpaceDN w:val="0"/>
        <w:bidi w:val="0"/>
        <w:adjustRightInd/>
        <w:snapToGrid/>
        <w:ind w:firstLine="480" w:firstLineChars="200"/>
        <w:textAlignment w:val="auto"/>
        <w:rPr>
          <w:rFonts w:hint="eastAsia" w:ascii="宋体" w:hAnsi="宋体" w:eastAsia="宋体" w:cs="宋体"/>
          <w:b/>
          <w:bCs/>
          <w:color w:val="auto"/>
          <w:sz w:val="24"/>
          <w:szCs w:val="24"/>
          <w:highlight w:val="none"/>
          <w:lang w:val="en-US" w:eastAsia="zh-CN"/>
        </w:rPr>
      </w:pPr>
    </w:p>
    <w:p w14:paraId="20AB6105">
      <w:pPr>
        <w:jc w:val="left"/>
        <w:rPr>
          <w:rFonts w:hint="eastAsia" w:ascii="宋体" w:hAnsi="宋体" w:eastAsia="宋体" w:cs="宋体"/>
          <w:b/>
          <w:bCs/>
          <w:color w:val="auto"/>
          <w:kern w:val="0"/>
          <w:sz w:val="24"/>
          <w:szCs w:val="24"/>
          <w:highlight w:val="none"/>
        </w:rPr>
      </w:pPr>
    </w:p>
    <w:p w14:paraId="576B8F15">
      <w:pPr>
        <w:jc w:val="left"/>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附：</w:t>
      </w:r>
    </w:p>
    <w:p w14:paraId="006BDAEC">
      <w:pPr>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中小微企业划型标准</w:t>
      </w:r>
    </w:p>
    <w:tbl>
      <w:tblPr>
        <w:tblStyle w:val="33"/>
        <w:tblW w:w="9610" w:type="dxa"/>
        <w:jc w:val="center"/>
        <w:tblLayout w:type="fixed"/>
        <w:tblCellMar>
          <w:top w:w="0" w:type="dxa"/>
          <w:left w:w="108" w:type="dxa"/>
          <w:bottom w:w="0" w:type="dxa"/>
          <w:right w:w="108" w:type="dxa"/>
        </w:tblCellMar>
      </w:tblPr>
      <w:tblGrid>
        <w:gridCol w:w="1570"/>
        <w:gridCol w:w="1660"/>
        <w:gridCol w:w="1466"/>
        <w:gridCol w:w="1903"/>
        <w:gridCol w:w="1877"/>
        <w:gridCol w:w="1134"/>
      </w:tblGrid>
      <w:tr w14:paraId="0C5FDC8D">
        <w:tblPrEx>
          <w:tblCellMar>
            <w:top w:w="0" w:type="dxa"/>
            <w:left w:w="108" w:type="dxa"/>
            <w:bottom w:w="0" w:type="dxa"/>
            <w:right w:w="108" w:type="dxa"/>
          </w:tblCellMar>
        </w:tblPrEx>
        <w:trPr>
          <w:trHeight w:val="451" w:hRule="atLeast"/>
          <w:jc w:val="center"/>
        </w:trPr>
        <w:tc>
          <w:tcPr>
            <w:tcW w:w="1570" w:type="dxa"/>
            <w:tcBorders>
              <w:top w:val="single" w:color="auto" w:sz="4" w:space="0"/>
              <w:left w:val="single" w:color="auto" w:sz="4" w:space="0"/>
              <w:bottom w:val="single" w:color="auto" w:sz="4" w:space="0"/>
              <w:right w:val="single" w:color="auto" w:sz="4" w:space="0"/>
            </w:tcBorders>
            <w:noWrap w:val="0"/>
            <w:vAlign w:val="center"/>
          </w:tcPr>
          <w:p w14:paraId="6F0565C7">
            <w:pPr>
              <w:widowControl/>
              <w:snapToGrid w:val="0"/>
              <w:contextualSpacing/>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行业名称</w:t>
            </w:r>
          </w:p>
        </w:tc>
        <w:tc>
          <w:tcPr>
            <w:tcW w:w="1660" w:type="dxa"/>
            <w:tcBorders>
              <w:top w:val="single" w:color="auto" w:sz="4" w:space="0"/>
              <w:left w:val="nil"/>
              <w:bottom w:val="single" w:color="auto" w:sz="4" w:space="0"/>
              <w:right w:val="single" w:color="auto" w:sz="4" w:space="0"/>
            </w:tcBorders>
            <w:noWrap w:val="0"/>
            <w:vAlign w:val="center"/>
          </w:tcPr>
          <w:p w14:paraId="78828304">
            <w:pPr>
              <w:widowControl/>
              <w:snapToGrid w:val="0"/>
              <w:contextualSpacing/>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指标名称</w:t>
            </w:r>
          </w:p>
        </w:tc>
        <w:tc>
          <w:tcPr>
            <w:tcW w:w="1466" w:type="dxa"/>
            <w:tcBorders>
              <w:top w:val="single" w:color="auto" w:sz="4" w:space="0"/>
              <w:left w:val="nil"/>
              <w:bottom w:val="single" w:color="auto" w:sz="4" w:space="0"/>
              <w:right w:val="single" w:color="auto" w:sz="4" w:space="0"/>
            </w:tcBorders>
            <w:noWrap w:val="0"/>
            <w:vAlign w:val="center"/>
          </w:tcPr>
          <w:p w14:paraId="37F1D915">
            <w:pPr>
              <w:widowControl/>
              <w:snapToGrid w:val="0"/>
              <w:contextualSpacing/>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计量单位</w:t>
            </w:r>
          </w:p>
        </w:tc>
        <w:tc>
          <w:tcPr>
            <w:tcW w:w="1903" w:type="dxa"/>
            <w:tcBorders>
              <w:top w:val="single" w:color="auto" w:sz="4" w:space="0"/>
              <w:left w:val="nil"/>
              <w:bottom w:val="single" w:color="auto" w:sz="4" w:space="0"/>
              <w:right w:val="single" w:color="auto" w:sz="4" w:space="0"/>
            </w:tcBorders>
            <w:noWrap w:val="0"/>
            <w:vAlign w:val="center"/>
          </w:tcPr>
          <w:p w14:paraId="48559F21">
            <w:pPr>
              <w:widowControl/>
              <w:snapToGrid w:val="0"/>
              <w:contextualSpacing/>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中型</w:t>
            </w:r>
          </w:p>
        </w:tc>
        <w:tc>
          <w:tcPr>
            <w:tcW w:w="1877" w:type="dxa"/>
            <w:tcBorders>
              <w:top w:val="single" w:color="auto" w:sz="4" w:space="0"/>
              <w:left w:val="nil"/>
              <w:bottom w:val="single" w:color="auto" w:sz="4" w:space="0"/>
              <w:right w:val="single" w:color="auto" w:sz="4" w:space="0"/>
            </w:tcBorders>
            <w:noWrap w:val="0"/>
            <w:vAlign w:val="center"/>
          </w:tcPr>
          <w:p w14:paraId="3B638524">
            <w:pPr>
              <w:widowControl/>
              <w:snapToGrid w:val="0"/>
              <w:contextualSpacing/>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小型</w:t>
            </w:r>
          </w:p>
        </w:tc>
        <w:tc>
          <w:tcPr>
            <w:tcW w:w="1134" w:type="dxa"/>
            <w:tcBorders>
              <w:top w:val="single" w:color="auto" w:sz="4" w:space="0"/>
              <w:left w:val="nil"/>
              <w:bottom w:val="single" w:color="auto" w:sz="4" w:space="0"/>
              <w:right w:val="single" w:color="auto" w:sz="4" w:space="0"/>
            </w:tcBorders>
            <w:noWrap w:val="0"/>
            <w:vAlign w:val="center"/>
          </w:tcPr>
          <w:p w14:paraId="50B3F685">
            <w:pPr>
              <w:widowControl/>
              <w:snapToGrid w:val="0"/>
              <w:contextualSpacing/>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微型</w:t>
            </w:r>
          </w:p>
        </w:tc>
      </w:tr>
      <w:tr w14:paraId="1205AB8E">
        <w:tblPrEx>
          <w:tblCellMar>
            <w:top w:w="0" w:type="dxa"/>
            <w:left w:w="108" w:type="dxa"/>
            <w:bottom w:w="0" w:type="dxa"/>
            <w:right w:w="108" w:type="dxa"/>
          </w:tblCellMar>
        </w:tblPrEx>
        <w:trPr>
          <w:trHeight w:val="505" w:hRule="atLeast"/>
          <w:jc w:val="center"/>
        </w:trPr>
        <w:tc>
          <w:tcPr>
            <w:tcW w:w="1570" w:type="dxa"/>
            <w:tcBorders>
              <w:top w:val="nil"/>
              <w:left w:val="single" w:color="auto" w:sz="4" w:space="0"/>
              <w:bottom w:val="single" w:color="auto" w:sz="4" w:space="0"/>
              <w:right w:val="single" w:color="auto" w:sz="4" w:space="0"/>
            </w:tcBorders>
            <w:noWrap w:val="0"/>
            <w:vAlign w:val="center"/>
          </w:tcPr>
          <w:p w14:paraId="7AE9DF8E">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农、林、牧、渔</w:t>
            </w:r>
          </w:p>
        </w:tc>
        <w:tc>
          <w:tcPr>
            <w:tcW w:w="1660" w:type="dxa"/>
            <w:tcBorders>
              <w:top w:val="nil"/>
              <w:left w:val="nil"/>
              <w:bottom w:val="single" w:color="auto" w:sz="4" w:space="0"/>
              <w:right w:val="single" w:color="auto" w:sz="4" w:space="0"/>
            </w:tcBorders>
            <w:noWrap w:val="0"/>
            <w:vAlign w:val="center"/>
          </w:tcPr>
          <w:p w14:paraId="44A82E7A">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0917F284">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6B768EE4">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500≤Y＜20000</w:t>
            </w:r>
          </w:p>
        </w:tc>
        <w:tc>
          <w:tcPr>
            <w:tcW w:w="1877" w:type="dxa"/>
            <w:tcBorders>
              <w:top w:val="nil"/>
              <w:left w:val="nil"/>
              <w:bottom w:val="single" w:color="auto" w:sz="4" w:space="0"/>
              <w:right w:val="single" w:color="auto" w:sz="4" w:space="0"/>
            </w:tcBorders>
            <w:noWrap w:val="0"/>
            <w:vAlign w:val="center"/>
          </w:tcPr>
          <w:p w14:paraId="1C49A8B6">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50≤Y＜500</w:t>
            </w:r>
          </w:p>
        </w:tc>
        <w:tc>
          <w:tcPr>
            <w:tcW w:w="1134" w:type="dxa"/>
            <w:tcBorders>
              <w:top w:val="nil"/>
              <w:left w:val="nil"/>
              <w:bottom w:val="single" w:color="auto" w:sz="4" w:space="0"/>
              <w:right w:val="single" w:color="auto" w:sz="4" w:space="0"/>
            </w:tcBorders>
            <w:noWrap w:val="0"/>
            <w:vAlign w:val="center"/>
          </w:tcPr>
          <w:p w14:paraId="354B00A7">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Y＜50</w:t>
            </w:r>
          </w:p>
        </w:tc>
      </w:tr>
      <w:tr w14:paraId="7132EF5C">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64E9ACEB">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工业</w:t>
            </w:r>
          </w:p>
        </w:tc>
        <w:tc>
          <w:tcPr>
            <w:tcW w:w="1660" w:type="dxa"/>
            <w:tcBorders>
              <w:top w:val="nil"/>
              <w:left w:val="nil"/>
              <w:bottom w:val="single" w:color="auto" w:sz="4" w:space="0"/>
              <w:right w:val="single" w:color="auto" w:sz="4" w:space="0"/>
            </w:tcBorders>
            <w:noWrap w:val="0"/>
            <w:vAlign w:val="center"/>
          </w:tcPr>
          <w:p w14:paraId="659585A7">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1DA6478B">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36909E41">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300≤X＜1000</w:t>
            </w:r>
          </w:p>
        </w:tc>
        <w:tc>
          <w:tcPr>
            <w:tcW w:w="1877" w:type="dxa"/>
            <w:tcBorders>
              <w:top w:val="nil"/>
              <w:left w:val="nil"/>
              <w:bottom w:val="single" w:color="auto" w:sz="4" w:space="0"/>
              <w:right w:val="single" w:color="auto" w:sz="4" w:space="0"/>
            </w:tcBorders>
            <w:noWrap w:val="0"/>
            <w:vAlign w:val="center"/>
          </w:tcPr>
          <w:p w14:paraId="4B6AFA54">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20≤X＜300</w:t>
            </w:r>
          </w:p>
        </w:tc>
        <w:tc>
          <w:tcPr>
            <w:tcW w:w="1134" w:type="dxa"/>
            <w:tcBorders>
              <w:top w:val="nil"/>
              <w:left w:val="nil"/>
              <w:bottom w:val="single" w:color="auto" w:sz="4" w:space="0"/>
              <w:right w:val="single" w:color="auto" w:sz="4" w:space="0"/>
            </w:tcBorders>
            <w:noWrap w:val="0"/>
            <w:vAlign w:val="center"/>
          </w:tcPr>
          <w:p w14:paraId="7A826048">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X＜20</w:t>
            </w:r>
          </w:p>
        </w:tc>
      </w:tr>
      <w:tr w14:paraId="72D61E2E">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6C4436F2">
            <w:pPr>
              <w:widowControl/>
              <w:snapToGrid w:val="0"/>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10983983">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7BC4A2C8">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74AB5BCB">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2000≤Y＜40000</w:t>
            </w:r>
          </w:p>
        </w:tc>
        <w:tc>
          <w:tcPr>
            <w:tcW w:w="1877" w:type="dxa"/>
            <w:tcBorders>
              <w:top w:val="nil"/>
              <w:left w:val="nil"/>
              <w:bottom w:val="single" w:color="auto" w:sz="4" w:space="0"/>
              <w:right w:val="single" w:color="auto" w:sz="4" w:space="0"/>
            </w:tcBorders>
            <w:noWrap w:val="0"/>
            <w:vAlign w:val="center"/>
          </w:tcPr>
          <w:p w14:paraId="2831BF4E">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300≤Y＜2000</w:t>
            </w:r>
          </w:p>
        </w:tc>
        <w:tc>
          <w:tcPr>
            <w:tcW w:w="1134" w:type="dxa"/>
            <w:tcBorders>
              <w:top w:val="nil"/>
              <w:left w:val="nil"/>
              <w:bottom w:val="single" w:color="auto" w:sz="4" w:space="0"/>
              <w:right w:val="single" w:color="auto" w:sz="4" w:space="0"/>
            </w:tcBorders>
            <w:noWrap w:val="0"/>
            <w:vAlign w:val="center"/>
          </w:tcPr>
          <w:p w14:paraId="74964784">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Y＜300</w:t>
            </w:r>
          </w:p>
        </w:tc>
      </w:tr>
      <w:tr w14:paraId="216A2E38">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0F0C81BF">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建筑业</w:t>
            </w:r>
          </w:p>
        </w:tc>
        <w:tc>
          <w:tcPr>
            <w:tcW w:w="1660" w:type="dxa"/>
            <w:tcBorders>
              <w:top w:val="nil"/>
              <w:left w:val="nil"/>
              <w:bottom w:val="single" w:color="auto" w:sz="4" w:space="0"/>
              <w:right w:val="single" w:color="auto" w:sz="4" w:space="0"/>
            </w:tcBorders>
            <w:noWrap w:val="0"/>
            <w:vAlign w:val="center"/>
          </w:tcPr>
          <w:p w14:paraId="6FFD4230">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6C70B524">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3162F376">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6000≤Y＜80000</w:t>
            </w:r>
          </w:p>
        </w:tc>
        <w:tc>
          <w:tcPr>
            <w:tcW w:w="1877" w:type="dxa"/>
            <w:tcBorders>
              <w:top w:val="nil"/>
              <w:left w:val="nil"/>
              <w:bottom w:val="single" w:color="auto" w:sz="4" w:space="0"/>
              <w:right w:val="single" w:color="auto" w:sz="4" w:space="0"/>
            </w:tcBorders>
            <w:noWrap w:val="0"/>
            <w:vAlign w:val="center"/>
          </w:tcPr>
          <w:p w14:paraId="08775A2D">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300≤Y＜6000</w:t>
            </w:r>
          </w:p>
        </w:tc>
        <w:tc>
          <w:tcPr>
            <w:tcW w:w="1134" w:type="dxa"/>
            <w:tcBorders>
              <w:top w:val="nil"/>
              <w:left w:val="nil"/>
              <w:bottom w:val="single" w:color="auto" w:sz="4" w:space="0"/>
              <w:right w:val="single" w:color="auto" w:sz="4" w:space="0"/>
            </w:tcBorders>
            <w:noWrap w:val="0"/>
            <w:vAlign w:val="center"/>
          </w:tcPr>
          <w:p w14:paraId="437AA4E6">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Y＜300</w:t>
            </w:r>
          </w:p>
        </w:tc>
      </w:tr>
      <w:tr w14:paraId="028E77EF">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3E434A53">
            <w:pPr>
              <w:widowControl/>
              <w:snapToGrid w:val="0"/>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2F10418F">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资产总额（Z）</w:t>
            </w:r>
          </w:p>
        </w:tc>
        <w:tc>
          <w:tcPr>
            <w:tcW w:w="1466" w:type="dxa"/>
            <w:tcBorders>
              <w:top w:val="nil"/>
              <w:left w:val="nil"/>
              <w:bottom w:val="single" w:color="auto" w:sz="4" w:space="0"/>
              <w:right w:val="single" w:color="auto" w:sz="4" w:space="0"/>
            </w:tcBorders>
            <w:noWrap w:val="0"/>
            <w:vAlign w:val="center"/>
          </w:tcPr>
          <w:p w14:paraId="1963744B">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085DA414">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5000≤Z＜80000</w:t>
            </w:r>
          </w:p>
        </w:tc>
        <w:tc>
          <w:tcPr>
            <w:tcW w:w="1877" w:type="dxa"/>
            <w:tcBorders>
              <w:top w:val="nil"/>
              <w:left w:val="nil"/>
              <w:bottom w:val="single" w:color="auto" w:sz="4" w:space="0"/>
              <w:right w:val="single" w:color="auto" w:sz="4" w:space="0"/>
            </w:tcBorders>
            <w:noWrap w:val="0"/>
            <w:vAlign w:val="center"/>
          </w:tcPr>
          <w:p w14:paraId="60A2C211">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300≤Z＜5000</w:t>
            </w:r>
          </w:p>
        </w:tc>
        <w:tc>
          <w:tcPr>
            <w:tcW w:w="1134" w:type="dxa"/>
            <w:tcBorders>
              <w:top w:val="nil"/>
              <w:left w:val="nil"/>
              <w:bottom w:val="single" w:color="auto" w:sz="4" w:space="0"/>
              <w:right w:val="single" w:color="auto" w:sz="4" w:space="0"/>
            </w:tcBorders>
            <w:noWrap w:val="0"/>
            <w:vAlign w:val="center"/>
          </w:tcPr>
          <w:p w14:paraId="17ED86A8">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Z＜300</w:t>
            </w:r>
          </w:p>
        </w:tc>
      </w:tr>
      <w:tr w14:paraId="133B1AF3">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3B36A612">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批发业</w:t>
            </w:r>
          </w:p>
        </w:tc>
        <w:tc>
          <w:tcPr>
            <w:tcW w:w="1660" w:type="dxa"/>
            <w:tcBorders>
              <w:top w:val="nil"/>
              <w:left w:val="nil"/>
              <w:bottom w:val="single" w:color="auto" w:sz="4" w:space="0"/>
              <w:right w:val="single" w:color="auto" w:sz="4" w:space="0"/>
            </w:tcBorders>
            <w:noWrap w:val="0"/>
            <w:vAlign w:val="center"/>
          </w:tcPr>
          <w:p w14:paraId="3D261691">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50B73451">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6C69B7F7">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20≤X＜200</w:t>
            </w:r>
          </w:p>
        </w:tc>
        <w:tc>
          <w:tcPr>
            <w:tcW w:w="1877" w:type="dxa"/>
            <w:tcBorders>
              <w:top w:val="nil"/>
              <w:left w:val="nil"/>
              <w:bottom w:val="single" w:color="auto" w:sz="4" w:space="0"/>
              <w:right w:val="single" w:color="auto" w:sz="4" w:space="0"/>
            </w:tcBorders>
            <w:noWrap w:val="0"/>
            <w:vAlign w:val="center"/>
          </w:tcPr>
          <w:p w14:paraId="0DD9F7D3">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5≤X＜20</w:t>
            </w:r>
          </w:p>
        </w:tc>
        <w:tc>
          <w:tcPr>
            <w:tcW w:w="1134" w:type="dxa"/>
            <w:tcBorders>
              <w:top w:val="nil"/>
              <w:left w:val="nil"/>
              <w:bottom w:val="single" w:color="auto" w:sz="4" w:space="0"/>
              <w:right w:val="single" w:color="auto" w:sz="4" w:space="0"/>
            </w:tcBorders>
            <w:noWrap w:val="0"/>
            <w:vAlign w:val="center"/>
          </w:tcPr>
          <w:p w14:paraId="577CC85C">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X＜5</w:t>
            </w:r>
          </w:p>
        </w:tc>
      </w:tr>
      <w:tr w14:paraId="75A79F50">
        <w:tblPrEx>
          <w:tblCellMar>
            <w:top w:w="0" w:type="dxa"/>
            <w:left w:w="108" w:type="dxa"/>
            <w:bottom w:w="0" w:type="dxa"/>
            <w:right w:w="108" w:type="dxa"/>
          </w:tblCellMar>
        </w:tblPrEx>
        <w:trPr>
          <w:trHeight w:val="90"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7B74537B">
            <w:pPr>
              <w:widowControl/>
              <w:snapToGrid w:val="0"/>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3B3736AE">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61BD59F5">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76C6AB2A">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5000≤Y＜40000</w:t>
            </w:r>
          </w:p>
        </w:tc>
        <w:tc>
          <w:tcPr>
            <w:tcW w:w="1877" w:type="dxa"/>
            <w:tcBorders>
              <w:top w:val="nil"/>
              <w:left w:val="nil"/>
              <w:bottom w:val="single" w:color="auto" w:sz="4" w:space="0"/>
              <w:right w:val="single" w:color="auto" w:sz="4" w:space="0"/>
            </w:tcBorders>
            <w:noWrap w:val="0"/>
            <w:vAlign w:val="center"/>
          </w:tcPr>
          <w:p w14:paraId="373E05B0">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1000≤Y＜5000</w:t>
            </w:r>
          </w:p>
        </w:tc>
        <w:tc>
          <w:tcPr>
            <w:tcW w:w="1134" w:type="dxa"/>
            <w:tcBorders>
              <w:top w:val="nil"/>
              <w:left w:val="nil"/>
              <w:bottom w:val="single" w:color="auto" w:sz="4" w:space="0"/>
              <w:right w:val="single" w:color="auto" w:sz="4" w:space="0"/>
            </w:tcBorders>
            <w:noWrap w:val="0"/>
            <w:vAlign w:val="center"/>
          </w:tcPr>
          <w:p w14:paraId="64970CD6">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Y＜1000</w:t>
            </w:r>
          </w:p>
        </w:tc>
      </w:tr>
      <w:tr w14:paraId="0313EBED">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03F79E86">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零售业</w:t>
            </w:r>
          </w:p>
        </w:tc>
        <w:tc>
          <w:tcPr>
            <w:tcW w:w="1660" w:type="dxa"/>
            <w:tcBorders>
              <w:top w:val="nil"/>
              <w:left w:val="nil"/>
              <w:bottom w:val="single" w:color="auto" w:sz="4" w:space="0"/>
              <w:right w:val="single" w:color="auto" w:sz="4" w:space="0"/>
            </w:tcBorders>
            <w:noWrap w:val="0"/>
            <w:vAlign w:val="center"/>
          </w:tcPr>
          <w:p w14:paraId="6E1D365E">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2EE42AB0">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74CDD63E">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50≤X＜300</w:t>
            </w:r>
          </w:p>
        </w:tc>
        <w:tc>
          <w:tcPr>
            <w:tcW w:w="1877" w:type="dxa"/>
            <w:tcBorders>
              <w:top w:val="nil"/>
              <w:left w:val="nil"/>
              <w:bottom w:val="single" w:color="auto" w:sz="4" w:space="0"/>
              <w:right w:val="single" w:color="auto" w:sz="4" w:space="0"/>
            </w:tcBorders>
            <w:noWrap w:val="0"/>
            <w:vAlign w:val="center"/>
          </w:tcPr>
          <w:p w14:paraId="2BDF3A7F">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10≤X＜50</w:t>
            </w:r>
          </w:p>
        </w:tc>
        <w:tc>
          <w:tcPr>
            <w:tcW w:w="1134" w:type="dxa"/>
            <w:tcBorders>
              <w:top w:val="nil"/>
              <w:left w:val="nil"/>
              <w:bottom w:val="single" w:color="auto" w:sz="4" w:space="0"/>
              <w:right w:val="single" w:color="auto" w:sz="4" w:space="0"/>
            </w:tcBorders>
            <w:noWrap w:val="0"/>
            <w:vAlign w:val="center"/>
          </w:tcPr>
          <w:p w14:paraId="10E36E77">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w:t>
            </w:r>
          </w:p>
        </w:tc>
      </w:tr>
      <w:tr w14:paraId="06A5D19C">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7B9756FB">
            <w:pPr>
              <w:widowControl/>
              <w:snapToGrid w:val="0"/>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678F9D80">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631AFB60">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6A86F8F7">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500≤Y＜20000</w:t>
            </w:r>
          </w:p>
        </w:tc>
        <w:tc>
          <w:tcPr>
            <w:tcW w:w="1877" w:type="dxa"/>
            <w:tcBorders>
              <w:top w:val="nil"/>
              <w:left w:val="nil"/>
              <w:bottom w:val="single" w:color="auto" w:sz="4" w:space="0"/>
              <w:right w:val="single" w:color="auto" w:sz="4" w:space="0"/>
            </w:tcBorders>
            <w:noWrap w:val="0"/>
            <w:vAlign w:val="center"/>
          </w:tcPr>
          <w:p w14:paraId="08C7BCB6">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100≤Y＜500</w:t>
            </w:r>
          </w:p>
        </w:tc>
        <w:tc>
          <w:tcPr>
            <w:tcW w:w="1134" w:type="dxa"/>
            <w:tcBorders>
              <w:top w:val="nil"/>
              <w:left w:val="nil"/>
              <w:bottom w:val="single" w:color="auto" w:sz="4" w:space="0"/>
              <w:right w:val="single" w:color="auto" w:sz="4" w:space="0"/>
            </w:tcBorders>
            <w:noWrap w:val="0"/>
            <w:vAlign w:val="center"/>
          </w:tcPr>
          <w:p w14:paraId="5870A12B">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w:t>
            </w:r>
          </w:p>
        </w:tc>
      </w:tr>
      <w:tr w14:paraId="6FB0FABC">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34077CB2">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交通运输业</w:t>
            </w:r>
          </w:p>
        </w:tc>
        <w:tc>
          <w:tcPr>
            <w:tcW w:w="1660" w:type="dxa"/>
            <w:tcBorders>
              <w:top w:val="nil"/>
              <w:left w:val="nil"/>
              <w:bottom w:val="single" w:color="auto" w:sz="4" w:space="0"/>
              <w:right w:val="single" w:color="auto" w:sz="4" w:space="0"/>
            </w:tcBorders>
            <w:noWrap w:val="0"/>
            <w:vAlign w:val="center"/>
          </w:tcPr>
          <w:p w14:paraId="6E76FF11">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470BFB7F">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0F5C8ED6">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300≤X＜1000</w:t>
            </w:r>
          </w:p>
        </w:tc>
        <w:tc>
          <w:tcPr>
            <w:tcW w:w="1877" w:type="dxa"/>
            <w:tcBorders>
              <w:top w:val="nil"/>
              <w:left w:val="nil"/>
              <w:bottom w:val="single" w:color="auto" w:sz="4" w:space="0"/>
              <w:right w:val="single" w:color="auto" w:sz="4" w:space="0"/>
            </w:tcBorders>
            <w:noWrap w:val="0"/>
            <w:vAlign w:val="center"/>
          </w:tcPr>
          <w:p w14:paraId="416AC4DB">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20≤X＜300</w:t>
            </w:r>
          </w:p>
        </w:tc>
        <w:tc>
          <w:tcPr>
            <w:tcW w:w="1134" w:type="dxa"/>
            <w:tcBorders>
              <w:top w:val="nil"/>
              <w:left w:val="nil"/>
              <w:bottom w:val="single" w:color="auto" w:sz="4" w:space="0"/>
              <w:right w:val="single" w:color="auto" w:sz="4" w:space="0"/>
            </w:tcBorders>
            <w:noWrap w:val="0"/>
            <w:vAlign w:val="center"/>
          </w:tcPr>
          <w:p w14:paraId="5A97A62A">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X＜20</w:t>
            </w:r>
          </w:p>
        </w:tc>
      </w:tr>
      <w:tr w14:paraId="46B51258">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4D222DB6">
            <w:pPr>
              <w:widowControl/>
              <w:snapToGrid w:val="0"/>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025AC0CC">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0C563D2E">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0CA5386F">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3000≤Y＜30000</w:t>
            </w:r>
          </w:p>
        </w:tc>
        <w:tc>
          <w:tcPr>
            <w:tcW w:w="1877" w:type="dxa"/>
            <w:tcBorders>
              <w:top w:val="nil"/>
              <w:left w:val="nil"/>
              <w:bottom w:val="single" w:color="auto" w:sz="4" w:space="0"/>
              <w:right w:val="single" w:color="auto" w:sz="4" w:space="0"/>
            </w:tcBorders>
            <w:noWrap w:val="0"/>
            <w:vAlign w:val="center"/>
          </w:tcPr>
          <w:p w14:paraId="25A4C19A">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200≤Y＜3000</w:t>
            </w:r>
          </w:p>
        </w:tc>
        <w:tc>
          <w:tcPr>
            <w:tcW w:w="1134" w:type="dxa"/>
            <w:tcBorders>
              <w:top w:val="nil"/>
              <w:left w:val="nil"/>
              <w:bottom w:val="single" w:color="auto" w:sz="4" w:space="0"/>
              <w:right w:val="single" w:color="auto" w:sz="4" w:space="0"/>
            </w:tcBorders>
            <w:noWrap w:val="0"/>
            <w:vAlign w:val="center"/>
          </w:tcPr>
          <w:p w14:paraId="2BC0DBC2">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Y＜200</w:t>
            </w:r>
          </w:p>
        </w:tc>
      </w:tr>
      <w:tr w14:paraId="2320E2EB">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1232C2D8">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仓储业</w:t>
            </w:r>
          </w:p>
        </w:tc>
        <w:tc>
          <w:tcPr>
            <w:tcW w:w="1660" w:type="dxa"/>
            <w:tcBorders>
              <w:top w:val="nil"/>
              <w:left w:val="nil"/>
              <w:bottom w:val="single" w:color="auto" w:sz="4" w:space="0"/>
              <w:right w:val="single" w:color="auto" w:sz="4" w:space="0"/>
            </w:tcBorders>
            <w:noWrap w:val="0"/>
            <w:vAlign w:val="center"/>
          </w:tcPr>
          <w:p w14:paraId="0EE676F4">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5E228C4D">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21A0EDE3">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100≤X＜200</w:t>
            </w:r>
          </w:p>
        </w:tc>
        <w:tc>
          <w:tcPr>
            <w:tcW w:w="1877" w:type="dxa"/>
            <w:tcBorders>
              <w:top w:val="nil"/>
              <w:left w:val="nil"/>
              <w:bottom w:val="single" w:color="auto" w:sz="4" w:space="0"/>
              <w:right w:val="single" w:color="auto" w:sz="4" w:space="0"/>
            </w:tcBorders>
            <w:noWrap w:val="0"/>
            <w:vAlign w:val="center"/>
          </w:tcPr>
          <w:p w14:paraId="5C66EE82">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20≤X＜100</w:t>
            </w:r>
          </w:p>
        </w:tc>
        <w:tc>
          <w:tcPr>
            <w:tcW w:w="1134" w:type="dxa"/>
            <w:tcBorders>
              <w:top w:val="nil"/>
              <w:left w:val="nil"/>
              <w:bottom w:val="single" w:color="auto" w:sz="4" w:space="0"/>
              <w:right w:val="single" w:color="auto" w:sz="4" w:space="0"/>
            </w:tcBorders>
            <w:noWrap w:val="0"/>
            <w:vAlign w:val="center"/>
          </w:tcPr>
          <w:p w14:paraId="4A524CE2">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X＜20</w:t>
            </w:r>
          </w:p>
        </w:tc>
      </w:tr>
      <w:tr w14:paraId="04C15684">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75141756">
            <w:pPr>
              <w:widowControl/>
              <w:snapToGrid w:val="0"/>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22F2E982">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1157C7A9">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2F682243">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1000≤Y＜30000</w:t>
            </w:r>
          </w:p>
        </w:tc>
        <w:tc>
          <w:tcPr>
            <w:tcW w:w="1877" w:type="dxa"/>
            <w:tcBorders>
              <w:top w:val="nil"/>
              <w:left w:val="nil"/>
              <w:bottom w:val="single" w:color="auto" w:sz="4" w:space="0"/>
              <w:right w:val="single" w:color="auto" w:sz="4" w:space="0"/>
            </w:tcBorders>
            <w:noWrap w:val="0"/>
            <w:vAlign w:val="center"/>
          </w:tcPr>
          <w:p w14:paraId="054401C2">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100≤Y＜1000</w:t>
            </w:r>
          </w:p>
        </w:tc>
        <w:tc>
          <w:tcPr>
            <w:tcW w:w="1134" w:type="dxa"/>
            <w:tcBorders>
              <w:top w:val="nil"/>
              <w:left w:val="nil"/>
              <w:bottom w:val="single" w:color="auto" w:sz="4" w:space="0"/>
              <w:right w:val="single" w:color="auto" w:sz="4" w:space="0"/>
            </w:tcBorders>
            <w:noWrap w:val="0"/>
            <w:vAlign w:val="center"/>
          </w:tcPr>
          <w:p w14:paraId="24050110">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w:t>
            </w:r>
          </w:p>
        </w:tc>
      </w:tr>
      <w:tr w14:paraId="7BC63312">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2FE3818C">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邮政业</w:t>
            </w:r>
          </w:p>
        </w:tc>
        <w:tc>
          <w:tcPr>
            <w:tcW w:w="1660" w:type="dxa"/>
            <w:tcBorders>
              <w:top w:val="nil"/>
              <w:left w:val="nil"/>
              <w:bottom w:val="single" w:color="auto" w:sz="4" w:space="0"/>
              <w:right w:val="single" w:color="auto" w:sz="4" w:space="0"/>
            </w:tcBorders>
            <w:noWrap w:val="0"/>
            <w:vAlign w:val="center"/>
          </w:tcPr>
          <w:p w14:paraId="38E3A1DE">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11EEB413">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56666651">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300≤X＜1000</w:t>
            </w:r>
          </w:p>
        </w:tc>
        <w:tc>
          <w:tcPr>
            <w:tcW w:w="1877" w:type="dxa"/>
            <w:tcBorders>
              <w:top w:val="nil"/>
              <w:left w:val="nil"/>
              <w:bottom w:val="single" w:color="auto" w:sz="4" w:space="0"/>
              <w:right w:val="single" w:color="auto" w:sz="4" w:space="0"/>
            </w:tcBorders>
            <w:noWrap w:val="0"/>
            <w:vAlign w:val="center"/>
          </w:tcPr>
          <w:p w14:paraId="4A7C0ADA">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20≤X＜300</w:t>
            </w:r>
          </w:p>
        </w:tc>
        <w:tc>
          <w:tcPr>
            <w:tcW w:w="1134" w:type="dxa"/>
            <w:tcBorders>
              <w:top w:val="nil"/>
              <w:left w:val="nil"/>
              <w:bottom w:val="single" w:color="auto" w:sz="4" w:space="0"/>
              <w:right w:val="single" w:color="auto" w:sz="4" w:space="0"/>
            </w:tcBorders>
            <w:noWrap w:val="0"/>
            <w:vAlign w:val="center"/>
          </w:tcPr>
          <w:p w14:paraId="3F9A7354">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X＜20</w:t>
            </w:r>
          </w:p>
        </w:tc>
      </w:tr>
      <w:tr w14:paraId="518BF82B">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26F02A26">
            <w:pPr>
              <w:widowControl/>
              <w:snapToGrid w:val="0"/>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6A894512">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6283D1AF">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75E3B0C0">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2000≤Y＜30000</w:t>
            </w:r>
          </w:p>
        </w:tc>
        <w:tc>
          <w:tcPr>
            <w:tcW w:w="1877" w:type="dxa"/>
            <w:tcBorders>
              <w:top w:val="nil"/>
              <w:left w:val="nil"/>
              <w:bottom w:val="single" w:color="auto" w:sz="4" w:space="0"/>
              <w:right w:val="single" w:color="auto" w:sz="4" w:space="0"/>
            </w:tcBorders>
            <w:noWrap w:val="0"/>
            <w:vAlign w:val="center"/>
          </w:tcPr>
          <w:p w14:paraId="6DA1B257">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100≤Y＜2000</w:t>
            </w:r>
          </w:p>
        </w:tc>
        <w:tc>
          <w:tcPr>
            <w:tcW w:w="1134" w:type="dxa"/>
            <w:tcBorders>
              <w:top w:val="nil"/>
              <w:left w:val="nil"/>
              <w:bottom w:val="single" w:color="auto" w:sz="4" w:space="0"/>
              <w:right w:val="single" w:color="auto" w:sz="4" w:space="0"/>
            </w:tcBorders>
            <w:noWrap w:val="0"/>
            <w:vAlign w:val="center"/>
          </w:tcPr>
          <w:p w14:paraId="70D0D24C">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w:t>
            </w:r>
          </w:p>
        </w:tc>
      </w:tr>
      <w:tr w14:paraId="54CAF24D">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3334AC63">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住宿业</w:t>
            </w:r>
          </w:p>
        </w:tc>
        <w:tc>
          <w:tcPr>
            <w:tcW w:w="1660" w:type="dxa"/>
            <w:tcBorders>
              <w:top w:val="nil"/>
              <w:left w:val="nil"/>
              <w:bottom w:val="single" w:color="auto" w:sz="4" w:space="0"/>
              <w:right w:val="single" w:color="auto" w:sz="4" w:space="0"/>
            </w:tcBorders>
            <w:noWrap w:val="0"/>
            <w:vAlign w:val="center"/>
          </w:tcPr>
          <w:p w14:paraId="0E35F95B">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54DBF25A">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3E6B2A15">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100≤X＜300</w:t>
            </w:r>
          </w:p>
        </w:tc>
        <w:tc>
          <w:tcPr>
            <w:tcW w:w="1877" w:type="dxa"/>
            <w:tcBorders>
              <w:top w:val="nil"/>
              <w:left w:val="nil"/>
              <w:bottom w:val="single" w:color="auto" w:sz="4" w:space="0"/>
              <w:right w:val="single" w:color="auto" w:sz="4" w:space="0"/>
            </w:tcBorders>
            <w:noWrap w:val="0"/>
            <w:vAlign w:val="center"/>
          </w:tcPr>
          <w:p w14:paraId="0BDB1555">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10≤X＜100</w:t>
            </w:r>
          </w:p>
        </w:tc>
        <w:tc>
          <w:tcPr>
            <w:tcW w:w="1134" w:type="dxa"/>
            <w:tcBorders>
              <w:top w:val="nil"/>
              <w:left w:val="nil"/>
              <w:bottom w:val="single" w:color="auto" w:sz="4" w:space="0"/>
              <w:right w:val="single" w:color="auto" w:sz="4" w:space="0"/>
            </w:tcBorders>
            <w:noWrap w:val="0"/>
            <w:vAlign w:val="center"/>
          </w:tcPr>
          <w:p w14:paraId="5693F7E6">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w:t>
            </w:r>
          </w:p>
        </w:tc>
      </w:tr>
      <w:tr w14:paraId="5EFD0820">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11CC5AE1">
            <w:pPr>
              <w:widowControl/>
              <w:snapToGrid w:val="0"/>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34990634">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45BAE350">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7D5D2073">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2000≤Y＜10000</w:t>
            </w:r>
          </w:p>
        </w:tc>
        <w:tc>
          <w:tcPr>
            <w:tcW w:w="1877" w:type="dxa"/>
            <w:tcBorders>
              <w:top w:val="nil"/>
              <w:left w:val="nil"/>
              <w:bottom w:val="single" w:color="auto" w:sz="4" w:space="0"/>
              <w:right w:val="single" w:color="auto" w:sz="4" w:space="0"/>
            </w:tcBorders>
            <w:noWrap w:val="0"/>
            <w:vAlign w:val="center"/>
          </w:tcPr>
          <w:p w14:paraId="4B8984E0">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100≤Y＜2000</w:t>
            </w:r>
          </w:p>
        </w:tc>
        <w:tc>
          <w:tcPr>
            <w:tcW w:w="1134" w:type="dxa"/>
            <w:tcBorders>
              <w:top w:val="nil"/>
              <w:left w:val="nil"/>
              <w:bottom w:val="single" w:color="auto" w:sz="4" w:space="0"/>
              <w:right w:val="single" w:color="auto" w:sz="4" w:space="0"/>
            </w:tcBorders>
            <w:noWrap w:val="0"/>
            <w:vAlign w:val="center"/>
          </w:tcPr>
          <w:p w14:paraId="29D40E3B">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w:t>
            </w:r>
          </w:p>
        </w:tc>
      </w:tr>
      <w:tr w14:paraId="5CED6674">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0EB278E4">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餐饮业</w:t>
            </w:r>
          </w:p>
        </w:tc>
        <w:tc>
          <w:tcPr>
            <w:tcW w:w="1660" w:type="dxa"/>
            <w:tcBorders>
              <w:top w:val="nil"/>
              <w:left w:val="nil"/>
              <w:bottom w:val="single" w:color="auto" w:sz="4" w:space="0"/>
              <w:right w:val="single" w:color="auto" w:sz="4" w:space="0"/>
            </w:tcBorders>
            <w:noWrap w:val="0"/>
            <w:vAlign w:val="center"/>
          </w:tcPr>
          <w:p w14:paraId="772C06F3">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2E41E58E">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7B565DFB">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100≤X＜300</w:t>
            </w:r>
          </w:p>
        </w:tc>
        <w:tc>
          <w:tcPr>
            <w:tcW w:w="1877" w:type="dxa"/>
            <w:tcBorders>
              <w:top w:val="nil"/>
              <w:left w:val="nil"/>
              <w:bottom w:val="single" w:color="auto" w:sz="4" w:space="0"/>
              <w:right w:val="single" w:color="auto" w:sz="4" w:space="0"/>
            </w:tcBorders>
            <w:noWrap w:val="0"/>
            <w:vAlign w:val="center"/>
          </w:tcPr>
          <w:p w14:paraId="073035A1">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10≤X＜100</w:t>
            </w:r>
          </w:p>
        </w:tc>
        <w:tc>
          <w:tcPr>
            <w:tcW w:w="1134" w:type="dxa"/>
            <w:tcBorders>
              <w:top w:val="nil"/>
              <w:left w:val="nil"/>
              <w:bottom w:val="single" w:color="auto" w:sz="4" w:space="0"/>
              <w:right w:val="single" w:color="auto" w:sz="4" w:space="0"/>
            </w:tcBorders>
            <w:noWrap w:val="0"/>
            <w:vAlign w:val="center"/>
          </w:tcPr>
          <w:p w14:paraId="739C8F0F">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w:t>
            </w:r>
          </w:p>
        </w:tc>
      </w:tr>
      <w:tr w14:paraId="2BEB0936">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58811741">
            <w:pPr>
              <w:widowControl/>
              <w:snapToGrid w:val="0"/>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3BDB1FD3">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72CC78A8">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3ED416B6">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2000≤Y＜10000</w:t>
            </w:r>
          </w:p>
        </w:tc>
        <w:tc>
          <w:tcPr>
            <w:tcW w:w="1877" w:type="dxa"/>
            <w:tcBorders>
              <w:top w:val="nil"/>
              <w:left w:val="nil"/>
              <w:bottom w:val="single" w:color="auto" w:sz="4" w:space="0"/>
              <w:right w:val="single" w:color="auto" w:sz="4" w:space="0"/>
            </w:tcBorders>
            <w:noWrap w:val="0"/>
            <w:vAlign w:val="center"/>
          </w:tcPr>
          <w:p w14:paraId="6F03EF08">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100≤Y＜2000</w:t>
            </w:r>
          </w:p>
        </w:tc>
        <w:tc>
          <w:tcPr>
            <w:tcW w:w="1134" w:type="dxa"/>
            <w:tcBorders>
              <w:top w:val="nil"/>
              <w:left w:val="nil"/>
              <w:bottom w:val="single" w:color="auto" w:sz="4" w:space="0"/>
              <w:right w:val="single" w:color="auto" w:sz="4" w:space="0"/>
            </w:tcBorders>
            <w:noWrap w:val="0"/>
            <w:vAlign w:val="center"/>
          </w:tcPr>
          <w:p w14:paraId="5785EE39">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w:t>
            </w:r>
          </w:p>
        </w:tc>
      </w:tr>
      <w:tr w14:paraId="5B23D28C">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73B7B605">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信息传输业</w:t>
            </w:r>
          </w:p>
        </w:tc>
        <w:tc>
          <w:tcPr>
            <w:tcW w:w="1660" w:type="dxa"/>
            <w:tcBorders>
              <w:top w:val="nil"/>
              <w:left w:val="nil"/>
              <w:bottom w:val="single" w:color="auto" w:sz="4" w:space="0"/>
              <w:right w:val="single" w:color="auto" w:sz="4" w:space="0"/>
            </w:tcBorders>
            <w:noWrap w:val="0"/>
            <w:vAlign w:val="center"/>
          </w:tcPr>
          <w:p w14:paraId="0D40BE50">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133615B6">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7A891D2F">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100≤X＜2000</w:t>
            </w:r>
          </w:p>
        </w:tc>
        <w:tc>
          <w:tcPr>
            <w:tcW w:w="1877" w:type="dxa"/>
            <w:tcBorders>
              <w:top w:val="nil"/>
              <w:left w:val="nil"/>
              <w:bottom w:val="single" w:color="auto" w:sz="4" w:space="0"/>
              <w:right w:val="single" w:color="auto" w:sz="4" w:space="0"/>
            </w:tcBorders>
            <w:noWrap w:val="0"/>
            <w:vAlign w:val="center"/>
          </w:tcPr>
          <w:p w14:paraId="7C6E029D">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10≤X＜100</w:t>
            </w:r>
          </w:p>
        </w:tc>
        <w:tc>
          <w:tcPr>
            <w:tcW w:w="1134" w:type="dxa"/>
            <w:tcBorders>
              <w:top w:val="nil"/>
              <w:left w:val="nil"/>
              <w:bottom w:val="single" w:color="auto" w:sz="4" w:space="0"/>
              <w:right w:val="single" w:color="auto" w:sz="4" w:space="0"/>
            </w:tcBorders>
            <w:noWrap w:val="0"/>
            <w:vAlign w:val="center"/>
          </w:tcPr>
          <w:p w14:paraId="2A6AD9C2">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X＜10</w:t>
            </w:r>
          </w:p>
        </w:tc>
      </w:tr>
      <w:tr w14:paraId="158CFEA6">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5E7D73B2">
            <w:pPr>
              <w:widowControl/>
              <w:snapToGrid w:val="0"/>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25B58CB0">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532CBB98">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79337F01">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1000≤Y＜100000</w:t>
            </w:r>
          </w:p>
        </w:tc>
        <w:tc>
          <w:tcPr>
            <w:tcW w:w="1877" w:type="dxa"/>
            <w:tcBorders>
              <w:top w:val="nil"/>
              <w:left w:val="nil"/>
              <w:bottom w:val="single" w:color="auto" w:sz="4" w:space="0"/>
              <w:right w:val="single" w:color="auto" w:sz="4" w:space="0"/>
            </w:tcBorders>
            <w:noWrap w:val="0"/>
            <w:vAlign w:val="center"/>
          </w:tcPr>
          <w:p w14:paraId="37063AE6">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100≤Y＜1000</w:t>
            </w:r>
          </w:p>
        </w:tc>
        <w:tc>
          <w:tcPr>
            <w:tcW w:w="1134" w:type="dxa"/>
            <w:tcBorders>
              <w:top w:val="nil"/>
              <w:left w:val="nil"/>
              <w:bottom w:val="single" w:color="auto" w:sz="4" w:space="0"/>
              <w:right w:val="single" w:color="auto" w:sz="4" w:space="0"/>
            </w:tcBorders>
            <w:noWrap w:val="0"/>
            <w:vAlign w:val="center"/>
          </w:tcPr>
          <w:p w14:paraId="066B15D9">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Y＜100</w:t>
            </w:r>
          </w:p>
        </w:tc>
      </w:tr>
      <w:tr w14:paraId="1F1D54D1">
        <w:tblPrEx>
          <w:tblCellMar>
            <w:top w:w="0" w:type="dxa"/>
            <w:left w:w="108" w:type="dxa"/>
            <w:bottom w:w="0" w:type="dxa"/>
            <w:right w:w="108" w:type="dxa"/>
          </w:tblCellMar>
        </w:tblPrEx>
        <w:trPr>
          <w:trHeight w:val="394"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37764CF7">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软件和信息技术服务业</w:t>
            </w:r>
          </w:p>
        </w:tc>
        <w:tc>
          <w:tcPr>
            <w:tcW w:w="1660" w:type="dxa"/>
            <w:tcBorders>
              <w:top w:val="nil"/>
              <w:left w:val="nil"/>
              <w:bottom w:val="single" w:color="auto" w:sz="4" w:space="0"/>
              <w:right w:val="single" w:color="auto" w:sz="4" w:space="0"/>
            </w:tcBorders>
            <w:noWrap w:val="0"/>
            <w:vAlign w:val="center"/>
          </w:tcPr>
          <w:p w14:paraId="77F1415E">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378F146A">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1213047E">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100≤X＜300</w:t>
            </w:r>
          </w:p>
        </w:tc>
        <w:tc>
          <w:tcPr>
            <w:tcW w:w="1877" w:type="dxa"/>
            <w:tcBorders>
              <w:top w:val="nil"/>
              <w:left w:val="nil"/>
              <w:bottom w:val="single" w:color="auto" w:sz="4" w:space="0"/>
              <w:right w:val="single" w:color="auto" w:sz="4" w:space="0"/>
            </w:tcBorders>
            <w:noWrap w:val="0"/>
            <w:vAlign w:val="center"/>
          </w:tcPr>
          <w:p w14:paraId="10760A1C">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10≤X＜100</w:t>
            </w:r>
          </w:p>
        </w:tc>
        <w:tc>
          <w:tcPr>
            <w:tcW w:w="1134" w:type="dxa"/>
            <w:tcBorders>
              <w:top w:val="nil"/>
              <w:left w:val="nil"/>
              <w:bottom w:val="single" w:color="auto" w:sz="4" w:space="0"/>
              <w:right w:val="single" w:color="auto" w:sz="4" w:space="0"/>
            </w:tcBorders>
            <w:noWrap w:val="0"/>
            <w:vAlign w:val="center"/>
          </w:tcPr>
          <w:p w14:paraId="318EF8F3">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X＜10</w:t>
            </w:r>
          </w:p>
        </w:tc>
      </w:tr>
      <w:tr w14:paraId="08537FBE">
        <w:tblPrEx>
          <w:tblCellMar>
            <w:top w:w="0" w:type="dxa"/>
            <w:left w:w="108" w:type="dxa"/>
            <w:bottom w:w="0" w:type="dxa"/>
            <w:right w:w="108" w:type="dxa"/>
          </w:tblCellMar>
        </w:tblPrEx>
        <w:trPr>
          <w:trHeight w:val="377"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47D9B171">
            <w:pPr>
              <w:widowControl/>
              <w:snapToGrid w:val="0"/>
              <w:contextualSpacing/>
              <w:jc w:val="center"/>
              <w:rPr>
                <w:rFonts w:hint="eastAsia" w:ascii="宋体" w:hAnsi="宋体" w:eastAsia="宋体" w:cs="宋体"/>
                <w:b w:val="0"/>
                <w:bCs w:val="0"/>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0D223042">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7C28CCFA">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63558959">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1000≤Y＜10000</w:t>
            </w:r>
          </w:p>
        </w:tc>
        <w:tc>
          <w:tcPr>
            <w:tcW w:w="1877" w:type="dxa"/>
            <w:tcBorders>
              <w:top w:val="nil"/>
              <w:left w:val="nil"/>
              <w:bottom w:val="single" w:color="auto" w:sz="4" w:space="0"/>
              <w:right w:val="single" w:color="auto" w:sz="4" w:space="0"/>
            </w:tcBorders>
            <w:noWrap w:val="0"/>
            <w:vAlign w:val="center"/>
          </w:tcPr>
          <w:p w14:paraId="7DDA53A9">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50≤Y＜1000</w:t>
            </w:r>
          </w:p>
        </w:tc>
        <w:tc>
          <w:tcPr>
            <w:tcW w:w="1134" w:type="dxa"/>
            <w:tcBorders>
              <w:top w:val="nil"/>
              <w:left w:val="nil"/>
              <w:bottom w:val="single" w:color="auto" w:sz="4" w:space="0"/>
              <w:right w:val="single" w:color="auto" w:sz="4" w:space="0"/>
            </w:tcBorders>
            <w:noWrap w:val="0"/>
            <w:vAlign w:val="center"/>
          </w:tcPr>
          <w:p w14:paraId="2586753A">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Y＜50</w:t>
            </w:r>
          </w:p>
        </w:tc>
      </w:tr>
      <w:tr w14:paraId="6B6E923E">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371BF754">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房地产开发经营</w:t>
            </w:r>
          </w:p>
        </w:tc>
        <w:tc>
          <w:tcPr>
            <w:tcW w:w="1660" w:type="dxa"/>
            <w:tcBorders>
              <w:top w:val="nil"/>
              <w:left w:val="nil"/>
              <w:bottom w:val="single" w:color="auto" w:sz="4" w:space="0"/>
              <w:right w:val="single" w:color="auto" w:sz="4" w:space="0"/>
            </w:tcBorders>
            <w:noWrap w:val="0"/>
            <w:vAlign w:val="center"/>
          </w:tcPr>
          <w:p w14:paraId="48681D98">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4CE618BA">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5989C6A9">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1000≤Y＜200000</w:t>
            </w:r>
          </w:p>
        </w:tc>
        <w:tc>
          <w:tcPr>
            <w:tcW w:w="1877" w:type="dxa"/>
            <w:tcBorders>
              <w:top w:val="nil"/>
              <w:left w:val="nil"/>
              <w:bottom w:val="single" w:color="auto" w:sz="4" w:space="0"/>
              <w:right w:val="single" w:color="auto" w:sz="4" w:space="0"/>
            </w:tcBorders>
            <w:noWrap w:val="0"/>
            <w:vAlign w:val="center"/>
          </w:tcPr>
          <w:p w14:paraId="7B8F7167">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100≤X＜1000</w:t>
            </w:r>
          </w:p>
        </w:tc>
        <w:tc>
          <w:tcPr>
            <w:tcW w:w="1134" w:type="dxa"/>
            <w:tcBorders>
              <w:top w:val="nil"/>
              <w:left w:val="nil"/>
              <w:bottom w:val="single" w:color="auto" w:sz="4" w:space="0"/>
              <w:right w:val="single" w:color="auto" w:sz="4" w:space="0"/>
            </w:tcBorders>
            <w:noWrap w:val="0"/>
            <w:vAlign w:val="center"/>
          </w:tcPr>
          <w:p w14:paraId="1AD47644">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X＜100</w:t>
            </w:r>
          </w:p>
        </w:tc>
      </w:tr>
      <w:tr w14:paraId="3A262C76">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15471D3E">
            <w:pPr>
              <w:widowControl/>
              <w:snapToGrid w:val="0"/>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6875B421">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资产总额（Z）</w:t>
            </w:r>
          </w:p>
        </w:tc>
        <w:tc>
          <w:tcPr>
            <w:tcW w:w="1466" w:type="dxa"/>
            <w:tcBorders>
              <w:top w:val="nil"/>
              <w:left w:val="nil"/>
              <w:bottom w:val="single" w:color="auto" w:sz="4" w:space="0"/>
              <w:right w:val="single" w:color="auto" w:sz="4" w:space="0"/>
            </w:tcBorders>
            <w:noWrap w:val="0"/>
            <w:vAlign w:val="center"/>
          </w:tcPr>
          <w:p w14:paraId="4E6EB0C4">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4075B8B3">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5000≤Z＜10000</w:t>
            </w:r>
          </w:p>
        </w:tc>
        <w:tc>
          <w:tcPr>
            <w:tcW w:w="1877" w:type="dxa"/>
            <w:tcBorders>
              <w:top w:val="nil"/>
              <w:left w:val="nil"/>
              <w:bottom w:val="single" w:color="auto" w:sz="4" w:space="0"/>
              <w:right w:val="single" w:color="auto" w:sz="4" w:space="0"/>
            </w:tcBorders>
            <w:noWrap w:val="0"/>
            <w:vAlign w:val="center"/>
          </w:tcPr>
          <w:p w14:paraId="7F5C2EEB">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2000≤Y＜5000</w:t>
            </w:r>
          </w:p>
        </w:tc>
        <w:tc>
          <w:tcPr>
            <w:tcW w:w="1134" w:type="dxa"/>
            <w:tcBorders>
              <w:top w:val="nil"/>
              <w:left w:val="nil"/>
              <w:bottom w:val="single" w:color="auto" w:sz="4" w:space="0"/>
              <w:right w:val="single" w:color="auto" w:sz="4" w:space="0"/>
            </w:tcBorders>
            <w:noWrap w:val="0"/>
            <w:vAlign w:val="center"/>
          </w:tcPr>
          <w:p w14:paraId="27E3A186">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Y＜2000</w:t>
            </w:r>
          </w:p>
        </w:tc>
      </w:tr>
      <w:tr w14:paraId="1E552D67">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12370A40">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物业管理</w:t>
            </w:r>
          </w:p>
        </w:tc>
        <w:tc>
          <w:tcPr>
            <w:tcW w:w="1660" w:type="dxa"/>
            <w:tcBorders>
              <w:top w:val="nil"/>
              <w:left w:val="nil"/>
              <w:bottom w:val="single" w:color="auto" w:sz="4" w:space="0"/>
              <w:right w:val="single" w:color="auto" w:sz="4" w:space="0"/>
            </w:tcBorders>
            <w:noWrap w:val="0"/>
            <w:vAlign w:val="center"/>
          </w:tcPr>
          <w:p w14:paraId="66D35E46">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15E5127C">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7FFEBEE9">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300≤X＜1000</w:t>
            </w:r>
          </w:p>
        </w:tc>
        <w:tc>
          <w:tcPr>
            <w:tcW w:w="1877" w:type="dxa"/>
            <w:tcBorders>
              <w:top w:val="nil"/>
              <w:left w:val="nil"/>
              <w:bottom w:val="single" w:color="auto" w:sz="4" w:space="0"/>
              <w:right w:val="single" w:color="auto" w:sz="4" w:space="0"/>
            </w:tcBorders>
            <w:noWrap w:val="0"/>
            <w:vAlign w:val="center"/>
          </w:tcPr>
          <w:p w14:paraId="613E6988">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100≤X＜300</w:t>
            </w:r>
          </w:p>
        </w:tc>
        <w:tc>
          <w:tcPr>
            <w:tcW w:w="1134" w:type="dxa"/>
            <w:tcBorders>
              <w:top w:val="nil"/>
              <w:left w:val="nil"/>
              <w:bottom w:val="single" w:color="auto" w:sz="4" w:space="0"/>
              <w:right w:val="single" w:color="auto" w:sz="4" w:space="0"/>
            </w:tcBorders>
            <w:noWrap w:val="0"/>
            <w:vAlign w:val="center"/>
          </w:tcPr>
          <w:p w14:paraId="6AF021CA">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X＜100</w:t>
            </w:r>
          </w:p>
        </w:tc>
      </w:tr>
      <w:tr w14:paraId="6FE2D757">
        <w:tblPrEx>
          <w:tblCellMar>
            <w:top w:w="0" w:type="dxa"/>
            <w:left w:w="108" w:type="dxa"/>
            <w:bottom w:w="0" w:type="dxa"/>
            <w:right w:w="108" w:type="dxa"/>
          </w:tblCellMar>
        </w:tblPrEx>
        <w:trPr>
          <w:trHeight w:val="90"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217E8AC9">
            <w:pPr>
              <w:widowControl/>
              <w:snapToGrid w:val="0"/>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214E2BE7">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3D59FB7E">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6E8A8AA5">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1000≤Y＜5000</w:t>
            </w:r>
          </w:p>
        </w:tc>
        <w:tc>
          <w:tcPr>
            <w:tcW w:w="1877" w:type="dxa"/>
            <w:tcBorders>
              <w:top w:val="nil"/>
              <w:left w:val="nil"/>
              <w:bottom w:val="single" w:color="auto" w:sz="4" w:space="0"/>
              <w:right w:val="single" w:color="auto" w:sz="4" w:space="0"/>
            </w:tcBorders>
            <w:noWrap w:val="0"/>
            <w:vAlign w:val="center"/>
          </w:tcPr>
          <w:p w14:paraId="40621CF1">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500≤Y＜1000</w:t>
            </w:r>
          </w:p>
        </w:tc>
        <w:tc>
          <w:tcPr>
            <w:tcW w:w="1134" w:type="dxa"/>
            <w:tcBorders>
              <w:top w:val="nil"/>
              <w:left w:val="nil"/>
              <w:bottom w:val="single" w:color="auto" w:sz="4" w:space="0"/>
              <w:right w:val="single" w:color="auto" w:sz="4" w:space="0"/>
            </w:tcBorders>
            <w:noWrap w:val="0"/>
            <w:vAlign w:val="center"/>
          </w:tcPr>
          <w:p w14:paraId="0BDD813D">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Y＜500</w:t>
            </w:r>
          </w:p>
        </w:tc>
      </w:tr>
      <w:tr w14:paraId="73A1CBDE">
        <w:tblPrEx>
          <w:tblCellMar>
            <w:top w:w="0" w:type="dxa"/>
            <w:left w:w="108" w:type="dxa"/>
            <w:bottom w:w="0" w:type="dxa"/>
            <w:right w:w="108" w:type="dxa"/>
          </w:tblCellMar>
        </w:tblPrEx>
        <w:trPr>
          <w:trHeight w:val="242"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6919865A">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租赁和商务服务业</w:t>
            </w:r>
          </w:p>
        </w:tc>
        <w:tc>
          <w:tcPr>
            <w:tcW w:w="1660" w:type="dxa"/>
            <w:tcBorders>
              <w:top w:val="nil"/>
              <w:left w:val="nil"/>
              <w:bottom w:val="single" w:color="auto" w:sz="4" w:space="0"/>
              <w:right w:val="single" w:color="auto" w:sz="4" w:space="0"/>
            </w:tcBorders>
            <w:noWrap w:val="0"/>
            <w:vAlign w:val="center"/>
          </w:tcPr>
          <w:p w14:paraId="36BDDEA8">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11B62A46">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2D4E81ED">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100≤X＜300</w:t>
            </w:r>
          </w:p>
        </w:tc>
        <w:tc>
          <w:tcPr>
            <w:tcW w:w="1877" w:type="dxa"/>
            <w:tcBorders>
              <w:top w:val="nil"/>
              <w:left w:val="nil"/>
              <w:bottom w:val="single" w:color="auto" w:sz="4" w:space="0"/>
              <w:right w:val="single" w:color="auto" w:sz="4" w:space="0"/>
            </w:tcBorders>
            <w:noWrap w:val="0"/>
            <w:vAlign w:val="center"/>
          </w:tcPr>
          <w:p w14:paraId="463EA90A">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10≤X＜100</w:t>
            </w:r>
          </w:p>
        </w:tc>
        <w:tc>
          <w:tcPr>
            <w:tcW w:w="1134" w:type="dxa"/>
            <w:tcBorders>
              <w:top w:val="nil"/>
              <w:left w:val="nil"/>
              <w:bottom w:val="single" w:color="auto" w:sz="4" w:space="0"/>
              <w:right w:val="single" w:color="auto" w:sz="4" w:space="0"/>
            </w:tcBorders>
            <w:noWrap w:val="0"/>
            <w:vAlign w:val="center"/>
          </w:tcPr>
          <w:p w14:paraId="011DF94A">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w:t>
            </w:r>
          </w:p>
        </w:tc>
      </w:tr>
      <w:tr w14:paraId="5A53DF0C">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526039C8">
            <w:pPr>
              <w:widowControl/>
              <w:snapToGrid w:val="0"/>
              <w:contextualSpacing/>
              <w:jc w:val="center"/>
              <w:rPr>
                <w:rFonts w:hint="eastAsia" w:ascii="宋体" w:hAnsi="宋体" w:eastAsia="宋体" w:cs="宋体"/>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64E801F5">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资产总额（Z）</w:t>
            </w:r>
          </w:p>
        </w:tc>
        <w:tc>
          <w:tcPr>
            <w:tcW w:w="1466" w:type="dxa"/>
            <w:tcBorders>
              <w:top w:val="nil"/>
              <w:left w:val="nil"/>
              <w:bottom w:val="single" w:color="auto" w:sz="4" w:space="0"/>
              <w:right w:val="single" w:color="auto" w:sz="4" w:space="0"/>
            </w:tcBorders>
            <w:noWrap w:val="0"/>
            <w:vAlign w:val="center"/>
          </w:tcPr>
          <w:p w14:paraId="0EDD650F">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03ECD51F">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8000≤Z＜120000</w:t>
            </w:r>
          </w:p>
        </w:tc>
        <w:tc>
          <w:tcPr>
            <w:tcW w:w="1877" w:type="dxa"/>
            <w:tcBorders>
              <w:top w:val="nil"/>
              <w:left w:val="nil"/>
              <w:bottom w:val="single" w:color="auto" w:sz="4" w:space="0"/>
              <w:right w:val="single" w:color="auto" w:sz="4" w:space="0"/>
            </w:tcBorders>
            <w:noWrap w:val="0"/>
            <w:vAlign w:val="center"/>
          </w:tcPr>
          <w:p w14:paraId="00236BB5">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100≤Z＜8000</w:t>
            </w:r>
          </w:p>
        </w:tc>
        <w:tc>
          <w:tcPr>
            <w:tcW w:w="1134" w:type="dxa"/>
            <w:tcBorders>
              <w:top w:val="nil"/>
              <w:left w:val="nil"/>
              <w:bottom w:val="single" w:color="auto" w:sz="4" w:space="0"/>
              <w:right w:val="single" w:color="auto" w:sz="4" w:space="0"/>
            </w:tcBorders>
            <w:noWrap w:val="0"/>
            <w:vAlign w:val="center"/>
          </w:tcPr>
          <w:p w14:paraId="00BD3AF4">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w:t>
            </w:r>
          </w:p>
        </w:tc>
      </w:tr>
      <w:tr w14:paraId="1A6EEE69">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noWrap w:val="0"/>
            <w:vAlign w:val="center"/>
          </w:tcPr>
          <w:p w14:paraId="650A51A6">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其他未列明行业</w:t>
            </w:r>
          </w:p>
        </w:tc>
        <w:tc>
          <w:tcPr>
            <w:tcW w:w="1660" w:type="dxa"/>
            <w:tcBorders>
              <w:top w:val="nil"/>
              <w:left w:val="nil"/>
              <w:bottom w:val="single" w:color="auto" w:sz="4" w:space="0"/>
              <w:right w:val="single" w:color="auto" w:sz="4" w:space="0"/>
            </w:tcBorders>
            <w:noWrap w:val="0"/>
            <w:vAlign w:val="center"/>
          </w:tcPr>
          <w:p w14:paraId="52659BC4">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26811549">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01AF3EE1">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100≤X＜300</w:t>
            </w:r>
          </w:p>
        </w:tc>
        <w:tc>
          <w:tcPr>
            <w:tcW w:w="1877" w:type="dxa"/>
            <w:tcBorders>
              <w:top w:val="nil"/>
              <w:left w:val="nil"/>
              <w:bottom w:val="single" w:color="auto" w:sz="4" w:space="0"/>
              <w:right w:val="single" w:color="auto" w:sz="4" w:space="0"/>
            </w:tcBorders>
            <w:noWrap w:val="0"/>
            <w:vAlign w:val="center"/>
          </w:tcPr>
          <w:p w14:paraId="7F29452C">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10≤X＜100</w:t>
            </w:r>
          </w:p>
        </w:tc>
        <w:tc>
          <w:tcPr>
            <w:tcW w:w="1134" w:type="dxa"/>
            <w:tcBorders>
              <w:top w:val="nil"/>
              <w:left w:val="nil"/>
              <w:bottom w:val="single" w:color="auto" w:sz="4" w:space="0"/>
              <w:right w:val="single" w:color="auto" w:sz="4" w:space="0"/>
            </w:tcBorders>
            <w:noWrap w:val="0"/>
            <w:vAlign w:val="center"/>
          </w:tcPr>
          <w:p w14:paraId="02B2050C">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w:t>
            </w:r>
          </w:p>
        </w:tc>
      </w:tr>
    </w:tbl>
    <w:p w14:paraId="181541E6">
      <w:pPr>
        <w:keepNext w:val="0"/>
        <w:keepLines w:val="0"/>
        <w:widowControl/>
        <w:suppressLineNumbers w:val="0"/>
        <w:jc w:val="left"/>
        <w:rPr>
          <w:rFonts w:hint="eastAsia" w:hAnsi="宋体" w:cs="宋体"/>
          <w:color w:val="auto"/>
          <w:sz w:val="24"/>
          <w:szCs w:val="24"/>
          <w:highlight w:val="none"/>
        </w:rPr>
        <w:sectPr>
          <w:footerReference r:id="rId9" w:type="first"/>
          <w:headerReference r:id="rId6" w:type="default"/>
          <w:footerReference r:id="rId7" w:type="default"/>
          <w:footerReference r:id="rId8" w:type="even"/>
          <w:pgSz w:w="11906" w:h="16838"/>
          <w:pgMar w:top="1474" w:right="1701" w:bottom="1474" w:left="1701" w:header="851" w:footer="992" w:gutter="0"/>
          <w:pgBorders>
            <w:top w:val="none" w:sz="0" w:space="0"/>
            <w:left w:val="none" w:sz="0" w:space="0"/>
            <w:bottom w:val="none" w:sz="0" w:space="0"/>
            <w:right w:val="none" w:sz="0" w:space="0"/>
          </w:pgBorders>
          <w:pgNumType w:fmt="decimal"/>
          <w:cols w:space="720" w:num="1"/>
          <w:docGrid w:type="linesAndChars" w:linePitch="312" w:charSpace="0"/>
        </w:sectPr>
      </w:pPr>
      <w:r>
        <w:rPr>
          <w:rFonts w:hint="eastAsia" w:ascii="宋体" w:hAnsi="宋体" w:eastAsia="宋体" w:cs="宋体"/>
          <w:b/>
          <w:color w:val="auto"/>
          <w:sz w:val="24"/>
          <w:szCs w:val="24"/>
          <w:highlight w:val="none"/>
        </w:rPr>
        <w:t>说明：</w:t>
      </w:r>
      <w:r>
        <w:rPr>
          <w:rFonts w:hint="eastAsia" w:ascii="宋体" w:hAnsi="宋体" w:eastAsia="宋体" w:cs="宋体"/>
          <w:color w:val="auto"/>
          <w:sz w:val="24"/>
          <w:szCs w:val="24"/>
          <w:highlight w:val="none"/>
        </w:rPr>
        <w:t>上述标准参照</w:t>
      </w:r>
      <w:r>
        <w:rPr>
          <w:rFonts w:hint="eastAsia" w:ascii="宋体" w:hAnsi="宋体" w:eastAsia="宋体" w:cs="宋体"/>
          <w:color w:val="auto"/>
          <w:sz w:val="24"/>
          <w:szCs w:val="24"/>
          <w:highlight w:val="none"/>
          <w:lang w:val="en-US" w:eastAsia="zh-CN"/>
        </w:rPr>
        <w:t>《中华人民共和国中小企业促进法》和《国务院关于进一步促进中小企业发展的若干意见》(国发(2022)36号)，</w:t>
      </w:r>
      <w:r>
        <w:rPr>
          <w:rFonts w:hint="eastAsia" w:ascii="宋体" w:hAnsi="宋体" w:eastAsia="宋体" w:cs="宋体"/>
          <w:color w:val="auto"/>
          <w:sz w:val="24"/>
          <w:szCs w:val="24"/>
          <w:highlight w:val="none"/>
        </w:rPr>
        <w:t>大型、中型和小型企业须同时满足所列指标的下限，否则下划一档；微型企业只须满足所列指标中的一项即可</w:t>
      </w:r>
    </w:p>
    <w:p w14:paraId="127BAF56">
      <w:pPr>
        <w:pStyle w:val="4"/>
        <w:ind w:left="1918" w:leftChars="684" w:hanging="482" w:hangingChars="200"/>
        <w:rPr>
          <w:rFonts w:hint="eastAsia" w:ascii="宋体" w:hAnsi="宋体" w:eastAsia="宋体" w:cs="宋体"/>
          <w:b/>
          <w:color w:val="auto"/>
          <w:kern w:val="0"/>
          <w:sz w:val="24"/>
          <w:szCs w:val="20"/>
          <w:highlight w:val="none"/>
        </w:rPr>
      </w:pPr>
      <w:r>
        <w:rPr>
          <w:rFonts w:hint="eastAsia" w:ascii="宋体" w:hAnsi="宋体" w:eastAsia="宋体" w:cs="宋体"/>
          <w:b/>
          <w:color w:val="auto"/>
          <w:kern w:val="0"/>
          <w:sz w:val="24"/>
          <w:szCs w:val="20"/>
          <w:highlight w:val="none"/>
        </w:rPr>
        <w:t> </w:t>
      </w:r>
    </w:p>
    <w:p w14:paraId="4D3FB8F2">
      <w:pPr>
        <w:pStyle w:val="3"/>
        <w:spacing w:before="0" w:line="600" w:lineRule="auto"/>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7、实施方案</w:t>
      </w:r>
    </w:p>
    <w:p w14:paraId="09FD93D1">
      <w:pPr>
        <w:pStyle w:val="3"/>
        <w:spacing w:before="0" w:line="600" w:lineRule="auto"/>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8、进度安排</w:t>
      </w:r>
    </w:p>
    <w:p w14:paraId="3F7E59F6">
      <w:pPr>
        <w:pStyle w:val="3"/>
        <w:spacing w:before="0" w:line="600" w:lineRule="auto"/>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9、质量保证措施</w:t>
      </w:r>
    </w:p>
    <w:p w14:paraId="559C7E92">
      <w:pPr>
        <w:pStyle w:val="3"/>
        <w:spacing w:before="0" w:line="600" w:lineRule="auto"/>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10、质量保证措施</w:t>
      </w:r>
    </w:p>
    <w:p w14:paraId="3E68D51B">
      <w:pPr>
        <w:pStyle w:val="3"/>
        <w:spacing w:before="0" w:line="600" w:lineRule="auto"/>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11、备品备件</w:t>
      </w:r>
    </w:p>
    <w:p w14:paraId="45A2B8ED">
      <w:pPr>
        <w:pStyle w:val="3"/>
        <w:spacing w:before="0" w:line="600" w:lineRule="auto"/>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12、售后服务</w:t>
      </w:r>
    </w:p>
    <w:p w14:paraId="3F5221F7">
      <w:pPr>
        <w:pStyle w:val="3"/>
        <w:spacing w:before="0" w:line="600" w:lineRule="auto"/>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13、业绩（格式自拟）</w:t>
      </w:r>
    </w:p>
    <w:p w14:paraId="7359C13E">
      <w:pPr>
        <w:pStyle w:val="3"/>
        <w:spacing w:before="0" w:line="600" w:lineRule="auto"/>
        <w:jc w:val="both"/>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14、投标单位认为应提供的其他资料</w:t>
      </w:r>
    </w:p>
    <w:p w14:paraId="4FA94695">
      <w:pPr>
        <w:pStyle w:val="13"/>
        <w:spacing w:line="360" w:lineRule="exact"/>
        <w:outlineLvl w:val="2"/>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r>
        <w:rPr>
          <w:rFonts w:hint="eastAsia" w:ascii="宋体" w:hAnsi="宋体" w:eastAsia="宋体" w:cs="宋体"/>
          <w:b/>
          <w:color w:val="auto"/>
          <w:kern w:val="0"/>
          <w:sz w:val="24"/>
          <w:szCs w:val="20"/>
          <w:highlight w:val="none"/>
          <w:lang w:val="en-US" w:eastAsia="zh-CN"/>
        </w:rPr>
        <w:t>投标</w:t>
      </w:r>
      <w:r>
        <w:rPr>
          <w:rFonts w:hint="eastAsia" w:ascii="宋体" w:hAnsi="宋体" w:eastAsia="宋体" w:cs="宋体"/>
          <w:b/>
          <w:color w:val="auto"/>
          <w:kern w:val="0"/>
          <w:sz w:val="24"/>
          <w:szCs w:val="20"/>
          <w:highlight w:val="none"/>
          <w:lang w:eastAsia="zh-CN"/>
        </w:rPr>
        <w:t>文件</w:t>
      </w:r>
      <w:r>
        <w:rPr>
          <w:rFonts w:hint="eastAsia" w:ascii="宋体" w:hAnsi="宋体" w:eastAsia="宋体" w:cs="宋体"/>
          <w:b/>
          <w:color w:val="auto"/>
          <w:kern w:val="0"/>
          <w:sz w:val="24"/>
          <w:szCs w:val="20"/>
          <w:highlight w:val="none"/>
        </w:rPr>
        <w:t>格式范本</w:t>
      </w:r>
    </w:p>
    <w:p w14:paraId="7685F37E">
      <w:pPr>
        <w:spacing w:line="240" w:lineRule="atLeast"/>
        <w:outlineLvl w:val="2"/>
        <w:rPr>
          <w:rFonts w:hint="eastAsia" w:ascii="宋体" w:hAnsi="宋体" w:eastAsia="宋体" w:cs="宋体"/>
          <w:b/>
          <w:color w:val="auto"/>
          <w:kern w:val="0"/>
          <w:sz w:val="24"/>
          <w:szCs w:val="20"/>
          <w:highlight w:val="none"/>
        </w:rPr>
      </w:pPr>
    </w:p>
    <w:tbl>
      <w:tblPr>
        <w:tblStyle w:val="33"/>
        <w:tblpPr w:leftFromText="180" w:rightFromText="180" w:vertAnchor="text" w:horzAnchor="page" w:tblpX="2052" w:tblpY="275"/>
        <w:tblOverlap w:val="never"/>
        <w:tblW w:w="0" w:type="auto"/>
        <w:tblInd w:w="0" w:type="dxa"/>
        <w:tblBorders>
          <w:top w:val="double" w:color="666699" w:sz="4" w:space="0"/>
          <w:left w:val="double" w:color="666699" w:sz="4" w:space="0"/>
          <w:bottom w:val="double" w:color="666699" w:sz="4" w:space="0"/>
          <w:right w:val="double" w:color="666699" w:sz="4" w:space="0"/>
          <w:insideH w:val="double" w:color="666699" w:sz="4" w:space="0"/>
          <w:insideV w:val="double" w:color="666699" w:sz="4" w:space="0"/>
        </w:tblBorders>
        <w:shd w:val="clear" w:color="auto" w:fill="FCFEEA"/>
        <w:tblLayout w:type="fixed"/>
        <w:tblCellMar>
          <w:top w:w="0" w:type="dxa"/>
          <w:left w:w="108" w:type="dxa"/>
          <w:bottom w:w="0" w:type="dxa"/>
          <w:right w:w="108" w:type="dxa"/>
        </w:tblCellMar>
      </w:tblPr>
      <w:tblGrid>
        <w:gridCol w:w="8060"/>
      </w:tblGrid>
      <w:tr w14:paraId="46250F6A">
        <w:tblPrEx>
          <w:tblBorders>
            <w:top w:val="double" w:color="666699" w:sz="4" w:space="0"/>
            <w:left w:val="double" w:color="666699" w:sz="4" w:space="0"/>
            <w:bottom w:val="double" w:color="666699" w:sz="4" w:space="0"/>
            <w:right w:val="double" w:color="666699" w:sz="4" w:space="0"/>
            <w:insideH w:val="double" w:color="666699" w:sz="4" w:space="0"/>
            <w:insideV w:val="double" w:color="666699" w:sz="4" w:space="0"/>
          </w:tblBorders>
          <w:tblCellMar>
            <w:top w:w="0" w:type="dxa"/>
            <w:left w:w="108" w:type="dxa"/>
            <w:bottom w:w="0" w:type="dxa"/>
            <w:right w:w="108" w:type="dxa"/>
          </w:tblCellMar>
        </w:tblPrEx>
        <w:trPr>
          <w:trHeight w:val="11733" w:hRule="atLeast"/>
        </w:trPr>
        <w:tc>
          <w:tcPr>
            <w:tcW w:w="8060" w:type="dxa"/>
            <w:shd w:val="clear" w:color="auto" w:fill="FCFEEA"/>
            <w:noWrap w:val="0"/>
            <w:vAlign w:val="top"/>
          </w:tcPr>
          <w:p w14:paraId="3E8B98C2">
            <w:pPr>
              <w:pStyle w:val="9"/>
              <w:jc w:val="right"/>
              <w:rPr>
                <w:rFonts w:hint="eastAsia" w:ascii="宋体" w:hAnsi="宋体" w:eastAsia="宋体" w:cs="宋体"/>
                <w:b/>
                <w:bCs/>
                <w:color w:val="auto"/>
                <w:sz w:val="28"/>
                <w:szCs w:val="28"/>
                <w:highlight w:val="none"/>
              </w:rPr>
            </w:pPr>
          </w:p>
          <w:p w14:paraId="6997EE8D">
            <w:pPr>
              <w:pStyle w:val="9"/>
              <w:ind w:firstLine="4216" w:firstLineChars="1500"/>
              <w:rPr>
                <w:rFonts w:hint="eastAsia" w:ascii="宋体" w:hAnsi="宋体" w:eastAsia="宋体" w:cs="宋体"/>
                <w:b/>
                <w:bCs/>
                <w:color w:val="auto"/>
                <w:sz w:val="28"/>
                <w:szCs w:val="28"/>
                <w:highlight w:val="none"/>
              </w:rPr>
            </w:pPr>
          </w:p>
          <w:p w14:paraId="52C1165D">
            <w:pPr>
              <w:pStyle w:val="9"/>
              <w:ind w:firstLine="4216" w:firstLineChars="1500"/>
              <w:rPr>
                <w:rFonts w:hint="eastAsia" w:ascii="宋体" w:hAnsi="宋体" w:eastAsia="宋体" w:cs="宋体"/>
                <w:b/>
                <w:bCs/>
                <w:color w:val="auto"/>
                <w:sz w:val="28"/>
                <w:szCs w:val="28"/>
                <w:highlight w:val="none"/>
              </w:rPr>
            </w:pPr>
          </w:p>
          <w:p w14:paraId="139D4535">
            <w:pPr>
              <w:pStyle w:val="9"/>
              <w:rPr>
                <w:rFonts w:hint="eastAsia" w:ascii="宋体" w:hAnsi="宋体" w:eastAsia="宋体" w:cs="宋体"/>
                <w:b/>
                <w:bCs/>
                <w:color w:val="auto"/>
                <w:sz w:val="28"/>
                <w:szCs w:val="28"/>
                <w:highlight w:val="none"/>
              </w:rPr>
            </w:pPr>
          </w:p>
          <w:p w14:paraId="1062F614">
            <w:pPr>
              <w:pStyle w:val="9"/>
              <w:ind w:firstLine="2530" w:firstLineChars="900"/>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 *** *** *** ***   项目</w:t>
            </w:r>
          </w:p>
          <w:p w14:paraId="60D2B20E">
            <w:pPr>
              <w:pStyle w:val="9"/>
              <w:jc w:val="center"/>
              <w:rPr>
                <w:rFonts w:hint="eastAsia" w:ascii="宋体" w:hAnsi="宋体" w:eastAsia="宋体" w:cs="宋体"/>
                <w:b/>
                <w:bCs/>
                <w:color w:val="auto"/>
                <w:sz w:val="21"/>
                <w:szCs w:val="21"/>
                <w:highlight w:val="none"/>
              </w:rPr>
            </w:pPr>
          </w:p>
          <w:p w14:paraId="7D8F6F80">
            <w:pPr>
              <w:pStyle w:val="9"/>
              <w:ind w:firstLine="3162" w:firstLineChars="1500"/>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rPr>
              <w:t>编号</w:t>
            </w:r>
            <w:r>
              <w:rPr>
                <w:rFonts w:hint="eastAsia" w:ascii="宋体" w:hAnsi="宋体" w:eastAsia="宋体" w:cs="宋体"/>
                <w:b/>
                <w:bCs/>
                <w:color w:val="auto"/>
                <w:sz w:val="21"/>
                <w:szCs w:val="21"/>
                <w:highlight w:val="none"/>
                <w:lang w:val="en-US" w:eastAsia="zh-CN"/>
              </w:rPr>
              <w:t>*****************</w:t>
            </w:r>
          </w:p>
          <w:p w14:paraId="05D925DC">
            <w:pPr>
              <w:pStyle w:val="9"/>
              <w:jc w:val="center"/>
              <w:rPr>
                <w:rFonts w:hint="eastAsia" w:ascii="宋体" w:hAnsi="宋体" w:eastAsia="宋体" w:cs="宋体"/>
                <w:b/>
                <w:bCs/>
                <w:color w:val="auto"/>
                <w:sz w:val="48"/>
                <w:highlight w:val="none"/>
              </w:rPr>
            </w:pPr>
          </w:p>
          <w:p w14:paraId="477A59C2">
            <w:pPr>
              <w:pStyle w:val="9"/>
              <w:jc w:val="center"/>
              <w:rPr>
                <w:rFonts w:hint="eastAsia" w:ascii="宋体" w:hAnsi="宋体" w:eastAsia="宋体" w:cs="宋体"/>
                <w:b/>
                <w:bCs/>
                <w:color w:val="auto"/>
                <w:sz w:val="48"/>
                <w:highlight w:val="none"/>
              </w:rPr>
            </w:pPr>
            <w:r>
              <w:rPr>
                <w:rFonts w:hint="eastAsia" w:ascii="宋体" w:hAnsi="宋体" w:eastAsia="宋体" w:cs="宋体"/>
                <w:b/>
                <w:bCs/>
                <w:color w:val="auto"/>
                <w:sz w:val="48"/>
                <w:highlight w:val="none"/>
                <w:lang w:val="en-US" w:eastAsia="zh-CN"/>
              </w:rPr>
              <w:t>投标</w:t>
            </w:r>
            <w:r>
              <w:rPr>
                <w:rFonts w:hint="eastAsia" w:ascii="宋体" w:hAnsi="宋体" w:eastAsia="宋体" w:cs="宋体"/>
                <w:b/>
                <w:bCs/>
                <w:color w:val="auto"/>
                <w:sz w:val="48"/>
                <w:highlight w:val="none"/>
                <w:lang w:eastAsia="zh-CN"/>
              </w:rPr>
              <w:t>文件</w:t>
            </w:r>
          </w:p>
          <w:p w14:paraId="41591191">
            <w:pPr>
              <w:jc w:val="center"/>
              <w:rPr>
                <w:rFonts w:hint="eastAsia" w:ascii="宋体" w:hAnsi="宋体" w:eastAsia="宋体" w:cs="宋体"/>
                <w:b/>
                <w:color w:val="auto"/>
                <w:sz w:val="32"/>
                <w:highlight w:val="none"/>
              </w:rPr>
            </w:pPr>
          </w:p>
          <w:p w14:paraId="749C6B6C">
            <w:pPr>
              <w:pStyle w:val="4"/>
              <w:rPr>
                <w:rFonts w:hint="eastAsia" w:ascii="宋体" w:hAnsi="宋体" w:eastAsia="宋体" w:cs="宋体"/>
                <w:b/>
                <w:color w:val="auto"/>
                <w:sz w:val="32"/>
                <w:highlight w:val="none"/>
              </w:rPr>
            </w:pPr>
          </w:p>
          <w:p w14:paraId="20D4F736">
            <w:pPr>
              <w:pStyle w:val="4"/>
              <w:rPr>
                <w:rFonts w:hint="eastAsia" w:ascii="宋体" w:hAnsi="宋体" w:eastAsia="宋体" w:cs="宋体"/>
                <w:b/>
                <w:color w:val="auto"/>
                <w:sz w:val="32"/>
                <w:highlight w:val="none"/>
              </w:rPr>
            </w:pPr>
          </w:p>
          <w:p w14:paraId="207E3221">
            <w:pPr>
              <w:spacing w:line="360" w:lineRule="auto"/>
              <w:ind w:left="176" w:leftChars="84" w:firstLine="840" w:firstLineChars="4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投标单位：（公章）</w:t>
            </w:r>
          </w:p>
          <w:p w14:paraId="17EC2352">
            <w:pPr>
              <w:spacing w:line="360" w:lineRule="auto"/>
              <w:ind w:left="176" w:leftChars="84" w:firstLine="840" w:firstLineChars="4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项目名称：</w:t>
            </w:r>
          </w:p>
          <w:p w14:paraId="7E5D9785">
            <w:pPr>
              <w:spacing w:line="360" w:lineRule="auto"/>
              <w:ind w:left="176" w:leftChars="84" w:firstLine="840" w:firstLineChars="4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项目编号：</w:t>
            </w:r>
          </w:p>
          <w:p w14:paraId="606377E8">
            <w:pPr>
              <w:spacing w:line="360" w:lineRule="auto"/>
              <w:ind w:left="176" w:leftChars="84" w:firstLine="840" w:firstLineChars="4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联系人：</w:t>
            </w:r>
          </w:p>
          <w:p w14:paraId="0E58523E">
            <w:pPr>
              <w:spacing w:line="360" w:lineRule="auto"/>
              <w:ind w:left="176" w:leftChars="84" w:firstLine="840" w:firstLineChars="4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电话：</w:t>
            </w:r>
          </w:p>
          <w:p w14:paraId="67C239BA">
            <w:pPr>
              <w:spacing w:line="360" w:lineRule="auto"/>
              <w:ind w:left="176" w:leftChars="84" w:firstLine="840" w:firstLineChars="4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地址：</w:t>
            </w:r>
          </w:p>
          <w:p w14:paraId="02F837CB">
            <w:pPr>
              <w:spacing w:line="360" w:lineRule="auto"/>
              <w:ind w:left="176" w:leftChars="84" w:firstLine="960" w:firstLineChars="400"/>
              <w:rPr>
                <w:rFonts w:hint="eastAsia" w:ascii="宋体" w:hAnsi="宋体" w:eastAsia="宋体" w:cs="宋体"/>
                <w:color w:val="auto"/>
                <w:sz w:val="24"/>
                <w:highlight w:val="none"/>
              </w:rPr>
            </w:pPr>
          </w:p>
          <w:p w14:paraId="533DE958">
            <w:pPr>
              <w:jc w:val="center"/>
              <w:rPr>
                <w:rFonts w:hint="eastAsia" w:ascii="宋体" w:hAnsi="宋体" w:eastAsia="宋体" w:cs="宋体"/>
                <w:b/>
                <w:bCs/>
                <w:color w:val="auto"/>
                <w:highlight w:val="none"/>
              </w:rPr>
            </w:pPr>
          </w:p>
          <w:p w14:paraId="7128E306">
            <w:pPr>
              <w:jc w:val="center"/>
              <w:rPr>
                <w:rFonts w:hint="eastAsia" w:ascii="宋体" w:hAnsi="宋体" w:eastAsia="宋体" w:cs="宋体"/>
                <w:b/>
                <w:bCs/>
                <w:color w:val="auto"/>
                <w:highlight w:val="none"/>
              </w:rPr>
            </w:pPr>
          </w:p>
          <w:p w14:paraId="23C4602C">
            <w:pPr>
              <w:jc w:val="center"/>
              <w:rPr>
                <w:rFonts w:hint="eastAsia" w:ascii="宋体" w:hAnsi="宋体" w:eastAsia="宋体" w:cs="宋体"/>
                <w:b/>
                <w:bCs/>
                <w:color w:val="auto"/>
                <w:highlight w:val="none"/>
              </w:rPr>
            </w:pPr>
          </w:p>
        </w:tc>
      </w:tr>
    </w:tbl>
    <w:p w14:paraId="661CDAB0">
      <w:pPr>
        <w:pStyle w:val="4"/>
        <w:rPr>
          <w:rFonts w:hint="eastAsia" w:ascii="宋体" w:hAnsi="宋体" w:eastAsia="宋体" w:cs="宋体"/>
          <w:color w:val="auto"/>
          <w:highlight w:val="none"/>
        </w:rPr>
      </w:pPr>
    </w:p>
    <w:p w14:paraId="4C939B71">
      <w:pPr>
        <w:spacing w:line="240" w:lineRule="atLeast"/>
        <w:ind w:left="1080" w:leftChars="257" w:hanging="540"/>
        <w:jc w:val="center"/>
        <w:rPr>
          <w:rFonts w:hint="eastAsia" w:ascii="宋体" w:hAnsi="宋体" w:eastAsia="宋体" w:cs="宋体"/>
          <w:b/>
          <w:color w:val="auto"/>
          <w:sz w:val="48"/>
          <w:szCs w:val="48"/>
          <w:highlight w:val="none"/>
        </w:rPr>
      </w:pPr>
    </w:p>
    <w:p w14:paraId="37182B72">
      <w:pPr>
        <w:spacing w:line="240" w:lineRule="atLeast"/>
        <w:ind w:left="1080" w:leftChars="257" w:hanging="540"/>
        <w:jc w:val="center"/>
        <w:rPr>
          <w:rFonts w:hint="eastAsia" w:ascii="宋体" w:hAnsi="宋体" w:eastAsia="宋体" w:cs="宋体"/>
          <w:b/>
          <w:color w:val="auto"/>
          <w:sz w:val="48"/>
          <w:szCs w:val="48"/>
          <w:highlight w:val="none"/>
        </w:rPr>
      </w:pPr>
    </w:p>
    <w:p w14:paraId="60258C76">
      <w:pPr>
        <w:spacing w:line="240" w:lineRule="atLeast"/>
        <w:ind w:left="1080" w:leftChars="257" w:hanging="540"/>
        <w:jc w:val="center"/>
        <w:rPr>
          <w:rFonts w:hint="eastAsia" w:ascii="宋体" w:hAnsi="宋体" w:eastAsia="宋体" w:cs="宋体"/>
          <w:b/>
          <w:color w:val="auto"/>
          <w:sz w:val="48"/>
          <w:szCs w:val="48"/>
          <w:highlight w:val="none"/>
        </w:rPr>
      </w:pPr>
    </w:p>
    <w:p w14:paraId="7EDA39CD">
      <w:pPr>
        <w:spacing w:line="240" w:lineRule="atLeast"/>
        <w:ind w:left="1080" w:leftChars="257" w:hanging="540"/>
        <w:jc w:val="center"/>
        <w:rPr>
          <w:rFonts w:hint="eastAsia" w:ascii="宋体" w:hAnsi="宋体" w:eastAsia="宋体" w:cs="宋体"/>
          <w:b/>
          <w:color w:val="auto"/>
          <w:sz w:val="48"/>
          <w:szCs w:val="48"/>
          <w:highlight w:val="none"/>
        </w:rPr>
      </w:pPr>
    </w:p>
    <w:p w14:paraId="415BD735">
      <w:pPr>
        <w:pStyle w:val="4"/>
        <w:rPr>
          <w:rFonts w:hint="eastAsia" w:ascii="宋体" w:hAnsi="宋体" w:eastAsia="宋体" w:cs="宋体"/>
          <w:b/>
          <w:color w:val="auto"/>
          <w:sz w:val="48"/>
          <w:szCs w:val="48"/>
          <w:highlight w:val="none"/>
        </w:rPr>
      </w:pPr>
    </w:p>
    <w:p w14:paraId="440F7FAC">
      <w:pPr>
        <w:pStyle w:val="4"/>
        <w:rPr>
          <w:rFonts w:hint="eastAsia" w:ascii="宋体" w:hAnsi="宋体" w:eastAsia="宋体" w:cs="宋体"/>
          <w:b/>
          <w:color w:val="auto"/>
          <w:sz w:val="48"/>
          <w:szCs w:val="48"/>
          <w:highlight w:val="none"/>
        </w:rPr>
      </w:pPr>
    </w:p>
    <w:p w14:paraId="372A0849">
      <w:pPr>
        <w:pStyle w:val="4"/>
        <w:rPr>
          <w:rFonts w:hint="eastAsia" w:ascii="宋体" w:hAnsi="宋体" w:eastAsia="宋体" w:cs="宋体"/>
          <w:b/>
          <w:color w:val="auto"/>
          <w:sz w:val="48"/>
          <w:szCs w:val="48"/>
          <w:highlight w:val="none"/>
        </w:rPr>
      </w:pPr>
    </w:p>
    <w:p w14:paraId="76742A72">
      <w:pPr>
        <w:pStyle w:val="4"/>
        <w:rPr>
          <w:rFonts w:hint="eastAsia" w:ascii="宋体" w:hAnsi="宋体" w:eastAsia="宋体" w:cs="宋体"/>
          <w:b/>
          <w:color w:val="auto"/>
          <w:sz w:val="48"/>
          <w:szCs w:val="48"/>
          <w:highlight w:val="none"/>
        </w:rPr>
      </w:pPr>
    </w:p>
    <w:p w14:paraId="101AE6EE">
      <w:pPr>
        <w:spacing w:line="240" w:lineRule="atLeast"/>
        <w:ind w:left="1080" w:leftChars="257" w:hanging="540"/>
        <w:jc w:val="center"/>
        <w:rPr>
          <w:rFonts w:hint="eastAsia" w:ascii="宋体" w:hAnsi="宋体" w:eastAsia="宋体" w:cs="宋体"/>
          <w:b/>
          <w:color w:val="auto"/>
          <w:sz w:val="48"/>
          <w:szCs w:val="48"/>
          <w:highlight w:val="none"/>
        </w:rPr>
      </w:pPr>
    </w:p>
    <w:p w14:paraId="4B6F4E8E">
      <w:pPr>
        <w:spacing w:line="240" w:lineRule="atLeast"/>
        <w:ind w:left="1080" w:leftChars="257" w:hanging="540"/>
        <w:jc w:val="center"/>
        <w:rPr>
          <w:rFonts w:hint="eastAsia" w:ascii="宋体" w:hAnsi="宋体" w:eastAsia="宋体" w:cs="宋体"/>
          <w:b/>
          <w:color w:val="auto"/>
          <w:sz w:val="48"/>
          <w:szCs w:val="48"/>
          <w:highlight w:val="none"/>
        </w:rPr>
      </w:pPr>
      <w:r>
        <w:rPr>
          <w:rFonts w:hint="eastAsia" w:ascii="宋体" w:hAnsi="宋体" w:eastAsia="宋体" w:cs="宋体"/>
          <w:b/>
          <w:color w:val="auto"/>
          <w:sz w:val="48"/>
          <w:szCs w:val="48"/>
          <w:highlight w:val="none"/>
        </w:rPr>
        <w:t>第二册</w:t>
      </w:r>
    </w:p>
    <w:p w14:paraId="55FE1323">
      <w:pPr>
        <w:spacing w:line="240" w:lineRule="atLeast"/>
        <w:ind w:left="1080" w:leftChars="257" w:hanging="540"/>
        <w:rPr>
          <w:rFonts w:hint="eastAsia" w:ascii="宋体" w:hAnsi="宋体" w:eastAsia="宋体" w:cs="宋体"/>
          <w:b/>
          <w:color w:val="auto"/>
          <w:sz w:val="28"/>
          <w:highlight w:val="none"/>
        </w:rPr>
      </w:pPr>
    </w:p>
    <w:p w14:paraId="39F94850">
      <w:pPr>
        <w:spacing w:line="240" w:lineRule="atLeast"/>
        <w:ind w:left="1080" w:leftChars="257" w:hanging="540"/>
        <w:rPr>
          <w:rFonts w:hint="eastAsia" w:ascii="宋体" w:hAnsi="宋体" w:eastAsia="宋体" w:cs="宋体"/>
          <w:b/>
          <w:color w:val="auto"/>
          <w:sz w:val="28"/>
          <w:highlight w:val="none"/>
        </w:rPr>
      </w:pPr>
    </w:p>
    <w:p w14:paraId="3E8FB26C">
      <w:pPr>
        <w:spacing w:line="240" w:lineRule="atLeast"/>
        <w:ind w:left="1080" w:leftChars="257" w:hanging="540"/>
        <w:rPr>
          <w:rFonts w:hint="eastAsia" w:ascii="宋体" w:hAnsi="宋体" w:eastAsia="宋体" w:cs="宋体"/>
          <w:b/>
          <w:color w:val="auto"/>
          <w:sz w:val="28"/>
          <w:highlight w:val="none"/>
        </w:rPr>
      </w:pPr>
    </w:p>
    <w:p w14:paraId="0FA16863">
      <w:pPr>
        <w:spacing w:line="240" w:lineRule="atLeast"/>
        <w:ind w:left="1080" w:leftChars="257" w:hanging="540"/>
        <w:rPr>
          <w:rFonts w:hint="eastAsia" w:ascii="宋体" w:hAnsi="宋体" w:eastAsia="宋体" w:cs="宋体"/>
          <w:b/>
          <w:color w:val="auto"/>
          <w:sz w:val="28"/>
          <w:highlight w:val="none"/>
        </w:rPr>
      </w:pPr>
    </w:p>
    <w:p w14:paraId="25DA3A12">
      <w:pPr>
        <w:spacing w:line="240" w:lineRule="atLeast"/>
        <w:ind w:left="1080" w:leftChars="257" w:hanging="540"/>
        <w:jc w:val="center"/>
        <w:rPr>
          <w:rFonts w:hint="eastAsia" w:ascii="宋体" w:hAnsi="宋体" w:eastAsia="宋体" w:cs="宋体"/>
          <w:b/>
          <w:color w:val="auto"/>
          <w:sz w:val="52"/>
          <w:highlight w:val="none"/>
        </w:rPr>
      </w:pPr>
    </w:p>
    <w:p w14:paraId="1D7A2A88">
      <w:pPr>
        <w:spacing w:line="240" w:lineRule="atLeast"/>
        <w:ind w:left="1080" w:leftChars="257" w:hanging="540"/>
        <w:jc w:val="center"/>
        <w:rPr>
          <w:rFonts w:hint="eastAsia" w:ascii="宋体" w:hAnsi="宋体" w:eastAsia="宋体" w:cs="宋体"/>
          <w:b/>
          <w:color w:val="auto"/>
          <w:sz w:val="52"/>
          <w:highlight w:val="none"/>
        </w:rPr>
      </w:pPr>
    </w:p>
    <w:p w14:paraId="1ACC05AC">
      <w:pPr>
        <w:spacing w:line="240" w:lineRule="atLeast"/>
        <w:ind w:left="1080" w:leftChars="257" w:hanging="540"/>
        <w:jc w:val="center"/>
        <w:rPr>
          <w:rFonts w:hint="eastAsia" w:ascii="宋体" w:hAnsi="宋体" w:eastAsia="宋体" w:cs="宋体"/>
          <w:b/>
          <w:color w:val="auto"/>
          <w:sz w:val="52"/>
          <w:highlight w:val="none"/>
        </w:rPr>
      </w:pPr>
    </w:p>
    <w:p w14:paraId="705C297F">
      <w:pPr>
        <w:spacing w:line="240" w:lineRule="atLeast"/>
        <w:ind w:left="1080" w:leftChars="257" w:hanging="540"/>
        <w:jc w:val="center"/>
        <w:rPr>
          <w:rFonts w:hint="eastAsia" w:ascii="宋体" w:hAnsi="宋体" w:eastAsia="宋体" w:cs="宋体"/>
          <w:b/>
          <w:color w:val="auto"/>
          <w:sz w:val="52"/>
          <w:highlight w:val="none"/>
        </w:rPr>
      </w:pPr>
    </w:p>
    <w:p w14:paraId="2F1FBCCD">
      <w:pPr>
        <w:spacing w:line="240" w:lineRule="atLeast"/>
        <w:rPr>
          <w:rFonts w:hint="eastAsia" w:ascii="宋体" w:hAnsi="宋体" w:eastAsia="宋体" w:cs="宋体"/>
          <w:b/>
          <w:color w:val="auto"/>
          <w:sz w:val="52"/>
          <w:highlight w:val="none"/>
        </w:rPr>
      </w:pPr>
    </w:p>
    <w:p w14:paraId="68BFE5B1">
      <w:pPr>
        <w:pStyle w:val="4"/>
        <w:rPr>
          <w:rFonts w:hint="eastAsia" w:ascii="宋体" w:hAnsi="宋体" w:eastAsia="宋体" w:cs="宋体"/>
          <w:b/>
          <w:color w:val="auto"/>
          <w:sz w:val="52"/>
          <w:highlight w:val="none"/>
        </w:rPr>
      </w:pPr>
    </w:p>
    <w:p w14:paraId="4E557BA7">
      <w:pPr>
        <w:pStyle w:val="7"/>
        <w:rPr>
          <w:rFonts w:hint="eastAsia" w:ascii="宋体" w:hAnsi="宋体" w:eastAsia="宋体" w:cs="宋体"/>
          <w:b/>
          <w:color w:val="auto"/>
          <w:sz w:val="52"/>
          <w:highlight w:val="none"/>
        </w:rPr>
      </w:pPr>
    </w:p>
    <w:p w14:paraId="2B900939">
      <w:pPr>
        <w:rPr>
          <w:rFonts w:hint="eastAsia" w:ascii="宋体" w:hAnsi="宋体" w:eastAsia="宋体" w:cs="宋体"/>
          <w:color w:val="auto"/>
          <w:highlight w:val="none"/>
        </w:rPr>
      </w:pPr>
    </w:p>
    <w:p w14:paraId="167C9ECF">
      <w:pPr>
        <w:pStyle w:val="4"/>
        <w:rPr>
          <w:rFonts w:hint="eastAsia" w:ascii="宋体" w:hAnsi="宋体" w:eastAsia="宋体" w:cs="宋体"/>
          <w:b/>
          <w:color w:val="auto"/>
          <w:sz w:val="52"/>
          <w:highlight w:val="none"/>
        </w:rPr>
      </w:pPr>
    </w:p>
    <w:p w14:paraId="5E0774DD">
      <w:pPr>
        <w:pStyle w:val="4"/>
        <w:rPr>
          <w:rFonts w:hint="eastAsia" w:ascii="宋体" w:hAnsi="宋体" w:eastAsia="宋体" w:cs="宋体"/>
          <w:b/>
          <w:color w:val="auto"/>
          <w:sz w:val="52"/>
          <w:highlight w:val="none"/>
        </w:rPr>
      </w:pPr>
    </w:p>
    <w:p w14:paraId="27D2AC4C">
      <w:pPr>
        <w:pStyle w:val="2"/>
        <w:numPr>
          <w:ilvl w:val="0"/>
          <w:numId w:val="0"/>
        </w:numPr>
        <w:tabs>
          <w:tab w:val="left" w:pos="0"/>
        </w:tabs>
        <w:spacing w:before="0" w:after="0" w:line="240" w:lineRule="atLeast"/>
        <w:ind w:leftChars="0"/>
        <w:jc w:val="center"/>
        <w:rPr>
          <w:rFonts w:hint="eastAsia" w:ascii="宋体" w:hAnsi="宋体" w:eastAsia="宋体" w:cs="宋体"/>
          <w:color w:val="auto"/>
          <w:sz w:val="32"/>
          <w:szCs w:val="32"/>
          <w:highlight w:val="none"/>
          <w:lang w:eastAsia="zh-CN"/>
        </w:rPr>
      </w:pPr>
      <w:r>
        <w:rPr>
          <w:rFonts w:hint="eastAsia" w:ascii="宋体" w:hAnsi="宋体" w:eastAsia="宋体" w:cs="宋体"/>
          <w:color w:val="auto"/>
          <w:sz w:val="28"/>
          <w:szCs w:val="18"/>
          <w:highlight w:val="none"/>
          <w:lang w:val="en-US" w:eastAsia="zh-CN"/>
        </w:rPr>
        <w:t>第3章  招标公告</w:t>
      </w:r>
    </w:p>
    <w:p w14:paraId="51DAF9E9">
      <w:pPr>
        <w:pStyle w:val="83"/>
        <w:keepNext w:val="0"/>
        <w:keepLines w:val="0"/>
        <w:pageBreakBefore w:val="0"/>
        <w:widowControl/>
        <w:kinsoku/>
        <w:wordWrap/>
        <w:overflowPunct/>
        <w:topLinePunct w:val="0"/>
        <w:autoSpaceDE/>
        <w:autoSpaceDN/>
        <w:bidi w:val="0"/>
        <w:adjustRightInd/>
        <w:snapToGrid/>
        <w:spacing w:line="280" w:lineRule="exact"/>
        <w:textAlignment w:val="auto"/>
        <w:rPr>
          <w:rFonts w:hint="eastAsia" w:ascii="宋体" w:hAnsi="宋体" w:eastAsia="宋体" w:cs="宋体"/>
          <w:color w:val="auto"/>
          <w:highlight w:val="none"/>
        </w:rPr>
      </w:pPr>
      <w:r>
        <w:rPr>
          <w:rFonts w:hint="eastAsia" w:ascii="宋体" w:hAnsi="宋体" w:eastAsia="宋体" w:cs="宋体"/>
          <w:b/>
          <w:bCs/>
          <w:color w:val="auto"/>
          <w:highlight w:val="none"/>
        </w:rPr>
        <w:t>一、项目基本情况</w:t>
      </w:r>
    </w:p>
    <w:p w14:paraId="1F1D939F">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default" w:ascii="宋体" w:hAnsi="宋体" w:eastAsia="宋体" w:cs="宋体"/>
          <w:color w:val="auto"/>
          <w:highlight w:val="none"/>
          <w:lang w:val="en-US" w:eastAsia="zh-CN"/>
        </w:rPr>
      </w:pPr>
      <w:r>
        <w:rPr>
          <w:rFonts w:hint="eastAsia" w:ascii="宋体" w:hAnsi="宋体" w:eastAsia="宋体" w:cs="宋体"/>
          <w:color w:val="auto"/>
          <w:highlight w:val="none"/>
        </w:rPr>
        <w:t>项目编号：</w:t>
      </w:r>
      <w:r>
        <w:rPr>
          <w:rFonts w:hint="eastAsia" w:ascii="宋体" w:hAnsi="宋体" w:cs="宋体"/>
          <w:color w:val="auto"/>
          <w:highlight w:val="none"/>
          <w:lang w:val="en-US" w:eastAsia="zh-CN"/>
        </w:rPr>
        <w:t>XJZGZ（GK）2025-01</w:t>
      </w:r>
    </w:p>
    <w:p w14:paraId="064D5B06">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项目名称：</w:t>
      </w:r>
      <w:r>
        <w:rPr>
          <w:rFonts w:hint="eastAsia" w:ascii="宋体" w:hAnsi="宋体" w:cs="宋体"/>
          <w:color w:val="auto"/>
          <w:highlight w:val="none"/>
          <w:lang w:eastAsia="zh-CN"/>
        </w:rPr>
        <w:t>新疆维吾尔自治区地质局喀什地质大队2025年度专业地质设备采购项目</w:t>
      </w:r>
      <w:r>
        <w:rPr>
          <w:rFonts w:hint="eastAsia" w:ascii="宋体" w:hAnsi="宋体" w:eastAsia="宋体" w:cs="宋体"/>
          <w:color w:val="auto"/>
          <w:highlight w:val="none"/>
        </w:rPr>
        <w:t> </w:t>
      </w:r>
    </w:p>
    <w:p w14:paraId="34F5EED2">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采购方式：</w:t>
      </w:r>
      <w:r>
        <w:rPr>
          <w:rFonts w:hint="eastAsia" w:ascii="宋体" w:hAnsi="宋体" w:eastAsia="宋体" w:cs="宋体"/>
          <w:color w:val="auto"/>
          <w:highlight w:val="none"/>
          <w:lang w:val="en-US" w:eastAsia="zh-CN"/>
        </w:rPr>
        <w:t>公开招标</w:t>
      </w:r>
      <w:r>
        <w:rPr>
          <w:rFonts w:hint="eastAsia" w:ascii="宋体" w:hAnsi="宋体" w:eastAsia="宋体" w:cs="宋体"/>
          <w:color w:val="auto"/>
          <w:highlight w:val="none"/>
        </w:rPr>
        <w:t> </w:t>
      </w:r>
    </w:p>
    <w:p w14:paraId="73392270">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预算金额（元）：</w:t>
      </w:r>
      <w:r>
        <w:rPr>
          <w:rFonts w:hint="eastAsia" w:ascii="宋体" w:hAnsi="宋体" w:cs="宋体"/>
          <w:color w:val="auto"/>
          <w:kern w:val="0"/>
          <w:sz w:val="24"/>
          <w:szCs w:val="24"/>
          <w:highlight w:val="none"/>
          <w:lang w:val="en-US" w:eastAsia="zh-CN" w:bidi="ar"/>
        </w:rPr>
        <w:t>2549210.00</w:t>
      </w:r>
      <w:r>
        <w:rPr>
          <w:rFonts w:hint="eastAsia" w:ascii="宋体" w:hAnsi="宋体" w:eastAsia="宋体" w:cs="宋体"/>
          <w:color w:val="auto"/>
          <w:highlight w:val="none"/>
        </w:rPr>
        <w:t>  </w:t>
      </w:r>
    </w:p>
    <w:p w14:paraId="3EF91C26">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default" w:ascii="宋体" w:hAnsi="宋体" w:eastAsia="宋体" w:cs="宋体"/>
          <w:color w:val="auto"/>
          <w:highlight w:val="none"/>
          <w:lang w:val="en-US" w:eastAsia="zh-CN"/>
        </w:rPr>
      </w:pPr>
      <w:r>
        <w:rPr>
          <w:rFonts w:hint="eastAsia" w:ascii="宋体" w:hAnsi="宋体" w:eastAsia="宋体" w:cs="宋体"/>
          <w:color w:val="auto"/>
          <w:highlight w:val="none"/>
        </w:rPr>
        <w:t>最高限价（元）：</w:t>
      </w:r>
      <w:r>
        <w:rPr>
          <w:rFonts w:hint="eastAsia" w:ascii="宋体" w:hAnsi="宋体" w:cs="宋体"/>
          <w:color w:val="auto"/>
          <w:kern w:val="0"/>
          <w:sz w:val="24"/>
          <w:szCs w:val="24"/>
          <w:highlight w:val="none"/>
          <w:lang w:val="en-US" w:eastAsia="zh-CN" w:bidi="ar"/>
        </w:rPr>
        <w:t>1139820.00</w:t>
      </w:r>
      <w:r>
        <w:rPr>
          <w:rFonts w:hint="eastAsia" w:ascii="宋体" w:hAnsi="宋体" w:cs="宋体"/>
          <w:color w:val="auto"/>
          <w:highlight w:val="none"/>
          <w:lang w:eastAsia="zh-CN"/>
        </w:rPr>
        <w:t>，</w:t>
      </w:r>
      <w:r>
        <w:rPr>
          <w:rFonts w:hint="eastAsia" w:ascii="宋体" w:hAnsi="宋体" w:cs="宋体"/>
          <w:color w:val="auto"/>
          <w:highlight w:val="none"/>
          <w:lang w:val="en-US" w:eastAsia="zh-CN"/>
        </w:rPr>
        <w:t>659390.00，750000.00</w:t>
      </w:r>
    </w:p>
    <w:p w14:paraId="6A84C512">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采购需求：</w:t>
      </w:r>
    </w:p>
    <w:p w14:paraId="28D5ADB6">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标项一</w:t>
      </w:r>
    </w:p>
    <w:p w14:paraId="32B18F79">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标项</w:t>
      </w:r>
      <w:r>
        <w:rPr>
          <w:rFonts w:hint="eastAsia" w:ascii="宋体" w:hAnsi="宋体" w:eastAsia="宋体" w:cs="宋体"/>
          <w:color w:val="auto"/>
          <w:highlight w:val="none"/>
        </w:rPr>
        <w:t>名称：</w:t>
      </w:r>
      <w:r>
        <w:rPr>
          <w:rFonts w:hint="eastAsia" w:ascii="宋体" w:hAnsi="宋体" w:cs="宋体"/>
          <w:color w:val="auto"/>
          <w:highlight w:val="none"/>
          <w:lang w:eastAsia="zh-CN"/>
        </w:rPr>
        <w:t>新疆维吾尔自治区地质局喀什地质大队2025年度专业地质设备采购项目（</w:t>
      </w:r>
      <w:r>
        <w:rPr>
          <w:rFonts w:hint="eastAsia" w:ascii="宋体" w:hAnsi="宋体" w:cs="宋体"/>
          <w:color w:val="auto"/>
          <w:highlight w:val="none"/>
          <w:lang w:val="en-US" w:eastAsia="zh-CN"/>
        </w:rPr>
        <w:t>第一包</w:t>
      </w:r>
      <w:r>
        <w:rPr>
          <w:rFonts w:hint="eastAsia" w:ascii="宋体" w:hAnsi="宋体" w:cs="宋体"/>
          <w:color w:val="auto"/>
          <w:highlight w:val="none"/>
          <w:lang w:eastAsia="zh-CN"/>
        </w:rPr>
        <w:t>）</w:t>
      </w:r>
      <w:r>
        <w:rPr>
          <w:rFonts w:hint="eastAsia" w:ascii="宋体" w:hAnsi="宋体" w:eastAsia="宋体" w:cs="宋体"/>
          <w:color w:val="auto"/>
          <w:highlight w:val="none"/>
        </w:rPr>
        <w:t> </w:t>
      </w:r>
    </w:p>
    <w:p w14:paraId="2FBE1F1C">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数量:1</w:t>
      </w:r>
    </w:p>
    <w:p w14:paraId="29665393">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eastAsia" w:ascii="宋体" w:hAnsi="宋体" w:cs="宋体"/>
          <w:color w:val="auto"/>
          <w:kern w:val="0"/>
          <w:sz w:val="24"/>
          <w:szCs w:val="24"/>
          <w:highlight w:val="none"/>
          <w:lang w:val="en-US" w:eastAsia="zh-CN" w:bidi="ar"/>
        </w:rPr>
      </w:pPr>
      <w:r>
        <w:rPr>
          <w:rFonts w:hint="eastAsia" w:ascii="宋体" w:hAnsi="宋体" w:eastAsia="宋体" w:cs="宋体"/>
          <w:color w:val="auto"/>
          <w:highlight w:val="none"/>
        </w:rPr>
        <w:t>预算金额（元）:</w:t>
      </w:r>
      <w:r>
        <w:rPr>
          <w:rFonts w:hint="eastAsia" w:ascii="宋体" w:hAnsi="宋体" w:cs="宋体"/>
          <w:color w:val="auto"/>
          <w:kern w:val="0"/>
          <w:sz w:val="24"/>
          <w:szCs w:val="24"/>
          <w:highlight w:val="none"/>
          <w:lang w:val="en-US" w:eastAsia="zh-CN" w:bidi="ar"/>
        </w:rPr>
        <w:t>1139820.00</w:t>
      </w:r>
    </w:p>
    <w:p w14:paraId="0823BAA1">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default" w:ascii="宋体" w:hAnsi="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单位：批</w:t>
      </w:r>
    </w:p>
    <w:p w14:paraId="13D826CE">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rPr>
        <w:t>简要规格描述或项目基本概况介绍、用途：物探仪器</w:t>
      </w:r>
      <w:r>
        <w:rPr>
          <w:rFonts w:hint="eastAsia" w:ascii="宋体" w:hAnsi="宋体" w:eastAsia="宋体" w:cs="宋体"/>
          <w:color w:val="auto"/>
          <w:highlight w:val="none"/>
          <w:lang w:val="en-US" w:eastAsia="zh-CN"/>
        </w:rPr>
        <w:t>设备</w:t>
      </w:r>
      <w:r>
        <w:rPr>
          <w:rFonts w:hint="eastAsia" w:ascii="宋体" w:hAnsi="宋体" w:eastAsia="宋体" w:cs="宋体"/>
          <w:color w:val="auto"/>
          <w:highlight w:val="none"/>
          <w:lang w:eastAsia="zh-CN"/>
        </w:rPr>
        <w:t>。</w:t>
      </w:r>
    </w:p>
    <w:p w14:paraId="63689EAA">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标项</w:t>
      </w:r>
      <w:r>
        <w:rPr>
          <w:rFonts w:hint="eastAsia" w:ascii="宋体" w:hAnsi="宋体" w:eastAsia="宋体" w:cs="宋体"/>
          <w:color w:val="auto"/>
          <w:highlight w:val="none"/>
          <w:lang w:val="en-US" w:eastAsia="zh-CN"/>
        </w:rPr>
        <w:t>二</w:t>
      </w:r>
    </w:p>
    <w:p w14:paraId="79170CD8">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标项</w:t>
      </w:r>
      <w:r>
        <w:rPr>
          <w:rFonts w:hint="eastAsia" w:ascii="宋体" w:hAnsi="宋体" w:eastAsia="宋体" w:cs="宋体"/>
          <w:color w:val="auto"/>
          <w:highlight w:val="none"/>
        </w:rPr>
        <w:t>名称：</w:t>
      </w:r>
      <w:r>
        <w:rPr>
          <w:rFonts w:hint="eastAsia" w:ascii="宋体" w:hAnsi="宋体" w:cs="宋体"/>
          <w:color w:val="auto"/>
          <w:highlight w:val="none"/>
          <w:lang w:eastAsia="zh-CN"/>
        </w:rPr>
        <w:t>新疆维吾尔自治区地质局喀什地质大队2025年度专业地质设备采购项目（</w:t>
      </w:r>
      <w:r>
        <w:rPr>
          <w:rFonts w:hint="eastAsia" w:ascii="宋体" w:hAnsi="宋体" w:cs="宋体"/>
          <w:color w:val="auto"/>
          <w:highlight w:val="none"/>
          <w:lang w:val="en-US" w:eastAsia="zh-CN"/>
        </w:rPr>
        <w:t>第二包</w:t>
      </w:r>
      <w:r>
        <w:rPr>
          <w:rFonts w:hint="eastAsia" w:ascii="宋体" w:hAnsi="宋体" w:cs="宋体"/>
          <w:color w:val="auto"/>
          <w:highlight w:val="none"/>
          <w:lang w:eastAsia="zh-CN"/>
        </w:rPr>
        <w:t>）</w:t>
      </w:r>
      <w:r>
        <w:rPr>
          <w:rFonts w:hint="eastAsia" w:ascii="宋体" w:hAnsi="宋体" w:eastAsia="宋体" w:cs="宋体"/>
          <w:color w:val="auto"/>
          <w:highlight w:val="none"/>
        </w:rPr>
        <w:t> </w:t>
      </w:r>
    </w:p>
    <w:p w14:paraId="4E2E9EB7">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数量:1</w:t>
      </w:r>
    </w:p>
    <w:p w14:paraId="2D3199E7">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eastAsia" w:ascii="宋体" w:hAnsi="宋体" w:cs="宋体"/>
          <w:color w:val="auto"/>
          <w:highlight w:val="none"/>
          <w:lang w:val="en-US" w:eastAsia="zh-CN"/>
        </w:rPr>
      </w:pPr>
      <w:r>
        <w:rPr>
          <w:rFonts w:hint="eastAsia" w:ascii="宋体" w:hAnsi="宋体" w:eastAsia="宋体" w:cs="宋体"/>
          <w:color w:val="auto"/>
          <w:highlight w:val="none"/>
        </w:rPr>
        <w:t>预算金额（元）:</w:t>
      </w:r>
      <w:r>
        <w:rPr>
          <w:rFonts w:hint="eastAsia" w:ascii="宋体" w:hAnsi="宋体" w:cs="宋体"/>
          <w:color w:val="auto"/>
          <w:highlight w:val="none"/>
          <w:lang w:val="en-US" w:eastAsia="zh-CN"/>
        </w:rPr>
        <w:t>659390.00</w:t>
      </w:r>
    </w:p>
    <w:p w14:paraId="53ED1CAA">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eastAsia" w:ascii="宋体" w:hAnsi="宋体" w:cs="宋体"/>
          <w:color w:val="auto"/>
          <w:highlight w:val="none"/>
          <w:lang w:val="en-US" w:eastAsia="zh-CN"/>
        </w:rPr>
      </w:pPr>
      <w:r>
        <w:rPr>
          <w:rFonts w:hint="eastAsia" w:ascii="宋体" w:hAnsi="宋体" w:cs="宋体"/>
          <w:color w:val="auto"/>
          <w:kern w:val="0"/>
          <w:sz w:val="24"/>
          <w:szCs w:val="24"/>
          <w:highlight w:val="none"/>
          <w:lang w:val="en-US" w:eastAsia="zh-CN" w:bidi="ar"/>
        </w:rPr>
        <w:t>单位：批</w:t>
      </w:r>
    </w:p>
    <w:p w14:paraId="0004DE64">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rPr>
        <w:t>简要规格描述或项目基本概况介绍、用途：地质仪器</w:t>
      </w:r>
      <w:r>
        <w:rPr>
          <w:rFonts w:hint="eastAsia" w:ascii="宋体" w:hAnsi="宋体" w:eastAsia="宋体" w:cs="宋体"/>
          <w:color w:val="auto"/>
          <w:highlight w:val="none"/>
          <w:lang w:val="en-US" w:eastAsia="zh-CN"/>
        </w:rPr>
        <w:t>设备</w:t>
      </w:r>
      <w:r>
        <w:rPr>
          <w:rFonts w:hint="eastAsia" w:ascii="宋体" w:hAnsi="宋体" w:eastAsia="宋体" w:cs="宋体"/>
          <w:color w:val="auto"/>
          <w:highlight w:val="none"/>
          <w:lang w:eastAsia="zh-CN"/>
        </w:rPr>
        <w:t>。</w:t>
      </w:r>
    </w:p>
    <w:p w14:paraId="5E23EFD1">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标项</w:t>
      </w:r>
      <w:r>
        <w:rPr>
          <w:rFonts w:hint="eastAsia" w:ascii="宋体" w:hAnsi="宋体" w:eastAsia="宋体" w:cs="宋体"/>
          <w:color w:val="auto"/>
          <w:highlight w:val="none"/>
          <w:lang w:val="en-US" w:eastAsia="zh-CN"/>
        </w:rPr>
        <w:t>三</w:t>
      </w:r>
    </w:p>
    <w:p w14:paraId="3E48EB1E">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标项</w:t>
      </w:r>
      <w:r>
        <w:rPr>
          <w:rFonts w:hint="eastAsia" w:ascii="宋体" w:hAnsi="宋体" w:eastAsia="宋体" w:cs="宋体"/>
          <w:color w:val="auto"/>
          <w:highlight w:val="none"/>
        </w:rPr>
        <w:t>名称：</w:t>
      </w:r>
      <w:r>
        <w:rPr>
          <w:rFonts w:hint="eastAsia" w:ascii="宋体" w:hAnsi="宋体" w:cs="宋体"/>
          <w:color w:val="auto"/>
          <w:highlight w:val="none"/>
          <w:lang w:eastAsia="zh-CN"/>
        </w:rPr>
        <w:t>新疆维吾尔自治区地质局喀什地质大队2025年度专业地质设备采购项目（</w:t>
      </w:r>
      <w:r>
        <w:rPr>
          <w:rFonts w:hint="eastAsia" w:ascii="宋体" w:hAnsi="宋体" w:cs="宋体"/>
          <w:color w:val="auto"/>
          <w:highlight w:val="none"/>
          <w:lang w:val="en-US" w:eastAsia="zh-CN"/>
        </w:rPr>
        <w:t>第三包</w:t>
      </w:r>
      <w:r>
        <w:rPr>
          <w:rFonts w:hint="eastAsia" w:ascii="宋体" w:hAnsi="宋体" w:cs="宋体"/>
          <w:color w:val="auto"/>
          <w:highlight w:val="none"/>
          <w:lang w:eastAsia="zh-CN"/>
        </w:rPr>
        <w:t>）</w:t>
      </w:r>
      <w:r>
        <w:rPr>
          <w:rFonts w:hint="eastAsia" w:ascii="宋体" w:hAnsi="宋体" w:eastAsia="宋体" w:cs="宋体"/>
          <w:color w:val="auto"/>
          <w:highlight w:val="none"/>
        </w:rPr>
        <w:t> </w:t>
      </w:r>
    </w:p>
    <w:p w14:paraId="06B4E435">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数量:1</w:t>
      </w:r>
    </w:p>
    <w:p w14:paraId="725F14EA">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eastAsia" w:ascii="宋体" w:hAnsi="宋体" w:cs="宋体"/>
          <w:color w:val="auto"/>
          <w:highlight w:val="none"/>
          <w:lang w:val="en-US" w:eastAsia="zh-CN"/>
        </w:rPr>
      </w:pPr>
      <w:r>
        <w:rPr>
          <w:rFonts w:hint="eastAsia" w:ascii="宋体" w:hAnsi="宋体" w:eastAsia="宋体" w:cs="宋体"/>
          <w:color w:val="auto"/>
          <w:highlight w:val="none"/>
        </w:rPr>
        <w:t>预算金额（元）:</w:t>
      </w:r>
      <w:r>
        <w:rPr>
          <w:rFonts w:hint="eastAsia" w:ascii="宋体" w:hAnsi="宋体" w:cs="宋体"/>
          <w:color w:val="auto"/>
          <w:highlight w:val="none"/>
          <w:lang w:val="en-US" w:eastAsia="zh-CN"/>
        </w:rPr>
        <w:t>750000.00</w:t>
      </w:r>
    </w:p>
    <w:p w14:paraId="45B88B2B">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eastAsia" w:ascii="宋体" w:hAnsi="宋体" w:cs="宋体"/>
          <w:color w:val="auto"/>
          <w:highlight w:val="none"/>
          <w:lang w:val="en-US" w:eastAsia="zh-CN"/>
        </w:rPr>
      </w:pPr>
      <w:r>
        <w:rPr>
          <w:rFonts w:hint="eastAsia" w:ascii="宋体" w:hAnsi="宋体" w:cs="宋体"/>
          <w:color w:val="auto"/>
          <w:kern w:val="0"/>
          <w:sz w:val="24"/>
          <w:szCs w:val="24"/>
          <w:highlight w:val="none"/>
          <w:lang w:val="en-US" w:eastAsia="zh-CN" w:bidi="ar"/>
        </w:rPr>
        <w:t>单位：批</w:t>
      </w:r>
    </w:p>
    <w:p w14:paraId="2732AAAA">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rPr>
        <w:t>简要规格描述或项目基本概况介绍、用途：钻探</w:t>
      </w:r>
      <w:r>
        <w:rPr>
          <w:rFonts w:hint="eastAsia" w:ascii="宋体" w:hAnsi="宋体" w:eastAsia="宋体" w:cs="宋体"/>
          <w:color w:val="auto"/>
          <w:highlight w:val="none"/>
          <w:lang w:val="en-US" w:eastAsia="zh-CN"/>
        </w:rPr>
        <w:t>设备</w:t>
      </w:r>
      <w:r>
        <w:rPr>
          <w:rFonts w:hint="eastAsia" w:ascii="宋体" w:hAnsi="宋体" w:eastAsia="宋体" w:cs="宋体"/>
          <w:color w:val="auto"/>
          <w:highlight w:val="none"/>
          <w:lang w:eastAsia="zh-CN"/>
        </w:rPr>
        <w:t>。</w:t>
      </w:r>
    </w:p>
    <w:p w14:paraId="72B065D1">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合同履约期限：标项1</w:t>
      </w:r>
      <w:r>
        <w:rPr>
          <w:rFonts w:hint="eastAsia" w:ascii="宋体" w:hAnsi="宋体" w:cs="宋体"/>
          <w:color w:val="auto"/>
          <w:highlight w:val="none"/>
          <w:lang w:eastAsia="zh-CN"/>
        </w:rPr>
        <w:t>、</w:t>
      </w:r>
      <w:r>
        <w:rPr>
          <w:rFonts w:hint="eastAsia" w:ascii="宋体" w:hAnsi="宋体" w:cs="宋体"/>
          <w:color w:val="auto"/>
          <w:highlight w:val="none"/>
          <w:lang w:val="en-US" w:eastAsia="zh-CN"/>
        </w:rPr>
        <w:t>2、3</w:t>
      </w: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详见招标文件</w:t>
      </w:r>
    </w:p>
    <w:p w14:paraId="5A21512B">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本项目（否）接受联合体投标。  </w:t>
      </w:r>
    </w:p>
    <w:p w14:paraId="7DC107E8">
      <w:pPr>
        <w:pStyle w:val="83"/>
        <w:keepNext w:val="0"/>
        <w:keepLines w:val="0"/>
        <w:pageBreakBefore w:val="0"/>
        <w:widowControl/>
        <w:kinsoku/>
        <w:wordWrap/>
        <w:overflowPunct/>
        <w:topLinePunct w:val="0"/>
        <w:autoSpaceDE/>
        <w:autoSpaceDN/>
        <w:bidi w:val="0"/>
        <w:adjustRightInd/>
        <w:snapToGrid/>
        <w:spacing w:line="280" w:lineRule="exact"/>
        <w:textAlignment w:val="auto"/>
        <w:rPr>
          <w:rFonts w:hint="eastAsia" w:ascii="宋体" w:hAnsi="宋体" w:eastAsia="宋体" w:cs="宋体"/>
          <w:color w:val="auto"/>
          <w:highlight w:val="none"/>
        </w:rPr>
      </w:pPr>
      <w:r>
        <w:rPr>
          <w:rFonts w:hint="eastAsia" w:ascii="宋体" w:hAnsi="宋体" w:eastAsia="宋体" w:cs="宋体"/>
          <w:b/>
          <w:bCs/>
          <w:color w:val="auto"/>
          <w:highlight w:val="none"/>
        </w:rPr>
        <w:t>二、申请人的资格要求：</w:t>
      </w:r>
    </w:p>
    <w:p w14:paraId="17C6396E">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1.满足《中华人民共和国政府采购法》第二十二条规定；</w:t>
      </w:r>
    </w:p>
    <w:p w14:paraId="56A8034B">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2.落实政府采购政策需满足的资格要求：标项1、2、</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专门面向中小微企业</w:t>
      </w:r>
    </w:p>
    <w:p w14:paraId="2EC8DC15">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default" w:ascii="宋体" w:hAnsi="宋体" w:eastAsia="宋体" w:cs="宋体"/>
          <w:color w:val="auto"/>
          <w:highlight w:val="none"/>
          <w:lang w:val="en-US" w:eastAsia="zh-CN"/>
        </w:rPr>
      </w:pPr>
      <w:r>
        <w:rPr>
          <w:rFonts w:hint="eastAsia" w:ascii="宋体" w:hAnsi="宋体" w:eastAsia="宋体" w:cs="宋体"/>
          <w:color w:val="auto"/>
          <w:highlight w:val="none"/>
          <w:lang w:eastAsia="zh-CN"/>
        </w:rPr>
        <w:t>3.本项目的特定资格要求：</w:t>
      </w:r>
      <w:r>
        <w:rPr>
          <w:rFonts w:hint="eastAsia" w:ascii="宋体" w:hAnsi="宋体" w:cs="宋体"/>
          <w:color w:val="auto"/>
          <w:highlight w:val="none"/>
          <w:lang w:val="en-US" w:eastAsia="zh-CN"/>
        </w:rPr>
        <w:t>无</w:t>
      </w:r>
    </w:p>
    <w:p w14:paraId="53D3F562">
      <w:pPr>
        <w:pStyle w:val="83"/>
        <w:keepNext w:val="0"/>
        <w:keepLines w:val="0"/>
        <w:pageBreakBefore w:val="0"/>
        <w:widowControl/>
        <w:kinsoku/>
        <w:wordWrap/>
        <w:overflowPunct/>
        <w:topLinePunct w:val="0"/>
        <w:autoSpaceDE/>
        <w:autoSpaceDN/>
        <w:bidi w:val="0"/>
        <w:adjustRightInd/>
        <w:snapToGrid/>
        <w:spacing w:line="280" w:lineRule="exact"/>
        <w:textAlignment w:val="auto"/>
        <w:rPr>
          <w:rFonts w:hint="eastAsia" w:ascii="宋体" w:hAnsi="宋体" w:eastAsia="宋体" w:cs="宋体"/>
          <w:color w:val="auto"/>
          <w:highlight w:val="none"/>
          <w:lang w:eastAsia="zh-CN"/>
        </w:rPr>
      </w:pPr>
      <w:r>
        <w:rPr>
          <w:rFonts w:hint="eastAsia" w:ascii="宋体" w:hAnsi="宋体" w:eastAsia="宋体" w:cs="宋体"/>
          <w:b/>
          <w:bCs/>
          <w:color w:val="auto"/>
          <w:highlight w:val="none"/>
        </w:rPr>
        <w:t>三、获取</w:t>
      </w:r>
      <w:r>
        <w:rPr>
          <w:rFonts w:hint="eastAsia" w:ascii="宋体" w:hAnsi="宋体" w:eastAsia="宋体" w:cs="宋体"/>
          <w:b/>
          <w:bCs/>
          <w:color w:val="auto"/>
          <w:highlight w:val="none"/>
          <w:lang w:val="en-US" w:eastAsia="zh-CN"/>
        </w:rPr>
        <w:t>招标文件</w:t>
      </w:r>
    </w:p>
    <w:p w14:paraId="3DF55971">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时间：2025年3月2</w:t>
      </w:r>
      <w:r>
        <w:rPr>
          <w:rFonts w:hint="eastAsia" w:ascii="宋体" w:hAnsi="宋体" w:cs="宋体"/>
          <w:color w:val="auto"/>
          <w:highlight w:val="none"/>
          <w:lang w:val="en-US" w:eastAsia="zh-CN"/>
        </w:rPr>
        <w:t>8</w:t>
      </w:r>
      <w:r>
        <w:rPr>
          <w:rFonts w:hint="eastAsia" w:ascii="宋体" w:hAnsi="宋体" w:eastAsia="宋体" w:cs="宋体"/>
          <w:color w:val="auto"/>
          <w:highlight w:val="none"/>
          <w:lang w:val="en-US" w:eastAsia="zh-CN"/>
        </w:rPr>
        <w:t>日至2025年4月</w:t>
      </w:r>
      <w:r>
        <w:rPr>
          <w:rFonts w:hint="eastAsia" w:ascii="宋体" w:hAnsi="宋体" w:cs="宋体"/>
          <w:color w:val="auto"/>
          <w:highlight w:val="none"/>
          <w:lang w:val="en-US" w:eastAsia="zh-CN"/>
        </w:rPr>
        <w:t>8</w:t>
      </w:r>
      <w:r>
        <w:rPr>
          <w:rFonts w:hint="eastAsia" w:ascii="宋体" w:hAnsi="宋体" w:eastAsia="宋体" w:cs="宋体"/>
          <w:color w:val="auto"/>
          <w:highlight w:val="none"/>
          <w:lang w:val="en-US" w:eastAsia="zh-CN"/>
        </w:rPr>
        <w:t>日，每天上午00:00至14:00，下午</w:t>
      </w:r>
      <w:r>
        <w:rPr>
          <w:rFonts w:hint="eastAsia" w:ascii="宋体" w:hAnsi="宋体" w:cs="宋体"/>
          <w:color w:val="auto"/>
          <w:highlight w:val="none"/>
          <w:lang w:val="en-US" w:eastAsia="zh-CN"/>
        </w:rPr>
        <w:t>14</w:t>
      </w:r>
      <w:r>
        <w:rPr>
          <w:rFonts w:hint="eastAsia" w:ascii="宋体" w:hAnsi="宋体" w:eastAsia="宋体" w:cs="宋体"/>
          <w:color w:val="auto"/>
          <w:highlight w:val="none"/>
          <w:lang w:val="en-US" w:eastAsia="zh-CN"/>
        </w:rPr>
        <w:t>:</w:t>
      </w:r>
      <w:r>
        <w:rPr>
          <w:rFonts w:hint="eastAsia" w:ascii="宋体" w:hAnsi="宋体" w:cs="宋体"/>
          <w:color w:val="auto"/>
          <w:highlight w:val="none"/>
          <w:lang w:val="en-US" w:eastAsia="zh-CN"/>
        </w:rPr>
        <w:t>0</w:t>
      </w:r>
      <w:r>
        <w:rPr>
          <w:rFonts w:hint="eastAsia" w:ascii="宋体" w:hAnsi="宋体" w:eastAsia="宋体" w:cs="宋体"/>
          <w:color w:val="auto"/>
          <w:highlight w:val="none"/>
          <w:lang w:val="en-US" w:eastAsia="zh-CN"/>
        </w:rPr>
        <w:t>0至</w:t>
      </w:r>
      <w:r>
        <w:rPr>
          <w:rFonts w:hint="eastAsia" w:ascii="宋体" w:hAnsi="宋体" w:cs="宋体"/>
          <w:color w:val="auto"/>
          <w:highlight w:val="none"/>
          <w:lang w:val="en-US" w:eastAsia="zh-CN"/>
        </w:rPr>
        <w:t>23</w:t>
      </w:r>
      <w:r>
        <w:rPr>
          <w:rFonts w:hint="eastAsia" w:ascii="宋体" w:hAnsi="宋体" w:eastAsia="宋体" w:cs="宋体"/>
          <w:color w:val="auto"/>
          <w:highlight w:val="none"/>
          <w:lang w:val="en-US" w:eastAsia="zh-CN"/>
        </w:rPr>
        <w:t>:</w:t>
      </w:r>
      <w:r>
        <w:rPr>
          <w:rFonts w:hint="eastAsia" w:ascii="宋体" w:hAnsi="宋体" w:cs="宋体"/>
          <w:color w:val="auto"/>
          <w:highlight w:val="none"/>
          <w:lang w:val="en-US" w:eastAsia="zh-CN"/>
        </w:rPr>
        <w:t>59</w:t>
      </w:r>
      <w:r>
        <w:rPr>
          <w:rFonts w:hint="eastAsia" w:ascii="宋体" w:hAnsi="宋体" w:eastAsia="宋体" w:cs="宋体"/>
          <w:color w:val="auto"/>
          <w:highlight w:val="none"/>
          <w:lang w:val="en-US" w:eastAsia="zh-CN"/>
        </w:rPr>
        <w:t>（北京时间，法定节假日除外）</w:t>
      </w:r>
    </w:p>
    <w:p w14:paraId="6DE4E293">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地点：政采云平台线上</w:t>
      </w:r>
    </w:p>
    <w:p w14:paraId="5520287C">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方式：供应商登录政采云平台https://www.zcygov.cn/在线申请获取采购文件（进入“项目采购”应用，在获取采购文件菜单中选择项目，申请获取采购文件）</w:t>
      </w:r>
    </w:p>
    <w:p w14:paraId="2C4075F1">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售价（元）：0</w:t>
      </w:r>
    </w:p>
    <w:p w14:paraId="115AF29A">
      <w:pPr>
        <w:pStyle w:val="83"/>
        <w:keepNext w:val="0"/>
        <w:keepLines w:val="0"/>
        <w:pageBreakBefore w:val="0"/>
        <w:widowControl/>
        <w:kinsoku/>
        <w:wordWrap/>
        <w:overflowPunct/>
        <w:topLinePunct w:val="0"/>
        <w:autoSpaceDE/>
        <w:autoSpaceDN/>
        <w:bidi w:val="0"/>
        <w:adjustRightInd/>
        <w:snapToGrid/>
        <w:spacing w:line="280" w:lineRule="exact"/>
        <w:textAlignment w:val="auto"/>
        <w:rPr>
          <w:rFonts w:hint="eastAsia" w:ascii="宋体" w:hAnsi="宋体" w:eastAsia="宋体" w:cs="宋体"/>
          <w:b/>
          <w:bCs/>
          <w:color w:val="auto"/>
          <w:highlight w:val="none"/>
          <w:lang w:eastAsia="zh-CN"/>
        </w:rPr>
      </w:pPr>
      <w:r>
        <w:rPr>
          <w:rFonts w:hint="eastAsia" w:ascii="宋体" w:hAnsi="宋体" w:eastAsia="宋体" w:cs="宋体"/>
          <w:b/>
          <w:bCs/>
          <w:color w:val="auto"/>
          <w:highlight w:val="none"/>
          <w:lang w:val="en-US" w:eastAsia="zh-CN"/>
        </w:rPr>
        <w:t>四、</w:t>
      </w:r>
      <w:r>
        <w:rPr>
          <w:rFonts w:hint="eastAsia" w:ascii="宋体" w:hAnsi="宋体" w:eastAsia="宋体" w:cs="宋体"/>
          <w:b/>
          <w:bCs/>
          <w:color w:val="auto"/>
          <w:highlight w:val="none"/>
          <w:lang w:eastAsia="zh-CN"/>
        </w:rPr>
        <w:t>提交投标文件截止时间、开标时间和地点</w:t>
      </w:r>
    </w:p>
    <w:p w14:paraId="37578172">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提交投标文件截止时间：</w:t>
      </w:r>
      <w:r>
        <w:rPr>
          <w:rFonts w:hint="eastAsia" w:ascii="宋体" w:hAnsi="宋体" w:cs="宋体"/>
          <w:color w:val="auto"/>
          <w:highlight w:val="none"/>
          <w:lang w:val="en-US" w:eastAsia="zh-CN"/>
        </w:rPr>
        <w:t>2025年4月18日</w:t>
      </w:r>
      <w:r>
        <w:rPr>
          <w:rFonts w:hint="eastAsia" w:ascii="宋体" w:hAnsi="宋体" w:eastAsia="宋体" w:cs="宋体"/>
          <w:color w:val="auto"/>
          <w:highlight w:val="none"/>
          <w:lang w:val="en-US" w:eastAsia="zh-CN"/>
        </w:rPr>
        <w:t xml:space="preserve"> </w:t>
      </w:r>
      <w:r>
        <w:rPr>
          <w:rFonts w:hint="eastAsia" w:ascii="宋体" w:hAnsi="宋体" w:cs="宋体"/>
          <w:color w:val="auto"/>
          <w:highlight w:val="none"/>
          <w:lang w:val="en-US" w:eastAsia="zh-CN"/>
        </w:rPr>
        <w:t>10</w:t>
      </w:r>
      <w:r>
        <w:rPr>
          <w:rFonts w:hint="eastAsia" w:ascii="宋体" w:hAnsi="宋体" w:eastAsia="宋体" w:cs="宋体"/>
          <w:color w:val="auto"/>
          <w:highlight w:val="none"/>
          <w:lang w:val="en-US" w:eastAsia="zh-CN"/>
        </w:rPr>
        <w:t>:</w:t>
      </w:r>
      <w:r>
        <w:rPr>
          <w:rFonts w:hint="eastAsia" w:ascii="宋体" w:hAnsi="宋体" w:cs="宋体"/>
          <w:color w:val="auto"/>
          <w:highlight w:val="none"/>
          <w:lang w:val="en-US" w:eastAsia="zh-CN"/>
        </w:rPr>
        <w:t>3</w:t>
      </w:r>
      <w:r>
        <w:rPr>
          <w:rFonts w:hint="eastAsia" w:ascii="宋体" w:hAnsi="宋体" w:eastAsia="宋体" w:cs="宋体"/>
          <w:color w:val="auto"/>
          <w:highlight w:val="none"/>
          <w:lang w:val="en-US" w:eastAsia="zh-CN"/>
        </w:rPr>
        <w:t>0（北京时间）</w:t>
      </w:r>
    </w:p>
    <w:p w14:paraId="2AAB12E6">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投标地点：请登录政采云投标客户端投标</w:t>
      </w:r>
    </w:p>
    <w:p w14:paraId="270D0D19">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开标时间：</w:t>
      </w:r>
      <w:r>
        <w:rPr>
          <w:rFonts w:hint="eastAsia" w:ascii="宋体" w:hAnsi="宋体" w:cs="宋体"/>
          <w:color w:val="auto"/>
          <w:highlight w:val="none"/>
          <w:lang w:val="en-US" w:eastAsia="zh-CN"/>
        </w:rPr>
        <w:t>2025年4月18日</w:t>
      </w:r>
      <w:r>
        <w:rPr>
          <w:rFonts w:hint="eastAsia" w:ascii="宋体" w:hAnsi="宋体" w:eastAsia="宋体" w:cs="宋体"/>
          <w:color w:val="auto"/>
          <w:highlight w:val="none"/>
          <w:lang w:val="en-US" w:eastAsia="zh-CN"/>
        </w:rPr>
        <w:t xml:space="preserve"> 1</w:t>
      </w:r>
      <w:r>
        <w:rPr>
          <w:rFonts w:hint="eastAsia" w:ascii="宋体" w:hAnsi="宋体" w:cs="宋体"/>
          <w:color w:val="auto"/>
          <w:highlight w:val="none"/>
          <w:lang w:val="en-US" w:eastAsia="zh-CN"/>
        </w:rPr>
        <w:t>0</w:t>
      </w:r>
      <w:r>
        <w:rPr>
          <w:rFonts w:hint="eastAsia" w:ascii="宋体" w:hAnsi="宋体" w:eastAsia="宋体" w:cs="宋体"/>
          <w:color w:val="auto"/>
          <w:highlight w:val="none"/>
          <w:lang w:val="en-US" w:eastAsia="zh-CN"/>
        </w:rPr>
        <w:t>:</w:t>
      </w:r>
      <w:r>
        <w:rPr>
          <w:rFonts w:hint="eastAsia" w:ascii="宋体" w:hAnsi="宋体" w:cs="宋体"/>
          <w:color w:val="auto"/>
          <w:highlight w:val="none"/>
          <w:lang w:val="en-US" w:eastAsia="zh-CN"/>
        </w:rPr>
        <w:t>3</w:t>
      </w:r>
      <w:r>
        <w:rPr>
          <w:rFonts w:hint="eastAsia" w:ascii="宋体" w:hAnsi="宋体" w:eastAsia="宋体" w:cs="宋体"/>
          <w:color w:val="auto"/>
          <w:highlight w:val="none"/>
          <w:lang w:val="en-US" w:eastAsia="zh-CN"/>
        </w:rPr>
        <w:t>0（北京时间）</w:t>
      </w:r>
    </w:p>
    <w:p w14:paraId="3C9B8C43">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开标地点：投标人登录政采云平台https://www.zcygov.cn/，进入“项目采购-开标评标-右边选择对应项目点击“进入项目”进入开标大厅。</w:t>
      </w:r>
    </w:p>
    <w:p w14:paraId="5EC4E4C1">
      <w:pPr>
        <w:pStyle w:val="83"/>
        <w:keepNext w:val="0"/>
        <w:keepLines w:val="0"/>
        <w:pageBreakBefore w:val="0"/>
        <w:widowControl/>
        <w:kinsoku/>
        <w:wordWrap/>
        <w:overflowPunct/>
        <w:topLinePunct w:val="0"/>
        <w:autoSpaceDE/>
        <w:autoSpaceDN/>
        <w:bidi w:val="0"/>
        <w:adjustRightInd/>
        <w:snapToGrid/>
        <w:spacing w:line="280" w:lineRule="exact"/>
        <w:textAlignment w:val="auto"/>
        <w:rPr>
          <w:rFonts w:hint="eastAsia" w:ascii="宋体" w:hAnsi="宋体" w:eastAsia="宋体" w:cs="宋体"/>
          <w:color w:val="auto"/>
          <w:highlight w:val="none"/>
        </w:rPr>
      </w:pPr>
      <w:r>
        <w:rPr>
          <w:rFonts w:hint="eastAsia" w:ascii="宋体" w:hAnsi="宋体" w:eastAsia="宋体" w:cs="宋体"/>
          <w:b/>
          <w:bCs/>
          <w:color w:val="auto"/>
          <w:highlight w:val="none"/>
          <w:lang w:val="en-US" w:eastAsia="zh-CN"/>
        </w:rPr>
        <w:t>五</w:t>
      </w:r>
      <w:r>
        <w:rPr>
          <w:rFonts w:hint="eastAsia" w:ascii="宋体" w:hAnsi="宋体" w:eastAsia="宋体" w:cs="宋体"/>
          <w:b/>
          <w:bCs/>
          <w:color w:val="auto"/>
          <w:highlight w:val="none"/>
        </w:rPr>
        <w:t>、公告期限</w:t>
      </w:r>
    </w:p>
    <w:p w14:paraId="34BDF1EC">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eastAsia" w:ascii="宋体" w:hAnsi="宋体" w:eastAsia="宋体" w:cs="宋体"/>
          <w:color w:val="auto"/>
          <w:highlight w:val="none"/>
        </w:rPr>
      </w:pPr>
      <w:r>
        <w:rPr>
          <w:rFonts w:hint="eastAsia" w:ascii="宋体" w:hAnsi="宋体" w:eastAsia="宋体" w:cs="宋体"/>
          <w:color w:val="auto"/>
          <w:highlight w:val="none"/>
        </w:rPr>
        <w:t>自本公告发布之日起</w:t>
      </w: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rPr>
        <w:t>个工作日。</w:t>
      </w:r>
    </w:p>
    <w:p w14:paraId="58D57638">
      <w:pPr>
        <w:pStyle w:val="83"/>
        <w:keepNext w:val="0"/>
        <w:keepLines w:val="0"/>
        <w:pageBreakBefore w:val="0"/>
        <w:widowControl/>
        <w:kinsoku/>
        <w:wordWrap/>
        <w:overflowPunct/>
        <w:topLinePunct w:val="0"/>
        <w:autoSpaceDE/>
        <w:autoSpaceDN/>
        <w:bidi w:val="0"/>
        <w:adjustRightInd/>
        <w:snapToGrid/>
        <w:spacing w:line="280" w:lineRule="exact"/>
        <w:textAlignment w:val="auto"/>
        <w:rPr>
          <w:rFonts w:hint="eastAsia" w:ascii="宋体" w:hAnsi="宋体" w:eastAsia="宋体" w:cs="宋体"/>
          <w:color w:val="auto"/>
          <w:highlight w:val="none"/>
        </w:rPr>
      </w:pPr>
      <w:r>
        <w:rPr>
          <w:rFonts w:hint="eastAsia" w:ascii="宋体" w:hAnsi="宋体" w:eastAsia="宋体" w:cs="宋体"/>
          <w:b/>
          <w:bCs/>
          <w:color w:val="auto"/>
          <w:highlight w:val="none"/>
          <w:lang w:val="en-US" w:eastAsia="zh-CN"/>
        </w:rPr>
        <w:t>六</w:t>
      </w:r>
      <w:r>
        <w:rPr>
          <w:rFonts w:hint="eastAsia" w:ascii="宋体" w:hAnsi="宋体" w:eastAsia="宋体" w:cs="宋体"/>
          <w:b/>
          <w:bCs/>
          <w:color w:val="auto"/>
          <w:highlight w:val="none"/>
        </w:rPr>
        <w:t>、其他补充事宜</w:t>
      </w:r>
    </w:p>
    <w:p w14:paraId="3D215AFC">
      <w:pPr>
        <w:pStyle w:val="83"/>
        <w:keepNext w:val="0"/>
        <w:keepLines w:val="0"/>
        <w:pageBreakBefore w:val="0"/>
        <w:widowControl/>
        <w:kinsoku/>
        <w:wordWrap/>
        <w:overflowPunct/>
        <w:topLinePunct w:val="0"/>
        <w:autoSpaceDE/>
        <w:autoSpaceDN/>
        <w:bidi w:val="0"/>
        <w:adjustRightInd/>
        <w:snapToGrid/>
        <w:spacing w:before="60" w:after="60" w:line="280" w:lineRule="exact"/>
        <w:ind w:left="0" w:right="0" w:firstLine="48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1、本项目实行网上投标，采用电子投标文件。</w:t>
      </w:r>
    </w:p>
    <w:p w14:paraId="74B01512">
      <w:pPr>
        <w:pStyle w:val="83"/>
        <w:keepNext w:val="0"/>
        <w:keepLines w:val="0"/>
        <w:pageBreakBefore w:val="0"/>
        <w:widowControl/>
        <w:kinsoku/>
        <w:wordWrap/>
        <w:overflowPunct/>
        <w:topLinePunct w:val="0"/>
        <w:autoSpaceDE/>
        <w:autoSpaceDN/>
        <w:bidi w:val="0"/>
        <w:adjustRightInd/>
        <w:snapToGrid/>
        <w:spacing w:before="60" w:after="60" w:line="280" w:lineRule="exact"/>
        <w:ind w:left="0" w:right="0" w:firstLine="48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各供应商应在开标前确保成为正式注册入库供应商，并完成CA数字证书(符合国密标准)申领。因未注册入库、未办理CA数字证书等原因造成无法投标或投标失败等后果由供应商自行承担。如需咨询，请联系新疆CA服务热线4000921999；翔晟CA服务热线025-66085508。</w:t>
      </w:r>
    </w:p>
    <w:p w14:paraId="5D178D8C">
      <w:pPr>
        <w:pStyle w:val="83"/>
        <w:keepNext w:val="0"/>
        <w:keepLines w:val="0"/>
        <w:pageBreakBefore w:val="0"/>
        <w:widowControl/>
        <w:kinsoku/>
        <w:wordWrap/>
        <w:overflowPunct/>
        <w:topLinePunct w:val="0"/>
        <w:autoSpaceDE/>
        <w:autoSpaceDN/>
        <w:bidi w:val="0"/>
        <w:adjustRightInd/>
        <w:snapToGrid/>
        <w:spacing w:before="60" w:after="60" w:line="280" w:lineRule="exact"/>
        <w:ind w:left="0" w:right="0" w:firstLine="48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3、供应商将政采云电子交易客户端下载、安装完成后，可通过账号密码或CA登录客户端进行投标文件的制作。在使用政采云投标客户端时，建议使用WIN7及以上操作系统。</w:t>
      </w:r>
    </w:p>
    <w:p w14:paraId="41C74D92">
      <w:pPr>
        <w:pStyle w:val="83"/>
        <w:keepNext w:val="0"/>
        <w:keepLines w:val="0"/>
        <w:pageBreakBefore w:val="0"/>
        <w:widowControl/>
        <w:kinsoku/>
        <w:wordWrap w:val="0"/>
        <w:overflowPunct/>
        <w:topLinePunct/>
        <w:autoSpaceDE/>
        <w:autoSpaceDN/>
        <w:bidi w:val="0"/>
        <w:adjustRightInd/>
        <w:snapToGrid/>
        <w:spacing w:line="280" w:lineRule="exact"/>
        <w:ind w:left="0" w:right="0" w:firstLine="482"/>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val="en-US" w:eastAsia="zh-CN"/>
        </w:rPr>
        <w:t>4、其他事项：各供应商对不见面开评标系统的技术操作咨询，可通过https://edu.zcygov.cn/luban/xinjiang-e-biding自助查询，也可在政采云帮助中心常见问题解答和操作流程讲解视频中自助查询，网址为：https://service.zcygov.cn/，“项目采购”—“操作流程-电子招投标”—“政府采购项目电子交易管理操作指南-供应商”版面获取操作指南，同时对自助查询无法解决的问题可通过政采云在线客服获取服务。</w:t>
      </w:r>
      <w:r>
        <w:rPr>
          <w:rFonts w:hint="eastAsia" w:ascii="宋体" w:hAnsi="宋体" w:eastAsia="宋体" w:cs="宋体"/>
          <w:color w:val="auto"/>
          <w:highlight w:val="none"/>
          <w:lang w:eastAsia="zh-CN"/>
        </w:rPr>
        <w:t>  </w:t>
      </w:r>
    </w:p>
    <w:p w14:paraId="56DF5D35">
      <w:pPr>
        <w:pStyle w:val="83"/>
        <w:keepNext w:val="0"/>
        <w:keepLines w:val="0"/>
        <w:pageBreakBefore w:val="0"/>
        <w:widowControl/>
        <w:numPr>
          <w:ilvl w:val="0"/>
          <w:numId w:val="0"/>
        </w:numPr>
        <w:kinsoku/>
        <w:wordWrap/>
        <w:overflowPunct/>
        <w:topLinePunct w:val="0"/>
        <w:autoSpaceDE/>
        <w:autoSpaceDN/>
        <w:bidi w:val="0"/>
        <w:adjustRightInd/>
        <w:snapToGrid/>
        <w:spacing w:line="280" w:lineRule="exact"/>
        <w:ind w:leftChars="0" w:right="0" w:rightChars="0"/>
        <w:textAlignment w:val="auto"/>
        <w:rPr>
          <w:rFonts w:hint="eastAsia" w:ascii="宋体" w:hAnsi="宋体" w:eastAsia="宋体" w:cs="宋体"/>
          <w:color w:val="auto"/>
          <w:highlight w:val="none"/>
        </w:rPr>
      </w:pPr>
      <w:r>
        <w:rPr>
          <w:rFonts w:hint="eastAsia" w:ascii="宋体" w:hAnsi="宋体" w:eastAsia="宋体" w:cs="宋体"/>
          <w:b/>
          <w:bCs/>
          <w:color w:val="auto"/>
          <w:highlight w:val="none"/>
          <w:lang w:val="en-US" w:eastAsia="zh-CN"/>
        </w:rPr>
        <w:t>七</w:t>
      </w:r>
      <w:r>
        <w:rPr>
          <w:rFonts w:hint="eastAsia" w:ascii="宋体" w:hAnsi="宋体" w:eastAsia="宋体" w:cs="宋体"/>
          <w:b/>
          <w:bCs/>
          <w:color w:val="auto"/>
          <w:highlight w:val="none"/>
        </w:rPr>
        <w:t>、对本次招标提出询问，请按以下方式联系</w:t>
      </w:r>
    </w:p>
    <w:p w14:paraId="23FD70AC">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1.采购人信息</w:t>
      </w:r>
    </w:p>
    <w:p w14:paraId="00E39707">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eastAsia" w:ascii="宋体" w:hAnsi="宋体" w:eastAsia="宋体" w:cs="宋体"/>
          <w:color w:val="auto"/>
          <w:highlight w:val="none"/>
          <w:lang w:val="en-US" w:eastAsia="zh-CN"/>
        </w:rPr>
      </w:pPr>
      <w:bookmarkStart w:id="353" w:name="_Toc28359009"/>
      <w:bookmarkStart w:id="354" w:name="_Toc28359086"/>
      <w:r>
        <w:rPr>
          <w:rFonts w:hint="eastAsia" w:ascii="宋体" w:hAnsi="宋体" w:eastAsia="宋体" w:cs="宋体"/>
          <w:color w:val="auto"/>
          <w:highlight w:val="none"/>
          <w:lang w:val="en-US" w:eastAsia="zh-CN"/>
        </w:rPr>
        <w:t>名 称：</w:t>
      </w:r>
      <w:r>
        <w:rPr>
          <w:rFonts w:hint="eastAsia" w:ascii="宋体" w:hAnsi="宋体" w:cs="宋体"/>
          <w:color w:val="auto"/>
          <w:highlight w:val="none"/>
          <w:lang w:val="en-US" w:eastAsia="zh-CN"/>
        </w:rPr>
        <w:t>新疆维吾尔自治区地质局喀什地质大队</w:t>
      </w:r>
    </w:p>
    <w:p w14:paraId="38A7A69C">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地 址：喀什市班超东路003号</w:t>
      </w:r>
    </w:p>
    <w:p w14:paraId="31507A02">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联系方式：13909989109</w:t>
      </w:r>
    </w:p>
    <w:bookmarkEnd w:id="353"/>
    <w:bookmarkEnd w:id="354"/>
    <w:p w14:paraId="37ED0020">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2.采购代理机构信息</w:t>
      </w:r>
    </w:p>
    <w:p w14:paraId="65181F77">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名 称：</w:t>
      </w:r>
      <w:r>
        <w:rPr>
          <w:rFonts w:hint="eastAsia" w:ascii="宋体" w:hAnsi="宋体" w:cs="宋体"/>
          <w:color w:val="auto"/>
          <w:highlight w:val="none"/>
          <w:lang w:val="en-US" w:eastAsia="zh-CN"/>
        </w:rPr>
        <w:t>新疆中高正建设项目管理咨询有限公司</w:t>
      </w:r>
      <w:r>
        <w:rPr>
          <w:rFonts w:hint="eastAsia" w:ascii="宋体" w:hAnsi="宋体" w:eastAsia="宋体" w:cs="宋体"/>
          <w:color w:val="auto"/>
          <w:highlight w:val="none"/>
          <w:lang w:val="en-US" w:eastAsia="zh-CN"/>
        </w:rPr>
        <w:t>　</w:t>
      </w:r>
    </w:p>
    <w:p w14:paraId="4E5F7B6E">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地 址：</w:t>
      </w:r>
      <w:r>
        <w:rPr>
          <w:rFonts w:hint="eastAsia" w:ascii="宋体" w:hAnsi="宋体" w:cs="宋体"/>
          <w:color w:val="auto"/>
          <w:highlight w:val="none"/>
          <w:lang w:val="en-US" w:eastAsia="zh-CN"/>
        </w:rPr>
        <w:t>喀什市明升国际广场第1-1幢B区13层14号</w:t>
      </w:r>
      <w:r>
        <w:rPr>
          <w:rFonts w:hint="eastAsia" w:ascii="宋体" w:hAnsi="宋体" w:eastAsia="宋体" w:cs="宋体"/>
          <w:color w:val="auto"/>
          <w:highlight w:val="none"/>
          <w:lang w:val="en-US" w:eastAsia="zh-CN"/>
        </w:rPr>
        <w:t>　</w:t>
      </w:r>
    </w:p>
    <w:p w14:paraId="0157C3D5">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联系方式：</w:t>
      </w:r>
      <w:r>
        <w:rPr>
          <w:rFonts w:hint="eastAsia" w:ascii="宋体" w:hAnsi="宋体" w:cs="宋体"/>
          <w:color w:val="auto"/>
          <w:highlight w:val="none"/>
          <w:lang w:val="en-US" w:eastAsia="zh-CN"/>
        </w:rPr>
        <w:t>18197656947</w:t>
      </w:r>
      <w:r>
        <w:rPr>
          <w:rFonts w:hint="eastAsia" w:ascii="宋体" w:hAnsi="宋体" w:eastAsia="宋体" w:cs="宋体"/>
          <w:color w:val="auto"/>
          <w:highlight w:val="none"/>
          <w:lang w:val="en-US" w:eastAsia="zh-CN"/>
        </w:rPr>
        <w:t xml:space="preserve"> 　</w:t>
      </w:r>
    </w:p>
    <w:p w14:paraId="21F7908D">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3.项目联系方式</w:t>
      </w:r>
    </w:p>
    <w:p w14:paraId="0617C4D2">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项目联系人：</w:t>
      </w:r>
      <w:r>
        <w:rPr>
          <w:rFonts w:hint="eastAsia" w:ascii="宋体" w:hAnsi="宋体" w:cs="宋体"/>
          <w:color w:val="auto"/>
          <w:highlight w:val="none"/>
          <w:lang w:val="en-US" w:eastAsia="zh-CN"/>
        </w:rPr>
        <w:t>余明超</w:t>
      </w:r>
    </w:p>
    <w:p w14:paraId="03F529BC">
      <w:pPr>
        <w:pStyle w:val="83"/>
        <w:keepNext w:val="0"/>
        <w:keepLines w:val="0"/>
        <w:pageBreakBefore w:val="0"/>
        <w:widowControl/>
        <w:kinsoku/>
        <w:wordWrap/>
        <w:overflowPunct/>
        <w:topLinePunct w:val="0"/>
        <w:autoSpaceDE/>
        <w:autoSpaceDN/>
        <w:bidi w:val="0"/>
        <w:adjustRightInd/>
        <w:snapToGrid/>
        <w:spacing w:line="280" w:lineRule="exact"/>
        <w:ind w:left="0" w:right="0" w:firstLine="480"/>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电 话：</w:t>
      </w:r>
      <w:r>
        <w:rPr>
          <w:rFonts w:hint="eastAsia" w:ascii="宋体" w:hAnsi="宋体" w:cs="宋体"/>
          <w:color w:val="auto"/>
          <w:highlight w:val="none"/>
          <w:lang w:val="en-US" w:eastAsia="zh-CN"/>
        </w:rPr>
        <w:t>18197656947</w:t>
      </w:r>
    </w:p>
    <w:p w14:paraId="6CEE2DC1">
      <w:pPr>
        <w:pStyle w:val="2"/>
        <w:numPr>
          <w:ilvl w:val="0"/>
          <w:numId w:val="0"/>
        </w:numPr>
        <w:tabs>
          <w:tab w:val="left" w:pos="0"/>
        </w:tabs>
        <w:spacing w:before="0" w:after="0" w:line="240" w:lineRule="atLeast"/>
        <w:ind w:leftChars="0"/>
        <w:jc w:val="center"/>
        <w:rPr>
          <w:rFonts w:hint="eastAsia" w:ascii="宋体" w:hAnsi="宋体" w:eastAsia="宋体" w:cs="宋体"/>
          <w:b w:val="0"/>
          <w:color w:val="auto"/>
          <w:szCs w:val="32"/>
          <w:highlight w:val="none"/>
        </w:rPr>
      </w:pPr>
      <w:r>
        <w:rPr>
          <w:rFonts w:hint="eastAsia" w:ascii="宋体" w:hAnsi="宋体" w:eastAsia="宋体" w:cs="宋体"/>
          <w:b/>
          <w:color w:val="auto"/>
          <w:highlight w:val="none"/>
          <w:lang w:eastAsia="zh-CN"/>
        </w:rPr>
        <w:br w:type="page"/>
      </w:r>
      <w:r>
        <w:rPr>
          <w:rFonts w:hint="eastAsia" w:ascii="宋体" w:hAnsi="宋体" w:eastAsia="宋体" w:cs="宋体"/>
          <w:b/>
          <w:color w:val="auto"/>
          <w:highlight w:val="none"/>
          <w:lang w:eastAsia="zh-CN"/>
        </w:rPr>
        <w:t>第</w:t>
      </w:r>
      <w:r>
        <w:rPr>
          <w:rFonts w:hint="eastAsia" w:ascii="宋体" w:hAnsi="宋体" w:eastAsia="宋体" w:cs="宋体"/>
          <w:b/>
          <w:color w:val="auto"/>
          <w:highlight w:val="none"/>
          <w:lang w:val="en-US" w:eastAsia="zh-CN"/>
        </w:rPr>
        <w:t>4</w:t>
      </w:r>
      <w:r>
        <w:rPr>
          <w:rFonts w:hint="eastAsia" w:ascii="宋体" w:hAnsi="宋体" w:eastAsia="宋体" w:cs="宋体"/>
          <w:b/>
          <w:color w:val="auto"/>
          <w:highlight w:val="none"/>
          <w:lang w:eastAsia="zh-CN"/>
        </w:rPr>
        <w:t>章</w:t>
      </w:r>
      <w:r>
        <w:rPr>
          <w:rFonts w:hint="eastAsia" w:ascii="宋体" w:hAnsi="宋体" w:eastAsia="宋体" w:cs="宋体"/>
          <w:b/>
          <w:color w:val="auto"/>
          <w:highlight w:val="none"/>
        </w:rPr>
        <w:t xml:space="preserve"> </w:t>
      </w:r>
      <w:bookmarkStart w:id="355" w:name="_Toc216582823"/>
      <w:bookmarkStart w:id="356" w:name="_Toc507399903"/>
      <w:bookmarkStart w:id="357" w:name="_Toc31583"/>
      <w:bookmarkStart w:id="358" w:name="_Toc515647830"/>
      <w:bookmarkStart w:id="359" w:name="_Toc10488"/>
      <w:bookmarkStart w:id="360" w:name="_Toc20439"/>
      <w:bookmarkStart w:id="361" w:name="_Toc512937850"/>
      <w:r>
        <w:rPr>
          <w:rFonts w:hint="eastAsia" w:ascii="宋体" w:hAnsi="宋体" w:eastAsia="宋体" w:cs="宋体"/>
          <w:color w:val="auto"/>
          <w:highlight w:val="none"/>
        </w:rPr>
        <w:t>投标人须知资料表</w:t>
      </w:r>
      <w:bookmarkEnd w:id="355"/>
      <w:bookmarkEnd w:id="356"/>
      <w:bookmarkEnd w:id="357"/>
      <w:bookmarkEnd w:id="358"/>
      <w:bookmarkEnd w:id="359"/>
      <w:bookmarkEnd w:id="360"/>
    </w:p>
    <w:bookmarkEnd w:id="361"/>
    <w:p w14:paraId="5EF5E124">
      <w:pPr>
        <w:spacing w:line="240" w:lineRule="atLeast"/>
        <w:ind w:left="1080" w:leftChars="257" w:hanging="540"/>
        <w:rPr>
          <w:rFonts w:hint="eastAsia" w:ascii="宋体" w:hAnsi="宋体" w:eastAsia="宋体" w:cs="宋体"/>
          <w:color w:val="auto"/>
          <w:sz w:val="24"/>
          <w:highlight w:val="none"/>
        </w:rPr>
      </w:pPr>
    </w:p>
    <w:p w14:paraId="6E4F4CF7">
      <w:pPr>
        <w:spacing w:line="240" w:lineRule="atLeast"/>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本表是本招标项目的具体资料，是对投标人须知的具体补充和修改，如有矛盾，应以本资料表为准。</w:t>
      </w:r>
    </w:p>
    <w:tbl>
      <w:tblPr>
        <w:tblStyle w:val="33"/>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468"/>
        <w:gridCol w:w="6840"/>
      </w:tblGrid>
      <w:tr w14:paraId="6590E0A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600" w:hRule="atLeast"/>
        </w:trPr>
        <w:tc>
          <w:tcPr>
            <w:tcW w:w="1468" w:type="dxa"/>
            <w:noWrap w:val="0"/>
            <w:vAlign w:val="center"/>
          </w:tcPr>
          <w:p w14:paraId="27279110">
            <w:pPr>
              <w:spacing w:line="240" w:lineRule="atLeast"/>
              <w:ind w:left="1080"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条款号</w:t>
            </w:r>
          </w:p>
        </w:tc>
        <w:tc>
          <w:tcPr>
            <w:tcW w:w="6840" w:type="dxa"/>
            <w:noWrap w:val="0"/>
            <w:vAlign w:val="center"/>
          </w:tcPr>
          <w:p w14:paraId="7ED1B106">
            <w:pPr>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内      容</w:t>
            </w:r>
          </w:p>
        </w:tc>
      </w:tr>
      <w:tr w14:paraId="5E20A83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93" w:hRule="atLeast"/>
        </w:trPr>
        <w:tc>
          <w:tcPr>
            <w:tcW w:w="1468" w:type="dxa"/>
            <w:noWrap w:val="0"/>
            <w:vAlign w:val="center"/>
          </w:tcPr>
          <w:p w14:paraId="2DFB6955">
            <w:pPr>
              <w:spacing w:line="240" w:lineRule="atLeast"/>
              <w:ind w:left="1080"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1.1</w:t>
            </w:r>
          </w:p>
        </w:tc>
        <w:tc>
          <w:tcPr>
            <w:tcW w:w="6840" w:type="dxa"/>
            <w:noWrap w:val="0"/>
            <w:vAlign w:val="center"/>
          </w:tcPr>
          <w:p w14:paraId="0A8421CF">
            <w:pPr>
              <w:spacing w:line="240" w:lineRule="atLeas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采</w:t>
            </w:r>
            <w:r>
              <w:rPr>
                <w:rFonts w:hint="eastAsia" w:ascii="宋体" w:hAnsi="宋体" w:eastAsia="宋体" w:cs="宋体"/>
                <w:color w:val="auto"/>
                <w:sz w:val="24"/>
                <w:highlight w:val="none"/>
                <w:lang w:eastAsia="zh-CN"/>
              </w:rPr>
              <w:t xml:space="preserve"> 购 人：</w:t>
            </w:r>
            <w:r>
              <w:rPr>
                <w:rFonts w:hint="eastAsia" w:ascii="宋体" w:hAnsi="宋体" w:cs="宋体"/>
                <w:color w:val="auto"/>
                <w:sz w:val="24"/>
                <w:highlight w:val="none"/>
                <w:lang w:val="en-US" w:eastAsia="zh-CN"/>
              </w:rPr>
              <w:t>新疆维吾尔自治区地质局喀什地质大队</w:t>
            </w:r>
            <w:r>
              <w:rPr>
                <w:rFonts w:hint="eastAsia" w:ascii="宋体" w:hAnsi="宋体" w:eastAsia="宋体" w:cs="宋体"/>
                <w:color w:val="auto"/>
                <w:sz w:val="24"/>
                <w:highlight w:val="none"/>
                <w:lang w:eastAsia="zh-CN"/>
              </w:rPr>
              <w:t xml:space="preserve">　　　　 </w:t>
            </w:r>
          </w:p>
          <w:p w14:paraId="0E14C035">
            <w:pPr>
              <w:spacing w:line="240" w:lineRule="atLeast"/>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联系方式：</w:t>
            </w:r>
            <w:r>
              <w:rPr>
                <w:rFonts w:hint="eastAsia" w:ascii="宋体" w:hAnsi="宋体" w:eastAsia="宋体" w:cs="宋体"/>
                <w:color w:val="auto"/>
                <w:sz w:val="24"/>
                <w:highlight w:val="none"/>
                <w:lang w:val="en-US" w:eastAsia="zh-CN"/>
              </w:rPr>
              <w:t>13909989109</w:t>
            </w:r>
          </w:p>
        </w:tc>
      </w:tr>
      <w:tr w14:paraId="7E8988C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0" w:hRule="atLeast"/>
        </w:trPr>
        <w:tc>
          <w:tcPr>
            <w:tcW w:w="1468" w:type="dxa"/>
            <w:noWrap w:val="0"/>
            <w:vAlign w:val="center"/>
          </w:tcPr>
          <w:p w14:paraId="124079A2">
            <w:pPr>
              <w:spacing w:line="240" w:lineRule="atLeast"/>
              <w:ind w:left="1080"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1.2</w:t>
            </w:r>
          </w:p>
        </w:tc>
        <w:tc>
          <w:tcPr>
            <w:tcW w:w="6840" w:type="dxa"/>
            <w:noWrap w:val="0"/>
            <w:vAlign w:val="center"/>
          </w:tcPr>
          <w:p w14:paraId="787DAE2B">
            <w:pPr>
              <w:spacing w:line="240" w:lineRule="atLeas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采购代理机构：</w:t>
            </w:r>
            <w:r>
              <w:rPr>
                <w:rFonts w:hint="eastAsia" w:ascii="宋体" w:hAnsi="宋体" w:cs="宋体"/>
                <w:color w:val="auto"/>
                <w:sz w:val="24"/>
                <w:highlight w:val="none"/>
                <w:lang w:eastAsia="zh-CN"/>
              </w:rPr>
              <w:t>新疆中高正建设项目管理咨询有限公司</w:t>
            </w:r>
          </w:p>
          <w:p w14:paraId="5A637BBB">
            <w:pPr>
              <w:spacing w:line="240" w:lineRule="atLeas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地址：</w:t>
            </w:r>
            <w:r>
              <w:rPr>
                <w:rFonts w:hint="eastAsia" w:ascii="宋体" w:hAnsi="宋体" w:cs="宋体"/>
                <w:color w:val="auto"/>
                <w:sz w:val="24"/>
                <w:highlight w:val="none"/>
                <w:lang w:eastAsia="zh-CN"/>
              </w:rPr>
              <w:t>喀什市明升国际广场第1-1幢B区13层14号</w:t>
            </w:r>
          </w:p>
          <w:p w14:paraId="6A722E7A">
            <w:pPr>
              <w:spacing w:line="240" w:lineRule="atLeast"/>
              <w:rPr>
                <w:rFonts w:hint="eastAsia" w:ascii="宋体" w:hAnsi="宋体" w:eastAsia="宋体" w:cs="宋体"/>
                <w:color w:val="auto"/>
                <w:sz w:val="24"/>
                <w:highlight w:val="none"/>
              </w:rPr>
            </w:pPr>
            <w:r>
              <w:rPr>
                <w:rFonts w:hint="eastAsia" w:ascii="宋体" w:hAnsi="宋体" w:eastAsia="宋体" w:cs="宋体"/>
                <w:color w:val="auto"/>
                <w:sz w:val="24"/>
                <w:highlight w:val="none"/>
              </w:rPr>
              <w:t>业务联系人：</w:t>
            </w:r>
            <w:r>
              <w:rPr>
                <w:rFonts w:hint="eastAsia" w:ascii="宋体" w:hAnsi="宋体" w:cs="宋体"/>
                <w:color w:val="auto"/>
                <w:sz w:val="24"/>
                <w:highlight w:val="none"/>
                <w:lang w:val="en-US" w:eastAsia="zh-CN"/>
              </w:rPr>
              <w:t>余明超</w:t>
            </w:r>
            <w:r>
              <w:rPr>
                <w:rFonts w:hint="eastAsia" w:ascii="宋体" w:hAnsi="宋体" w:eastAsia="宋体" w:cs="宋体"/>
                <w:color w:val="auto"/>
                <w:sz w:val="24"/>
                <w:highlight w:val="none"/>
              </w:rPr>
              <w:t xml:space="preserve"> 电话：</w:t>
            </w:r>
            <w:r>
              <w:rPr>
                <w:rFonts w:hint="eastAsia" w:ascii="宋体" w:hAnsi="宋体" w:cs="宋体"/>
                <w:color w:val="auto"/>
                <w:sz w:val="24"/>
                <w:highlight w:val="none"/>
                <w:lang w:eastAsia="zh-CN"/>
              </w:rPr>
              <w:t>18197656947</w:t>
            </w:r>
            <w:r>
              <w:rPr>
                <w:rFonts w:hint="eastAsia" w:ascii="宋体" w:hAnsi="宋体" w:eastAsia="宋体" w:cs="宋体"/>
                <w:color w:val="auto"/>
                <w:sz w:val="24"/>
                <w:highlight w:val="none"/>
              </w:rPr>
              <w:t xml:space="preserve"> </w:t>
            </w:r>
          </w:p>
        </w:tc>
      </w:tr>
      <w:tr w14:paraId="79E5F79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0" w:hRule="atLeast"/>
        </w:trPr>
        <w:tc>
          <w:tcPr>
            <w:tcW w:w="1468" w:type="dxa"/>
            <w:noWrap w:val="0"/>
            <w:vAlign w:val="center"/>
          </w:tcPr>
          <w:p w14:paraId="75541AA5">
            <w:pPr>
              <w:spacing w:line="240" w:lineRule="atLeast"/>
              <w:ind w:left="1080"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1.3.4</w:t>
            </w:r>
          </w:p>
        </w:tc>
        <w:tc>
          <w:tcPr>
            <w:tcW w:w="6840" w:type="dxa"/>
            <w:noWrap w:val="0"/>
            <w:vAlign w:val="center"/>
          </w:tcPr>
          <w:p w14:paraId="424E962E">
            <w:pPr>
              <w:spacing w:line="240" w:lineRule="atLeast"/>
              <w:rPr>
                <w:rFonts w:hint="eastAsia" w:ascii="宋体" w:hAnsi="宋体" w:eastAsia="宋体" w:cs="宋体"/>
                <w:color w:val="auto"/>
                <w:sz w:val="24"/>
                <w:highlight w:val="none"/>
              </w:rPr>
            </w:pPr>
            <w:r>
              <w:rPr>
                <w:rFonts w:hint="eastAsia" w:ascii="宋体" w:hAnsi="宋体" w:eastAsia="宋体" w:cs="宋体"/>
                <w:color w:val="auto"/>
                <w:sz w:val="24"/>
                <w:highlight w:val="none"/>
              </w:rPr>
              <w:t>合格投标人的其他资格要求：</w:t>
            </w:r>
          </w:p>
          <w:p w14:paraId="074C5986">
            <w:pPr>
              <w:pStyle w:val="4"/>
              <w:ind w:firstLine="0"/>
              <w:rPr>
                <w:rFonts w:hint="eastAsia" w:ascii="宋体" w:hAnsi="宋体" w:eastAsia="宋体" w:cs="宋体"/>
                <w:b/>
                <w:bCs/>
                <w:color w:val="auto"/>
                <w:szCs w:val="24"/>
                <w:highlight w:val="none"/>
              </w:rPr>
            </w:pPr>
            <w:r>
              <w:rPr>
                <w:rFonts w:hint="eastAsia" w:ascii="宋体" w:hAnsi="宋体" w:eastAsia="宋体" w:cs="宋体"/>
                <w:b/>
                <w:bCs/>
                <w:color w:val="auto"/>
                <w:szCs w:val="24"/>
                <w:highlight w:val="none"/>
              </w:rPr>
              <w:t>1.满足《中华人民共和国政府采购法》第二十二条规定；</w:t>
            </w:r>
          </w:p>
          <w:p w14:paraId="5BDCF3E5">
            <w:pPr>
              <w:pStyle w:val="4"/>
              <w:ind w:firstLine="0"/>
              <w:rPr>
                <w:rFonts w:hint="eastAsia" w:ascii="宋体" w:hAnsi="宋体" w:eastAsia="宋体" w:cs="宋体"/>
                <w:b/>
                <w:bCs/>
                <w:color w:val="auto"/>
                <w:szCs w:val="24"/>
                <w:highlight w:val="none"/>
                <w:lang w:val="en-US" w:eastAsia="zh-CN"/>
              </w:rPr>
            </w:pPr>
            <w:r>
              <w:rPr>
                <w:rFonts w:hint="eastAsia" w:ascii="宋体" w:hAnsi="宋体" w:eastAsia="宋体" w:cs="宋体"/>
                <w:b/>
                <w:bCs/>
                <w:color w:val="auto"/>
                <w:szCs w:val="24"/>
                <w:highlight w:val="none"/>
                <w:lang w:val="en-US" w:eastAsia="zh-CN"/>
              </w:rPr>
              <w:t>2.合格三证合一营业执照；</w:t>
            </w:r>
          </w:p>
          <w:p w14:paraId="44E109A5">
            <w:pPr>
              <w:pStyle w:val="4"/>
              <w:ind w:firstLine="0"/>
              <w:rPr>
                <w:rFonts w:hint="eastAsia" w:ascii="宋体" w:hAnsi="宋体" w:eastAsia="宋体" w:cs="宋体"/>
                <w:b/>
                <w:bCs/>
                <w:color w:val="auto"/>
                <w:szCs w:val="24"/>
                <w:highlight w:val="none"/>
                <w:lang w:val="en-US" w:eastAsia="zh-CN"/>
              </w:rPr>
            </w:pPr>
            <w:r>
              <w:rPr>
                <w:rFonts w:hint="eastAsia" w:ascii="宋体" w:hAnsi="宋体" w:eastAsia="宋体" w:cs="宋体"/>
                <w:b/>
                <w:bCs/>
                <w:color w:val="auto"/>
                <w:szCs w:val="24"/>
                <w:highlight w:val="none"/>
                <w:lang w:val="en-US" w:eastAsia="zh-CN"/>
              </w:rPr>
              <w:t>3.法人本人投标的需提供法定代表人身份证明书；被授权委托人需提供法人授权委托书；</w:t>
            </w:r>
          </w:p>
          <w:p w14:paraId="42A06E4A">
            <w:pPr>
              <w:pStyle w:val="4"/>
              <w:ind w:firstLine="0"/>
              <w:rPr>
                <w:rFonts w:hint="eastAsia" w:ascii="宋体" w:hAnsi="宋体" w:eastAsia="宋体" w:cs="宋体"/>
                <w:b/>
                <w:bCs/>
                <w:color w:val="auto"/>
                <w:szCs w:val="24"/>
                <w:highlight w:val="none"/>
                <w:lang w:val="en-US" w:eastAsia="zh-CN"/>
              </w:rPr>
            </w:pPr>
            <w:r>
              <w:rPr>
                <w:rFonts w:hint="eastAsia" w:ascii="宋体" w:hAnsi="宋体" w:eastAsia="宋体" w:cs="宋体"/>
                <w:b/>
                <w:bCs/>
                <w:color w:val="auto"/>
                <w:szCs w:val="24"/>
                <w:highlight w:val="none"/>
                <w:lang w:val="en-US" w:eastAsia="zh-CN"/>
              </w:rPr>
              <w:t>4.</w:t>
            </w:r>
            <w:r>
              <w:rPr>
                <w:rFonts w:hint="eastAsia" w:hAnsi="宋体" w:cs="宋体"/>
                <w:b/>
                <w:bCs/>
                <w:color w:val="auto"/>
                <w:szCs w:val="24"/>
                <w:highlight w:val="none"/>
                <w:lang w:val="en-US" w:eastAsia="zh-CN"/>
              </w:rPr>
              <w:t>2023年度或2024年度</w:t>
            </w:r>
            <w:r>
              <w:rPr>
                <w:rFonts w:hint="eastAsia" w:ascii="宋体" w:hAnsi="宋体" w:eastAsia="宋体" w:cs="宋体"/>
                <w:b/>
                <w:bCs/>
                <w:color w:val="auto"/>
                <w:szCs w:val="24"/>
                <w:highlight w:val="none"/>
                <w:lang w:val="en-US" w:eastAsia="zh-CN"/>
              </w:rPr>
              <w:t>经会计事务所出具财务审计报告（新成立的公司须提供近一个月的银行资信证明）；</w:t>
            </w:r>
          </w:p>
          <w:p w14:paraId="7DD2AA9D">
            <w:pPr>
              <w:pStyle w:val="4"/>
              <w:ind w:firstLine="0"/>
              <w:rPr>
                <w:rFonts w:hint="eastAsia" w:ascii="宋体" w:hAnsi="宋体" w:eastAsia="宋体" w:cs="宋体"/>
                <w:b/>
                <w:bCs/>
                <w:color w:val="auto"/>
                <w:szCs w:val="24"/>
                <w:highlight w:val="none"/>
                <w:lang w:val="en-US" w:eastAsia="zh-CN"/>
              </w:rPr>
            </w:pPr>
            <w:r>
              <w:rPr>
                <w:rFonts w:hint="eastAsia" w:ascii="宋体" w:hAnsi="宋体" w:eastAsia="宋体" w:cs="宋体"/>
                <w:b/>
                <w:bCs/>
                <w:color w:val="auto"/>
                <w:szCs w:val="24"/>
                <w:highlight w:val="none"/>
                <w:lang w:val="en-US" w:eastAsia="zh-CN"/>
              </w:rPr>
              <w:t>5.</w:t>
            </w:r>
            <w:r>
              <w:rPr>
                <w:rFonts w:hint="eastAsia" w:hAnsi="宋体" w:cs="宋体"/>
                <w:b/>
                <w:bCs/>
                <w:color w:val="auto"/>
                <w:szCs w:val="24"/>
                <w:highlight w:val="none"/>
                <w:lang w:val="en-US" w:eastAsia="zh-CN"/>
              </w:rPr>
              <w:t>依法缴纳近三个月中任意一个月的社保缴纳凭证；依法缴纳近三个月任意一个月的税收良好记录证明（完税证明为非社保缴纳明细）；</w:t>
            </w:r>
            <w:r>
              <w:rPr>
                <w:rFonts w:hint="eastAsia" w:ascii="宋体" w:hAnsi="宋体" w:eastAsia="宋体" w:cs="宋体"/>
                <w:b/>
                <w:bCs/>
                <w:color w:val="auto"/>
                <w:szCs w:val="24"/>
                <w:highlight w:val="none"/>
                <w:lang w:val="en-US" w:eastAsia="zh-CN"/>
              </w:rPr>
              <w:t>；</w:t>
            </w:r>
          </w:p>
          <w:p w14:paraId="60528E3A">
            <w:pPr>
              <w:pStyle w:val="4"/>
              <w:ind w:firstLine="0"/>
              <w:rPr>
                <w:rFonts w:hint="eastAsia" w:ascii="宋体" w:hAnsi="宋体" w:eastAsia="宋体" w:cs="宋体"/>
                <w:b/>
                <w:bCs/>
                <w:color w:val="auto"/>
                <w:szCs w:val="24"/>
                <w:highlight w:val="none"/>
                <w:lang w:val="en-US" w:eastAsia="zh-CN"/>
              </w:rPr>
            </w:pPr>
            <w:r>
              <w:rPr>
                <w:rFonts w:hint="eastAsia" w:ascii="宋体" w:hAnsi="宋体" w:eastAsia="宋体" w:cs="宋体"/>
                <w:b/>
                <w:bCs/>
                <w:color w:val="auto"/>
                <w:szCs w:val="24"/>
                <w:highlight w:val="none"/>
                <w:lang w:val="en-US" w:eastAsia="zh-CN"/>
              </w:rPr>
              <w:t>6.在“信用中国”网站 被列入失信被执行人、重大税收违法案件当事人名单；“中国政府采购网”</w:t>
            </w:r>
            <w:r>
              <w:rPr>
                <w:rFonts w:hint="eastAsia" w:ascii="宋体" w:hAnsi="宋体" w:eastAsia="宋体" w:cs="宋体"/>
                <w:b/>
                <w:bCs/>
                <w:color w:val="auto"/>
                <w:szCs w:val="24"/>
                <w:highlight w:val="none"/>
                <w:lang w:val="en-US" w:eastAsia="zh-CN"/>
              </w:rPr>
              <w:fldChar w:fldCharType="begin"/>
            </w:r>
            <w:r>
              <w:rPr>
                <w:rFonts w:hint="eastAsia" w:ascii="宋体" w:hAnsi="宋体" w:eastAsia="宋体" w:cs="宋体"/>
                <w:b/>
                <w:bCs/>
                <w:color w:val="auto"/>
                <w:szCs w:val="24"/>
                <w:highlight w:val="none"/>
                <w:lang w:val="en-US" w:eastAsia="zh-CN"/>
              </w:rPr>
              <w:instrText xml:space="preserve"> HYPERLINK "http://www.ccgp.gov.cn/search/cr/%EF%BC%89%E4%B8%A5%E9%87%8D%E8%BF%9D%E6%B3%95%E5%A4%B1%E4%BF%A1%E8%A1%8C%E4%B8%BA%E8%AE%B0%E5%BD%95%E5%90%8D%E5%8D%95%E7%9A%84%EF%BC%88%E5%B0%9A%E5%9C%A8%E5%A4%84%E7%BD%9A%E6%9C%9F%E5%86%85%E7%9A%84%EF%BC%89%EF%BC%8C%E2%80%9C%E5%9B%BD%E5%AE%B6%E4%BC%81%E4%B8%9A%E4%BF%A1%E7%94%A8%E4%BF%A1%E6%81%AF%E5%85%AC%E7%A4%BA%E7%B3%BB%E7%BB%9F%EF%BC%88http://www.gsxt.gov.cn%EF%BC%89%E2%80%9D%E5%88%97%E5%85%A5%E7%BB%8F%E8%90%A5%E5%BC%82%E5%B8%B8%E5%90%8D%E5%BD%95%E4%BF%A1%E6%81%AF%E3%80%81%E5%88%97%E5%85%A5%E4%B8%A5%E9%87%8D%E8%BF%9D%E6%B3%95%E5%A4%B1%E4%BF%A1%E4%BC%81%E4%B8%9A%E5%90%8D%E5%8D%95%EF%BC%88%E9%BB%91%E5%90%8D%E5%8D%95%EF%BC%89%E4%BF%A1%E6%81%AF%E5%8F%8A%E4%BC%81%E4%B8%9A%E4%BF%A1%E7%94%A8%E4%BF%A1%E6%81%AF%E5%85%AC%E7%A4%BA%E6%8A%A5%E5%91%8A%EF%BC%9B%EF%BC%88%E4%BB%A5%E6%8B%9B%E6%A0%87%E4%BB%A3%E7%90%86%E6%88%96%E6%8B%9B%E6%A0%87%E4%BA%BA%E6%9F%A5%E8%AF%A2%E4%B8%BA%E5%87%86%EF%BC%89" </w:instrText>
            </w:r>
            <w:r>
              <w:rPr>
                <w:rFonts w:hint="eastAsia" w:ascii="宋体" w:hAnsi="宋体" w:eastAsia="宋体" w:cs="宋体"/>
                <w:b/>
                <w:bCs/>
                <w:color w:val="auto"/>
                <w:szCs w:val="24"/>
                <w:highlight w:val="none"/>
                <w:lang w:val="en-US" w:eastAsia="zh-CN"/>
              </w:rPr>
              <w:fldChar w:fldCharType="separate"/>
            </w:r>
            <w:r>
              <w:rPr>
                <w:rFonts w:hint="eastAsia" w:ascii="宋体" w:hAnsi="宋体" w:eastAsia="宋体" w:cs="宋体"/>
                <w:b/>
                <w:bCs/>
                <w:color w:val="auto"/>
                <w:szCs w:val="24"/>
                <w:highlight w:val="none"/>
                <w:lang w:val="en-US" w:eastAsia="zh-CN"/>
              </w:rPr>
              <w:t>严重违法失信行为记录名单的（尚在处罚期内的）；“国家企业信用信息公示系统”列入经营异常名录信息、列入严重违法失信企业名单（黑名单）信息的企业</w:t>
            </w:r>
            <w:r>
              <w:rPr>
                <w:rFonts w:hint="eastAsia" w:ascii="宋体" w:hAnsi="宋体" w:eastAsia="宋体" w:cs="宋体"/>
                <w:b/>
                <w:bCs/>
                <w:color w:val="auto"/>
                <w:szCs w:val="24"/>
                <w:highlight w:val="none"/>
                <w:lang w:val="en-US" w:eastAsia="zh-CN"/>
              </w:rPr>
              <w:fldChar w:fldCharType="end"/>
            </w:r>
            <w:r>
              <w:rPr>
                <w:rFonts w:hint="eastAsia" w:ascii="宋体" w:hAnsi="宋体" w:eastAsia="宋体" w:cs="宋体"/>
                <w:b/>
                <w:bCs/>
                <w:color w:val="auto"/>
                <w:szCs w:val="24"/>
                <w:highlight w:val="none"/>
                <w:lang w:val="en-US" w:eastAsia="zh-CN"/>
              </w:rPr>
              <w:t>投标商，拒绝参与该项目投标；</w:t>
            </w:r>
          </w:p>
          <w:p w14:paraId="22C582E4">
            <w:pPr>
              <w:pStyle w:val="4"/>
              <w:ind w:firstLine="0"/>
              <w:rPr>
                <w:rFonts w:hint="eastAsia" w:ascii="宋体" w:hAnsi="宋体" w:eastAsia="宋体" w:cs="宋体"/>
                <w:b/>
                <w:bCs/>
                <w:color w:val="auto"/>
                <w:szCs w:val="24"/>
                <w:highlight w:val="none"/>
                <w:lang w:val="en-US" w:eastAsia="zh-CN"/>
              </w:rPr>
            </w:pPr>
            <w:r>
              <w:rPr>
                <w:rFonts w:hint="eastAsia" w:ascii="宋体" w:hAnsi="宋体" w:eastAsia="宋体" w:cs="宋体"/>
                <w:b/>
                <w:bCs/>
                <w:color w:val="auto"/>
                <w:szCs w:val="24"/>
                <w:highlight w:val="none"/>
                <w:lang w:val="en-US" w:eastAsia="zh-CN"/>
              </w:rPr>
              <w:t>7.提供针对本次项目《反商业贿赂承诺书》；</w:t>
            </w:r>
          </w:p>
          <w:p w14:paraId="2666AE08">
            <w:pPr>
              <w:pStyle w:val="4"/>
              <w:ind w:firstLine="0"/>
              <w:rPr>
                <w:rFonts w:hint="eastAsia" w:ascii="宋体" w:hAnsi="宋体" w:eastAsia="宋体" w:cs="宋体"/>
                <w:b/>
                <w:bCs/>
                <w:color w:val="auto"/>
                <w:szCs w:val="24"/>
                <w:highlight w:val="none"/>
                <w:lang w:val="en-US" w:eastAsia="zh-CN"/>
              </w:rPr>
            </w:pPr>
            <w:r>
              <w:rPr>
                <w:rFonts w:hint="eastAsia" w:ascii="宋体" w:hAnsi="宋体" w:eastAsia="宋体" w:cs="宋体"/>
                <w:b/>
                <w:bCs/>
                <w:color w:val="auto"/>
                <w:szCs w:val="24"/>
                <w:highlight w:val="none"/>
                <w:lang w:val="en-US" w:eastAsia="zh-CN"/>
              </w:rPr>
              <w:t>8.提供本单位在参加政府采购活动中前三年内无重大违法记录的承诺声明函；</w:t>
            </w:r>
          </w:p>
          <w:p w14:paraId="11AAB233">
            <w:pPr>
              <w:pStyle w:val="4"/>
              <w:ind w:firstLine="0"/>
              <w:rPr>
                <w:rFonts w:hint="eastAsia" w:ascii="宋体" w:hAnsi="宋体" w:eastAsia="宋体" w:cs="宋体"/>
                <w:color w:val="auto"/>
                <w:sz w:val="24"/>
                <w:highlight w:val="none"/>
              </w:rPr>
            </w:pPr>
            <w:r>
              <w:rPr>
                <w:rFonts w:hint="eastAsia" w:ascii="宋体" w:hAnsi="宋体" w:eastAsia="宋体" w:cs="宋体"/>
                <w:b/>
                <w:bCs/>
                <w:color w:val="auto"/>
                <w:szCs w:val="24"/>
                <w:highlight w:val="none"/>
                <w:lang w:val="en-US" w:eastAsia="zh-CN"/>
              </w:rPr>
              <w:t xml:space="preserve">9、投标保证金缴纳凭证或投标担保函；  </w:t>
            </w:r>
          </w:p>
        </w:tc>
      </w:tr>
      <w:tr w14:paraId="535EF1A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06" w:hRule="atLeast"/>
        </w:trPr>
        <w:tc>
          <w:tcPr>
            <w:tcW w:w="1468" w:type="dxa"/>
            <w:noWrap w:val="0"/>
            <w:vAlign w:val="center"/>
          </w:tcPr>
          <w:p w14:paraId="4C906628">
            <w:pPr>
              <w:spacing w:line="240" w:lineRule="atLeas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1.3.5   </w:t>
            </w:r>
          </w:p>
        </w:tc>
        <w:tc>
          <w:tcPr>
            <w:tcW w:w="6840" w:type="dxa"/>
            <w:noWrap w:val="0"/>
            <w:vAlign w:val="center"/>
          </w:tcPr>
          <w:p w14:paraId="3EA12B47">
            <w:pPr>
              <w:spacing w:line="240" w:lineRule="atLeas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是否允许采购进口产品：</w:t>
            </w:r>
            <w:r>
              <w:rPr>
                <w:rFonts w:hint="eastAsia" w:ascii="宋体" w:hAnsi="宋体" w:eastAsia="宋体" w:cs="宋体"/>
                <w:color w:val="auto"/>
                <w:sz w:val="24"/>
                <w:highlight w:val="none"/>
                <w:u w:val="single"/>
              </w:rPr>
              <w:t>否</w:t>
            </w:r>
          </w:p>
        </w:tc>
      </w:tr>
      <w:tr w14:paraId="76B03B8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468" w:type="dxa"/>
            <w:noWrap w:val="0"/>
            <w:vAlign w:val="center"/>
          </w:tcPr>
          <w:p w14:paraId="3CEC6521">
            <w:pPr>
              <w:spacing w:line="240" w:lineRule="atLeast"/>
              <w:ind w:left="1080"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1.3.6</w:t>
            </w:r>
          </w:p>
        </w:tc>
        <w:tc>
          <w:tcPr>
            <w:tcW w:w="6840" w:type="dxa"/>
            <w:noWrap w:val="0"/>
            <w:vAlign w:val="center"/>
          </w:tcPr>
          <w:p w14:paraId="23FD6D64">
            <w:pPr>
              <w:spacing w:line="240" w:lineRule="atLeast"/>
              <w:rPr>
                <w:rFonts w:hint="eastAsia" w:ascii="宋体" w:hAnsi="宋体" w:eastAsia="宋体" w:cs="宋体"/>
                <w:color w:val="auto"/>
                <w:highlight w:val="none"/>
                <w:lang w:val="en-US" w:eastAsia="zh-CN"/>
              </w:rPr>
            </w:pPr>
            <w:r>
              <w:rPr>
                <w:rFonts w:hint="eastAsia" w:ascii="宋体" w:hAnsi="宋体" w:eastAsia="宋体" w:cs="宋体"/>
                <w:color w:val="auto"/>
                <w:sz w:val="24"/>
                <w:highlight w:val="none"/>
              </w:rPr>
              <w:t>是否为专门面向中小企业采购：</w:t>
            </w:r>
            <w:r>
              <w:rPr>
                <w:rFonts w:hint="eastAsia" w:ascii="宋体" w:hAnsi="宋体" w:cs="宋体"/>
                <w:color w:val="auto"/>
                <w:sz w:val="24"/>
                <w:highlight w:val="none"/>
                <w:u w:val="single"/>
                <w:lang w:val="en-US" w:eastAsia="zh-CN"/>
              </w:rPr>
              <w:t>是</w:t>
            </w:r>
          </w:p>
        </w:tc>
      </w:tr>
      <w:tr w14:paraId="2AA8728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38" w:hRule="atLeast"/>
        </w:trPr>
        <w:tc>
          <w:tcPr>
            <w:tcW w:w="1468" w:type="dxa"/>
            <w:noWrap w:val="0"/>
            <w:vAlign w:val="center"/>
          </w:tcPr>
          <w:p w14:paraId="4E5B8AF4">
            <w:pPr>
              <w:spacing w:line="240" w:lineRule="atLeast"/>
              <w:ind w:left="1080"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1.4</w:t>
            </w:r>
          </w:p>
        </w:tc>
        <w:tc>
          <w:tcPr>
            <w:tcW w:w="6840" w:type="dxa"/>
            <w:noWrap w:val="0"/>
            <w:vAlign w:val="center"/>
          </w:tcPr>
          <w:p w14:paraId="4C591005">
            <w:pPr>
              <w:spacing w:line="240" w:lineRule="atLeas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是否允许联合体投标：否</w:t>
            </w:r>
          </w:p>
        </w:tc>
      </w:tr>
      <w:tr w14:paraId="6DA4454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468" w:type="dxa"/>
            <w:noWrap w:val="0"/>
            <w:vAlign w:val="center"/>
          </w:tcPr>
          <w:p w14:paraId="56586C76">
            <w:pPr>
              <w:spacing w:line="240" w:lineRule="atLeast"/>
              <w:ind w:left="1080"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2.2</w:t>
            </w:r>
          </w:p>
        </w:tc>
        <w:tc>
          <w:tcPr>
            <w:tcW w:w="6840" w:type="dxa"/>
            <w:noWrap w:val="0"/>
            <w:vAlign w:val="center"/>
          </w:tcPr>
          <w:p w14:paraId="43999005">
            <w:pPr>
              <w:spacing w:line="240" w:lineRule="atLeast"/>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第一包</w:t>
            </w:r>
            <w:r>
              <w:rPr>
                <w:rFonts w:hint="eastAsia" w:ascii="宋体" w:hAnsi="宋体" w:eastAsia="宋体" w:cs="宋体"/>
                <w:color w:val="auto"/>
                <w:sz w:val="24"/>
                <w:highlight w:val="none"/>
                <w:lang w:val="en-US" w:eastAsia="zh-CN"/>
              </w:rPr>
              <w:t>预算价：</w:t>
            </w:r>
            <w:r>
              <w:rPr>
                <w:rFonts w:hint="eastAsia" w:ascii="宋体" w:hAnsi="宋体" w:cs="宋体"/>
                <w:color w:val="auto"/>
                <w:sz w:val="24"/>
                <w:highlight w:val="none"/>
                <w:lang w:val="en-US" w:eastAsia="zh-CN"/>
              </w:rPr>
              <w:t>1139820.00</w:t>
            </w:r>
            <w:r>
              <w:rPr>
                <w:rFonts w:hint="eastAsia" w:ascii="宋体" w:hAnsi="宋体" w:eastAsia="宋体" w:cs="宋体"/>
                <w:color w:val="auto"/>
                <w:sz w:val="24"/>
                <w:highlight w:val="none"/>
                <w:lang w:val="en-US" w:eastAsia="zh-CN"/>
              </w:rPr>
              <w:t>元；</w:t>
            </w:r>
            <w:r>
              <w:rPr>
                <w:rFonts w:hint="eastAsia" w:ascii="宋体" w:hAnsi="宋体" w:cs="宋体"/>
                <w:color w:val="auto"/>
                <w:sz w:val="24"/>
                <w:highlight w:val="none"/>
                <w:lang w:val="en-US" w:eastAsia="zh-CN"/>
              </w:rPr>
              <w:t>第一包</w:t>
            </w:r>
            <w:r>
              <w:rPr>
                <w:rFonts w:hint="eastAsia" w:ascii="宋体" w:hAnsi="宋体" w:eastAsia="宋体" w:cs="宋体"/>
                <w:color w:val="auto"/>
                <w:sz w:val="24"/>
                <w:highlight w:val="none"/>
                <w:lang w:val="en-US" w:eastAsia="zh-CN"/>
              </w:rPr>
              <w:t>最高限价：</w:t>
            </w:r>
            <w:r>
              <w:rPr>
                <w:rFonts w:hint="eastAsia" w:ascii="宋体" w:hAnsi="宋体" w:cs="宋体"/>
                <w:color w:val="auto"/>
                <w:sz w:val="24"/>
                <w:highlight w:val="none"/>
                <w:lang w:val="en-US" w:eastAsia="zh-CN"/>
              </w:rPr>
              <w:t>1139820.00</w:t>
            </w:r>
            <w:r>
              <w:rPr>
                <w:rFonts w:hint="eastAsia" w:ascii="宋体" w:hAnsi="宋体" w:eastAsia="宋体" w:cs="宋体"/>
                <w:color w:val="auto"/>
                <w:sz w:val="24"/>
                <w:highlight w:val="none"/>
                <w:lang w:val="en-US" w:eastAsia="zh-CN"/>
              </w:rPr>
              <w:t>元；</w:t>
            </w:r>
            <w:r>
              <w:rPr>
                <w:rFonts w:hint="eastAsia" w:ascii="宋体" w:hAnsi="宋体" w:cs="宋体"/>
                <w:color w:val="auto"/>
                <w:sz w:val="24"/>
                <w:highlight w:val="none"/>
                <w:lang w:val="en-US" w:eastAsia="zh-CN"/>
              </w:rPr>
              <w:t>第二包</w:t>
            </w:r>
            <w:r>
              <w:rPr>
                <w:rFonts w:hint="eastAsia" w:ascii="宋体" w:hAnsi="宋体" w:eastAsia="宋体" w:cs="宋体"/>
                <w:color w:val="auto"/>
                <w:sz w:val="24"/>
                <w:highlight w:val="none"/>
                <w:lang w:val="en-US" w:eastAsia="zh-CN"/>
              </w:rPr>
              <w:t>预算价：</w:t>
            </w:r>
            <w:r>
              <w:rPr>
                <w:rFonts w:hint="eastAsia" w:ascii="宋体" w:hAnsi="宋体" w:cs="宋体"/>
                <w:color w:val="auto"/>
                <w:sz w:val="24"/>
                <w:highlight w:val="none"/>
                <w:lang w:val="en-US" w:eastAsia="zh-CN"/>
              </w:rPr>
              <w:t>659390.00</w:t>
            </w:r>
            <w:r>
              <w:rPr>
                <w:rFonts w:hint="eastAsia" w:ascii="宋体" w:hAnsi="宋体" w:eastAsia="宋体" w:cs="宋体"/>
                <w:color w:val="auto"/>
                <w:sz w:val="24"/>
                <w:highlight w:val="none"/>
                <w:lang w:val="en-US" w:eastAsia="zh-CN"/>
              </w:rPr>
              <w:t>元；</w:t>
            </w:r>
            <w:r>
              <w:rPr>
                <w:rFonts w:hint="eastAsia" w:ascii="宋体" w:hAnsi="宋体" w:cs="宋体"/>
                <w:color w:val="auto"/>
                <w:sz w:val="24"/>
                <w:highlight w:val="none"/>
                <w:lang w:val="en-US" w:eastAsia="zh-CN"/>
              </w:rPr>
              <w:t>第二包</w:t>
            </w:r>
            <w:r>
              <w:rPr>
                <w:rFonts w:hint="eastAsia" w:ascii="宋体" w:hAnsi="宋体" w:eastAsia="宋体" w:cs="宋体"/>
                <w:color w:val="auto"/>
                <w:sz w:val="24"/>
                <w:highlight w:val="none"/>
                <w:lang w:val="en-US" w:eastAsia="zh-CN"/>
              </w:rPr>
              <w:t>最高限价：</w:t>
            </w:r>
            <w:r>
              <w:rPr>
                <w:rFonts w:hint="eastAsia" w:ascii="宋体" w:hAnsi="宋体" w:cs="宋体"/>
                <w:color w:val="auto"/>
                <w:sz w:val="24"/>
                <w:highlight w:val="none"/>
                <w:lang w:val="en-US" w:eastAsia="zh-CN"/>
              </w:rPr>
              <w:t>659390.00</w:t>
            </w:r>
            <w:r>
              <w:rPr>
                <w:rFonts w:hint="eastAsia" w:ascii="宋体" w:hAnsi="宋体" w:eastAsia="宋体" w:cs="宋体"/>
                <w:color w:val="auto"/>
                <w:sz w:val="24"/>
                <w:highlight w:val="none"/>
                <w:lang w:val="en-US" w:eastAsia="zh-CN"/>
              </w:rPr>
              <w:t>元；</w:t>
            </w:r>
            <w:r>
              <w:rPr>
                <w:rFonts w:hint="eastAsia" w:ascii="宋体" w:hAnsi="宋体" w:cs="宋体"/>
                <w:color w:val="auto"/>
                <w:sz w:val="24"/>
                <w:highlight w:val="none"/>
                <w:lang w:val="en-US" w:eastAsia="zh-CN"/>
              </w:rPr>
              <w:t>第三包</w:t>
            </w:r>
            <w:r>
              <w:rPr>
                <w:rFonts w:hint="eastAsia" w:ascii="宋体" w:hAnsi="宋体" w:eastAsia="宋体" w:cs="宋体"/>
                <w:color w:val="auto"/>
                <w:sz w:val="24"/>
                <w:highlight w:val="none"/>
                <w:lang w:val="en-US" w:eastAsia="zh-CN"/>
              </w:rPr>
              <w:t>预算价：</w:t>
            </w:r>
            <w:r>
              <w:rPr>
                <w:rFonts w:hint="eastAsia" w:ascii="宋体" w:hAnsi="宋体" w:cs="宋体"/>
                <w:color w:val="auto"/>
                <w:sz w:val="24"/>
                <w:highlight w:val="none"/>
                <w:lang w:val="en-US" w:eastAsia="zh-CN"/>
              </w:rPr>
              <w:t>750000</w:t>
            </w:r>
            <w:r>
              <w:rPr>
                <w:rFonts w:hint="eastAsia" w:ascii="宋体" w:hAnsi="宋体" w:eastAsia="宋体" w:cs="宋体"/>
                <w:color w:val="auto"/>
                <w:sz w:val="24"/>
                <w:highlight w:val="none"/>
                <w:lang w:val="en-US" w:eastAsia="zh-CN"/>
              </w:rPr>
              <w:t>.00元；</w:t>
            </w:r>
            <w:r>
              <w:rPr>
                <w:rFonts w:hint="eastAsia" w:ascii="宋体" w:hAnsi="宋体" w:cs="宋体"/>
                <w:color w:val="auto"/>
                <w:sz w:val="24"/>
                <w:highlight w:val="none"/>
                <w:lang w:val="en-US" w:eastAsia="zh-CN"/>
              </w:rPr>
              <w:t>第三包</w:t>
            </w:r>
            <w:r>
              <w:rPr>
                <w:rFonts w:hint="eastAsia" w:ascii="宋体" w:hAnsi="宋体" w:eastAsia="宋体" w:cs="宋体"/>
                <w:color w:val="auto"/>
                <w:sz w:val="24"/>
                <w:highlight w:val="none"/>
                <w:lang w:val="en-US" w:eastAsia="zh-CN"/>
              </w:rPr>
              <w:t>最高限价：</w:t>
            </w:r>
            <w:r>
              <w:rPr>
                <w:rFonts w:hint="eastAsia" w:ascii="宋体" w:hAnsi="宋体" w:cs="宋体"/>
                <w:color w:val="auto"/>
                <w:sz w:val="24"/>
                <w:highlight w:val="none"/>
                <w:lang w:val="en-US" w:eastAsia="zh-CN"/>
              </w:rPr>
              <w:t>750000</w:t>
            </w:r>
            <w:r>
              <w:rPr>
                <w:rFonts w:hint="eastAsia" w:ascii="宋体" w:hAnsi="宋体" w:eastAsia="宋体" w:cs="宋体"/>
                <w:color w:val="auto"/>
                <w:sz w:val="24"/>
                <w:highlight w:val="none"/>
                <w:lang w:val="en-US" w:eastAsia="zh-CN"/>
              </w:rPr>
              <w:t>.00元；</w:t>
            </w:r>
          </w:p>
        </w:tc>
      </w:tr>
      <w:tr w14:paraId="6BFE435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92" w:hRule="atLeast"/>
        </w:trPr>
        <w:tc>
          <w:tcPr>
            <w:tcW w:w="1468" w:type="dxa"/>
            <w:noWrap w:val="0"/>
            <w:vAlign w:val="center"/>
          </w:tcPr>
          <w:p w14:paraId="62E33F4C">
            <w:pPr>
              <w:spacing w:line="240" w:lineRule="atLeast"/>
              <w:ind w:left="1080"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8.1</w:t>
            </w:r>
          </w:p>
        </w:tc>
        <w:tc>
          <w:tcPr>
            <w:tcW w:w="6840" w:type="dxa"/>
            <w:noWrap w:val="0"/>
            <w:vAlign w:val="center"/>
          </w:tcPr>
          <w:p w14:paraId="4228BD19">
            <w:pPr>
              <w:spacing w:line="240" w:lineRule="atLeas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如投标商对多个包进行投标，可以中标</w:t>
            </w:r>
            <w:r>
              <w:rPr>
                <w:rFonts w:hint="eastAsia" w:ascii="宋体" w:hAnsi="宋体" w:eastAsia="宋体" w:cs="宋体"/>
                <w:color w:val="auto"/>
                <w:sz w:val="24"/>
                <w:highlight w:val="none"/>
                <w:u w:val="single"/>
              </w:rPr>
              <w:t xml:space="preserve"> </w:t>
            </w:r>
            <w:r>
              <w:rPr>
                <w:rFonts w:hint="eastAsia" w:ascii="宋体" w:hAnsi="宋体" w:cs="宋体"/>
                <w:color w:val="auto"/>
                <w:sz w:val="24"/>
                <w:highlight w:val="none"/>
                <w:u w:val="single"/>
                <w:lang w:val="en-US" w:eastAsia="zh-CN"/>
              </w:rPr>
              <w:t>1</w:t>
            </w:r>
            <w:r>
              <w:rPr>
                <w:rFonts w:hint="eastAsia" w:ascii="宋体" w:hAnsi="宋体" w:eastAsia="宋体" w:cs="宋体"/>
                <w:color w:val="auto"/>
                <w:sz w:val="24"/>
                <w:highlight w:val="none"/>
              </w:rPr>
              <w:t>包</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不能兼中兼得</w:t>
            </w:r>
            <w:r>
              <w:rPr>
                <w:rFonts w:hint="eastAsia" w:ascii="宋体" w:hAnsi="宋体" w:cs="宋体"/>
                <w:color w:val="auto"/>
                <w:sz w:val="24"/>
                <w:highlight w:val="none"/>
                <w:lang w:eastAsia="zh-CN"/>
              </w:rPr>
              <w:t>）</w:t>
            </w:r>
          </w:p>
        </w:tc>
      </w:tr>
      <w:tr w14:paraId="48905A6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0" w:hRule="atLeast"/>
        </w:trPr>
        <w:tc>
          <w:tcPr>
            <w:tcW w:w="1468" w:type="dxa"/>
            <w:noWrap w:val="0"/>
            <w:vAlign w:val="center"/>
          </w:tcPr>
          <w:p w14:paraId="26ABFB2E">
            <w:pPr>
              <w:spacing w:line="240" w:lineRule="atLeast"/>
              <w:ind w:left="1080"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12.1</w:t>
            </w:r>
          </w:p>
        </w:tc>
        <w:tc>
          <w:tcPr>
            <w:tcW w:w="6840" w:type="dxa"/>
            <w:noWrap w:val="0"/>
            <w:vAlign w:val="center"/>
          </w:tcPr>
          <w:p w14:paraId="68A0C829">
            <w:pPr>
              <w:spacing w:line="240" w:lineRule="atLeast"/>
              <w:rPr>
                <w:rFonts w:hint="eastAsia" w:ascii="宋体" w:hAnsi="宋体" w:eastAsia="宋体" w:cs="宋体"/>
                <w:color w:val="auto"/>
                <w:sz w:val="24"/>
                <w:highlight w:val="none"/>
              </w:rPr>
            </w:pPr>
            <w:r>
              <w:rPr>
                <w:rFonts w:hint="eastAsia" w:ascii="宋体" w:hAnsi="宋体" w:eastAsia="宋体" w:cs="宋体"/>
                <w:color w:val="auto"/>
                <w:sz w:val="24"/>
                <w:highlight w:val="none"/>
              </w:rPr>
              <w:t>保证金形式：☑保函  ☑电汇  ☑支票</w:t>
            </w:r>
          </w:p>
          <w:p w14:paraId="695EAF1B">
            <w:pPr>
              <w:spacing w:line="240" w:lineRule="atLeas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 xml:space="preserve">网银 （本项目允许的其他形式） </w:t>
            </w:r>
          </w:p>
          <w:p w14:paraId="22046E64">
            <w:pPr>
              <w:spacing w:line="240" w:lineRule="atLeast"/>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第一包</w:t>
            </w:r>
            <w:r>
              <w:rPr>
                <w:rFonts w:hint="eastAsia" w:ascii="宋体" w:hAnsi="宋体" w:eastAsia="宋体" w:cs="宋体"/>
                <w:color w:val="auto"/>
                <w:sz w:val="24"/>
                <w:highlight w:val="none"/>
                <w:lang w:val="en-US" w:eastAsia="zh-CN"/>
              </w:rPr>
              <w:t>保证金数额：</w:t>
            </w:r>
            <w:r>
              <w:rPr>
                <w:rFonts w:hint="eastAsia" w:ascii="宋体" w:hAnsi="宋体" w:cs="宋体"/>
                <w:color w:val="auto"/>
                <w:sz w:val="24"/>
                <w:highlight w:val="none"/>
                <w:lang w:val="en-US" w:eastAsia="zh-CN"/>
              </w:rPr>
              <w:t>11</w:t>
            </w:r>
            <w:r>
              <w:rPr>
                <w:rFonts w:hint="eastAsia" w:ascii="宋体" w:hAnsi="宋体" w:eastAsia="宋体" w:cs="宋体"/>
                <w:color w:val="auto"/>
                <w:sz w:val="24"/>
                <w:highlight w:val="none"/>
                <w:lang w:val="en-US" w:eastAsia="zh-CN"/>
              </w:rPr>
              <w:t>000.00元（</w:t>
            </w:r>
            <w:r>
              <w:rPr>
                <w:rFonts w:hint="eastAsia" w:ascii="宋体" w:hAnsi="宋体" w:cs="宋体"/>
                <w:color w:val="auto"/>
                <w:sz w:val="24"/>
                <w:highlight w:val="none"/>
                <w:lang w:val="en-US" w:eastAsia="zh-CN"/>
              </w:rPr>
              <w:t>壹万壹仟元整</w:t>
            </w:r>
            <w:r>
              <w:rPr>
                <w:rFonts w:hint="eastAsia" w:ascii="宋体" w:hAnsi="宋体" w:eastAsia="宋体" w:cs="宋体"/>
                <w:color w:val="auto"/>
                <w:sz w:val="24"/>
                <w:highlight w:val="none"/>
                <w:lang w:val="en-US" w:eastAsia="zh-CN"/>
              </w:rPr>
              <w:t>）</w:t>
            </w:r>
          </w:p>
          <w:p w14:paraId="4E138759">
            <w:pPr>
              <w:spacing w:line="240" w:lineRule="atLeast"/>
              <w:rPr>
                <w:rFonts w:hint="eastAsia"/>
                <w:color w:val="auto"/>
                <w:highlight w:val="none"/>
                <w:lang w:val="en-US" w:eastAsia="zh-CN"/>
              </w:rPr>
            </w:pPr>
            <w:r>
              <w:rPr>
                <w:rFonts w:hint="eastAsia" w:ascii="宋体" w:hAnsi="宋体" w:cs="宋体"/>
                <w:color w:val="auto"/>
                <w:sz w:val="24"/>
                <w:highlight w:val="none"/>
                <w:lang w:val="en-US" w:eastAsia="zh-CN"/>
              </w:rPr>
              <w:t>第二包</w:t>
            </w:r>
            <w:r>
              <w:rPr>
                <w:rFonts w:hint="eastAsia" w:ascii="宋体" w:hAnsi="宋体" w:eastAsia="宋体" w:cs="宋体"/>
                <w:color w:val="auto"/>
                <w:sz w:val="24"/>
                <w:highlight w:val="none"/>
                <w:lang w:val="en-US" w:eastAsia="zh-CN"/>
              </w:rPr>
              <w:t>保证金数额：</w:t>
            </w:r>
            <w:r>
              <w:rPr>
                <w:rFonts w:hint="eastAsia" w:ascii="宋体" w:hAnsi="宋体" w:cs="宋体"/>
                <w:color w:val="auto"/>
                <w:sz w:val="24"/>
                <w:highlight w:val="none"/>
                <w:lang w:val="en-US" w:eastAsia="zh-CN"/>
              </w:rPr>
              <w:t>6500</w:t>
            </w:r>
            <w:r>
              <w:rPr>
                <w:rFonts w:hint="eastAsia" w:ascii="宋体" w:hAnsi="宋体" w:eastAsia="宋体" w:cs="宋体"/>
                <w:color w:val="auto"/>
                <w:sz w:val="24"/>
                <w:highlight w:val="none"/>
                <w:lang w:val="en-US" w:eastAsia="zh-CN"/>
              </w:rPr>
              <w:t>.00元（</w:t>
            </w:r>
            <w:r>
              <w:rPr>
                <w:rFonts w:hint="eastAsia" w:ascii="宋体" w:hAnsi="宋体" w:cs="宋体"/>
                <w:color w:val="auto"/>
                <w:sz w:val="24"/>
                <w:highlight w:val="none"/>
                <w:lang w:val="en-US" w:eastAsia="zh-CN"/>
              </w:rPr>
              <w:t>陆仟伍佰元整</w:t>
            </w:r>
            <w:r>
              <w:rPr>
                <w:rFonts w:hint="eastAsia" w:ascii="宋体" w:hAnsi="宋体" w:eastAsia="宋体" w:cs="宋体"/>
                <w:color w:val="auto"/>
                <w:sz w:val="24"/>
                <w:highlight w:val="none"/>
                <w:lang w:val="en-US" w:eastAsia="zh-CN"/>
              </w:rPr>
              <w:t>）</w:t>
            </w:r>
          </w:p>
          <w:p w14:paraId="4EBDB12A">
            <w:pPr>
              <w:spacing w:line="240" w:lineRule="atLeast"/>
              <w:rPr>
                <w:rFonts w:hint="eastAsia"/>
                <w:color w:val="auto"/>
                <w:highlight w:val="none"/>
                <w:lang w:val="en-US" w:eastAsia="zh-CN"/>
              </w:rPr>
            </w:pPr>
            <w:r>
              <w:rPr>
                <w:rFonts w:hint="eastAsia" w:ascii="宋体" w:hAnsi="宋体" w:cs="宋体"/>
                <w:color w:val="auto"/>
                <w:sz w:val="24"/>
                <w:highlight w:val="none"/>
                <w:lang w:val="en-US" w:eastAsia="zh-CN"/>
              </w:rPr>
              <w:t>第三包</w:t>
            </w:r>
            <w:r>
              <w:rPr>
                <w:rFonts w:hint="eastAsia" w:ascii="宋体" w:hAnsi="宋体" w:eastAsia="宋体" w:cs="宋体"/>
                <w:color w:val="auto"/>
                <w:sz w:val="24"/>
                <w:highlight w:val="none"/>
                <w:lang w:val="en-US" w:eastAsia="zh-CN"/>
              </w:rPr>
              <w:t>保证金数额：</w:t>
            </w:r>
            <w:r>
              <w:rPr>
                <w:rFonts w:hint="eastAsia" w:ascii="宋体" w:hAnsi="宋体" w:cs="宋体"/>
                <w:color w:val="auto"/>
                <w:sz w:val="24"/>
                <w:highlight w:val="none"/>
                <w:lang w:val="en-US" w:eastAsia="zh-CN"/>
              </w:rPr>
              <w:t>75</w:t>
            </w:r>
            <w:r>
              <w:rPr>
                <w:rFonts w:hint="eastAsia" w:ascii="宋体" w:hAnsi="宋体" w:eastAsia="宋体" w:cs="宋体"/>
                <w:color w:val="auto"/>
                <w:sz w:val="24"/>
                <w:highlight w:val="none"/>
                <w:lang w:val="en-US" w:eastAsia="zh-CN"/>
              </w:rPr>
              <w:t>00.00元（</w:t>
            </w:r>
            <w:r>
              <w:rPr>
                <w:rFonts w:hint="eastAsia" w:ascii="宋体" w:hAnsi="宋体" w:cs="宋体"/>
                <w:color w:val="auto"/>
                <w:sz w:val="24"/>
                <w:highlight w:val="none"/>
                <w:lang w:val="en-US" w:eastAsia="zh-CN"/>
              </w:rPr>
              <w:t>柒仟伍佰元整</w:t>
            </w:r>
            <w:r>
              <w:rPr>
                <w:rFonts w:hint="eastAsia" w:ascii="宋体" w:hAnsi="宋体" w:eastAsia="宋体" w:cs="宋体"/>
                <w:color w:val="auto"/>
                <w:sz w:val="24"/>
                <w:highlight w:val="none"/>
                <w:lang w:val="en-US" w:eastAsia="zh-CN"/>
              </w:rPr>
              <w:t>）</w:t>
            </w:r>
          </w:p>
          <w:p w14:paraId="6A87607D">
            <w:pPr>
              <w:spacing w:line="240" w:lineRule="atLeas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开户名称：新疆中高正建设项目管理咨询有限公司</w:t>
            </w:r>
          </w:p>
          <w:p w14:paraId="2145711D">
            <w:pPr>
              <w:spacing w:line="240" w:lineRule="atLeas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开户银行：中国银行股份有限公司喀什市解放北路支行</w:t>
            </w:r>
          </w:p>
          <w:p w14:paraId="76E66D4E">
            <w:pPr>
              <w:spacing w:line="240" w:lineRule="atLeas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行号：104894001087</w:t>
            </w:r>
          </w:p>
          <w:p w14:paraId="1DE4F259">
            <w:pPr>
              <w:spacing w:line="240" w:lineRule="atLeas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账号：107081843720</w:t>
            </w:r>
          </w:p>
          <w:p w14:paraId="74B355A2">
            <w:pPr>
              <w:spacing w:line="240" w:lineRule="atLeast"/>
              <w:rPr>
                <w:rFonts w:hint="eastAsia" w:ascii="宋体" w:hAnsi="宋体" w:eastAsia="宋体" w:cs="宋体"/>
                <w:b w:val="0"/>
                <w:bCs w:val="0"/>
                <w:color w:val="auto"/>
                <w:sz w:val="24"/>
                <w:highlight w:val="none"/>
                <w:u w:val="none"/>
                <w:lang w:val="en-US" w:eastAsia="zh-CN"/>
              </w:rPr>
            </w:pPr>
            <w:r>
              <w:rPr>
                <w:rFonts w:hint="eastAsia" w:ascii="宋体" w:hAnsi="宋体" w:eastAsia="宋体" w:cs="宋体"/>
                <w:b w:val="0"/>
                <w:bCs w:val="0"/>
                <w:color w:val="auto"/>
                <w:sz w:val="24"/>
                <w:highlight w:val="none"/>
                <w:u w:val="none"/>
                <w:lang w:val="en-US" w:eastAsia="zh-CN"/>
              </w:rPr>
              <w:t>到账截止时间：</w:t>
            </w:r>
            <w:r>
              <w:rPr>
                <w:rFonts w:hint="eastAsia" w:ascii="宋体" w:hAnsi="宋体" w:cs="宋体"/>
                <w:b w:val="0"/>
                <w:bCs w:val="0"/>
                <w:color w:val="auto"/>
                <w:sz w:val="24"/>
                <w:highlight w:val="none"/>
                <w:u w:val="none"/>
                <w:lang w:val="en-US" w:eastAsia="zh-CN"/>
              </w:rPr>
              <w:t>2025年4月18日10:30</w:t>
            </w:r>
            <w:r>
              <w:rPr>
                <w:rFonts w:hint="eastAsia" w:ascii="宋体" w:hAnsi="宋体" w:eastAsia="宋体" w:cs="宋体"/>
                <w:b w:val="0"/>
                <w:bCs w:val="0"/>
                <w:color w:val="auto"/>
                <w:sz w:val="24"/>
                <w:highlight w:val="none"/>
                <w:u w:val="none"/>
                <w:lang w:val="en-US" w:eastAsia="zh-CN"/>
              </w:rPr>
              <w:t>（北京时间）。</w:t>
            </w:r>
          </w:p>
          <w:p w14:paraId="211BFEE2">
            <w:pPr>
              <w:spacing w:line="240" w:lineRule="atLeast"/>
              <w:rPr>
                <w:rFonts w:hint="eastAsia" w:ascii="宋体" w:hAnsi="宋体" w:eastAsia="宋体" w:cs="宋体"/>
                <w:b w:val="0"/>
                <w:bCs w:val="0"/>
                <w:color w:val="auto"/>
                <w:sz w:val="24"/>
                <w:highlight w:val="none"/>
                <w:u w:val="none"/>
                <w:lang w:val="en-US" w:eastAsia="zh-CN"/>
              </w:rPr>
            </w:pPr>
            <w:r>
              <w:rPr>
                <w:rFonts w:hint="eastAsia" w:ascii="宋体" w:hAnsi="宋体" w:eastAsia="宋体" w:cs="宋体"/>
                <w:b w:val="0"/>
                <w:bCs w:val="0"/>
                <w:color w:val="auto"/>
                <w:sz w:val="24"/>
                <w:highlight w:val="none"/>
                <w:u w:val="none"/>
                <w:lang w:val="en-US" w:eastAsia="zh-CN"/>
              </w:rPr>
              <w:t xml:space="preserve">打款后请联系我方确认是否到账。  </w:t>
            </w:r>
          </w:p>
          <w:p w14:paraId="24164170">
            <w:pPr>
              <w:spacing w:line="240" w:lineRule="atLeast"/>
              <w:rPr>
                <w:rFonts w:hint="eastAsia" w:ascii="宋体" w:hAnsi="宋体" w:eastAsia="宋体" w:cs="宋体"/>
                <w:color w:val="auto"/>
                <w:highlight w:val="none"/>
              </w:rPr>
            </w:pPr>
            <w:r>
              <w:rPr>
                <w:rFonts w:hint="eastAsia" w:ascii="宋体" w:hAnsi="宋体" w:eastAsia="宋体" w:cs="宋体"/>
                <w:b w:val="0"/>
                <w:bCs w:val="0"/>
                <w:color w:val="auto"/>
                <w:sz w:val="24"/>
                <w:highlight w:val="none"/>
                <w:u w:val="none"/>
                <w:lang w:val="en-US" w:eastAsia="zh-CN"/>
              </w:rPr>
              <w:t>联系电话：</w:t>
            </w:r>
            <w:r>
              <w:rPr>
                <w:rFonts w:hint="eastAsia" w:ascii="宋体" w:hAnsi="宋体" w:cs="宋体"/>
                <w:color w:val="auto"/>
                <w:sz w:val="24"/>
                <w:highlight w:val="none"/>
                <w:lang w:val="en-US" w:eastAsia="zh-CN"/>
              </w:rPr>
              <w:t>18197656947</w:t>
            </w:r>
          </w:p>
        </w:tc>
      </w:tr>
      <w:tr w14:paraId="259B7DB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4" w:hRule="atLeast"/>
        </w:trPr>
        <w:tc>
          <w:tcPr>
            <w:tcW w:w="1468" w:type="dxa"/>
            <w:noWrap w:val="0"/>
            <w:vAlign w:val="center"/>
          </w:tcPr>
          <w:p w14:paraId="577F5AA2">
            <w:pPr>
              <w:spacing w:line="240" w:lineRule="atLeast"/>
              <w:ind w:left="1080"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13.1</w:t>
            </w:r>
          </w:p>
        </w:tc>
        <w:tc>
          <w:tcPr>
            <w:tcW w:w="6840" w:type="dxa"/>
            <w:noWrap w:val="0"/>
            <w:vAlign w:val="center"/>
          </w:tcPr>
          <w:p w14:paraId="77FC7A5E">
            <w:pPr>
              <w:spacing w:line="240" w:lineRule="atLeast"/>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投标有效期：</w:t>
            </w:r>
            <w:r>
              <w:rPr>
                <w:rFonts w:hint="eastAsia" w:ascii="宋体" w:hAnsi="宋体" w:eastAsia="宋体" w:cs="宋体"/>
                <w:color w:val="auto"/>
                <w:sz w:val="24"/>
                <w:highlight w:val="none"/>
                <w:u w:val="single"/>
              </w:rPr>
              <w:t>9</w:t>
            </w:r>
            <w:r>
              <w:rPr>
                <w:rFonts w:hint="eastAsia" w:ascii="宋体" w:hAnsi="宋体" w:eastAsia="宋体" w:cs="宋体"/>
                <w:color w:val="auto"/>
                <w:sz w:val="24"/>
                <w:highlight w:val="none"/>
                <w:u w:val="single"/>
                <w:lang w:val="en-US" w:eastAsia="zh-CN"/>
              </w:rPr>
              <w:t>0</w:t>
            </w:r>
            <w:r>
              <w:rPr>
                <w:rFonts w:hint="eastAsia" w:ascii="宋体" w:hAnsi="宋体" w:eastAsia="宋体" w:cs="宋体"/>
                <w:color w:val="auto"/>
                <w:sz w:val="24"/>
                <w:highlight w:val="none"/>
              </w:rPr>
              <w:t>日历日</w:t>
            </w:r>
          </w:p>
        </w:tc>
      </w:tr>
      <w:tr w14:paraId="07AC417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50" w:hRule="atLeast"/>
        </w:trPr>
        <w:tc>
          <w:tcPr>
            <w:tcW w:w="1468" w:type="dxa"/>
            <w:noWrap w:val="0"/>
            <w:vAlign w:val="center"/>
          </w:tcPr>
          <w:p w14:paraId="4B2A965B">
            <w:pPr>
              <w:spacing w:line="240" w:lineRule="atLeast"/>
              <w:ind w:left="1080"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14.1</w:t>
            </w:r>
          </w:p>
        </w:tc>
        <w:tc>
          <w:tcPr>
            <w:tcW w:w="6840" w:type="dxa"/>
            <w:noWrap w:val="0"/>
            <w:vAlign w:val="center"/>
          </w:tcPr>
          <w:p w14:paraId="4C0FB71E">
            <w:pPr>
              <w:spacing w:line="240" w:lineRule="atLeast"/>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u w:val="single"/>
              </w:rPr>
              <w:t>本项目实行全流程电子化“不见面”网上开标，请各潜在投标人自行下载学习（新疆政府采购网下载专区）注：投标截止时间前按要求在政采云上传电子版投标文件。</w:t>
            </w:r>
          </w:p>
        </w:tc>
      </w:tr>
      <w:tr w14:paraId="1201137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468" w:type="dxa"/>
            <w:noWrap w:val="0"/>
            <w:vAlign w:val="center"/>
          </w:tcPr>
          <w:p w14:paraId="22F54355">
            <w:pPr>
              <w:spacing w:line="240" w:lineRule="atLeast"/>
              <w:ind w:left="1080"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16.1</w:t>
            </w:r>
          </w:p>
        </w:tc>
        <w:tc>
          <w:tcPr>
            <w:tcW w:w="6840" w:type="dxa"/>
            <w:noWrap w:val="0"/>
            <w:vAlign w:val="center"/>
          </w:tcPr>
          <w:p w14:paraId="35FE3881">
            <w:pPr>
              <w:spacing w:line="240" w:lineRule="atLeast"/>
              <w:rPr>
                <w:rFonts w:hint="eastAsia" w:ascii="宋体" w:hAnsi="宋体" w:eastAsia="宋体" w:cs="宋体"/>
                <w:color w:val="auto"/>
                <w:sz w:val="24"/>
                <w:szCs w:val="32"/>
                <w:highlight w:val="none"/>
                <w:lang w:eastAsia="zh-CN"/>
              </w:rPr>
            </w:pPr>
            <w:r>
              <w:rPr>
                <w:rFonts w:hint="eastAsia" w:ascii="宋体" w:hAnsi="宋体" w:eastAsia="宋体" w:cs="宋体"/>
                <w:color w:val="auto"/>
                <w:sz w:val="24"/>
                <w:szCs w:val="32"/>
                <w:highlight w:val="none"/>
              </w:rPr>
              <w:t>提交投标文件截止时间：</w:t>
            </w:r>
            <w:r>
              <w:rPr>
                <w:rFonts w:hint="eastAsia" w:ascii="宋体" w:hAnsi="宋体" w:cs="宋体"/>
                <w:b w:val="0"/>
                <w:bCs w:val="0"/>
                <w:color w:val="auto"/>
                <w:sz w:val="24"/>
                <w:highlight w:val="none"/>
                <w:u w:val="none"/>
                <w:lang w:val="en-US" w:eastAsia="zh-CN"/>
              </w:rPr>
              <w:t>2025年4月18日10:30</w:t>
            </w:r>
            <w:r>
              <w:rPr>
                <w:rFonts w:hint="eastAsia" w:ascii="宋体" w:hAnsi="宋体" w:eastAsia="宋体" w:cs="宋体"/>
                <w:color w:val="auto"/>
                <w:sz w:val="24"/>
                <w:szCs w:val="32"/>
                <w:highlight w:val="none"/>
                <w:lang w:eastAsia="zh-CN"/>
              </w:rPr>
              <w:t>（北京时间）</w:t>
            </w:r>
          </w:p>
          <w:p w14:paraId="750AFBF2">
            <w:pPr>
              <w:spacing w:line="240" w:lineRule="atLeast"/>
              <w:rPr>
                <w:rFonts w:hint="eastAsia" w:ascii="宋体" w:hAnsi="宋体" w:eastAsia="宋体" w:cs="宋体"/>
                <w:color w:val="auto"/>
                <w:highlight w:val="none"/>
              </w:rPr>
            </w:pPr>
            <w:r>
              <w:rPr>
                <w:rFonts w:hint="eastAsia" w:ascii="宋体" w:hAnsi="宋体" w:eastAsia="宋体" w:cs="宋体"/>
                <w:color w:val="auto"/>
                <w:sz w:val="24"/>
                <w:szCs w:val="32"/>
                <w:highlight w:val="none"/>
                <w:lang w:val="en-US" w:eastAsia="zh-CN"/>
              </w:rPr>
              <w:t>投标地点（网址）：</w:t>
            </w:r>
            <w:r>
              <w:rPr>
                <w:rFonts w:hint="eastAsia" w:ascii="宋体" w:hAnsi="宋体" w:eastAsia="宋体" w:cs="宋体"/>
                <w:color w:val="auto"/>
                <w:sz w:val="24"/>
                <w:szCs w:val="32"/>
                <w:highlight w:val="none"/>
                <w:lang w:val="en-US" w:eastAsia="zh-CN"/>
              </w:rPr>
              <w:fldChar w:fldCharType="begin"/>
            </w:r>
            <w:r>
              <w:rPr>
                <w:rFonts w:hint="eastAsia" w:ascii="宋体" w:hAnsi="宋体" w:eastAsia="宋体" w:cs="宋体"/>
                <w:color w:val="auto"/>
                <w:sz w:val="24"/>
                <w:szCs w:val="32"/>
                <w:highlight w:val="none"/>
                <w:lang w:val="en-US" w:eastAsia="zh-CN"/>
              </w:rPr>
              <w:instrText xml:space="preserve"> HYPERLINK "https://www.zcygov.cn" </w:instrText>
            </w:r>
            <w:r>
              <w:rPr>
                <w:rFonts w:hint="eastAsia" w:ascii="宋体" w:hAnsi="宋体" w:eastAsia="宋体" w:cs="宋体"/>
                <w:color w:val="auto"/>
                <w:sz w:val="24"/>
                <w:szCs w:val="32"/>
                <w:highlight w:val="none"/>
                <w:lang w:val="en-US" w:eastAsia="zh-CN"/>
              </w:rPr>
              <w:fldChar w:fldCharType="separate"/>
            </w:r>
            <w:r>
              <w:rPr>
                <w:rFonts w:hint="eastAsia" w:ascii="宋体" w:hAnsi="宋体" w:eastAsia="宋体" w:cs="宋体"/>
                <w:color w:val="auto"/>
                <w:sz w:val="24"/>
                <w:szCs w:val="32"/>
                <w:highlight w:val="none"/>
                <w:lang w:val="en-US" w:eastAsia="zh-CN"/>
              </w:rPr>
              <w:t>https://www.zcygov.cn</w:t>
            </w:r>
            <w:r>
              <w:rPr>
                <w:rFonts w:hint="eastAsia" w:ascii="宋体" w:hAnsi="宋体" w:eastAsia="宋体" w:cs="宋体"/>
                <w:color w:val="auto"/>
                <w:sz w:val="24"/>
                <w:szCs w:val="32"/>
                <w:highlight w:val="none"/>
                <w:lang w:val="en-US" w:eastAsia="zh-CN"/>
              </w:rPr>
              <w:fldChar w:fldCharType="end"/>
            </w:r>
            <w:r>
              <w:rPr>
                <w:rFonts w:hint="eastAsia" w:ascii="宋体" w:hAnsi="宋体" w:eastAsia="宋体" w:cs="宋体"/>
                <w:color w:val="auto"/>
                <w:sz w:val="24"/>
                <w:szCs w:val="32"/>
                <w:highlight w:val="none"/>
                <w:lang w:val="en-US" w:eastAsia="zh-CN"/>
              </w:rPr>
              <w:t>在线投标</w:t>
            </w:r>
          </w:p>
        </w:tc>
      </w:tr>
      <w:tr w14:paraId="38E0005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468" w:type="dxa"/>
            <w:noWrap w:val="0"/>
            <w:vAlign w:val="center"/>
          </w:tcPr>
          <w:p w14:paraId="0D3217FD">
            <w:pPr>
              <w:spacing w:line="240" w:lineRule="atLeast"/>
              <w:ind w:left="1080"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18.1</w:t>
            </w:r>
          </w:p>
        </w:tc>
        <w:tc>
          <w:tcPr>
            <w:tcW w:w="6840" w:type="dxa"/>
            <w:noWrap w:val="0"/>
            <w:vAlign w:val="center"/>
          </w:tcPr>
          <w:p w14:paraId="08968C91">
            <w:pPr>
              <w:spacing w:line="240" w:lineRule="atLeast"/>
              <w:rPr>
                <w:rFonts w:hint="eastAsia" w:ascii="宋体" w:hAnsi="宋体" w:eastAsia="宋体" w:cs="宋体"/>
                <w:color w:val="auto"/>
                <w:sz w:val="24"/>
                <w:szCs w:val="32"/>
                <w:highlight w:val="none"/>
                <w:lang w:eastAsia="zh-CN"/>
              </w:rPr>
            </w:pPr>
            <w:r>
              <w:rPr>
                <w:rFonts w:hint="eastAsia" w:ascii="宋体" w:hAnsi="宋体" w:eastAsia="宋体" w:cs="宋体"/>
                <w:color w:val="auto"/>
                <w:sz w:val="24"/>
                <w:szCs w:val="32"/>
                <w:highlight w:val="none"/>
              </w:rPr>
              <w:t>开标时间：</w:t>
            </w:r>
            <w:r>
              <w:rPr>
                <w:rFonts w:hint="eastAsia" w:ascii="宋体" w:hAnsi="宋体" w:cs="宋体"/>
                <w:color w:val="auto"/>
                <w:sz w:val="24"/>
                <w:szCs w:val="32"/>
                <w:highlight w:val="none"/>
                <w:lang w:eastAsia="zh-CN"/>
              </w:rPr>
              <w:t>2025年</w:t>
            </w:r>
            <w:r>
              <w:rPr>
                <w:rFonts w:hint="eastAsia" w:ascii="宋体" w:hAnsi="宋体" w:cs="宋体"/>
                <w:b w:val="0"/>
                <w:bCs w:val="0"/>
                <w:color w:val="auto"/>
                <w:sz w:val="24"/>
                <w:highlight w:val="none"/>
                <w:u w:val="none"/>
                <w:lang w:val="en-US" w:eastAsia="zh-CN"/>
              </w:rPr>
              <w:t>2025年4月18日10:30</w:t>
            </w:r>
            <w:r>
              <w:rPr>
                <w:rFonts w:hint="eastAsia" w:ascii="宋体" w:hAnsi="宋体" w:eastAsia="宋体" w:cs="宋体"/>
                <w:color w:val="auto"/>
                <w:sz w:val="24"/>
                <w:szCs w:val="32"/>
                <w:highlight w:val="none"/>
                <w:lang w:eastAsia="zh-CN"/>
              </w:rPr>
              <w:t>（北京时间）</w:t>
            </w:r>
          </w:p>
          <w:p w14:paraId="52D697DB">
            <w:pPr>
              <w:spacing w:line="240" w:lineRule="atLeast"/>
              <w:rPr>
                <w:rFonts w:hint="eastAsia" w:ascii="宋体" w:hAnsi="宋体" w:eastAsia="宋体" w:cs="宋体"/>
                <w:color w:val="auto"/>
                <w:highlight w:val="none"/>
              </w:rPr>
            </w:pPr>
            <w:r>
              <w:rPr>
                <w:rFonts w:hint="eastAsia" w:ascii="宋体" w:hAnsi="宋体" w:eastAsia="宋体" w:cs="宋体"/>
                <w:color w:val="auto"/>
                <w:sz w:val="24"/>
                <w:szCs w:val="32"/>
                <w:highlight w:val="none"/>
                <w:lang w:val="en-US" w:eastAsia="zh-CN"/>
              </w:rPr>
              <w:t>开标地点：https://www.zcygov.cn  </w:t>
            </w:r>
          </w:p>
        </w:tc>
      </w:tr>
      <w:tr w14:paraId="141D70E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15" w:hRule="atLeast"/>
        </w:trPr>
        <w:tc>
          <w:tcPr>
            <w:tcW w:w="1468" w:type="dxa"/>
            <w:noWrap w:val="0"/>
            <w:vAlign w:val="center"/>
          </w:tcPr>
          <w:p w14:paraId="12DF7BF9">
            <w:pPr>
              <w:spacing w:line="240" w:lineRule="atLeast"/>
              <w:ind w:left="1080"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20.5</w:t>
            </w:r>
          </w:p>
        </w:tc>
        <w:tc>
          <w:tcPr>
            <w:tcW w:w="6840" w:type="dxa"/>
            <w:noWrap w:val="0"/>
            <w:vAlign w:val="center"/>
          </w:tcPr>
          <w:p w14:paraId="4A7247D7">
            <w:pPr>
              <w:spacing w:line="240" w:lineRule="atLeast"/>
              <w:rPr>
                <w:rFonts w:hint="eastAsia" w:ascii="宋体" w:hAnsi="宋体" w:eastAsia="宋体" w:cs="宋体"/>
                <w:color w:val="auto"/>
                <w:sz w:val="24"/>
                <w:highlight w:val="none"/>
              </w:rPr>
            </w:pPr>
            <w:r>
              <w:rPr>
                <w:rFonts w:hint="eastAsia" w:ascii="宋体" w:hAnsi="宋体" w:eastAsia="宋体" w:cs="宋体"/>
                <w:color w:val="auto"/>
                <w:sz w:val="24"/>
                <w:highlight w:val="none"/>
              </w:rPr>
              <w:t>核心产品：</w:t>
            </w:r>
            <w:r>
              <w:rPr>
                <w:rFonts w:hint="eastAsia" w:ascii="宋体" w:hAnsi="宋体" w:eastAsia="宋体" w:cs="宋体"/>
                <w:color w:val="auto"/>
                <w:sz w:val="24"/>
                <w:highlight w:val="none"/>
                <w:lang w:eastAsia="zh-CN"/>
              </w:rPr>
              <w:t>带“★”的为核心产品</w:t>
            </w:r>
            <w:r>
              <w:rPr>
                <w:rFonts w:hint="eastAsia" w:ascii="宋体" w:hAnsi="宋体" w:eastAsia="宋体" w:cs="宋体"/>
                <w:color w:val="auto"/>
                <w:sz w:val="24"/>
                <w:highlight w:val="none"/>
              </w:rPr>
              <w:t xml:space="preserve">（详细产品要求详见招标文件第5章 货物需求一览表及技术规格）                       </w:t>
            </w:r>
          </w:p>
        </w:tc>
      </w:tr>
      <w:tr w14:paraId="142CE6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0" w:hRule="atLeast"/>
        </w:trPr>
        <w:tc>
          <w:tcPr>
            <w:tcW w:w="1468" w:type="dxa"/>
            <w:noWrap w:val="0"/>
            <w:vAlign w:val="center"/>
          </w:tcPr>
          <w:p w14:paraId="5CCEAA15">
            <w:pPr>
              <w:spacing w:line="240" w:lineRule="atLeast"/>
              <w:ind w:left="1080"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23.2</w:t>
            </w:r>
          </w:p>
        </w:tc>
        <w:tc>
          <w:tcPr>
            <w:tcW w:w="6840" w:type="dxa"/>
            <w:noWrap w:val="0"/>
            <w:vAlign w:val="center"/>
          </w:tcPr>
          <w:p w14:paraId="6018857C">
            <w:pPr>
              <w:spacing w:line="240" w:lineRule="atLeast"/>
              <w:rPr>
                <w:rFonts w:hint="eastAsia" w:ascii="宋体" w:hAnsi="宋体" w:eastAsia="宋体" w:cs="宋体"/>
                <w:i/>
                <w:color w:val="auto"/>
                <w:sz w:val="24"/>
                <w:highlight w:val="none"/>
              </w:rPr>
            </w:pPr>
            <w:r>
              <w:rPr>
                <w:rFonts w:hint="eastAsia" w:ascii="宋体" w:hAnsi="宋体" w:eastAsia="宋体" w:cs="宋体"/>
                <w:color w:val="auto"/>
                <w:sz w:val="24"/>
                <w:highlight w:val="none"/>
              </w:rPr>
              <w:t>评标方法：</w:t>
            </w:r>
            <w:r>
              <w:rPr>
                <w:rFonts w:hint="eastAsia" w:ascii="宋体" w:hAnsi="宋体" w:eastAsia="宋体" w:cs="宋体"/>
                <w:color w:val="auto"/>
                <w:sz w:val="24"/>
                <w:highlight w:val="none"/>
                <w:lang w:val="en-US" w:eastAsia="zh-CN"/>
              </w:rPr>
              <w:t>综合评分法</w:t>
            </w:r>
            <w:r>
              <w:rPr>
                <w:rFonts w:hint="eastAsia" w:ascii="宋体" w:hAnsi="宋体" w:eastAsia="宋体" w:cs="宋体"/>
                <w:color w:val="auto"/>
                <w:sz w:val="24"/>
                <w:highlight w:val="none"/>
              </w:rPr>
              <w:t>　　　　　</w:t>
            </w:r>
          </w:p>
        </w:tc>
      </w:tr>
      <w:tr w14:paraId="32881DE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0" w:hRule="atLeast"/>
        </w:trPr>
        <w:tc>
          <w:tcPr>
            <w:tcW w:w="1468" w:type="dxa"/>
            <w:noWrap w:val="0"/>
            <w:vAlign w:val="center"/>
          </w:tcPr>
          <w:p w14:paraId="1AB1F4AB">
            <w:pPr>
              <w:spacing w:line="240" w:lineRule="atLeast"/>
              <w:ind w:left="1080"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27</w:t>
            </w:r>
          </w:p>
        </w:tc>
        <w:tc>
          <w:tcPr>
            <w:tcW w:w="6840" w:type="dxa"/>
            <w:noWrap w:val="0"/>
            <w:vAlign w:val="center"/>
          </w:tcPr>
          <w:p w14:paraId="2A74FB70">
            <w:pPr>
              <w:spacing w:line="240" w:lineRule="atLeast"/>
              <w:rPr>
                <w:rFonts w:hint="eastAsia" w:ascii="宋体" w:hAnsi="宋体" w:eastAsia="宋体" w:cs="宋体"/>
                <w:color w:val="auto"/>
                <w:sz w:val="24"/>
                <w:highlight w:val="none"/>
              </w:rPr>
            </w:pPr>
            <w:r>
              <w:rPr>
                <w:rFonts w:hint="eastAsia" w:ascii="宋体" w:hAnsi="宋体" w:eastAsia="宋体" w:cs="宋体"/>
                <w:color w:val="auto"/>
                <w:sz w:val="24"/>
                <w:highlight w:val="none"/>
              </w:rPr>
              <w:t>推荐中标候选供应商的数量：</w:t>
            </w:r>
            <w:r>
              <w:rPr>
                <w:rFonts w:hint="eastAsia" w:ascii="宋体" w:hAnsi="宋体" w:eastAsia="宋体" w:cs="宋体"/>
                <w:color w:val="auto"/>
                <w:sz w:val="24"/>
                <w:highlight w:val="none"/>
                <w:u w:val="single"/>
              </w:rPr>
              <w:t>3个</w:t>
            </w:r>
          </w:p>
        </w:tc>
      </w:tr>
      <w:tr w14:paraId="04423A6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0" w:hRule="atLeast"/>
        </w:trPr>
        <w:tc>
          <w:tcPr>
            <w:tcW w:w="1468" w:type="dxa"/>
            <w:noWrap w:val="0"/>
            <w:vAlign w:val="center"/>
          </w:tcPr>
          <w:p w14:paraId="0824AAF3">
            <w:pPr>
              <w:spacing w:line="240" w:lineRule="atLeast"/>
              <w:ind w:left="1080"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27</w:t>
            </w:r>
          </w:p>
        </w:tc>
        <w:tc>
          <w:tcPr>
            <w:tcW w:w="6840" w:type="dxa"/>
            <w:noWrap w:val="0"/>
            <w:vAlign w:val="center"/>
          </w:tcPr>
          <w:p w14:paraId="311E3295">
            <w:pPr>
              <w:spacing w:line="240" w:lineRule="atLeast"/>
              <w:rPr>
                <w:rFonts w:hint="eastAsia" w:ascii="宋体" w:hAnsi="宋体" w:eastAsia="宋体" w:cs="宋体"/>
                <w:color w:val="auto"/>
                <w:sz w:val="24"/>
                <w:highlight w:val="none"/>
              </w:rPr>
            </w:pPr>
            <w:r>
              <w:rPr>
                <w:rFonts w:hint="eastAsia" w:ascii="宋体" w:hAnsi="宋体" w:eastAsia="宋体" w:cs="宋体"/>
                <w:color w:val="auto"/>
                <w:sz w:val="24"/>
                <w:highlight w:val="none"/>
              </w:rPr>
              <w:t>招标人是否委托评标委员会直接确定中标人：</w:t>
            </w:r>
            <w:r>
              <w:rPr>
                <w:rFonts w:hint="eastAsia" w:ascii="宋体" w:hAnsi="宋体" w:eastAsia="宋体" w:cs="宋体"/>
                <w:color w:val="auto"/>
                <w:sz w:val="24"/>
                <w:highlight w:val="none"/>
                <w:u w:val="single"/>
              </w:rPr>
              <w:t>否</w:t>
            </w:r>
            <w:r>
              <w:rPr>
                <w:rFonts w:hint="eastAsia" w:ascii="宋体" w:hAnsi="宋体" w:eastAsia="宋体" w:cs="宋体"/>
                <w:color w:val="auto"/>
                <w:sz w:val="24"/>
                <w:highlight w:val="none"/>
              </w:rPr>
              <w:t xml:space="preserve"> </w:t>
            </w:r>
          </w:p>
        </w:tc>
      </w:tr>
      <w:tr w14:paraId="0451B8F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468" w:type="dxa"/>
            <w:noWrap w:val="0"/>
            <w:vAlign w:val="center"/>
          </w:tcPr>
          <w:p w14:paraId="086BB928">
            <w:pPr>
              <w:spacing w:line="240" w:lineRule="atLeast"/>
              <w:ind w:left="1080"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31.1</w:t>
            </w:r>
          </w:p>
        </w:tc>
        <w:tc>
          <w:tcPr>
            <w:tcW w:w="6840" w:type="dxa"/>
            <w:noWrap w:val="0"/>
            <w:vAlign w:val="center"/>
          </w:tcPr>
          <w:p w14:paraId="4D0ADDDE">
            <w:pPr>
              <w:spacing w:line="240" w:lineRule="atLeas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履约保证金金额：</w:t>
            </w:r>
            <w:r>
              <w:rPr>
                <w:rFonts w:hint="eastAsia" w:ascii="宋体" w:hAnsi="宋体" w:eastAsia="宋体" w:cs="宋体"/>
                <w:color w:val="auto"/>
                <w:sz w:val="24"/>
                <w:highlight w:val="none"/>
                <w:lang w:eastAsia="zh-CN"/>
              </w:rPr>
              <w:t>中标价的</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lang w:val="en-US" w:eastAsia="zh-CN"/>
              </w:rPr>
              <w:t>%。</w:t>
            </w:r>
          </w:p>
          <w:p w14:paraId="22B5E2C3">
            <w:pPr>
              <w:spacing w:line="240" w:lineRule="atLeas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履约保证金形式：</w:t>
            </w:r>
            <w:r>
              <w:rPr>
                <w:rFonts w:hint="eastAsia" w:ascii="宋体" w:hAnsi="宋体" w:eastAsia="宋体" w:cs="宋体"/>
                <w:color w:val="auto"/>
                <w:sz w:val="24"/>
                <w:highlight w:val="none"/>
                <w:lang w:eastAsia="zh-CN"/>
              </w:rPr>
              <w:t>转账、电汇</w:t>
            </w:r>
          </w:p>
          <w:p w14:paraId="33364E01">
            <w:pPr>
              <w:spacing w:line="240" w:lineRule="atLeast"/>
              <w:rPr>
                <w:rFonts w:hint="eastAsia" w:ascii="宋体" w:hAnsi="宋体" w:eastAsia="宋体" w:cs="宋体"/>
                <w:color w:val="auto"/>
                <w:sz w:val="24"/>
                <w:highlight w:val="none"/>
              </w:rPr>
            </w:pPr>
            <w:r>
              <w:rPr>
                <w:rFonts w:hint="eastAsia" w:ascii="宋体" w:hAnsi="宋体" w:eastAsia="宋体" w:cs="宋体"/>
                <w:color w:val="auto"/>
                <w:sz w:val="24"/>
                <w:highlight w:val="none"/>
              </w:rPr>
              <w:t>提交履约保证金的时间：签订合同前 5 日内</w:t>
            </w:r>
          </w:p>
          <w:p w14:paraId="437BC93F">
            <w:pPr>
              <w:spacing w:line="240" w:lineRule="atLeast"/>
              <w:rPr>
                <w:rFonts w:hint="eastAsia" w:ascii="宋体" w:hAnsi="宋体" w:eastAsia="宋体" w:cs="宋体"/>
                <w:color w:val="auto"/>
                <w:highlight w:val="none"/>
                <w:lang w:eastAsia="zh-CN"/>
              </w:rPr>
            </w:pPr>
            <w:r>
              <w:rPr>
                <w:rFonts w:hint="eastAsia" w:ascii="宋体" w:hAnsi="宋体" w:eastAsia="宋体" w:cs="宋体"/>
                <w:color w:val="auto"/>
                <w:sz w:val="24"/>
                <w:highlight w:val="none"/>
                <w:lang w:val="en-US" w:eastAsia="zh-CN"/>
              </w:rPr>
              <w:t>服务验收合格后无息返还（双方也可以通过协商另行约定其他退还时间和方式及用途）。</w:t>
            </w:r>
          </w:p>
        </w:tc>
      </w:tr>
      <w:tr w14:paraId="321440D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trPr>
        <w:tc>
          <w:tcPr>
            <w:tcW w:w="1468" w:type="dxa"/>
            <w:noWrap w:val="0"/>
            <w:vAlign w:val="center"/>
          </w:tcPr>
          <w:p w14:paraId="16326C09">
            <w:pPr>
              <w:spacing w:line="240" w:lineRule="atLeast"/>
              <w:ind w:left="1080"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32</w:t>
            </w:r>
          </w:p>
        </w:tc>
        <w:tc>
          <w:tcPr>
            <w:tcW w:w="6840" w:type="dxa"/>
            <w:noWrap w:val="0"/>
            <w:vAlign w:val="center"/>
          </w:tcPr>
          <w:p w14:paraId="44880EB7">
            <w:pPr>
              <w:spacing w:line="240" w:lineRule="atLeas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 xml:space="preserve">招标代理服务费：根据发改价格【2015】299号文件《关于进一步放开建设项目专业服务价格的通知》协商确定，由中标单位支付，收费标准：中标金额的1.5%计取 </w:t>
            </w:r>
          </w:p>
          <w:p w14:paraId="3B2D640D">
            <w:pPr>
              <w:spacing w:line="240" w:lineRule="atLeas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 xml:space="preserve">支付形式：对公转账  </w:t>
            </w:r>
          </w:p>
          <w:p w14:paraId="7F6C9DD5">
            <w:pPr>
              <w:spacing w:line="240" w:lineRule="atLeas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支付时间：领取招标通知书时</w:t>
            </w:r>
          </w:p>
        </w:tc>
      </w:tr>
      <w:tr w14:paraId="6A88EC7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16" w:hRule="atLeast"/>
        </w:trPr>
        <w:tc>
          <w:tcPr>
            <w:tcW w:w="1468" w:type="dxa"/>
            <w:noWrap w:val="0"/>
            <w:vAlign w:val="center"/>
          </w:tcPr>
          <w:p w14:paraId="00E35DFD">
            <w:pPr>
              <w:spacing w:line="240" w:lineRule="atLeast"/>
              <w:ind w:left="1080"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33.1</w:t>
            </w:r>
          </w:p>
        </w:tc>
        <w:tc>
          <w:tcPr>
            <w:tcW w:w="6840" w:type="dxa"/>
            <w:noWrap w:val="0"/>
            <w:vAlign w:val="center"/>
          </w:tcPr>
          <w:p w14:paraId="5BD0A940">
            <w:pPr>
              <w:spacing w:line="240" w:lineRule="atLeast"/>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本项目是否属于信用担保试点范围：否</w:t>
            </w:r>
          </w:p>
        </w:tc>
      </w:tr>
      <w:tr w14:paraId="59089A9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75" w:hRule="atLeast"/>
        </w:trPr>
        <w:tc>
          <w:tcPr>
            <w:tcW w:w="1468" w:type="dxa"/>
            <w:noWrap w:val="0"/>
            <w:vAlign w:val="center"/>
          </w:tcPr>
          <w:p w14:paraId="5249D1C5">
            <w:pPr>
              <w:spacing w:line="240" w:lineRule="atLeast"/>
              <w:ind w:left="1080"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36.3</w:t>
            </w:r>
          </w:p>
        </w:tc>
        <w:tc>
          <w:tcPr>
            <w:tcW w:w="6840" w:type="dxa"/>
            <w:noWrap w:val="0"/>
            <w:vAlign w:val="center"/>
          </w:tcPr>
          <w:p w14:paraId="381089AB">
            <w:pPr>
              <w:spacing w:line="240" w:lineRule="atLeast"/>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反腐倡廉监督电话/邮箱：</w:t>
            </w:r>
            <w:r>
              <w:rPr>
                <w:rFonts w:hint="eastAsia" w:ascii="宋体" w:hAnsi="宋体" w:cs="宋体"/>
                <w:color w:val="auto"/>
                <w:sz w:val="24"/>
                <w:highlight w:val="none"/>
                <w:lang w:eastAsia="zh-CN"/>
              </w:rPr>
              <w:t>18197656947</w:t>
            </w:r>
          </w:p>
          <w:p w14:paraId="151B9AA4">
            <w:pPr>
              <w:spacing w:line="240" w:lineRule="atLeas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接收部门： 招标项目部  </w:t>
            </w:r>
          </w:p>
          <w:p w14:paraId="696B40AE">
            <w:pPr>
              <w:spacing w:line="240" w:lineRule="atLeas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联系电话： </w:t>
            </w:r>
            <w:r>
              <w:rPr>
                <w:rFonts w:hint="eastAsia" w:ascii="宋体" w:hAnsi="宋体" w:cs="宋体"/>
                <w:color w:val="auto"/>
                <w:sz w:val="24"/>
                <w:highlight w:val="none"/>
                <w:lang w:eastAsia="zh-CN"/>
              </w:rPr>
              <w:t>18197656947</w:t>
            </w:r>
            <w:r>
              <w:rPr>
                <w:rFonts w:hint="eastAsia" w:ascii="宋体" w:hAnsi="宋体" w:eastAsia="宋体" w:cs="宋体"/>
                <w:color w:val="auto"/>
                <w:sz w:val="24"/>
                <w:highlight w:val="none"/>
              </w:rPr>
              <w:t xml:space="preserve">   </w:t>
            </w:r>
          </w:p>
          <w:p w14:paraId="3A07AD2E">
            <w:pPr>
              <w:spacing w:line="240" w:lineRule="atLeas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 xml:space="preserve">通讯地址： </w:t>
            </w:r>
            <w:r>
              <w:rPr>
                <w:rFonts w:hint="eastAsia" w:ascii="宋体" w:hAnsi="宋体" w:cs="宋体"/>
                <w:color w:val="auto"/>
                <w:sz w:val="24"/>
                <w:highlight w:val="none"/>
                <w:lang w:eastAsia="zh-CN"/>
              </w:rPr>
              <w:t>喀什市明升国际广场第1-1幢B区13层14号</w:t>
            </w:r>
            <w:r>
              <w:rPr>
                <w:rFonts w:hint="eastAsia" w:ascii="宋体" w:hAnsi="宋体" w:eastAsia="宋体" w:cs="宋体"/>
                <w:color w:val="auto"/>
                <w:sz w:val="24"/>
                <w:highlight w:val="none"/>
              </w:rPr>
              <w:t xml:space="preserve"> </w:t>
            </w:r>
          </w:p>
        </w:tc>
      </w:tr>
    </w:tbl>
    <w:p w14:paraId="5180CCD3">
      <w:pPr>
        <w:spacing w:line="240" w:lineRule="atLeast"/>
        <w:ind w:left="1080" w:leftChars="257" w:hanging="540"/>
        <w:rPr>
          <w:rFonts w:hint="eastAsia" w:ascii="宋体" w:hAnsi="宋体" w:eastAsia="宋体" w:cs="宋体"/>
          <w:color w:val="auto"/>
          <w:sz w:val="24"/>
          <w:highlight w:val="none"/>
        </w:rPr>
        <w:sectPr>
          <w:headerReference r:id="rId10" w:type="default"/>
          <w:headerReference r:id="rId11" w:type="even"/>
          <w:footerReference r:id="rId12" w:type="even"/>
          <w:pgSz w:w="11906" w:h="16838"/>
          <w:pgMar w:top="1440" w:right="1797" w:bottom="1440" w:left="1797" w:header="851" w:footer="992" w:gutter="0"/>
          <w:pgBorders>
            <w:top w:val="none" w:sz="0" w:space="0"/>
            <w:left w:val="none" w:sz="0" w:space="0"/>
            <w:bottom w:val="none" w:sz="0" w:space="0"/>
            <w:right w:val="none" w:sz="0" w:space="0"/>
          </w:pgBorders>
          <w:pgNumType w:fmt="decimal"/>
          <w:cols w:space="720" w:num="1"/>
          <w:docGrid w:linePitch="312" w:charSpace="0"/>
        </w:sectPr>
      </w:pPr>
    </w:p>
    <w:p w14:paraId="38F2FBD7">
      <w:pPr>
        <w:pStyle w:val="2"/>
        <w:numPr>
          <w:ilvl w:val="0"/>
          <w:numId w:val="0"/>
        </w:numPr>
        <w:tabs>
          <w:tab w:val="left" w:pos="0"/>
        </w:tabs>
        <w:spacing w:before="0" w:after="0" w:line="240" w:lineRule="atLeast"/>
        <w:ind w:leftChars="0"/>
        <w:jc w:val="center"/>
        <w:rPr>
          <w:rFonts w:hint="eastAsia" w:ascii="宋体" w:hAnsi="宋体" w:eastAsia="宋体" w:cs="宋体"/>
          <w:color w:val="auto"/>
          <w:highlight w:val="none"/>
        </w:rPr>
      </w:pPr>
      <w:bookmarkStart w:id="362" w:name="_Toc9887"/>
      <w:bookmarkStart w:id="363" w:name="_Toc219175638"/>
      <w:bookmarkStart w:id="364" w:name="_Toc9032"/>
      <w:bookmarkStart w:id="365" w:name="_Toc507399906"/>
      <w:bookmarkStart w:id="366" w:name="_Toc515647831"/>
      <w:bookmarkStart w:id="367" w:name="_Toc216582825"/>
      <w:bookmarkStart w:id="368" w:name="_Toc218935354"/>
      <w:bookmarkStart w:id="369" w:name="_Toc22779"/>
      <w:bookmarkStart w:id="370" w:name="_Toc512937852"/>
      <w:r>
        <w:rPr>
          <w:rFonts w:hint="eastAsia" w:ascii="宋体" w:hAnsi="宋体" w:eastAsia="宋体" w:cs="宋体"/>
          <w:color w:val="auto"/>
          <w:highlight w:val="none"/>
          <w:lang w:eastAsia="zh-CN"/>
        </w:rPr>
        <w:t>第</w:t>
      </w:r>
      <w:r>
        <w:rPr>
          <w:rFonts w:hint="eastAsia" w:ascii="宋体" w:hAnsi="宋体" w:eastAsia="宋体" w:cs="宋体"/>
          <w:color w:val="auto"/>
          <w:highlight w:val="none"/>
          <w:lang w:val="en-US" w:eastAsia="zh-CN"/>
        </w:rPr>
        <w:t>5章</w:t>
      </w:r>
      <w:r>
        <w:rPr>
          <w:rFonts w:hint="eastAsia" w:hAnsi="宋体" w:cs="宋体"/>
          <w:color w:val="auto"/>
          <w:highlight w:val="none"/>
          <w:lang w:val="en-US" w:eastAsia="zh-CN"/>
        </w:rPr>
        <w:t xml:space="preserve">  </w:t>
      </w:r>
      <w:r>
        <w:rPr>
          <w:rFonts w:hint="eastAsia" w:ascii="宋体" w:hAnsi="宋体" w:eastAsia="宋体" w:cs="宋体"/>
          <w:color w:val="auto"/>
          <w:highlight w:val="none"/>
        </w:rPr>
        <w:t>货物需求一览表及技术规格</w:t>
      </w:r>
      <w:bookmarkEnd w:id="362"/>
      <w:bookmarkEnd w:id="363"/>
      <w:bookmarkEnd w:id="364"/>
      <w:bookmarkEnd w:id="365"/>
      <w:bookmarkEnd w:id="366"/>
      <w:bookmarkEnd w:id="367"/>
      <w:bookmarkEnd w:id="368"/>
      <w:bookmarkEnd w:id="369"/>
    </w:p>
    <w:bookmarkEnd w:id="370"/>
    <w:p w14:paraId="34CAFDB2">
      <w:pPr>
        <w:pStyle w:val="2"/>
        <w:pageBreakBefore w:val="0"/>
        <w:numPr>
          <w:ilvl w:val="0"/>
          <w:numId w:val="0"/>
        </w:numPr>
        <w:tabs>
          <w:tab w:val="left" w:pos="0"/>
        </w:tabs>
        <w:kinsoku/>
        <w:wordWrap/>
        <w:overflowPunct/>
        <w:topLinePunct w:val="0"/>
        <w:bidi w:val="0"/>
        <w:snapToGrid/>
        <w:spacing w:before="0" w:after="0" w:line="320" w:lineRule="exact"/>
        <w:ind w:left="0" w:leftChars="0"/>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第一包：物探仪器设备（预算价：1139820.00元）</w:t>
      </w:r>
    </w:p>
    <w:tbl>
      <w:tblPr>
        <w:tblStyle w:val="34"/>
        <w:tblW w:w="93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87"/>
        <w:gridCol w:w="6277"/>
        <w:gridCol w:w="868"/>
        <w:gridCol w:w="1057"/>
      </w:tblGrid>
      <w:tr w14:paraId="19E9E6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7" w:type="dxa"/>
            <w:vAlign w:val="center"/>
          </w:tcPr>
          <w:p w14:paraId="41742B5F">
            <w:pPr>
              <w:pStyle w:val="40"/>
              <w:jc w:val="center"/>
              <w:rPr>
                <w:rFonts w:hint="default"/>
                <w:color w:val="auto"/>
                <w:highlight w:val="none"/>
                <w:vertAlign w:val="baseline"/>
                <w:lang w:val="en-US" w:eastAsia="zh-CN"/>
              </w:rPr>
            </w:pPr>
            <w:r>
              <w:rPr>
                <w:rFonts w:hint="eastAsia"/>
                <w:color w:val="auto"/>
                <w:highlight w:val="none"/>
                <w:vertAlign w:val="baseline"/>
                <w:lang w:val="en-US" w:eastAsia="zh-CN"/>
              </w:rPr>
              <w:t>货物名称</w:t>
            </w:r>
          </w:p>
        </w:tc>
        <w:tc>
          <w:tcPr>
            <w:tcW w:w="6277" w:type="dxa"/>
            <w:vAlign w:val="center"/>
          </w:tcPr>
          <w:p w14:paraId="6C8B9310">
            <w:pPr>
              <w:pStyle w:val="40"/>
              <w:jc w:val="center"/>
              <w:rPr>
                <w:rFonts w:hint="default"/>
                <w:color w:val="auto"/>
                <w:highlight w:val="none"/>
                <w:vertAlign w:val="baseline"/>
                <w:lang w:val="en-US" w:eastAsia="zh-CN"/>
              </w:rPr>
            </w:pPr>
            <w:r>
              <w:rPr>
                <w:rFonts w:hint="eastAsia"/>
                <w:color w:val="auto"/>
                <w:highlight w:val="none"/>
                <w:vertAlign w:val="baseline"/>
                <w:lang w:val="en-US" w:eastAsia="zh-CN"/>
              </w:rPr>
              <w:t>参数</w:t>
            </w:r>
          </w:p>
        </w:tc>
        <w:tc>
          <w:tcPr>
            <w:tcW w:w="868" w:type="dxa"/>
            <w:vAlign w:val="center"/>
          </w:tcPr>
          <w:p w14:paraId="089805C2">
            <w:pPr>
              <w:pStyle w:val="40"/>
              <w:jc w:val="center"/>
              <w:rPr>
                <w:rFonts w:hint="default"/>
                <w:color w:val="auto"/>
                <w:highlight w:val="none"/>
                <w:vertAlign w:val="baseline"/>
                <w:lang w:val="en-US" w:eastAsia="zh-CN"/>
              </w:rPr>
            </w:pPr>
            <w:r>
              <w:rPr>
                <w:rFonts w:hint="eastAsia"/>
                <w:color w:val="auto"/>
                <w:highlight w:val="none"/>
                <w:vertAlign w:val="baseline"/>
                <w:lang w:val="en-US" w:eastAsia="zh-CN"/>
              </w:rPr>
              <w:t>数量</w:t>
            </w:r>
          </w:p>
        </w:tc>
        <w:tc>
          <w:tcPr>
            <w:tcW w:w="1057" w:type="dxa"/>
            <w:vAlign w:val="center"/>
          </w:tcPr>
          <w:p w14:paraId="22D74F65">
            <w:pPr>
              <w:pStyle w:val="40"/>
              <w:jc w:val="center"/>
              <w:rPr>
                <w:rFonts w:hint="default"/>
                <w:color w:val="auto"/>
                <w:highlight w:val="none"/>
                <w:vertAlign w:val="baseline"/>
                <w:lang w:val="en-US" w:eastAsia="zh-CN"/>
              </w:rPr>
            </w:pPr>
            <w:r>
              <w:rPr>
                <w:rFonts w:hint="eastAsia"/>
                <w:color w:val="auto"/>
                <w:highlight w:val="none"/>
                <w:vertAlign w:val="baseline"/>
                <w:lang w:val="en-US" w:eastAsia="zh-CN"/>
              </w:rPr>
              <w:t>预算价（万元）</w:t>
            </w:r>
          </w:p>
        </w:tc>
      </w:tr>
      <w:tr w14:paraId="736846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7" w:type="dxa"/>
            <w:vAlign w:val="center"/>
          </w:tcPr>
          <w:p w14:paraId="15B989AA">
            <w:pPr>
              <w:pStyle w:val="40"/>
              <w:jc w:val="center"/>
              <w:rPr>
                <w:rFonts w:hint="eastAsia"/>
                <w:color w:val="auto"/>
                <w:highlight w:val="none"/>
                <w:vertAlign w:val="baseline"/>
                <w:lang w:val="en-US" w:eastAsia="zh-CN"/>
              </w:rPr>
            </w:pPr>
            <w:r>
              <w:rPr>
                <w:rFonts w:hint="eastAsia"/>
                <w:color w:val="auto"/>
                <w:highlight w:val="none"/>
                <w:vertAlign w:val="baseline"/>
                <w:lang w:val="en-US" w:eastAsia="zh-CN"/>
              </w:rPr>
              <w:t>大功率时频激电测量系统</w:t>
            </w:r>
          </w:p>
        </w:tc>
        <w:tc>
          <w:tcPr>
            <w:tcW w:w="6277" w:type="dxa"/>
          </w:tcPr>
          <w:p w14:paraId="283D8367">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(1)设备配置要求：20KW时频发射机一套，全波形接收机2台，时频激电接收机1台，20千瓦整流电源1台，AB专用线3000米，被覆线1600米，铁绕线架8个，不锈钢电极40根，不极化电极10个，激电中梯数据解释成图软件1套，20KW汽油发电机组1套。</w:t>
            </w:r>
          </w:p>
          <w:p w14:paraId="4B5DB253">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★(2)时域模式供电功率大(2000V×15A);频域模式输出单频、双频或多频双极性合成方波，自由设定频组数量和主频；</w:t>
            </w:r>
          </w:p>
          <w:p w14:paraId="41ACB590">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★(3)实时存储高精度时间戳周期电流数据或全波形电流数据；支持GPS+BDS(北斗)双模高精同步方式与软件同步方式；通过手机或PDA等移动终端Wifi联机操控；</w:t>
            </w:r>
          </w:p>
          <w:p w14:paraId="43036C56">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(4)具有过流、过热、开路、AB接地电阻等监测保护功能；具有内置电池与外接DC12V或AC220V三种工作电源模式。</w:t>
            </w:r>
          </w:p>
          <w:p w14:paraId="02493962">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(5)发射波形：双极性方波、单频波、双频波、三频波</w:t>
            </w:r>
          </w:p>
          <w:p w14:paraId="1AB15C98">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★(6)发射机输出电压：≤2000V</w:t>
            </w:r>
          </w:p>
          <w:p w14:paraId="478074E7">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★(7)发射机输出电流：≤15A</w:t>
            </w:r>
          </w:p>
          <w:p w14:paraId="41B30205">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(8)电流测量精度：±1%</w:t>
            </w:r>
          </w:p>
          <w:p w14:paraId="3A97D035">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(9)电流记录最小间隔时间：10ms</w:t>
            </w:r>
          </w:p>
          <w:p w14:paraId="378D4A55">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(10)时域供电脉宽：1~128s,占空比1:1</w:t>
            </w:r>
          </w:p>
          <w:p w14:paraId="3889BBE8">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(11)频组数量：单频15组、双频5组、三频5组</w:t>
            </w:r>
          </w:p>
          <w:p w14:paraId="65301F9D">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(12)工作频率：1/128～128Hz,误差小于0.01%</w:t>
            </w:r>
          </w:p>
          <w:p w14:paraId="3CFDC893">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(13)同步精度：UTC±30ns</w:t>
            </w:r>
          </w:p>
          <w:p w14:paraId="46F8445E">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(14)数据存储：32~128GB可选，Wifi及USB2.0高速传输</w:t>
            </w:r>
          </w:p>
          <w:p w14:paraId="4DFC0575">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(15)外控终端系统：Android</w:t>
            </w:r>
          </w:p>
          <w:p w14:paraId="2E7565CD">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(16)工作环境：-10℃~+50℃,95%RH</w:t>
            </w:r>
          </w:p>
          <w:p w14:paraId="0095576B">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★(17)20KW整流电源：输出功率：20KW，输出电压：2500V连续可调，输出电流：15A连续可调</w:t>
            </w:r>
          </w:p>
        </w:tc>
        <w:tc>
          <w:tcPr>
            <w:tcW w:w="868" w:type="dxa"/>
            <w:vAlign w:val="center"/>
          </w:tcPr>
          <w:p w14:paraId="01F494CB">
            <w:pPr>
              <w:pStyle w:val="40"/>
              <w:jc w:val="center"/>
              <w:rPr>
                <w:rFonts w:hint="default"/>
                <w:color w:val="auto"/>
                <w:highlight w:val="none"/>
                <w:vertAlign w:val="baseline"/>
                <w:lang w:val="en-US" w:eastAsia="zh-CN"/>
              </w:rPr>
            </w:pPr>
            <w:r>
              <w:rPr>
                <w:rFonts w:hint="eastAsia"/>
                <w:color w:val="auto"/>
                <w:highlight w:val="none"/>
                <w:vertAlign w:val="baseline"/>
                <w:lang w:val="en-US" w:eastAsia="zh-CN"/>
              </w:rPr>
              <w:t>1</w:t>
            </w:r>
          </w:p>
        </w:tc>
        <w:tc>
          <w:tcPr>
            <w:tcW w:w="1057" w:type="dxa"/>
            <w:vAlign w:val="center"/>
          </w:tcPr>
          <w:p w14:paraId="3609BBBB">
            <w:pPr>
              <w:pStyle w:val="40"/>
              <w:jc w:val="center"/>
              <w:rPr>
                <w:rFonts w:hint="default"/>
                <w:color w:val="auto"/>
                <w:highlight w:val="none"/>
                <w:vertAlign w:val="baseline"/>
                <w:lang w:val="en-US" w:eastAsia="zh-CN"/>
              </w:rPr>
            </w:pPr>
            <w:r>
              <w:rPr>
                <w:rFonts w:hint="eastAsia"/>
                <w:color w:val="auto"/>
                <w:highlight w:val="none"/>
                <w:vertAlign w:val="baseline"/>
                <w:lang w:val="en-US" w:eastAsia="zh-CN"/>
              </w:rPr>
              <w:t>40</w:t>
            </w:r>
          </w:p>
        </w:tc>
      </w:tr>
      <w:tr w14:paraId="352122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7" w:type="dxa"/>
            <w:vAlign w:val="center"/>
          </w:tcPr>
          <w:p w14:paraId="26016D0C">
            <w:pPr>
              <w:pStyle w:val="40"/>
              <w:jc w:val="center"/>
              <w:rPr>
                <w:rFonts w:hint="eastAsia"/>
                <w:color w:val="auto"/>
                <w:highlight w:val="none"/>
                <w:vertAlign w:val="baseline"/>
                <w:lang w:val="en-US" w:eastAsia="zh-CN"/>
              </w:rPr>
            </w:pPr>
            <w:r>
              <w:rPr>
                <w:rFonts w:hint="eastAsia"/>
                <w:color w:val="auto"/>
                <w:highlight w:val="none"/>
                <w:vertAlign w:val="baseline"/>
                <w:lang w:val="en-US" w:eastAsia="zh-CN"/>
              </w:rPr>
              <w:t>综合测井系统</w:t>
            </w:r>
          </w:p>
        </w:tc>
        <w:tc>
          <w:tcPr>
            <w:tcW w:w="6277" w:type="dxa"/>
          </w:tcPr>
          <w:p w14:paraId="5AC9A9F4">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★1.配置要求：综合数字测井系统主机1台，1000米绞车及线缆，公共短接1根，连续激发极化率探管1根，组合探管1根，数据解释软件1套。</w:t>
            </w:r>
          </w:p>
          <w:p w14:paraId="3796BD42">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2.测井主机参数</w:t>
            </w:r>
          </w:p>
          <w:p w14:paraId="5832DBD9">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★(1)井下探管可根据不同的测试参数需求任意级联组合,一次下井可同时获取各类电、磁、放射性、声学及井径、井温、井斜等多个参数成果；</w:t>
            </w:r>
          </w:p>
          <w:p w14:paraId="5725AFB9">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(2)数据传输方式：双向数字传输，测程：±10V</w:t>
            </w:r>
          </w:p>
          <w:p w14:paraId="10648899">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(3)脉冲记数通道频率范围：0.1Hz~2.5MHz</w:t>
            </w:r>
          </w:p>
          <w:p w14:paraId="540CC8F0">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(4)井下供电电源：DC70-210V/0.5A</w:t>
            </w:r>
          </w:p>
          <w:p w14:paraId="47524AB2">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(5)电测供电电流：1mA~500mA共8档可选</w:t>
            </w:r>
          </w:p>
          <w:p w14:paraId="3D97EEAD">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(6)连续一次采集深度：≤3500m</w:t>
            </w:r>
          </w:p>
          <w:p w14:paraId="0AB8F8E1">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(7)采样间隔：2cm~10m</w:t>
            </w:r>
          </w:p>
          <w:p w14:paraId="5AC02997">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(8)深度显示范围：0~9999.99m</w:t>
            </w:r>
          </w:p>
          <w:p w14:paraId="0B5B5935">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(9)深度误差：≤0.4%</w:t>
            </w:r>
          </w:p>
          <w:p w14:paraId="3D948D66">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(10)工作电源：AC220V±20%,50Hz±10%</w:t>
            </w:r>
          </w:p>
          <w:p w14:paraId="1FC7577E">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(11)工作环境：-20~70℃,95%RH</w:t>
            </w:r>
          </w:p>
          <w:p w14:paraId="1BCB44AD">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3.连续激发极化率探管</w:t>
            </w:r>
          </w:p>
          <w:p w14:paraId="694301A9">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★(1)测量参数：充电率ms;极化率‰;电阻率Ωm;电流mA;</w:t>
            </w:r>
          </w:p>
          <w:p w14:paraId="43080F88">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(2)极化率测量范围：0.1%-100%，极化率测量精度：0.2%F.S</w:t>
            </w:r>
          </w:p>
          <w:p w14:paraId="596D3DB2">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(3)充电率测量范围：0.1ms-100ms，充电率测量精度：0.1%±0.1ms</w:t>
            </w:r>
          </w:p>
          <w:p w14:paraId="568C33CD">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(4)AB供电最大电流：不小于350mA</w:t>
            </w:r>
          </w:p>
          <w:p w14:paraId="7693B7A3">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(5)探管耐压：30MPa</w:t>
            </w:r>
          </w:p>
          <w:p w14:paraId="14334901">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(6)供电电极宽：40mm，测量电极宽：20mm，供电半周期：250ms</w:t>
            </w:r>
          </w:p>
          <w:p w14:paraId="7B46BD30">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4.组合探管</w:t>
            </w:r>
          </w:p>
          <w:p w14:paraId="6D95E98C">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★(1)测量参数：自然γ、井斜、井温、电位电阻率、梯度电阻率、电流、自然电位、声速、声幅</w:t>
            </w:r>
          </w:p>
          <w:p w14:paraId="2F0B23DF">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★(2)电法组合部分和声波部分可拆卸，可单独测量</w:t>
            </w:r>
          </w:p>
          <w:p w14:paraId="1D9BDD2A">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(3)工作温度：-10~85℃(PCB耐温：-40~105℃)</w:t>
            </w:r>
          </w:p>
          <w:p w14:paraId="415B0DE3">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(4)电阻率：测量范围0.001～1kΩ·m，测量误差≤5%；</w:t>
            </w:r>
          </w:p>
          <w:p w14:paraId="39BB924C">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(5)测量范围1kΩ·m～10kΩ·m，测量误差≤3%</w:t>
            </w:r>
          </w:p>
          <w:p w14:paraId="0BF7D4FA">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(6)自然γ:计数范围0-65535cps，测量误差≤3%</w:t>
            </w:r>
          </w:p>
          <w:p w14:paraId="13E38124">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(7)倾角：测量范围0～45°，精度±0.1°</w:t>
            </w:r>
          </w:p>
          <w:p w14:paraId="07D956AC">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(8)方位角：测量范围0～360°，精度≤3°（倾角≥3°时）</w:t>
            </w:r>
          </w:p>
          <w:p w14:paraId="4E0B4A82">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(9)自然电位：测量范围-1.25V-+1.25V，误差≤5%；</w:t>
            </w:r>
          </w:p>
          <w:p w14:paraId="583FAC2A">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(10)井温：测量范围-10℃～85℃，测量误差≤3%±0.2℃</w:t>
            </w:r>
          </w:p>
          <w:p w14:paraId="05BFBBEE">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(11)声速：测量范围1500～7500m/sec，测量误差≤3%</w:t>
            </w:r>
          </w:p>
          <w:p w14:paraId="1C268DD1">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(12)声幅：测量范围0-5V</w:t>
            </w:r>
          </w:p>
        </w:tc>
        <w:tc>
          <w:tcPr>
            <w:tcW w:w="868" w:type="dxa"/>
            <w:vAlign w:val="center"/>
          </w:tcPr>
          <w:p w14:paraId="5CD6886C">
            <w:pPr>
              <w:pStyle w:val="40"/>
              <w:jc w:val="center"/>
              <w:rPr>
                <w:rFonts w:hint="default"/>
                <w:color w:val="auto"/>
                <w:highlight w:val="none"/>
                <w:vertAlign w:val="baseline"/>
                <w:lang w:val="en-US" w:eastAsia="zh-CN"/>
              </w:rPr>
            </w:pPr>
            <w:r>
              <w:rPr>
                <w:rFonts w:hint="eastAsia"/>
                <w:color w:val="auto"/>
                <w:highlight w:val="none"/>
                <w:vertAlign w:val="baseline"/>
                <w:lang w:val="en-US" w:eastAsia="zh-CN"/>
              </w:rPr>
              <w:t>1</w:t>
            </w:r>
          </w:p>
        </w:tc>
        <w:tc>
          <w:tcPr>
            <w:tcW w:w="1057" w:type="dxa"/>
            <w:vAlign w:val="center"/>
          </w:tcPr>
          <w:p w14:paraId="71C6EDBC">
            <w:pPr>
              <w:pStyle w:val="40"/>
              <w:jc w:val="center"/>
              <w:rPr>
                <w:rFonts w:hint="default"/>
                <w:color w:val="auto"/>
                <w:highlight w:val="none"/>
                <w:vertAlign w:val="baseline"/>
                <w:lang w:val="en-US" w:eastAsia="zh-CN"/>
              </w:rPr>
            </w:pPr>
            <w:r>
              <w:rPr>
                <w:rFonts w:hint="eastAsia"/>
                <w:color w:val="auto"/>
                <w:highlight w:val="none"/>
                <w:vertAlign w:val="baseline"/>
                <w:lang w:val="en-US" w:eastAsia="zh-CN"/>
              </w:rPr>
              <w:t>35</w:t>
            </w:r>
          </w:p>
        </w:tc>
      </w:tr>
      <w:tr w14:paraId="347B00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4" w:hRule="atLeast"/>
          <w:jc w:val="center"/>
        </w:trPr>
        <w:tc>
          <w:tcPr>
            <w:tcW w:w="1187" w:type="dxa"/>
            <w:vAlign w:val="center"/>
          </w:tcPr>
          <w:p w14:paraId="77A0FCE9">
            <w:pPr>
              <w:pStyle w:val="40"/>
              <w:jc w:val="center"/>
              <w:rPr>
                <w:rFonts w:hint="eastAsia"/>
                <w:color w:val="auto"/>
                <w:highlight w:val="none"/>
                <w:vertAlign w:val="baseline"/>
                <w:lang w:val="en-US" w:eastAsia="zh-CN"/>
              </w:rPr>
            </w:pPr>
            <w:r>
              <w:rPr>
                <w:rFonts w:hint="eastAsia"/>
                <w:color w:val="auto"/>
                <w:highlight w:val="none"/>
                <w:vertAlign w:val="baseline"/>
                <w:lang w:val="en-US" w:eastAsia="zh-CN"/>
              </w:rPr>
              <w:t>质子磁力仪</w:t>
            </w:r>
          </w:p>
        </w:tc>
        <w:tc>
          <w:tcPr>
            <w:tcW w:w="6277" w:type="dxa"/>
          </w:tcPr>
          <w:p w14:paraId="6F32C3D9">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 灵敏度： 0.05nT(4秒采样率)</w:t>
            </w:r>
          </w:p>
          <w:p w14:paraId="540BD4E8">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 分辨率：0.01nT</w:t>
            </w:r>
          </w:p>
          <w:p w14:paraId="0703F69F">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 绝对精度：±0.2nT</w:t>
            </w:r>
          </w:p>
          <w:p w14:paraId="69A35DD0">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 动态范围：20000到120000nT</w:t>
            </w:r>
          </w:p>
          <w:p w14:paraId="7C44E5FC">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 梯度容差：&gt;7000nT/m</w:t>
            </w:r>
          </w:p>
          <w:p w14:paraId="046B1FB8">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 xml:space="preserve">★ 采样率： 3秒至60 秒可选                  </w:t>
            </w:r>
          </w:p>
          <w:p w14:paraId="0627E933">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 温飘：</w:t>
            </w:r>
          </w:p>
          <w:p w14:paraId="317C7F47">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 xml:space="preserve">0.0025nT/°C（环境温度为0到-40°C）；  </w:t>
            </w:r>
          </w:p>
          <w:p w14:paraId="5B2A6189">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 xml:space="preserve">0.0018nT/°C（环境温度为0到+50°C）      </w:t>
            </w:r>
          </w:p>
          <w:p w14:paraId="1F930294">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 工作温度：-40℃—+50℃　　</w:t>
            </w:r>
          </w:p>
          <w:p w14:paraId="2CD8CC3A">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 xml:space="preserve">★ </w:t>
            </w:r>
            <w:bookmarkStart w:id="545" w:name="_GoBack"/>
            <w:bookmarkEnd w:id="545"/>
            <w:r>
              <w:rPr>
                <w:rFonts w:hint="eastAsia"/>
                <w:color w:val="auto"/>
                <w:highlight w:val="none"/>
                <w:vertAlign w:val="baseline"/>
                <w:lang w:val="en-US" w:eastAsia="zh-CN"/>
              </w:rPr>
              <w:t>存储32M字节</w:t>
            </w:r>
          </w:p>
          <w:p w14:paraId="4F962978">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对流动站可存1465623个读数</w:t>
            </w:r>
          </w:p>
          <w:p w14:paraId="78D57496">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对基点站可存5373951个读数</w:t>
            </w:r>
          </w:p>
        </w:tc>
        <w:tc>
          <w:tcPr>
            <w:tcW w:w="868" w:type="dxa"/>
            <w:vAlign w:val="center"/>
          </w:tcPr>
          <w:p w14:paraId="4356F64E">
            <w:pPr>
              <w:pStyle w:val="40"/>
              <w:jc w:val="center"/>
              <w:rPr>
                <w:rFonts w:hint="default"/>
                <w:color w:val="auto"/>
                <w:highlight w:val="none"/>
                <w:vertAlign w:val="baseline"/>
                <w:lang w:val="en-US" w:eastAsia="zh-CN"/>
              </w:rPr>
            </w:pPr>
            <w:r>
              <w:rPr>
                <w:rFonts w:hint="eastAsia"/>
                <w:color w:val="auto"/>
                <w:highlight w:val="none"/>
                <w:vertAlign w:val="baseline"/>
                <w:lang w:val="en-US" w:eastAsia="zh-CN"/>
              </w:rPr>
              <w:t>2</w:t>
            </w:r>
          </w:p>
        </w:tc>
        <w:tc>
          <w:tcPr>
            <w:tcW w:w="1057" w:type="dxa"/>
            <w:vAlign w:val="center"/>
          </w:tcPr>
          <w:p w14:paraId="22F7A800">
            <w:pPr>
              <w:pStyle w:val="40"/>
              <w:jc w:val="center"/>
              <w:rPr>
                <w:rFonts w:hint="default"/>
                <w:color w:val="auto"/>
                <w:highlight w:val="none"/>
                <w:vertAlign w:val="baseline"/>
                <w:lang w:val="en-US" w:eastAsia="zh-CN"/>
              </w:rPr>
            </w:pPr>
            <w:r>
              <w:rPr>
                <w:rFonts w:hint="eastAsia"/>
                <w:color w:val="auto"/>
                <w:highlight w:val="none"/>
                <w:vertAlign w:val="baseline"/>
                <w:lang w:val="en-US" w:eastAsia="zh-CN"/>
              </w:rPr>
              <w:t>12</w:t>
            </w:r>
          </w:p>
        </w:tc>
      </w:tr>
      <w:tr w14:paraId="73D19A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7" w:type="dxa"/>
            <w:vAlign w:val="center"/>
          </w:tcPr>
          <w:p w14:paraId="71034EE5">
            <w:pPr>
              <w:pStyle w:val="40"/>
              <w:jc w:val="center"/>
              <w:rPr>
                <w:rFonts w:hint="eastAsia"/>
                <w:color w:val="auto"/>
                <w:highlight w:val="none"/>
                <w:vertAlign w:val="baseline"/>
                <w:lang w:val="en-US" w:eastAsia="zh-CN"/>
              </w:rPr>
            </w:pPr>
            <w:r>
              <w:rPr>
                <w:rFonts w:hint="eastAsia"/>
                <w:color w:val="auto"/>
                <w:highlight w:val="none"/>
                <w:vertAlign w:val="baseline"/>
                <w:lang w:val="en-US" w:eastAsia="zh-CN"/>
              </w:rPr>
              <w:t>多功能全波形直流电法仪</w:t>
            </w:r>
          </w:p>
        </w:tc>
        <w:tc>
          <w:tcPr>
            <w:tcW w:w="6277" w:type="dxa"/>
          </w:tcPr>
          <w:p w14:paraId="5A0807FE">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1. 设备配置要求：多功能直流电法仪主机 1台（支持三维高密度工作需求）， 级联式电极转换器不少10个， 级联式高密度大线电缆不少于10条（10米间距）， 铜电极及电极夹不少于110个， 可充电锂电电源不少于 2个， 数据处理软件 1套，黄铜线400米，ABS绕线架2个，不极化电极6个。</w:t>
            </w:r>
          </w:p>
          <w:p w14:paraId="12B612CB">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2. 主要设备技术性能指标：</w:t>
            </w:r>
          </w:p>
          <w:p w14:paraId="0EE84A4A">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2.1 主机性能参数：</w:t>
            </w:r>
          </w:p>
          <w:p w14:paraId="117855DC">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(1)电流、电位记录方式：全波形记录；</w:t>
            </w:r>
          </w:p>
          <w:p w14:paraId="771DDB64">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★(2)最大可以连接2540个电极，电极间无需中继，满足长剖面、大深度以及三维高密度勘探的需要；</w:t>
            </w:r>
          </w:p>
          <w:p w14:paraId="582AF9E1">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★(3)电压测量范围：保证在±80V以内；</w:t>
            </w:r>
          </w:p>
          <w:p w14:paraId="36642065">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 xml:space="preserve">(4)电流测量范围：保证在0-6000 mA以内； </w:t>
            </w:r>
          </w:p>
          <w:p w14:paraId="1E3F65EC">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(5)SP补偿：±40V以内，全量程实时自动追踪数字补偿。</w:t>
            </w:r>
          </w:p>
          <w:p w14:paraId="057DA70B">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(6)最大供电电压: ≥1500V；</w:t>
            </w:r>
          </w:p>
          <w:p w14:paraId="645E8C69">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★(7)最大供电电流: ≥8A；</w:t>
            </w:r>
          </w:p>
          <w:p w14:paraId="2A04DAA0">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(8)最大输出功率: ≥9000 W；</w:t>
            </w:r>
          </w:p>
          <w:p w14:paraId="05B8B1FF">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★(9)控制方式：内置嵌入式系统或外接平板或者笔记本操作；</w:t>
            </w:r>
          </w:p>
          <w:p w14:paraId="170D62B7">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(10)处理器：ARM Cortex处理器；</w:t>
            </w:r>
          </w:p>
          <w:p w14:paraId="73E125BA">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(11)操作系统：嵌入式Linux实时系统；</w:t>
            </w:r>
          </w:p>
          <w:p w14:paraId="4CEFFEBC">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★(12)人机对话方式：主机集成显示器或外接输入设备；</w:t>
            </w:r>
          </w:p>
          <w:p w14:paraId="761C18AE">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(13)液晶显示器：LCD高清显示器，日光下可见；</w:t>
            </w:r>
          </w:p>
          <w:p w14:paraId="4A620306">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★(14)远程功能：内置4G通讯模组，支持远程操控与数传（需移动流量支持）</w:t>
            </w:r>
          </w:p>
          <w:p w14:paraId="7850226C">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2.2 级联式电极转换器性能参数：</w:t>
            </w:r>
          </w:p>
          <w:p w14:paraId="0E013CB1">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(15)电极总数：10道/个；</w:t>
            </w:r>
          </w:p>
          <w:p w14:paraId="57450544">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(16)供电功率：≥1000V/4A；</w:t>
            </w:r>
          </w:p>
          <w:p w14:paraId="5725DA29">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(17)防水等级：IP68；</w:t>
            </w:r>
          </w:p>
          <w:p w14:paraId="44421C59">
            <w:pPr>
              <w:pStyle w:val="40"/>
              <w:jc w:val="both"/>
              <w:rPr>
                <w:rFonts w:hint="eastAsia"/>
                <w:color w:val="auto"/>
                <w:highlight w:val="none"/>
                <w:vertAlign w:val="baseline"/>
                <w:lang w:val="en-US" w:eastAsia="zh-CN"/>
              </w:rPr>
            </w:pPr>
            <w:r>
              <w:rPr>
                <w:rFonts w:hint="eastAsia"/>
                <w:color w:val="auto"/>
                <w:highlight w:val="none"/>
                <w:vertAlign w:val="baseline"/>
                <w:lang w:val="en-US" w:eastAsia="zh-CN"/>
              </w:rPr>
              <w:t>(18)编码方式：自动编码；</w:t>
            </w:r>
          </w:p>
        </w:tc>
        <w:tc>
          <w:tcPr>
            <w:tcW w:w="868" w:type="dxa"/>
            <w:vAlign w:val="center"/>
          </w:tcPr>
          <w:p w14:paraId="099F0072">
            <w:pPr>
              <w:pStyle w:val="40"/>
              <w:jc w:val="center"/>
              <w:rPr>
                <w:rFonts w:hint="default"/>
                <w:color w:val="auto"/>
                <w:highlight w:val="none"/>
                <w:vertAlign w:val="baseline"/>
                <w:lang w:val="en-US" w:eastAsia="zh-CN"/>
              </w:rPr>
            </w:pPr>
            <w:r>
              <w:rPr>
                <w:rFonts w:hint="eastAsia"/>
                <w:color w:val="auto"/>
                <w:highlight w:val="none"/>
                <w:vertAlign w:val="baseline"/>
                <w:lang w:val="en-US" w:eastAsia="zh-CN"/>
              </w:rPr>
              <w:t>1</w:t>
            </w:r>
          </w:p>
        </w:tc>
        <w:tc>
          <w:tcPr>
            <w:tcW w:w="1057" w:type="dxa"/>
            <w:vAlign w:val="center"/>
          </w:tcPr>
          <w:p w14:paraId="1C221C4F">
            <w:pPr>
              <w:pStyle w:val="40"/>
              <w:jc w:val="center"/>
              <w:rPr>
                <w:rFonts w:hint="default"/>
                <w:color w:val="auto"/>
                <w:highlight w:val="none"/>
                <w:vertAlign w:val="baseline"/>
                <w:lang w:val="en-US" w:eastAsia="zh-CN"/>
              </w:rPr>
            </w:pPr>
            <w:r>
              <w:rPr>
                <w:rFonts w:hint="eastAsia"/>
                <w:color w:val="auto"/>
                <w:highlight w:val="none"/>
                <w:vertAlign w:val="baseline"/>
                <w:lang w:val="en-US" w:eastAsia="zh-CN"/>
              </w:rPr>
              <w:t>26.982</w:t>
            </w:r>
          </w:p>
        </w:tc>
      </w:tr>
    </w:tbl>
    <w:p w14:paraId="2323DAF9">
      <w:pPr>
        <w:pStyle w:val="40"/>
        <w:rPr>
          <w:rFonts w:hint="eastAsia"/>
          <w:color w:val="auto"/>
          <w:highlight w:val="none"/>
          <w:lang w:val="en-US" w:eastAsia="zh-CN"/>
        </w:rPr>
      </w:pPr>
    </w:p>
    <w:p w14:paraId="7A234B1B">
      <w:pPr>
        <w:pStyle w:val="2"/>
        <w:pageBreakBefore w:val="0"/>
        <w:numPr>
          <w:ilvl w:val="0"/>
          <w:numId w:val="0"/>
        </w:numPr>
        <w:tabs>
          <w:tab w:val="left" w:pos="0"/>
        </w:tabs>
        <w:kinsoku/>
        <w:wordWrap/>
        <w:overflowPunct/>
        <w:topLinePunct w:val="0"/>
        <w:bidi w:val="0"/>
        <w:snapToGrid/>
        <w:spacing w:before="0" w:after="0" w:line="320" w:lineRule="exact"/>
        <w:ind w:left="0" w:leftChars="0"/>
        <w:jc w:val="left"/>
        <w:textAlignment w:val="auto"/>
        <w:rPr>
          <w:rFonts w:hint="eastAsia" w:asciiTheme="minorEastAsia" w:hAnsiTheme="minorEastAsia" w:eastAsiaTheme="minorEastAsia" w:cstheme="minorEastAsia"/>
          <w:color w:val="auto"/>
          <w:sz w:val="24"/>
          <w:szCs w:val="24"/>
          <w:highlight w:val="none"/>
          <w:lang w:val="en-US" w:eastAsia="zh-CN"/>
        </w:rPr>
      </w:pPr>
    </w:p>
    <w:p w14:paraId="2B3553EA">
      <w:pPr>
        <w:pStyle w:val="2"/>
        <w:pageBreakBefore w:val="0"/>
        <w:numPr>
          <w:ilvl w:val="0"/>
          <w:numId w:val="0"/>
        </w:numPr>
        <w:tabs>
          <w:tab w:val="left" w:pos="0"/>
        </w:tabs>
        <w:kinsoku/>
        <w:wordWrap/>
        <w:overflowPunct/>
        <w:topLinePunct w:val="0"/>
        <w:bidi w:val="0"/>
        <w:snapToGrid/>
        <w:spacing w:before="0" w:after="0" w:line="320" w:lineRule="exact"/>
        <w:ind w:left="0" w:leftChars="0"/>
        <w:jc w:val="left"/>
        <w:textAlignment w:val="auto"/>
        <w:rPr>
          <w:rFonts w:hint="eastAsia" w:asciiTheme="minorEastAsia" w:hAnsiTheme="minorEastAsia" w:eastAsiaTheme="minorEastAsia" w:cstheme="minorEastAsia"/>
          <w:color w:val="auto"/>
          <w:sz w:val="24"/>
          <w:szCs w:val="24"/>
          <w:highlight w:val="none"/>
          <w:lang w:val="en-US" w:eastAsia="zh-CN"/>
        </w:rPr>
      </w:pPr>
    </w:p>
    <w:p w14:paraId="42BD966D">
      <w:pPr>
        <w:pStyle w:val="2"/>
        <w:pageBreakBefore w:val="0"/>
        <w:numPr>
          <w:ilvl w:val="0"/>
          <w:numId w:val="0"/>
        </w:numPr>
        <w:tabs>
          <w:tab w:val="left" w:pos="0"/>
        </w:tabs>
        <w:kinsoku/>
        <w:wordWrap/>
        <w:overflowPunct/>
        <w:topLinePunct w:val="0"/>
        <w:bidi w:val="0"/>
        <w:snapToGrid/>
        <w:spacing w:before="0" w:after="0" w:line="320" w:lineRule="exact"/>
        <w:ind w:left="0" w:leftChars="0"/>
        <w:jc w:val="left"/>
        <w:textAlignment w:val="auto"/>
        <w:rPr>
          <w:rFonts w:hint="eastAsia" w:asciiTheme="minorEastAsia" w:hAnsiTheme="minorEastAsia" w:eastAsiaTheme="minorEastAsia" w:cstheme="minorEastAsia"/>
          <w:color w:val="auto"/>
          <w:sz w:val="24"/>
          <w:szCs w:val="24"/>
          <w:highlight w:val="none"/>
          <w:lang w:val="en-US" w:eastAsia="zh-CN"/>
        </w:rPr>
      </w:pPr>
    </w:p>
    <w:p w14:paraId="7B1C29D8">
      <w:pPr>
        <w:pStyle w:val="2"/>
        <w:pageBreakBefore w:val="0"/>
        <w:numPr>
          <w:ilvl w:val="0"/>
          <w:numId w:val="0"/>
        </w:numPr>
        <w:tabs>
          <w:tab w:val="left" w:pos="0"/>
        </w:tabs>
        <w:kinsoku/>
        <w:wordWrap/>
        <w:overflowPunct/>
        <w:topLinePunct w:val="0"/>
        <w:bidi w:val="0"/>
        <w:snapToGrid/>
        <w:spacing w:before="0" w:after="0" w:line="320" w:lineRule="exact"/>
        <w:ind w:left="0" w:leftChars="0"/>
        <w:jc w:val="left"/>
        <w:textAlignment w:val="auto"/>
        <w:rPr>
          <w:rFonts w:hint="eastAsia" w:asciiTheme="minorEastAsia" w:hAnsiTheme="minorEastAsia" w:eastAsiaTheme="minorEastAsia" w:cstheme="minorEastAsia"/>
          <w:color w:val="auto"/>
          <w:sz w:val="24"/>
          <w:szCs w:val="24"/>
          <w:highlight w:val="none"/>
          <w:lang w:val="en-US" w:eastAsia="zh-CN"/>
        </w:rPr>
      </w:pPr>
    </w:p>
    <w:p w14:paraId="15F9F655">
      <w:pPr>
        <w:pStyle w:val="2"/>
        <w:pageBreakBefore w:val="0"/>
        <w:numPr>
          <w:ilvl w:val="0"/>
          <w:numId w:val="0"/>
        </w:numPr>
        <w:tabs>
          <w:tab w:val="left" w:pos="0"/>
        </w:tabs>
        <w:kinsoku/>
        <w:wordWrap/>
        <w:overflowPunct/>
        <w:topLinePunct w:val="0"/>
        <w:bidi w:val="0"/>
        <w:snapToGrid/>
        <w:spacing w:before="0" w:after="0" w:line="320" w:lineRule="exact"/>
        <w:ind w:left="0" w:leftChars="0"/>
        <w:jc w:val="left"/>
        <w:textAlignment w:val="auto"/>
        <w:rPr>
          <w:rFonts w:hint="eastAsia" w:asciiTheme="minorEastAsia" w:hAnsiTheme="minorEastAsia" w:eastAsiaTheme="minorEastAsia" w:cstheme="minorEastAsia"/>
          <w:color w:val="auto"/>
          <w:sz w:val="24"/>
          <w:szCs w:val="24"/>
          <w:highlight w:val="none"/>
          <w:lang w:val="en-US" w:eastAsia="zh-CN"/>
        </w:rPr>
      </w:pPr>
    </w:p>
    <w:p w14:paraId="5B2D10FA">
      <w:pPr>
        <w:rPr>
          <w:rFonts w:hint="eastAsia" w:asciiTheme="minorEastAsia" w:hAnsiTheme="minorEastAsia" w:eastAsiaTheme="minorEastAsia" w:cstheme="minorEastAsia"/>
          <w:color w:val="auto"/>
          <w:sz w:val="24"/>
          <w:szCs w:val="24"/>
          <w:highlight w:val="none"/>
          <w:lang w:val="en-US" w:eastAsia="zh-CN"/>
        </w:rPr>
      </w:pPr>
    </w:p>
    <w:p w14:paraId="60BB1245">
      <w:pPr>
        <w:rPr>
          <w:rFonts w:hint="eastAsia" w:asciiTheme="minorEastAsia" w:hAnsiTheme="minorEastAsia" w:eastAsiaTheme="minorEastAsia" w:cstheme="minorEastAsia"/>
          <w:color w:val="auto"/>
          <w:sz w:val="24"/>
          <w:szCs w:val="24"/>
          <w:highlight w:val="none"/>
          <w:lang w:val="en-US" w:eastAsia="zh-CN"/>
        </w:rPr>
      </w:pPr>
    </w:p>
    <w:p w14:paraId="786BA4F6">
      <w:pPr>
        <w:pStyle w:val="2"/>
        <w:pageBreakBefore w:val="0"/>
        <w:numPr>
          <w:ilvl w:val="0"/>
          <w:numId w:val="0"/>
        </w:numPr>
        <w:tabs>
          <w:tab w:val="left" w:pos="0"/>
        </w:tabs>
        <w:kinsoku/>
        <w:wordWrap/>
        <w:overflowPunct/>
        <w:topLinePunct w:val="0"/>
        <w:bidi w:val="0"/>
        <w:snapToGrid/>
        <w:spacing w:before="0" w:after="0" w:line="320" w:lineRule="exact"/>
        <w:ind w:left="0" w:leftChars="0"/>
        <w:jc w:val="left"/>
        <w:textAlignment w:val="auto"/>
        <w:rPr>
          <w:rFonts w:hint="eastAsia" w:asciiTheme="minorEastAsia" w:hAnsiTheme="minorEastAsia" w:eastAsiaTheme="minorEastAsia" w:cstheme="minorEastAsia"/>
          <w:color w:val="auto"/>
          <w:sz w:val="24"/>
          <w:szCs w:val="24"/>
          <w:highlight w:val="none"/>
          <w:lang w:val="en-US" w:eastAsia="zh-CN"/>
        </w:rPr>
      </w:pPr>
    </w:p>
    <w:p w14:paraId="2230015A">
      <w:pPr>
        <w:rPr>
          <w:rFonts w:hint="eastAsia" w:asciiTheme="minorEastAsia" w:hAnsiTheme="minorEastAsia" w:eastAsiaTheme="minorEastAsia" w:cstheme="minorEastAsia"/>
          <w:color w:val="auto"/>
          <w:sz w:val="24"/>
          <w:szCs w:val="24"/>
          <w:highlight w:val="none"/>
          <w:lang w:val="en-US" w:eastAsia="zh-CN"/>
        </w:rPr>
      </w:pPr>
    </w:p>
    <w:p w14:paraId="5BBF72A3">
      <w:pPr>
        <w:rPr>
          <w:rFonts w:hint="eastAsia" w:asciiTheme="minorEastAsia" w:hAnsiTheme="minorEastAsia" w:eastAsiaTheme="minorEastAsia" w:cstheme="minorEastAsia"/>
          <w:color w:val="auto"/>
          <w:sz w:val="24"/>
          <w:szCs w:val="24"/>
          <w:highlight w:val="none"/>
          <w:lang w:val="en-US" w:eastAsia="zh-CN"/>
        </w:rPr>
      </w:pPr>
    </w:p>
    <w:p w14:paraId="1EEC649E">
      <w:pPr>
        <w:pStyle w:val="2"/>
        <w:pageBreakBefore w:val="0"/>
        <w:numPr>
          <w:ilvl w:val="0"/>
          <w:numId w:val="0"/>
        </w:numPr>
        <w:tabs>
          <w:tab w:val="left" w:pos="0"/>
        </w:tabs>
        <w:kinsoku/>
        <w:wordWrap/>
        <w:overflowPunct/>
        <w:topLinePunct w:val="0"/>
        <w:bidi w:val="0"/>
        <w:snapToGrid/>
        <w:spacing w:before="0" w:after="0" w:line="320" w:lineRule="exact"/>
        <w:ind w:left="0" w:leftChars="0"/>
        <w:jc w:val="left"/>
        <w:textAlignment w:val="auto"/>
        <w:rPr>
          <w:rFonts w:hint="eastAsia" w:asciiTheme="minorEastAsia" w:hAnsiTheme="minorEastAsia" w:eastAsiaTheme="minorEastAsia" w:cstheme="minorEastAsia"/>
          <w:i w:val="0"/>
          <w:iCs w:val="0"/>
          <w:caps w:val="0"/>
          <w:color w:val="auto"/>
          <w:spacing w:val="0"/>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第二包：地质仪器设备（预算价：659390.00元）</w:t>
      </w:r>
    </w:p>
    <w:tbl>
      <w:tblPr>
        <w:tblStyle w:val="34"/>
        <w:tblW w:w="9423" w:type="dxa"/>
        <w:tblInd w:w="-33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4"/>
        <w:gridCol w:w="6276"/>
        <w:gridCol w:w="869"/>
        <w:gridCol w:w="1074"/>
      </w:tblGrid>
      <w:tr w14:paraId="13117C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4" w:type="dxa"/>
            <w:shd w:val="clear" w:color="auto" w:fill="auto"/>
            <w:vAlign w:val="center"/>
          </w:tcPr>
          <w:p w14:paraId="6C559F87">
            <w:pPr>
              <w:pStyle w:val="40"/>
              <w:jc w:val="center"/>
              <w:rPr>
                <w:rFonts w:hint="eastAsia" w:asciiTheme="minorEastAsia" w:hAnsiTheme="minorEastAsia" w:eastAsiaTheme="minorEastAsia" w:cstheme="minorEastAsia"/>
                <w:color w:val="auto"/>
                <w:sz w:val="24"/>
                <w:szCs w:val="24"/>
                <w:highlight w:val="none"/>
                <w:vertAlign w:val="baseline"/>
                <w:lang w:val="en-US" w:eastAsia="zh-CN" w:bidi="ar-SA"/>
              </w:rPr>
            </w:pPr>
            <w:r>
              <w:rPr>
                <w:rFonts w:hint="eastAsia" w:asciiTheme="minorEastAsia" w:hAnsiTheme="minorEastAsia" w:eastAsiaTheme="minorEastAsia" w:cstheme="minorEastAsia"/>
                <w:color w:val="auto"/>
                <w:highlight w:val="none"/>
                <w:vertAlign w:val="baseline"/>
                <w:lang w:val="en-US" w:eastAsia="zh-CN"/>
              </w:rPr>
              <w:t>货物名称</w:t>
            </w:r>
          </w:p>
        </w:tc>
        <w:tc>
          <w:tcPr>
            <w:tcW w:w="6276" w:type="dxa"/>
            <w:shd w:val="clear" w:color="auto" w:fill="auto"/>
            <w:vAlign w:val="center"/>
          </w:tcPr>
          <w:p w14:paraId="0A90683F">
            <w:pPr>
              <w:pStyle w:val="40"/>
              <w:jc w:val="center"/>
              <w:rPr>
                <w:rFonts w:hint="eastAsia" w:asciiTheme="minorEastAsia" w:hAnsiTheme="minorEastAsia" w:eastAsiaTheme="minorEastAsia" w:cstheme="minorEastAsia"/>
                <w:color w:val="auto"/>
                <w:sz w:val="24"/>
                <w:szCs w:val="24"/>
                <w:highlight w:val="none"/>
                <w:vertAlign w:val="baseline"/>
                <w:lang w:val="en-US" w:eastAsia="zh-CN" w:bidi="ar-SA"/>
              </w:rPr>
            </w:pPr>
            <w:r>
              <w:rPr>
                <w:rFonts w:hint="eastAsia" w:asciiTheme="minorEastAsia" w:hAnsiTheme="minorEastAsia" w:eastAsiaTheme="minorEastAsia" w:cstheme="minorEastAsia"/>
                <w:color w:val="auto"/>
                <w:highlight w:val="none"/>
                <w:vertAlign w:val="baseline"/>
                <w:lang w:val="en-US" w:eastAsia="zh-CN"/>
              </w:rPr>
              <w:t>参数</w:t>
            </w:r>
          </w:p>
        </w:tc>
        <w:tc>
          <w:tcPr>
            <w:tcW w:w="869" w:type="dxa"/>
            <w:shd w:val="clear" w:color="auto" w:fill="auto"/>
            <w:vAlign w:val="center"/>
          </w:tcPr>
          <w:p w14:paraId="43729898">
            <w:pPr>
              <w:pStyle w:val="40"/>
              <w:jc w:val="center"/>
              <w:rPr>
                <w:rFonts w:hint="eastAsia" w:asciiTheme="minorEastAsia" w:hAnsiTheme="minorEastAsia" w:eastAsiaTheme="minorEastAsia" w:cstheme="minorEastAsia"/>
                <w:color w:val="auto"/>
                <w:sz w:val="24"/>
                <w:szCs w:val="24"/>
                <w:highlight w:val="none"/>
                <w:vertAlign w:val="baseline"/>
                <w:lang w:val="en-US" w:eastAsia="zh-CN" w:bidi="ar-SA"/>
              </w:rPr>
            </w:pPr>
            <w:r>
              <w:rPr>
                <w:rFonts w:hint="eastAsia" w:asciiTheme="minorEastAsia" w:hAnsiTheme="minorEastAsia" w:eastAsiaTheme="minorEastAsia" w:cstheme="minorEastAsia"/>
                <w:color w:val="auto"/>
                <w:highlight w:val="none"/>
                <w:vertAlign w:val="baseline"/>
                <w:lang w:val="en-US" w:eastAsia="zh-CN"/>
              </w:rPr>
              <w:t>数量</w:t>
            </w:r>
          </w:p>
        </w:tc>
        <w:tc>
          <w:tcPr>
            <w:tcW w:w="1074" w:type="dxa"/>
            <w:shd w:val="clear" w:color="auto" w:fill="auto"/>
            <w:vAlign w:val="center"/>
          </w:tcPr>
          <w:p w14:paraId="6CEC81C8">
            <w:pPr>
              <w:pStyle w:val="40"/>
              <w:jc w:val="center"/>
              <w:rPr>
                <w:rFonts w:hint="eastAsia" w:asciiTheme="minorEastAsia" w:hAnsiTheme="minorEastAsia" w:eastAsiaTheme="minorEastAsia" w:cstheme="minorEastAsia"/>
                <w:color w:val="auto"/>
                <w:sz w:val="24"/>
                <w:szCs w:val="24"/>
                <w:highlight w:val="none"/>
                <w:vertAlign w:val="baseline"/>
                <w:lang w:val="en-US" w:eastAsia="zh-CN" w:bidi="ar-SA"/>
              </w:rPr>
            </w:pPr>
            <w:r>
              <w:rPr>
                <w:rFonts w:hint="eastAsia" w:asciiTheme="minorEastAsia" w:hAnsiTheme="minorEastAsia" w:eastAsiaTheme="minorEastAsia" w:cstheme="minorEastAsia"/>
                <w:color w:val="auto"/>
                <w:highlight w:val="none"/>
                <w:vertAlign w:val="baseline"/>
                <w:lang w:val="en-US" w:eastAsia="zh-CN"/>
              </w:rPr>
              <w:t>预算价（万元）</w:t>
            </w:r>
          </w:p>
        </w:tc>
      </w:tr>
      <w:tr w14:paraId="44D0D0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4" w:type="dxa"/>
            <w:vAlign w:val="center"/>
          </w:tcPr>
          <w:p w14:paraId="0143F1C0">
            <w:pPr>
              <w:jc w:val="center"/>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刻槽机</w:t>
            </w:r>
          </w:p>
        </w:tc>
        <w:tc>
          <w:tcPr>
            <w:tcW w:w="6276" w:type="dxa"/>
            <w:vAlign w:val="center"/>
          </w:tcPr>
          <w:p w14:paraId="6184002E">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二冲程发动机；功率：3.7kw;</w:t>
            </w:r>
          </w:p>
          <w:p w14:paraId="0F0339A8">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排量：74cc;</w:t>
            </w:r>
          </w:p>
          <w:p w14:paraId="3C598F39">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最大锯片/mm:350mm;</w:t>
            </w:r>
          </w:p>
          <w:p w14:paraId="6189E5E6">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最大切深/mm:125mm</w:t>
            </w:r>
          </w:p>
          <w:p w14:paraId="0A73BE92">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2、配置清单</w:t>
            </w:r>
          </w:p>
          <w:p w14:paraId="2465DF07">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单槽刻槽取样机：1台</w:t>
            </w:r>
          </w:p>
          <w:p w14:paraId="20A308B2">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锯片：5片</w:t>
            </w:r>
          </w:p>
          <w:p w14:paraId="0A94B0B5">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13.3L压力水箱：1个</w:t>
            </w:r>
          </w:p>
          <w:p w14:paraId="7B7EFDF8">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机油：1瓶</w:t>
            </w:r>
          </w:p>
          <w:p w14:paraId="3C61163F">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配油壶：1个</w:t>
            </w:r>
          </w:p>
        </w:tc>
        <w:tc>
          <w:tcPr>
            <w:tcW w:w="869" w:type="dxa"/>
            <w:vAlign w:val="center"/>
          </w:tcPr>
          <w:p w14:paraId="11F896BE">
            <w:pPr>
              <w:jc w:val="center"/>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4</w:t>
            </w:r>
          </w:p>
        </w:tc>
        <w:tc>
          <w:tcPr>
            <w:tcW w:w="1074" w:type="dxa"/>
            <w:vAlign w:val="center"/>
          </w:tcPr>
          <w:p w14:paraId="3AE488A9">
            <w:pPr>
              <w:jc w:val="center"/>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10.32</w:t>
            </w:r>
          </w:p>
        </w:tc>
      </w:tr>
      <w:tr w14:paraId="15280E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4" w:type="dxa"/>
            <w:vAlign w:val="center"/>
          </w:tcPr>
          <w:p w14:paraId="7ADE380A">
            <w:pPr>
              <w:jc w:val="center"/>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显微镜</w:t>
            </w:r>
          </w:p>
        </w:tc>
        <w:tc>
          <w:tcPr>
            <w:tcW w:w="6276" w:type="dxa"/>
            <w:vAlign w:val="center"/>
          </w:tcPr>
          <w:p w14:paraId="1F6999E9">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系    统：Android  Windows10/8/7</w:t>
            </w:r>
          </w:p>
          <w:p w14:paraId="1AE5DABD">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倍    率：10-250倍</w:t>
            </w:r>
          </w:p>
          <w:p w14:paraId="526437A9">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焦点距离：40倍:45mm 100倍:13mm 180倍:3mm 250倍:0mm</w:t>
            </w:r>
          </w:p>
          <w:p w14:paraId="45F13B5D">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摄影范围：40倍:10.8×6mm 250倍:1.8×1mm</w:t>
            </w:r>
          </w:p>
          <w:p w14:paraId="557EC25F">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镜    头：1/3CMOS</w:t>
            </w:r>
          </w:p>
          <w:p w14:paraId="0986C03A">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像    素：2304*1536</w:t>
            </w:r>
          </w:p>
          <w:p w14:paraId="7B3C4FC9">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白 平 衡：自动</w:t>
            </w:r>
          </w:p>
          <w:p w14:paraId="5D4E21DC">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光    源：白色LED*6</w:t>
            </w:r>
          </w:p>
          <w:p w14:paraId="66973EFB">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视频尺寸：AVI(1920×1080)20fps(1280×720,720×480,640×480)30fps</w:t>
            </w:r>
          </w:p>
          <w:p w14:paraId="086F4C8B">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图片尺寸：JPG(1920×1080,1280×720,720×480,640×480)</w:t>
            </w:r>
          </w:p>
          <w:p w14:paraId="780023C1">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电    源：DC5V 320MA(USB)</w:t>
            </w:r>
          </w:p>
          <w:p w14:paraId="3BCB19AE">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尺寸/重量：176×29×26（mm）/89g</w:t>
            </w:r>
          </w:p>
          <w:p w14:paraId="37D80E88">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二、清单明细</w:t>
            </w:r>
          </w:p>
          <w:p w14:paraId="190C9043">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1.显微镜机体*1</w:t>
            </w:r>
          </w:p>
          <w:p w14:paraId="2322C58A">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2.连接线（PC端）*1</w:t>
            </w:r>
          </w:p>
          <w:p w14:paraId="15C2CAE5">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3.连接线（手机、平板）*2</w:t>
            </w:r>
          </w:p>
          <w:p w14:paraId="2C568212">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4.多功能检测端*1</w:t>
            </w:r>
          </w:p>
          <w:p w14:paraId="4F936746">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5.遥控器*1</w:t>
            </w:r>
          </w:p>
          <w:p w14:paraId="134A6DBD">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6.说明书*1</w:t>
            </w:r>
          </w:p>
          <w:p w14:paraId="1A91DDF7">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7.包装箱*1</w:t>
            </w:r>
          </w:p>
        </w:tc>
        <w:tc>
          <w:tcPr>
            <w:tcW w:w="869" w:type="dxa"/>
            <w:vAlign w:val="center"/>
          </w:tcPr>
          <w:p w14:paraId="7E8C0D41">
            <w:pPr>
              <w:jc w:val="center"/>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4</w:t>
            </w:r>
          </w:p>
        </w:tc>
        <w:tc>
          <w:tcPr>
            <w:tcW w:w="1074" w:type="dxa"/>
            <w:vAlign w:val="center"/>
          </w:tcPr>
          <w:p w14:paraId="48A6830E">
            <w:pPr>
              <w:jc w:val="center"/>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2.32</w:t>
            </w:r>
          </w:p>
        </w:tc>
      </w:tr>
      <w:tr w14:paraId="3742AC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4" w:type="dxa"/>
            <w:vAlign w:val="center"/>
          </w:tcPr>
          <w:p w14:paraId="581C3D26">
            <w:pPr>
              <w:jc w:val="center"/>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荧光灯</w:t>
            </w:r>
          </w:p>
        </w:tc>
        <w:tc>
          <w:tcPr>
            <w:tcW w:w="6276" w:type="dxa"/>
            <w:vAlign w:val="center"/>
          </w:tcPr>
          <w:p w14:paraId="0969EF96">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功 率：8W</w:t>
            </w:r>
          </w:p>
          <w:p w14:paraId="244810C3">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辐射波长：～253.7埃</w:t>
            </w:r>
          </w:p>
          <w:p w14:paraId="13373A43">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荧光强度：距白钨矿样3米处，能激发矿样呈中等亮度荧光（暗处测定）</w:t>
            </w:r>
          </w:p>
          <w:p w14:paraId="3EE81CC4">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充电电压：AC100-240</w:t>
            </w:r>
          </w:p>
          <w:p w14:paraId="1F6BD994">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环境温度：-10-45℃</w:t>
            </w:r>
          </w:p>
          <w:p w14:paraId="7BE4BC86">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探矿时间：≥10小时左右</w:t>
            </w:r>
          </w:p>
          <w:p w14:paraId="5E5CF928">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工作电压：5.5-8.4V</w:t>
            </w:r>
          </w:p>
          <w:p w14:paraId="5E67AC92">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重 量：＜420克</w:t>
            </w:r>
          </w:p>
          <w:p w14:paraId="62A5D44D">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体 积：长280×宽80×高50（毫米3）</w:t>
            </w:r>
          </w:p>
          <w:p w14:paraId="47CB1092">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应用范围：矿物学、地调、科研、古董鉴定、生物学等</w:t>
            </w:r>
          </w:p>
        </w:tc>
        <w:tc>
          <w:tcPr>
            <w:tcW w:w="869" w:type="dxa"/>
            <w:vAlign w:val="center"/>
          </w:tcPr>
          <w:p w14:paraId="42BBBFDA">
            <w:pPr>
              <w:jc w:val="center"/>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6</w:t>
            </w:r>
          </w:p>
        </w:tc>
        <w:tc>
          <w:tcPr>
            <w:tcW w:w="1074" w:type="dxa"/>
            <w:vAlign w:val="center"/>
          </w:tcPr>
          <w:p w14:paraId="5B4DC236">
            <w:pPr>
              <w:jc w:val="center"/>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0.6</w:t>
            </w:r>
          </w:p>
        </w:tc>
      </w:tr>
      <w:tr w14:paraId="459DFF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4" w:type="dxa"/>
            <w:vAlign w:val="center"/>
          </w:tcPr>
          <w:p w14:paraId="3C34320B">
            <w:pPr>
              <w:jc w:val="center"/>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钨灯</w:t>
            </w:r>
          </w:p>
        </w:tc>
        <w:tc>
          <w:tcPr>
            <w:tcW w:w="6276" w:type="dxa"/>
            <w:vAlign w:val="center"/>
          </w:tcPr>
          <w:p w14:paraId="70CF25E3">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功 率：8W</w:t>
            </w:r>
          </w:p>
          <w:p w14:paraId="7FA92864">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辐射波长：～253.7埃</w:t>
            </w:r>
          </w:p>
          <w:p w14:paraId="76B85EAB">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荧光强度：距白钨矿样3米处，能激发矿样呈中等亮度荧光（暗处测定）</w:t>
            </w:r>
          </w:p>
          <w:p w14:paraId="7A2459BE">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充电电压：AC100-240</w:t>
            </w:r>
          </w:p>
          <w:p w14:paraId="01122A8F">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环境温度：-10-45℃</w:t>
            </w:r>
          </w:p>
          <w:p w14:paraId="3FEE8DA0">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探矿时间：≥10小时左右</w:t>
            </w:r>
          </w:p>
          <w:p w14:paraId="4BC74326">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工作电压：5.5-8.4V</w:t>
            </w:r>
          </w:p>
          <w:p w14:paraId="35AAEF2E">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重 量：＜420克</w:t>
            </w:r>
          </w:p>
          <w:p w14:paraId="168C519F">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体 积：长280×宽80×高50（毫米3）</w:t>
            </w:r>
          </w:p>
          <w:p w14:paraId="60EEBBF2">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应用范围：矿物学、地调、科研、古董鉴定、生物学等</w:t>
            </w:r>
          </w:p>
        </w:tc>
        <w:tc>
          <w:tcPr>
            <w:tcW w:w="869" w:type="dxa"/>
            <w:vAlign w:val="center"/>
          </w:tcPr>
          <w:p w14:paraId="2E40EB62">
            <w:pPr>
              <w:jc w:val="center"/>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4</w:t>
            </w:r>
          </w:p>
        </w:tc>
        <w:tc>
          <w:tcPr>
            <w:tcW w:w="1074" w:type="dxa"/>
            <w:vAlign w:val="center"/>
          </w:tcPr>
          <w:p w14:paraId="3EE87E19">
            <w:pPr>
              <w:jc w:val="center"/>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0.4</w:t>
            </w:r>
          </w:p>
        </w:tc>
      </w:tr>
      <w:tr w14:paraId="5E414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4" w:type="dxa"/>
            <w:vAlign w:val="center"/>
          </w:tcPr>
          <w:p w14:paraId="640F3E3A">
            <w:pPr>
              <w:jc w:val="center"/>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便携式土壤取样钻机</w:t>
            </w:r>
          </w:p>
        </w:tc>
        <w:tc>
          <w:tcPr>
            <w:tcW w:w="6276" w:type="dxa"/>
            <w:vAlign w:val="center"/>
          </w:tcPr>
          <w:p w14:paraId="67393803">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一、技术参数：</w:t>
            </w:r>
          </w:p>
          <w:p w14:paraId="10E11E5B">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1.钻进方式：冲击钻进（高频振动冲击钻进）；</w:t>
            </w:r>
          </w:p>
          <w:p w14:paraId="7B27855C">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2.取芯方式：外套管不提，样品管回次式取芯；</w:t>
            </w:r>
          </w:p>
          <w:p w14:paraId="360DF491">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3.取样深度：≥15米；</w:t>
            </w:r>
          </w:p>
          <w:p w14:paraId="45F8EC37">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4.动力头：重量不超过29kg，长：≤76cm,宽≤25cm；</w:t>
            </w:r>
          </w:p>
          <w:p w14:paraId="0D173B9D">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5.锤击频率：不超过1650次/分钟，不低于1600次/分钟；</w:t>
            </w:r>
          </w:p>
          <w:p w14:paraId="442695B9">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6.★发动机：四冲程发动机、功率不小于21马力，配备散热器，7米液压油路管；</w:t>
            </w:r>
          </w:p>
          <w:p w14:paraId="23BC0F1C">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7.液压泵输出流量：≥40L/分钟；</w:t>
            </w:r>
          </w:p>
          <w:p w14:paraId="62F9BB32">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8.工作压力：18mpa；</w:t>
            </w:r>
          </w:p>
          <w:p w14:paraId="177DF718">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9.动力站运输方式：4轮推拉其中2个万向轮；</w:t>
            </w:r>
          </w:p>
          <w:p w14:paraId="215CAD08">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10.★钻杆：钻杆内径＞40mm、钻杆外径≥54mm；钻杆有效长度≥1米，材质根据硬质地层定制材质；</w:t>
            </w:r>
          </w:p>
          <w:p w14:paraId="59630325">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11.钻头：内径≥37mm，钻头外径≥55mm；长度≥60mm；用于钻取样品，根据硬质地层定制材质；</w:t>
            </w:r>
          </w:p>
          <w:p w14:paraId="6E99D5C9">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12.★样品管：内径＞37mm、外径＞39mm，长≥1米，透明样品管便于观察样品分层情况，材质为PETG环保材料，避免二次污染。每根样品管含有一次性卡簧及红、黑样品管帽；</w:t>
            </w:r>
          </w:p>
          <w:p w14:paraId="5413D956">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13.剖管器：长≥15，宽≥10cm，凹槽直径≥38mm，含牛角刀片；</w:t>
            </w:r>
          </w:p>
          <w:p w14:paraId="1E1C144E">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14.起拔器：起拔力≥15吨，双油缸、配备球形拔杆器；</w:t>
            </w:r>
          </w:p>
          <w:p w14:paraId="449AE2DF">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15.★内杆：有效长度1米，两头带有螺纹丝扣，主要用于提升样品。顶端配有减震垫及减震套。</w:t>
            </w:r>
          </w:p>
          <w:p w14:paraId="1885D7D6">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16.★样品转换接头：长≤7cm,直径＞37mm；无需其他配件，直接连接样品管跟进钻进及提杆。</w:t>
            </w:r>
          </w:p>
          <w:p w14:paraId="62A801C0">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二、配置清单</w:t>
            </w:r>
          </w:p>
          <w:p w14:paraId="3F5C3411">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1)手持液压动力头1台；</w:t>
            </w:r>
          </w:p>
          <w:p w14:paraId="132BD69B">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2)轻型液压动力站1个；</w:t>
            </w:r>
          </w:p>
          <w:p w14:paraId="0860C1DC">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3)7米液压油管含快速插头1个；</w:t>
            </w:r>
          </w:p>
          <w:p w14:paraId="58FB4842">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4)液压拔管器1个；</w:t>
            </w:r>
          </w:p>
          <w:p w14:paraId="13488100">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5)拔杆器换向控制器 1个；</w:t>
            </w:r>
          </w:p>
          <w:p w14:paraId="029A4D73">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6)快速插头 2对；</w:t>
            </w:r>
          </w:p>
          <w:p w14:paraId="2D812CBE">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7)剖管器1个；</w:t>
            </w:r>
          </w:p>
          <w:p w14:paraId="5DE880ED">
            <w:pPr>
              <w:jc w:val="both"/>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rPr>
              <w:t>8)锤头 2根；</w:t>
            </w:r>
            <w:r>
              <w:rPr>
                <w:rFonts w:hint="eastAsia" w:asciiTheme="minorEastAsia" w:hAnsiTheme="minorEastAsia" w:eastAsiaTheme="minorEastAsia" w:cstheme="minorEastAsia"/>
                <w:color w:val="auto"/>
                <w:sz w:val="24"/>
                <w:szCs w:val="24"/>
                <w:highlight w:val="none"/>
                <w:vertAlign w:val="baseline"/>
                <w:lang w:val="en-US" w:eastAsia="zh-CN"/>
              </w:rPr>
              <w:t>1</w:t>
            </w:r>
          </w:p>
          <w:p w14:paraId="775B2CB9">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9)钻杆 15根；</w:t>
            </w:r>
          </w:p>
          <w:p w14:paraId="19063BB6">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10)内杆 15米；</w:t>
            </w:r>
          </w:p>
          <w:p w14:paraId="50D78098">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11)钻头 2个；</w:t>
            </w:r>
          </w:p>
          <w:p w14:paraId="47AF746A">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12)减振垫10个；</w:t>
            </w:r>
          </w:p>
          <w:p w14:paraId="1A7B44B4">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13)减震套2个；</w:t>
            </w:r>
          </w:p>
          <w:p w14:paraId="2541D73C">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14)样品管转换头 2个；</w:t>
            </w:r>
          </w:p>
          <w:p w14:paraId="178615BC">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15)短接提杆 2个；</w:t>
            </w:r>
          </w:p>
          <w:p w14:paraId="674543B7">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16)样品管100根；</w:t>
            </w:r>
          </w:p>
          <w:p w14:paraId="5BC71C4F">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17)样品管帽 200 个；</w:t>
            </w:r>
          </w:p>
          <w:p w14:paraId="3B9E2BB2">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18)工具箱（含常用工具） 1个；</w:t>
            </w:r>
          </w:p>
          <w:p w14:paraId="702AAD7D">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19)管钳 2把；</w:t>
            </w:r>
          </w:p>
          <w:p w14:paraId="4A32CD73">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20)垫板 1个；</w:t>
            </w:r>
          </w:p>
          <w:p w14:paraId="582D1D65">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21)大扳叉 1个；</w:t>
            </w:r>
          </w:p>
          <w:p w14:paraId="092734D5">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22)小扳叉 1个；</w:t>
            </w:r>
          </w:p>
          <w:p w14:paraId="64EC4E76">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23)卡瓦 1套。</w:t>
            </w:r>
          </w:p>
        </w:tc>
        <w:tc>
          <w:tcPr>
            <w:tcW w:w="869" w:type="dxa"/>
            <w:vAlign w:val="center"/>
          </w:tcPr>
          <w:p w14:paraId="0D30B1A3">
            <w:pPr>
              <w:jc w:val="center"/>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1</w:t>
            </w:r>
          </w:p>
        </w:tc>
        <w:tc>
          <w:tcPr>
            <w:tcW w:w="1074" w:type="dxa"/>
            <w:vAlign w:val="center"/>
          </w:tcPr>
          <w:p w14:paraId="5F379528">
            <w:pPr>
              <w:jc w:val="center"/>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25.5</w:t>
            </w:r>
          </w:p>
        </w:tc>
      </w:tr>
      <w:tr w14:paraId="3C7C40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4" w:type="dxa"/>
            <w:vAlign w:val="center"/>
          </w:tcPr>
          <w:p w14:paraId="13010E1B">
            <w:pPr>
              <w:jc w:val="center"/>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便携式水质多参数分析仪</w:t>
            </w:r>
          </w:p>
        </w:tc>
        <w:tc>
          <w:tcPr>
            <w:tcW w:w="6276" w:type="dxa"/>
            <w:vAlign w:val="center"/>
          </w:tcPr>
          <w:p w14:paraId="3A44515C">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（1）水质传感器主机：水质传感器主机1台，含温度、pH、电导率、溶解氧、氧化还原电位、浊度组合电极。</w:t>
            </w:r>
          </w:p>
          <w:p w14:paraId="4D401E52">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1）主机设计寿命：不小于2年。</w:t>
            </w:r>
          </w:p>
          <w:p w14:paraId="68E966D0">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2）仪器测量量程:</w:t>
            </w:r>
          </w:p>
          <w:p w14:paraId="19DE90EA">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温度：-5-50°C；电导率：0-350000μS/cm；溶解氧：0-50mg/L；氧化还原电位(ORP)：±1400mv；pH：0-14pH；气温：-20-50℃；浊度：0-4000NTU，0-1500 mg/L；</w:t>
            </w:r>
          </w:p>
          <w:p w14:paraId="34975609">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3）尺寸重量：直径4.7cm，长度小于46cm，重量978g。</w:t>
            </w:r>
          </w:p>
          <w:p w14:paraId="235F7D18">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4）测量精度：</w:t>
            </w:r>
          </w:p>
          <w:p w14:paraId="5DDFA73D">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温度：±0.1°C；电导率：±0.5%FS，±1μS/cm ；溶解氧：±0.2mg/L，≤20 mg/L；氧化还原电位(ORP)：±5.0mV；pH：±0.1pH；气温：±2°C；浊度：+/-2%，+/-2NTU</w:t>
            </w:r>
          </w:p>
          <w:p w14:paraId="79F6C7B2">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5）分辨率：</w:t>
            </w:r>
          </w:p>
          <w:p w14:paraId="65AD6031">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温度：0.01°C；电导率：0.1uS/cm，0.1ppt，0.1PSU；溶解氧：0.01mg/L；</w:t>
            </w:r>
          </w:p>
          <w:p w14:paraId="7ACF65ED">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氧化还原电位(ORP)：0.1mV；pH：0.01pH；气温：0.1°C；浊度：0.01NTU（0-1000NTU），0.1NTU（1000-4000NTU），0.1mg/L；</w:t>
            </w:r>
          </w:p>
          <w:p w14:paraId="28F5B8C1">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6）响应时间：</w:t>
            </w:r>
          </w:p>
          <w:p w14:paraId="772DCC22">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温度：≤30秒；电导率：≤90秒；溶解氧：≤45秒；氧化还原电位(ORP)：≤30秒；pH：≤30秒；气温：≤30秒；浊度：≤1秒；</w:t>
            </w:r>
          </w:p>
          <w:p w14:paraId="75C82780">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7）★测试方法：</w:t>
            </w:r>
          </w:p>
          <w:p w14:paraId="3061B1AF">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电导率：4极式电极法；溶解氧：荧光法；氧化还原电位：电极法；pH：电极法；浊度：光散射法；</w:t>
            </w:r>
          </w:p>
          <w:p w14:paraId="2690D2F2">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8）仪器存放温度范围：-5℃～+50℃；</w:t>
            </w:r>
          </w:p>
          <w:p w14:paraId="14FC4E07">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9）仪器工作温度范围：0℃～+50℃；</w:t>
            </w:r>
          </w:p>
          <w:p w14:paraId="42E4B5E9">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10）★传感器探头需扇面型设计，集成度高且防污性能好；传感器为湿式插拔，可带水操作；内咬合式传感器在掉落和高流速条件下提供更高的稳定性，限流器可防止掉落和撞击，全封闭式传感器消除进水情况，多室设计限制了仪器的损坏和维修成本；</w:t>
            </w:r>
          </w:p>
          <w:p w14:paraId="064D480F">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11)输出数据内容：水温、pH、氧化还原电位（ORP）、电导率、溶解氧、浊度；</w:t>
            </w:r>
          </w:p>
          <w:p w14:paraId="52D8C57A">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12)★主机机身带LCD显示屏.直观的图标需显示所有关键系统和传感器的状态.嵌入式菜单支持紧急设置或工厂重置；</w:t>
            </w:r>
          </w:p>
          <w:p w14:paraId="57DA4924">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13)★通过敲击主机机身操作可实现打开或关闭蓝牙，改变屏幕亮度，改变语言，重置通信设置等操作；</w:t>
            </w:r>
          </w:p>
          <w:p w14:paraId="395F0949">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14)时钟：连接智能终端后，可将水质传感器时钟与智能终端同步；</w:t>
            </w:r>
          </w:p>
          <w:p w14:paraId="017E70B6">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15)外观：仪器外表面应无锈蚀、裂纹及涂敷层剥落等现象；文字标志应清晰完整</w:t>
            </w:r>
          </w:p>
          <w:p w14:paraId="552BB7BE">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16)外壳材质：PVC，316L不锈钢、铝合金、钛等或其它更高的防腐蚀等级的材料；</w:t>
            </w:r>
          </w:p>
          <w:p w14:paraId="439C15D3">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17)结构：机械紧固部位应无松动；塑料件不应出现起泡、开裂、变形；电气接点无锈蚀；各种电缆、部件之间的接头应可靠且方便装拆；</w:t>
            </w:r>
          </w:p>
          <w:p w14:paraId="32E8352A">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18)外壳防护等级在连接所有传感器和线缆时满足或优于IP68，未连接传感器和线缆时满足或优于IP67；</w:t>
            </w:r>
          </w:p>
          <w:p w14:paraId="65DA4130">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19)缆线材质：聚氨酯或其他轻便、抗拉、耐磨损的材料。</w:t>
            </w:r>
          </w:p>
          <w:p w14:paraId="4605E5A8">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（2）数据传输装置1台</w:t>
            </w:r>
          </w:p>
          <w:p w14:paraId="56319AEC">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1)壳体材质：PC/ABS等具有防腐蚀能力的材料；</w:t>
            </w:r>
          </w:p>
          <w:p w14:paraId="1F66C840">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2)外形尺寸：≤20×10×5cm，≤500g，可方便置入口袋或手持，并提供投标产品的外形参数；</w:t>
            </w:r>
          </w:p>
          <w:p w14:paraId="6165B3A2">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3)工作温度范围：-5℃到+50℃，适用于野外各种气候条件；</w:t>
            </w:r>
          </w:p>
          <w:p w14:paraId="5D00C707">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4)防水等级：IP67；</w:t>
            </w:r>
          </w:p>
          <w:p w14:paraId="50E000A4">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5)★数据传输方式：蓝牙，USB同时支持，可用手机、电脑直接读取和查看现场实时数据；</w:t>
            </w:r>
          </w:p>
          <w:p w14:paraId="56FDE11B">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6)通信协议：安卓系统采用SPP；Windows采用SPP或USB；</w:t>
            </w:r>
          </w:p>
          <w:p w14:paraId="07955EB5">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7)电源：可充电锂电池或碱性干电池，一次充电或容量干电池至少可连续工作10小时；</w:t>
            </w:r>
          </w:p>
          <w:p w14:paraId="47EC4327">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8)数据传输装置的传输参量：包括水温、pH、氧化还原电位（ORP）、电导率、溶解氧、浊度，数据传输装置剩余电量等。</w:t>
            </w:r>
          </w:p>
          <w:p w14:paraId="71214B65">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（3）手持终端1台和相应正版app软件</w:t>
            </w:r>
          </w:p>
          <w:p w14:paraId="588AD411">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1)★自带配套正版APP软件；具有定位功能，且可按照不同站点标记管理数据；数据为标准的.csv格式、.xls格式、.txt，可直接在Excel中编辑；</w:t>
            </w:r>
          </w:p>
          <w:p w14:paraId="7BB93C8B">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2)数据接收方式：蓝牙；</w:t>
            </w:r>
          </w:p>
          <w:p w14:paraId="0E189BE4">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3)三防设计，IP67防水，可在野外恶劣环境下可靠工作；</w:t>
            </w:r>
          </w:p>
          <w:p w14:paraId="7C68BC4C">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4)外形尺寸：≤200×100×20mm；</w:t>
            </w:r>
          </w:p>
          <w:p w14:paraId="4A126732">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5)重量：≤300g。</w:t>
            </w:r>
          </w:p>
        </w:tc>
        <w:tc>
          <w:tcPr>
            <w:tcW w:w="869" w:type="dxa"/>
            <w:vAlign w:val="center"/>
          </w:tcPr>
          <w:p w14:paraId="16F4E31C">
            <w:pPr>
              <w:jc w:val="center"/>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1</w:t>
            </w:r>
          </w:p>
        </w:tc>
        <w:tc>
          <w:tcPr>
            <w:tcW w:w="1074" w:type="dxa"/>
            <w:vAlign w:val="center"/>
          </w:tcPr>
          <w:p w14:paraId="6166A6C7">
            <w:pPr>
              <w:jc w:val="center"/>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9.8</w:t>
            </w:r>
          </w:p>
        </w:tc>
      </w:tr>
      <w:tr w14:paraId="2AAA6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4" w:type="dxa"/>
            <w:vAlign w:val="center"/>
          </w:tcPr>
          <w:p w14:paraId="4C6833E3">
            <w:pPr>
              <w:jc w:val="center"/>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气体检测仪</w:t>
            </w:r>
          </w:p>
        </w:tc>
        <w:tc>
          <w:tcPr>
            <w:tcW w:w="6276" w:type="dxa"/>
            <w:vAlign w:val="center"/>
          </w:tcPr>
          <w:p w14:paraId="4EACD94A">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1）传感器：标准配置10.6eV光离子化传感器，可选 9.8eV 或 11.7eV；</w:t>
            </w:r>
          </w:p>
          <w:p w14:paraId="135BD7B8">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2）★采样方式：泵吸式自动进样；</w:t>
            </w:r>
          </w:p>
          <w:p w14:paraId="18DAFD15">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3）★防护等级：IP66（开机）/IP67（关机）；</w:t>
            </w:r>
          </w:p>
          <w:p w14:paraId="5DFC9F08">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4）标定：两点或三点标定；存储最近的 10 次标定数据；</w:t>
            </w:r>
          </w:p>
          <w:p w14:paraId="2C476D4D">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5）电池运行时间：可充电锂电池，连续运行超过 24 小时；</w:t>
            </w:r>
          </w:p>
          <w:p w14:paraId="7B50AD71">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6）充电器：Micro USB；</w:t>
            </w:r>
          </w:p>
          <w:p w14:paraId="6977D7BF">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7）工作温度/湿度：-30℃~50℃；0~95%RH（无冷凝）；</w:t>
            </w:r>
          </w:p>
          <w:p w14:paraId="7B60B8A9">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8）尺寸：230mm x 80mm x 60mm；</w:t>
            </w:r>
          </w:p>
          <w:p w14:paraId="51EBD43E">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9）重量：680g；</w:t>
            </w:r>
          </w:p>
          <w:p w14:paraId="38B2361F">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10）泵流量：450cc/分钟（带堵泵以及低流量报警）；</w:t>
            </w:r>
          </w:p>
          <w:p w14:paraId="5FE87E2D">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11）数据存储及类型：连续存储 12 个月/每分钟一次数据，存储间隔(1~3600 秒可调节） 类型包括最大值、最小值、平均值和实时值；</w:t>
            </w:r>
          </w:p>
          <w:p w14:paraId="49CF184B">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12）数据下载及通讯：USB 连接线下载到电脑上直接对数据进行处理数据可通过USB 连接线实时通讯；</w:t>
            </w:r>
          </w:p>
          <w:p w14:paraId="2D2E2E96">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13）显示语言：中/英+符号；</w:t>
            </w:r>
          </w:p>
          <w:p w14:paraId="54DD9AA0">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14）操作模式：检测和编程；</w:t>
            </w:r>
          </w:p>
          <w:p w14:paraId="429B7109">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15）按键：四个按键；</w:t>
            </w:r>
          </w:p>
          <w:p w14:paraId="39EC4223">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16）警示方式：95dB@30cm、LED 闪烁；</w:t>
            </w:r>
          </w:p>
          <w:p w14:paraId="40833651">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17）★抗电磁辐射：EMI/RF 等级:EMC Directive 89/336/EEC；</w:t>
            </w:r>
          </w:p>
          <w:p w14:paraId="1DF64AE4">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18）显示屏：128X128 点阵液晶，带自动背光；</w:t>
            </w:r>
          </w:p>
          <w:p w14:paraId="2EB5D291">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19）★校正系数：内置超过 450 种，客户可自行定制 15 种；</w:t>
            </w:r>
          </w:p>
          <w:p w14:paraId="0E2BA0AE">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20）屏幕可直接显示：测量值、人员安全状态、电池指示、数据记录状态、光源工作状态、温度、无线状态（无线版本）等；检测数据有实时曲线图和数字两种显示模式；</w:t>
            </w:r>
          </w:p>
          <w:p w14:paraId="6B88342B">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21）无线模块传输：大于 300m；</w:t>
            </w:r>
          </w:p>
        </w:tc>
        <w:tc>
          <w:tcPr>
            <w:tcW w:w="869" w:type="dxa"/>
            <w:vAlign w:val="center"/>
          </w:tcPr>
          <w:p w14:paraId="025A9601">
            <w:pPr>
              <w:jc w:val="center"/>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2</w:t>
            </w:r>
          </w:p>
        </w:tc>
        <w:tc>
          <w:tcPr>
            <w:tcW w:w="1074" w:type="dxa"/>
            <w:vAlign w:val="center"/>
          </w:tcPr>
          <w:p w14:paraId="3FF7DC38">
            <w:pPr>
              <w:jc w:val="center"/>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2</w:t>
            </w:r>
          </w:p>
        </w:tc>
      </w:tr>
      <w:tr w14:paraId="36FFEC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4" w:type="dxa"/>
            <w:vAlign w:val="center"/>
          </w:tcPr>
          <w:p w14:paraId="7ADE8D2C">
            <w:pPr>
              <w:jc w:val="center"/>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混凝土回弹检测仪</w:t>
            </w:r>
          </w:p>
        </w:tc>
        <w:tc>
          <w:tcPr>
            <w:tcW w:w="6276" w:type="dxa"/>
            <w:vAlign w:val="center"/>
          </w:tcPr>
          <w:p w14:paraId="5EC4845D">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采集仪表</w:t>
            </w:r>
          </w:p>
          <w:p w14:paraId="0F4DD939">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1：操作方式：触摸、按键</w:t>
            </w:r>
          </w:p>
          <w:p w14:paraId="0D432F78">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2：输入法：中文、英文</w:t>
            </w:r>
          </w:p>
          <w:p w14:paraId="58A00B7E">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3：输入方式：自动记录回弹值</w:t>
            </w:r>
          </w:p>
          <w:p w14:paraId="6358EAE2">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4：数据处理：依据规范自动进行数据修正、计算、统计分析</w:t>
            </w:r>
          </w:p>
          <w:p w14:paraId="5ED79D22">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5：显示方式：2.8寸触摸液晶屏（400×240像素）</w:t>
            </w:r>
          </w:p>
          <w:p w14:paraId="44805047">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6：系统容量：1000个构件、100个测区</w:t>
            </w:r>
          </w:p>
          <w:p w14:paraId="799EFB98">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7：供电方式：可充电，内置3200mAh高容量进口锂电池</w:t>
            </w:r>
          </w:p>
          <w:p w14:paraId="352AFBA8">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8：自动关机：可设置最大120min</w:t>
            </w:r>
          </w:p>
          <w:p w14:paraId="77A208B1">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机械回弹仪</w:t>
            </w:r>
          </w:p>
          <w:p w14:paraId="7E1A8458">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9：测强范围：10-60MPa</w:t>
            </w:r>
          </w:p>
          <w:p w14:paraId="1678499A">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10：标称动能：2.207J</w:t>
            </w:r>
          </w:p>
          <w:p w14:paraId="121AED4D">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11：弹击拉簧拉伸长度：75±0.3mm</w:t>
            </w:r>
          </w:p>
          <w:p w14:paraId="1FE8507C">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12：弹击拉簧工作长度：61.5±0.3mm</w:t>
            </w:r>
          </w:p>
          <w:p w14:paraId="07B92D22">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13：示值一致性误差：≤±0.5(机械回弹仪指针读数和仪器屏幕读数之差)</w:t>
            </w:r>
          </w:p>
          <w:p w14:paraId="273A33C3">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14：钢砧率定回弹值：80±2</w:t>
            </w:r>
          </w:p>
        </w:tc>
        <w:tc>
          <w:tcPr>
            <w:tcW w:w="869" w:type="dxa"/>
            <w:vAlign w:val="center"/>
          </w:tcPr>
          <w:p w14:paraId="3C5964EE">
            <w:pPr>
              <w:jc w:val="center"/>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5</w:t>
            </w:r>
          </w:p>
        </w:tc>
        <w:tc>
          <w:tcPr>
            <w:tcW w:w="1074" w:type="dxa"/>
            <w:vAlign w:val="center"/>
          </w:tcPr>
          <w:p w14:paraId="5CD80C8B">
            <w:pPr>
              <w:jc w:val="center"/>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5</w:t>
            </w:r>
          </w:p>
        </w:tc>
      </w:tr>
      <w:tr w14:paraId="3CD303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4" w:type="dxa"/>
            <w:vAlign w:val="center"/>
          </w:tcPr>
          <w:p w14:paraId="6B3A7FBB">
            <w:pPr>
              <w:jc w:val="center"/>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RTK测量系统</w:t>
            </w:r>
          </w:p>
        </w:tc>
        <w:tc>
          <w:tcPr>
            <w:tcW w:w="6276" w:type="dxa"/>
            <w:vAlign w:val="center"/>
          </w:tcPr>
          <w:p w14:paraId="79B55984">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1、接收机测量性能</w:t>
            </w:r>
          </w:p>
          <w:p w14:paraId="7AD38F42">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1.1主板要求具备国内自主知识产权，主板通道数不低于660；</w:t>
            </w:r>
          </w:p>
          <w:p w14:paraId="3833C9AB">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1.2卫星信号跟踪：单BDS系统</w:t>
            </w:r>
          </w:p>
          <w:p w14:paraId="053DAFAE">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1.2.1 BDS：B1I，B2I，B3I，B1C，B2a</w:t>
            </w:r>
          </w:p>
          <w:p w14:paraId="4A21192F">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1.2.6 支持SBAS</w:t>
            </w:r>
          </w:p>
          <w:p w14:paraId="4809341A">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1.3输出格式：ASCII：NMEA-0183以及二进制</w:t>
            </w:r>
          </w:p>
          <w:p w14:paraId="7C77C2CB">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1.4初始化时间：＜10秒</w:t>
            </w:r>
          </w:p>
          <w:p w14:paraId="1C2C84A3">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1.5初始化可靠性：＞99.99%</w:t>
            </w:r>
          </w:p>
          <w:p w14:paraId="1B3319CA">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1.6差分支持：CMR、RTCM2.X、RTCM3.0、RTCM3.2</w:t>
            </w:r>
          </w:p>
          <w:p w14:paraId="40A2295D">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1.7断点续测：在差分信号中断期间仍然提供RTK测量</w:t>
            </w:r>
          </w:p>
          <w:p w14:paraId="67032BA7">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1.8 内置GNSS组合天线： GNSS、4G网络、WiFi，蓝牙天线高度集成的组合天线，实现360度无死角的天顶信号通讯，能够在复杂环境中稳定工作。（自主知识产权，主机与天线为同一厂家生产，提供测量GNSS接收天线专利证书复印件加盖公章)</w:t>
            </w:r>
          </w:p>
          <w:p w14:paraId="4C7F2E57">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2.定位精度</w:t>
            </w:r>
          </w:p>
          <w:p w14:paraId="3F860AC4">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2.1静态定位水平精度不低于：±（2.5+0.5×10-6D）mm（D为被测点间距离）</w:t>
            </w:r>
          </w:p>
          <w:p w14:paraId="7688F946">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2.2静态定位垂直精度不低于：±（5+0.5×10-6D）mm（D为被测点间距离）</w:t>
            </w:r>
          </w:p>
          <w:p w14:paraId="108BFBA7">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2.3 RTK水平精度不低于:±（8+1×10¯6D）mm（D为被测点间距离）</w:t>
            </w:r>
          </w:p>
          <w:p w14:paraId="18F8EEA8">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2.4 RTK垂直精度不低于:±（15+1×10¯6D）mm（D为被测点间距离）</w:t>
            </w:r>
          </w:p>
          <w:p w14:paraId="7053B2B7">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2.5 码差分水平精度不低于：±0.25m + 1 ppm RMS。</w:t>
            </w:r>
          </w:p>
          <w:p w14:paraId="5E95C7C7">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3、主机配置及功能</w:t>
            </w:r>
          </w:p>
          <w:p w14:paraId="0D66C7BF">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3.1 操作系统：LINUX操作系统；</w:t>
            </w:r>
          </w:p>
          <w:p w14:paraId="301591E6">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3.2 数据存储：内置存储8GB, 支持静态数据自动循环存储；</w:t>
            </w:r>
          </w:p>
          <w:p w14:paraId="49E055AA">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3.3接收机电池：内置高容量锂电池6800mAh/7.4V,网络移动站工作时间大于10小时,内置不可拆卸，支持充电宝充电；</w:t>
            </w:r>
          </w:p>
          <w:p w14:paraId="55FEB881">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3.4内置eSIM网络芯片（含3年上网流量），无需插卡即可联网;</w:t>
            </w:r>
          </w:p>
          <w:p w14:paraId="1337F33A">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3.5 支持WiFi通信和蓝牙通信，支持手簿NFC闪连实现智能化操作;</w:t>
            </w:r>
          </w:p>
          <w:p w14:paraId="0EB45165">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3.6 内置电台最大功率不小于2W，功率至少3档可调；频范围410MHz~470MHz；电台协议:HI-TARGET，TRIMTALK450S，TRIMMARKⅢ，TRANSEOT，SOUTH，CHC；频道数不低于110个频段；</w:t>
            </w:r>
          </w:p>
          <w:p w14:paraId="514344FF">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3.7 内置高精度惯导，自动姿态补偿，无需校正，抗磁干扰，到点即测；</w:t>
            </w:r>
          </w:p>
          <w:p w14:paraId="41D15348">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3.8 智能应用：智能基站，智能语音，功能自检，电池快充；</w:t>
            </w:r>
          </w:p>
          <w:p w14:paraId="48EE3706">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（提供语音服务的专利证书复印件）</w:t>
            </w:r>
          </w:p>
          <w:p w14:paraId="1C0197E6">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3.9 高级功能：NFC闪联，WebUI交互，在线升级；</w:t>
            </w:r>
          </w:p>
          <w:p w14:paraId="3D6F1D54">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3.10 远程服务：消息推送、在线升级、远程控制；</w:t>
            </w:r>
          </w:p>
          <w:p w14:paraId="4F9B9C45">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3.11智能基站：智能选择最优服务器或最优频道和协议，移动站只需输入基站主机号，就能自动匹配基站参数，让设站变得简单。</w:t>
            </w:r>
          </w:p>
          <w:p w14:paraId="2BF7AAB5">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3.12 内置中国移动全国CORS服务，开机即测（无需输入账号密码），国内领先，全面覆盖；CGCS2000坐标直接测。</w:t>
            </w:r>
          </w:p>
          <w:p w14:paraId="1318E179">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3.13云服务：设备管理，位置服务，协同作业，数据分析；</w:t>
            </w:r>
          </w:p>
          <w:p w14:paraId="42483F07">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4、物理性能</w:t>
            </w:r>
          </w:p>
          <w:p w14:paraId="7AB4025D">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4.1主机要求：镁合金材质，主机小型化设计，体积≤Φ132mmx67mm，重量≤0.83kg（含电池）</w:t>
            </w:r>
          </w:p>
          <w:p w14:paraId="089BB8E5">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4.2 I/O端口：USB Type C接口，SMA接口；</w:t>
            </w:r>
          </w:p>
          <w:p w14:paraId="67521895">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4.3 三防：防尘防水、不低于IP67，抗2米高测杆自然跌落；</w:t>
            </w:r>
          </w:p>
          <w:p w14:paraId="7C8C3135">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4.4 功耗：≤4.2W；</w:t>
            </w:r>
          </w:p>
          <w:p w14:paraId="09C431CE">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4.5工作温度  -30℃~+70℃，存储温度  -40℃~+80℃</w:t>
            </w:r>
          </w:p>
          <w:p w14:paraId="0CEB0FF2">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4.6主机箱是为超轻EPP材质仪器箱，两米升缩对中杆收缩要不大于1.25米长。</w:t>
            </w:r>
          </w:p>
          <w:p w14:paraId="68A1A833">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5、手簿采集器</w:t>
            </w:r>
          </w:p>
          <w:p w14:paraId="40AB16FD">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5.1 Android 10及以上版本操作系统；</w:t>
            </w:r>
          </w:p>
          <w:p w14:paraId="5213AF8B">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5.2处理器：2GHz，8核处理器 ；</w:t>
            </w:r>
          </w:p>
          <w:p w14:paraId="03665EB7">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5.3存储：不低于2GB RAM+16GB ROM，支持T-Flash存储卡，最高达128GB，支持OTG功能；</w:t>
            </w:r>
          </w:p>
          <w:p w14:paraId="43857928">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5.4支持手簿AR测量和AR放样</w:t>
            </w:r>
          </w:p>
          <w:p w14:paraId="3E506BC7">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5.5 蜂窝移动：4G全网通，双卡双待，内置eSIM卡，含三年流量</w:t>
            </w:r>
          </w:p>
          <w:p w14:paraId="481979CD">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5.5 通讯：支持WIFI、蓝牙（2.1+4.0）、USB USB Type C接口、支持NFC闪联；</w:t>
            </w:r>
          </w:p>
          <w:p w14:paraId="25FB04E9">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5.6 IEEE 802.11b/g/n,Wapi,AP（支持WiFi与蜂窝移动双联智选上网）；</w:t>
            </w:r>
          </w:p>
          <w:p w14:paraId="6BD8B052">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5.7内置锂电池≥7500mAh，内置不可拆卸，支持快充，充满手簿电池时间小于4小时，可连续工作大于14小时；</w:t>
            </w:r>
          </w:p>
          <w:p w14:paraId="3955FCDC">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5.8物理全键盘，50按键，数字/字母分开，物理键盘智能输入法 ；</w:t>
            </w:r>
          </w:p>
          <w:p w14:paraId="6DF01929">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5.9屏幕：5.5 英寸高亮户外彩色电容触摸屏，分辨率720*1280，阳光可见，典型亮度 600 nits；</w:t>
            </w:r>
          </w:p>
          <w:p w14:paraId="25E11ED2">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5.10体积：236mm×85mm×24.5mm，重量小于0.5 kg (含电池)；</w:t>
            </w:r>
          </w:p>
          <w:p w14:paraId="11293961">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5.11三防：IP68；抗1.8米自由跌落；</w:t>
            </w:r>
          </w:p>
          <w:p w14:paraId="16C66E96">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5.12工作温度：-20℃～+55℃；存储温度：-30℃～+65℃；</w:t>
            </w:r>
          </w:p>
          <w:p w14:paraId="68CF9E59">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5.13定位：内置 GNSS 天线，支持GPS+Beidou+GLONASS，支持AGPS；</w:t>
            </w:r>
          </w:p>
          <w:p w14:paraId="22EE4885">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5.14功能应用：内置1300万像素摄像头(带闪光灯)；高亮Flash LED闪光灯，（支持手电筒功能）；支持重力感应器，地磁，光感应器，陀螺仪；</w:t>
            </w:r>
          </w:p>
        </w:tc>
        <w:tc>
          <w:tcPr>
            <w:tcW w:w="869" w:type="dxa"/>
            <w:vAlign w:val="center"/>
          </w:tcPr>
          <w:p w14:paraId="6475E031">
            <w:pPr>
              <w:jc w:val="center"/>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6</w:t>
            </w:r>
          </w:p>
        </w:tc>
        <w:tc>
          <w:tcPr>
            <w:tcW w:w="1074" w:type="dxa"/>
            <w:vAlign w:val="center"/>
          </w:tcPr>
          <w:p w14:paraId="0E5C60FF">
            <w:pPr>
              <w:jc w:val="center"/>
              <w:rPr>
                <w:rFonts w:hint="default"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6.399</w:t>
            </w:r>
          </w:p>
        </w:tc>
      </w:tr>
      <w:tr w14:paraId="1AA237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4" w:type="dxa"/>
            <w:vAlign w:val="center"/>
          </w:tcPr>
          <w:p w14:paraId="0488C9CE">
            <w:pPr>
              <w:jc w:val="center"/>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RTK测量系统</w:t>
            </w:r>
          </w:p>
        </w:tc>
        <w:tc>
          <w:tcPr>
            <w:tcW w:w="6276" w:type="dxa"/>
            <w:vAlign w:val="center"/>
          </w:tcPr>
          <w:p w14:paraId="1CF81EC4">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1、接收机测量性能</w:t>
            </w:r>
          </w:p>
          <w:p w14:paraId="21048916">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1.1主板要求具备国内自主知识产权，主板通道数不低于1400；</w:t>
            </w:r>
          </w:p>
          <w:p w14:paraId="391EFB06">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1.2 卫星信号跟踪：支持BDS系统</w:t>
            </w:r>
          </w:p>
          <w:p w14:paraId="2C164428">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1.2.1 BDS：BDS：B1I，B2I，B3I，B1C，B2a，B2b(可选)*</w:t>
            </w:r>
          </w:p>
          <w:p w14:paraId="78C96237">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1.3输出格式：ASCII：NMEA-0183以及二进制</w:t>
            </w:r>
          </w:p>
          <w:p w14:paraId="4BE548E4">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1.4初始化时间：＜10秒</w:t>
            </w:r>
          </w:p>
          <w:p w14:paraId="23987018">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1.5初始化可靠性：＞99.99%</w:t>
            </w:r>
          </w:p>
          <w:p w14:paraId="61083914">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1.6差分支持： RTCM2.X、RTCM3.X</w:t>
            </w:r>
          </w:p>
          <w:p w14:paraId="4F7A336E">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1.7断点续测：在差分信号中断期间仍然提供RTK测量</w:t>
            </w:r>
          </w:p>
          <w:p w14:paraId="3CA4CBAE">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1.8静态格式支持：GNS、Rinex双格式静态数据</w:t>
            </w:r>
          </w:p>
          <w:p w14:paraId="5AE2660D">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1.9内置双高清摄像头：支持影像测量和实景放样，</w:t>
            </w:r>
          </w:p>
          <w:p w14:paraId="661A1ADB">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1.9.1支持实景导航、实景放样，放样所见即所得，一步到位；</w:t>
            </w:r>
          </w:p>
          <w:p w14:paraId="5A2F4D0D">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1.9.2支持非接触式拍照测量，实时采集图像，手簿端实时解算，实时获取待测点坐标；</w:t>
            </w:r>
          </w:p>
          <w:p w14:paraId="2D662283">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1.9.3支持非接触式拍照测量，实时采集图像，通过配套后处理软件，可生成三维模型，并基于模型进行量测、数据生产。（选配）</w:t>
            </w:r>
          </w:p>
          <w:p w14:paraId="6ED02291">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1.10 内置GNSS组合天线： GNSS、4G网络、WiFi，蓝牙天线高度集成的组合天线，实现360度无死角的天顶信号通讯，能够在复杂环境中稳定工作。（自主知识产权，主机与天线为同一厂家生产，提供测量GNSS接收天线专利证书复印件加盖公章)</w:t>
            </w:r>
          </w:p>
          <w:p w14:paraId="62F4CD59">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2定位精度</w:t>
            </w:r>
          </w:p>
          <w:p w14:paraId="40ABF64F">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2.1静态测量精度小于：±（2.5+0.5×10-6D）mm （D为被测点间距离）</w:t>
            </w:r>
          </w:p>
          <w:p w14:paraId="5050EA11">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2.2 动态（RTK）测量精度不低于:±（8+1×10-6D）mm（D为被测点间距离）</w:t>
            </w:r>
          </w:p>
          <w:p w14:paraId="755F965D">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2.3 码差分水平精度不低于：±0.25m + 1 ppm RMS。</w:t>
            </w:r>
          </w:p>
          <w:p w14:paraId="7A10C254">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3、主机配置及功能</w:t>
            </w:r>
          </w:p>
          <w:p w14:paraId="71C325DD">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3.1 操作系统：LINUX操作系统；</w:t>
            </w:r>
          </w:p>
          <w:p w14:paraId="2340AB59">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3.2 数据存储：内置存储8GB, 支持静态数据自动循环存储；</w:t>
            </w:r>
          </w:p>
          <w:p w14:paraId="2332A37D">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3.3接收机电池：内置高容量锂电池不低于6800mAh,网络移动站工作时间大于12小时,内置不可拆卸。</w:t>
            </w:r>
          </w:p>
          <w:p w14:paraId="20EFE6D5">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3.4用户界面：单按键，三个LED提示灯：卫星灯，信号灯，电源灯</w:t>
            </w:r>
          </w:p>
          <w:p w14:paraId="2D30CF61">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3.5数据通讯：内置4G网络通信：TDD-LTE，FDD-LTE，WCDMA，TD-SCDMA，EDGE，GPRS，GSM；内置eSIM卡（含3年上网费），开机即可联网;内置Nano SIM卡槽，支持4G全网通。</w:t>
            </w:r>
          </w:p>
          <w:p w14:paraId="1C5C4ACF">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3.6 内置高精度无感惯导，自动姿态补偿，无需校正，抗磁干扰，到点即测，精度3厘米。</w:t>
            </w:r>
          </w:p>
          <w:p w14:paraId="4A0DC004">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3.7 支持WiFi通信和蓝牙通信，支持手簿NFC闪连实现智能化操作;</w:t>
            </w:r>
          </w:p>
          <w:p w14:paraId="6DE561D5">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3.8 内置电台最大功率不小于2W，功率至少3档可调；频范围410MHz~470MHz；电台协议需支持HI-TARGET，TRIMTALK450S，TRIMMARKⅢ，TRANSEOT，SOUTH，CHC，SATEL频道数不低于110个频段；</w:t>
            </w:r>
          </w:p>
          <w:p w14:paraId="61CE7D51">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3.9外挂电台：（2选1）</w:t>
            </w:r>
          </w:p>
          <w:p w14:paraId="3F9DF0D0">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（a）高性能外挂电台：功率：10W/30W可调，电台频段：403MHz-473M</w:t>
            </w:r>
          </w:p>
          <w:p w14:paraId="134E1CFC">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协议：HI-TARGET,TRIMALK450S,TRIMMARKⅢ,TRANSEOT,SOUTH,CHC,SATEL；</w:t>
            </w:r>
          </w:p>
          <w:p w14:paraId="1AE60330">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频道数：116个频道可调；</w:t>
            </w:r>
          </w:p>
          <w:p w14:paraId="1F249B09">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（b）选配 HDL全能星外挂电台：功率10W/30W可调；频段403~473MHz；电台协议需支持HI-TARGET、TRIMTALK450S、TRIMMARKⅢ、TRANSEOT等；通讯内置4G网络通信、WIFI、蓝牙、NFC；频道数不少于40个可调；工作模式支持外挂电台、网络中继、电台中继；</w:t>
            </w:r>
          </w:p>
          <w:p w14:paraId="784A4D98">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3.10 智能应用：智能基站，智能语音，功能自检，电池快充；</w:t>
            </w:r>
          </w:p>
          <w:p w14:paraId="5E684BEF">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（提供语音服务的专利证书复印件）</w:t>
            </w:r>
          </w:p>
          <w:p w14:paraId="2092D511">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3.11 高级功能：NFC闪联，WebUI交互，U盘固件升级；</w:t>
            </w:r>
          </w:p>
          <w:p w14:paraId="0D12E5C1">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3.12 远程服务：消消息推送、在线升级、远程控制；</w:t>
            </w:r>
          </w:p>
          <w:p w14:paraId="6094106B">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3.13智能基站：智能选择最优服务器或最优频道和协议，移动站只需输入基站主机号，就能自动匹配基站参数，让设站变得简单。</w:t>
            </w:r>
          </w:p>
          <w:p w14:paraId="11E9F7A1">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3.14云服务：设备管理，位置服务，协同作业，数据分析；</w:t>
            </w:r>
          </w:p>
          <w:p w14:paraId="605BDE4B">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4、物理性能</w:t>
            </w:r>
          </w:p>
          <w:p w14:paraId="4772641E">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4.1主机要求：镁合金材质，主机小型化设计，体积≤Φ130mm×80mm，重量≤0.97kg（含电池）</w:t>
            </w:r>
          </w:p>
          <w:p w14:paraId="3F922C6D">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4.2 I/O端口： USB type C接口；SMA接口；</w:t>
            </w:r>
          </w:p>
          <w:p w14:paraId="289C1951">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4.3 三防：防尘防水、不低于IP68，抗2米高测杆自然跌落；</w:t>
            </w:r>
          </w:p>
          <w:p w14:paraId="6F584AE4">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4.4 功耗：≤2.6W；</w:t>
            </w:r>
          </w:p>
          <w:p w14:paraId="5F77787E">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4.5工作温度:-45℃~+75℃，存储温度:-55℃~+85℃</w:t>
            </w:r>
          </w:p>
          <w:p w14:paraId="0023BB40">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5、手簿采集器</w:t>
            </w:r>
          </w:p>
          <w:p w14:paraId="71CE50F2">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采用 5.5 英寸 720*1280的高亮液晶屏；</w:t>
            </w:r>
          </w:p>
          <w:p w14:paraId="68026B8C">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2.0GHz 主频、8 核 64 位处理器；</w:t>
            </w:r>
          </w:p>
          <w:p w14:paraId="06CC1DDB">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拥有 32GB 大容量内部存储；内置 Micro SD 卡槽，最大可支持 128GB 扩展卡（仅支持 FAT32 格式 SD 卡，不支持 NTFS 格式 SD 卡）；</w:t>
            </w:r>
          </w:p>
          <w:p w14:paraId="65871B58">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双卡双待，4G 全网通，内置 eSIM 卡，含三年流 量。</w:t>
            </w:r>
          </w:p>
          <w:p w14:paraId="178F9E41">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rPr>
              <w:t>Android 10.0 操作系统，界面更加优化美观。</w:t>
            </w:r>
          </w:p>
          <w:p w14:paraId="5CD345E1">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lang w:eastAsia="zh-CN"/>
              </w:rPr>
              <w:t>★</w:t>
            </w:r>
            <w:r>
              <w:rPr>
                <w:rFonts w:hint="eastAsia" w:asciiTheme="minorEastAsia" w:hAnsiTheme="minorEastAsia" w:eastAsiaTheme="minorEastAsia" w:cstheme="minorEastAsia"/>
                <w:color w:val="auto"/>
                <w:sz w:val="24"/>
                <w:szCs w:val="24"/>
                <w:highlight w:val="none"/>
                <w:vertAlign w:val="baseline"/>
              </w:rPr>
              <w:t>工业级设计，IP68 级抗 1.8m 跌落能适应野外各种复杂作业环境。</w:t>
            </w:r>
          </w:p>
          <w:p w14:paraId="01F86FC8">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lang w:eastAsia="zh-CN"/>
              </w:rPr>
              <w:t>★</w:t>
            </w:r>
            <w:r>
              <w:rPr>
                <w:rFonts w:hint="eastAsia" w:asciiTheme="minorEastAsia" w:hAnsiTheme="minorEastAsia" w:eastAsiaTheme="minorEastAsia" w:cstheme="minorEastAsia"/>
                <w:color w:val="auto"/>
                <w:sz w:val="24"/>
                <w:szCs w:val="24"/>
                <w:highlight w:val="none"/>
                <w:vertAlign w:val="baseline"/>
              </w:rPr>
              <w:t>5.5 英寸高亮户外彩色电容触摸屏，分辨率 720*1280，阳光可见， 典型亮度 600 nits。</w:t>
            </w:r>
          </w:p>
          <w:p w14:paraId="5F28336A">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lang w:eastAsia="zh-CN"/>
              </w:rPr>
              <w:t>★</w:t>
            </w:r>
            <w:r>
              <w:rPr>
                <w:rFonts w:hint="eastAsia" w:asciiTheme="minorEastAsia" w:hAnsiTheme="minorEastAsia" w:eastAsiaTheme="minorEastAsia" w:cstheme="minorEastAsia"/>
                <w:color w:val="auto"/>
                <w:sz w:val="24"/>
                <w:szCs w:val="24"/>
                <w:highlight w:val="none"/>
                <w:vertAlign w:val="baseline"/>
              </w:rPr>
              <w:t>支持蓝牙、WiFi、4G，方便实现与接收机进行多种无线数据传输， Wifi 和 4G 可同时使用。</w:t>
            </w:r>
          </w:p>
          <w:p w14:paraId="2315480D">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lang w:eastAsia="zh-CN"/>
              </w:rPr>
              <w:t>★</w:t>
            </w:r>
            <w:r>
              <w:rPr>
                <w:rFonts w:hint="eastAsia" w:asciiTheme="minorEastAsia" w:hAnsiTheme="minorEastAsia" w:eastAsiaTheme="minorEastAsia" w:cstheme="minorEastAsia"/>
                <w:color w:val="auto"/>
                <w:sz w:val="24"/>
                <w:szCs w:val="24"/>
                <w:highlight w:val="none"/>
                <w:vertAlign w:val="baseline"/>
              </w:rPr>
              <w:t>内置 1300 万像素摄像头，支持高清影像信息的现场采集。</w:t>
            </w:r>
          </w:p>
          <w:p w14:paraId="3149314E">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lang w:eastAsia="zh-CN"/>
              </w:rPr>
              <w:t>★</w:t>
            </w:r>
            <w:r>
              <w:rPr>
                <w:rFonts w:hint="eastAsia" w:asciiTheme="minorEastAsia" w:hAnsiTheme="minorEastAsia" w:eastAsiaTheme="minorEastAsia" w:cstheme="minorEastAsia"/>
                <w:color w:val="auto"/>
                <w:sz w:val="24"/>
                <w:szCs w:val="24"/>
                <w:highlight w:val="none"/>
                <w:vertAlign w:val="baseline"/>
              </w:rPr>
              <w:t>内置大容量锂电池，连续工作 18 小时以上。</w:t>
            </w:r>
          </w:p>
          <w:p w14:paraId="1225DC9D">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lang w:eastAsia="zh-CN"/>
              </w:rPr>
              <w:t>★</w:t>
            </w:r>
            <w:r>
              <w:rPr>
                <w:rFonts w:hint="eastAsia" w:asciiTheme="minorEastAsia" w:hAnsiTheme="minorEastAsia" w:eastAsiaTheme="minorEastAsia" w:cstheme="minorEastAsia"/>
                <w:color w:val="auto"/>
                <w:sz w:val="24"/>
                <w:szCs w:val="24"/>
                <w:highlight w:val="none"/>
                <w:vertAlign w:val="baseline"/>
              </w:rPr>
              <w:t>内置 NFC 芯片，支持 NFC 数据传输功能、实现 RTK 与手簿智能 配对。</w:t>
            </w:r>
          </w:p>
          <w:p w14:paraId="2078CBE3">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lang w:eastAsia="zh-CN"/>
              </w:rPr>
              <w:t>★</w:t>
            </w:r>
            <w:r>
              <w:rPr>
                <w:rFonts w:hint="eastAsia" w:asciiTheme="minorEastAsia" w:hAnsiTheme="minorEastAsia" w:eastAsiaTheme="minorEastAsia" w:cstheme="minorEastAsia"/>
                <w:color w:val="auto"/>
                <w:sz w:val="24"/>
                <w:szCs w:val="24"/>
                <w:highlight w:val="none"/>
                <w:vertAlign w:val="baseline"/>
              </w:rPr>
              <w:t>快充技术，实现电池快速充电。</w:t>
            </w:r>
          </w:p>
          <w:p w14:paraId="2DD34AF1">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lang w:eastAsia="zh-CN"/>
              </w:rPr>
              <w:t>★</w:t>
            </w:r>
            <w:r>
              <w:rPr>
                <w:rFonts w:hint="eastAsia" w:asciiTheme="minorEastAsia" w:hAnsiTheme="minorEastAsia" w:eastAsiaTheme="minorEastAsia" w:cstheme="minorEastAsia"/>
                <w:color w:val="auto"/>
                <w:sz w:val="24"/>
                <w:szCs w:val="24"/>
                <w:highlight w:val="none"/>
                <w:vertAlign w:val="baseline"/>
              </w:rPr>
              <w:t>专业定制物理键盘智能输入法。</w:t>
            </w:r>
          </w:p>
          <w:p w14:paraId="097B4983">
            <w:pPr>
              <w:jc w:val="both"/>
              <w:rPr>
                <w:rFonts w:hint="eastAsia" w:asciiTheme="minorEastAsia" w:hAnsiTheme="minorEastAsia" w:eastAsiaTheme="minorEastAsia" w:cstheme="minorEastAsia"/>
                <w:color w:val="auto"/>
                <w:sz w:val="24"/>
                <w:szCs w:val="24"/>
                <w:highlight w:val="none"/>
                <w:vertAlign w:val="baseline"/>
              </w:rPr>
            </w:pPr>
            <w:r>
              <w:rPr>
                <w:rFonts w:hint="eastAsia" w:asciiTheme="minorEastAsia" w:hAnsiTheme="minorEastAsia" w:eastAsiaTheme="minorEastAsia" w:cstheme="minorEastAsia"/>
                <w:color w:val="auto"/>
                <w:sz w:val="24"/>
                <w:szCs w:val="24"/>
                <w:highlight w:val="none"/>
                <w:vertAlign w:val="baseline"/>
                <w:lang w:eastAsia="zh-CN"/>
              </w:rPr>
              <w:t>★</w:t>
            </w:r>
            <w:r>
              <w:rPr>
                <w:rFonts w:hint="eastAsia" w:asciiTheme="minorEastAsia" w:hAnsiTheme="minorEastAsia" w:eastAsiaTheme="minorEastAsia" w:cstheme="minorEastAsia"/>
                <w:color w:val="auto"/>
                <w:sz w:val="24"/>
                <w:szCs w:val="24"/>
                <w:highlight w:val="none"/>
                <w:vertAlign w:val="baseline"/>
              </w:rPr>
              <w:t>本地在线升级，方便客户升级系统。</w:t>
            </w:r>
          </w:p>
        </w:tc>
        <w:tc>
          <w:tcPr>
            <w:tcW w:w="869" w:type="dxa"/>
            <w:vAlign w:val="center"/>
          </w:tcPr>
          <w:p w14:paraId="101B4F8D">
            <w:pPr>
              <w:jc w:val="center"/>
              <w:rPr>
                <w:rFonts w:hint="eastAsia"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2</w:t>
            </w:r>
          </w:p>
        </w:tc>
        <w:tc>
          <w:tcPr>
            <w:tcW w:w="1074" w:type="dxa"/>
            <w:vAlign w:val="center"/>
          </w:tcPr>
          <w:p w14:paraId="1A98B16D">
            <w:pPr>
              <w:jc w:val="center"/>
              <w:rPr>
                <w:rFonts w:hint="default" w:asciiTheme="minorEastAsia" w:hAnsiTheme="minorEastAsia" w:eastAsiaTheme="minorEastAsia" w:cstheme="minorEastAsia"/>
                <w:color w:val="auto"/>
                <w:sz w:val="24"/>
                <w:szCs w:val="24"/>
                <w:highlight w:val="none"/>
                <w:vertAlign w:val="baseline"/>
                <w:lang w:val="en-US" w:eastAsia="zh-CN"/>
              </w:rPr>
            </w:pPr>
            <w:r>
              <w:rPr>
                <w:rFonts w:hint="eastAsia" w:asciiTheme="minorEastAsia" w:hAnsiTheme="minorEastAsia" w:eastAsiaTheme="minorEastAsia" w:cstheme="minorEastAsia"/>
                <w:color w:val="auto"/>
                <w:sz w:val="24"/>
                <w:szCs w:val="24"/>
                <w:highlight w:val="none"/>
                <w:vertAlign w:val="baseline"/>
                <w:lang w:val="en-US" w:eastAsia="zh-CN"/>
              </w:rPr>
              <w:t>3.6</w:t>
            </w:r>
          </w:p>
        </w:tc>
      </w:tr>
    </w:tbl>
    <w:p w14:paraId="70CB44E3">
      <w:pPr>
        <w:rPr>
          <w:rFonts w:hint="eastAsia"/>
          <w:color w:val="auto"/>
          <w:highlight w:val="none"/>
        </w:rPr>
      </w:pPr>
    </w:p>
    <w:p w14:paraId="0D6F259B">
      <w:pPr>
        <w:pStyle w:val="2"/>
        <w:pageBreakBefore w:val="0"/>
        <w:numPr>
          <w:ilvl w:val="0"/>
          <w:numId w:val="0"/>
        </w:numPr>
        <w:tabs>
          <w:tab w:val="left" w:pos="0"/>
        </w:tabs>
        <w:kinsoku/>
        <w:wordWrap/>
        <w:overflowPunct/>
        <w:topLinePunct w:val="0"/>
        <w:bidi w:val="0"/>
        <w:snapToGrid/>
        <w:spacing w:before="0" w:after="0" w:line="320" w:lineRule="exact"/>
        <w:ind w:left="0" w:leftChars="0"/>
        <w:jc w:val="left"/>
        <w:textAlignment w:val="auto"/>
        <w:rPr>
          <w:rFonts w:hint="eastAsia" w:asciiTheme="minorEastAsia" w:hAnsiTheme="minorEastAsia" w:eastAsiaTheme="minorEastAsia" w:cstheme="minorEastAsia"/>
          <w:color w:val="auto"/>
          <w:sz w:val="24"/>
          <w:szCs w:val="24"/>
          <w:highlight w:val="none"/>
          <w:lang w:val="en-US" w:eastAsia="zh-CN"/>
        </w:rPr>
      </w:pPr>
    </w:p>
    <w:p w14:paraId="3D7BC782">
      <w:pPr>
        <w:pStyle w:val="2"/>
        <w:pageBreakBefore w:val="0"/>
        <w:numPr>
          <w:ilvl w:val="0"/>
          <w:numId w:val="0"/>
        </w:numPr>
        <w:tabs>
          <w:tab w:val="left" w:pos="0"/>
        </w:tabs>
        <w:kinsoku/>
        <w:wordWrap/>
        <w:overflowPunct/>
        <w:topLinePunct w:val="0"/>
        <w:bidi w:val="0"/>
        <w:snapToGrid/>
        <w:spacing w:before="0" w:after="0" w:line="320" w:lineRule="exact"/>
        <w:ind w:left="0" w:leftChars="0"/>
        <w:jc w:val="left"/>
        <w:textAlignment w:val="auto"/>
        <w:rPr>
          <w:rFonts w:hint="eastAsia" w:asciiTheme="minorEastAsia" w:hAnsiTheme="minorEastAsia" w:eastAsiaTheme="minorEastAsia" w:cstheme="minorEastAsia"/>
          <w:color w:val="auto"/>
          <w:sz w:val="24"/>
          <w:szCs w:val="24"/>
          <w:highlight w:val="none"/>
          <w:lang w:val="en-US" w:eastAsia="zh-CN"/>
        </w:rPr>
      </w:pPr>
    </w:p>
    <w:p w14:paraId="1B476E90">
      <w:pPr>
        <w:pStyle w:val="2"/>
        <w:pageBreakBefore w:val="0"/>
        <w:numPr>
          <w:ilvl w:val="0"/>
          <w:numId w:val="0"/>
        </w:numPr>
        <w:tabs>
          <w:tab w:val="left" w:pos="0"/>
        </w:tabs>
        <w:kinsoku/>
        <w:wordWrap/>
        <w:overflowPunct/>
        <w:topLinePunct w:val="0"/>
        <w:bidi w:val="0"/>
        <w:snapToGrid/>
        <w:spacing w:before="0" w:after="0" w:line="320" w:lineRule="exact"/>
        <w:ind w:left="0" w:leftChars="0"/>
        <w:jc w:val="left"/>
        <w:textAlignment w:val="auto"/>
        <w:rPr>
          <w:rFonts w:hint="eastAsia" w:asciiTheme="minorEastAsia" w:hAnsiTheme="minorEastAsia" w:eastAsiaTheme="minorEastAsia" w:cstheme="minorEastAsia"/>
          <w:color w:val="auto"/>
          <w:sz w:val="24"/>
          <w:szCs w:val="24"/>
          <w:highlight w:val="none"/>
          <w:lang w:val="en-US" w:eastAsia="zh-CN"/>
        </w:rPr>
      </w:pPr>
    </w:p>
    <w:p w14:paraId="759AE801">
      <w:pPr>
        <w:rPr>
          <w:rFonts w:hint="eastAsia" w:asciiTheme="minorEastAsia" w:hAnsiTheme="minorEastAsia" w:eastAsiaTheme="minorEastAsia" w:cstheme="minorEastAsia"/>
          <w:color w:val="auto"/>
          <w:sz w:val="24"/>
          <w:szCs w:val="24"/>
          <w:highlight w:val="none"/>
          <w:lang w:val="en-US" w:eastAsia="zh-CN"/>
        </w:rPr>
      </w:pPr>
    </w:p>
    <w:p w14:paraId="32AFBE31">
      <w:pPr>
        <w:rPr>
          <w:rFonts w:hint="eastAsia" w:asciiTheme="minorEastAsia" w:hAnsiTheme="minorEastAsia" w:eastAsiaTheme="minorEastAsia" w:cstheme="minorEastAsia"/>
          <w:color w:val="auto"/>
          <w:sz w:val="24"/>
          <w:szCs w:val="24"/>
          <w:highlight w:val="none"/>
          <w:lang w:val="en-US" w:eastAsia="zh-CN"/>
        </w:rPr>
      </w:pPr>
    </w:p>
    <w:p w14:paraId="7727B81B">
      <w:pPr>
        <w:rPr>
          <w:rFonts w:hint="eastAsia" w:asciiTheme="minorEastAsia" w:hAnsiTheme="minorEastAsia" w:eastAsiaTheme="minorEastAsia" w:cstheme="minorEastAsia"/>
          <w:color w:val="auto"/>
          <w:sz w:val="24"/>
          <w:szCs w:val="24"/>
          <w:highlight w:val="none"/>
          <w:lang w:val="en-US" w:eastAsia="zh-CN"/>
        </w:rPr>
      </w:pPr>
    </w:p>
    <w:p w14:paraId="4A4F48C6">
      <w:pPr>
        <w:rPr>
          <w:rFonts w:hint="eastAsia" w:asciiTheme="minorEastAsia" w:hAnsiTheme="minorEastAsia" w:eastAsiaTheme="minorEastAsia" w:cstheme="minorEastAsia"/>
          <w:color w:val="auto"/>
          <w:sz w:val="24"/>
          <w:szCs w:val="24"/>
          <w:highlight w:val="none"/>
          <w:lang w:val="en-US" w:eastAsia="zh-CN"/>
        </w:rPr>
      </w:pPr>
    </w:p>
    <w:p w14:paraId="35568E30">
      <w:pPr>
        <w:rPr>
          <w:rFonts w:hint="eastAsia" w:asciiTheme="minorEastAsia" w:hAnsiTheme="minorEastAsia" w:eastAsiaTheme="minorEastAsia" w:cstheme="minorEastAsia"/>
          <w:color w:val="auto"/>
          <w:sz w:val="24"/>
          <w:szCs w:val="24"/>
          <w:highlight w:val="none"/>
          <w:lang w:val="en-US" w:eastAsia="zh-CN"/>
        </w:rPr>
      </w:pPr>
    </w:p>
    <w:p w14:paraId="19145C9E">
      <w:pPr>
        <w:pStyle w:val="2"/>
        <w:pageBreakBefore w:val="0"/>
        <w:numPr>
          <w:ilvl w:val="0"/>
          <w:numId w:val="0"/>
        </w:numPr>
        <w:tabs>
          <w:tab w:val="left" w:pos="0"/>
        </w:tabs>
        <w:kinsoku/>
        <w:wordWrap/>
        <w:overflowPunct/>
        <w:topLinePunct w:val="0"/>
        <w:bidi w:val="0"/>
        <w:snapToGrid/>
        <w:spacing w:before="0" w:after="0" w:line="320" w:lineRule="exact"/>
        <w:ind w:left="0" w:leftChars="0"/>
        <w:jc w:val="left"/>
        <w:textAlignment w:val="auto"/>
        <w:rPr>
          <w:rFonts w:hint="eastAsia" w:asciiTheme="minorEastAsia" w:hAnsiTheme="minorEastAsia" w:eastAsiaTheme="minorEastAsia" w:cstheme="minorEastAsia"/>
          <w:color w:val="auto"/>
          <w:sz w:val="24"/>
          <w:szCs w:val="24"/>
          <w:highlight w:val="none"/>
          <w:lang w:val="en-US" w:eastAsia="zh-CN"/>
        </w:rPr>
      </w:pPr>
    </w:p>
    <w:p w14:paraId="015F58F5">
      <w:pPr>
        <w:rPr>
          <w:rFonts w:hint="eastAsia"/>
          <w:highlight w:val="none"/>
          <w:lang w:val="en-US" w:eastAsia="zh-CN"/>
        </w:rPr>
      </w:pPr>
    </w:p>
    <w:p w14:paraId="35F07340">
      <w:pPr>
        <w:pStyle w:val="2"/>
        <w:pageBreakBefore w:val="0"/>
        <w:numPr>
          <w:ilvl w:val="0"/>
          <w:numId w:val="0"/>
        </w:numPr>
        <w:tabs>
          <w:tab w:val="left" w:pos="0"/>
        </w:tabs>
        <w:kinsoku/>
        <w:wordWrap/>
        <w:overflowPunct/>
        <w:topLinePunct w:val="0"/>
        <w:bidi w:val="0"/>
        <w:snapToGrid/>
        <w:spacing w:before="0" w:after="0" w:line="320" w:lineRule="exact"/>
        <w:ind w:left="0" w:leftChars="0"/>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第三包：全液压智能岩芯钻机（数量1）（预算价：750000.00元）</w:t>
      </w:r>
    </w:p>
    <w:p w14:paraId="21EC3F82">
      <w:pPr>
        <w:rPr>
          <w:rFonts w:hint="eastAsia"/>
          <w:highlight w:val="none"/>
        </w:rPr>
      </w:pPr>
    </w:p>
    <w:tbl>
      <w:tblPr>
        <w:tblStyle w:val="33"/>
        <w:tblW w:w="9356" w:type="dxa"/>
        <w:tblInd w:w="-30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1864"/>
        <w:gridCol w:w="1696"/>
        <w:gridCol w:w="5796"/>
      </w:tblGrid>
      <w:tr w14:paraId="286887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35" w:hRule="atLeast"/>
        </w:trPr>
        <w:tc>
          <w:tcPr>
            <w:tcW w:w="9356" w:type="dxa"/>
            <w:gridSpan w:val="3"/>
            <w:shd w:val="clear" w:color="auto" w:fill="auto"/>
            <w:vAlign w:val="center"/>
          </w:tcPr>
          <w:p w14:paraId="2FAEFB9B">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拟购便携式全液压动力头岩芯钻机主要参数一览表</w:t>
            </w:r>
          </w:p>
        </w:tc>
      </w:tr>
      <w:tr w14:paraId="33E52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1" w:hRule="atLeast"/>
        </w:trPr>
        <w:tc>
          <w:tcPr>
            <w:tcW w:w="1864" w:type="dxa"/>
            <w:vMerge w:val="restart"/>
            <w:shd w:val="clear" w:color="auto" w:fill="FFFFFF"/>
            <w:noWrap/>
            <w:vAlign w:val="center"/>
          </w:tcPr>
          <w:p w14:paraId="298F23DD">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钻探能力</w:t>
            </w:r>
          </w:p>
        </w:tc>
        <w:tc>
          <w:tcPr>
            <w:tcW w:w="1696" w:type="dxa"/>
            <w:shd w:val="clear" w:color="auto" w:fill="FFFFFF"/>
            <w:noWrap/>
            <w:vAlign w:val="center"/>
          </w:tcPr>
          <w:p w14:paraId="3280E5E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钻进深度</w:t>
            </w:r>
          </w:p>
        </w:tc>
        <w:tc>
          <w:tcPr>
            <w:tcW w:w="5796" w:type="dxa"/>
            <w:shd w:val="clear" w:color="auto" w:fill="FFFFFF"/>
            <w:vAlign w:val="center"/>
          </w:tcPr>
          <w:p w14:paraId="21DFD18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（BTW +）1800米/（NTW +）1600米/ （HTW +）1100米/ PQ 600米</w:t>
            </w:r>
          </w:p>
        </w:tc>
      </w:tr>
      <w:tr w14:paraId="405824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69" w:hRule="atLeast"/>
        </w:trPr>
        <w:tc>
          <w:tcPr>
            <w:tcW w:w="1864" w:type="dxa"/>
            <w:vMerge w:val="continue"/>
            <w:shd w:val="clear" w:color="auto" w:fill="FFFFFF"/>
            <w:noWrap/>
            <w:vAlign w:val="center"/>
          </w:tcPr>
          <w:p w14:paraId="7CC99FA9">
            <w:pPr>
              <w:jc w:val="center"/>
              <w:rPr>
                <w:rFonts w:hint="eastAsia" w:ascii="宋体" w:hAnsi="宋体" w:eastAsia="宋体" w:cs="宋体"/>
                <w:b/>
                <w:bCs/>
                <w:i w:val="0"/>
                <w:iCs w:val="0"/>
                <w:color w:val="000000"/>
                <w:sz w:val="24"/>
                <w:szCs w:val="24"/>
                <w:highlight w:val="none"/>
                <w:u w:val="none"/>
              </w:rPr>
            </w:pPr>
          </w:p>
        </w:tc>
        <w:tc>
          <w:tcPr>
            <w:tcW w:w="1696" w:type="dxa"/>
            <w:shd w:val="clear" w:color="auto" w:fill="FFFFFF"/>
            <w:noWrap/>
            <w:vAlign w:val="center"/>
          </w:tcPr>
          <w:p w14:paraId="501199E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最大钻杆规格</w:t>
            </w:r>
          </w:p>
        </w:tc>
        <w:tc>
          <w:tcPr>
            <w:tcW w:w="5796" w:type="dxa"/>
            <w:shd w:val="clear" w:color="auto" w:fill="FFFFFF"/>
            <w:noWrap/>
            <w:vAlign w:val="center"/>
          </w:tcPr>
          <w:p w14:paraId="634D610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φ127mm</w:t>
            </w:r>
          </w:p>
        </w:tc>
      </w:tr>
      <w:tr w14:paraId="7572A6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1864" w:type="dxa"/>
            <w:shd w:val="clear" w:color="auto" w:fill="FFFFFF"/>
            <w:noWrap/>
            <w:vAlign w:val="center"/>
          </w:tcPr>
          <w:p w14:paraId="5163585C">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动力系统</w:t>
            </w:r>
          </w:p>
        </w:tc>
        <w:tc>
          <w:tcPr>
            <w:tcW w:w="1696" w:type="dxa"/>
            <w:shd w:val="clear" w:color="auto" w:fill="FFFFFF"/>
            <w:noWrap/>
            <w:vAlign w:val="center"/>
          </w:tcPr>
          <w:p w14:paraId="55C3689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发动机功率</w:t>
            </w:r>
          </w:p>
        </w:tc>
        <w:tc>
          <w:tcPr>
            <w:tcW w:w="5796" w:type="dxa"/>
            <w:shd w:val="clear" w:color="auto" w:fill="FFFFFF"/>
            <w:noWrap/>
            <w:vAlign w:val="center"/>
          </w:tcPr>
          <w:p w14:paraId="009F67C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154kw 2200转</w:t>
            </w:r>
          </w:p>
        </w:tc>
      </w:tr>
      <w:tr w14:paraId="583B13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69" w:hRule="atLeast"/>
        </w:trPr>
        <w:tc>
          <w:tcPr>
            <w:tcW w:w="1864" w:type="dxa"/>
            <w:vMerge w:val="restart"/>
            <w:shd w:val="clear" w:color="auto" w:fill="FFFFFF"/>
            <w:noWrap/>
            <w:vAlign w:val="center"/>
          </w:tcPr>
          <w:p w14:paraId="646AB0A7">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进给系统</w:t>
            </w:r>
          </w:p>
        </w:tc>
        <w:tc>
          <w:tcPr>
            <w:tcW w:w="1696" w:type="dxa"/>
            <w:shd w:val="clear" w:color="auto" w:fill="FFFFFF"/>
            <w:noWrap/>
            <w:vAlign w:val="center"/>
          </w:tcPr>
          <w:p w14:paraId="16FD791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给进行程</w:t>
            </w:r>
          </w:p>
        </w:tc>
        <w:tc>
          <w:tcPr>
            <w:tcW w:w="5796" w:type="dxa"/>
            <w:shd w:val="clear" w:color="auto" w:fill="FFFFFF"/>
            <w:noWrap/>
            <w:vAlign w:val="center"/>
          </w:tcPr>
          <w:p w14:paraId="7F8E400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3.5m</w:t>
            </w:r>
          </w:p>
        </w:tc>
      </w:tr>
      <w:tr w14:paraId="2D0307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1864" w:type="dxa"/>
            <w:vMerge w:val="continue"/>
            <w:shd w:val="clear" w:color="auto" w:fill="FFFFFF"/>
            <w:noWrap/>
            <w:vAlign w:val="center"/>
          </w:tcPr>
          <w:p w14:paraId="5BA9B72B">
            <w:pPr>
              <w:jc w:val="center"/>
              <w:rPr>
                <w:rFonts w:hint="eastAsia" w:ascii="宋体" w:hAnsi="宋体" w:eastAsia="宋体" w:cs="宋体"/>
                <w:b/>
                <w:bCs/>
                <w:i w:val="0"/>
                <w:iCs w:val="0"/>
                <w:color w:val="000000"/>
                <w:sz w:val="24"/>
                <w:szCs w:val="24"/>
                <w:highlight w:val="none"/>
                <w:u w:val="none"/>
              </w:rPr>
            </w:pPr>
          </w:p>
        </w:tc>
        <w:tc>
          <w:tcPr>
            <w:tcW w:w="1696" w:type="dxa"/>
            <w:shd w:val="clear" w:color="auto" w:fill="FFFFFF"/>
            <w:noWrap/>
            <w:vAlign w:val="center"/>
          </w:tcPr>
          <w:p w14:paraId="56C6689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给进力</w:t>
            </w:r>
          </w:p>
        </w:tc>
        <w:tc>
          <w:tcPr>
            <w:tcW w:w="5796" w:type="dxa"/>
            <w:shd w:val="clear" w:color="auto" w:fill="FFFFFF"/>
            <w:noWrap/>
            <w:vAlign w:val="center"/>
          </w:tcPr>
          <w:p w14:paraId="26F06AF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62kN</w:t>
            </w:r>
          </w:p>
        </w:tc>
      </w:tr>
      <w:tr w14:paraId="6B9860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1864" w:type="dxa"/>
            <w:vMerge w:val="continue"/>
            <w:shd w:val="clear" w:color="auto" w:fill="FFFFFF"/>
            <w:noWrap/>
            <w:vAlign w:val="center"/>
          </w:tcPr>
          <w:p w14:paraId="1E39244C">
            <w:pPr>
              <w:jc w:val="center"/>
              <w:rPr>
                <w:rFonts w:hint="eastAsia" w:ascii="宋体" w:hAnsi="宋体" w:eastAsia="宋体" w:cs="宋体"/>
                <w:b/>
                <w:bCs/>
                <w:i w:val="0"/>
                <w:iCs w:val="0"/>
                <w:color w:val="000000"/>
                <w:sz w:val="24"/>
                <w:szCs w:val="24"/>
                <w:highlight w:val="none"/>
                <w:u w:val="none"/>
              </w:rPr>
            </w:pPr>
          </w:p>
        </w:tc>
        <w:tc>
          <w:tcPr>
            <w:tcW w:w="1696" w:type="dxa"/>
            <w:shd w:val="clear" w:color="auto" w:fill="FFFFFF"/>
            <w:noWrap/>
            <w:vAlign w:val="center"/>
          </w:tcPr>
          <w:p w14:paraId="237850F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提拔力</w:t>
            </w:r>
          </w:p>
        </w:tc>
        <w:tc>
          <w:tcPr>
            <w:tcW w:w="5796" w:type="dxa"/>
            <w:shd w:val="clear" w:color="auto" w:fill="FFFFFF"/>
            <w:noWrap/>
            <w:vAlign w:val="center"/>
          </w:tcPr>
          <w:p w14:paraId="07C2724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210KN</w:t>
            </w:r>
          </w:p>
        </w:tc>
      </w:tr>
      <w:tr w14:paraId="742BC7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1864" w:type="dxa"/>
            <w:shd w:val="clear" w:color="auto" w:fill="FFFFFF"/>
            <w:noWrap/>
            <w:vAlign w:val="center"/>
          </w:tcPr>
          <w:p w14:paraId="4C4CBE33">
            <w:pPr>
              <w:jc w:val="center"/>
              <w:rPr>
                <w:rFonts w:hint="eastAsia" w:ascii="宋体" w:hAnsi="宋体" w:eastAsia="宋体" w:cs="宋体"/>
                <w:b/>
                <w:bCs/>
                <w:i w:val="0"/>
                <w:iCs w:val="0"/>
                <w:color w:val="000000"/>
                <w:sz w:val="24"/>
                <w:szCs w:val="24"/>
                <w:highlight w:val="none"/>
                <w:u w:val="none"/>
              </w:rPr>
            </w:pPr>
          </w:p>
        </w:tc>
        <w:tc>
          <w:tcPr>
            <w:tcW w:w="1696" w:type="dxa"/>
            <w:shd w:val="clear" w:color="auto" w:fill="FFFFFF"/>
            <w:noWrap/>
            <w:vAlign w:val="center"/>
          </w:tcPr>
          <w:p w14:paraId="7882089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钻进角度</w:t>
            </w:r>
          </w:p>
        </w:tc>
        <w:tc>
          <w:tcPr>
            <w:tcW w:w="5796" w:type="dxa"/>
            <w:shd w:val="clear" w:color="auto" w:fill="FFFFFF"/>
            <w:noWrap/>
            <w:vAlign w:val="center"/>
          </w:tcPr>
          <w:p w14:paraId="1133C3C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0-90度</w:t>
            </w:r>
          </w:p>
        </w:tc>
      </w:tr>
      <w:tr w14:paraId="40BCD7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1864" w:type="dxa"/>
            <w:shd w:val="clear" w:color="auto" w:fill="FFFFFF"/>
            <w:noWrap/>
            <w:vAlign w:val="center"/>
          </w:tcPr>
          <w:p w14:paraId="4B796016">
            <w:pPr>
              <w:jc w:val="center"/>
              <w:rPr>
                <w:rFonts w:hint="eastAsia" w:ascii="宋体" w:hAnsi="宋体" w:eastAsia="宋体" w:cs="宋体"/>
                <w:b/>
                <w:bCs/>
                <w:i w:val="0"/>
                <w:iCs w:val="0"/>
                <w:color w:val="000000"/>
                <w:sz w:val="24"/>
                <w:szCs w:val="24"/>
                <w:highlight w:val="none"/>
                <w:u w:val="none"/>
              </w:rPr>
            </w:pPr>
          </w:p>
        </w:tc>
        <w:tc>
          <w:tcPr>
            <w:tcW w:w="1696" w:type="dxa"/>
            <w:shd w:val="clear" w:color="auto" w:fill="FFFFFF"/>
            <w:noWrap/>
            <w:vAlign w:val="center"/>
          </w:tcPr>
          <w:p w14:paraId="3308288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钻杆长度</w:t>
            </w:r>
          </w:p>
        </w:tc>
        <w:tc>
          <w:tcPr>
            <w:tcW w:w="5796" w:type="dxa"/>
            <w:shd w:val="clear" w:color="auto" w:fill="FFFFFF"/>
            <w:noWrap/>
            <w:vAlign w:val="center"/>
          </w:tcPr>
          <w:p w14:paraId="5B406F5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1.5m/3.0m</w:t>
            </w:r>
          </w:p>
        </w:tc>
      </w:tr>
      <w:tr w14:paraId="05C201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1864" w:type="dxa"/>
            <w:vMerge w:val="restart"/>
            <w:shd w:val="clear" w:color="auto" w:fill="FFFFFF"/>
            <w:noWrap/>
            <w:vAlign w:val="center"/>
          </w:tcPr>
          <w:p w14:paraId="2160D026">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回转动力头</w:t>
            </w:r>
          </w:p>
        </w:tc>
        <w:tc>
          <w:tcPr>
            <w:tcW w:w="1696" w:type="dxa"/>
            <w:shd w:val="clear" w:color="auto" w:fill="FFFFFF"/>
            <w:noWrap/>
            <w:vAlign w:val="center"/>
          </w:tcPr>
          <w:p w14:paraId="10CB78D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驱动形式</w:t>
            </w:r>
          </w:p>
        </w:tc>
        <w:tc>
          <w:tcPr>
            <w:tcW w:w="5796" w:type="dxa"/>
            <w:shd w:val="clear" w:color="auto" w:fill="FFFFFF"/>
            <w:noWrap/>
            <w:vAlign w:val="center"/>
          </w:tcPr>
          <w:p w14:paraId="126CC32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液压摆线马达</w:t>
            </w:r>
          </w:p>
        </w:tc>
      </w:tr>
      <w:tr w14:paraId="3B4DEB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1864" w:type="dxa"/>
            <w:vMerge w:val="continue"/>
            <w:shd w:val="clear" w:color="auto" w:fill="FFFFFF"/>
            <w:noWrap/>
            <w:vAlign w:val="center"/>
          </w:tcPr>
          <w:p w14:paraId="7771B2A1">
            <w:pPr>
              <w:jc w:val="center"/>
              <w:rPr>
                <w:rFonts w:hint="eastAsia" w:ascii="宋体" w:hAnsi="宋体" w:eastAsia="宋体" w:cs="宋体"/>
                <w:b/>
                <w:bCs/>
                <w:i w:val="0"/>
                <w:iCs w:val="0"/>
                <w:color w:val="000000"/>
                <w:sz w:val="24"/>
                <w:szCs w:val="24"/>
                <w:highlight w:val="none"/>
                <w:u w:val="none"/>
              </w:rPr>
            </w:pPr>
          </w:p>
        </w:tc>
        <w:tc>
          <w:tcPr>
            <w:tcW w:w="1696" w:type="dxa"/>
            <w:shd w:val="clear" w:color="auto" w:fill="FFFFFF"/>
            <w:noWrap/>
            <w:vAlign w:val="center"/>
          </w:tcPr>
          <w:p w14:paraId="5F770E4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最大扭矩</w:t>
            </w:r>
          </w:p>
        </w:tc>
        <w:tc>
          <w:tcPr>
            <w:tcW w:w="5796" w:type="dxa"/>
            <w:shd w:val="clear" w:color="auto" w:fill="FFFFFF"/>
            <w:noWrap/>
            <w:vAlign w:val="center"/>
          </w:tcPr>
          <w:p w14:paraId="5A6BAFC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Max 6500Nm</w:t>
            </w:r>
          </w:p>
        </w:tc>
      </w:tr>
      <w:tr w14:paraId="6A2B6F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trPr>
        <w:tc>
          <w:tcPr>
            <w:tcW w:w="1864" w:type="dxa"/>
            <w:vMerge w:val="continue"/>
            <w:shd w:val="clear" w:color="auto" w:fill="FFFFFF"/>
            <w:noWrap/>
            <w:vAlign w:val="center"/>
          </w:tcPr>
          <w:p w14:paraId="32C44F46">
            <w:pPr>
              <w:jc w:val="center"/>
              <w:rPr>
                <w:rFonts w:hint="eastAsia" w:ascii="宋体" w:hAnsi="宋体" w:eastAsia="宋体" w:cs="宋体"/>
                <w:b/>
                <w:bCs/>
                <w:i w:val="0"/>
                <w:iCs w:val="0"/>
                <w:color w:val="000000"/>
                <w:sz w:val="24"/>
                <w:szCs w:val="24"/>
                <w:highlight w:val="none"/>
                <w:u w:val="none"/>
              </w:rPr>
            </w:pPr>
          </w:p>
        </w:tc>
        <w:tc>
          <w:tcPr>
            <w:tcW w:w="1696" w:type="dxa"/>
            <w:shd w:val="clear" w:color="auto" w:fill="FFFFFF"/>
            <w:noWrap/>
            <w:vAlign w:val="center"/>
          </w:tcPr>
          <w:p w14:paraId="745C4B0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变速箱</w:t>
            </w:r>
          </w:p>
        </w:tc>
        <w:tc>
          <w:tcPr>
            <w:tcW w:w="5796" w:type="dxa"/>
            <w:shd w:val="clear" w:color="auto" w:fill="FFFFFF"/>
            <w:vAlign w:val="center"/>
          </w:tcPr>
          <w:p w14:paraId="4E1CA1A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六档位或无级变速</w:t>
            </w:r>
          </w:p>
        </w:tc>
      </w:tr>
      <w:tr w14:paraId="3E303B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864" w:type="dxa"/>
            <w:vMerge w:val="continue"/>
            <w:shd w:val="clear" w:color="auto" w:fill="FFFFFF"/>
            <w:noWrap/>
            <w:vAlign w:val="center"/>
          </w:tcPr>
          <w:p w14:paraId="164C7CC5">
            <w:pPr>
              <w:jc w:val="center"/>
              <w:rPr>
                <w:rFonts w:hint="eastAsia" w:ascii="宋体" w:hAnsi="宋体" w:eastAsia="宋体" w:cs="宋体"/>
                <w:b/>
                <w:bCs/>
                <w:i w:val="0"/>
                <w:iCs w:val="0"/>
                <w:color w:val="000000"/>
                <w:sz w:val="24"/>
                <w:szCs w:val="24"/>
                <w:highlight w:val="none"/>
                <w:u w:val="none"/>
              </w:rPr>
            </w:pPr>
          </w:p>
        </w:tc>
        <w:tc>
          <w:tcPr>
            <w:tcW w:w="1696" w:type="dxa"/>
            <w:shd w:val="clear" w:color="auto" w:fill="FFFFFF"/>
            <w:noWrap/>
            <w:vAlign w:val="center"/>
          </w:tcPr>
          <w:p w14:paraId="5FF05DF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主轴转速</w:t>
            </w:r>
          </w:p>
        </w:tc>
        <w:tc>
          <w:tcPr>
            <w:tcW w:w="5796" w:type="dxa"/>
            <w:shd w:val="clear" w:color="auto" w:fill="FFFFFF"/>
            <w:noWrap/>
            <w:vAlign w:val="center"/>
          </w:tcPr>
          <w:p w14:paraId="654C9DD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0-1234r/min</w:t>
            </w:r>
          </w:p>
        </w:tc>
      </w:tr>
      <w:tr w14:paraId="6A297B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864" w:type="dxa"/>
            <w:vMerge w:val="restart"/>
            <w:shd w:val="clear" w:color="auto" w:fill="FFFFFF"/>
            <w:noWrap/>
            <w:vAlign w:val="center"/>
          </w:tcPr>
          <w:p w14:paraId="539CC9FC">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绳索卷扬</w:t>
            </w:r>
          </w:p>
        </w:tc>
        <w:tc>
          <w:tcPr>
            <w:tcW w:w="1696" w:type="dxa"/>
            <w:shd w:val="clear" w:color="auto" w:fill="FFFFFF"/>
            <w:noWrap/>
            <w:vAlign w:val="center"/>
          </w:tcPr>
          <w:p w14:paraId="43E3DC2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驱动方式</w:t>
            </w:r>
          </w:p>
        </w:tc>
        <w:tc>
          <w:tcPr>
            <w:tcW w:w="5796" w:type="dxa"/>
            <w:shd w:val="clear" w:color="auto" w:fill="FFFFFF"/>
            <w:noWrap/>
            <w:vAlign w:val="center"/>
          </w:tcPr>
          <w:p w14:paraId="3374055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液压驱动</w:t>
            </w:r>
          </w:p>
        </w:tc>
      </w:tr>
      <w:tr w14:paraId="38BCD0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50" w:hRule="atLeast"/>
        </w:trPr>
        <w:tc>
          <w:tcPr>
            <w:tcW w:w="1864" w:type="dxa"/>
            <w:vMerge w:val="continue"/>
            <w:shd w:val="clear" w:color="auto" w:fill="FFFFFF"/>
            <w:noWrap/>
            <w:vAlign w:val="center"/>
          </w:tcPr>
          <w:p w14:paraId="5EE779E1">
            <w:pPr>
              <w:jc w:val="center"/>
              <w:rPr>
                <w:rFonts w:hint="eastAsia" w:ascii="宋体" w:hAnsi="宋体" w:eastAsia="宋体" w:cs="宋体"/>
                <w:b/>
                <w:bCs/>
                <w:i w:val="0"/>
                <w:iCs w:val="0"/>
                <w:color w:val="000000"/>
                <w:sz w:val="24"/>
                <w:szCs w:val="24"/>
                <w:highlight w:val="none"/>
                <w:u w:val="none"/>
              </w:rPr>
            </w:pPr>
          </w:p>
        </w:tc>
        <w:tc>
          <w:tcPr>
            <w:tcW w:w="1696" w:type="dxa"/>
            <w:shd w:val="clear" w:color="auto" w:fill="FFFFFF"/>
            <w:noWrap/>
            <w:vAlign w:val="center"/>
          </w:tcPr>
          <w:p w14:paraId="29527E1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容绳量</w:t>
            </w:r>
          </w:p>
        </w:tc>
        <w:tc>
          <w:tcPr>
            <w:tcW w:w="5796" w:type="dxa"/>
            <w:shd w:val="clear" w:color="auto" w:fill="FFFFFF"/>
            <w:noWrap/>
            <w:vAlign w:val="center"/>
          </w:tcPr>
          <w:p w14:paraId="37C5547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1600m（ID 6.8mm）</w:t>
            </w:r>
          </w:p>
        </w:tc>
      </w:tr>
      <w:tr w14:paraId="4C2D96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864" w:type="dxa"/>
            <w:vMerge w:val="continue"/>
            <w:shd w:val="clear" w:color="auto" w:fill="FFFFFF"/>
            <w:noWrap/>
            <w:vAlign w:val="center"/>
          </w:tcPr>
          <w:p w14:paraId="066C4BC2">
            <w:pPr>
              <w:jc w:val="center"/>
              <w:rPr>
                <w:rFonts w:hint="eastAsia" w:ascii="宋体" w:hAnsi="宋体" w:eastAsia="宋体" w:cs="宋体"/>
                <w:b/>
                <w:bCs/>
                <w:i w:val="0"/>
                <w:iCs w:val="0"/>
                <w:color w:val="000000"/>
                <w:sz w:val="24"/>
                <w:szCs w:val="24"/>
                <w:highlight w:val="none"/>
                <w:u w:val="none"/>
              </w:rPr>
            </w:pPr>
          </w:p>
        </w:tc>
        <w:tc>
          <w:tcPr>
            <w:tcW w:w="1696" w:type="dxa"/>
            <w:shd w:val="clear" w:color="auto" w:fill="FFFFFF"/>
            <w:noWrap/>
            <w:vAlign w:val="center"/>
          </w:tcPr>
          <w:p w14:paraId="2A20A69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卷扬提升力</w:t>
            </w:r>
          </w:p>
        </w:tc>
        <w:tc>
          <w:tcPr>
            <w:tcW w:w="5796" w:type="dxa"/>
            <w:shd w:val="clear" w:color="auto" w:fill="FFFFFF"/>
            <w:noWrap/>
            <w:vAlign w:val="center"/>
          </w:tcPr>
          <w:p w14:paraId="3D48AD3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15kN</w:t>
            </w:r>
          </w:p>
        </w:tc>
      </w:tr>
      <w:tr w14:paraId="7E7CF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864" w:type="dxa"/>
            <w:vMerge w:val="continue"/>
            <w:shd w:val="clear" w:color="auto" w:fill="FFFFFF"/>
            <w:noWrap/>
            <w:vAlign w:val="center"/>
          </w:tcPr>
          <w:p w14:paraId="30C0118F">
            <w:pPr>
              <w:jc w:val="center"/>
              <w:rPr>
                <w:rFonts w:hint="eastAsia" w:ascii="宋体" w:hAnsi="宋体" w:eastAsia="宋体" w:cs="宋体"/>
                <w:b/>
                <w:bCs/>
                <w:i w:val="0"/>
                <w:iCs w:val="0"/>
                <w:color w:val="000000"/>
                <w:sz w:val="24"/>
                <w:szCs w:val="24"/>
                <w:highlight w:val="none"/>
                <w:u w:val="none"/>
              </w:rPr>
            </w:pPr>
          </w:p>
        </w:tc>
        <w:tc>
          <w:tcPr>
            <w:tcW w:w="1696" w:type="dxa"/>
            <w:shd w:val="clear" w:color="auto" w:fill="FFFFFF"/>
            <w:noWrap/>
            <w:vAlign w:val="center"/>
          </w:tcPr>
          <w:p w14:paraId="2C6DA8E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提升速度</w:t>
            </w:r>
          </w:p>
        </w:tc>
        <w:tc>
          <w:tcPr>
            <w:tcW w:w="5796" w:type="dxa"/>
            <w:shd w:val="clear" w:color="auto" w:fill="FFFFFF"/>
            <w:noWrap/>
            <w:vAlign w:val="center"/>
          </w:tcPr>
          <w:p w14:paraId="2A7C2AE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130m/分（空线鼓）</w:t>
            </w:r>
          </w:p>
        </w:tc>
      </w:tr>
      <w:tr w14:paraId="252FD0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50" w:hRule="atLeast"/>
        </w:trPr>
        <w:tc>
          <w:tcPr>
            <w:tcW w:w="1864" w:type="dxa"/>
            <w:vMerge w:val="restart"/>
            <w:shd w:val="clear" w:color="auto" w:fill="FFFFFF"/>
            <w:noWrap/>
            <w:vAlign w:val="center"/>
          </w:tcPr>
          <w:p w14:paraId="680B508B">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钻杆夹持器</w:t>
            </w:r>
          </w:p>
        </w:tc>
        <w:tc>
          <w:tcPr>
            <w:tcW w:w="1696" w:type="dxa"/>
            <w:shd w:val="clear" w:color="auto" w:fill="FFFFFF"/>
            <w:noWrap/>
            <w:vAlign w:val="center"/>
          </w:tcPr>
          <w:p w14:paraId="7D167EE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通孔直径</w:t>
            </w:r>
          </w:p>
        </w:tc>
        <w:tc>
          <w:tcPr>
            <w:tcW w:w="5796" w:type="dxa"/>
            <w:shd w:val="clear" w:color="auto" w:fill="FFFFFF"/>
            <w:noWrap/>
            <w:vAlign w:val="center"/>
          </w:tcPr>
          <w:p w14:paraId="10F1842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127mm</w:t>
            </w:r>
          </w:p>
        </w:tc>
      </w:tr>
      <w:tr w14:paraId="6A5C86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864" w:type="dxa"/>
            <w:vMerge w:val="continue"/>
            <w:shd w:val="clear" w:color="auto" w:fill="FFFFFF"/>
            <w:noWrap/>
            <w:vAlign w:val="center"/>
          </w:tcPr>
          <w:p w14:paraId="6C9D316E">
            <w:pPr>
              <w:jc w:val="center"/>
              <w:rPr>
                <w:rFonts w:hint="eastAsia" w:ascii="宋体" w:hAnsi="宋体" w:eastAsia="宋体" w:cs="宋体"/>
                <w:b/>
                <w:bCs/>
                <w:i w:val="0"/>
                <w:iCs w:val="0"/>
                <w:color w:val="000000"/>
                <w:sz w:val="24"/>
                <w:szCs w:val="24"/>
                <w:highlight w:val="none"/>
                <w:u w:val="none"/>
              </w:rPr>
            </w:pPr>
          </w:p>
        </w:tc>
        <w:tc>
          <w:tcPr>
            <w:tcW w:w="1696" w:type="dxa"/>
            <w:shd w:val="clear" w:color="auto" w:fill="FFFFFF"/>
            <w:noWrap/>
            <w:vAlign w:val="center"/>
          </w:tcPr>
          <w:p w14:paraId="072C333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夹持力</w:t>
            </w:r>
          </w:p>
        </w:tc>
        <w:tc>
          <w:tcPr>
            <w:tcW w:w="5796" w:type="dxa"/>
            <w:shd w:val="clear" w:color="auto" w:fill="FFFFFF"/>
            <w:noWrap/>
            <w:vAlign w:val="center"/>
          </w:tcPr>
          <w:p w14:paraId="3F70F8F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10.5kN</w:t>
            </w:r>
          </w:p>
        </w:tc>
      </w:tr>
      <w:tr w14:paraId="3D90FE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50" w:hRule="atLeast"/>
        </w:trPr>
        <w:tc>
          <w:tcPr>
            <w:tcW w:w="1864" w:type="dxa"/>
            <w:vMerge w:val="restart"/>
            <w:shd w:val="clear" w:color="auto" w:fill="FFFFFF"/>
            <w:noWrap/>
            <w:vAlign w:val="center"/>
          </w:tcPr>
          <w:p w14:paraId="27B63C9C">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液压系统</w:t>
            </w:r>
          </w:p>
        </w:tc>
        <w:tc>
          <w:tcPr>
            <w:tcW w:w="1696" w:type="dxa"/>
            <w:shd w:val="clear" w:color="auto" w:fill="FFFFFF"/>
            <w:noWrap/>
            <w:vAlign w:val="center"/>
          </w:tcPr>
          <w:p w14:paraId="7F42A65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主泵</w:t>
            </w:r>
          </w:p>
        </w:tc>
        <w:tc>
          <w:tcPr>
            <w:tcW w:w="5796" w:type="dxa"/>
            <w:shd w:val="clear" w:color="auto" w:fill="FFFFFF"/>
            <w:noWrap/>
            <w:vAlign w:val="center"/>
          </w:tcPr>
          <w:p w14:paraId="0DCF91F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28MPa</w:t>
            </w:r>
          </w:p>
        </w:tc>
      </w:tr>
      <w:tr w14:paraId="72F28A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50" w:hRule="atLeast"/>
        </w:trPr>
        <w:tc>
          <w:tcPr>
            <w:tcW w:w="1864" w:type="dxa"/>
            <w:vMerge w:val="continue"/>
            <w:shd w:val="clear" w:color="auto" w:fill="FFFFFF"/>
            <w:noWrap/>
            <w:vAlign w:val="center"/>
          </w:tcPr>
          <w:p w14:paraId="038CB9B8">
            <w:pPr>
              <w:jc w:val="center"/>
              <w:rPr>
                <w:rFonts w:hint="eastAsia" w:ascii="宋体" w:hAnsi="宋体" w:eastAsia="宋体" w:cs="宋体"/>
                <w:b/>
                <w:bCs/>
                <w:i w:val="0"/>
                <w:iCs w:val="0"/>
                <w:color w:val="000000"/>
                <w:sz w:val="24"/>
                <w:szCs w:val="24"/>
                <w:highlight w:val="none"/>
                <w:u w:val="none"/>
              </w:rPr>
            </w:pPr>
          </w:p>
        </w:tc>
        <w:tc>
          <w:tcPr>
            <w:tcW w:w="1696" w:type="dxa"/>
            <w:shd w:val="clear" w:color="auto" w:fill="FFFFFF"/>
            <w:noWrap/>
            <w:vAlign w:val="center"/>
          </w:tcPr>
          <w:p w14:paraId="188FB1A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辅泵</w:t>
            </w:r>
          </w:p>
        </w:tc>
        <w:tc>
          <w:tcPr>
            <w:tcW w:w="5796" w:type="dxa"/>
            <w:shd w:val="clear" w:color="auto" w:fill="FFFFFF"/>
            <w:noWrap/>
            <w:vAlign w:val="center"/>
          </w:tcPr>
          <w:p w14:paraId="7D165F8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20MPa</w:t>
            </w:r>
          </w:p>
        </w:tc>
      </w:tr>
      <w:tr w14:paraId="1ED7CC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864" w:type="dxa"/>
            <w:vMerge w:val="continue"/>
            <w:shd w:val="clear" w:color="auto" w:fill="FFFFFF"/>
            <w:noWrap/>
            <w:vAlign w:val="center"/>
          </w:tcPr>
          <w:p w14:paraId="0141DCB6">
            <w:pPr>
              <w:jc w:val="center"/>
              <w:rPr>
                <w:rFonts w:hint="eastAsia" w:ascii="宋体" w:hAnsi="宋体" w:eastAsia="宋体" w:cs="宋体"/>
                <w:b/>
                <w:bCs/>
                <w:i w:val="0"/>
                <w:iCs w:val="0"/>
                <w:color w:val="000000"/>
                <w:sz w:val="24"/>
                <w:szCs w:val="24"/>
                <w:highlight w:val="none"/>
                <w:u w:val="none"/>
              </w:rPr>
            </w:pPr>
          </w:p>
        </w:tc>
        <w:tc>
          <w:tcPr>
            <w:tcW w:w="1696" w:type="dxa"/>
            <w:shd w:val="clear" w:color="auto" w:fill="FFFFFF"/>
            <w:noWrap/>
            <w:vAlign w:val="center"/>
          </w:tcPr>
          <w:p w14:paraId="5A1D70B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先导泵</w:t>
            </w:r>
          </w:p>
        </w:tc>
        <w:tc>
          <w:tcPr>
            <w:tcW w:w="5796" w:type="dxa"/>
            <w:shd w:val="clear" w:color="auto" w:fill="FFFFFF"/>
            <w:noWrap/>
            <w:vAlign w:val="center"/>
          </w:tcPr>
          <w:p w14:paraId="4291294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3.9MPa</w:t>
            </w:r>
          </w:p>
        </w:tc>
      </w:tr>
      <w:tr w14:paraId="15DAD1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864" w:type="dxa"/>
            <w:vMerge w:val="continue"/>
            <w:shd w:val="clear" w:color="auto" w:fill="FFFFFF"/>
            <w:noWrap/>
            <w:vAlign w:val="center"/>
          </w:tcPr>
          <w:p w14:paraId="004B3E5A">
            <w:pPr>
              <w:jc w:val="center"/>
              <w:rPr>
                <w:rFonts w:hint="eastAsia" w:ascii="宋体" w:hAnsi="宋体" w:eastAsia="宋体" w:cs="宋体"/>
                <w:b/>
                <w:bCs/>
                <w:i w:val="0"/>
                <w:iCs w:val="0"/>
                <w:color w:val="000000"/>
                <w:sz w:val="24"/>
                <w:szCs w:val="24"/>
                <w:highlight w:val="none"/>
                <w:u w:val="none"/>
              </w:rPr>
            </w:pPr>
          </w:p>
        </w:tc>
        <w:tc>
          <w:tcPr>
            <w:tcW w:w="1696" w:type="dxa"/>
            <w:shd w:val="clear" w:color="auto" w:fill="FFFFFF"/>
            <w:noWrap/>
            <w:vAlign w:val="center"/>
          </w:tcPr>
          <w:p w14:paraId="2E30F48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液压油冷却</w:t>
            </w:r>
          </w:p>
        </w:tc>
        <w:tc>
          <w:tcPr>
            <w:tcW w:w="5796" w:type="dxa"/>
            <w:shd w:val="clear" w:color="auto" w:fill="FFFFFF"/>
            <w:noWrap/>
            <w:vAlign w:val="center"/>
          </w:tcPr>
          <w:p w14:paraId="1CCABB7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风冷+水冷</w:t>
            </w:r>
          </w:p>
        </w:tc>
      </w:tr>
      <w:tr w14:paraId="1C69DC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864" w:type="dxa"/>
            <w:vMerge w:val="restart"/>
            <w:shd w:val="clear" w:color="auto" w:fill="FFFFFF"/>
            <w:noWrap/>
            <w:vAlign w:val="center"/>
          </w:tcPr>
          <w:p w14:paraId="4680BBBF">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泥浆单元</w:t>
            </w:r>
          </w:p>
        </w:tc>
        <w:tc>
          <w:tcPr>
            <w:tcW w:w="1696" w:type="dxa"/>
            <w:shd w:val="clear" w:color="auto" w:fill="FFFFFF"/>
            <w:noWrap/>
            <w:vAlign w:val="center"/>
          </w:tcPr>
          <w:p w14:paraId="12382A2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泥浆泵</w:t>
            </w:r>
          </w:p>
        </w:tc>
        <w:tc>
          <w:tcPr>
            <w:tcW w:w="5796" w:type="dxa"/>
            <w:shd w:val="clear" w:color="auto" w:fill="FFFFFF"/>
            <w:noWrap/>
            <w:vAlign w:val="center"/>
          </w:tcPr>
          <w:p w14:paraId="13A00DE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三缸柱塞高压泵</w:t>
            </w:r>
          </w:p>
        </w:tc>
      </w:tr>
      <w:tr w14:paraId="16B6F2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50" w:hRule="atLeast"/>
        </w:trPr>
        <w:tc>
          <w:tcPr>
            <w:tcW w:w="1864" w:type="dxa"/>
            <w:vMerge w:val="continue"/>
            <w:shd w:val="clear" w:color="auto" w:fill="FFFFFF"/>
            <w:noWrap/>
            <w:vAlign w:val="center"/>
          </w:tcPr>
          <w:p w14:paraId="70991D82">
            <w:pPr>
              <w:jc w:val="center"/>
              <w:rPr>
                <w:rFonts w:hint="eastAsia" w:ascii="宋体" w:hAnsi="宋体" w:eastAsia="宋体" w:cs="宋体"/>
                <w:b/>
                <w:bCs/>
                <w:i w:val="0"/>
                <w:iCs w:val="0"/>
                <w:color w:val="000000"/>
                <w:sz w:val="24"/>
                <w:szCs w:val="24"/>
                <w:highlight w:val="none"/>
                <w:u w:val="none"/>
              </w:rPr>
            </w:pPr>
          </w:p>
        </w:tc>
        <w:tc>
          <w:tcPr>
            <w:tcW w:w="1696" w:type="dxa"/>
            <w:shd w:val="clear" w:color="auto" w:fill="FFFFFF"/>
            <w:noWrap/>
            <w:vAlign w:val="center"/>
          </w:tcPr>
          <w:p w14:paraId="5F0F2A3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驱动形式</w:t>
            </w:r>
          </w:p>
        </w:tc>
        <w:tc>
          <w:tcPr>
            <w:tcW w:w="5796" w:type="dxa"/>
            <w:shd w:val="clear" w:color="auto" w:fill="FFFFFF"/>
            <w:noWrap/>
            <w:vAlign w:val="center"/>
          </w:tcPr>
          <w:p w14:paraId="2851E18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液压驱动</w:t>
            </w:r>
          </w:p>
        </w:tc>
      </w:tr>
      <w:tr w14:paraId="03372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50" w:hRule="atLeast"/>
        </w:trPr>
        <w:tc>
          <w:tcPr>
            <w:tcW w:w="1864" w:type="dxa"/>
            <w:vMerge w:val="continue"/>
            <w:shd w:val="clear" w:color="auto" w:fill="FFFFFF"/>
            <w:noWrap/>
            <w:vAlign w:val="center"/>
          </w:tcPr>
          <w:p w14:paraId="3DD1900A">
            <w:pPr>
              <w:jc w:val="center"/>
              <w:rPr>
                <w:rFonts w:hint="eastAsia" w:ascii="宋体" w:hAnsi="宋体" w:eastAsia="宋体" w:cs="宋体"/>
                <w:b/>
                <w:bCs/>
                <w:i w:val="0"/>
                <w:iCs w:val="0"/>
                <w:color w:val="000000"/>
                <w:sz w:val="24"/>
                <w:szCs w:val="24"/>
                <w:highlight w:val="none"/>
                <w:u w:val="none"/>
              </w:rPr>
            </w:pPr>
          </w:p>
        </w:tc>
        <w:tc>
          <w:tcPr>
            <w:tcW w:w="1696" w:type="dxa"/>
            <w:shd w:val="clear" w:color="auto" w:fill="FFFFFF"/>
            <w:noWrap/>
            <w:vAlign w:val="center"/>
          </w:tcPr>
          <w:p w14:paraId="603F822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流量及压力</w:t>
            </w:r>
          </w:p>
        </w:tc>
        <w:tc>
          <w:tcPr>
            <w:tcW w:w="5796" w:type="dxa"/>
            <w:shd w:val="clear" w:color="auto" w:fill="FFFFFF"/>
            <w:noWrap/>
            <w:vAlign w:val="center"/>
          </w:tcPr>
          <w:p w14:paraId="3AB3769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250Lpa，10Mpa</w:t>
            </w:r>
          </w:p>
        </w:tc>
      </w:tr>
      <w:tr w14:paraId="73DDB4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864" w:type="dxa"/>
            <w:vMerge w:val="restart"/>
            <w:shd w:val="clear" w:color="auto" w:fill="FFFFFF"/>
            <w:noWrap/>
            <w:vAlign w:val="center"/>
          </w:tcPr>
          <w:p w14:paraId="2C445B7E">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电力单元</w:t>
            </w:r>
          </w:p>
        </w:tc>
        <w:tc>
          <w:tcPr>
            <w:tcW w:w="1696" w:type="dxa"/>
            <w:shd w:val="clear" w:color="auto" w:fill="FFFFFF"/>
            <w:noWrap/>
            <w:vAlign w:val="center"/>
          </w:tcPr>
          <w:p w14:paraId="15D45E0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发电机形式</w:t>
            </w:r>
          </w:p>
        </w:tc>
        <w:tc>
          <w:tcPr>
            <w:tcW w:w="5796" w:type="dxa"/>
            <w:shd w:val="clear" w:color="auto" w:fill="FFFFFF"/>
            <w:noWrap/>
            <w:vAlign w:val="center"/>
          </w:tcPr>
          <w:p w14:paraId="2671AE0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变频无刷免维护</w:t>
            </w:r>
          </w:p>
        </w:tc>
      </w:tr>
      <w:tr w14:paraId="7102EB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864" w:type="dxa"/>
            <w:vMerge w:val="continue"/>
            <w:shd w:val="clear" w:color="auto" w:fill="FFFFFF"/>
            <w:noWrap/>
            <w:vAlign w:val="center"/>
          </w:tcPr>
          <w:p w14:paraId="34AC740F">
            <w:pPr>
              <w:jc w:val="center"/>
              <w:rPr>
                <w:rFonts w:hint="eastAsia" w:ascii="宋体" w:hAnsi="宋体" w:eastAsia="宋体" w:cs="宋体"/>
                <w:b/>
                <w:bCs/>
                <w:i w:val="0"/>
                <w:iCs w:val="0"/>
                <w:color w:val="000000"/>
                <w:sz w:val="24"/>
                <w:szCs w:val="24"/>
                <w:highlight w:val="none"/>
                <w:u w:val="none"/>
              </w:rPr>
            </w:pPr>
          </w:p>
        </w:tc>
        <w:tc>
          <w:tcPr>
            <w:tcW w:w="1696" w:type="dxa"/>
            <w:shd w:val="clear" w:color="auto" w:fill="FFFFFF"/>
            <w:noWrap/>
            <w:vAlign w:val="center"/>
          </w:tcPr>
          <w:p w14:paraId="74CF0F4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功率及电压</w:t>
            </w:r>
          </w:p>
        </w:tc>
        <w:tc>
          <w:tcPr>
            <w:tcW w:w="5796" w:type="dxa"/>
            <w:shd w:val="clear" w:color="auto" w:fill="FFFFFF"/>
            <w:noWrap/>
            <w:vAlign w:val="center"/>
          </w:tcPr>
          <w:p w14:paraId="6FBED95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12kW 220V/380V</w:t>
            </w:r>
          </w:p>
        </w:tc>
      </w:tr>
      <w:tr w14:paraId="4AEB39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864" w:type="dxa"/>
            <w:vMerge w:val="restart"/>
            <w:shd w:val="clear" w:color="auto" w:fill="FFFFFF"/>
            <w:noWrap/>
            <w:vAlign w:val="center"/>
          </w:tcPr>
          <w:p w14:paraId="3E1D0C2B">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行走履带</w:t>
            </w:r>
          </w:p>
        </w:tc>
        <w:tc>
          <w:tcPr>
            <w:tcW w:w="1696" w:type="dxa"/>
            <w:shd w:val="clear" w:color="auto" w:fill="FFFFFF"/>
            <w:noWrap/>
            <w:vAlign w:val="center"/>
          </w:tcPr>
          <w:p w14:paraId="625DB88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驱动形式</w:t>
            </w:r>
          </w:p>
        </w:tc>
        <w:tc>
          <w:tcPr>
            <w:tcW w:w="5796" w:type="dxa"/>
            <w:shd w:val="clear" w:color="auto" w:fill="FFFFFF"/>
            <w:noWrap/>
            <w:vAlign w:val="center"/>
          </w:tcPr>
          <w:p w14:paraId="6690869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液压驱动</w:t>
            </w:r>
          </w:p>
        </w:tc>
      </w:tr>
      <w:tr w14:paraId="5D56C0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864" w:type="dxa"/>
            <w:vMerge w:val="continue"/>
            <w:shd w:val="clear" w:color="auto" w:fill="FFFFFF"/>
            <w:noWrap/>
            <w:vAlign w:val="center"/>
          </w:tcPr>
          <w:p w14:paraId="77244D70">
            <w:pPr>
              <w:jc w:val="center"/>
              <w:rPr>
                <w:rFonts w:hint="eastAsia" w:ascii="宋体" w:hAnsi="宋体" w:eastAsia="宋体" w:cs="宋体"/>
                <w:b/>
                <w:bCs/>
                <w:i w:val="0"/>
                <w:iCs w:val="0"/>
                <w:color w:val="000000"/>
                <w:sz w:val="24"/>
                <w:szCs w:val="24"/>
                <w:highlight w:val="none"/>
                <w:u w:val="none"/>
              </w:rPr>
            </w:pPr>
          </w:p>
        </w:tc>
        <w:tc>
          <w:tcPr>
            <w:tcW w:w="1696" w:type="dxa"/>
            <w:shd w:val="clear" w:color="auto" w:fill="FFFFFF"/>
            <w:noWrap/>
            <w:vAlign w:val="center"/>
          </w:tcPr>
          <w:p w14:paraId="61882A5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履带类型</w:t>
            </w:r>
          </w:p>
        </w:tc>
        <w:tc>
          <w:tcPr>
            <w:tcW w:w="5796" w:type="dxa"/>
            <w:shd w:val="clear" w:color="auto" w:fill="FFFFFF"/>
            <w:noWrap/>
            <w:vAlign w:val="center"/>
          </w:tcPr>
          <w:p w14:paraId="3BB53BC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钢制履带</w:t>
            </w:r>
          </w:p>
        </w:tc>
      </w:tr>
      <w:tr w14:paraId="20E382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864" w:type="dxa"/>
            <w:vMerge w:val="continue"/>
            <w:shd w:val="clear" w:color="auto" w:fill="FFFFFF"/>
            <w:noWrap/>
            <w:vAlign w:val="center"/>
          </w:tcPr>
          <w:p w14:paraId="089C2D7D">
            <w:pPr>
              <w:jc w:val="center"/>
              <w:rPr>
                <w:rFonts w:hint="eastAsia" w:ascii="宋体" w:hAnsi="宋体" w:eastAsia="宋体" w:cs="宋体"/>
                <w:b/>
                <w:bCs/>
                <w:i w:val="0"/>
                <w:iCs w:val="0"/>
                <w:color w:val="000000"/>
                <w:sz w:val="24"/>
                <w:szCs w:val="24"/>
                <w:highlight w:val="none"/>
                <w:u w:val="none"/>
              </w:rPr>
            </w:pPr>
          </w:p>
        </w:tc>
        <w:tc>
          <w:tcPr>
            <w:tcW w:w="1696" w:type="dxa"/>
            <w:shd w:val="clear" w:color="auto" w:fill="FFFFFF"/>
            <w:noWrap/>
            <w:vAlign w:val="center"/>
          </w:tcPr>
          <w:p w14:paraId="33587D9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控制形式</w:t>
            </w:r>
          </w:p>
        </w:tc>
        <w:tc>
          <w:tcPr>
            <w:tcW w:w="5796" w:type="dxa"/>
            <w:shd w:val="clear" w:color="auto" w:fill="FFFFFF"/>
            <w:noWrap/>
            <w:vAlign w:val="center"/>
          </w:tcPr>
          <w:p w14:paraId="02FBB84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无线遥控+机身操作手柄</w:t>
            </w:r>
          </w:p>
        </w:tc>
      </w:tr>
      <w:tr w14:paraId="6620A5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rPr>
        <w:tc>
          <w:tcPr>
            <w:tcW w:w="1864" w:type="dxa"/>
            <w:vMerge w:val="continue"/>
            <w:shd w:val="clear" w:color="auto" w:fill="FFFFFF"/>
            <w:noWrap/>
            <w:vAlign w:val="center"/>
          </w:tcPr>
          <w:p w14:paraId="380B9EE5">
            <w:pPr>
              <w:jc w:val="center"/>
              <w:rPr>
                <w:rFonts w:hint="eastAsia" w:ascii="宋体" w:hAnsi="宋体" w:eastAsia="宋体" w:cs="宋体"/>
                <w:b/>
                <w:bCs/>
                <w:i w:val="0"/>
                <w:iCs w:val="0"/>
                <w:color w:val="000000"/>
                <w:sz w:val="24"/>
                <w:szCs w:val="24"/>
                <w:highlight w:val="none"/>
                <w:u w:val="none"/>
              </w:rPr>
            </w:pPr>
          </w:p>
        </w:tc>
        <w:tc>
          <w:tcPr>
            <w:tcW w:w="1696" w:type="dxa"/>
            <w:shd w:val="clear" w:color="auto" w:fill="FFFFFF"/>
            <w:noWrap/>
            <w:vAlign w:val="center"/>
          </w:tcPr>
          <w:p w14:paraId="2C4E55F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行驶速度</w:t>
            </w:r>
          </w:p>
        </w:tc>
        <w:tc>
          <w:tcPr>
            <w:tcW w:w="5796" w:type="dxa"/>
            <w:shd w:val="clear" w:color="auto" w:fill="FFFFFF"/>
            <w:noWrap/>
            <w:vAlign w:val="center"/>
          </w:tcPr>
          <w:p w14:paraId="040E810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3.2km/h-5.5km/h</w:t>
            </w:r>
          </w:p>
        </w:tc>
      </w:tr>
    </w:tbl>
    <w:p w14:paraId="734AC44A">
      <w:pPr>
        <w:pStyle w:val="40"/>
        <w:rPr>
          <w:rFonts w:hint="eastAsia" w:asciiTheme="minorEastAsia" w:hAnsiTheme="minorEastAsia" w:eastAsiaTheme="minorEastAsia" w:cstheme="minorEastAsia"/>
          <w:color w:val="auto"/>
          <w:sz w:val="24"/>
          <w:szCs w:val="24"/>
          <w:highlight w:val="none"/>
        </w:rPr>
      </w:pPr>
    </w:p>
    <w:tbl>
      <w:tblPr>
        <w:tblStyle w:val="33"/>
        <w:tblW w:w="9357" w:type="dxa"/>
        <w:tblInd w:w="-31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1124"/>
        <w:gridCol w:w="2760"/>
        <w:gridCol w:w="1832"/>
        <w:gridCol w:w="1052"/>
        <w:gridCol w:w="2589"/>
      </w:tblGrid>
      <w:tr w14:paraId="61809F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trPr>
        <w:tc>
          <w:tcPr>
            <w:tcW w:w="9357" w:type="dxa"/>
            <w:gridSpan w:val="5"/>
            <w:shd w:val="clear" w:color="auto" w:fill="auto"/>
            <w:noWrap/>
            <w:vAlign w:val="center"/>
          </w:tcPr>
          <w:p w14:paraId="5B692C1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配置钻具及配件</w:t>
            </w:r>
          </w:p>
        </w:tc>
      </w:tr>
      <w:tr w14:paraId="319066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50135B2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序号</w:t>
            </w:r>
          </w:p>
        </w:tc>
        <w:tc>
          <w:tcPr>
            <w:tcW w:w="2760" w:type="dxa"/>
            <w:shd w:val="clear" w:color="auto" w:fill="auto"/>
            <w:noWrap/>
            <w:vAlign w:val="center"/>
          </w:tcPr>
          <w:p w14:paraId="3D3B816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名称</w:t>
            </w:r>
          </w:p>
        </w:tc>
        <w:tc>
          <w:tcPr>
            <w:tcW w:w="1832" w:type="dxa"/>
            <w:shd w:val="clear" w:color="auto" w:fill="auto"/>
            <w:noWrap/>
            <w:vAlign w:val="center"/>
          </w:tcPr>
          <w:p w14:paraId="742C596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单位</w:t>
            </w:r>
          </w:p>
        </w:tc>
        <w:tc>
          <w:tcPr>
            <w:tcW w:w="1052" w:type="dxa"/>
            <w:shd w:val="clear" w:color="auto" w:fill="auto"/>
            <w:noWrap/>
            <w:vAlign w:val="center"/>
          </w:tcPr>
          <w:p w14:paraId="7CAC3B4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数量</w:t>
            </w:r>
          </w:p>
        </w:tc>
        <w:tc>
          <w:tcPr>
            <w:tcW w:w="2589" w:type="dxa"/>
            <w:shd w:val="clear" w:color="auto" w:fill="auto"/>
            <w:noWrap/>
            <w:vAlign w:val="center"/>
          </w:tcPr>
          <w:p w14:paraId="49FFA34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备注</w:t>
            </w:r>
          </w:p>
        </w:tc>
      </w:tr>
      <w:tr w14:paraId="403417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4261DC7E">
            <w:pPr>
              <w:jc w:val="center"/>
              <w:rPr>
                <w:rFonts w:hint="eastAsia" w:asciiTheme="minorEastAsia" w:hAnsiTheme="minorEastAsia" w:eastAsiaTheme="minorEastAsia" w:cstheme="minorEastAsia"/>
                <w:i w:val="0"/>
                <w:iCs w:val="0"/>
                <w:color w:val="000000"/>
                <w:sz w:val="24"/>
                <w:szCs w:val="24"/>
                <w:highlight w:val="none"/>
                <w:u w:val="none"/>
              </w:rPr>
            </w:pPr>
          </w:p>
        </w:tc>
        <w:tc>
          <w:tcPr>
            <w:tcW w:w="2760" w:type="dxa"/>
            <w:shd w:val="clear" w:color="auto" w:fill="auto"/>
            <w:noWrap/>
            <w:vAlign w:val="center"/>
          </w:tcPr>
          <w:p w14:paraId="00C7FF0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960C</w:t>
            </w:r>
          </w:p>
        </w:tc>
        <w:tc>
          <w:tcPr>
            <w:tcW w:w="1832" w:type="dxa"/>
            <w:shd w:val="clear" w:color="auto" w:fill="auto"/>
            <w:noWrap/>
            <w:vAlign w:val="center"/>
          </w:tcPr>
          <w:p w14:paraId="0B7D36B7">
            <w:pPr>
              <w:jc w:val="center"/>
              <w:rPr>
                <w:rFonts w:hint="eastAsia" w:asciiTheme="minorEastAsia" w:hAnsiTheme="minorEastAsia" w:eastAsiaTheme="minorEastAsia" w:cstheme="minorEastAsia"/>
                <w:i w:val="0"/>
                <w:iCs w:val="0"/>
                <w:color w:val="000000"/>
                <w:sz w:val="24"/>
                <w:szCs w:val="24"/>
                <w:highlight w:val="none"/>
                <w:u w:val="none"/>
              </w:rPr>
            </w:pPr>
          </w:p>
        </w:tc>
        <w:tc>
          <w:tcPr>
            <w:tcW w:w="1052" w:type="dxa"/>
            <w:shd w:val="clear" w:color="auto" w:fill="auto"/>
            <w:noWrap/>
            <w:vAlign w:val="center"/>
          </w:tcPr>
          <w:p w14:paraId="4BCDC845">
            <w:pPr>
              <w:jc w:val="center"/>
              <w:rPr>
                <w:rFonts w:hint="eastAsia" w:asciiTheme="minorEastAsia" w:hAnsiTheme="minorEastAsia" w:eastAsiaTheme="minorEastAsia" w:cstheme="minorEastAsia"/>
                <w:i w:val="0"/>
                <w:iCs w:val="0"/>
                <w:color w:val="000000"/>
                <w:sz w:val="24"/>
                <w:szCs w:val="24"/>
                <w:highlight w:val="none"/>
                <w:u w:val="none"/>
              </w:rPr>
            </w:pPr>
          </w:p>
        </w:tc>
        <w:tc>
          <w:tcPr>
            <w:tcW w:w="2589" w:type="dxa"/>
            <w:shd w:val="clear" w:color="auto" w:fill="auto"/>
            <w:noWrap/>
            <w:vAlign w:val="center"/>
          </w:tcPr>
          <w:p w14:paraId="1394A52A">
            <w:pPr>
              <w:jc w:val="center"/>
              <w:rPr>
                <w:rFonts w:hint="eastAsia" w:asciiTheme="minorEastAsia" w:hAnsiTheme="minorEastAsia" w:eastAsiaTheme="minorEastAsia" w:cstheme="minorEastAsia"/>
                <w:i w:val="0"/>
                <w:iCs w:val="0"/>
                <w:color w:val="000000"/>
                <w:sz w:val="24"/>
                <w:szCs w:val="24"/>
                <w:highlight w:val="none"/>
                <w:u w:val="none"/>
              </w:rPr>
            </w:pPr>
          </w:p>
        </w:tc>
      </w:tr>
      <w:tr w14:paraId="1D7172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53CFA9A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1</w:t>
            </w:r>
          </w:p>
        </w:tc>
        <w:tc>
          <w:tcPr>
            <w:tcW w:w="2760" w:type="dxa"/>
            <w:shd w:val="clear" w:color="auto" w:fill="auto"/>
            <w:noWrap/>
            <w:vAlign w:val="center"/>
          </w:tcPr>
          <w:p w14:paraId="35C6088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110跟管套管</w:t>
            </w:r>
          </w:p>
        </w:tc>
        <w:tc>
          <w:tcPr>
            <w:tcW w:w="1832" w:type="dxa"/>
            <w:shd w:val="clear" w:color="auto" w:fill="auto"/>
            <w:noWrap/>
            <w:vAlign w:val="center"/>
          </w:tcPr>
          <w:p w14:paraId="0595B5C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根</w:t>
            </w:r>
          </w:p>
        </w:tc>
        <w:tc>
          <w:tcPr>
            <w:tcW w:w="1052" w:type="dxa"/>
            <w:shd w:val="clear" w:color="auto" w:fill="auto"/>
            <w:noWrap/>
            <w:vAlign w:val="center"/>
          </w:tcPr>
          <w:p w14:paraId="53C1E2E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67</w:t>
            </w:r>
          </w:p>
        </w:tc>
        <w:tc>
          <w:tcPr>
            <w:tcW w:w="2589" w:type="dxa"/>
            <w:shd w:val="clear" w:color="auto" w:fill="auto"/>
            <w:noWrap/>
            <w:vAlign w:val="center"/>
          </w:tcPr>
          <w:p w14:paraId="480A620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100米</w:t>
            </w:r>
          </w:p>
        </w:tc>
      </w:tr>
      <w:tr w14:paraId="28A51D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4E43652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2</w:t>
            </w:r>
          </w:p>
        </w:tc>
        <w:tc>
          <w:tcPr>
            <w:tcW w:w="2760" w:type="dxa"/>
            <w:shd w:val="clear" w:color="auto" w:fill="auto"/>
            <w:noWrap/>
            <w:vAlign w:val="center"/>
          </w:tcPr>
          <w:p w14:paraId="1164A07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110下变径</w:t>
            </w:r>
          </w:p>
        </w:tc>
        <w:tc>
          <w:tcPr>
            <w:tcW w:w="1832" w:type="dxa"/>
            <w:shd w:val="clear" w:color="auto" w:fill="auto"/>
            <w:noWrap/>
            <w:vAlign w:val="center"/>
          </w:tcPr>
          <w:p w14:paraId="77F96D5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个</w:t>
            </w:r>
          </w:p>
        </w:tc>
        <w:tc>
          <w:tcPr>
            <w:tcW w:w="1052" w:type="dxa"/>
            <w:shd w:val="clear" w:color="auto" w:fill="auto"/>
            <w:noWrap/>
            <w:vAlign w:val="center"/>
          </w:tcPr>
          <w:p w14:paraId="011EF29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2</w:t>
            </w:r>
          </w:p>
        </w:tc>
        <w:tc>
          <w:tcPr>
            <w:tcW w:w="2589" w:type="dxa"/>
            <w:shd w:val="clear" w:color="auto" w:fill="auto"/>
            <w:noWrap/>
            <w:vAlign w:val="center"/>
          </w:tcPr>
          <w:p w14:paraId="615A8C47">
            <w:pPr>
              <w:jc w:val="center"/>
              <w:rPr>
                <w:rFonts w:hint="eastAsia" w:asciiTheme="minorEastAsia" w:hAnsiTheme="minorEastAsia" w:eastAsiaTheme="minorEastAsia" w:cstheme="minorEastAsia"/>
                <w:i w:val="0"/>
                <w:iCs w:val="0"/>
                <w:color w:val="000000"/>
                <w:sz w:val="24"/>
                <w:szCs w:val="24"/>
                <w:highlight w:val="none"/>
                <w:u w:val="none"/>
              </w:rPr>
            </w:pPr>
          </w:p>
        </w:tc>
      </w:tr>
      <w:tr w14:paraId="0F78A1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5B8A7A5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4</w:t>
            </w:r>
          </w:p>
        </w:tc>
        <w:tc>
          <w:tcPr>
            <w:tcW w:w="2760" w:type="dxa"/>
            <w:shd w:val="clear" w:color="auto" w:fill="auto"/>
            <w:noWrap/>
            <w:vAlign w:val="center"/>
          </w:tcPr>
          <w:p w14:paraId="0E5BFB9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110跟套管靴</w:t>
            </w:r>
          </w:p>
        </w:tc>
        <w:tc>
          <w:tcPr>
            <w:tcW w:w="1832" w:type="dxa"/>
            <w:shd w:val="clear" w:color="auto" w:fill="auto"/>
            <w:noWrap/>
            <w:vAlign w:val="center"/>
          </w:tcPr>
          <w:p w14:paraId="70AF271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个</w:t>
            </w:r>
          </w:p>
        </w:tc>
        <w:tc>
          <w:tcPr>
            <w:tcW w:w="1052" w:type="dxa"/>
            <w:shd w:val="clear" w:color="auto" w:fill="auto"/>
            <w:noWrap/>
            <w:vAlign w:val="center"/>
          </w:tcPr>
          <w:p w14:paraId="6ED11AC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4</w:t>
            </w:r>
          </w:p>
        </w:tc>
        <w:tc>
          <w:tcPr>
            <w:tcW w:w="2589" w:type="dxa"/>
            <w:shd w:val="clear" w:color="auto" w:fill="auto"/>
            <w:noWrap/>
            <w:vAlign w:val="center"/>
          </w:tcPr>
          <w:p w14:paraId="69FE49DD">
            <w:pPr>
              <w:jc w:val="center"/>
              <w:rPr>
                <w:rFonts w:hint="eastAsia" w:asciiTheme="minorEastAsia" w:hAnsiTheme="minorEastAsia" w:eastAsiaTheme="minorEastAsia" w:cstheme="minorEastAsia"/>
                <w:i w:val="0"/>
                <w:iCs w:val="0"/>
                <w:color w:val="000000"/>
                <w:sz w:val="24"/>
                <w:szCs w:val="24"/>
                <w:highlight w:val="none"/>
                <w:u w:val="none"/>
              </w:rPr>
            </w:pPr>
          </w:p>
        </w:tc>
      </w:tr>
      <w:tr w14:paraId="3A7A9B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vMerge w:val="restart"/>
            <w:shd w:val="clear" w:color="auto" w:fill="auto"/>
            <w:noWrap/>
            <w:vAlign w:val="center"/>
          </w:tcPr>
          <w:p w14:paraId="0B64791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5</w:t>
            </w:r>
          </w:p>
        </w:tc>
        <w:tc>
          <w:tcPr>
            <w:tcW w:w="2760" w:type="dxa"/>
            <w:shd w:val="clear" w:color="auto" w:fill="auto"/>
            <w:noWrap/>
            <w:vAlign w:val="center"/>
          </w:tcPr>
          <w:p w14:paraId="6C721A39">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 xml:space="preserve">        卡瓦110</w:t>
            </w:r>
          </w:p>
        </w:tc>
        <w:tc>
          <w:tcPr>
            <w:tcW w:w="1832" w:type="dxa"/>
            <w:shd w:val="clear" w:color="auto" w:fill="auto"/>
            <w:noWrap/>
            <w:vAlign w:val="center"/>
          </w:tcPr>
          <w:p w14:paraId="67541CE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套</w:t>
            </w:r>
          </w:p>
        </w:tc>
        <w:tc>
          <w:tcPr>
            <w:tcW w:w="1052" w:type="dxa"/>
            <w:shd w:val="clear" w:color="auto" w:fill="auto"/>
            <w:noWrap/>
            <w:vAlign w:val="center"/>
          </w:tcPr>
          <w:p w14:paraId="1BE9F48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1</w:t>
            </w:r>
          </w:p>
        </w:tc>
        <w:tc>
          <w:tcPr>
            <w:tcW w:w="2589" w:type="dxa"/>
            <w:shd w:val="clear" w:color="auto" w:fill="auto"/>
            <w:noWrap/>
            <w:vAlign w:val="center"/>
          </w:tcPr>
          <w:p w14:paraId="74F6D121">
            <w:pPr>
              <w:jc w:val="center"/>
              <w:rPr>
                <w:rFonts w:hint="eastAsia" w:asciiTheme="minorEastAsia" w:hAnsiTheme="minorEastAsia" w:eastAsiaTheme="minorEastAsia" w:cstheme="minorEastAsia"/>
                <w:i w:val="0"/>
                <w:iCs w:val="0"/>
                <w:color w:val="000000"/>
                <w:sz w:val="24"/>
                <w:szCs w:val="24"/>
                <w:highlight w:val="none"/>
                <w:u w:val="none"/>
              </w:rPr>
            </w:pPr>
          </w:p>
        </w:tc>
      </w:tr>
      <w:tr w14:paraId="0B6693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vMerge w:val="continue"/>
            <w:shd w:val="clear" w:color="auto" w:fill="auto"/>
            <w:noWrap/>
            <w:vAlign w:val="center"/>
          </w:tcPr>
          <w:p w14:paraId="6C73B1C3">
            <w:pPr>
              <w:jc w:val="center"/>
              <w:rPr>
                <w:rFonts w:hint="eastAsia" w:asciiTheme="minorEastAsia" w:hAnsiTheme="minorEastAsia" w:eastAsiaTheme="minorEastAsia" w:cstheme="minorEastAsia"/>
                <w:i w:val="0"/>
                <w:iCs w:val="0"/>
                <w:color w:val="000000"/>
                <w:sz w:val="24"/>
                <w:szCs w:val="24"/>
                <w:highlight w:val="none"/>
                <w:u w:val="none"/>
              </w:rPr>
            </w:pPr>
          </w:p>
        </w:tc>
        <w:tc>
          <w:tcPr>
            <w:tcW w:w="2760" w:type="dxa"/>
            <w:shd w:val="clear" w:color="auto" w:fill="auto"/>
            <w:noWrap/>
            <w:vAlign w:val="center"/>
          </w:tcPr>
          <w:p w14:paraId="46B4017A">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 xml:space="preserve">        卡瓦89</w:t>
            </w:r>
          </w:p>
        </w:tc>
        <w:tc>
          <w:tcPr>
            <w:tcW w:w="1832" w:type="dxa"/>
            <w:shd w:val="clear" w:color="auto" w:fill="auto"/>
            <w:noWrap/>
            <w:vAlign w:val="center"/>
          </w:tcPr>
          <w:p w14:paraId="48BD188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套</w:t>
            </w:r>
          </w:p>
        </w:tc>
        <w:tc>
          <w:tcPr>
            <w:tcW w:w="1052" w:type="dxa"/>
            <w:shd w:val="clear" w:color="auto" w:fill="auto"/>
            <w:noWrap/>
            <w:vAlign w:val="center"/>
          </w:tcPr>
          <w:p w14:paraId="38717C2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1</w:t>
            </w:r>
          </w:p>
        </w:tc>
        <w:tc>
          <w:tcPr>
            <w:tcW w:w="2589" w:type="dxa"/>
            <w:shd w:val="clear" w:color="auto" w:fill="auto"/>
            <w:noWrap/>
            <w:vAlign w:val="center"/>
          </w:tcPr>
          <w:p w14:paraId="450065D6">
            <w:pPr>
              <w:jc w:val="center"/>
              <w:rPr>
                <w:rFonts w:hint="eastAsia" w:asciiTheme="minorEastAsia" w:hAnsiTheme="minorEastAsia" w:eastAsiaTheme="minorEastAsia" w:cstheme="minorEastAsia"/>
                <w:i w:val="0"/>
                <w:iCs w:val="0"/>
                <w:color w:val="000000"/>
                <w:sz w:val="24"/>
                <w:szCs w:val="24"/>
                <w:highlight w:val="none"/>
                <w:u w:val="none"/>
              </w:rPr>
            </w:pPr>
          </w:p>
        </w:tc>
      </w:tr>
      <w:tr w14:paraId="6D556C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6A05391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6</w:t>
            </w:r>
          </w:p>
        </w:tc>
        <w:tc>
          <w:tcPr>
            <w:tcW w:w="2760" w:type="dxa"/>
            <w:shd w:val="clear" w:color="auto" w:fill="auto"/>
            <w:noWrap/>
            <w:vAlign w:val="center"/>
          </w:tcPr>
          <w:p w14:paraId="4A02F47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HTW钻杆1.5米</w:t>
            </w:r>
          </w:p>
        </w:tc>
        <w:tc>
          <w:tcPr>
            <w:tcW w:w="1832" w:type="dxa"/>
            <w:shd w:val="clear" w:color="auto" w:fill="auto"/>
            <w:noWrap/>
            <w:vAlign w:val="center"/>
          </w:tcPr>
          <w:p w14:paraId="5635882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根</w:t>
            </w:r>
          </w:p>
        </w:tc>
        <w:tc>
          <w:tcPr>
            <w:tcW w:w="1052" w:type="dxa"/>
            <w:shd w:val="clear" w:color="auto" w:fill="auto"/>
            <w:noWrap/>
            <w:vAlign w:val="center"/>
          </w:tcPr>
          <w:p w14:paraId="15460F4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220</w:t>
            </w:r>
          </w:p>
        </w:tc>
        <w:tc>
          <w:tcPr>
            <w:tcW w:w="2589" w:type="dxa"/>
            <w:shd w:val="clear" w:color="auto" w:fill="auto"/>
            <w:noWrap/>
            <w:vAlign w:val="center"/>
          </w:tcPr>
          <w:p w14:paraId="7481345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330米（金石）</w:t>
            </w:r>
          </w:p>
        </w:tc>
      </w:tr>
      <w:tr w14:paraId="01C046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3059DD4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7</w:t>
            </w:r>
          </w:p>
        </w:tc>
        <w:tc>
          <w:tcPr>
            <w:tcW w:w="2760" w:type="dxa"/>
            <w:shd w:val="clear" w:color="auto" w:fill="auto"/>
            <w:noWrap/>
            <w:vAlign w:val="center"/>
          </w:tcPr>
          <w:p w14:paraId="706B42E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HTW外管3米</w:t>
            </w:r>
          </w:p>
        </w:tc>
        <w:tc>
          <w:tcPr>
            <w:tcW w:w="1832" w:type="dxa"/>
            <w:shd w:val="clear" w:color="auto" w:fill="auto"/>
            <w:noWrap/>
            <w:vAlign w:val="center"/>
          </w:tcPr>
          <w:p w14:paraId="10BF3D5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根</w:t>
            </w:r>
          </w:p>
        </w:tc>
        <w:tc>
          <w:tcPr>
            <w:tcW w:w="1052" w:type="dxa"/>
            <w:shd w:val="clear" w:color="auto" w:fill="auto"/>
            <w:noWrap/>
            <w:vAlign w:val="center"/>
          </w:tcPr>
          <w:p w14:paraId="62CE597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3</w:t>
            </w:r>
          </w:p>
        </w:tc>
        <w:tc>
          <w:tcPr>
            <w:tcW w:w="2589" w:type="dxa"/>
            <w:shd w:val="clear" w:color="auto" w:fill="auto"/>
            <w:noWrap/>
            <w:vAlign w:val="center"/>
          </w:tcPr>
          <w:p w14:paraId="21E18C4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金石</w:t>
            </w:r>
          </w:p>
        </w:tc>
      </w:tr>
      <w:tr w14:paraId="5D2BBE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9" w:hRule="atLeast"/>
        </w:trPr>
        <w:tc>
          <w:tcPr>
            <w:tcW w:w="1124" w:type="dxa"/>
            <w:shd w:val="clear" w:color="auto" w:fill="auto"/>
            <w:noWrap/>
            <w:vAlign w:val="center"/>
          </w:tcPr>
          <w:p w14:paraId="6779E6E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8</w:t>
            </w:r>
          </w:p>
        </w:tc>
        <w:tc>
          <w:tcPr>
            <w:tcW w:w="2760" w:type="dxa"/>
            <w:shd w:val="clear" w:color="auto" w:fill="auto"/>
            <w:noWrap/>
            <w:vAlign w:val="center"/>
          </w:tcPr>
          <w:p w14:paraId="01D77EB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HTW内管3米</w:t>
            </w:r>
          </w:p>
        </w:tc>
        <w:tc>
          <w:tcPr>
            <w:tcW w:w="1832" w:type="dxa"/>
            <w:shd w:val="clear" w:color="auto" w:fill="auto"/>
            <w:noWrap/>
            <w:vAlign w:val="center"/>
          </w:tcPr>
          <w:p w14:paraId="2CB8ADE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根</w:t>
            </w:r>
          </w:p>
        </w:tc>
        <w:tc>
          <w:tcPr>
            <w:tcW w:w="1052" w:type="dxa"/>
            <w:shd w:val="clear" w:color="auto" w:fill="auto"/>
            <w:noWrap/>
            <w:vAlign w:val="center"/>
          </w:tcPr>
          <w:p w14:paraId="74B4AF4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4</w:t>
            </w:r>
          </w:p>
        </w:tc>
        <w:tc>
          <w:tcPr>
            <w:tcW w:w="2589" w:type="dxa"/>
            <w:shd w:val="clear" w:color="auto" w:fill="auto"/>
            <w:noWrap/>
            <w:vAlign w:val="center"/>
          </w:tcPr>
          <w:p w14:paraId="131EE24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金石</w:t>
            </w:r>
          </w:p>
        </w:tc>
      </w:tr>
      <w:tr w14:paraId="00EB19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421352A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9</w:t>
            </w:r>
          </w:p>
        </w:tc>
        <w:tc>
          <w:tcPr>
            <w:tcW w:w="2760" w:type="dxa"/>
            <w:shd w:val="clear" w:color="auto" w:fill="auto"/>
            <w:noWrap/>
            <w:vAlign w:val="center"/>
          </w:tcPr>
          <w:p w14:paraId="453BC7E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弹卡室总成</w:t>
            </w:r>
          </w:p>
        </w:tc>
        <w:tc>
          <w:tcPr>
            <w:tcW w:w="1832" w:type="dxa"/>
            <w:shd w:val="clear" w:color="auto" w:fill="auto"/>
            <w:noWrap/>
            <w:vAlign w:val="center"/>
          </w:tcPr>
          <w:p w14:paraId="5380226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套</w:t>
            </w:r>
          </w:p>
        </w:tc>
        <w:tc>
          <w:tcPr>
            <w:tcW w:w="1052" w:type="dxa"/>
            <w:shd w:val="clear" w:color="auto" w:fill="auto"/>
            <w:noWrap/>
            <w:vAlign w:val="center"/>
          </w:tcPr>
          <w:p w14:paraId="1D4ADB8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3</w:t>
            </w:r>
          </w:p>
        </w:tc>
        <w:tc>
          <w:tcPr>
            <w:tcW w:w="2589" w:type="dxa"/>
            <w:shd w:val="clear" w:color="auto" w:fill="auto"/>
            <w:noWrap/>
            <w:vAlign w:val="center"/>
          </w:tcPr>
          <w:p w14:paraId="7E7E363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金石</w:t>
            </w:r>
          </w:p>
        </w:tc>
      </w:tr>
      <w:tr w14:paraId="793907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9" w:hRule="atLeast"/>
        </w:trPr>
        <w:tc>
          <w:tcPr>
            <w:tcW w:w="1124" w:type="dxa"/>
            <w:shd w:val="clear" w:color="auto" w:fill="auto"/>
            <w:noWrap/>
            <w:vAlign w:val="center"/>
          </w:tcPr>
          <w:p w14:paraId="30C808E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10</w:t>
            </w:r>
          </w:p>
        </w:tc>
        <w:tc>
          <w:tcPr>
            <w:tcW w:w="2760" w:type="dxa"/>
            <w:shd w:val="clear" w:color="auto" w:fill="auto"/>
            <w:noWrap/>
            <w:vAlign w:val="center"/>
          </w:tcPr>
          <w:p w14:paraId="271C8BC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内管总成</w:t>
            </w:r>
          </w:p>
        </w:tc>
        <w:tc>
          <w:tcPr>
            <w:tcW w:w="1832" w:type="dxa"/>
            <w:shd w:val="clear" w:color="auto" w:fill="auto"/>
            <w:noWrap/>
            <w:vAlign w:val="center"/>
          </w:tcPr>
          <w:p w14:paraId="66FF0F7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套</w:t>
            </w:r>
          </w:p>
        </w:tc>
        <w:tc>
          <w:tcPr>
            <w:tcW w:w="1052" w:type="dxa"/>
            <w:shd w:val="clear" w:color="auto" w:fill="auto"/>
            <w:noWrap/>
            <w:vAlign w:val="center"/>
          </w:tcPr>
          <w:p w14:paraId="628E18E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2</w:t>
            </w:r>
          </w:p>
        </w:tc>
        <w:tc>
          <w:tcPr>
            <w:tcW w:w="2589" w:type="dxa"/>
            <w:shd w:val="clear" w:color="auto" w:fill="auto"/>
            <w:noWrap/>
            <w:vAlign w:val="center"/>
          </w:tcPr>
          <w:p w14:paraId="19CE6F1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金石</w:t>
            </w:r>
          </w:p>
        </w:tc>
      </w:tr>
      <w:tr w14:paraId="01B34C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4410A58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11</w:t>
            </w:r>
          </w:p>
        </w:tc>
        <w:tc>
          <w:tcPr>
            <w:tcW w:w="2760" w:type="dxa"/>
            <w:shd w:val="clear" w:color="auto" w:fill="auto"/>
            <w:noWrap/>
            <w:vAlign w:val="center"/>
          </w:tcPr>
          <w:p w14:paraId="167D786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打捞器</w:t>
            </w:r>
          </w:p>
        </w:tc>
        <w:tc>
          <w:tcPr>
            <w:tcW w:w="1832" w:type="dxa"/>
            <w:shd w:val="clear" w:color="auto" w:fill="auto"/>
            <w:noWrap/>
            <w:vAlign w:val="center"/>
          </w:tcPr>
          <w:p w14:paraId="0B32BCE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套</w:t>
            </w:r>
          </w:p>
        </w:tc>
        <w:tc>
          <w:tcPr>
            <w:tcW w:w="1052" w:type="dxa"/>
            <w:shd w:val="clear" w:color="auto" w:fill="auto"/>
            <w:noWrap/>
            <w:vAlign w:val="center"/>
          </w:tcPr>
          <w:p w14:paraId="5F62087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2</w:t>
            </w:r>
          </w:p>
        </w:tc>
        <w:tc>
          <w:tcPr>
            <w:tcW w:w="2589" w:type="dxa"/>
            <w:shd w:val="clear" w:color="auto" w:fill="auto"/>
            <w:noWrap/>
            <w:vAlign w:val="center"/>
          </w:tcPr>
          <w:p w14:paraId="6A0610A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金石</w:t>
            </w:r>
          </w:p>
        </w:tc>
      </w:tr>
      <w:tr w14:paraId="225F69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57921D5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13</w:t>
            </w:r>
          </w:p>
        </w:tc>
        <w:tc>
          <w:tcPr>
            <w:tcW w:w="2760" w:type="dxa"/>
            <w:shd w:val="clear" w:color="auto" w:fill="auto"/>
            <w:noWrap/>
            <w:vAlign w:val="center"/>
          </w:tcPr>
          <w:p w14:paraId="13666CB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钻杆靴钻头</w:t>
            </w:r>
          </w:p>
        </w:tc>
        <w:tc>
          <w:tcPr>
            <w:tcW w:w="1832" w:type="dxa"/>
            <w:shd w:val="clear" w:color="auto" w:fill="auto"/>
            <w:noWrap/>
            <w:vAlign w:val="center"/>
          </w:tcPr>
          <w:p w14:paraId="6BCFCB8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个</w:t>
            </w:r>
          </w:p>
        </w:tc>
        <w:tc>
          <w:tcPr>
            <w:tcW w:w="1052" w:type="dxa"/>
            <w:shd w:val="clear" w:color="auto" w:fill="auto"/>
            <w:noWrap/>
            <w:vAlign w:val="center"/>
          </w:tcPr>
          <w:p w14:paraId="3FAAF80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5</w:t>
            </w:r>
          </w:p>
        </w:tc>
        <w:tc>
          <w:tcPr>
            <w:tcW w:w="2589" w:type="dxa"/>
            <w:shd w:val="clear" w:color="auto" w:fill="auto"/>
            <w:noWrap/>
            <w:vAlign w:val="center"/>
          </w:tcPr>
          <w:p w14:paraId="556C09C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开孔</w:t>
            </w:r>
          </w:p>
        </w:tc>
      </w:tr>
      <w:tr w14:paraId="2D51D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39870ED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14</w:t>
            </w:r>
          </w:p>
        </w:tc>
        <w:tc>
          <w:tcPr>
            <w:tcW w:w="2760" w:type="dxa"/>
            <w:shd w:val="clear" w:color="auto" w:fill="auto"/>
            <w:noWrap/>
            <w:vAlign w:val="center"/>
          </w:tcPr>
          <w:p w14:paraId="1D7F70D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HTW金刚石钻头（K20）</w:t>
            </w:r>
          </w:p>
        </w:tc>
        <w:tc>
          <w:tcPr>
            <w:tcW w:w="1832" w:type="dxa"/>
            <w:shd w:val="clear" w:color="auto" w:fill="auto"/>
            <w:noWrap/>
            <w:vAlign w:val="center"/>
          </w:tcPr>
          <w:p w14:paraId="5429F83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个</w:t>
            </w:r>
          </w:p>
        </w:tc>
        <w:tc>
          <w:tcPr>
            <w:tcW w:w="1052" w:type="dxa"/>
            <w:shd w:val="clear" w:color="auto" w:fill="auto"/>
            <w:noWrap/>
            <w:vAlign w:val="center"/>
          </w:tcPr>
          <w:p w14:paraId="201B4F5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2</w:t>
            </w:r>
          </w:p>
        </w:tc>
        <w:tc>
          <w:tcPr>
            <w:tcW w:w="2589" w:type="dxa"/>
            <w:shd w:val="clear" w:color="auto" w:fill="auto"/>
            <w:noWrap/>
            <w:vAlign w:val="center"/>
          </w:tcPr>
          <w:p w14:paraId="586450F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金石</w:t>
            </w:r>
          </w:p>
        </w:tc>
      </w:tr>
      <w:tr w14:paraId="2D0788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78A7EE03">
            <w:pPr>
              <w:jc w:val="center"/>
              <w:rPr>
                <w:rFonts w:hint="eastAsia" w:asciiTheme="minorEastAsia" w:hAnsiTheme="minorEastAsia" w:eastAsiaTheme="minorEastAsia" w:cstheme="minorEastAsia"/>
                <w:i w:val="0"/>
                <w:iCs w:val="0"/>
                <w:color w:val="000000"/>
                <w:sz w:val="24"/>
                <w:szCs w:val="24"/>
                <w:highlight w:val="none"/>
                <w:u w:val="none"/>
              </w:rPr>
            </w:pPr>
          </w:p>
        </w:tc>
        <w:tc>
          <w:tcPr>
            <w:tcW w:w="2760" w:type="dxa"/>
            <w:shd w:val="clear" w:color="auto" w:fill="auto"/>
            <w:noWrap/>
            <w:vAlign w:val="center"/>
          </w:tcPr>
          <w:p w14:paraId="5F74307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HTW金刚石钻头（K13）</w:t>
            </w:r>
          </w:p>
        </w:tc>
        <w:tc>
          <w:tcPr>
            <w:tcW w:w="1832" w:type="dxa"/>
            <w:shd w:val="clear" w:color="auto" w:fill="auto"/>
            <w:noWrap/>
            <w:vAlign w:val="center"/>
          </w:tcPr>
          <w:p w14:paraId="5F00D8C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个</w:t>
            </w:r>
          </w:p>
        </w:tc>
        <w:tc>
          <w:tcPr>
            <w:tcW w:w="1052" w:type="dxa"/>
            <w:shd w:val="clear" w:color="auto" w:fill="auto"/>
            <w:noWrap/>
            <w:vAlign w:val="center"/>
          </w:tcPr>
          <w:p w14:paraId="473ED73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2</w:t>
            </w:r>
          </w:p>
        </w:tc>
        <w:tc>
          <w:tcPr>
            <w:tcW w:w="2589" w:type="dxa"/>
            <w:shd w:val="clear" w:color="auto" w:fill="auto"/>
            <w:noWrap/>
            <w:vAlign w:val="center"/>
          </w:tcPr>
          <w:p w14:paraId="565A26D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金石</w:t>
            </w:r>
          </w:p>
        </w:tc>
      </w:tr>
      <w:tr w14:paraId="1F0656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4ADABB62">
            <w:pPr>
              <w:jc w:val="center"/>
              <w:rPr>
                <w:rFonts w:hint="eastAsia" w:asciiTheme="minorEastAsia" w:hAnsiTheme="minorEastAsia" w:eastAsiaTheme="minorEastAsia" w:cstheme="minorEastAsia"/>
                <w:i w:val="0"/>
                <w:iCs w:val="0"/>
                <w:color w:val="000000"/>
                <w:sz w:val="24"/>
                <w:szCs w:val="24"/>
                <w:highlight w:val="none"/>
                <w:u w:val="none"/>
              </w:rPr>
            </w:pPr>
          </w:p>
        </w:tc>
        <w:tc>
          <w:tcPr>
            <w:tcW w:w="2760" w:type="dxa"/>
            <w:shd w:val="clear" w:color="auto" w:fill="auto"/>
            <w:noWrap/>
            <w:vAlign w:val="center"/>
          </w:tcPr>
          <w:p w14:paraId="0D69993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HTW金刚石钻头（K11）</w:t>
            </w:r>
          </w:p>
        </w:tc>
        <w:tc>
          <w:tcPr>
            <w:tcW w:w="1832" w:type="dxa"/>
            <w:shd w:val="clear" w:color="auto" w:fill="auto"/>
            <w:noWrap/>
            <w:vAlign w:val="center"/>
          </w:tcPr>
          <w:p w14:paraId="4D6A06B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个</w:t>
            </w:r>
          </w:p>
        </w:tc>
        <w:tc>
          <w:tcPr>
            <w:tcW w:w="1052" w:type="dxa"/>
            <w:shd w:val="clear" w:color="auto" w:fill="auto"/>
            <w:noWrap/>
            <w:vAlign w:val="center"/>
          </w:tcPr>
          <w:p w14:paraId="47E76F0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2</w:t>
            </w:r>
          </w:p>
        </w:tc>
        <w:tc>
          <w:tcPr>
            <w:tcW w:w="2589" w:type="dxa"/>
            <w:shd w:val="clear" w:color="auto" w:fill="auto"/>
            <w:noWrap/>
            <w:vAlign w:val="center"/>
          </w:tcPr>
          <w:p w14:paraId="2DBF900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金石</w:t>
            </w:r>
          </w:p>
        </w:tc>
      </w:tr>
      <w:tr w14:paraId="53D58A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9" w:hRule="atLeast"/>
        </w:trPr>
        <w:tc>
          <w:tcPr>
            <w:tcW w:w="1124" w:type="dxa"/>
            <w:shd w:val="clear" w:color="auto" w:fill="auto"/>
            <w:noWrap/>
            <w:vAlign w:val="center"/>
          </w:tcPr>
          <w:p w14:paraId="6AC224C7">
            <w:pPr>
              <w:jc w:val="center"/>
              <w:rPr>
                <w:rFonts w:hint="eastAsia" w:asciiTheme="minorEastAsia" w:hAnsiTheme="minorEastAsia" w:eastAsiaTheme="minorEastAsia" w:cstheme="minorEastAsia"/>
                <w:i w:val="0"/>
                <w:iCs w:val="0"/>
                <w:color w:val="000000"/>
                <w:sz w:val="24"/>
                <w:szCs w:val="24"/>
                <w:highlight w:val="none"/>
                <w:u w:val="none"/>
              </w:rPr>
            </w:pPr>
          </w:p>
        </w:tc>
        <w:tc>
          <w:tcPr>
            <w:tcW w:w="2760" w:type="dxa"/>
            <w:shd w:val="clear" w:color="auto" w:fill="auto"/>
            <w:noWrap/>
            <w:vAlign w:val="center"/>
          </w:tcPr>
          <w:p w14:paraId="4F267E7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HTW金刚石钻头（K9）</w:t>
            </w:r>
          </w:p>
        </w:tc>
        <w:tc>
          <w:tcPr>
            <w:tcW w:w="1832" w:type="dxa"/>
            <w:shd w:val="clear" w:color="auto" w:fill="auto"/>
            <w:noWrap/>
            <w:vAlign w:val="center"/>
          </w:tcPr>
          <w:p w14:paraId="624EB79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个</w:t>
            </w:r>
          </w:p>
        </w:tc>
        <w:tc>
          <w:tcPr>
            <w:tcW w:w="1052" w:type="dxa"/>
            <w:shd w:val="clear" w:color="auto" w:fill="auto"/>
            <w:noWrap/>
            <w:vAlign w:val="center"/>
          </w:tcPr>
          <w:p w14:paraId="1B904A1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2</w:t>
            </w:r>
          </w:p>
        </w:tc>
        <w:tc>
          <w:tcPr>
            <w:tcW w:w="2589" w:type="dxa"/>
            <w:shd w:val="clear" w:color="auto" w:fill="auto"/>
            <w:noWrap/>
            <w:vAlign w:val="center"/>
          </w:tcPr>
          <w:p w14:paraId="35BEC90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金石</w:t>
            </w:r>
          </w:p>
        </w:tc>
      </w:tr>
      <w:tr w14:paraId="68E6DB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9" w:hRule="atLeast"/>
        </w:trPr>
        <w:tc>
          <w:tcPr>
            <w:tcW w:w="1124" w:type="dxa"/>
            <w:shd w:val="clear" w:color="auto" w:fill="auto"/>
            <w:noWrap/>
            <w:vAlign w:val="center"/>
          </w:tcPr>
          <w:p w14:paraId="4CBAECE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15</w:t>
            </w:r>
          </w:p>
        </w:tc>
        <w:tc>
          <w:tcPr>
            <w:tcW w:w="2760" w:type="dxa"/>
            <w:shd w:val="clear" w:color="auto" w:fill="auto"/>
            <w:noWrap/>
            <w:vAlign w:val="center"/>
          </w:tcPr>
          <w:p w14:paraId="62DD7F5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扩孔器</w:t>
            </w:r>
          </w:p>
        </w:tc>
        <w:tc>
          <w:tcPr>
            <w:tcW w:w="1832" w:type="dxa"/>
            <w:shd w:val="clear" w:color="auto" w:fill="auto"/>
            <w:noWrap/>
            <w:vAlign w:val="center"/>
          </w:tcPr>
          <w:p w14:paraId="64D77B0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个</w:t>
            </w:r>
          </w:p>
        </w:tc>
        <w:tc>
          <w:tcPr>
            <w:tcW w:w="1052" w:type="dxa"/>
            <w:shd w:val="clear" w:color="auto" w:fill="auto"/>
            <w:noWrap/>
            <w:vAlign w:val="center"/>
          </w:tcPr>
          <w:p w14:paraId="021A8A9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6</w:t>
            </w:r>
          </w:p>
        </w:tc>
        <w:tc>
          <w:tcPr>
            <w:tcW w:w="2589" w:type="dxa"/>
            <w:shd w:val="clear" w:color="auto" w:fill="auto"/>
            <w:noWrap/>
            <w:vAlign w:val="center"/>
          </w:tcPr>
          <w:p w14:paraId="00DDCF0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金石</w:t>
            </w:r>
          </w:p>
        </w:tc>
      </w:tr>
      <w:tr w14:paraId="592D8C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24B43A2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16</w:t>
            </w:r>
          </w:p>
        </w:tc>
        <w:tc>
          <w:tcPr>
            <w:tcW w:w="2760" w:type="dxa"/>
            <w:shd w:val="clear" w:color="auto" w:fill="auto"/>
            <w:noWrap/>
            <w:vAlign w:val="center"/>
          </w:tcPr>
          <w:p w14:paraId="14FCB34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卡簧</w:t>
            </w:r>
          </w:p>
        </w:tc>
        <w:tc>
          <w:tcPr>
            <w:tcW w:w="1832" w:type="dxa"/>
            <w:shd w:val="clear" w:color="auto" w:fill="auto"/>
            <w:noWrap/>
            <w:vAlign w:val="center"/>
          </w:tcPr>
          <w:p w14:paraId="131701D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个</w:t>
            </w:r>
          </w:p>
        </w:tc>
        <w:tc>
          <w:tcPr>
            <w:tcW w:w="1052" w:type="dxa"/>
            <w:shd w:val="clear" w:color="auto" w:fill="auto"/>
            <w:noWrap/>
            <w:vAlign w:val="center"/>
          </w:tcPr>
          <w:p w14:paraId="1C78D9B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50</w:t>
            </w:r>
          </w:p>
        </w:tc>
        <w:tc>
          <w:tcPr>
            <w:tcW w:w="2589" w:type="dxa"/>
            <w:shd w:val="clear" w:color="auto" w:fill="auto"/>
            <w:noWrap/>
            <w:vAlign w:val="center"/>
          </w:tcPr>
          <w:p w14:paraId="68181AF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金石</w:t>
            </w:r>
          </w:p>
        </w:tc>
      </w:tr>
      <w:tr w14:paraId="095A64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200903C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17</w:t>
            </w:r>
          </w:p>
        </w:tc>
        <w:tc>
          <w:tcPr>
            <w:tcW w:w="2760" w:type="dxa"/>
            <w:shd w:val="clear" w:color="auto" w:fill="auto"/>
            <w:noWrap/>
            <w:vAlign w:val="center"/>
          </w:tcPr>
          <w:p w14:paraId="131968B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卡簧座</w:t>
            </w:r>
          </w:p>
        </w:tc>
        <w:tc>
          <w:tcPr>
            <w:tcW w:w="1832" w:type="dxa"/>
            <w:shd w:val="clear" w:color="auto" w:fill="auto"/>
            <w:noWrap/>
            <w:vAlign w:val="center"/>
          </w:tcPr>
          <w:p w14:paraId="418DA05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个</w:t>
            </w:r>
          </w:p>
        </w:tc>
        <w:tc>
          <w:tcPr>
            <w:tcW w:w="1052" w:type="dxa"/>
            <w:shd w:val="clear" w:color="auto" w:fill="auto"/>
            <w:noWrap/>
            <w:vAlign w:val="center"/>
          </w:tcPr>
          <w:p w14:paraId="03F6CCD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30</w:t>
            </w:r>
          </w:p>
        </w:tc>
        <w:tc>
          <w:tcPr>
            <w:tcW w:w="2589" w:type="dxa"/>
            <w:shd w:val="clear" w:color="auto" w:fill="auto"/>
            <w:noWrap/>
            <w:vAlign w:val="center"/>
          </w:tcPr>
          <w:p w14:paraId="05BC262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金石</w:t>
            </w:r>
          </w:p>
        </w:tc>
      </w:tr>
      <w:tr w14:paraId="526D72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4985DEC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18</w:t>
            </w:r>
          </w:p>
        </w:tc>
        <w:tc>
          <w:tcPr>
            <w:tcW w:w="2760" w:type="dxa"/>
            <w:shd w:val="clear" w:color="auto" w:fill="auto"/>
            <w:noWrap/>
            <w:vAlign w:val="center"/>
          </w:tcPr>
          <w:p w14:paraId="1E783E7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座环</w:t>
            </w:r>
          </w:p>
        </w:tc>
        <w:tc>
          <w:tcPr>
            <w:tcW w:w="1832" w:type="dxa"/>
            <w:shd w:val="clear" w:color="auto" w:fill="auto"/>
            <w:noWrap/>
            <w:vAlign w:val="center"/>
          </w:tcPr>
          <w:p w14:paraId="4494A2A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个</w:t>
            </w:r>
          </w:p>
        </w:tc>
        <w:tc>
          <w:tcPr>
            <w:tcW w:w="1052" w:type="dxa"/>
            <w:shd w:val="clear" w:color="auto" w:fill="auto"/>
            <w:noWrap/>
            <w:vAlign w:val="center"/>
          </w:tcPr>
          <w:p w14:paraId="6DEC85C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8</w:t>
            </w:r>
          </w:p>
        </w:tc>
        <w:tc>
          <w:tcPr>
            <w:tcW w:w="2589" w:type="dxa"/>
            <w:shd w:val="clear" w:color="auto" w:fill="auto"/>
            <w:noWrap/>
            <w:vAlign w:val="center"/>
          </w:tcPr>
          <w:p w14:paraId="5CFE595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金石</w:t>
            </w:r>
          </w:p>
        </w:tc>
      </w:tr>
      <w:tr w14:paraId="2603DB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9" w:hRule="atLeast"/>
        </w:trPr>
        <w:tc>
          <w:tcPr>
            <w:tcW w:w="1124" w:type="dxa"/>
            <w:shd w:val="clear" w:color="auto" w:fill="auto"/>
            <w:noWrap/>
            <w:vAlign w:val="center"/>
          </w:tcPr>
          <w:p w14:paraId="16CFB34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19</w:t>
            </w:r>
          </w:p>
        </w:tc>
        <w:tc>
          <w:tcPr>
            <w:tcW w:w="2760" w:type="dxa"/>
            <w:shd w:val="clear" w:color="auto" w:fill="auto"/>
            <w:noWrap/>
            <w:vAlign w:val="center"/>
          </w:tcPr>
          <w:p w14:paraId="3873C06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悬挂环</w:t>
            </w:r>
          </w:p>
        </w:tc>
        <w:tc>
          <w:tcPr>
            <w:tcW w:w="1832" w:type="dxa"/>
            <w:shd w:val="clear" w:color="auto" w:fill="auto"/>
            <w:noWrap/>
            <w:vAlign w:val="center"/>
          </w:tcPr>
          <w:p w14:paraId="5B3D97C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个</w:t>
            </w:r>
          </w:p>
        </w:tc>
        <w:tc>
          <w:tcPr>
            <w:tcW w:w="1052" w:type="dxa"/>
            <w:shd w:val="clear" w:color="auto" w:fill="auto"/>
            <w:noWrap/>
            <w:vAlign w:val="center"/>
          </w:tcPr>
          <w:p w14:paraId="16DBB18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8</w:t>
            </w:r>
          </w:p>
        </w:tc>
        <w:tc>
          <w:tcPr>
            <w:tcW w:w="2589" w:type="dxa"/>
            <w:shd w:val="clear" w:color="auto" w:fill="auto"/>
            <w:noWrap/>
            <w:vAlign w:val="center"/>
          </w:tcPr>
          <w:p w14:paraId="452DF2E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金石</w:t>
            </w:r>
          </w:p>
        </w:tc>
      </w:tr>
      <w:tr w14:paraId="7F5F57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9" w:hRule="atLeast"/>
        </w:trPr>
        <w:tc>
          <w:tcPr>
            <w:tcW w:w="1124" w:type="dxa"/>
            <w:shd w:val="clear" w:color="auto" w:fill="auto"/>
            <w:noWrap/>
            <w:vAlign w:val="center"/>
          </w:tcPr>
          <w:p w14:paraId="2395C91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20</w:t>
            </w:r>
          </w:p>
        </w:tc>
        <w:tc>
          <w:tcPr>
            <w:tcW w:w="2760" w:type="dxa"/>
            <w:shd w:val="clear" w:color="auto" w:fill="auto"/>
            <w:noWrap/>
            <w:vAlign w:val="center"/>
          </w:tcPr>
          <w:p w14:paraId="48837DE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扶正环</w:t>
            </w:r>
          </w:p>
        </w:tc>
        <w:tc>
          <w:tcPr>
            <w:tcW w:w="1832" w:type="dxa"/>
            <w:shd w:val="clear" w:color="auto" w:fill="auto"/>
            <w:noWrap/>
            <w:vAlign w:val="center"/>
          </w:tcPr>
          <w:p w14:paraId="6D15DCC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个</w:t>
            </w:r>
          </w:p>
        </w:tc>
        <w:tc>
          <w:tcPr>
            <w:tcW w:w="1052" w:type="dxa"/>
            <w:shd w:val="clear" w:color="auto" w:fill="auto"/>
            <w:noWrap/>
            <w:vAlign w:val="center"/>
          </w:tcPr>
          <w:p w14:paraId="42D2D3A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3</w:t>
            </w:r>
          </w:p>
        </w:tc>
        <w:tc>
          <w:tcPr>
            <w:tcW w:w="2589" w:type="dxa"/>
            <w:shd w:val="clear" w:color="auto" w:fill="auto"/>
            <w:noWrap/>
            <w:vAlign w:val="center"/>
          </w:tcPr>
          <w:p w14:paraId="5CDCBE7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金石</w:t>
            </w:r>
          </w:p>
        </w:tc>
      </w:tr>
      <w:tr w14:paraId="7D8057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015CA21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21</w:t>
            </w:r>
          </w:p>
        </w:tc>
        <w:tc>
          <w:tcPr>
            <w:tcW w:w="2760" w:type="dxa"/>
            <w:shd w:val="clear" w:color="auto" w:fill="auto"/>
            <w:noWrap/>
            <w:vAlign w:val="center"/>
          </w:tcPr>
          <w:p w14:paraId="35229FA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提头</w:t>
            </w:r>
          </w:p>
        </w:tc>
        <w:tc>
          <w:tcPr>
            <w:tcW w:w="1832" w:type="dxa"/>
            <w:shd w:val="clear" w:color="auto" w:fill="auto"/>
            <w:noWrap/>
            <w:vAlign w:val="center"/>
          </w:tcPr>
          <w:p w14:paraId="4EA6BEB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套</w:t>
            </w:r>
          </w:p>
        </w:tc>
        <w:tc>
          <w:tcPr>
            <w:tcW w:w="1052" w:type="dxa"/>
            <w:shd w:val="clear" w:color="auto" w:fill="auto"/>
            <w:noWrap/>
            <w:vAlign w:val="center"/>
          </w:tcPr>
          <w:p w14:paraId="3F834A1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2</w:t>
            </w:r>
          </w:p>
        </w:tc>
        <w:tc>
          <w:tcPr>
            <w:tcW w:w="2589" w:type="dxa"/>
            <w:shd w:val="clear" w:color="auto" w:fill="auto"/>
            <w:noWrap/>
            <w:vAlign w:val="center"/>
          </w:tcPr>
          <w:p w14:paraId="68227EA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金石</w:t>
            </w:r>
          </w:p>
        </w:tc>
      </w:tr>
      <w:tr w14:paraId="374FAC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9" w:hRule="atLeast"/>
        </w:trPr>
        <w:tc>
          <w:tcPr>
            <w:tcW w:w="1124" w:type="dxa"/>
            <w:shd w:val="clear" w:color="auto" w:fill="auto"/>
            <w:noWrap/>
            <w:vAlign w:val="center"/>
          </w:tcPr>
          <w:p w14:paraId="4137C26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22</w:t>
            </w:r>
          </w:p>
        </w:tc>
        <w:tc>
          <w:tcPr>
            <w:tcW w:w="2760" w:type="dxa"/>
            <w:shd w:val="clear" w:color="auto" w:fill="auto"/>
            <w:noWrap/>
            <w:vAlign w:val="center"/>
          </w:tcPr>
          <w:p w14:paraId="05C1DD1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NTW钻杆1.5米</w:t>
            </w:r>
          </w:p>
        </w:tc>
        <w:tc>
          <w:tcPr>
            <w:tcW w:w="1832" w:type="dxa"/>
            <w:shd w:val="clear" w:color="auto" w:fill="auto"/>
            <w:noWrap/>
            <w:vAlign w:val="center"/>
          </w:tcPr>
          <w:p w14:paraId="6977094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根</w:t>
            </w:r>
          </w:p>
        </w:tc>
        <w:tc>
          <w:tcPr>
            <w:tcW w:w="1052" w:type="dxa"/>
            <w:shd w:val="clear" w:color="auto" w:fill="auto"/>
            <w:noWrap/>
            <w:vAlign w:val="center"/>
          </w:tcPr>
          <w:p w14:paraId="0C829EC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360</w:t>
            </w:r>
          </w:p>
        </w:tc>
        <w:tc>
          <w:tcPr>
            <w:tcW w:w="2589" w:type="dxa"/>
            <w:shd w:val="clear" w:color="auto" w:fill="auto"/>
            <w:noWrap/>
            <w:vAlign w:val="center"/>
          </w:tcPr>
          <w:p w14:paraId="5788768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540米（金石）</w:t>
            </w:r>
          </w:p>
        </w:tc>
      </w:tr>
      <w:tr w14:paraId="39812F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9" w:hRule="atLeast"/>
        </w:trPr>
        <w:tc>
          <w:tcPr>
            <w:tcW w:w="1124" w:type="dxa"/>
            <w:shd w:val="clear" w:color="auto" w:fill="auto"/>
            <w:noWrap/>
            <w:vAlign w:val="center"/>
          </w:tcPr>
          <w:p w14:paraId="4BDB375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23</w:t>
            </w:r>
          </w:p>
        </w:tc>
        <w:tc>
          <w:tcPr>
            <w:tcW w:w="2760" w:type="dxa"/>
            <w:shd w:val="clear" w:color="auto" w:fill="auto"/>
            <w:noWrap/>
            <w:vAlign w:val="center"/>
          </w:tcPr>
          <w:p w14:paraId="24D3DEA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外管3米</w:t>
            </w:r>
          </w:p>
        </w:tc>
        <w:tc>
          <w:tcPr>
            <w:tcW w:w="1832" w:type="dxa"/>
            <w:shd w:val="clear" w:color="auto" w:fill="auto"/>
            <w:noWrap/>
            <w:vAlign w:val="center"/>
          </w:tcPr>
          <w:p w14:paraId="5FAC379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根</w:t>
            </w:r>
          </w:p>
        </w:tc>
        <w:tc>
          <w:tcPr>
            <w:tcW w:w="1052" w:type="dxa"/>
            <w:shd w:val="clear" w:color="auto" w:fill="auto"/>
            <w:noWrap/>
            <w:vAlign w:val="center"/>
          </w:tcPr>
          <w:p w14:paraId="47B657D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4</w:t>
            </w:r>
          </w:p>
        </w:tc>
        <w:tc>
          <w:tcPr>
            <w:tcW w:w="2589" w:type="dxa"/>
            <w:shd w:val="clear" w:color="auto" w:fill="auto"/>
            <w:noWrap/>
            <w:vAlign w:val="center"/>
          </w:tcPr>
          <w:p w14:paraId="32D4DBA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金石</w:t>
            </w:r>
          </w:p>
        </w:tc>
      </w:tr>
      <w:tr w14:paraId="721D1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286C2CC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24</w:t>
            </w:r>
          </w:p>
        </w:tc>
        <w:tc>
          <w:tcPr>
            <w:tcW w:w="2760" w:type="dxa"/>
            <w:shd w:val="clear" w:color="auto" w:fill="auto"/>
            <w:noWrap/>
            <w:vAlign w:val="center"/>
          </w:tcPr>
          <w:p w14:paraId="6E648A9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内管3米</w:t>
            </w:r>
          </w:p>
        </w:tc>
        <w:tc>
          <w:tcPr>
            <w:tcW w:w="1832" w:type="dxa"/>
            <w:shd w:val="clear" w:color="auto" w:fill="auto"/>
            <w:noWrap/>
            <w:vAlign w:val="center"/>
          </w:tcPr>
          <w:p w14:paraId="292D860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根</w:t>
            </w:r>
          </w:p>
        </w:tc>
        <w:tc>
          <w:tcPr>
            <w:tcW w:w="1052" w:type="dxa"/>
            <w:shd w:val="clear" w:color="auto" w:fill="auto"/>
            <w:noWrap/>
            <w:vAlign w:val="center"/>
          </w:tcPr>
          <w:p w14:paraId="21C3699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10</w:t>
            </w:r>
          </w:p>
        </w:tc>
        <w:tc>
          <w:tcPr>
            <w:tcW w:w="2589" w:type="dxa"/>
            <w:shd w:val="clear" w:color="auto" w:fill="auto"/>
            <w:noWrap/>
            <w:vAlign w:val="center"/>
          </w:tcPr>
          <w:p w14:paraId="11911FB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金石</w:t>
            </w:r>
          </w:p>
        </w:tc>
      </w:tr>
      <w:tr w14:paraId="71A446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37C50D4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25</w:t>
            </w:r>
          </w:p>
        </w:tc>
        <w:tc>
          <w:tcPr>
            <w:tcW w:w="2760" w:type="dxa"/>
            <w:shd w:val="clear" w:color="auto" w:fill="auto"/>
            <w:noWrap/>
            <w:vAlign w:val="center"/>
          </w:tcPr>
          <w:p w14:paraId="39F53D0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弹卡室总成</w:t>
            </w:r>
          </w:p>
        </w:tc>
        <w:tc>
          <w:tcPr>
            <w:tcW w:w="1832" w:type="dxa"/>
            <w:shd w:val="clear" w:color="auto" w:fill="auto"/>
            <w:noWrap/>
            <w:vAlign w:val="center"/>
          </w:tcPr>
          <w:p w14:paraId="26A1D47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套</w:t>
            </w:r>
          </w:p>
        </w:tc>
        <w:tc>
          <w:tcPr>
            <w:tcW w:w="1052" w:type="dxa"/>
            <w:shd w:val="clear" w:color="auto" w:fill="auto"/>
            <w:noWrap/>
            <w:vAlign w:val="center"/>
          </w:tcPr>
          <w:p w14:paraId="4F286FF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8</w:t>
            </w:r>
          </w:p>
        </w:tc>
        <w:tc>
          <w:tcPr>
            <w:tcW w:w="2589" w:type="dxa"/>
            <w:shd w:val="clear" w:color="auto" w:fill="auto"/>
            <w:noWrap/>
            <w:vAlign w:val="center"/>
          </w:tcPr>
          <w:p w14:paraId="75A3133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金石</w:t>
            </w:r>
          </w:p>
        </w:tc>
      </w:tr>
      <w:tr w14:paraId="4E4E21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27FE06F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26</w:t>
            </w:r>
          </w:p>
        </w:tc>
        <w:tc>
          <w:tcPr>
            <w:tcW w:w="2760" w:type="dxa"/>
            <w:shd w:val="clear" w:color="auto" w:fill="auto"/>
            <w:noWrap/>
            <w:vAlign w:val="center"/>
          </w:tcPr>
          <w:p w14:paraId="5E820C9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内管总成</w:t>
            </w:r>
          </w:p>
        </w:tc>
        <w:tc>
          <w:tcPr>
            <w:tcW w:w="1832" w:type="dxa"/>
            <w:shd w:val="clear" w:color="auto" w:fill="auto"/>
            <w:noWrap/>
            <w:vAlign w:val="center"/>
          </w:tcPr>
          <w:p w14:paraId="32A3067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套</w:t>
            </w:r>
          </w:p>
        </w:tc>
        <w:tc>
          <w:tcPr>
            <w:tcW w:w="1052" w:type="dxa"/>
            <w:shd w:val="clear" w:color="auto" w:fill="auto"/>
            <w:noWrap/>
            <w:vAlign w:val="center"/>
          </w:tcPr>
          <w:p w14:paraId="3ACC1B5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3</w:t>
            </w:r>
          </w:p>
        </w:tc>
        <w:tc>
          <w:tcPr>
            <w:tcW w:w="2589" w:type="dxa"/>
            <w:shd w:val="clear" w:color="auto" w:fill="auto"/>
            <w:noWrap/>
            <w:vAlign w:val="center"/>
          </w:tcPr>
          <w:p w14:paraId="5D14C9C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金石</w:t>
            </w:r>
          </w:p>
        </w:tc>
      </w:tr>
      <w:tr w14:paraId="09B388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274B599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27</w:t>
            </w:r>
          </w:p>
        </w:tc>
        <w:tc>
          <w:tcPr>
            <w:tcW w:w="2760" w:type="dxa"/>
            <w:shd w:val="clear" w:color="auto" w:fill="auto"/>
            <w:noWrap/>
            <w:vAlign w:val="center"/>
          </w:tcPr>
          <w:p w14:paraId="0522598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打捞器</w:t>
            </w:r>
          </w:p>
        </w:tc>
        <w:tc>
          <w:tcPr>
            <w:tcW w:w="1832" w:type="dxa"/>
            <w:shd w:val="clear" w:color="auto" w:fill="auto"/>
            <w:noWrap/>
            <w:vAlign w:val="center"/>
          </w:tcPr>
          <w:p w14:paraId="338D518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套</w:t>
            </w:r>
          </w:p>
        </w:tc>
        <w:tc>
          <w:tcPr>
            <w:tcW w:w="1052" w:type="dxa"/>
            <w:shd w:val="clear" w:color="auto" w:fill="auto"/>
            <w:noWrap/>
            <w:vAlign w:val="center"/>
          </w:tcPr>
          <w:p w14:paraId="6501CF3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1</w:t>
            </w:r>
          </w:p>
        </w:tc>
        <w:tc>
          <w:tcPr>
            <w:tcW w:w="2589" w:type="dxa"/>
            <w:shd w:val="clear" w:color="auto" w:fill="auto"/>
            <w:noWrap/>
            <w:vAlign w:val="center"/>
          </w:tcPr>
          <w:p w14:paraId="005C8E0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金石</w:t>
            </w:r>
          </w:p>
        </w:tc>
      </w:tr>
      <w:tr w14:paraId="38A58A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9" w:hRule="atLeast"/>
        </w:trPr>
        <w:tc>
          <w:tcPr>
            <w:tcW w:w="1124" w:type="dxa"/>
            <w:shd w:val="clear" w:color="auto" w:fill="auto"/>
            <w:noWrap/>
            <w:vAlign w:val="center"/>
          </w:tcPr>
          <w:p w14:paraId="63B52E4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28</w:t>
            </w:r>
          </w:p>
        </w:tc>
        <w:tc>
          <w:tcPr>
            <w:tcW w:w="2760" w:type="dxa"/>
            <w:shd w:val="clear" w:color="auto" w:fill="auto"/>
            <w:noWrap/>
            <w:vAlign w:val="center"/>
          </w:tcPr>
          <w:p w14:paraId="01512AF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脱卡</w:t>
            </w:r>
          </w:p>
        </w:tc>
        <w:tc>
          <w:tcPr>
            <w:tcW w:w="1832" w:type="dxa"/>
            <w:shd w:val="clear" w:color="auto" w:fill="auto"/>
            <w:noWrap/>
            <w:vAlign w:val="center"/>
          </w:tcPr>
          <w:p w14:paraId="7FD3003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个</w:t>
            </w:r>
          </w:p>
        </w:tc>
        <w:tc>
          <w:tcPr>
            <w:tcW w:w="1052" w:type="dxa"/>
            <w:shd w:val="clear" w:color="auto" w:fill="auto"/>
            <w:noWrap/>
            <w:vAlign w:val="center"/>
          </w:tcPr>
          <w:p w14:paraId="0BF2E1E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4</w:t>
            </w:r>
          </w:p>
        </w:tc>
        <w:tc>
          <w:tcPr>
            <w:tcW w:w="2589" w:type="dxa"/>
            <w:shd w:val="clear" w:color="auto" w:fill="auto"/>
            <w:noWrap/>
            <w:vAlign w:val="center"/>
          </w:tcPr>
          <w:p w14:paraId="6C125CC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金石</w:t>
            </w:r>
          </w:p>
        </w:tc>
      </w:tr>
      <w:tr w14:paraId="0DF515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9" w:hRule="atLeast"/>
        </w:trPr>
        <w:tc>
          <w:tcPr>
            <w:tcW w:w="1124" w:type="dxa"/>
            <w:shd w:val="clear" w:color="auto" w:fill="auto"/>
            <w:noWrap/>
            <w:vAlign w:val="center"/>
          </w:tcPr>
          <w:p w14:paraId="2281E4D1">
            <w:pPr>
              <w:jc w:val="center"/>
              <w:rPr>
                <w:rFonts w:hint="eastAsia" w:asciiTheme="minorEastAsia" w:hAnsiTheme="minorEastAsia" w:eastAsiaTheme="minorEastAsia" w:cstheme="minorEastAsia"/>
                <w:i w:val="0"/>
                <w:iCs w:val="0"/>
                <w:color w:val="000000"/>
                <w:sz w:val="24"/>
                <w:szCs w:val="24"/>
                <w:highlight w:val="none"/>
                <w:u w:val="none"/>
              </w:rPr>
            </w:pPr>
          </w:p>
        </w:tc>
        <w:tc>
          <w:tcPr>
            <w:tcW w:w="2760" w:type="dxa"/>
            <w:shd w:val="clear" w:color="auto" w:fill="auto"/>
            <w:noWrap/>
            <w:vAlign w:val="center"/>
          </w:tcPr>
          <w:p w14:paraId="79C68C9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组合变径</w:t>
            </w:r>
          </w:p>
        </w:tc>
        <w:tc>
          <w:tcPr>
            <w:tcW w:w="1832" w:type="dxa"/>
            <w:shd w:val="clear" w:color="auto" w:fill="auto"/>
            <w:noWrap/>
            <w:vAlign w:val="center"/>
          </w:tcPr>
          <w:p w14:paraId="471F68B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110变NTW</w:t>
            </w:r>
          </w:p>
        </w:tc>
        <w:tc>
          <w:tcPr>
            <w:tcW w:w="1052" w:type="dxa"/>
            <w:shd w:val="clear" w:color="auto" w:fill="auto"/>
            <w:noWrap/>
            <w:vAlign w:val="center"/>
          </w:tcPr>
          <w:p w14:paraId="5D9632E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5</w:t>
            </w:r>
          </w:p>
        </w:tc>
        <w:tc>
          <w:tcPr>
            <w:tcW w:w="2589" w:type="dxa"/>
            <w:shd w:val="clear" w:color="auto" w:fill="auto"/>
            <w:noWrap/>
            <w:vAlign w:val="center"/>
          </w:tcPr>
          <w:p w14:paraId="6CE78C4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金石</w:t>
            </w:r>
          </w:p>
        </w:tc>
      </w:tr>
      <w:tr w14:paraId="6FA835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71B0C213">
            <w:pPr>
              <w:jc w:val="center"/>
              <w:rPr>
                <w:rFonts w:hint="eastAsia" w:asciiTheme="minorEastAsia" w:hAnsiTheme="minorEastAsia" w:eastAsiaTheme="minorEastAsia" w:cstheme="minorEastAsia"/>
                <w:i w:val="0"/>
                <w:iCs w:val="0"/>
                <w:color w:val="000000"/>
                <w:sz w:val="24"/>
                <w:szCs w:val="24"/>
                <w:highlight w:val="none"/>
                <w:u w:val="none"/>
              </w:rPr>
            </w:pPr>
          </w:p>
        </w:tc>
        <w:tc>
          <w:tcPr>
            <w:tcW w:w="2760" w:type="dxa"/>
            <w:shd w:val="clear" w:color="auto" w:fill="auto"/>
            <w:noWrap/>
            <w:vAlign w:val="center"/>
          </w:tcPr>
          <w:p w14:paraId="1564BEF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变径接头</w:t>
            </w:r>
          </w:p>
        </w:tc>
        <w:tc>
          <w:tcPr>
            <w:tcW w:w="1832" w:type="dxa"/>
            <w:shd w:val="clear" w:color="auto" w:fill="auto"/>
            <w:noWrap/>
            <w:vAlign w:val="center"/>
          </w:tcPr>
          <w:p w14:paraId="2450FCE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NTWB内/NTW外</w:t>
            </w:r>
          </w:p>
        </w:tc>
        <w:tc>
          <w:tcPr>
            <w:tcW w:w="1052" w:type="dxa"/>
            <w:shd w:val="clear" w:color="auto" w:fill="auto"/>
            <w:noWrap/>
            <w:vAlign w:val="center"/>
          </w:tcPr>
          <w:p w14:paraId="40D765D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4</w:t>
            </w:r>
          </w:p>
        </w:tc>
        <w:tc>
          <w:tcPr>
            <w:tcW w:w="2589" w:type="dxa"/>
            <w:shd w:val="clear" w:color="auto" w:fill="auto"/>
            <w:noWrap/>
            <w:vAlign w:val="center"/>
          </w:tcPr>
          <w:p w14:paraId="1B085A0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金石</w:t>
            </w:r>
          </w:p>
        </w:tc>
      </w:tr>
      <w:tr w14:paraId="1AC72B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73A201BA">
            <w:pPr>
              <w:jc w:val="center"/>
              <w:rPr>
                <w:rFonts w:hint="eastAsia" w:asciiTheme="minorEastAsia" w:hAnsiTheme="minorEastAsia" w:eastAsiaTheme="minorEastAsia" w:cstheme="minorEastAsia"/>
                <w:i w:val="0"/>
                <w:iCs w:val="0"/>
                <w:color w:val="000000"/>
                <w:sz w:val="24"/>
                <w:szCs w:val="24"/>
                <w:highlight w:val="none"/>
                <w:u w:val="none"/>
              </w:rPr>
            </w:pPr>
          </w:p>
        </w:tc>
        <w:tc>
          <w:tcPr>
            <w:tcW w:w="2760" w:type="dxa"/>
            <w:shd w:val="clear" w:color="auto" w:fill="auto"/>
            <w:noWrap/>
            <w:vAlign w:val="center"/>
          </w:tcPr>
          <w:p w14:paraId="3233E9B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变径接头</w:t>
            </w:r>
          </w:p>
        </w:tc>
        <w:tc>
          <w:tcPr>
            <w:tcW w:w="1832" w:type="dxa"/>
            <w:shd w:val="clear" w:color="auto" w:fill="auto"/>
            <w:noWrap/>
            <w:vAlign w:val="center"/>
          </w:tcPr>
          <w:p w14:paraId="67113F1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NTWB内/HTW外</w:t>
            </w:r>
          </w:p>
        </w:tc>
        <w:tc>
          <w:tcPr>
            <w:tcW w:w="1052" w:type="dxa"/>
            <w:shd w:val="clear" w:color="auto" w:fill="auto"/>
            <w:noWrap/>
            <w:vAlign w:val="center"/>
          </w:tcPr>
          <w:p w14:paraId="3274047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4</w:t>
            </w:r>
          </w:p>
        </w:tc>
        <w:tc>
          <w:tcPr>
            <w:tcW w:w="2589" w:type="dxa"/>
            <w:shd w:val="clear" w:color="auto" w:fill="auto"/>
            <w:noWrap/>
            <w:vAlign w:val="center"/>
          </w:tcPr>
          <w:p w14:paraId="2F6038B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金石</w:t>
            </w:r>
          </w:p>
        </w:tc>
      </w:tr>
      <w:tr w14:paraId="05A674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48B0A41E">
            <w:pPr>
              <w:jc w:val="center"/>
              <w:rPr>
                <w:rFonts w:hint="eastAsia" w:asciiTheme="minorEastAsia" w:hAnsiTheme="minorEastAsia" w:eastAsiaTheme="minorEastAsia" w:cstheme="minorEastAsia"/>
                <w:i w:val="0"/>
                <w:iCs w:val="0"/>
                <w:color w:val="000000"/>
                <w:sz w:val="24"/>
                <w:szCs w:val="24"/>
                <w:highlight w:val="none"/>
                <w:u w:val="none"/>
              </w:rPr>
            </w:pPr>
          </w:p>
        </w:tc>
        <w:tc>
          <w:tcPr>
            <w:tcW w:w="2760" w:type="dxa"/>
            <w:shd w:val="clear" w:color="auto" w:fill="auto"/>
            <w:noWrap/>
            <w:vAlign w:val="center"/>
          </w:tcPr>
          <w:p w14:paraId="31D90BF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变径接头</w:t>
            </w:r>
          </w:p>
        </w:tc>
        <w:tc>
          <w:tcPr>
            <w:tcW w:w="1832" w:type="dxa"/>
            <w:shd w:val="clear" w:color="auto" w:fill="auto"/>
            <w:noWrap/>
            <w:vAlign w:val="center"/>
          </w:tcPr>
          <w:p w14:paraId="3E96A6E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NTWB/110外</w:t>
            </w:r>
          </w:p>
        </w:tc>
        <w:tc>
          <w:tcPr>
            <w:tcW w:w="1052" w:type="dxa"/>
            <w:shd w:val="clear" w:color="auto" w:fill="auto"/>
            <w:noWrap/>
            <w:vAlign w:val="center"/>
          </w:tcPr>
          <w:p w14:paraId="720BD4B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2</w:t>
            </w:r>
          </w:p>
        </w:tc>
        <w:tc>
          <w:tcPr>
            <w:tcW w:w="2589" w:type="dxa"/>
            <w:shd w:val="clear" w:color="auto" w:fill="auto"/>
            <w:noWrap/>
            <w:vAlign w:val="center"/>
          </w:tcPr>
          <w:p w14:paraId="1932FC2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金石</w:t>
            </w:r>
          </w:p>
        </w:tc>
      </w:tr>
      <w:tr w14:paraId="5CFD0B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9" w:hRule="atLeast"/>
        </w:trPr>
        <w:tc>
          <w:tcPr>
            <w:tcW w:w="1124" w:type="dxa"/>
            <w:vMerge w:val="restart"/>
            <w:shd w:val="clear" w:color="auto" w:fill="auto"/>
            <w:noWrap/>
            <w:vAlign w:val="center"/>
          </w:tcPr>
          <w:p w14:paraId="3646493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30</w:t>
            </w:r>
          </w:p>
        </w:tc>
        <w:tc>
          <w:tcPr>
            <w:tcW w:w="2760" w:type="dxa"/>
            <w:shd w:val="clear" w:color="auto" w:fill="auto"/>
            <w:noWrap/>
            <w:vAlign w:val="center"/>
          </w:tcPr>
          <w:p w14:paraId="5FCB2A6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NTW金刚石钻头（K20）</w:t>
            </w:r>
          </w:p>
        </w:tc>
        <w:tc>
          <w:tcPr>
            <w:tcW w:w="1832" w:type="dxa"/>
            <w:shd w:val="clear" w:color="auto" w:fill="auto"/>
            <w:noWrap/>
            <w:vAlign w:val="center"/>
          </w:tcPr>
          <w:p w14:paraId="723BAD4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个</w:t>
            </w:r>
          </w:p>
        </w:tc>
        <w:tc>
          <w:tcPr>
            <w:tcW w:w="1052" w:type="dxa"/>
            <w:shd w:val="clear" w:color="auto" w:fill="auto"/>
            <w:noWrap/>
            <w:vAlign w:val="center"/>
          </w:tcPr>
          <w:p w14:paraId="0A63214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5</w:t>
            </w:r>
          </w:p>
        </w:tc>
        <w:tc>
          <w:tcPr>
            <w:tcW w:w="2589" w:type="dxa"/>
            <w:shd w:val="clear" w:color="auto" w:fill="auto"/>
            <w:noWrap/>
            <w:vAlign w:val="center"/>
          </w:tcPr>
          <w:p w14:paraId="0370708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金石</w:t>
            </w:r>
          </w:p>
        </w:tc>
      </w:tr>
      <w:tr w14:paraId="50912F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vMerge w:val="continue"/>
            <w:shd w:val="clear" w:color="auto" w:fill="auto"/>
            <w:noWrap/>
            <w:vAlign w:val="center"/>
          </w:tcPr>
          <w:p w14:paraId="6AC286AC">
            <w:pPr>
              <w:jc w:val="center"/>
              <w:rPr>
                <w:rFonts w:hint="eastAsia" w:asciiTheme="minorEastAsia" w:hAnsiTheme="minorEastAsia" w:eastAsiaTheme="minorEastAsia" w:cstheme="minorEastAsia"/>
                <w:i w:val="0"/>
                <w:iCs w:val="0"/>
                <w:color w:val="000000"/>
                <w:sz w:val="24"/>
                <w:szCs w:val="24"/>
                <w:highlight w:val="none"/>
                <w:u w:val="none"/>
              </w:rPr>
            </w:pPr>
          </w:p>
        </w:tc>
        <w:tc>
          <w:tcPr>
            <w:tcW w:w="2760" w:type="dxa"/>
            <w:shd w:val="clear" w:color="auto" w:fill="auto"/>
            <w:noWrap/>
            <w:vAlign w:val="center"/>
          </w:tcPr>
          <w:p w14:paraId="78A2C6A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NTW金刚石钻头（K13）</w:t>
            </w:r>
          </w:p>
        </w:tc>
        <w:tc>
          <w:tcPr>
            <w:tcW w:w="1832" w:type="dxa"/>
            <w:shd w:val="clear" w:color="auto" w:fill="auto"/>
            <w:noWrap/>
            <w:vAlign w:val="center"/>
          </w:tcPr>
          <w:p w14:paraId="54CE1D9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个</w:t>
            </w:r>
          </w:p>
        </w:tc>
        <w:tc>
          <w:tcPr>
            <w:tcW w:w="1052" w:type="dxa"/>
            <w:shd w:val="clear" w:color="auto" w:fill="auto"/>
            <w:noWrap/>
            <w:vAlign w:val="center"/>
          </w:tcPr>
          <w:p w14:paraId="694F4BC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5</w:t>
            </w:r>
          </w:p>
        </w:tc>
        <w:tc>
          <w:tcPr>
            <w:tcW w:w="2589" w:type="dxa"/>
            <w:shd w:val="clear" w:color="auto" w:fill="auto"/>
            <w:noWrap/>
            <w:vAlign w:val="center"/>
          </w:tcPr>
          <w:p w14:paraId="68F9601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金石</w:t>
            </w:r>
          </w:p>
        </w:tc>
      </w:tr>
      <w:tr w14:paraId="4F2BF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vMerge w:val="continue"/>
            <w:shd w:val="clear" w:color="auto" w:fill="auto"/>
            <w:noWrap/>
            <w:vAlign w:val="center"/>
          </w:tcPr>
          <w:p w14:paraId="099371DD">
            <w:pPr>
              <w:jc w:val="center"/>
              <w:rPr>
                <w:rFonts w:hint="eastAsia" w:asciiTheme="minorEastAsia" w:hAnsiTheme="minorEastAsia" w:eastAsiaTheme="minorEastAsia" w:cstheme="minorEastAsia"/>
                <w:i w:val="0"/>
                <w:iCs w:val="0"/>
                <w:color w:val="000000"/>
                <w:sz w:val="24"/>
                <w:szCs w:val="24"/>
                <w:highlight w:val="none"/>
                <w:u w:val="none"/>
              </w:rPr>
            </w:pPr>
          </w:p>
        </w:tc>
        <w:tc>
          <w:tcPr>
            <w:tcW w:w="2760" w:type="dxa"/>
            <w:shd w:val="clear" w:color="auto" w:fill="auto"/>
            <w:noWrap/>
            <w:vAlign w:val="center"/>
          </w:tcPr>
          <w:p w14:paraId="100EF0C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NTW金刚石钻头（K11）</w:t>
            </w:r>
          </w:p>
        </w:tc>
        <w:tc>
          <w:tcPr>
            <w:tcW w:w="1832" w:type="dxa"/>
            <w:shd w:val="clear" w:color="auto" w:fill="auto"/>
            <w:noWrap/>
            <w:vAlign w:val="center"/>
          </w:tcPr>
          <w:p w14:paraId="1DAB9A9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个</w:t>
            </w:r>
          </w:p>
        </w:tc>
        <w:tc>
          <w:tcPr>
            <w:tcW w:w="1052" w:type="dxa"/>
            <w:shd w:val="clear" w:color="auto" w:fill="auto"/>
            <w:noWrap/>
            <w:vAlign w:val="center"/>
          </w:tcPr>
          <w:p w14:paraId="7BD036C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5</w:t>
            </w:r>
          </w:p>
        </w:tc>
        <w:tc>
          <w:tcPr>
            <w:tcW w:w="2589" w:type="dxa"/>
            <w:shd w:val="clear" w:color="auto" w:fill="auto"/>
            <w:noWrap/>
            <w:vAlign w:val="center"/>
          </w:tcPr>
          <w:p w14:paraId="3289EAA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金石</w:t>
            </w:r>
          </w:p>
        </w:tc>
      </w:tr>
      <w:tr w14:paraId="29BED5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vMerge w:val="continue"/>
            <w:shd w:val="clear" w:color="auto" w:fill="auto"/>
            <w:noWrap/>
            <w:vAlign w:val="center"/>
          </w:tcPr>
          <w:p w14:paraId="7B1C618B">
            <w:pPr>
              <w:jc w:val="center"/>
              <w:rPr>
                <w:rFonts w:hint="eastAsia" w:asciiTheme="minorEastAsia" w:hAnsiTheme="minorEastAsia" w:eastAsiaTheme="minorEastAsia" w:cstheme="minorEastAsia"/>
                <w:i w:val="0"/>
                <w:iCs w:val="0"/>
                <w:color w:val="000000"/>
                <w:sz w:val="24"/>
                <w:szCs w:val="24"/>
                <w:highlight w:val="none"/>
                <w:u w:val="none"/>
              </w:rPr>
            </w:pPr>
          </w:p>
        </w:tc>
        <w:tc>
          <w:tcPr>
            <w:tcW w:w="2760" w:type="dxa"/>
            <w:shd w:val="clear" w:color="auto" w:fill="auto"/>
            <w:noWrap/>
            <w:vAlign w:val="center"/>
          </w:tcPr>
          <w:p w14:paraId="36C40F1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NTW金刚石钻头（K9）</w:t>
            </w:r>
          </w:p>
        </w:tc>
        <w:tc>
          <w:tcPr>
            <w:tcW w:w="1832" w:type="dxa"/>
            <w:shd w:val="clear" w:color="auto" w:fill="auto"/>
            <w:noWrap/>
            <w:vAlign w:val="center"/>
          </w:tcPr>
          <w:p w14:paraId="2713A35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个</w:t>
            </w:r>
          </w:p>
        </w:tc>
        <w:tc>
          <w:tcPr>
            <w:tcW w:w="1052" w:type="dxa"/>
            <w:shd w:val="clear" w:color="auto" w:fill="auto"/>
            <w:noWrap/>
            <w:vAlign w:val="center"/>
          </w:tcPr>
          <w:p w14:paraId="340D093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5</w:t>
            </w:r>
          </w:p>
        </w:tc>
        <w:tc>
          <w:tcPr>
            <w:tcW w:w="2589" w:type="dxa"/>
            <w:shd w:val="clear" w:color="auto" w:fill="auto"/>
            <w:noWrap/>
            <w:vAlign w:val="center"/>
          </w:tcPr>
          <w:p w14:paraId="550F617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金石</w:t>
            </w:r>
          </w:p>
        </w:tc>
      </w:tr>
      <w:tr w14:paraId="562E98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9" w:hRule="atLeast"/>
        </w:trPr>
        <w:tc>
          <w:tcPr>
            <w:tcW w:w="1124" w:type="dxa"/>
            <w:shd w:val="clear" w:color="auto" w:fill="auto"/>
            <w:noWrap/>
            <w:vAlign w:val="center"/>
          </w:tcPr>
          <w:p w14:paraId="4B90CD9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31</w:t>
            </w:r>
          </w:p>
        </w:tc>
        <w:tc>
          <w:tcPr>
            <w:tcW w:w="2760" w:type="dxa"/>
            <w:shd w:val="clear" w:color="auto" w:fill="auto"/>
            <w:noWrap/>
            <w:vAlign w:val="center"/>
          </w:tcPr>
          <w:p w14:paraId="31EAF31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扩孔器</w:t>
            </w:r>
          </w:p>
        </w:tc>
        <w:tc>
          <w:tcPr>
            <w:tcW w:w="1832" w:type="dxa"/>
            <w:shd w:val="clear" w:color="auto" w:fill="auto"/>
            <w:noWrap/>
            <w:vAlign w:val="center"/>
          </w:tcPr>
          <w:p w14:paraId="6F0D8EE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个</w:t>
            </w:r>
          </w:p>
        </w:tc>
        <w:tc>
          <w:tcPr>
            <w:tcW w:w="1052" w:type="dxa"/>
            <w:shd w:val="clear" w:color="auto" w:fill="auto"/>
            <w:noWrap/>
            <w:vAlign w:val="center"/>
          </w:tcPr>
          <w:p w14:paraId="66FF96D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10</w:t>
            </w:r>
          </w:p>
        </w:tc>
        <w:tc>
          <w:tcPr>
            <w:tcW w:w="2589" w:type="dxa"/>
            <w:shd w:val="clear" w:color="auto" w:fill="auto"/>
            <w:noWrap/>
            <w:vAlign w:val="center"/>
          </w:tcPr>
          <w:p w14:paraId="62F8406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金石</w:t>
            </w:r>
          </w:p>
        </w:tc>
      </w:tr>
      <w:tr w14:paraId="5CFE4C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72B7640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32</w:t>
            </w:r>
          </w:p>
        </w:tc>
        <w:tc>
          <w:tcPr>
            <w:tcW w:w="2760" w:type="dxa"/>
            <w:shd w:val="clear" w:color="auto" w:fill="auto"/>
            <w:noWrap/>
            <w:vAlign w:val="center"/>
          </w:tcPr>
          <w:p w14:paraId="10EC687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卡簧</w:t>
            </w:r>
          </w:p>
        </w:tc>
        <w:tc>
          <w:tcPr>
            <w:tcW w:w="1832" w:type="dxa"/>
            <w:shd w:val="clear" w:color="auto" w:fill="auto"/>
            <w:noWrap/>
            <w:vAlign w:val="center"/>
          </w:tcPr>
          <w:p w14:paraId="1B62262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个</w:t>
            </w:r>
          </w:p>
        </w:tc>
        <w:tc>
          <w:tcPr>
            <w:tcW w:w="1052" w:type="dxa"/>
            <w:shd w:val="clear" w:color="auto" w:fill="auto"/>
            <w:noWrap/>
            <w:vAlign w:val="center"/>
          </w:tcPr>
          <w:p w14:paraId="2BB5980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100</w:t>
            </w:r>
          </w:p>
        </w:tc>
        <w:tc>
          <w:tcPr>
            <w:tcW w:w="2589" w:type="dxa"/>
            <w:shd w:val="clear" w:color="auto" w:fill="auto"/>
            <w:noWrap/>
            <w:vAlign w:val="center"/>
          </w:tcPr>
          <w:p w14:paraId="69FE165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金石</w:t>
            </w:r>
          </w:p>
        </w:tc>
      </w:tr>
      <w:tr w14:paraId="087A72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666F472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33</w:t>
            </w:r>
          </w:p>
        </w:tc>
        <w:tc>
          <w:tcPr>
            <w:tcW w:w="2760" w:type="dxa"/>
            <w:shd w:val="clear" w:color="auto" w:fill="auto"/>
            <w:noWrap/>
            <w:vAlign w:val="center"/>
          </w:tcPr>
          <w:p w14:paraId="3F33B69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卡簧座</w:t>
            </w:r>
          </w:p>
        </w:tc>
        <w:tc>
          <w:tcPr>
            <w:tcW w:w="1832" w:type="dxa"/>
            <w:shd w:val="clear" w:color="auto" w:fill="auto"/>
            <w:noWrap/>
            <w:vAlign w:val="center"/>
          </w:tcPr>
          <w:p w14:paraId="31835F5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个</w:t>
            </w:r>
          </w:p>
        </w:tc>
        <w:tc>
          <w:tcPr>
            <w:tcW w:w="1052" w:type="dxa"/>
            <w:shd w:val="clear" w:color="auto" w:fill="auto"/>
            <w:noWrap/>
            <w:vAlign w:val="center"/>
          </w:tcPr>
          <w:p w14:paraId="5A7B26A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50</w:t>
            </w:r>
          </w:p>
        </w:tc>
        <w:tc>
          <w:tcPr>
            <w:tcW w:w="2589" w:type="dxa"/>
            <w:shd w:val="clear" w:color="auto" w:fill="auto"/>
            <w:noWrap/>
            <w:vAlign w:val="center"/>
          </w:tcPr>
          <w:p w14:paraId="1E8F287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金石</w:t>
            </w:r>
          </w:p>
        </w:tc>
      </w:tr>
      <w:tr w14:paraId="0CCA09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2F4FE41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34</w:t>
            </w:r>
          </w:p>
        </w:tc>
        <w:tc>
          <w:tcPr>
            <w:tcW w:w="2760" w:type="dxa"/>
            <w:shd w:val="clear" w:color="auto" w:fill="auto"/>
            <w:noWrap/>
            <w:vAlign w:val="center"/>
          </w:tcPr>
          <w:p w14:paraId="3DCE4E4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大管丝钳</w:t>
            </w:r>
          </w:p>
        </w:tc>
        <w:tc>
          <w:tcPr>
            <w:tcW w:w="1832" w:type="dxa"/>
            <w:shd w:val="clear" w:color="auto" w:fill="auto"/>
            <w:noWrap/>
            <w:vAlign w:val="center"/>
          </w:tcPr>
          <w:p w14:paraId="7BAC471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把</w:t>
            </w:r>
          </w:p>
        </w:tc>
        <w:tc>
          <w:tcPr>
            <w:tcW w:w="1052" w:type="dxa"/>
            <w:shd w:val="clear" w:color="auto" w:fill="auto"/>
            <w:noWrap/>
            <w:vAlign w:val="center"/>
          </w:tcPr>
          <w:p w14:paraId="468756E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4</w:t>
            </w:r>
          </w:p>
        </w:tc>
        <w:tc>
          <w:tcPr>
            <w:tcW w:w="2589" w:type="dxa"/>
            <w:shd w:val="clear" w:color="auto" w:fill="auto"/>
            <w:noWrap/>
            <w:vAlign w:val="center"/>
          </w:tcPr>
          <w:p w14:paraId="3D8E4DD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加重</w:t>
            </w:r>
          </w:p>
        </w:tc>
      </w:tr>
      <w:tr w14:paraId="026701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9" w:hRule="atLeast"/>
        </w:trPr>
        <w:tc>
          <w:tcPr>
            <w:tcW w:w="1124" w:type="dxa"/>
            <w:shd w:val="clear" w:color="auto" w:fill="auto"/>
            <w:noWrap/>
            <w:vAlign w:val="center"/>
          </w:tcPr>
          <w:p w14:paraId="222BECA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35</w:t>
            </w:r>
          </w:p>
        </w:tc>
        <w:tc>
          <w:tcPr>
            <w:tcW w:w="2760" w:type="dxa"/>
            <w:shd w:val="clear" w:color="auto" w:fill="auto"/>
            <w:noWrap/>
            <w:vAlign w:val="center"/>
          </w:tcPr>
          <w:p w14:paraId="3016B92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小管钳</w:t>
            </w:r>
          </w:p>
        </w:tc>
        <w:tc>
          <w:tcPr>
            <w:tcW w:w="1832" w:type="dxa"/>
            <w:shd w:val="clear" w:color="auto" w:fill="auto"/>
            <w:noWrap/>
            <w:vAlign w:val="center"/>
          </w:tcPr>
          <w:p w14:paraId="1D9C055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把</w:t>
            </w:r>
          </w:p>
        </w:tc>
        <w:tc>
          <w:tcPr>
            <w:tcW w:w="1052" w:type="dxa"/>
            <w:shd w:val="clear" w:color="auto" w:fill="auto"/>
            <w:noWrap/>
            <w:vAlign w:val="center"/>
          </w:tcPr>
          <w:p w14:paraId="4C42E8B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4</w:t>
            </w:r>
          </w:p>
        </w:tc>
        <w:tc>
          <w:tcPr>
            <w:tcW w:w="2589" w:type="dxa"/>
            <w:shd w:val="clear" w:color="auto" w:fill="auto"/>
            <w:noWrap/>
            <w:vAlign w:val="center"/>
          </w:tcPr>
          <w:p w14:paraId="3BC0F67B">
            <w:pPr>
              <w:jc w:val="center"/>
              <w:rPr>
                <w:rFonts w:hint="eastAsia" w:asciiTheme="minorEastAsia" w:hAnsiTheme="minorEastAsia" w:eastAsiaTheme="minorEastAsia" w:cstheme="minorEastAsia"/>
                <w:i w:val="0"/>
                <w:iCs w:val="0"/>
                <w:color w:val="000000"/>
                <w:sz w:val="24"/>
                <w:szCs w:val="24"/>
                <w:highlight w:val="none"/>
                <w:u w:val="none"/>
              </w:rPr>
            </w:pPr>
          </w:p>
        </w:tc>
      </w:tr>
      <w:tr w14:paraId="6C115B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9" w:hRule="atLeast"/>
        </w:trPr>
        <w:tc>
          <w:tcPr>
            <w:tcW w:w="1124" w:type="dxa"/>
            <w:shd w:val="clear" w:color="auto" w:fill="auto"/>
            <w:noWrap/>
            <w:vAlign w:val="center"/>
          </w:tcPr>
          <w:p w14:paraId="47A5807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36</w:t>
            </w:r>
          </w:p>
        </w:tc>
        <w:tc>
          <w:tcPr>
            <w:tcW w:w="2760" w:type="dxa"/>
            <w:shd w:val="clear" w:color="auto" w:fill="auto"/>
            <w:noWrap/>
            <w:vAlign w:val="center"/>
          </w:tcPr>
          <w:p w14:paraId="10B49C0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89-95自由钳</w:t>
            </w:r>
          </w:p>
        </w:tc>
        <w:tc>
          <w:tcPr>
            <w:tcW w:w="1832" w:type="dxa"/>
            <w:shd w:val="clear" w:color="auto" w:fill="auto"/>
            <w:noWrap/>
            <w:vAlign w:val="center"/>
          </w:tcPr>
          <w:p w14:paraId="5A97933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把</w:t>
            </w:r>
          </w:p>
        </w:tc>
        <w:tc>
          <w:tcPr>
            <w:tcW w:w="1052" w:type="dxa"/>
            <w:shd w:val="clear" w:color="auto" w:fill="auto"/>
            <w:noWrap/>
            <w:vAlign w:val="center"/>
          </w:tcPr>
          <w:p w14:paraId="10F9691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2</w:t>
            </w:r>
          </w:p>
        </w:tc>
        <w:tc>
          <w:tcPr>
            <w:tcW w:w="2589" w:type="dxa"/>
            <w:shd w:val="clear" w:color="auto" w:fill="auto"/>
            <w:noWrap/>
            <w:vAlign w:val="center"/>
          </w:tcPr>
          <w:p w14:paraId="084BA4F8">
            <w:pPr>
              <w:jc w:val="center"/>
              <w:rPr>
                <w:rFonts w:hint="eastAsia" w:asciiTheme="minorEastAsia" w:hAnsiTheme="minorEastAsia" w:eastAsiaTheme="minorEastAsia" w:cstheme="minorEastAsia"/>
                <w:i w:val="0"/>
                <w:iCs w:val="0"/>
                <w:color w:val="000000"/>
                <w:sz w:val="24"/>
                <w:szCs w:val="24"/>
                <w:highlight w:val="none"/>
                <w:u w:val="none"/>
              </w:rPr>
            </w:pPr>
          </w:p>
        </w:tc>
      </w:tr>
      <w:tr w14:paraId="6010E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3F7DD1E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37</w:t>
            </w:r>
          </w:p>
        </w:tc>
        <w:tc>
          <w:tcPr>
            <w:tcW w:w="2760" w:type="dxa"/>
            <w:shd w:val="clear" w:color="auto" w:fill="auto"/>
            <w:noWrap/>
            <w:vAlign w:val="center"/>
          </w:tcPr>
          <w:p w14:paraId="4CD6C9A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75自由钳</w:t>
            </w:r>
          </w:p>
        </w:tc>
        <w:tc>
          <w:tcPr>
            <w:tcW w:w="1832" w:type="dxa"/>
            <w:shd w:val="clear" w:color="auto" w:fill="auto"/>
            <w:noWrap/>
            <w:vAlign w:val="center"/>
          </w:tcPr>
          <w:p w14:paraId="58D397B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把</w:t>
            </w:r>
          </w:p>
        </w:tc>
        <w:tc>
          <w:tcPr>
            <w:tcW w:w="1052" w:type="dxa"/>
            <w:shd w:val="clear" w:color="auto" w:fill="auto"/>
            <w:noWrap/>
            <w:vAlign w:val="center"/>
          </w:tcPr>
          <w:p w14:paraId="6000FF1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4</w:t>
            </w:r>
          </w:p>
        </w:tc>
        <w:tc>
          <w:tcPr>
            <w:tcW w:w="2589" w:type="dxa"/>
            <w:shd w:val="clear" w:color="auto" w:fill="auto"/>
            <w:noWrap/>
            <w:vAlign w:val="center"/>
          </w:tcPr>
          <w:p w14:paraId="237FB30F">
            <w:pPr>
              <w:jc w:val="center"/>
              <w:rPr>
                <w:rFonts w:hint="eastAsia" w:asciiTheme="minorEastAsia" w:hAnsiTheme="minorEastAsia" w:eastAsiaTheme="minorEastAsia" w:cstheme="minorEastAsia"/>
                <w:i w:val="0"/>
                <w:iCs w:val="0"/>
                <w:color w:val="000000"/>
                <w:sz w:val="24"/>
                <w:szCs w:val="24"/>
                <w:highlight w:val="none"/>
                <w:u w:val="none"/>
              </w:rPr>
            </w:pPr>
          </w:p>
        </w:tc>
      </w:tr>
      <w:tr w14:paraId="041EE4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214A8B6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38</w:t>
            </w:r>
          </w:p>
        </w:tc>
        <w:tc>
          <w:tcPr>
            <w:tcW w:w="2760" w:type="dxa"/>
            <w:shd w:val="clear" w:color="auto" w:fill="auto"/>
            <w:noWrap/>
            <w:vAlign w:val="center"/>
          </w:tcPr>
          <w:p w14:paraId="028FEB2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61自由钳</w:t>
            </w:r>
          </w:p>
        </w:tc>
        <w:tc>
          <w:tcPr>
            <w:tcW w:w="1832" w:type="dxa"/>
            <w:shd w:val="clear" w:color="auto" w:fill="auto"/>
            <w:noWrap/>
            <w:vAlign w:val="center"/>
          </w:tcPr>
          <w:p w14:paraId="7B97E50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把</w:t>
            </w:r>
          </w:p>
        </w:tc>
        <w:tc>
          <w:tcPr>
            <w:tcW w:w="1052" w:type="dxa"/>
            <w:shd w:val="clear" w:color="auto" w:fill="auto"/>
            <w:noWrap/>
            <w:vAlign w:val="center"/>
          </w:tcPr>
          <w:p w14:paraId="15B8097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4</w:t>
            </w:r>
          </w:p>
        </w:tc>
        <w:tc>
          <w:tcPr>
            <w:tcW w:w="2589" w:type="dxa"/>
            <w:shd w:val="clear" w:color="auto" w:fill="auto"/>
            <w:noWrap/>
            <w:vAlign w:val="center"/>
          </w:tcPr>
          <w:p w14:paraId="624A0EC5">
            <w:pPr>
              <w:jc w:val="center"/>
              <w:rPr>
                <w:rFonts w:hint="eastAsia" w:asciiTheme="minorEastAsia" w:hAnsiTheme="minorEastAsia" w:eastAsiaTheme="minorEastAsia" w:cstheme="minorEastAsia"/>
                <w:i w:val="0"/>
                <w:iCs w:val="0"/>
                <w:color w:val="000000"/>
                <w:sz w:val="24"/>
                <w:szCs w:val="24"/>
                <w:highlight w:val="none"/>
                <w:u w:val="none"/>
              </w:rPr>
            </w:pPr>
          </w:p>
        </w:tc>
      </w:tr>
      <w:tr w14:paraId="460002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4ABF213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39</w:t>
            </w:r>
          </w:p>
        </w:tc>
        <w:tc>
          <w:tcPr>
            <w:tcW w:w="2760" w:type="dxa"/>
            <w:shd w:val="clear" w:color="auto" w:fill="auto"/>
            <w:noWrap/>
            <w:vAlign w:val="center"/>
          </w:tcPr>
          <w:p w14:paraId="0E1469C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座环</w:t>
            </w:r>
          </w:p>
        </w:tc>
        <w:tc>
          <w:tcPr>
            <w:tcW w:w="1832" w:type="dxa"/>
            <w:shd w:val="clear" w:color="auto" w:fill="auto"/>
            <w:noWrap/>
            <w:vAlign w:val="center"/>
          </w:tcPr>
          <w:p w14:paraId="3E5C3FE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个</w:t>
            </w:r>
          </w:p>
        </w:tc>
        <w:tc>
          <w:tcPr>
            <w:tcW w:w="1052" w:type="dxa"/>
            <w:shd w:val="clear" w:color="auto" w:fill="auto"/>
            <w:noWrap/>
            <w:vAlign w:val="center"/>
          </w:tcPr>
          <w:p w14:paraId="69A56CC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10</w:t>
            </w:r>
          </w:p>
        </w:tc>
        <w:tc>
          <w:tcPr>
            <w:tcW w:w="2589" w:type="dxa"/>
            <w:shd w:val="clear" w:color="auto" w:fill="auto"/>
            <w:noWrap/>
            <w:vAlign w:val="center"/>
          </w:tcPr>
          <w:p w14:paraId="4301832D">
            <w:pPr>
              <w:jc w:val="center"/>
              <w:rPr>
                <w:rFonts w:hint="eastAsia" w:asciiTheme="minorEastAsia" w:hAnsiTheme="minorEastAsia" w:eastAsiaTheme="minorEastAsia" w:cstheme="minorEastAsia"/>
                <w:i w:val="0"/>
                <w:iCs w:val="0"/>
                <w:color w:val="000000"/>
                <w:sz w:val="24"/>
                <w:szCs w:val="24"/>
                <w:highlight w:val="none"/>
                <w:u w:val="none"/>
              </w:rPr>
            </w:pPr>
          </w:p>
        </w:tc>
      </w:tr>
      <w:tr w14:paraId="7BFE36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2604C75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40</w:t>
            </w:r>
          </w:p>
        </w:tc>
        <w:tc>
          <w:tcPr>
            <w:tcW w:w="2760" w:type="dxa"/>
            <w:shd w:val="clear" w:color="auto" w:fill="auto"/>
            <w:noWrap/>
            <w:vAlign w:val="center"/>
          </w:tcPr>
          <w:p w14:paraId="6A21CFE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悬挂环</w:t>
            </w:r>
          </w:p>
        </w:tc>
        <w:tc>
          <w:tcPr>
            <w:tcW w:w="1832" w:type="dxa"/>
            <w:shd w:val="clear" w:color="auto" w:fill="auto"/>
            <w:noWrap/>
            <w:vAlign w:val="center"/>
          </w:tcPr>
          <w:p w14:paraId="670FDE4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个</w:t>
            </w:r>
          </w:p>
        </w:tc>
        <w:tc>
          <w:tcPr>
            <w:tcW w:w="1052" w:type="dxa"/>
            <w:shd w:val="clear" w:color="auto" w:fill="auto"/>
            <w:noWrap/>
            <w:vAlign w:val="center"/>
          </w:tcPr>
          <w:p w14:paraId="1C32C8A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10</w:t>
            </w:r>
          </w:p>
        </w:tc>
        <w:tc>
          <w:tcPr>
            <w:tcW w:w="2589" w:type="dxa"/>
            <w:shd w:val="clear" w:color="auto" w:fill="auto"/>
            <w:noWrap/>
            <w:vAlign w:val="center"/>
          </w:tcPr>
          <w:p w14:paraId="73DBC741">
            <w:pPr>
              <w:jc w:val="center"/>
              <w:rPr>
                <w:rFonts w:hint="eastAsia" w:asciiTheme="minorEastAsia" w:hAnsiTheme="minorEastAsia" w:eastAsiaTheme="minorEastAsia" w:cstheme="minorEastAsia"/>
                <w:i w:val="0"/>
                <w:iCs w:val="0"/>
                <w:color w:val="000000"/>
                <w:sz w:val="24"/>
                <w:szCs w:val="24"/>
                <w:highlight w:val="none"/>
                <w:u w:val="none"/>
              </w:rPr>
            </w:pPr>
          </w:p>
        </w:tc>
      </w:tr>
      <w:tr w14:paraId="2C28A7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62C914F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41</w:t>
            </w:r>
          </w:p>
        </w:tc>
        <w:tc>
          <w:tcPr>
            <w:tcW w:w="2760" w:type="dxa"/>
            <w:shd w:val="clear" w:color="auto" w:fill="auto"/>
            <w:noWrap/>
            <w:vAlign w:val="center"/>
          </w:tcPr>
          <w:p w14:paraId="1B3ABE1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扶正环</w:t>
            </w:r>
          </w:p>
        </w:tc>
        <w:tc>
          <w:tcPr>
            <w:tcW w:w="1832" w:type="dxa"/>
            <w:shd w:val="clear" w:color="auto" w:fill="auto"/>
            <w:noWrap/>
            <w:vAlign w:val="center"/>
          </w:tcPr>
          <w:p w14:paraId="06C396E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个</w:t>
            </w:r>
          </w:p>
        </w:tc>
        <w:tc>
          <w:tcPr>
            <w:tcW w:w="1052" w:type="dxa"/>
            <w:shd w:val="clear" w:color="auto" w:fill="auto"/>
            <w:noWrap/>
            <w:vAlign w:val="center"/>
          </w:tcPr>
          <w:p w14:paraId="5A92269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10</w:t>
            </w:r>
          </w:p>
        </w:tc>
        <w:tc>
          <w:tcPr>
            <w:tcW w:w="2589" w:type="dxa"/>
            <w:shd w:val="clear" w:color="auto" w:fill="auto"/>
            <w:noWrap/>
            <w:vAlign w:val="center"/>
          </w:tcPr>
          <w:p w14:paraId="306A3D43">
            <w:pPr>
              <w:jc w:val="center"/>
              <w:rPr>
                <w:rFonts w:hint="eastAsia" w:asciiTheme="minorEastAsia" w:hAnsiTheme="minorEastAsia" w:eastAsiaTheme="minorEastAsia" w:cstheme="minorEastAsia"/>
                <w:i w:val="0"/>
                <w:iCs w:val="0"/>
                <w:color w:val="000000"/>
                <w:sz w:val="24"/>
                <w:szCs w:val="24"/>
                <w:highlight w:val="none"/>
                <w:u w:val="none"/>
              </w:rPr>
            </w:pPr>
          </w:p>
        </w:tc>
      </w:tr>
      <w:tr w14:paraId="45972D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752B678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42</w:t>
            </w:r>
          </w:p>
        </w:tc>
        <w:tc>
          <w:tcPr>
            <w:tcW w:w="2760" w:type="dxa"/>
            <w:shd w:val="clear" w:color="auto" w:fill="auto"/>
            <w:noWrap/>
            <w:vAlign w:val="center"/>
          </w:tcPr>
          <w:p w14:paraId="3A13657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内管接头</w:t>
            </w:r>
          </w:p>
        </w:tc>
        <w:tc>
          <w:tcPr>
            <w:tcW w:w="1832" w:type="dxa"/>
            <w:shd w:val="clear" w:color="auto" w:fill="auto"/>
            <w:noWrap/>
            <w:vAlign w:val="center"/>
          </w:tcPr>
          <w:p w14:paraId="1B1DC12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个</w:t>
            </w:r>
          </w:p>
        </w:tc>
        <w:tc>
          <w:tcPr>
            <w:tcW w:w="1052" w:type="dxa"/>
            <w:shd w:val="clear" w:color="auto" w:fill="auto"/>
            <w:noWrap/>
            <w:vAlign w:val="center"/>
          </w:tcPr>
          <w:p w14:paraId="0090231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2</w:t>
            </w:r>
          </w:p>
        </w:tc>
        <w:tc>
          <w:tcPr>
            <w:tcW w:w="2589" w:type="dxa"/>
            <w:shd w:val="clear" w:color="auto" w:fill="auto"/>
            <w:noWrap/>
            <w:vAlign w:val="center"/>
          </w:tcPr>
          <w:p w14:paraId="43FEF231">
            <w:pPr>
              <w:jc w:val="center"/>
              <w:rPr>
                <w:rFonts w:hint="eastAsia" w:asciiTheme="minorEastAsia" w:hAnsiTheme="minorEastAsia" w:eastAsiaTheme="minorEastAsia" w:cstheme="minorEastAsia"/>
                <w:i w:val="0"/>
                <w:iCs w:val="0"/>
                <w:color w:val="000000"/>
                <w:sz w:val="24"/>
                <w:szCs w:val="24"/>
                <w:highlight w:val="none"/>
                <w:u w:val="none"/>
              </w:rPr>
            </w:pPr>
          </w:p>
        </w:tc>
      </w:tr>
      <w:tr w14:paraId="6994BD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9" w:hRule="atLeast"/>
        </w:trPr>
        <w:tc>
          <w:tcPr>
            <w:tcW w:w="1124" w:type="dxa"/>
            <w:shd w:val="clear" w:color="auto" w:fill="auto"/>
            <w:noWrap/>
            <w:vAlign w:val="center"/>
          </w:tcPr>
          <w:p w14:paraId="4E8DD85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43</w:t>
            </w:r>
          </w:p>
        </w:tc>
        <w:tc>
          <w:tcPr>
            <w:tcW w:w="2760" w:type="dxa"/>
            <w:shd w:val="clear" w:color="auto" w:fill="auto"/>
            <w:noWrap/>
            <w:vAlign w:val="center"/>
          </w:tcPr>
          <w:p w14:paraId="2760187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弹卡板</w:t>
            </w:r>
          </w:p>
        </w:tc>
        <w:tc>
          <w:tcPr>
            <w:tcW w:w="1832" w:type="dxa"/>
            <w:shd w:val="clear" w:color="auto" w:fill="auto"/>
            <w:noWrap/>
            <w:vAlign w:val="center"/>
          </w:tcPr>
          <w:p w14:paraId="2D507AC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套</w:t>
            </w:r>
          </w:p>
        </w:tc>
        <w:tc>
          <w:tcPr>
            <w:tcW w:w="1052" w:type="dxa"/>
            <w:shd w:val="clear" w:color="auto" w:fill="auto"/>
            <w:noWrap/>
            <w:vAlign w:val="center"/>
          </w:tcPr>
          <w:p w14:paraId="61E5D2F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2</w:t>
            </w:r>
          </w:p>
        </w:tc>
        <w:tc>
          <w:tcPr>
            <w:tcW w:w="2589" w:type="dxa"/>
            <w:shd w:val="clear" w:color="auto" w:fill="auto"/>
            <w:noWrap/>
            <w:vAlign w:val="center"/>
          </w:tcPr>
          <w:p w14:paraId="176726F4">
            <w:pPr>
              <w:jc w:val="center"/>
              <w:rPr>
                <w:rFonts w:hint="eastAsia" w:asciiTheme="minorEastAsia" w:hAnsiTheme="minorEastAsia" w:eastAsiaTheme="minorEastAsia" w:cstheme="minorEastAsia"/>
                <w:i w:val="0"/>
                <w:iCs w:val="0"/>
                <w:color w:val="000000"/>
                <w:sz w:val="24"/>
                <w:szCs w:val="24"/>
                <w:highlight w:val="none"/>
                <w:u w:val="none"/>
              </w:rPr>
            </w:pPr>
          </w:p>
        </w:tc>
      </w:tr>
      <w:tr w14:paraId="0DAE2E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2EB93F0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44</w:t>
            </w:r>
          </w:p>
        </w:tc>
        <w:tc>
          <w:tcPr>
            <w:tcW w:w="2760" w:type="dxa"/>
            <w:shd w:val="clear" w:color="auto" w:fill="auto"/>
            <w:noWrap/>
            <w:vAlign w:val="center"/>
          </w:tcPr>
          <w:p w14:paraId="561D98E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捞矛头</w:t>
            </w:r>
          </w:p>
        </w:tc>
        <w:tc>
          <w:tcPr>
            <w:tcW w:w="1832" w:type="dxa"/>
            <w:shd w:val="clear" w:color="auto" w:fill="auto"/>
            <w:noWrap/>
            <w:vAlign w:val="center"/>
          </w:tcPr>
          <w:p w14:paraId="148B490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个</w:t>
            </w:r>
          </w:p>
        </w:tc>
        <w:tc>
          <w:tcPr>
            <w:tcW w:w="1052" w:type="dxa"/>
            <w:shd w:val="clear" w:color="auto" w:fill="auto"/>
            <w:noWrap/>
            <w:vAlign w:val="center"/>
          </w:tcPr>
          <w:p w14:paraId="7BA74DD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4</w:t>
            </w:r>
          </w:p>
        </w:tc>
        <w:tc>
          <w:tcPr>
            <w:tcW w:w="2589" w:type="dxa"/>
            <w:shd w:val="clear" w:color="auto" w:fill="auto"/>
            <w:noWrap/>
            <w:vAlign w:val="center"/>
          </w:tcPr>
          <w:p w14:paraId="00AFB2ED">
            <w:pPr>
              <w:jc w:val="center"/>
              <w:rPr>
                <w:rFonts w:hint="eastAsia" w:asciiTheme="minorEastAsia" w:hAnsiTheme="minorEastAsia" w:eastAsiaTheme="minorEastAsia" w:cstheme="minorEastAsia"/>
                <w:i w:val="0"/>
                <w:iCs w:val="0"/>
                <w:color w:val="000000"/>
                <w:sz w:val="24"/>
                <w:szCs w:val="24"/>
                <w:highlight w:val="none"/>
                <w:u w:val="none"/>
              </w:rPr>
            </w:pPr>
          </w:p>
        </w:tc>
      </w:tr>
      <w:tr w14:paraId="1E93C6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35AF45A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45</w:t>
            </w:r>
          </w:p>
        </w:tc>
        <w:tc>
          <w:tcPr>
            <w:tcW w:w="2760" w:type="dxa"/>
            <w:shd w:val="clear" w:color="auto" w:fill="auto"/>
            <w:noWrap/>
            <w:vAlign w:val="center"/>
          </w:tcPr>
          <w:p w14:paraId="26443E9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打捞钩</w:t>
            </w:r>
          </w:p>
        </w:tc>
        <w:tc>
          <w:tcPr>
            <w:tcW w:w="1832" w:type="dxa"/>
            <w:shd w:val="clear" w:color="auto" w:fill="auto"/>
            <w:noWrap/>
            <w:vAlign w:val="center"/>
          </w:tcPr>
          <w:p w14:paraId="615FE3D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套</w:t>
            </w:r>
          </w:p>
        </w:tc>
        <w:tc>
          <w:tcPr>
            <w:tcW w:w="1052" w:type="dxa"/>
            <w:shd w:val="clear" w:color="auto" w:fill="auto"/>
            <w:noWrap/>
            <w:vAlign w:val="center"/>
          </w:tcPr>
          <w:p w14:paraId="10B8E7D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2</w:t>
            </w:r>
          </w:p>
        </w:tc>
        <w:tc>
          <w:tcPr>
            <w:tcW w:w="2589" w:type="dxa"/>
            <w:shd w:val="clear" w:color="auto" w:fill="auto"/>
            <w:noWrap/>
            <w:vAlign w:val="center"/>
          </w:tcPr>
          <w:p w14:paraId="61449A59">
            <w:pPr>
              <w:jc w:val="center"/>
              <w:rPr>
                <w:rFonts w:hint="eastAsia" w:asciiTheme="minorEastAsia" w:hAnsiTheme="minorEastAsia" w:eastAsiaTheme="minorEastAsia" w:cstheme="minorEastAsia"/>
                <w:i w:val="0"/>
                <w:iCs w:val="0"/>
                <w:color w:val="000000"/>
                <w:sz w:val="24"/>
                <w:szCs w:val="24"/>
                <w:highlight w:val="none"/>
                <w:u w:val="none"/>
              </w:rPr>
            </w:pPr>
          </w:p>
        </w:tc>
      </w:tr>
      <w:tr w14:paraId="794695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1DF437F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46</w:t>
            </w:r>
          </w:p>
        </w:tc>
        <w:tc>
          <w:tcPr>
            <w:tcW w:w="2760" w:type="dxa"/>
            <w:shd w:val="clear" w:color="auto" w:fill="auto"/>
            <w:noWrap/>
            <w:vAlign w:val="center"/>
          </w:tcPr>
          <w:p w14:paraId="662666B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轴承座</w:t>
            </w:r>
          </w:p>
        </w:tc>
        <w:tc>
          <w:tcPr>
            <w:tcW w:w="1832" w:type="dxa"/>
            <w:shd w:val="clear" w:color="auto" w:fill="auto"/>
            <w:noWrap/>
            <w:vAlign w:val="center"/>
          </w:tcPr>
          <w:p w14:paraId="116C180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个</w:t>
            </w:r>
          </w:p>
        </w:tc>
        <w:tc>
          <w:tcPr>
            <w:tcW w:w="1052" w:type="dxa"/>
            <w:shd w:val="clear" w:color="auto" w:fill="auto"/>
            <w:noWrap/>
            <w:vAlign w:val="center"/>
          </w:tcPr>
          <w:p w14:paraId="0B2D50B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4</w:t>
            </w:r>
          </w:p>
        </w:tc>
        <w:tc>
          <w:tcPr>
            <w:tcW w:w="2589" w:type="dxa"/>
            <w:shd w:val="clear" w:color="auto" w:fill="auto"/>
            <w:noWrap/>
            <w:vAlign w:val="center"/>
          </w:tcPr>
          <w:p w14:paraId="34B5F640">
            <w:pPr>
              <w:jc w:val="center"/>
              <w:rPr>
                <w:rFonts w:hint="eastAsia" w:asciiTheme="minorEastAsia" w:hAnsiTheme="minorEastAsia" w:eastAsiaTheme="minorEastAsia" w:cstheme="minorEastAsia"/>
                <w:i w:val="0"/>
                <w:iCs w:val="0"/>
                <w:color w:val="000000"/>
                <w:sz w:val="24"/>
                <w:szCs w:val="24"/>
                <w:highlight w:val="none"/>
                <w:u w:val="none"/>
              </w:rPr>
            </w:pPr>
          </w:p>
        </w:tc>
      </w:tr>
      <w:tr w14:paraId="344EB5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2495943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47</w:t>
            </w:r>
          </w:p>
        </w:tc>
        <w:tc>
          <w:tcPr>
            <w:tcW w:w="2760" w:type="dxa"/>
            <w:shd w:val="clear" w:color="auto" w:fill="auto"/>
            <w:noWrap/>
            <w:vAlign w:val="center"/>
          </w:tcPr>
          <w:p w14:paraId="288A029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内管总成轴</w:t>
            </w:r>
          </w:p>
        </w:tc>
        <w:tc>
          <w:tcPr>
            <w:tcW w:w="1832" w:type="dxa"/>
            <w:shd w:val="clear" w:color="auto" w:fill="auto"/>
            <w:noWrap/>
            <w:vAlign w:val="center"/>
          </w:tcPr>
          <w:p w14:paraId="0E9B9FB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根</w:t>
            </w:r>
          </w:p>
        </w:tc>
        <w:tc>
          <w:tcPr>
            <w:tcW w:w="1052" w:type="dxa"/>
            <w:shd w:val="clear" w:color="auto" w:fill="auto"/>
            <w:noWrap/>
            <w:vAlign w:val="center"/>
          </w:tcPr>
          <w:p w14:paraId="71C34E7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4</w:t>
            </w:r>
          </w:p>
        </w:tc>
        <w:tc>
          <w:tcPr>
            <w:tcW w:w="2589" w:type="dxa"/>
            <w:shd w:val="clear" w:color="auto" w:fill="auto"/>
            <w:noWrap/>
            <w:vAlign w:val="center"/>
          </w:tcPr>
          <w:p w14:paraId="7E8A8B86">
            <w:pPr>
              <w:jc w:val="center"/>
              <w:rPr>
                <w:rFonts w:hint="eastAsia" w:asciiTheme="minorEastAsia" w:hAnsiTheme="minorEastAsia" w:eastAsiaTheme="minorEastAsia" w:cstheme="minorEastAsia"/>
                <w:i w:val="0"/>
                <w:iCs w:val="0"/>
                <w:color w:val="000000"/>
                <w:sz w:val="24"/>
                <w:szCs w:val="24"/>
                <w:highlight w:val="none"/>
                <w:u w:val="none"/>
              </w:rPr>
            </w:pPr>
          </w:p>
        </w:tc>
      </w:tr>
      <w:tr w14:paraId="28CB41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414EFC7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48</w:t>
            </w:r>
          </w:p>
        </w:tc>
        <w:tc>
          <w:tcPr>
            <w:tcW w:w="2760" w:type="dxa"/>
            <w:shd w:val="clear" w:color="auto" w:fill="auto"/>
            <w:noWrap/>
            <w:vAlign w:val="center"/>
          </w:tcPr>
          <w:p w14:paraId="7264CCE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弹性销子</w:t>
            </w:r>
          </w:p>
        </w:tc>
        <w:tc>
          <w:tcPr>
            <w:tcW w:w="1832" w:type="dxa"/>
            <w:shd w:val="clear" w:color="auto" w:fill="auto"/>
            <w:noWrap/>
            <w:vAlign w:val="center"/>
          </w:tcPr>
          <w:p w14:paraId="6A451FF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套</w:t>
            </w:r>
          </w:p>
        </w:tc>
        <w:tc>
          <w:tcPr>
            <w:tcW w:w="1052" w:type="dxa"/>
            <w:shd w:val="clear" w:color="auto" w:fill="auto"/>
            <w:noWrap/>
            <w:vAlign w:val="center"/>
          </w:tcPr>
          <w:p w14:paraId="6BCDB71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2</w:t>
            </w:r>
          </w:p>
        </w:tc>
        <w:tc>
          <w:tcPr>
            <w:tcW w:w="2589" w:type="dxa"/>
            <w:shd w:val="clear" w:color="auto" w:fill="auto"/>
            <w:noWrap/>
            <w:vAlign w:val="center"/>
          </w:tcPr>
          <w:p w14:paraId="1D9D3026">
            <w:pPr>
              <w:jc w:val="center"/>
              <w:rPr>
                <w:rFonts w:hint="eastAsia" w:asciiTheme="minorEastAsia" w:hAnsiTheme="minorEastAsia" w:eastAsiaTheme="minorEastAsia" w:cstheme="minorEastAsia"/>
                <w:i w:val="0"/>
                <w:iCs w:val="0"/>
                <w:color w:val="000000"/>
                <w:sz w:val="24"/>
                <w:szCs w:val="24"/>
                <w:highlight w:val="none"/>
                <w:u w:val="none"/>
              </w:rPr>
            </w:pPr>
          </w:p>
        </w:tc>
      </w:tr>
      <w:tr w14:paraId="1CBFDF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9" w:hRule="atLeast"/>
        </w:trPr>
        <w:tc>
          <w:tcPr>
            <w:tcW w:w="1124" w:type="dxa"/>
            <w:shd w:val="clear" w:color="auto" w:fill="auto"/>
            <w:noWrap/>
            <w:vAlign w:val="center"/>
          </w:tcPr>
          <w:p w14:paraId="33373C0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49</w:t>
            </w:r>
          </w:p>
        </w:tc>
        <w:tc>
          <w:tcPr>
            <w:tcW w:w="2760" w:type="dxa"/>
            <w:shd w:val="clear" w:color="auto" w:fill="auto"/>
            <w:noWrap/>
            <w:vAlign w:val="center"/>
          </w:tcPr>
          <w:p w14:paraId="35B2F4B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涨簧</w:t>
            </w:r>
          </w:p>
        </w:tc>
        <w:tc>
          <w:tcPr>
            <w:tcW w:w="1832" w:type="dxa"/>
            <w:shd w:val="clear" w:color="auto" w:fill="auto"/>
            <w:noWrap/>
            <w:vAlign w:val="center"/>
          </w:tcPr>
          <w:p w14:paraId="10A80B1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个</w:t>
            </w:r>
          </w:p>
        </w:tc>
        <w:tc>
          <w:tcPr>
            <w:tcW w:w="1052" w:type="dxa"/>
            <w:shd w:val="clear" w:color="auto" w:fill="auto"/>
            <w:noWrap/>
            <w:vAlign w:val="center"/>
          </w:tcPr>
          <w:p w14:paraId="295FCF7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5</w:t>
            </w:r>
          </w:p>
        </w:tc>
        <w:tc>
          <w:tcPr>
            <w:tcW w:w="2589" w:type="dxa"/>
            <w:shd w:val="clear" w:color="auto" w:fill="auto"/>
            <w:noWrap/>
            <w:vAlign w:val="center"/>
          </w:tcPr>
          <w:p w14:paraId="1B76B81C">
            <w:pPr>
              <w:jc w:val="center"/>
              <w:rPr>
                <w:rFonts w:hint="eastAsia" w:asciiTheme="minorEastAsia" w:hAnsiTheme="minorEastAsia" w:eastAsiaTheme="minorEastAsia" w:cstheme="minorEastAsia"/>
                <w:i w:val="0"/>
                <w:iCs w:val="0"/>
                <w:color w:val="000000"/>
                <w:sz w:val="24"/>
                <w:szCs w:val="24"/>
                <w:highlight w:val="none"/>
                <w:u w:val="none"/>
              </w:rPr>
            </w:pPr>
          </w:p>
        </w:tc>
      </w:tr>
      <w:tr w14:paraId="08897A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49F92DA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50</w:t>
            </w:r>
          </w:p>
        </w:tc>
        <w:tc>
          <w:tcPr>
            <w:tcW w:w="2760" w:type="dxa"/>
            <w:shd w:val="clear" w:color="auto" w:fill="auto"/>
            <w:noWrap/>
            <w:vAlign w:val="center"/>
          </w:tcPr>
          <w:p w14:paraId="3D40833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大推力轴承</w:t>
            </w:r>
          </w:p>
        </w:tc>
        <w:tc>
          <w:tcPr>
            <w:tcW w:w="1832" w:type="dxa"/>
            <w:shd w:val="clear" w:color="auto" w:fill="auto"/>
            <w:noWrap/>
            <w:vAlign w:val="center"/>
          </w:tcPr>
          <w:p w14:paraId="2C4C5D2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个</w:t>
            </w:r>
          </w:p>
        </w:tc>
        <w:tc>
          <w:tcPr>
            <w:tcW w:w="1052" w:type="dxa"/>
            <w:shd w:val="clear" w:color="auto" w:fill="auto"/>
            <w:noWrap/>
            <w:vAlign w:val="center"/>
          </w:tcPr>
          <w:p w14:paraId="6766F86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20</w:t>
            </w:r>
          </w:p>
        </w:tc>
        <w:tc>
          <w:tcPr>
            <w:tcW w:w="2589" w:type="dxa"/>
            <w:shd w:val="clear" w:color="auto" w:fill="auto"/>
            <w:noWrap/>
            <w:vAlign w:val="center"/>
          </w:tcPr>
          <w:p w14:paraId="66F03125">
            <w:pPr>
              <w:jc w:val="center"/>
              <w:rPr>
                <w:rFonts w:hint="eastAsia" w:asciiTheme="minorEastAsia" w:hAnsiTheme="minorEastAsia" w:eastAsiaTheme="minorEastAsia" w:cstheme="minorEastAsia"/>
                <w:i w:val="0"/>
                <w:iCs w:val="0"/>
                <w:color w:val="000000"/>
                <w:sz w:val="24"/>
                <w:szCs w:val="24"/>
                <w:highlight w:val="none"/>
                <w:u w:val="none"/>
              </w:rPr>
            </w:pPr>
          </w:p>
        </w:tc>
      </w:tr>
      <w:tr w14:paraId="7A9125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7641E8C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51</w:t>
            </w:r>
          </w:p>
        </w:tc>
        <w:tc>
          <w:tcPr>
            <w:tcW w:w="2760" w:type="dxa"/>
            <w:shd w:val="clear" w:color="auto" w:fill="auto"/>
            <w:noWrap/>
            <w:vAlign w:val="center"/>
          </w:tcPr>
          <w:p w14:paraId="14255CD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小推力轴承</w:t>
            </w:r>
          </w:p>
        </w:tc>
        <w:tc>
          <w:tcPr>
            <w:tcW w:w="1832" w:type="dxa"/>
            <w:shd w:val="clear" w:color="auto" w:fill="auto"/>
            <w:noWrap/>
            <w:vAlign w:val="center"/>
          </w:tcPr>
          <w:p w14:paraId="41835CE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个</w:t>
            </w:r>
          </w:p>
        </w:tc>
        <w:tc>
          <w:tcPr>
            <w:tcW w:w="1052" w:type="dxa"/>
            <w:shd w:val="clear" w:color="auto" w:fill="auto"/>
            <w:noWrap/>
            <w:vAlign w:val="center"/>
          </w:tcPr>
          <w:p w14:paraId="58AFD56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10</w:t>
            </w:r>
          </w:p>
        </w:tc>
        <w:tc>
          <w:tcPr>
            <w:tcW w:w="2589" w:type="dxa"/>
            <w:shd w:val="clear" w:color="auto" w:fill="auto"/>
            <w:noWrap/>
            <w:vAlign w:val="center"/>
          </w:tcPr>
          <w:p w14:paraId="01FDEA75">
            <w:pPr>
              <w:jc w:val="center"/>
              <w:rPr>
                <w:rFonts w:hint="eastAsia" w:asciiTheme="minorEastAsia" w:hAnsiTheme="minorEastAsia" w:eastAsiaTheme="minorEastAsia" w:cstheme="minorEastAsia"/>
                <w:i w:val="0"/>
                <w:iCs w:val="0"/>
                <w:color w:val="000000"/>
                <w:sz w:val="24"/>
                <w:szCs w:val="24"/>
                <w:highlight w:val="none"/>
                <w:u w:val="none"/>
              </w:rPr>
            </w:pPr>
          </w:p>
        </w:tc>
      </w:tr>
      <w:tr w14:paraId="0501C1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7E57E86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52</w:t>
            </w:r>
          </w:p>
        </w:tc>
        <w:tc>
          <w:tcPr>
            <w:tcW w:w="2760" w:type="dxa"/>
            <w:shd w:val="clear" w:color="auto" w:fill="auto"/>
            <w:noWrap/>
            <w:vAlign w:val="center"/>
          </w:tcPr>
          <w:p w14:paraId="6057697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爆芯阀</w:t>
            </w:r>
          </w:p>
        </w:tc>
        <w:tc>
          <w:tcPr>
            <w:tcW w:w="1832" w:type="dxa"/>
            <w:shd w:val="clear" w:color="auto" w:fill="auto"/>
            <w:noWrap/>
            <w:vAlign w:val="center"/>
          </w:tcPr>
          <w:p w14:paraId="73CE8F7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个</w:t>
            </w:r>
          </w:p>
        </w:tc>
        <w:tc>
          <w:tcPr>
            <w:tcW w:w="1052" w:type="dxa"/>
            <w:shd w:val="clear" w:color="auto" w:fill="auto"/>
            <w:noWrap/>
            <w:vAlign w:val="center"/>
          </w:tcPr>
          <w:p w14:paraId="31BF1A9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10</w:t>
            </w:r>
          </w:p>
        </w:tc>
        <w:tc>
          <w:tcPr>
            <w:tcW w:w="2589" w:type="dxa"/>
            <w:shd w:val="clear" w:color="auto" w:fill="auto"/>
            <w:noWrap/>
            <w:vAlign w:val="center"/>
          </w:tcPr>
          <w:p w14:paraId="28939162">
            <w:pPr>
              <w:jc w:val="center"/>
              <w:rPr>
                <w:rFonts w:hint="eastAsia" w:asciiTheme="minorEastAsia" w:hAnsiTheme="minorEastAsia" w:eastAsiaTheme="minorEastAsia" w:cstheme="minorEastAsia"/>
                <w:i w:val="0"/>
                <w:iCs w:val="0"/>
                <w:color w:val="000000"/>
                <w:sz w:val="24"/>
                <w:szCs w:val="24"/>
                <w:highlight w:val="none"/>
                <w:u w:val="none"/>
              </w:rPr>
            </w:pPr>
          </w:p>
        </w:tc>
      </w:tr>
      <w:tr w14:paraId="4E2AA1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7B4BF62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53</w:t>
            </w:r>
          </w:p>
        </w:tc>
        <w:tc>
          <w:tcPr>
            <w:tcW w:w="2760" w:type="dxa"/>
            <w:shd w:val="clear" w:color="auto" w:fill="auto"/>
            <w:noWrap/>
            <w:vAlign w:val="center"/>
          </w:tcPr>
          <w:p w14:paraId="52D241F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液压油</w:t>
            </w:r>
          </w:p>
        </w:tc>
        <w:tc>
          <w:tcPr>
            <w:tcW w:w="1832" w:type="dxa"/>
            <w:shd w:val="clear" w:color="auto" w:fill="auto"/>
            <w:noWrap/>
            <w:vAlign w:val="center"/>
          </w:tcPr>
          <w:p w14:paraId="2DC818C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桶</w:t>
            </w:r>
          </w:p>
        </w:tc>
        <w:tc>
          <w:tcPr>
            <w:tcW w:w="1052" w:type="dxa"/>
            <w:shd w:val="clear" w:color="auto" w:fill="auto"/>
            <w:noWrap/>
            <w:vAlign w:val="center"/>
          </w:tcPr>
          <w:p w14:paraId="542924E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6</w:t>
            </w:r>
          </w:p>
        </w:tc>
        <w:tc>
          <w:tcPr>
            <w:tcW w:w="2589" w:type="dxa"/>
            <w:shd w:val="clear" w:color="auto" w:fill="auto"/>
            <w:noWrap/>
            <w:vAlign w:val="center"/>
          </w:tcPr>
          <w:p w14:paraId="27BCFC6E">
            <w:pPr>
              <w:jc w:val="center"/>
              <w:rPr>
                <w:rFonts w:hint="eastAsia" w:asciiTheme="minorEastAsia" w:hAnsiTheme="minorEastAsia" w:eastAsiaTheme="minorEastAsia" w:cstheme="minorEastAsia"/>
                <w:i w:val="0"/>
                <w:iCs w:val="0"/>
                <w:color w:val="000000"/>
                <w:sz w:val="24"/>
                <w:szCs w:val="24"/>
                <w:highlight w:val="none"/>
                <w:u w:val="none"/>
              </w:rPr>
            </w:pPr>
          </w:p>
        </w:tc>
      </w:tr>
      <w:tr w14:paraId="37BAB4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9" w:hRule="atLeast"/>
        </w:trPr>
        <w:tc>
          <w:tcPr>
            <w:tcW w:w="1124" w:type="dxa"/>
            <w:shd w:val="clear" w:color="auto" w:fill="auto"/>
            <w:noWrap/>
            <w:vAlign w:val="center"/>
          </w:tcPr>
          <w:p w14:paraId="6C01613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58</w:t>
            </w:r>
          </w:p>
        </w:tc>
        <w:tc>
          <w:tcPr>
            <w:tcW w:w="2760" w:type="dxa"/>
            <w:shd w:val="clear" w:color="auto" w:fill="auto"/>
            <w:noWrap/>
            <w:vAlign w:val="center"/>
          </w:tcPr>
          <w:p w14:paraId="7514AEE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爬梯</w:t>
            </w:r>
          </w:p>
        </w:tc>
        <w:tc>
          <w:tcPr>
            <w:tcW w:w="1832" w:type="dxa"/>
            <w:shd w:val="clear" w:color="auto" w:fill="auto"/>
            <w:noWrap/>
            <w:vAlign w:val="center"/>
          </w:tcPr>
          <w:p w14:paraId="2F4EEFE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套</w:t>
            </w:r>
          </w:p>
        </w:tc>
        <w:tc>
          <w:tcPr>
            <w:tcW w:w="1052" w:type="dxa"/>
            <w:shd w:val="clear" w:color="auto" w:fill="auto"/>
            <w:noWrap/>
            <w:vAlign w:val="center"/>
          </w:tcPr>
          <w:p w14:paraId="6E190B6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1</w:t>
            </w:r>
          </w:p>
        </w:tc>
        <w:tc>
          <w:tcPr>
            <w:tcW w:w="2589" w:type="dxa"/>
            <w:shd w:val="clear" w:color="auto" w:fill="auto"/>
            <w:noWrap/>
            <w:vAlign w:val="center"/>
          </w:tcPr>
          <w:p w14:paraId="797D325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航空铝4.5米12吨</w:t>
            </w:r>
          </w:p>
        </w:tc>
      </w:tr>
      <w:tr w14:paraId="3B0C21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vMerge w:val="restart"/>
            <w:shd w:val="clear" w:color="auto" w:fill="auto"/>
            <w:noWrap/>
            <w:vAlign w:val="center"/>
          </w:tcPr>
          <w:p w14:paraId="0104E55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59</w:t>
            </w:r>
          </w:p>
        </w:tc>
        <w:tc>
          <w:tcPr>
            <w:tcW w:w="2760" w:type="dxa"/>
            <w:shd w:val="clear" w:color="auto" w:fill="auto"/>
            <w:noWrap/>
            <w:vAlign w:val="center"/>
          </w:tcPr>
          <w:p w14:paraId="6412319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拔管机</w:t>
            </w:r>
          </w:p>
        </w:tc>
        <w:tc>
          <w:tcPr>
            <w:tcW w:w="1832" w:type="dxa"/>
            <w:shd w:val="clear" w:color="auto" w:fill="auto"/>
            <w:noWrap/>
            <w:vAlign w:val="center"/>
          </w:tcPr>
          <w:p w14:paraId="488C172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套</w:t>
            </w:r>
          </w:p>
        </w:tc>
        <w:tc>
          <w:tcPr>
            <w:tcW w:w="1052" w:type="dxa"/>
            <w:shd w:val="clear" w:color="auto" w:fill="auto"/>
            <w:noWrap/>
            <w:vAlign w:val="center"/>
          </w:tcPr>
          <w:p w14:paraId="0801E83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1</w:t>
            </w:r>
          </w:p>
        </w:tc>
        <w:tc>
          <w:tcPr>
            <w:tcW w:w="2589" w:type="dxa"/>
            <w:shd w:val="clear" w:color="auto" w:fill="auto"/>
            <w:noWrap/>
            <w:vAlign w:val="center"/>
          </w:tcPr>
          <w:p w14:paraId="7438746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含快速接头</w:t>
            </w:r>
          </w:p>
        </w:tc>
      </w:tr>
      <w:tr w14:paraId="740D66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vMerge w:val="continue"/>
            <w:shd w:val="clear" w:color="auto" w:fill="auto"/>
            <w:noWrap/>
            <w:vAlign w:val="center"/>
          </w:tcPr>
          <w:p w14:paraId="643E3202">
            <w:pPr>
              <w:jc w:val="center"/>
              <w:rPr>
                <w:rFonts w:hint="eastAsia" w:asciiTheme="minorEastAsia" w:hAnsiTheme="minorEastAsia" w:eastAsiaTheme="minorEastAsia" w:cstheme="minorEastAsia"/>
                <w:i w:val="0"/>
                <w:iCs w:val="0"/>
                <w:color w:val="000000"/>
                <w:sz w:val="24"/>
                <w:szCs w:val="24"/>
                <w:highlight w:val="none"/>
                <w:u w:val="none"/>
              </w:rPr>
            </w:pPr>
          </w:p>
        </w:tc>
        <w:tc>
          <w:tcPr>
            <w:tcW w:w="2760" w:type="dxa"/>
            <w:shd w:val="clear" w:color="auto" w:fill="auto"/>
            <w:noWrap/>
            <w:vAlign w:val="center"/>
          </w:tcPr>
          <w:p w14:paraId="24B271C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拔管机卡瓦89</w:t>
            </w:r>
          </w:p>
        </w:tc>
        <w:tc>
          <w:tcPr>
            <w:tcW w:w="1832" w:type="dxa"/>
            <w:shd w:val="clear" w:color="auto" w:fill="auto"/>
            <w:noWrap/>
            <w:vAlign w:val="center"/>
          </w:tcPr>
          <w:p w14:paraId="62ACAE5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片</w:t>
            </w:r>
          </w:p>
        </w:tc>
        <w:tc>
          <w:tcPr>
            <w:tcW w:w="1052" w:type="dxa"/>
            <w:shd w:val="clear" w:color="auto" w:fill="auto"/>
            <w:noWrap/>
            <w:vAlign w:val="center"/>
          </w:tcPr>
          <w:p w14:paraId="60E89A6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6</w:t>
            </w:r>
          </w:p>
        </w:tc>
        <w:tc>
          <w:tcPr>
            <w:tcW w:w="2589" w:type="dxa"/>
            <w:shd w:val="clear" w:color="auto" w:fill="auto"/>
            <w:noWrap/>
            <w:vAlign w:val="center"/>
          </w:tcPr>
          <w:p w14:paraId="09A05716">
            <w:pPr>
              <w:jc w:val="center"/>
              <w:rPr>
                <w:rFonts w:hint="eastAsia" w:asciiTheme="minorEastAsia" w:hAnsiTheme="minorEastAsia" w:eastAsiaTheme="minorEastAsia" w:cstheme="minorEastAsia"/>
                <w:i w:val="0"/>
                <w:iCs w:val="0"/>
                <w:color w:val="000000"/>
                <w:sz w:val="24"/>
                <w:szCs w:val="24"/>
                <w:highlight w:val="none"/>
                <w:u w:val="none"/>
              </w:rPr>
            </w:pPr>
          </w:p>
        </w:tc>
      </w:tr>
      <w:tr w14:paraId="7F8F56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vMerge w:val="continue"/>
            <w:shd w:val="clear" w:color="auto" w:fill="auto"/>
            <w:noWrap/>
            <w:vAlign w:val="center"/>
          </w:tcPr>
          <w:p w14:paraId="3F73DBB7">
            <w:pPr>
              <w:jc w:val="center"/>
              <w:rPr>
                <w:rFonts w:hint="eastAsia" w:asciiTheme="minorEastAsia" w:hAnsiTheme="minorEastAsia" w:eastAsiaTheme="minorEastAsia" w:cstheme="minorEastAsia"/>
                <w:i w:val="0"/>
                <w:iCs w:val="0"/>
                <w:color w:val="000000"/>
                <w:sz w:val="24"/>
                <w:szCs w:val="24"/>
                <w:highlight w:val="none"/>
                <w:u w:val="none"/>
              </w:rPr>
            </w:pPr>
          </w:p>
        </w:tc>
        <w:tc>
          <w:tcPr>
            <w:tcW w:w="2760" w:type="dxa"/>
            <w:shd w:val="clear" w:color="auto" w:fill="auto"/>
            <w:noWrap/>
            <w:vAlign w:val="center"/>
          </w:tcPr>
          <w:p w14:paraId="68D9336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拔管机卡瓦110</w:t>
            </w:r>
          </w:p>
        </w:tc>
        <w:tc>
          <w:tcPr>
            <w:tcW w:w="1832" w:type="dxa"/>
            <w:shd w:val="clear" w:color="auto" w:fill="auto"/>
            <w:noWrap/>
            <w:vAlign w:val="center"/>
          </w:tcPr>
          <w:p w14:paraId="6AABAAA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片</w:t>
            </w:r>
          </w:p>
        </w:tc>
        <w:tc>
          <w:tcPr>
            <w:tcW w:w="1052" w:type="dxa"/>
            <w:shd w:val="clear" w:color="auto" w:fill="auto"/>
            <w:noWrap/>
            <w:vAlign w:val="center"/>
          </w:tcPr>
          <w:p w14:paraId="0402C6D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6</w:t>
            </w:r>
          </w:p>
        </w:tc>
        <w:tc>
          <w:tcPr>
            <w:tcW w:w="2589" w:type="dxa"/>
            <w:shd w:val="clear" w:color="auto" w:fill="auto"/>
            <w:noWrap/>
            <w:vAlign w:val="center"/>
          </w:tcPr>
          <w:p w14:paraId="7B844EAF">
            <w:pPr>
              <w:jc w:val="center"/>
              <w:rPr>
                <w:rFonts w:hint="eastAsia" w:asciiTheme="minorEastAsia" w:hAnsiTheme="minorEastAsia" w:eastAsiaTheme="minorEastAsia" w:cstheme="minorEastAsia"/>
                <w:i w:val="0"/>
                <w:iCs w:val="0"/>
                <w:color w:val="000000"/>
                <w:sz w:val="24"/>
                <w:szCs w:val="24"/>
                <w:highlight w:val="none"/>
                <w:u w:val="none"/>
              </w:rPr>
            </w:pPr>
          </w:p>
        </w:tc>
      </w:tr>
      <w:tr w14:paraId="0FD240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9" w:hRule="atLeast"/>
        </w:trPr>
        <w:tc>
          <w:tcPr>
            <w:tcW w:w="1124" w:type="dxa"/>
            <w:shd w:val="clear" w:color="auto" w:fill="auto"/>
            <w:noWrap/>
            <w:vAlign w:val="center"/>
          </w:tcPr>
          <w:p w14:paraId="1C2D3CF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60</w:t>
            </w:r>
          </w:p>
        </w:tc>
        <w:tc>
          <w:tcPr>
            <w:tcW w:w="2760" w:type="dxa"/>
            <w:shd w:val="clear" w:color="auto" w:fill="auto"/>
            <w:noWrap/>
            <w:vAlign w:val="center"/>
          </w:tcPr>
          <w:p w14:paraId="70F40DA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防冻液</w:t>
            </w:r>
          </w:p>
        </w:tc>
        <w:tc>
          <w:tcPr>
            <w:tcW w:w="1832" w:type="dxa"/>
            <w:shd w:val="clear" w:color="auto" w:fill="auto"/>
            <w:noWrap/>
            <w:vAlign w:val="center"/>
          </w:tcPr>
          <w:p w14:paraId="23A9BE5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桶</w:t>
            </w:r>
          </w:p>
        </w:tc>
        <w:tc>
          <w:tcPr>
            <w:tcW w:w="1052" w:type="dxa"/>
            <w:shd w:val="clear" w:color="auto" w:fill="auto"/>
            <w:noWrap/>
            <w:vAlign w:val="center"/>
          </w:tcPr>
          <w:p w14:paraId="3FEAE7B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4</w:t>
            </w:r>
          </w:p>
        </w:tc>
        <w:tc>
          <w:tcPr>
            <w:tcW w:w="2589" w:type="dxa"/>
            <w:shd w:val="clear" w:color="auto" w:fill="auto"/>
            <w:noWrap/>
            <w:vAlign w:val="center"/>
          </w:tcPr>
          <w:p w14:paraId="25FAEE67">
            <w:pPr>
              <w:jc w:val="center"/>
              <w:rPr>
                <w:rFonts w:hint="eastAsia" w:asciiTheme="minorEastAsia" w:hAnsiTheme="minorEastAsia" w:eastAsiaTheme="minorEastAsia" w:cstheme="minorEastAsia"/>
                <w:i w:val="0"/>
                <w:iCs w:val="0"/>
                <w:color w:val="000000"/>
                <w:sz w:val="24"/>
                <w:szCs w:val="24"/>
                <w:highlight w:val="none"/>
                <w:u w:val="none"/>
              </w:rPr>
            </w:pPr>
          </w:p>
        </w:tc>
      </w:tr>
      <w:tr w14:paraId="74A6F6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430DFAA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61</w:t>
            </w:r>
          </w:p>
        </w:tc>
        <w:tc>
          <w:tcPr>
            <w:tcW w:w="2760" w:type="dxa"/>
            <w:shd w:val="clear" w:color="auto" w:fill="auto"/>
            <w:noWrap/>
            <w:vAlign w:val="center"/>
          </w:tcPr>
          <w:p w14:paraId="4D0EB16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钢丝绳</w:t>
            </w:r>
          </w:p>
        </w:tc>
        <w:tc>
          <w:tcPr>
            <w:tcW w:w="1832" w:type="dxa"/>
            <w:shd w:val="clear" w:color="auto" w:fill="auto"/>
            <w:noWrap/>
            <w:vAlign w:val="center"/>
          </w:tcPr>
          <w:p w14:paraId="7432C0E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捆</w:t>
            </w:r>
          </w:p>
        </w:tc>
        <w:tc>
          <w:tcPr>
            <w:tcW w:w="1052" w:type="dxa"/>
            <w:shd w:val="clear" w:color="auto" w:fill="auto"/>
            <w:noWrap/>
            <w:vAlign w:val="center"/>
          </w:tcPr>
          <w:p w14:paraId="6FA8BA3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1</w:t>
            </w:r>
          </w:p>
        </w:tc>
        <w:tc>
          <w:tcPr>
            <w:tcW w:w="2589" w:type="dxa"/>
            <w:shd w:val="clear" w:color="auto" w:fill="auto"/>
            <w:noWrap/>
            <w:vAlign w:val="center"/>
          </w:tcPr>
          <w:p w14:paraId="6708081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1000米</w:t>
            </w:r>
          </w:p>
        </w:tc>
      </w:tr>
      <w:tr w14:paraId="2A4499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0411304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62</w:t>
            </w:r>
          </w:p>
        </w:tc>
        <w:tc>
          <w:tcPr>
            <w:tcW w:w="2760" w:type="dxa"/>
            <w:shd w:val="clear" w:color="auto" w:fill="auto"/>
            <w:noWrap/>
            <w:vAlign w:val="center"/>
          </w:tcPr>
          <w:p w14:paraId="61E4284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电瓶</w:t>
            </w:r>
          </w:p>
        </w:tc>
        <w:tc>
          <w:tcPr>
            <w:tcW w:w="1832" w:type="dxa"/>
            <w:shd w:val="clear" w:color="auto" w:fill="auto"/>
            <w:noWrap/>
            <w:vAlign w:val="center"/>
          </w:tcPr>
          <w:p w14:paraId="7995172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个</w:t>
            </w:r>
          </w:p>
        </w:tc>
        <w:tc>
          <w:tcPr>
            <w:tcW w:w="1052" w:type="dxa"/>
            <w:shd w:val="clear" w:color="auto" w:fill="auto"/>
            <w:noWrap/>
            <w:vAlign w:val="center"/>
          </w:tcPr>
          <w:p w14:paraId="52F980B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1</w:t>
            </w:r>
          </w:p>
        </w:tc>
        <w:tc>
          <w:tcPr>
            <w:tcW w:w="2589" w:type="dxa"/>
            <w:shd w:val="clear" w:color="auto" w:fill="auto"/>
            <w:noWrap/>
            <w:vAlign w:val="center"/>
          </w:tcPr>
          <w:p w14:paraId="622F820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120A</w:t>
            </w:r>
          </w:p>
        </w:tc>
      </w:tr>
      <w:tr w14:paraId="512E2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1A58FF3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63</w:t>
            </w:r>
          </w:p>
        </w:tc>
        <w:tc>
          <w:tcPr>
            <w:tcW w:w="2760" w:type="dxa"/>
            <w:shd w:val="clear" w:color="auto" w:fill="auto"/>
            <w:noWrap/>
            <w:vAlign w:val="center"/>
          </w:tcPr>
          <w:p w14:paraId="495BBB8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提头</w:t>
            </w:r>
          </w:p>
        </w:tc>
        <w:tc>
          <w:tcPr>
            <w:tcW w:w="1832" w:type="dxa"/>
            <w:shd w:val="clear" w:color="auto" w:fill="auto"/>
            <w:noWrap/>
            <w:vAlign w:val="center"/>
          </w:tcPr>
          <w:p w14:paraId="2DD1637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个</w:t>
            </w:r>
          </w:p>
        </w:tc>
        <w:tc>
          <w:tcPr>
            <w:tcW w:w="1052" w:type="dxa"/>
            <w:shd w:val="clear" w:color="auto" w:fill="auto"/>
            <w:noWrap/>
            <w:vAlign w:val="center"/>
          </w:tcPr>
          <w:p w14:paraId="52447BD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1</w:t>
            </w:r>
          </w:p>
        </w:tc>
        <w:tc>
          <w:tcPr>
            <w:tcW w:w="2589" w:type="dxa"/>
            <w:shd w:val="clear" w:color="auto" w:fill="auto"/>
            <w:noWrap/>
            <w:vAlign w:val="center"/>
          </w:tcPr>
          <w:p w14:paraId="0829D901">
            <w:pPr>
              <w:jc w:val="center"/>
              <w:rPr>
                <w:rFonts w:hint="eastAsia" w:asciiTheme="minorEastAsia" w:hAnsiTheme="minorEastAsia" w:eastAsiaTheme="minorEastAsia" w:cstheme="minorEastAsia"/>
                <w:i w:val="0"/>
                <w:iCs w:val="0"/>
                <w:color w:val="000000"/>
                <w:sz w:val="24"/>
                <w:szCs w:val="24"/>
                <w:highlight w:val="none"/>
                <w:u w:val="none"/>
              </w:rPr>
            </w:pPr>
          </w:p>
        </w:tc>
      </w:tr>
      <w:tr w14:paraId="46A52D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9" w:hRule="atLeast"/>
        </w:trPr>
        <w:tc>
          <w:tcPr>
            <w:tcW w:w="1124" w:type="dxa"/>
            <w:shd w:val="clear" w:color="auto" w:fill="auto"/>
            <w:noWrap/>
            <w:vAlign w:val="center"/>
          </w:tcPr>
          <w:p w14:paraId="3628E05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64</w:t>
            </w:r>
          </w:p>
        </w:tc>
        <w:tc>
          <w:tcPr>
            <w:tcW w:w="2760" w:type="dxa"/>
            <w:shd w:val="clear" w:color="auto" w:fill="auto"/>
            <w:noWrap/>
            <w:vAlign w:val="center"/>
          </w:tcPr>
          <w:p w14:paraId="4CC84C8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泥浆泵皮碗</w:t>
            </w:r>
          </w:p>
        </w:tc>
        <w:tc>
          <w:tcPr>
            <w:tcW w:w="1832" w:type="dxa"/>
            <w:shd w:val="clear" w:color="auto" w:fill="auto"/>
            <w:noWrap/>
            <w:vAlign w:val="center"/>
          </w:tcPr>
          <w:p w14:paraId="0F20C31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个</w:t>
            </w:r>
          </w:p>
        </w:tc>
        <w:tc>
          <w:tcPr>
            <w:tcW w:w="1052" w:type="dxa"/>
            <w:shd w:val="clear" w:color="auto" w:fill="auto"/>
            <w:noWrap/>
            <w:vAlign w:val="center"/>
          </w:tcPr>
          <w:p w14:paraId="55F3931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30</w:t>
            </w:r>
          </w:p>
        </w:tc>
        <w:tc>
          <w:tcPr>
            <w:tcW w:w="2589" w:type="dxa"/>
            <w:shd w:val="clear" w:color="auto" w:fill="auto"/>
            <w:noWrap/>
            <w:vAlign w:val="center"/>
          </w:tcPr>
          <w:p w14:paraId="53CD2753">
            <w:pPr>
              <w:jc w:val="center"/>
              <w:rPr>
                <w:rFonts w:hint="eastAsia" w:asciiTheme="minorEastAsia" w:hAnsiTheme="minorEastAsia" w:eastAsiaTheme="minorEastAsia" w:cstheme="minorEastAsia"/>
                <w:i w:val="0"/>
                <w:iCs w:val="0"/>
                <w:color w:val="000000"/>
                <w:sz w:val="24"/>
                <w:szCs w:val="24"/>
                <w:highlight w:val="none"/>
                <w:u w:val="none"/>
              </w:rPr>
            </w:pPr>
          </w:p>
        </w:tc>
      </w:tr>
      <w:tr w14:paraId="0F098B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9" w:hRule="atLeast"/>
        </w:trPr>
        <w:tc>
          <w:tcPr>
            <w:tcW w:w="1124" w:type="dxa"/>
            <w:shd w:val="clear" w:color="auto" w:fill="auto"/>
            <w:noWrap/>
            <w:vAlign w:val="center"/>
          </w:tcPr>
          <w:p w14:paraId="3BB8DAC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65</w:t>
            </w:r>
          </w:p>
        </w:tc>
        <w:tc>
          <w:tcPr>
            <w:tcW w:w="2760" w:type="dxa"/>
            <w:shd w:val="clear" w:color="auto" w:fill="auto"/>
            <w:noWrap/>
            <w:vAlign w:val="center"/>
          </w:tcPr>
          <w:p w14:paraId="351AE3E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芯管</w:t>
            </w:r>
          </w:p>
        </w:tc>
        <w:tc>
          <w:tcPr>
            <w:tcW w:w="1832" w:type="dxa"/>
            <w:shd w:val="clear" w:color="auto" w:fill="auto"/>
            <w:noWrap/>
            <w:vAlign w:val="center"/>
          </w:tcPr>
          <w:p w14:paraId="2570AA0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个</w:t>
            </w:r>
          </w:p>
        </w:tc>
        <w:tc>
          <w:tcPr>
            <w:tcW w:w="1052" w:type="dxa"/>
            <w:shd w:val="clear" w:color="auto" w:fill="auto"/>
            <w:noWrap/>
            <w:vAlign w:val="center"/>
          </w:tcPr>
          <w:p w14:paraId="457B6E7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10</w:t>
            </w:r>
          </w:p>
        </w:tc>
        <w:tc>
          <w:tcPr>
            <w:tcW w:w="2589" w:type="dxa"/>
            <w:shd w:val="clear" w:color="auto" w:fill="auto"/>
            <w:noWrap/>
            <w:vAlign w:val="center"/>
          </w:tcPr>
          <w:p w14:paraId="7EF7BBAA">
            <w:pPr>
              <w:jc w:val="center"/>
              <w:rPr>
                <w:rFonts w:hint="eastAsia" w:asciiTheme="minorEastAsia" w:hAnsiTheme="minorEastAsia" w:eastAsiaTheme="minorEastAsia" w:cstheme="minorEastAsia"/>
                <w:i w:val="0"/>
                <w:iCs w:val="0"/>
                <w:color w:val="000000"/>
                <w:sz w:val="24"/>
                <w:szCs w:val="24"/>
                <w:highlight w:val="none"/>
                <w:u w:val="none"/>
              </w:rPr>
            </w:pPr>
          </w:p>
        </w:tc>
      </w:tr>
      <w:tr w14:paraId="376668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shd w:val="clear" w:color="auto" w:fill="auto"/>
            <w:noWrap/>
            <w:vAlign w:val="center"/>
          </w:tcPr>
          <w:p w14:paraId="5AF9B63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66</w:t>
            </w:r>
          </w:p>
        </w:tc>
        <w:tc>
          <w:tcPr>
            <w:tcW w:w="2760" w:type="dxa"/>
            <w:shd w:val="clear" w:color="auto" w:fill="auto"/>
            <w:noWrap/>
            <w:vAlign w:val="center"/>
          </w:tcPr>
          <w:p w14:paraId="65B4D4D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轴承</w:t>
            </w:r>
          </w:p>
        </w:tc>
        <w:tc>
          <w:tcPr>
            <w:tcW w:w="1832" w:type="dxa"/>
            <w:shd w:val="clear" w:color="auto" w:fill="auto"/>
            <w:noWrap/>
            <w:vAlign w:val="center"/>
          </w:tcPr>
          <w:p w14:paraId="7E36E3F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个</w:t>
            </w:r>
          </w:p>
        </w:tc>
        <w:tc>
          <w:tcPr>
            <w:tcW w:w="1052" w:type="dxa"/>
            <w:shd w:val="clear" w:color="auto" w:fill="auto"/>
            <w:noWrap/>
            <w:vAlign w:val="center"/>
          </w:tcPr>
          <w:p w14:paraId="1165316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10</w:t>
            </w:r>
          </w:p>
        </w:tc>
        <w:tc>
          <w:tcPr>
            <w:tcW w:w="2589" w:type="dxa"/>
            <w:shd w:val="clear" w:color="auto" w:fill="auto"/>
            <w:noWrap/>
            <w:vAlign w:val="center"/>
          </w:tcPr>
          <w:p w14:paraId="1ACAB325">
            <w:pPr>
              <w:jc w:val="center"/>
              <w:rPr>
                <w:rFonts w:hint="eastAsia" w:asciiTheme="minorEastAsia" w:hAnsiTheme="minorEastAsia" w:eastAsiaTheme="minorEastAsia" w:cstheme="minorEastAsia"/>
                <w:i w:val="0"/>
                <w:iCs w:val="0"/>
                <w:color w:val="000000"/>
                <w:sz w:val="24"/>
                <w:szCs w:val="24"/>
                <w:highlight w:val="none"/>
                <w:u w:val="none"/>
              </w:rPr>
            </w:pPr>
          </w:p>
        </w:tc>
      </w:tr>
      <w:tr w14:paraId="64943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vMerge w:val="restart"/>
            <w:shd w:val="clear" w:color="auto" w:fill="auto"/>
            <w:noWrap/>
            <w:vAlign w:val="center"/>
          </w:tcPr>
          <w:p w14:paraId="0009DFE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67</w:t>
            </w:r>
          </w:p>
        </w:tc>
        <w:tc>
          <w:tcPr>
            <w:tcW w:w="2760" w:type="dxa"/>
            <w:shd w:val="clear" w:color="auto" w:fill="auto"/>
            <w:noWrap/>
            <w:vAlign w:val="center"/>
          </w:tcPr>
          <w:p w14:paraId="12FC846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水封</w:t>
            </w:r>
          </w:p>
        </w:tc>
        <w:tc>
          <w:tcPr>
            <w:tcW w:w="1832" w:type="dxa"/>
            <w:shd w:val="clear" w:color="auto" w:fill="auto"/>
            <w:noWrap/>
            <w:vAlign w:val="center"/>
          </w:tcPr>
          <w:p w14:paraId="41D585F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个</w:t>
            </w:r>
          </w:p>
        </w:tc>
        <w:tc>
          <w:tcPr>
            <w:tcW w:w="1052" w:type="dxa"/>
            <w:shd w:val="clear" w:color="auto" w:fill="auto"/>
            <w:noWrap/>
            <w:vAlign w:val="center"/>
          </w:tcPr>
          <w:p w14:paraId="4BDB88F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10</w:t>
            </w:r>
          </w:p>
        </w:tc>
        <w:tc>
          <w:tcPr>
            <w:tcW w:w="2589" w:type="dxa"/>
            <w:shd w:val="clear" w:color="auto" w:fill="auto"/>
            <w:noWrap/>
            <w:vAlign w:val="center"/>
          </w:tcPr>
          <w:p w14:paraId="76F1ACCC">
            <w:pPr>
              <w:jc w:val="center"/>
              <w:rPr>
                <w:rFonts w:hint="eastAsia" w:asciiTheme="minorEastAsia" w:hAnsiTheme="minorEastAsia" w:eastAsiaTheme="minorEastAsia" w:cstheme="minorEastAsia"/>
                <w:i w:val="0"/>
                <w:iCs w:val="0"/>
                <w:color w:val="000000"/>
                <w:sz w:val="24"/>
                <w:szCs w:val="24"/>
                <w:highlight w:val="none"/>
                <w:u w:val="none"/>
              </w:rPr>
            </w:pPr>
          </w:p>
        </w:tc>
      </w:tr>
      <w:tr w14:paraId="6F51C9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39" w:hRule="atLeast"/>
        </w:trPr>
        <w:tc>
          <w:tcPr>
            <w:tcW w:w="1124" w:type="dxa"/>
            <w:vMerge w:val="continue"/>
            <w:shd w:val="clear" w:color="auto" w:fill="auto"/>
            <w:noWrap/>
            <w:vAlign w:val="center"/>
          </w:tcPr>
          <w:p w14:paraId="42BF5F53">
            <w:pPr>
              <w:jc w:val="center"/>
              <w:rPr>
                <w:rFonts w:hint="eastAsia" w:asciiTheme="minorEastAsia" w:hAnsiTheme="minorEastAsia" w:eastAsiaTheme="minorEastAsia" w:cstheme="minorEastAsia"/>
                <w:i w:val="0"/>
                <w:iCs w:val="0"/>
                <w:color w:val="000000"/>
                <w:sz w:val="24"/>
                <w:szCs w:val="24"/>
                <w:highlight w:val="none"/>
                <w:u w:val="none"/>
              </w:rPr>
            </w:pPr>
          </w:p>
        </w:tc>
        <w:tc>
          <w:tcPr>
            <w:tcW w:w="2760" w:type="dxa"/>
            <w:shd w:val="clear" w:color="auto" w:fill="auto"/>
            <w:noWrap/>
            <w:vAlign w:val="center"/>
          </w:tcPr>
          <w:p w14:paraId="09B3BFF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丝锥（公）</w:t>
            </w:r>
          </w:p>
        </w:tc>
        <w:tc>
          <w:tcPr>
            <w:tcW w:w="1832" w:type="dxa"/>
            <w:shd w:val="clear" w:color="auto" w:fill="auto"/>
            <w:noWrap/>
            <w:vAlign w:val="center"/>
          </w:tcPr>
          <w:p w14:paraId="68A09BE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NTW</w:t>
            </w:r>
          </w:p>
        </w:tc>
        <w:tc>
          <w:tcPr>
            <w:tcW w:w="1052" w:type="dxa"/>
            <w:shd w:val="clear" w:color="auto" w:fill="auto"/>
            <w:noWrap/>
            <w:vAlign w:val="center"/>
          </w:tcPr>
          <w:p w14:paraId="58F9D52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2</w:t>
            </w:r>
          </w:p>
        </w:tc>
        <w:tc>
          <w:tcPr>
            <w:tcW w:w="2589" w:type="dxa"/>
            <w:shd w:val="clear" w:color="auto" w:fill="auto"/>
            <w:noWrap/>
            <w:vAlign w:val="center"/>
          </w:tcPr>
          <w:p w14:paraId="0E686390">
            <w:pPr>
              <w:jc w:val="center"/>
              <w:rPr>
                <w:rFonts w:hint="eastAsia" w:asciiTheme="minorEastAsia" w:hAnsiTheme="minorEastAsia" w:eastAsiaTheme="minorEastAsia" w:cstheme="minorEastAsia"/>
                <w:i w:val="0"/>
                <w:iCs w:val="0"/>
                <w:color w:val="000000"/>
                <w:sz w:val="24"/>
                <w:szCs w:val="24"/>
                <w:highlight w:val="none"/>
                <w:u w:val="none"/>
              </w:rPr>
            </w:pPr>
          </w:p>
        </w:tc>
      </w:tr>
      <w:tr w14:paraId="56E034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1124" w:type="dxa"/>
            <w:vMerge w:val="continue"/>
            <w:shd w:val="clear" w:color="auto" w:fill="auto"/>
            <w:noWrap/>
            <w:vAlign w:val="center"/>
          </w:tcPr>
          <w:p w14:paraId="12E96164">
            <w:pPr>
              <w:jc w:val="center"/>
              <w:rPr>
                <w:rFonts w:hint="eastAsia" w:asciiTheme="minorEastAsia" w:hAnsiTheme="minorEastAsia" w:eastAsiaTheme="minorEastAsia" w:cstheme="minorEastAsia"/>
                <w:i w:val="0"/>
                <w:iCs w:val="0"/>
                <w:color w:val="000000"/>
                <w:sz w:val="24"/>
                <w:szCs w:val="24"/>
                <w:highlight w:val="none"/>
                <w:u w:val="none"/>
              </w:rPr>
            </w:pPr>
          </w:p>
        </w:tc>
        <w:tc>
          <w:tcPr>
            <w:tcW w:w="2760" w:type="dxa"/>
            <w:shd w:val="clear" w:color="auto" w:fill="auto"/>
            <w:noWrap/>
            <w:vAlign w:val="center"/>
          </w:tcPr>
          <w:p w14:paraId="6ACAEE8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丝锥（公）</w:t>
            </w:r>
          </w:p>
        </w:tc>
        <w:tc>
          <w:tcPr>
            <w:tcW w:w="1832" w:type="dxa"/>
            <w:shd w:val="clear" w:color="auto" w:fill="auto"/>
            <w:noWrap/>
            <w:vAlign w:val="center"/>
          </w:tcPr>
          <w:p w14:paraId="5C4AA48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HTW</w:t>
            </w:r>
          </w:p>
        </w:tc>
        <w:tc>
          <w:tcPr>
            <w:tcW w:w="1052" w:type="dxa"/>
            <w:shd w:val="clear" w:color="auto" w:fill="auto"/>
            <w:noWrap/>
            <w:vAlign w:val="center"/>
          </w:tcPr>
          <w:p w14:paraId="46651D8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2</w:t>
            </w:r>
          </w:p>
        </w:tc>
        <w:tc>
          <w:tcPr>
            <w:tcW w:w="2589" w:type="dxa"/>
            <w:shd w:val="clear" w:color="auto" w:fill="auto"/>
            <w:noWrap/>
            <w:vAlign w:val="center"/>
          </w:tcPr>
          <w:p w14:paraId="7E3B6DAE">
            <w:pPr>
              <w:jc w:val="center"/>
              <w:rPr>
                <w:rFonts w:hint="eastAsia" w:asciiTheme="minorEastAsia" w:hAnsiTheme="minorEastAsia" w:eastAsiaTheme="minorEastAsia" w:cstheme="minorEastAsia"/>
                <w:i w:val="0"/>
                <w:iCs w:val="0"/>
                <w:color w:val="000000"/>
                <w:sz w:val="24"/>
                <w:szCs w:val="24"/>
                <w:highlight w:val="none"/>
                <w:u w:val="none"/>
              </w:rPr>
            </w:pPr>
          </w:p>
        </w:tc>
      </w:tr>
      <w:tr w14:paraId="5EE0BF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1124" w:type="dxa"/>
            <w:shd w:val="clear" w:color="auto" w:fill="auto"/>
            <w:noWrap/>
            <w:vAlign w:val="center"/>
          </w:tcPr>
          <w:p w14:paraId="766E287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68</w:t>
            </w:r>
          </w:p>
        </w:tc>
        <w:tc>
          <w:tcPr>
            <w:tcW w:w="2760" w:type="dxa"/>
            <w:shd w:val="clear" w:color="auto" w:fill="auto"/>
            <w:noWrap/>
            <w:vAlign w:val="center"/>
          </w:tcPr>
          <w:p w14:paraId="778A3B5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高速搅拌机</w:t>
            </w:r>
          </w:p>
        </w:tc>
        <w:tc>
          <w:tcPr>
            <w:tcW w:w="1832" w:type="dxa"/>
            <w:shd w:val="clear" w:color="auto" w:fill="auto"/>
            <w:noWrap/>
            <w:vAlign w:val="center"/>
          </w:tcPr>
          <w:p w14:paraId="70BB8ED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台</w:t>
            </w:r>
          </w:p>
        </w:tc>
        <w:tc>
          <w:tcPr>
            <w:tcW w:w="1052" w:type="dxa"/>
            <w:shd w:val="clear" w:color="auto" w:fill="auto"/>
            <w:noWrap/>
            <w:vAlign w:val="center"/>
          </w:tcPr>
          <w:p w14:paraId="1D31753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highlight w:val="none"/>
                <w:u w:val="none"/>
              </w:rPr>
            </w:pPr>
            <w:r>
              <w:rPr>
                <w:rFonts w:hint="eastAsia" w:asciiTheme="minorEastAsia" w:hAnsiTheme="minorEastAsia" w:eastAsiaTheme="minorEastAsia" w:cstheme="minorEastAsia"/>
                <w:i w:val="0"/>
                <w:iCs w:val="0"/>
                <w:color w:val="000000"/>
                <w:kern w:val="0"/>
                <w:sz w:val="24"/>
                <w:szCs w:val="24"/>
                <w:highlight w:val="none"/>
                <w:u w:val="none"/>
                <w:lang w:val="en-US" w:eastAsia="zh-CN" w:bidi="ar"/>
              </w:rPr>
              <w:t>1</w:t>
            </w:r>
          </w:p>
        </w:tc>
        <w:tc>
          <w:tcPr>
            <w:tcW w:w="2589" w:type="dxa"/>
            <w:shd w:val="clear" w:color="auto" w:fill="auto"/>
            <w:noWrap/>
            <w:vAlign w:val="center"/>
          </w:tcPr>
          <w:p w14:paraId="267ACFD9">
            <w:pPr>
              <w:jc w:val="center"/>
              <w:rPr>
                <w:rFonts w:hint="eastAsia" w:asciiTheme="minorEastAsia" w:hAnsiTheme="minorEastAsia" w:eastAsiaTheme="minorEastAsia" w:cstheme="minorEastAsia"/>
                <w:i w:val="0"/>
                <w:iCs w:val="0"/>
                <w:color w:val="000000"/>
                <w:sz w:val="24"/>
                <w:szCs w:val="24"/>
                <w:highlight w:val="none"/>
                <w:u w:val="none"/>
              </w:rPr>
            </w:pPr>
          </w:p>
        </w:tc>
      </w:tr>
    </w:tbl>
    <w:p w14:paraId="1676C707">
      <w:pPr>
        <w:pStyle w:val="42"/>
        <w:rPr>
          <w:rFonts w:hint="eastAsia" w:ascii="宋体" w:hAnsi="宋体" w:eastAsia="宋体" w:cs="宋体"/>
          <w:b/>
          <w:color w:val="auto"/>
          <w:sz w:val="24"/>
          <w:szCs w:val="16"/>
          <w:highlight w:val="none"/>
          <w:lang w:val="en-US" w:eastAsia="zh-CN"/>
        </w:rPr>
      </w:pPr>
    </w:p>
    <w:p w14:paraId="196BE4F8">
      <w:pPr>
        <w:pStyle w:val="42"/>
        <w:rPr>
          <w:rFonts w:hint="eastAsia" w:ascii="宋体" w:hAnsi="宋体" w:eastAsia="宋体" w:cs="宋体"/>
          <w:b/>
          <w:color w:val="auto"/>
          <w:sz w:val="24"/>
          <w:szCs w:val="16"/>
          <w:highlight w:val="none"/>
          <w:lang w:val="en-US" w:eastAsia="zh-CN"/>
        </w:rPr>
      </w:pPr>
      <w:r>
        <w:rPr>
          <w:rFonts w:hint="eastAsia" w:ascii="宋体" w:hAnsi="宋体" w:eastAsia="宋体" w:cs="宋体"/>
          <w:b/>
          <w:color w:val="auto"/>
          <w:sz w:val="24"/>
          <w:szCs w:val="16"/>
          <w:highlight w:val="none"/>
          <w:lang w:val="en-US" w:eastAsia="zh-CN"/>
        </w:rPr>
        <w:t>以上技术规格参数中所要求的技术参数只作参考，并无其他限制作用。</w:t>
      </w:r>
    </w:p>
    <w:p w14:paraId="3F470AFE">
      <w:pPr>
        <w:pStyle w:val="42"/>
        <w:rPr>
          <w:rFonts w:hint="default" w:ascii="宋体" w:hAnsi="宋体" w:eastAsia="宋体" w:cs="宋体"/>
          <w:b/>
          <w:color w:val="auto"/>
          <w:sz w:val="24"/>
          <w:szCs w:val="16"/>
          <w:highlight w:val="none"/>
          <w:lang w:val="en-US" w:eastAsia="zh-CN"/>
        </w:rPr>
      </w:pPr>
      <w:r>
        <w:rPr>
          <w:rFonts w:hint="eastAsia" w:ascii="宋体" w:hAnsi="宋体" w:cs="宋体"/>
          <w:b/>
          <w:color w:val="auto"/>
          <w:sz w:val="24"/>
          <w:szCs w:val="16"/>
          <w:highlight w:val="none"/>
          <w:lang w:val="en-US" w:eastAsia="zh-CN"/>
        </w:rPr>
        <w:t>预算价为单项设备的合计总价，单项报价不得超过单项预算价。</w:t>
      </w:r>
    </w:p>
    <w:p w14:paraId="451764E7">
      <w:pPr>
        <w:pStyle w:val="42"/>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highlight w:val="none"/>
        </w:rPr>
        <w:t>注：★</w:t>
      </w:r>
      <w:r>
        <w:rPr>
          <w:rFonts w:hint="eastAsia" w:ascii="宋体" w:hAnsi="宋体" w:cs="宋体"/>
          <w:b w:val="0"/>
          <w:bCs/>
          <w:color w:val="auto"/>
          <w:sz w:val="24"/>
          <w:szCs w:val="24"/>
          <w:highlight w:val="none"/>
          <w:lang w:val="en-US" w:eastAsia="zh-CN"/>
        </w:rPr>
        <w:t>需</w:t>
      </w:r>
      <w:r>
        <w:rPr>
          <w:rFonts w:hint="eastAsia" w:ascii="宋体" w:hAnsi="宋体" w:eastAsia="宋体" w:cs="宋体"/>
          <w:b w:val="0"/>
          <w:bCs/>
          <w:color w:val="auto"/>
          <w:sz w:val="24"/>
          <w:szCs w:val="24"/>
          <w:highlight w:val="none"/>
        </w:rPr>
        <w:t>提供</w:t>
      </w:r>
      <w:r>
        <w:rPr>
          <w:rFonts w:hint="eastAsia" w:ascii="宋体" w:hAnsi="宋体" w:cs="宋体"/>
          <w:b w:val="0"/>
          <w:bCs/>
          <w:color w:val="auto"/>
          <w:sz w:val="24"/>
          <w:szCs w:val="24"/>
          <w:highlight w:val="none"/>
          <w:lang w:val="en-US" w:eastAsia="zh-CN"/>
        </w:rPr>
        <w:t>产品</w:t>
      </w:r>
      <w:r>
        <w:rPr>
          <w:rFonts w:hint="eastAsia" w:ascii="宋体" w:hAnsi="宋体" w:eastAsia="宋体" w:cs="宋体"/>
          <w:b w:val="0"/>
          <w:bCs/>
          <w:color w:val="auto"/>
          <w:sz w:val="24"/>
          <w:szCs w:val="24"/>
          <w:highlight w:val="none"/>
        </w:rPr>
        <w:t>彩页、检测报告或者网站截图等证明材料，并加盖制造商公章</w:t>
      </w:r>
      <w:r>
        <w:rPr>
          <w:rFonts w:hint="eastAsia" w:ascii="宋体" w:hAnsi="宋体" w:cs="宋体"/>
          <w:b w:val="0"/>
          <w:bCs/>
          <w:color w:val="auto"/>
          <w:sz w:val="24"/>
          <w:szCs w:val="24"/>
          <w:highlight w:val="none"/>
          <w:lang w:eastAsia="zh-CN"/>
        </w:rPr>
        <w:t>。</w:t>
      </w:r>
    </w:p>
    <w:p w14:paraId="407BFA82">
      <w:pPr>
        <w:pStyle w:val="70"/>
        <w:numPr>
          <w:ilvl w:val="0"/>
          <w:numId w:val="0"/>
        </w:numPr>
        <w:ind w:leftChars="0"/>
        <w:jc w:val="left"/>
        <w:rPr>
          <w:rFonts w:hint="eastAsia" w:ascii="宋体" w:hAnsi="宋体" w:eastAsia="宋体" w:cs="宋体"/>
          <w:b/>
          <w:bCs/>
          <w:color w:val="auto"/>
          <w:highlight w:val="none"/>
          <w:lang w:val="en-US" w:eastAsia="zh-CN"/>
        </w:rPr>
      </w:pPr>
      <w:r>
        <w:rPr>
          <w:rFonts w:hint="eastAsia" w:ascii="宋体" w:hAnsi="宋体" w:cs="宋体"/>
          <w:b/>
          <w:bCs/>
          <w:color w:val="auto"/>
          <w:highlight w:val="none"/>
          <w:lang w:val="en-US" w:eastAsia="zh-CN"/>
        </w:rPr>
        <w:t>1、</w:t>
      </w:r>
      <w:r>
        <w:rPr>
          <w:rFonts w:hint="eastAsia" w:ascii="宋体" w:hAnsi="宋体" w:eastAsia="宋体" w:cs="宋体"/>
          <w:b/>
          <w:bCs/>
          <w:color w:val="auto"/>
          <w:highlight w:val="none"/>
          <w:lang w:val="en-US" w:eastAsia="zh-CN"/>
        </w:rPr>
        <w:t>相关要求：</w:t>
      </w:r>
    </w:p>
    <w:p w14:paraId="78508FB2">
      <w:pPr>
        <w:spacing w:line="34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lang w:eastAsia="zh-CN"/>
        </w:rPr>
        <w:t>）上述产品要求投标单位对上报的每项投标产品中注明品牌、型号、产地及相关的技术参数；投标文件中及交货时提供相关产品说明书和合格证等相关资料；同时在产品交付后免费进行安装调试、人员培训等服务。</w:t>
      </w:r>
    </w:p>
    <w:p w14:paraId="7BB4BE70">
      <w:pPr>
        <w:spacing w:line="34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lang w:eastAsia="zh-CN"/>
        </w:rPr>
        <w:t>）供货期：</w:t>
      </w:r>
      <w:r>
        <w:rPr>
          <w:rFonts w:hint="eastAsia" w:ascii="宋体" w:hAnsi="宋体" w:eastAsia="宋体" w:cs="宋体"/>
          <w:color w:val="auto"/>
          <w:sz w:val="24"/>
          <w:highlight w:val="none"/>
          <w:lang w:val="en-US" w:eastAsia="zh-CN"/>
        </w:rPr>
        <w:t>自</w:t>
      </w:r>
      <w:r>
        <w:rPr>
          <w:rFonts w:hint="eastAsia" w:ascii="宋体" w:hAnsi="宋体" w:eastAsia="宋体" w:cs="宋体"/>
          <w:color w:val="auto"/>
          <w:sz w:val="24"/>
          <w:highlight w:val="none"/>
          <w:lang w:eastAsia="zh-CN"/>
        </w:rPr>
        <w:t>合同签订后</w:t>
      </w:r>
      <w:r>
        <w:rPr>
          <w:rFonts w:hint="eastAsia" w:ascii="宋体" w:hAnsi="宋体" w:cs="宋体"/>
          <w:color w:val="auto"/>
          <w:sz w:val="24"/>
          <w:highlight w:val="none"/>
          <w:lang w:val="en-US" w:eastAsia="zh-CN"/>
        </w:rPr>
        <w:t>30天</w:t>
      </w:r>
      <w:r>
        <w:rPr>
          <w:rFonts w:hint="eastAsia" w:ascii="宋体" w:hAnsi="宋体" w:eastAsia="宋体" w:cs="宋体"/>
          <w:color w:val="auto"/>
          <w:sz w:val="24"/>
          <w:highlight w:val="none"/>
          <w:lang w:eastAsia="zh-CN"/>
        </w:rPr>
        <w:t>内完成交货安装调试完毕。</w:t>
      </w:r>
    </w:p>
    <w:p w14:paraId="719EBBEB">
      <w:pPr>
        <w:spacing w:line="34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lang w:val="en-US" w:eastAsia="zh-CN"/>
        </w:rPr>
        <w:t>）交货地点：采购人指定的交货及安装地点为准。</w:t>
      </w:r>
    </w:p>
    <w:p w14:paraId="6021FFDB">
      <w:pPr>
        <w:spacing w:line="34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lang w:val="en-US" w:eastAsia="zh-CN"/>
        </w:rPr>
        <w:t>）供应商所提供货物报价均为到场价，包含运输、装卸、安装、调试、开票、税费等所有费用。</w:t>
      </w:r>
    </w:p>
    <w:p w14:paraId="78BE0D5E">
      <w:pPr>
        <w:spacing w:line="34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lang w:val="en-US" w:eastAsia="zh-CN"/>
        </w:rPr>
        <w:t>）付款方式：具体以签订合同为准。</w:t>
      </w:r>
    </w:p>
    <w:p w14:paraId="19E52365">
      <w:pPr>
        <w:spacing w:line="340" w:lineRule="exact"/>
        <w:rPr>
          <w:rFonts w:hint="eastAsia" w:ascii="宋体" w:hAnsi="宋体" w:eastAsia="宋体" w:cs="宋体"/>
          <w:color w:val="auto"/>
          <w:sz w:val="24"/>
          <w:highlight w:val="none"/>
        </w:rPr>
      </w:pPr>
      <w:r>
        <w:rPr>
          <w:rFonts w:hint="eastAsia" w:ascii="宋体" w:hAnsi="宋体" w:cs="宋体"/>
          <w:b/>
          <w:bCs/>
          <w:color w:val="auto"/>
          <w:sz w:val="24"/>
          <w:highlight w:val="none"/>
          <w:lang w:val="en-US" w:eastAsia="zh-CN"/>
        </w:rPr>
        <w:t>2</w:t>
      </w:r>
      <w:r>
        <w:rPr>
          <w:rFonts w:hint="eastAsia" w:ascii="宋体" w:hAnsi="宋体" w:eastAsia="宋体" w:cs="宋体"/>
          <w:b/>
          <w:bCs/>
          <w:color w:val="auto"/>
          <w:sz w:val="24"/>
          <w:highlight w:val="none"/>
        </w:rPr>
        <w:t>、售后服务原则</w:t>
      </w:r>
      <w:r>
        <w:rPr>
          <w:rFonts w:hint="eastAsia" w:ascii="宋体" w:hAnsi="宋体" w:eastAsia="宋体" w:cs="宋体"/>
          <w:color w:val="auto"/>
          <w:sz w:val="24"/>
          <w:highlight w:val="none"/>
        </w:rPr>
        <w:t>：</w:t>
      </w:r>
    </w:p>
    <w:p w14:paraId="57EF769E">
      <w:pPr>
        <w:spacing w:line="3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（1）在安装期、试运行期及最终验收后的质量保修期内，由于设备技术质量问题而产生的故障，无论大小，一律提供免费维修服务。</w:t>
      </w:r>
    </w:p>
    <w:p w14:paraId="0886A6C9">
      <w:pPr>
        <w:spacing w:line="3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（2）中标单位应提供7*24小时保障服务，并通过以下几种方式进行维护：</w:t>
      </w:r>
    </w:p>
    <w:p w14:paraId="08E6D2DE">
      <w:pPr>
        <w:spacing w:line="3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① 现场服务：技术人员到现场解决。</w:t>
      </w:r>
    </w:p>
    <w:p w14:paraId="2D867C83">
      <w:pPr>
        <w:spacing w:line="3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② 电话服务：通过电话解答建设单位及其用户的问题。</w:t>
      </w:r>
    </w:p>
    <w:p w14:paraId="364C0F06">
      <w:pPr>
        <w:spacing w:line="3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（3）对于设备硬件故障，在接到用户故障申告24小时内，派设备技术人员携带必要的替换及维修设备，到达故障现场。</w:t>
      </w:r>
    </w:p>
    <w:p w14:paraId="14C9301D">
      <w:pPr>
        <w:spacing w:line="34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（4）</w:t>
      </w:r>
      <w:r>
        <w:rPr>
          <w:rFonts w:hint="eastAsia" w:ascii="宋体" w:hAnsi="宋体" w:eastAsia="宋体" w:cs="宋体"/>
          <w:color w:val="auto"/>
          <w:sz w:val="24"/>
          <w:highlight w:val="none"/>
          <w:lang w:eastAsia="zh-CN"/>
        </w:rPr>
        <w:t>质保期内免费维修、保养等。</w:t>
      </w:r>
    </w:p>
    <w:p w14:paraId="62D393A9">
      <w:pPr>
        <w:pageBreakBefore w:val="0"/>
        <w:kinsoku/>
        <w:wordWrap/>
        <w:overflowPunct/>
        <w:topLinePunct w:val="0"/>
        <w:bidi w:val="0"/>
        <w:snapToGrid/>
        <w:spacing w:line="320" w:lineRule="exact"/>
        <w:ind w:left="0" w:leftChars="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br w:type="page"/>
      </w:r>
    </w:p>
    <w:p w14:paraId="17B9CAB4">
      <w:pPr>
        <w:pStyle w:val="2"/>
        <w:numPr>
          <w:ilvl w:val="0"/>
          <w:numId w:val="0"/>
        </w:numPr>
        <w:tabs>
          <w:tab w:val="left" w:pos="0"/>
        </w:tabs>
        <w:spacing w:before="0" w:after="0" w:line="240" w:lineRule="atLeast"/>
        <w:jc w:val="center"/>
        <w:rPr>
          <w:rFonts w:hint="eastAsia" w:ascii="宋体" w:hAnsi="宋体" w:eastAsia="宋体" w:cs="宋体"/>
          <w:color w:val="auto"/>
          <w:highlight w:val="none"/>
        </w:rPr>
      </w:pPr>
      <w:bookmarkStart w:id="371" w:name="_Toc7971"/>
      <w:bookmarkStart w:id="372" w:name="_Toc507399907"/>
      <w:bookmarkStart w:id="373" w:name="_Toc515647832"/>
      <w:bookmarkStart w:id="374" w:name="_Toc32647"/>
      <w:bookmarkStart w:id="375" w:name="_Toc23331"/>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lang w:eastAsia="zh-CN"/>
        </w:rPr>
        <w:t>第</w:t>
      </w:r>
      <w:r>
        <w:rPr>
          <w:rFonts w:hint="eastAsia" w:ascii="宋体" w:hAnsi="宋体" w:eastAsia="宋体" w:cs="宋体"/>
          <w:color w:val="auto"/>
          <w:highlight w:val="none"/>
          <w:lang w:val="en-US" w:eastAsia="zh-CN"/>
        </w:rPr>
        <w:t>6章</w:t>
      </w:r>
      <w:r>
        <w:rPr>
          <w:rFonts w:hint="eastAsia" w:ascii="宋体" w:hAnsi="宋体" w:eastAsia="宋体" w:cs="宋体"/>
          <w:color w:val="auto"/>
          <w:highlight w:val="none"/>
        </w:rPr>
        <w:t>评标方法和标准</w:t>
      </w:r>
      <w:bookmarkEnd w:id="371"/>
      <w:bookmarkEnd w:id="372"/>
      <w:bookmarkEnd w:id="373"/>
      <w:bookmarkEnd w:id="374"/>
      <w:bookmarkEnd w:id="375"/>
    </w:p>
    <w:p w14:paraId="7C5B63D5">
      <w:pPr>
        <w:pStyle w:val="9"/>
        <w:tabs>
          <w:tab w:val="clear" w:pos="567"/>
        </w:tabs>
        <w:spacing w:before="0" w:line="240" w:lineRule="atLeast"/>
        <w:ind w:firstLine="540" w:firstLineChars="225"/>
        <w:rPr>
          <w:rFonts w:hint="eastAsia" w:ascii="宋体" w:hAnsi="宋体" w:eastAsia="宋体" w:cs="宋体"/>
          <w:color w:val="auto"/>
          <w:highlight w:val="none"/>
        </w:rPr>
      </w:pPr>
    </w:p>
    <w:p w14:paraId="23F63D1B">
      <w:pPr>
        <w:pStyle w:val="9"/>
        <w:keepNext w:val="0"/>
        <w:keepLines w:val="0"/>
        <w:pageBreakBefore w:val="0"/>
        <w:numPr>
          <w:ilvl w:val="0"/>
          <w:numId w:val="0"/>
        </w:numPr>
        <w:tabs>
          <w:tab w:val="clear" w:pos="567"/>
        </w:tabs>
        <w:kinsoku/>
        <w:wordWrap/>
        <w:overflowPunct/>
        <w:topLinePunct w:val="0"/>
        <w:bidi w:val="0"/>
        <w:adjustRightInd/>
        <w:spacing w:before="0" w:line="400" w:lineRule="exact"/>
        <w:ind w:firstLine="480" w:firstLineChars="200"/>
        <w:jc w:val="left"/>
        <w:textAlignment w:val="auto"/>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本项目将按照</w:t>
      </w:r>
      <w:r>
        <w:rPr>
          <w:rFonts w:hint="eastAsia" w:ascii="宋体" w:hAnsi="宋体" w:eastAsia="宋体" w:cs="宋体"/>
          <w:b w:val="0"/>
          <w:bCs w:val="0"/>
          <w:color w:val="auto"/>
          <w:highlight w:val="none"/>
          <w:lang w:eastAsia="zh-CN"/>
        </w:rPr>
        <w:t>招标文件</w:t>
      </w:r>
      <w:r>
        <w:rPr>
          <w:rFonts w:hint="eastAsia" w:ascii="宋体" w:hAnsi="宋体" w:eastAsia="宋体" w:cs="宋体"/>
          <w:b w:val="0"/>
          <w:bCs w:val="0"/>
          <w:color w:val="auto"/>
          <w:highlight w:val="none"/>
        </w:rPr>
        <w:t xml:space="preserve">第一章供应商须知中“五 </w:t>
      </w:r>
      <w:r>
        <w:rPr>
          <w:rFonts w:hint="eastAsia" w:ascii="宋体" w:hAnsi="宋体" w:eastAsia="宋体" w:cs="宋体"/>
          <w:b w:val="0"/>
          <w:bCs w:val="0"/>
          <w:color w:val="auto"/>
          <w:highlight w:val="none"/>
          <w:lang w:val="en-US" w:eastAsia="zh-CN"/>
        </w:rPr>
        <w:t>招标</w:t>
      </w:r>
      <w:r>
        <w:rPr>
          <w:rFonts w:hint="eastAsia" w:ascii="宋体" w:hAnsi="宋体" w:eastAsia="宋体" w:cs="宋体"/>
          <w:b w:val="0"/>
          <w:bCs w:val="0"/>
          <w:color w:val="auto"/>
          <w:highlight w:val="none"/>
        </w:rPr>
        <w:t>开启及评审”、“六 确定</w:t>
      </w:r>
      <w:r>
        <w:rPr>
          <w:rFonts w:hint="eastAsia" w:ascii="宋体" w:hAnsi="宋体" w:eastAsia="宋体" w:cs="宋体"/>
          <w:b w:val="0"/>
          <w:bCs w:val="0"/>
          <w:color w:val="auto"/>
          <w:highlight w:val="none"/>
          <w:lang w:eastAsia="zh-CN"/>
        </w:rPr>
        <w:t>中标</w:t>
      </w:r>
      <w:r>
        <w:rPr>
          <w:rFonts w:hint="eastAsia" w:ascii="宋体" w:hAnsi="宋体" w:eastAsia="宋体" w:cs="宋体"/>
          <w:b w:val="0"/>
          <w:bCs w:val="0"/>
          <w:color w:val="auto"/>
          <w:highlight w:val="none"/>
        </w:rPr>
        <w:t>”及本章的规定评标。</w:t>
      </w:r>
    </w:p>
    <w:p w14:paraId="3893F5A0">
      <w:pPr>
        <w:keepNext w:val="0"/>
        <w:keepLines w:val="0"/>
        <w:pageBreakBefore w:val="0"/>
        <w:numPr>
          <w:ilvl w:val="0"/>
          <w:numId w:val="0"/>
        </w:numPr>
        <w:kinsoku/>
        <w:wordWrap/>
        <w:overflowPunct/>
        <w:topLinePunct w:val="0"/>
        <w:bidi w:val="0"/>
        <w:adjustRightInd/>
        <w:spacing w:line="400" w:lineRule="exact"/>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一、</w:t>
      </w:r>
      <w:r>
        <w:rPr>
          <w:rFonts w:hint="eastAsia" w:ascii="宋体" w:hAnsi="宋体" w:eastAsia="宋体" w:cs="宋体"/>
          <w:b/>
          <w:bCs/>
          <w:i w:val="0"/>
          <w:caps w:val="0"/>
          <w:color w:val="auto"/>
          <w:spacing w:val="0"/>
          <w:kern w:val="0"/>
          <w:sz w:val="24"/>
          <w:szCs w:val="24"/>
          <w:highlight w:val="none"/>
          <w:lang w:val="en-US" w:eastAsia="zh-CN" w:bidi="ar"/>
        </w:rPr>
        <w:t>项目基本情况</w:t>
      </w:r>
    </w:p>
    <w:p w14:paraId="120DBEAC">
      <w:pPr>
        <w:keepNext w:val="0"/>
        <w:keepLines w:val="0"/>
        <w:pageBreakBefore w:val="0"/>
        <w:kinsoku/>
        <w:wordWrap/>
        <w:overflowPunct/>
        <w:topLinePunct w:val="0"/>
        <w:bidi w:val="0"/>
        <w:adjustRightInd/>
        <w:spacing w:line="400" w:lineRule="exact"/>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项目名称：</w:t>
      </w:r>
      <w:r>
        <w:rPr>
          <w:rFonts w:hint="eastAsia" w:ascii="宋体" w:hAnsi="宋体" w:cs="宋体"/>
          <w:color w:val="auto"/>
          <w:sz w:val="24"/>
          <w:highlight w:val="none"/>
          <w:lang w:val="en-US" w:eastAsia="zh-CN"/>
        </w:rPr>
        <w:t>新疆维吾尔自治区地质局喀什地质大队2025年度专业地质设备采购项目</w:t>
      </w:r>
      <w:r>
        <w:rPr>
          <w:rFonts w:hint="eastAsia" w:ascii="宋体" w:hAnsi="宋体" w:eastAsia="宋体" w:cs="宋体"/>
          <w:color w:val="auto"/>
          <w:sz w:val="24"/>
          <w:highlight w:val="none"/>
          <w:lang w:val="en-US" w:eastAsia="zh-CN"/>
        </w:rPr>
        <w:t xml:space="preserve">        </w:t>
      </w:r>
    </w:p>
    <w:p w14:paraId="67A352BC">
      <w:pPr>
        <w:keepNext w:val="0"/>
        <w:keepLines w:val="0"/>
        <w:pageBreakBefore w:val="0"/>
        <w:kinsoku/>
        <w:wordWrap/>
        <w:overflowPunct/>
        <w:topLinePunct w:val="0"/>
        <w:bidi w:val="0"/>
        <w:adjustRightInd/>
        <w:spacing w:line="400" w:lineRule="exact"/>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地点：</w:t>
      </w:r>
      <w:r>
        <w:rPr>
          <w:rFonts w:hint="eastAsia" w:ascii="宋体" w:hAnsi="宋体" w:eastAsia="宋体" w:cs="宋体"/>
          <w:color w:val="auto"/>
          <w:sz w:val="24"/>
          <w:highlight w:val="none"/>
          <w:lang w:val="en-US" w:eastAsia="zh-CN"/>
        </w:rPr>
        <w:t>https://www.zcygov.cn在线投标</w:t>
      </w:r>
    </w:p>
    <w:p w14:paraId="4E15227C">
      <w:pPr>
        <w:keepNext w:val="0"/>
        <w:keepLines w:val="0"/>
        <w:pageBreakBefore w:val="0"/>
        <w:kinsoku/>
        <w:wordWrap/>
        <w:overflowPunct/>
        <w:topLinePunct w:val="0"/>
        <w:bidi w:val="0"/>
        <w:adjustRightInd/>
        <w:spacing w:line="400" w:lineRule="exact"/>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采购方式：公开招标</w:t>
      </w:r>
    </w:p>
    <w:p w14:paraId="77122C78">
      <w:pPr>
        <w:keepNext w:val="0"/>
        <w:keepLines w:val="0"/>
        <w:pageBreakBefore w:val="0"/>
        <w:kinsoku/>
        <w:wordWrap/>
        <w:overflowPunct/>
        <w:topLinePunct w:val="0"/>
        <w:bidi w:val="0"/>
        <w:adjustRightInd/>
        <w:spacing w:line="400" w:lineRule="exact"/>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评标办法：综合评分法</w:t>
      </w:r>
    </w:p>
    <w:p w14:paraId="5930BF9F">
      <w:pPr>
        <w:keepNext w:val="0"/>
        <w:keepLines w:val="0"/>
        <w:pageBreakBefore w:val="0"/>
        <w:numPr>
          <w:ilvl w:val="0"/>
          <w:numId w:val="0"/>
        </w:numPr>
        <w:kinsoku/>
        <w:wordWrap/>
        <w:overflowPunct/>
        <w:topLinePunct w:val="0"/>
        <w:bidi w:val="0"/>
        <w:adjustRightInd/>
        <w:spacing w:line="400" w:lineRule="exact"/>
        <w:ind w:leftChars="0"/>
        <w:textAlignment w:val="auto"/>
        <w:rPr>
          <w:rFonts w:hint="eastAsia" w:ascii="宋体" w:hAnsi="宋体" w:eastAsia="宋体" w:cs="宋体"/>
          <w:b w:val="0"/>
          <w:bCs w:val="0"/>
          <w:color w:val="auto"/>
          <w:sz w:val="24"/>
          <w:highlight w:val="none"/>
          <w:lang w:eastAsia="zh-CN"/>
        </w:rPr>
      </w:pPr>
      <w:r>
        <w:rPr>
          <w:rFonts w:hint="eastAsia" w:ascii="宋体" w:hAnsi="宋体" w:eastAsia="宋体" w:cs="宋体"/>
          <w:b w:val="0"/>
          <w:bCs w:val="0"/>
          <w:color w:val="auto"/>
          <w:sz w:val="24"/>
          <w:highlight w:val="none"/>
          <w:lang w:eastAsia="zh-CN"/>
        </w:rPr>
        <w:t>是指投标文件满足招标文件全部实质性要求且按评审因素的量化指标评审得分最高的供应商为中标候选单位的评审方法。</w:t>
      </w:r>
    </w:p>
    <w:p w14:paraId="6BB99395">
      <w:pPr>
        <w:keepNext w:val="0"/>
        <w:keepLines w:val="0"/>
        <w:pageBreakBefore w:val="0"/>
        <w:kinsoku/>
        <w:wordWrap/>
        <w:overflowPunct/>
        <w:topLinePunct w:val="0"/>
        <w:bidi w:val="0"/>
        <w:adjustRightInd/>
        <w:spacing w:line="400" w:lineRule="exact"/>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val="en-US" w:eastAsia="zh-CN"/>
        </w:rPr>
        <w:t>二、</w:t>
      </w:r>
      <w:r>
        <w:rPr>
          <w:rFonts w:hint="eastAsia" w:ascii="宋体" w:hAnsi="宋体" w:eastAsia="宋体" w:cs="宋体"/>
          <w:b/>
          <w:bCs/>
          <w:color w:val="auto"/>
          <w:sz w:val="24"/>
          <w:szCs w:val="24"/>
          <w:highlight w:val="none"/>
          <w:lang w:eastAsia="zh-CN"/>
        </w:rPr>
        <w:t>拒绝接收投标文件的情形</w:t>
      </w:r>
    </w:p>
    <w:p w14:paraId="52CB34F0">
      <w:pPr>
        <w:keepNext w:val="0"/>
        <w:keepLines w:val="0"/>
        <w:pageBreakBefore w:val="0"/>
        <w:kinsoku/>
        <w:wordWrap/>
        <w:overflowPunct/>
        <w:topLinePunct w:val="0"/>
        <w:bidi w:val="0"/>
        <w:adjustRightInd/>
        <w:spacing w:line="400" w:lineRule="exact"/>
        <w:ind w:left="0" w:leftChars="0"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在递交</w:t>
      </w:r>
      <w:r>
        <w:rPr>
          <w:rFonts w:hint="eastAsia" w:ascii="宋体" w:hAnsi="宋体" w:eastAsia="宋体" w:cs="宋体"/>
          <w:b w:val="0"/>
          <w:bCs w:val="0"/>
          <w:color w:val="auto"/>
          <w:sz w:val="24"/>
          <w:szCs w:val="24"/>
          <w:highlight w:val="none"/>
          <w:lang w:eastAsia="zh-CN"/>
        </w:rPr>
        <w:t>投标文件</w:t>
      </w:r>
      <w:r>
        <w:rPr>
          <w:rFonts w:hint="eastAsia" w:ascii="宋体" w:hAnsi="宋体" w:eastAsia="宋体" w:cs="宋体"/>
          <w:b w:val="0"/>
          <w:bCs w:val="0"/>
          <w:color w:val="auto"/>
          <w:sz w:val="24"/>
          <w:szCs w:val="24"/>
          <w:highlight w:val="none"/>
        </w:rPr>
        <w:t>截止时间后</w:t>
      </w:r>
      <w:r>
        <w:rPr>
          <w:rFonts w:hint="eastAsia" w:ascii="宋体" w:hAnsi="宋体" w:eastAsia="宋体" w:cs="宋体"/>
          <w:b w:val="0"/>
          <w:bCs w:val="0"/>
          <w:color w:val="auto"/>
          <w:sz w:val="24"/>
          <w:szCs w:val="24"/>
          <w:highlight w:val="none"/>
          <w:lang w:val="en-US" w:eastAsia="zh-CN"/>
        </w:rPr>
        <w:t>上传</w:t>
      </w:r>
      <w:r>
        <w:rPr>
          <w:rFonts w:hint="eastAsia" w:ascii="宋体" w:hAnsi="宋体" w:eastAsia="宋体" w:cs="宋体"/>
          <w:b w:val="0"/>
          <w:bCs w:val="0"/>
          <w:color w:val="auto"/>
          <w:sz w:val="24"/>
          <w:szCs w:val="24"/>
          <w:highlight w:val="none"/>
        </w:rPr>
        <w:t>的</w:t>
      </w:r>
      <w:r>
        <w:rPr>
          <w:rFonts w:hint="eastAsia" w:ascii="宋体" w:hAnsi="宋体" w:eastAsia="宋体" w:cs="宋体"/>
          <w:b w:val="0"/>
          <w:bCs w:val="0"/>
          <w:color w:val="auto"/>
          <w:sz w:val="24"/>
          <w:szCs w:val="24"/>
          <w:highlight w:val="none"/>
          <w:lang w:eastAsia="zh-CN"/>
        </w:rPr>
        <w:t>投标文件</w:t>
      </w:r>
      <w:r>
        <w:rPr>
          <w:rFonts w:hint="eastAsia" w:ascii="宋体" w:hAnsi="宋体" w:eastAsia="宋体" w:cs="宋体"/>
          <w:b w:val="0"/>
          <w:bCs w:val="0"/>
          <w:color w:val="auto"/>
          <w:sz w:val="24"/>
          <w:szCs w:val="24"/>
          <w:highlight w:val="none"/>
        </w:rPr>
        <w:t>的，采购人和采购代理机构将拒绝</w:t>
      </w:r>
      <w:r>
        <w:rPr>
          <w:rFonts w:hint="eastAsia" w:ascii="宋体" w:hAnsi="宋体" w:eastAsia="宋体" w:cs="宋体"/>
          <w:b w:val="0"/>
          <w:bCs w:val="0"/>
          <w:color w:val="auto"/>
          <w:sz w:val="24"/>
          <w:szCs w:val="24"/>
          <w:highlight w:val="none"/>
          <w:lang w:val="en-US" w:eastAsia="zh-CN"/>
        </w:rPr>
        <w:t>签</w:t>
      </w:r>
      <w:r>
        <w:rPr>
          <w:rFonts w:hint="eastAsia" w:ascii="宋体" w:hAnsi="宋体" w:eastAsia="宋体" w:cs="宋体"/>
          <w:b w:val="0"/>
          <w:bCs w:val="0"/>
          <w:color w:val="auto"/>
          <w:sz w:val="24"/>
          <w:szCs w:val="24"/>
          <w:highlight w:val="none"/>
        </w:rPr>
        <w:t>收。</w:t>
      </w:r>
    </w:p>
    <w:p w14:paraId="559A319D">
      <w:pPr>
        <w:keepNext w:val="0"/>
        <w:keepLines w:val="0"/>
        <w:pageBreakBefore w:val="0"/>
        <w:numPr>
          <w:ilvl w:val="0"/>
          <w:numId w:val="0"/>
        </w:numPr>
        <w:kinsoku/>
        <w:wordWrap/>
        <w:overflowPunct/>
        <w:topLinePunct w:val="0"/>
        <w:bidi w:val="0"/>
        <w:adjustRightInd/>
        <w:spacing w:line="400" w:lineRule="exact"/>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三、不得开启投标文件的情形</w:t>
      </w:r>
    </w:p>
    <w:p w14:paraId="59D869C2">
      <w:pPr>
        <w:keepNext w:val="0"/>
        <w:keepLines w:val="0"/>
        <w:pageBreakBefore w:val="0"/>
        <w:numPr>
          <w:ilvl w:val="0"/>
          <w:numId w:val="0"/>
        </w:numPr>
        <w:kinsoku/>
        <w:wordWrap/>
        <w:overflowPunct/>
        <w:topLinePunct w:val="0"/>
        <w:bidi w:val="0"/>
        <w:adjustRightInd/>
        <w:spacing w:line="400" w:lineRule="exact"/>
        <w:ind w:firstLine="480" w:firstLineChars="200"/>
        <w:textAlignment w:val="auto"/>
        <w:rPr>
          <w:rFonts w:hint="eastAsia" w:ascii="宋体" w:hAnsi="宋体" w:eastAsia="宋体" w:cs="宋体"/>
          <w:b w:val="0"/>
          <w:bCs w:val="0"/>
          <w:color w:val="auto"/>
          <w:highlight w:val="none"/>
        </w:rPr>
      </w:pPr>
      <w:r>
        <w:rPr>
          <w:rFonts w:hint="eastAsia" w:ascii="宋体" w:hAnsi="宋体" w:eastAsia="宋体" w:cs="宋体"/>
          <w:b w:val="0"/>
          <w:bCs w:val="0"/>
          <w:color w:val="auto"/>
          <w:sz w:val="24"/>
          <w:szCs w:val="24"/>
          <w:highlight w:val="none"/>
        </w:rPr>
        <w:t>供应商不足3家的，不得开启</w:t>
      </w:r>
      <w:r>
        <w:rPr>
          <w:rFonts w:hint="eastAsia" w:ascii="宋体" w:hAnsi="宋体" w:eastAsia="宋体" w:cs="宋体"/>
          <w:b w:val="0"/>
          <w:bCs w:val="0"/>
          <w:color w:val="auto"/>
          <w:sz w:val="24"/>
          <w:szCs w:val="24"/>
          <w:highlight w:val="none"/>
          <w:lang w:eastAsia="zh-CN"/>
        </w:rPr>
        <w:t>投标文件</w:t>
      </w:r>
      <w:r>
        <w:rPr>
          <w:rFonts w:hint="eastAsia" w:ascii="宋体" w:hAnsi="宋体" w:eastAsia="宋体" w:cs="宋体"/>
          <w:b w:val="0"/>
          <w:bCs w:val="0"/>
          <w:color w:val="auto"/>
          <w:sz w:val="24"/>
          <w:szCs w:val="24"/>
          <w:highlight w:val="none"/>
        </w:rPr>
        <w:t>。</w:t>
      </w:r>
    </w:p>
    <w:p w14:paraId="2CABFE8F">
      <w:pPr>
        <w:pStyle w:val="9"/>
        <w:keepNext w:val="0"/>
        <w:keepLines w:val="0"/>
        <w:pageBreakBefore w:val="0"/>
        <w:tabs>
          <w:tab w:val="clear" w:pos="567"/>
        </w:tabs>
        <w:kinsoku/>
        <w:wordWrap/>
        <w:overflowPunct/>
        <w:topLinePunct w:val="0"/>
        <w:bidi w:val="0"/>
        <w:adjustRightInd/>
        <w:spacing w:before="0" w:line="400" w:lineRule="exact"/>
        <w:textAlignment w:val="auto"/>
        <w:rPr>
          <w:rFonts w:hint="eastAsia" w:ascii="宋体" w:hAnsi="宋体" w:eastAsia="宋体" w:cs="宋体"/>
          <w:b/>
          <w:bCs/>
          <w:color w:val="auto"/>
          <w:highlight w:val="none"/>
        </w:rPr>
      </w:pPr>
      <w:r>
        <w:rPr>
          <w:rFonts w:hint="eastAsia" w:ascii="宋体" w:hAnsi="宋体" w:eastAsia="宋体" w:cs="宋体"/>
          <w:b/>
          <w:bCs/>
          <w:color w:val="auto"/>
          <w:highlight w:val="none"/>
          <w:lang w:val="en-US" w:eastAsia="zh-CN"/>
        </w:rPr>
        <w:t>四</w:t>
      </w:r>
      <w:r>
        <w:rPr>
          <w:rFonts w:hint="eastAsia" w:ascii="宋体" w:hAnsi="宋体" w:eastAsia="宋体" w:cs="宋体"/>
          <w:b/>
          <w:bCs/>
          <w:color w:val="auto"/>
          <w:highlight w:val="none"/>
        </w:rPr>
        <w:t>.</w:t>
      </w:r>
      <w:r>
        <w:rPr>
          <w:rFonts w:hint="eastAsia" w:ascii="宋体" w:hAnsi="宋体" w:eastAsia="宋体" w:cs="宋体"/>
          <w:b/>
          <w:bCs/>
          <w:color w:val="auto"/>
          <w:sz w:val="24"/>
          <w:szCs w:val="24"/>
          <w:highlight w:val="none"/>
          <w:lang w:val="en-US" w:eastAsia="zh-CN"/>
        </w:rPr>
        <w:t>投标文件</w:t>
      </w:r>
      <w:r>
        <w:rPr>
          <w:rFonts w:hint="eastAsia" w:ascii="宋体" w:hAnsi="宋体" w:eastAsia="宋体" w:cs="宋体"/>
          <w:b/>
          <w:bCs/>
          <w:color w:val="auto"/>
          <w:highlight w:val="none"/>
        </w:rPr>
        <w:t>无效的情形：</w:t>
      </w:r>
    </w:p>
    <w:p w14:paraId="7A8068FB">
      <w:pPr>
        <w:keepNext w:val="0"/>
        <w:keepLines w:val="0"/>
        <w:pageBreakBefore w:val="0"/>
        <w:widowControl w:val="0"/>
        <w:numPr>
          <w:ilvl w:val="0"/>
          <w:numId w:val="0"/>
        </w:numPr>
        <w:kinsoku/>
        <w:wordWrap/>
        <w:overflowPunct/>
        <w:topLinePunct w:val="0"/>
        <w:bidi w:val="0"/>
        <w:adjustRightInd/>
        <w:snapToGrid/>
        <w:spacing w:line="400" w:lineRule="exact"/>
        <w:ind w:leftChars="0" w:firstLine="480" w:firstLineChars="20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rPr>
        <w:t>采购人或采购代理机构将在</w:t>
      </w:r>
      <w:r>
        <w:rPr>
          <w:rFonts w:hint="eastAsia" w:ascii="宋体" w:hAnsi="宋体" w:eastAsia="宋体" w:cs="宋体"/>
          <w:b w:val="0"/>
          <w:bCs w:val="0"/>
          <w:color w:val="auto"/>
          <w:sz w:val="24"/>
          <w:szCs w:val="24"/>
          <w:highlight w:val="none"/>
          <w:lang w:eastAsia="zh-CN"/>
        </w:rPr>
        <w:t>投标</w:t>
      </w:r>
      <w:r>
        <w:rPr>
          <w:rFonts w:hint="eastAsia" w:ascii="宋体" w:hAnsi="宋体" w:eastAsia="宋体" w:cs="宋体"/>
          <w:b w:val="0"/>
          <w:bCs w:val="0"/>
          <w:color w:val="auto"/>
          <w:sz w:val="24"/>
          <w:szCs w:val="24"/>
          <w:highlight w:val="none"/>
        </w:rPr>
        <w:t>开启前1个工作日至递交</w:t>
      </w:r>
      <w:r>
        <w:rPr>
          <w:rFonts w:hint="eastAsia" w:ascii="宋体" w:hAnsi="宋体" w:eastAsia="宋体" w:cs="宋体"/>
          <w:b w:val="0"/>
          <w:bCs w:val="0"/>
          <w:color w:val="auto"/>
          <w:sz w:val="24"/>
          <w:szCs w:val="24"/>
          <w:highlight w:val="none"/>
          <w:lang w:eastAsia="zh-CN"/>
        </w:rPr>
        <w:t>投标文件</w:t>
      </w:r>
      <w:r>
        <w:rPr>
          <w:rFonts w:hint="eastAsia" w:ascii="宋体" w:hAnsi="宋体" w:eastAsia="宋体" w:cs="宋体"/>
          <w:b w:val="0"/>
          <w:bCs w:val="0"/>
          <w:color w:val="auto"/>
          <w:sz w:val="24"/>
          <w:szCs w:val="24"/>
          <w:highlight w:val="none"/>
        </w:rPr>
        <w:t>截止</w:t>
      </w:r>
      <w:r>
        <w:rPr>
          <w:rFonts w:hint="eastAsia" w:ascii="宋体" w:hAnsi="宋体" w:eastAsia="宋体" w:cs="宋体"/>
          <w:b w:val="0"/>
          <w:bCs w:val="0"/>
          <w:color w:val="auto"/>
          <w:sz w:val="24"/>
          <w:szCs w:val="24"/>
          <w:highlight w:val="none"/>
          <w:lang w:eastAsia="zh-CN"/>
        </w:rPr>
        <w:t>前</w:t>
      </w:r>
      <w:r>
        <w:rPr>
          <w:rFonts w:hint="eastAsia" w:ascii="宋体" w:hAnsi="宋体" w:eastAsia="宋体" w:cs="宋体"/>
          <w:b w:val="0"/>
          <w:bCs w:val="0"/>
          <w:color w:val="auto"/>
          <w:sz w:val="24"/>
          <w:szCs w:val="24"/>
          <w:highlight w:val="none"/>
        </w:rPr>
        <w:t>查询</w:t>
      </w:r>
      <w:r>
        <w:rPr>
          <w:rFonts w:hint="eastAsia" w:ascii="宋体" w:hAnsi="宋体" w:eastAsia="宋体" w:cs="宋体"/>
          <w:b w:val="0"/>
          <w:bCs w:val="0"/>
          <w:color w:val="auto"/>
          <w:sz w:val="24"/>
          <w:szCs w:val="24"/>
          <w:highlight w:val="none"/>
          <w:lang w:eastAsia="zh-CN"/>
        </w:rPr>
        <w:t>供应商</w:t>
      </w:r>
      <w:r>
        <w:rPr>
          <w:rFonts w:hint="eastAsia" w:ascii="宋体" w:hAnsi="宋体" w:eastAsia="宋体" w:cs="宋体"/>
          <w:b w:val="0"/>
          <w:bCs w:val="0"/>
          <w:color w:val="auto"/>
          <w:sz w:val="24"/>
          <w:szCs w:val="24"/>
          <w:highlight w:val="none"/>
        </w:rPr>
        <w:t>的信用记录。</w:t>
      </w:r>
      <w:r>
        <w:rPr>
          <w:rFonts w:hint="eastAsia" w:ascii="宋体" w:hAnsi="宋体" w:eastAsia="宋体" w:cs="宋体"/>
          <w:b w:val="0"/>
          <w:bCs w:val="0"/>
          <w:color w:val="auto"/>
          <w:sz w:val="24"/>
          <w:szCs w:val="24"/>
          <w:highlight w:val="none"/>
          <w:lang w:eastAsia="zh-CN"/>
        </w:rPr>
        <w:t>供应商</w:t>
      </w:r>
      <w:r>
        <w:rPr>
          <w:rFonts w:hint="eastAsia" w:ascii="宋体" w:hAnsi="宋体" w:eastAsia="宋体" w:cs="宋体"/>
          <w:b w:val="0"/>
          <w:bCs w:val="0"/>
          <w:color w:val="auto"/>
          <w:sz w:val="24"/>
          <w:szCs w:val="24"/>
          <w:highlight w:val="none"/>
        </w:rPr>
        <w:t>存在不良信用记录的，其</w:t>
      </w:r>
      <w:r>
        <w:rPr>
          <w:rFonts w:hint="eastAsia" w:ascii="宋体" w:hAnsi="宋体" w:eastAsia="宋体" w:cs="宋体"/>
          <w:b w:val="0"/>
          <w:bCs w:val="0"/>
          <w:color w:val="auto"/>
          <w:sz w:val="24"/>
          <w:szCs w:val="24"/>
          <w:highlight w:val="none"/>
          <w:lang w:val="en-US" w:eastAsia="zh-CN"/>
        </w:rPr>
        <w:t>投标</w:t>
      </w:r>
      <w:r>
        <w:rPr>
          <w:rFonts w:hint="eastAsia" w:ascii="宋体" w:hAnsi="宋体" w:eastAsia="宋体" w:cs="宋体"/>
          <w:b w:val="0"/>
          <w:bCs w:val="0"/>
          <w:color w:val="auto"/>
          <w:sz w:val="24"/>
          <w:szCs w:val="24"/>
          <w:highlight w:val="none"/>
        </w:rPr>
        <w:t>资格将被认定为无效。</w:t>
      </w:r>
    </w:p>
    <w:p w14:paraId="212ED4EB">
      <w:pPr>
        <w:pStyle w:val="40"/>
        <w:keepNext w:val="0"/>
        <w:keepLines w:val="0"/>
        <w:pageBreakBefore w:val="0"/>
        <w:widowControl w:val="0"/>
        <w:kinsoku/>
        <w:wordWrap/>
        <w:overflowPunct/>
        <w:topLinePunct w:val="0"/>
        <w:bidi w:val="0"/>
        <w:adjustRightInd/>
        <w:snapToGrid/>
        <w:spacing w:line="400" w:lineRule="exact"/>
        <w:ind w:leftChars="0"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rPr>
        <w:t>如采购人所采购产品为政府强制采购的节能产品，供应商所投产品的品牌及型号必须为清单中有效期内产品并提供证明文件，否则其</w:t>
      </w:r>
      <w:r>
        <w:rPr>
          <w:rFonts w:hint="eastAsia" w:ascii="宋体" w:hAnsi="宋体" w:eastAsia="宋体" w:cs="宋体"/>
          <w:b w:val="0"/>
          <w:bCs w:val="0"/>
          <w:color w:val="auto"/>
          <w:sz w:val="24"/>
          <w:szCs w:val="24"/>
          <w:highlight w:val="none"/>
          <w:lang w:eastAsia="zh-CN"/>
        </w:rPr>
        <w:t>投标资格</w:t>
      </w:r>
      <w:r>
        <w:rPr>
          <w:rFonts w:hint="eastAsia" w:ascii="宋体" w:hAnsi="宋体" w:eastAsia="宋体" w:cs="宋体"/>
          <w:b w:val="0"/>
          <w:bCs w:val="0"/>
          <w:color w:val="auto"/>
          <w:sz w:val="24"/>
          <w:szCs w:val="24"/>
          <w:highlight w:val="none"/>
        </w:rPr>
        <w:t>将被认定为无效。</w:t>
      </w:r>
    </w:p>
    <w:p w14:paraId="0911AA73">
      <w:pPr>
        <w:keepNext w:val="0"/>
        <w:keepLines w:val="0"/>
        <w:pageBreakBefore w:val="0"/>
        <w:widowControl w:val="0"/>
        <w:kinsoku/>
        <w:wordWrap/>
        <w:overflowPunct/>
        <w:topLinePunct w:val="0"/>
        <w:bidi w:val="0"/>
        <w:adjustRightInd/>
        <w:snapToGrid/>
        <w:spacing w:line="400" w:lineRule="exact"/>
        <w:ind w:leftChars="0"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rPr>
        <w:t>在比较与评价之前，根据本须知的规定，</w:t>
      </w:r>
      <w:r>
        <w:rPr>
          <w:rFonts w:hint="eastAsia" w:ascii="宋体" w:hAnsi="宋体" w:eastAsia="宋体" w:cs="宋体"/>
          <w:b w:val="0"/>
          <w:bCs w:val="0"/>
          <w:color w:val="auto"/>
          <w:sz w:val="24"/>
          <w:szCs w:val="24"/>
          <w:highlight w:val="none"/>
          <w:lang w:eastAsia="zh-CN"/>
        </w:rPr>
        <w:t>评审委员会</w:t>
      </w:r>
      <w:r>
        <w:rPr>
          <w:rFonts w:hint="eastAsia" w:ascii="宋体" w:hAnsi="宋体" w:eastAsia="宋体" w:cs="宋体"/>
          <w:b w:val="0"/>
          <w:bCs w:val="0"/>
          <w:color w:val="auto"/>
          <w:sz w:val="24"/>
          <w:szCs w:val="24"/>
          <w:highlight w:val="none"/>
        </w:rPr>
        <w:t>要审查每份</w:t>
      </w:r>
      <w:r>
        <w:rPr>
          <w:rFonts w:hint="eastAsia" w:ascii="宋体" w:hAnsi="宋体" w:eastAsia="宋体" w:cs="宋体"/>
          <w:b w:val="0"/>
          <w:bCs w:val="0"/>
          <w:color w:val="auto"/>
          <w:sz w:val="24"/>
          <w:szCs w:val="24"/>
          <w:highlight w:val="none"/>
          <w:lang w:eastAsia="zh-CN"/>
        </w:rPr>
        <w:t>投标文件</w:t>
      </w:r>
      <w:r>
        <w:rPr>
          <w:rFonts w:hint="eastAsia" w:ascii="宋体" w:hAnsi="宋体" w:eastAsia="宋体" w:cs="宋体"/>
          <w:b w:val="0"/>
          <w:bCs w:val="0"/>
          <w:color w:val="auto"/>
          <w:sz w:val="24"/>
          <w:szCs w:val="24"/>
          <w:highlight w:val="none"/>
        </w:rPr>
        <w:t>是否实质上响应了</w:t>
      </w:r>
      <w:r>
        <w:rPr>
          <w:rFonts w:hint="eastAsia" w:ascii="宋体" w:hAnsi="宋体" w:eastAsia="宋体" w:cs="宋体"/>
          <w:b w:val="0"/>
          <w:bCs w:val="0"/>
          <w:color w:val="auto"/>
          <w:sz w:val="24"/>
          <w:szCs w:val="24"/>
          <w:highlight w:val="none"/>
          <w:lang w:eastAsia="zh-CN"/>
        </w:rPr>
        <w:t>招标文件</w:t>
      </w:r>
      <w:r>
        <w:rPr>
          <w:rFonts w:hint="eastAsia" w:ascii="宋体" w:hAnsi="宋体" w:eastAsia="宋体" w:cs="宋体"/>
          <w:b w:val="0"/>
          <w:bCs w:val="0"/>
          <w:color w:val="auto"/>
          <w:sz w:val="24"/>
          <w:szCs w:val="24"/>
          <w:highlight w:val="none"/>
        </w:rPr>
        <w:t>的要求。实质上响应的</w:t>
      </w:r>
      <w:r>
        <w:rPr>
          <w:rFonts w:hint="eastAsia" w:ascii="宋体" w:hAnsi="宋体" w:eastAsia="宋体" w:cs="宋体"/>
          <w:b w:val="0"/>
          <w:bCs w:val="0"/>
          <w:color w:val="auto"/>
          <w:sz w:val="24"/>
          <w:szCs w:val="24"/>
          <w:highlight w:val="none"/>
          <w:lang w:eastAsia="zh-CN"/>
        </w:rPr>
        <w:t>投标</w:t>
      </w:r>
      <w:r>
        <w:rPr>
          <w:rFonts w:hint="eastAsia" w:ascii="宋体" w:hAnsi="宋体" w:eastAsia="宋体" w:cs="宋体"/>
          <w:b w:val="0"/>
          <w:bCs w:val="0"/>
          <w:color w:val="auto"/>
          <w:sz w:val="24"/>
          <w:szCs w:val="24"/>
          <w:highlight w:val="none"/>
        </w:rPr>
        <w:t>应该是与</w:t>
      </w:r>
      <w:r>
        <w:rPr>
          <w:rFonts w:hint="eastAsia" w:ascii="宋体" w:hAnsi="宋体" w:eastAsia="宋体" w:cs="宋体"/>
          <w:b w:val="0"/>
          <w:bCs w:val="0"/>
          <w:color w:val="auto"/>
          <w:sz w:val="24"/>
          <w:szCs w:val="24"/>
          <w:highlight w:val="none"/>
          <w:lang w:eastAsia="zh-CN"/>
        </w:rPr>
        <w:t>招标文件</w:t>
      </w:r>
      <w:r>
        <w:rPr>
          <w:rFonts w:hint="eastAsia" w:ascii="宋体" w:hAnsi="宋体" w:eastAsia="宋体" w:cs="宋体"/>
          <w:b w:val="0"/>
          <w:bCs w:val="0"/>
          <w:color w:val="auto"/>
          <w:sz w:val="24"/>
          <w:szCs w:val="24"/>
          <w:highlight w:val="none"/>
        </w:rPr>
        <w:t>要求的全部条款、条件和规格相符，没有重大偏离的</w:t>
      </w:r>
      <w:r>
        <w:rPr>
          <w:rFonts w:hint="eastAsia" w:ascii="宋体" w:hAnsi="宋体" w:eastAsia="宋体" w:cs="宋体"/>
          <w:b w:val="0"/>
          <w:bCs w:val="0"/>
          <w:color w:val="auto"/>
          <w:sz w:val="24"/>
          <w:szCs w:val="24"/>
          <w:highlight w:val="none"/>
          <w:lang w:eastAsia="zh-CN"/>
        </w:rPr>
        <w:t>投标文件</w:t>
      </w:r>
      <w:r>
        <w:rPr>
          <w:rFonts w:hint="eastAsia" w:ascii="宋体" w:hAnsi="宋体" w:eastAsia="宋体" w:cs="宋体"/>
          <w:b w:val="0"/>
          <w:bCs w:val="0"/>
          <w:color w:val="auto"/>
          <w:sz w:val="24"/>
          <w:szCs w:val="24"/>
          <w:highlight w:val="none"/>
        </w:rPr>
        <w:t>。对关键条款的偏离，将被认定为无效。供应商不得通过修正或撤销不符合要求的偏离，从而使其</w:t>
      </w:r>
      <w:r>
        <w:rPr>
          <w:rFonts w:hint="eastAsia" w:ascii="宋体" w:hAnsi="宋体" w:eastAsia="宋体" w:cs="宋体"/>
          <w:b w:val="0"/>
          <w:bCs w:val="0"/>
          <w:color w:val="auto"/>
          <w:sz w:val="24"/>
          <w:szCs w:val="24"/>
          <w:highlight w:val="none"/>
          <w:lang w:eastAsia="zh-CN"/>
        </w:rPr>
        <w:t>投标</w:t>
      </w:r>
      <w:r>
        <w:rPr>
          <w:rFonts w:hint="eastAsia" w:ascii="宋体" w:hAnsi="宋体" w:eastAsia="宋体" w:cs="宋体"/>
          <w:b w:val="0"/>
          <w:bCs w:val="0"/>
          <w:color w:val="auto"/>
          <w:sz w:val="24"/>
          <w:szCs w:val="24"/>
          <w:highlight w:val="none"/>
        </w:rPr>
        <w:t>成为实质上响应的</w:t>
      </w:r>
      <w:r>
        <w:rPr>
          <w:rFonts w:hint="eastAsia" w:ascii="宋体" w:hAnsi="宋体" w:eastAsia="宋体" w:cs="宋体"/>
          <w:b w:val="0"/>
          <w:bCs w:val="0"/>
          <w:color w:val="auto"/>
          <w:sz w:val="24"/>
          <w:szCs w:val="24"/>
          <w:highlight w:val="none"/>
          <w:lang w:eastAsia="zh-CN"/>
        </w:rPr>
        <w:t>投标</w:t>
      </w:r>
      <w:r>
        <w:rPr>
          <w:rFonts w:hint="eastAsia" w:ascii="宋体" w:hAnsi="宋体" w:eastAsia="宋体" w:cs="宋体"/>
          <w:b w:val="0"/>
          <w:bCs w:val="0"/>
          <w:color w:val="auto"/>
          <w:sz w:val="24"/>
          <w:szCs w:val="24"/>
          <w:highlight w:val="none"/>
        </w:rPr>
        <w:t>。</w:t>
      </w:r>
    </w:p>
    <w:p w14:paraId="5E88662A">
      <w:pPr>
        <w:keepNext w:val="0"/>
        <w:keepLines w:val="0"/>
        <w:pageBreakBefore w:val="0"/>
        <w:kinsoku/>
        <w:wordWrap/>
        <w:overflowPunct/>
        <w:topLinePunct w:val="0"/>
        <w:bidi w:val="0"/>
        <w:adjustRightInd/>
        <w:spacing w:line="400" w:lineRule="exact"/>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4.</w:t>
      </w:r>
      <w:r>
        <w:rPr>
          <w:rFonts w:hint="eastAsia" w:ascii="宋体" w:hAnsi="宋体" w:eastAsia="宋体" w:cs="宋体"/>
          <w:b w:val="0"/>
          <w:bCs w:val="0"/>
          <w:color w:val="auto"/>
          <w:sz w:val="24"/>
          <w:szCs w:val="24"/>
          <w:highlight w:val="none"/>
        </w:rPr>
        <w:t>未按</w:t>
      </w:r>
      <w:r>
        <w:rPr>
          <w:rFonts w:hint="eastAsia" w:ascii="宋体" w:hAnsi="宋体" w:eastAsia="宋体" w:cs="宋体"/>
          <w:b w:val="0"/>
          <w:bCs w:val="0"/>
          <w:color w:val="auto"/>
          <w:sz w:val="24"/>
          <w:szCs w:val="24"/>
          <w:highlight w:val="none"/>
          <w:lang w:eastAsia="zh-CN"/>
        </w:rPr>
        <w:t>招标文件</w:t>
      </w:r>
      <w:r>
        <w:rPr>
          <w:rFonts w:hint="eastAsia" w:ascii="宋体" w:hAnsi="宋体" w:eastAsia="宋体" w:cs="宋体"/>
          <w:b w:val="0"/>
          <w:bCs w:val="0"/>
          <w:color w:val="auto"/>
          <w:sz w:val="24"/>
          <w:szCs w:val="24"/>
          <w:highlight w:val="none"/>
        </w:rPr>
        <w:t>规定的形式和金额提交</w:t>
      </w:r>
      <w:r>
        <w:rPr>
          <w:rFonts w:hint="eastAsia" w:ascii="宋体" w:hAnsi="宋体" w:eastAsia="宋体" w:cs="宋体"/>
          <w:b w:val="0"/>
          <w:bCs w:val="0"/>
          <w:color w:val="auto"/>
          <w:sz w:val="24"/>
          <w:szCs w:val="24"/>
          <w:highlight w:val="none"/>
          <w:lang w:eastAsia="zh-CN"/>
        </w:rPr>
        <w:t>投标</w:t>
      </w:r>
      <w:r>
        <w:rPr>
          <w:rFonts w:hint="eastAsia" w:ascii="宋体" w:hAnsi="宋体" w:eastAsia="宋体" w:cs="宋体"/>
          <w:b w:val="0"/>
          <w:bCs w:val="0"/>
          <w:color w:val="auto"/>
          <w:sz w:val="24"/>
          <w:szCs w:val="24"/>
          <w:highlight w:val="none"/>
        </w:rPr>
        <w:t>保证金的；</w:t>
      </w:r>
    </w:p>
    <w:p w14:paraId="1080CB1F">
      <w:pPr>
        <w:keepNext w:val="0"/>
        <w:keepLines w:val="0"/>
        <w:pageBreakBefore w:val="0"/>
        <w:tabs>
          <w:tab w:val="left" w:pos="817"/>
        </w:tabs>
        <w:kinsoku/>
        <w:wordWrap/>
        <w:overflowPunct/>
        <w:topLinePunct w:val="0"/>
        <w:bidi w:val="0"/>
        <w:adjustRightInd/>
        <w:spacing w:line="400" w:lineRule="exact"/>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5.</w:t>
      </w:r>
      <w:r>
        <w:rPr>
          <w:rFonts w:hint="eastAsia" w:ascii="宋体" w:hAnsi="宋体" w:eastAsia="宋体" w:cs="宋体"/>
          <w:b w:val="0"/>
          <w:bCs w:val="0"/>
          <w:color w:val="auto"/>
          <w:sz w:val="24"/>
          <w:szCs w:val="24"/>
          <w:highlight w:val="none"/>
        </w:rPr>
        <w:t>未按照</w:t>
      </w:r>
      <w:r>
        <w:rPr>
          <w:rFonts w:hint="eastAsia" w:ascii="宋体" w:hAnsi="宋体" w:eastAsia="宋体" w:cs="宋体"/>
          <w:b w:val="0"/>
          <w:bCs w:val="0"/>
          <w:color w:val="auto"/>
          <w:sz w:val="24"/>
          <w:szCs w:val="24"/>
          <w:highlight w:val="none"/>
          <w:lang w:eastAsia="zh-CN"/>
        </w:rPr>
        <w:t>招标文件</w:t>
      </w:r>
      <w:r>
        <w:rPr>
          <w:rFonts w:hint="eastAsia" w:ascii="宋体" w:hAnsi="宋体" w:eastAsia="宋体" w:cs="宋体"/>
          <w:b w:val="0"/>
          <w:bCs w:val="0"/>
          <w:color w:val="auto"/>
          <w:sz w:val="24"/>
          <w:szCs w:val="24"/>
          <w:highlight w:val="none"/>
        </w:rPr>
        <w:t>规定要求签署、盖章的；</w:t>
      </w:r>
    </w:p>
    <w:p w14:paraId="2F79CA21">
      <w:pPr>
        <w:keepNext w:val="0"/>
        <w:keepLines w:val="0"/>
        <w:pageBreakBefore w:val="0"/>
        <w:kinsoku/>
        <w:wordWrap/>
        <w:overflowPunct/>
        <w:topLinePunct w:val="0"/>
        <w:bidi w:val="0"/>
        <w:adjustRightInd/>
        <w:spacing w:line="400" w:lineRule="exact"/>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6.</w:t>
      </w:r>
      <w:r>
        <w:rPr>
          <w:rFonts w:hint="eastAsia" w:ascii="宋体" w:hAnsi="宋体" w:eastAsia="宋体" w:cs="宋体"/>
          <w:b w:val="0"/>
          <w:bCs w:val="0"/>
          <w:color w:val="auto"/>
          <w:sz w:val="24"/>
          <w:szCs w:val="24"/>
          <w:highlight w:val="none"/>
        </w:rPr>
        <w:t>未满足</w:t>
      </w:r>
      <w:r>
        <w:rPr>
          <w:rFonts w:hint="eastAsia" w:ascii="宋体" w:hAnsi="宋体" w:eastAsia="宋体" w:cs="宋体"/>
          <w:b w:val="0"/>
          <w:bCs w:val="0"/>
          <w:color w:val="auto"/>
          <w:sz w:val="24"/>
          <w:szCs w:val="24"/>
          <w:highlight w:val="none"/>
          <w:lang w:eastAsia="zh-CN"/>
        </w:rPr>
        <w:t>招标文件</w:t>
      </w:r>
      <w:r>
        <w:rPr>
          <w:rFonts w:hint="eastAsia" w:ascii="宋体" w:hAnsi="宋体" w:eastAsia="宋体" w:cs="宋体"/>
          <w:b w:val="0"/>
          <w:bCs w:val="0"/>
          <w:color w:val="auto"/>
          <w:sz w:val="24"/>
          <w:szCs w:val="24"/>
          <w:highlight w:val="none"/>
        </w:rPr>
        <w:t>中技术条款的实质性要求；</w:t>
      </w:r>
    </w:p>
    <w:p w14:paraId="7E01D6D6">
      <w:pPr>
        <w:keepNext w:val="0"/>
        <w:keepLines w:val="0"/>
        <w:pageBreakBefore w:val="0"/>
        <w:kinsoku/>
        <w:wordWrap/>
        <w:overflowPunct/>
        <w:topLinePunct w:val="0"/>
        <w:bidi w:val="0"/>
        <w:adjustRightInd/>
        <w:spacing w:line="400" w:lineRule="exact"/>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7.</w:t>
      </w:r>
      <w:r>
        <w:rPr>
          <w:rFonts w:hint="eastAsia" w:ascii="宋体" w:hAnsi="宋体" w:eastAsia="宋体" w:cs="宋体"/>
          <w:b w:val="0"/>
          <w:bCs w:val="0"/>
          <w:color w:val="auto"/>
          <w:sz w:val="24"/>
          <w:szCs w:val="24"/>
          <w:highlight w:val="none"/>
        </w:rPr>
        <w:t>与其他供应商串通参加</w:t>
      </w:r>
      <w:r>
        <w:rPr>
          <w:rFonts w:hint="eastAsia" w:ascii="宋体" w:hAnsi="宋体" w:eastAsia="宋体" w:cs="宋体"/>
          <w:b w:val="0"/>
          <w:bCs w:val="0"/>
          <w:color w:val="auto"/>
          <w:sz w:val="24"/>
          <w:szCs w:val="24"/>
          <w:highlight w:val="none"/>
          <w:lang w:eastAsia="zh-CN"/>
        </w:rPr>
        <w:t>投标</w:t>
      </w:r>
      <w:r>
        <w:rPr>
          <w:rFonts w:hint="eastAsia" w:ascii="宋体" w:hAnsi="宋体" w:eastAsia="宋体" w:cs="宋体"/>
          <w:b w:val="0"/>
          <w:bCs w:val="0"/>
          <w:color w:val="auto"/>
          <w:sz w:val="24"/>
          <w:szCs w:val="24"/>
          <w:highlight w:val="none"/>
        </w:rPr>
        <w:t>，或者与采购人串通参加</w:t>
      </w:r>
      <w:r>
        <w:rPr>
          <w:rFonts w:hint="eastAsia" w:ascii="宋体" w:hAnsi="宋体" w:eastAsia="宋体" w:cs="宋体"/>
          <w:b w:val="0"/>
          <w:bCs w:val="0"/>
          <w:color w:val="auto"/>
          <w:sz w:val="24"/>
          <w:szCs w:val="24"/>
          <w:highlight w:val="none"/>
          <w:lang w:eastAsia="zh-CN"/>
        </w:rPr>
        <w:t>投标</w:t>
      </w:r>
      <w:r>
        <w:rPr>
          <w:rFonts w:hint="eastAsia" w:ascii="宋体" w:hAnsi="宋体" w:eastAsia="宋体" w:cs="宋体"/>
          <w:b w:val="0"/>
          <w:bCs w:val="0"/>
          <w:color w:val="auto"/>
          <w:sz w:val="24"/>
          <w:szCs w:val="24"/>
          <w:highlight w:val="none"/>
        </w:rPr>
        <w:t>；</w:t>
      </w:r>
    </w:p>
    <w:p w14:paraId="49D0C2EE">
      <w:pPr>
        <w:keepNext w:val="0"/>
        <w:keepLines w:val="0"/>
        <w:pageBreakBefore w:val="0"/>
        <w:kinsoku/>
        <w:wordWrap/>
        <w:overflowPunct/>
        <w:topLinePunct w:val="0"/>
        <w:bidi w:val="0"/>
        <w:adjustRightInd/>
        <w:spacing w:line="400" w:lineRule="exact"/>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8.</w:t>
      </w:r>
      <w:r>
        <w:rPr>
          <w:rFonts w:hint="eastAsia" w:ascii="宋体" w:hAnsi="宋体" w:eastAsia="宋体" w:cs="宋体"/>
          <w:b w:val="0"/>
          <w:bCs w:val="0"/>
          <w:color w:val="auto"/>
          <w:sz w:val="24"/>
          <w:szCs w:val="24"/>
          <w:highlight w:val="none"/>
        </w:rPr>
        <w:t>属于</w:t>
      </w:r>
      <w:r>
        <w:rPr>
          <w:rFonts w:hint="eastAsia" w:ascii="宋体" w:hAnsi="宋体" w:eastAsia="宋体" w:cs="宋体"/>
          <w:b w:val="0"/>
          <w:bCs w:val="0"/>
          <w:color w:val="auto"/>
          <w:sz w:val="24"/>
          <w:szCs w:val="24"/>
          <w:highlight w:val="none"/>
          <w:lang w:eastAsia="zh-CN"/>
        </w:rPr>
        <w:t>招标文件</w:t>
      </w:r>
      <w:r>
        <w:rPr>
          <w:rFonts w:hint="eastAsia" w:ascii="宋体" w:hAnsi="宋体" w:eastAsia="宋体" w:cs="宋体"/>
          <w:b w:val="0"/>
          <w:bCs w:val="0"/>
          <w:color w:val="auto"/>
          <w:sz w:val="24"/>
          <w:szCs w:val="24"/>
          <w:highlight w:val="none"/>
        </w:rPr>
        <w:t>规定的其他无效情形；</w:t>
      </w:r>
    </w:p>
    <w:p w14:paraId="5C5EB9B2">
      <w:pPr>
        <w:keepNext w:val="0"/>
        <w:keepLines w:val="0"/>
        <w:pageBreakBefore w:val="0"/>
        <w:kinsoku/>
        <w:wordWrap/>
        <w:overflowPunct/>
        <w:topLinePunct w:val="0"/>
        <w:bidi w:val="0"/>
        <w:adjustRightInd/>
        <w:spacing w:line="400" w:lineRule="exact"/>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9.</w:t>
      </w:r>
      <w:r>
        <w:rPr>
          <w:rFonts w:hint="eastAsia" w:ascii="宋体" w:hAnsi="宋体" w:eastAsia="宋体" w:cs="宋体"/>
          <w:b w:val="0"/>
          <w:bCs w:val="0"/>
          <w:color w:val="auto"/>
          <w:sz w:val="24"/>
          <w:szCs w:val="24"/>
          <w:highlight w:val="none"/>
          <w:lang w:eastAsia="zh-CN"/>
        </w:rPr>
        <w:t>评审委员会</w:t>
      </w:r>
      <w:r>
        <w:rPr>
          <w:rFonts w:hint="eastAsia" w:ascii="宋体" w:hAnsi="宋体" w:eastAsia="宋体" w:cs="宋体"/>
          <w:b w:val="0"/>
          <w:bCs w:val="0"/>
          <w:color w:val="auto"/>
          <w:sz w:val="24"/>
          <w:szCs w:val="24"/>
          <w:highlight w:val="none"/>
        </w:rPr>
        <w:t>认为供应商的报价明显低于其他通过符合性检查供应商的报价，有可能影响履约的，且供应商未按照规定证明其报价合理性的；</w:t>
      </w:r>
    </w:p>
    <w:p w14:paraId="1FDFC08D">
      <w:pPr>
        <w:keepNext w:val="0"/>
        <w:keepLines w:val="0"/>
        <w:pageBreakBefore w:val="0"/>
        <w:kinsoku/>
        <w:wordWrap/>
        <w:overflowPunct/>
        <w:topLinePunct w:val="0"/>
        <w:bidi w:val="0"/>
        <w:adjustRightInd/>
        <w:spacing w:line="400" w:lineRule="exact"/>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10.</w:t>
      </w:r>
      <w:r>
        <w:rPr>
          <w:rFonts w:hint="eastAsia" w:ascii="宋体" w:hAnsi="宋体" w:eastAsia="宋体" w:cs="宋体"/>
          <w:b w:val="0"/>
          <w:bCs w:val="0"/>
          <w:color w:val="auto"/>
          <w:sz w:val="24"/>
          <w:szCs w:val="24"/>
          <w:highlight w:val="none"/>
          <w:lang w:eastAsia="zh-CN"/>
        </w:rPr>
        <w:t>投标文件</w:t>
      </w:r>
      <w:r>
        <w:rPr>
          <w:rFonts w:hint="eastAsia" w:ascii="宋体" w:hAnsi="宋体" w:eastAsia="宋体" w:cs="宋体"/>
          <w:b w:val="0"/>
          <w:bCs w:val="0"/>
          <w:color w:val="auto"/>
          <w:sz w:val="24"/>
          <w:szCs w:val="24"/>
          <w:highlight w:val="none"/>
        </w:rPr>
        <w:t>含有采购人不能接受的附加条件的；</w:t>
      </w:r>
    </w:p>
    <w:p w14:paraId="70E87297">
      <w:pPr>
        <w:keepNext w:val="0"/>
        <w:keepLines w:val="0"/>
        <w:pageBreakBefore w:val="0"/>
        <w:tabs>
          <w:tab w:val="left" w:pos="0"/>
        </w:tabs>
        <w:kinsoku/>
        <w:wordWrap/>
        <w:overflowPunct/>
        <w:topLinePunct w:val="0"/>
        <w:bidi w:val="0"/>
        <w:adjustRightInd/>
        <w:spacing w:line="400" w:lineRule="exact"/>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11.</w:t>
      </w:r>
      <w:r>
        <w:rPr>
          <w:rFonts w:hint="eastAsia" w:ascii="宋体" w:hAnsi="宋体" w:eastAsia="宋体" w:cs="宋体"/>
          <w:b w:val="0"/>
          <w:bCs w:val="0"/>
          <w:color w:val="auto"/>
          <w:sz w:val="24"/>
          <w:szCs w:val="24"/>
          <w:highlight w:val="none"/>
        </w:rPr>
        <w:t>不符合法规和</w:t>
      </w:r>
      <w:r>
        <w:rPr>
          <w:rFonts w:hint="eastAsia" w:ascii="宋体" w:hAnsi="宋体" w:eastAsia="宋体" w:cs="宋体"/>
          <w:b w:val="0"/>
          <w:bCs w:val="0"/>
          <w:color w:val="auto"/>
          <w:sz w:val="24"/>
          <w:szCs w:val="24"/>
          <w:highlight w:val="none"/>
          <w:lang w:eastAsia="zh-CN"/>
        </w:rPr>
        <w:t>招标文件</w:t>
      </w:r>
      <w:r>
        <w:rPr>
          <w:rFonts w:hint="eastAsia" w:ascii="宋体" w:hAnsi="宋体" w:eastAsia="宋体" w:cs="宋体"/>
          <w:b w:val="0"/>
          <w:bCs w:val="0"/>
          <w:color w:val="auto"/>
          <w:sz w:val="24"/>
          <w:szCs w:val="24"/>
          <w:highlight w:val="none"/>
        </w:rPr>
        <w:t>中规定的其他实质性要求的。</w:t>
      </w:r>
    </w:p>
    <w:p w14:paraId="381CC88C">
      <w:pPr>
        <w:pStyle w:val="40"/>
        <w:keepNext w:val="0"/>
        <w:keepLines w:val="0"/>
        <w:pageBreakBefore w:val="0"/>
        <w:kinsoku/>
        <w:wordWrap/>
        <w:overflowPunct/>
        <w:topLinePunct w:val="0"/>
        <w:bidi w:val="0"/>
        <w:adjustRightInd/>
        <w:spacing w:line="400" w:lineRule="exac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五、投标文件的开启</w:t>
      </w:r>
    </w:p>
    <w:p w14:paraId="05345638">
      <w:pPr>
        <w:pStyle w:val="9"/>
        <w:keepNext w:val="0"/>
        <w:keepLines w:val="0"/>
        <w:pageBreakBefore w:val="0"/>
        <w:tabs>
          <w:tab w:val="clear" w:pos="567"/>
        </w:tabs>
        <w:kinsoku/>
        <w:wordWrap/>
        <w:overflowPunct/>
        <w:topLinePunct w:val="0"/>
        <w:bidi w:val="0"/>
        <w:adjustRightInd/>
        <w:spacing w:before="0" w:line="400" w:lineRule="exact"/>
        <w:ind w:firstLine="480" w:firstLineChars="200"/>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开标</w:t>
      </w:r>
    </w:p>
    <w:p w14:paraId="06AEB439">
      <w:pPr>
        <w:pStyle w:val="9"/>
        <w:keepNext w:val="0"/>
        <w:keepLines w:val="0"/>
        <w:pageBreakBefore w:val="0"/>
        <w:tabs>
          <w:tab w:val="clear" w:pos="567"/>
        </w:tabs>
        <w:kinsoku/>
        <w:wordWrap/>
        <w:overflowPunct/>
        <w:topLinePunct w:val="0"/>
        <w:bidi w:val="0"/>
        <w:adjustRightInd/>
        <w:spacing w:before="0" w:line="400" w:lineRule="exact"/>
        <w:ind w:firstLine="480" w:firstLineChars="200"/>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开标在招标文件确定的提交投标文件截止时间后进行。开标由采购代理主持,供应商采用电子投标的供应商应委派代表参加电子投标会议。</w:t>
      </w:r>
    </w:p>
    <w:p w14:paraId="6983C466">
      <w:pPr>
        <w:pStyle w:val="13"/>
        <w:keepNext w:val="0"/>
        <w:keepLines w:val="0"/>
        <w:pageBreakBefore w:val="0"/>
        <w:numPr>
          <w:ilvl w:val="0"/>
          <w:numId w:val="0"/>
        </w:numPr>
        <w:kinsoku/>
        <w:wordWrap/>
        <w:overflowPunct/>
        <w:topLinePunct w:val="0"/>
        <w:bidi w:val="0"/>
        <w:adjustRightInd/>
        <w:snapToGrid w:val="0"/>
        <w:spacing w:line="400" w:lineRule="exact"/>
        <w:ind w:firstLine="466" w:firstLineChars="200"/>
        <w:textAlignment w:val="auto"/>
        <w:rPr>
          <w:rFonts w:hint="eastAsia" w:ascii="宋体" w:hAnsi="宋体" w:eastAsia="宋体" w:cs="宋体"/>
          <w:b/>
          <w:bCs/>
          <w:color w:val="auto"/>
          <w:spacing w:val="-4"/>
          <w:sz w:val="24"/>
          <w:szCs w:val="24"/>
          <w:highlight w:val="none"/>
          <w:lang w:val="en-US" w:eastAsia="zh-CN"/>
        </w:rPr>
      </w:pPr>
      <w:r>
        <w:rPr>
          <w:rFonts w:hint="eastAsia" w:ascii="宋体" w:hAnsi="宋体" w:eastAsia="宋体" w:cs="宋体"/>
          <w:b/>
          <w:bCs/>
          <w:color w:val="auto"/>
          <w:spacing w:val="-4"/>
          <w:sz w:val="24"/>
          <w:szCs w:val="24"/>
          <w:highlight w:val="none"/>
          <w:lang w:val="en-US" w:eastAsia="zh-CN"/>
        </w:rPr>
        <w:t>六、项目评审专家：</w:t>
      </w:r>
    </w:p>
    <w:p w14:paraId="2488E7E0">
      <w:pPr>
        <w:pStyle w:val="13"/>
        <w:keepNext w:val="0"/>
        <w:keepLines w:val="0"/>
        <w:pageBreakBefore w:val="0"/>
        <w:numPr>
          <w:ilvl w:val="0"/>
          <w:numId w:val="0"/>
        </w:numPr>
        <w:kinsoku/>
        <w:wordWrap/>
        <w:overflowPunct/>
        <w:topLinePunct w:val="0"/>
        <w:bidi w:val="0"/>
        <w:adjustRightInd/>
        <w:snapToGrid w:val="0"/>
        <w:spacing w:line="400" w:lineRule="exact"/>
        <w:ind w:firstLine="464" w:firstLineChars="200"/>
        <w:textAlignment w:val="auto"/>
        <w:rPr>
          <w:rFonts w:hint="eastAsia" w:ascii="宋体" w:hAnsi="宋体" w:eastAsia="宋体" w:cs="宋体"/>
          <w:b w:val="0"/>
          <w:bCs w:val="0"/>
          <w:color w:val="auto"/>
          <w:spacing w:val="-4"/>
          <w:sz w:val="24"/>
          <w:szCs w:val="24"/>
          <w:highlight w:val="none"/>
          <w:lang w:val="en-US" w:eastAsia="zh-CN"/>
        </w:rPr>
      </w:pPr>
      <w:r>
        <w:rPr>
          <w:rFonts w:hint="eastAsia" w:ascii="宋体" w:hAnsi="宋体" w:eastAsia="宋体" w:cs="宋体"/>
          <w:b w:val="0"/>
          <w:bCs w:val="0"/>
          <w:color w:val="auto"/>
          <w:spacing w:val="-4"/>
          <w:sz w:val="24"/>
          <w:szCs w:val="24"/>
          <w:highlight w:val="none"/>
          <w:lang w:val="en-US" w:eastAsia="zh-CN"/>
        </w:rPr>
        <w:t>按照《中华人民共和国政府采购法》、《中华人民共和国政府采购法实施条例》、</w:t>
      </w:r>
      <w:r>
        <w:rPr>
          <w:rFonts w:hint="eastAsia" w:ascii="宋体" w:hAnsi="宋体" w:eastAsia="宋体" w:cs="宋体"/>
          <w:color w:val="auto"/>
          <w:sz w:val="24"/>
          <w:highlight w:val="none"/>
          <w:lang w:eastAsia="zh-CN"/>
        </w:rPr>
        <w:t>《政府采购竞争性投标采购方式管理暂行办法》</w:t>
      </w:r>
      <w:r>
        <w:rPr>
          <w:rFonts w:hint="eastAsia" w:ascii="宋体" w:hAnsi="宋体" w:eastAsia="宋体" w:cs="宋体"/>
          <w:b w:val="0"/>
          <w:bCs w:val="0"/>
          <w:color w:val="auto"/>
          <w:spacing w:val="-4"/>
          <w:sz w:val="24"/>
          <w:szCs w:val="24"/>
          <w:highlight w:val="none"/>
          <w:lang w:val="en-US" w:eastAsia="zh-CN"/>
        </w:rPr>
        <w:t>及本项目本级和上级财政部门的有关规定依法组建的评审小组，负责评审工作；本项目评审专家由5人组成。</w:t>
      </w:r>
    </w:p>
    <w:p w14:paraId="74407CAF">
      <w:pPr>
        <w:pStyle w:val="13"/>
        <w:keepNext w:val="0"/>
        <w:keepLines w:val="0"/>
        <w:pageBreakBefore w:val="0"/>
        <w:numPr>
          <w:ilvl w:val="0"/>
          <w:numId w:val="0"/>
        </w:numPr>
        <w:kinsoku/>
        <w:wordWrap/>
        <w:overflowPunct/>
        <w:topLinePunct w:val="0"/>
        <w:bidi w:val="0"/>
        <w:adjustRightInd/>
        <w:snapToGrid w:val="0"/>
        <w:spacing w:line="400" w:lineRule="exact"/>
        <w:textAlignment w:val="auto"/>
        <w:rPr>
          <w:rFonts w:hint="eastAsia" w:ascii="宋体" w:hAnsi="宋体" w:eastAsia="宋体" w:cs="宋体"/>
          <w:b w:val="0"/>
          <w:bCs w:val="0"/>
          <w:color w:val="auto"/>
          <w:spacing w:val="-4"/>
          <w:sz w:val="24"/>
          <w:szCs w:val="24"/>
          <w:highlight w:val="none"/>
          <w:lang w:val="en-US" w:eastAsia="zh-CN"/>
        </w:rPr>
      </w:pPr>
      <w:r>
        <w:rPr>
          <w:rFonts w:hint="eastAsia" w:ascii="宋体" w:hAnsi="宋体" w:eastAsia="宋体" w:cs="宋体"/>
          <w:b w:val="0"/>
          <w:bCs w:val="0"/>
          <w:color w:val="auto"/>
          <w:spacing w:val="-4"/>
          <w:sz w:val="24"/>
          <w:szCs w:val="24"/>
          <w:highlight w:val="none"/>
          <w:lang w:val="en-US" w:eastAsia="zh-CN"/>
        </w:rPr>
        <w:t>评审专家要求：</w:t>
      </w:r>
    </w:p>
    <w:p w14:paraId="70FB9BC8">
      <w:pPr>
        <w:pStyle w:val="13"/>
        <w:keepNext w:val="0"/>
        <w:keepLines w:val="0"/>
        <w:pageBreakBefore w:val="0"/>
        <w:numPr>
          <w:ilvl w:val="0"/>
          <w:numId w:val="0"/>
        </w:numPr>
        <w:kinsoku/>
        <w:wordWrap/>
        <w:overflowPunct/>
        <w:topLinePunct w:val="0"/>
        <w:bidi w:val="0"/>
        <w:adjustRightInd/>
        <w:snapToGrid w:val="0"/>
        <w:spacing w:line="400" w:lineRule="exact"/>
        <w:textAlignment w:val="auto"/>
        <w:rPr>
          <w:rFonts w:hint="eastAsia" w:ascii="宋体" w:hAnsi="宋体" w:eastAsia="宋体" w:cs="宋体"/>
          <w:b w:val="0"/>
          <w:bCs w:val="0"/>
          <w:color w:val="auto"/>
          <w:spacing w:val="-4"/>
          <w:sz w:val="24"/>
          <w:szCs w:val="24"/>
          <w:highlight w:val="none"/>
          <w:lang w:val="en-US" w:eastAsia="zh-CN"/>
        </w:rPr>
      </w:pPr>
      <w:r>
        <w:rPr>
          <w:rFonts w:hint="eastAsia" w:ascii="宋体" w:hAnsi="宋体" w:eastAsia="宋体" w:cs="宋体"/>
          <w:b w:val="0"/>
          <w:bCs w:val="0"/>
          <w:color w:val="auto"/>
          <w:spacing w:val="-4"/>
          <w:sz w:val="24"/>
          <w:szCs w:val="24"/>
          <w:highlight w:val="none"/>
          <w:lang w:val="en-US" w:eastAsia="zh-CN"/>
        </w:rPr>
        <w:t>　　1.组织评标委员会推选评标组长，采购人代表不得担任组长；</w:t>
      </w:r>
    </w:p>
    <w:p w14:paraId="01333771">
      <w:pPr>
        <w:pStyle w:val="13"/>
        <w:keepNext w:val="0"/>
        <w:keepLines w:val="0"/>
        <w:pageBreakBefore w:val="0"/>
        <w:numPr>
          <w:ilvl w:val="0"/>
          <w:numId w:val="0"/>
        </w:numPr>
        <w:kinsoku/>
        <w:wordWrap/>
        <w:overflowPunct/>
        <w:topLinePunct w:val="0"/>
        <w:bidi w:val="0"/>
        <w:adjustRightInd/>
        <w:snapToGrid w:val="0"/>
        <w:spacing w:line="400" w:lineRule="exact"/>
        <w:textAlignment w:val="auto"/>
        <w:rPr>
          <w:rFonts w:hint="eastAsia" w:ascii="宋体" w:hAnsi="宋体" w:eastAsia="宋体" w:cs="宋体"/>
          <w:b w:val="0"/>
          <w:bCs w:val="0"/>
          <w:color w:val="auto"/>
          <w:sz w:val="32"/>
          <w:szCs w:val="32"/>
          <w:highlight w:val="none"/>
        </w:rPr>
      </w:pPr>
      <w:r>
        <w:rPr>
          <w:rFonts w:hint="eastAsia" w:ascii="宋体" w:hAnsi="宋体" w:eastAsia="宋体" w:cs="宋体"/>
          <w:b w:val="0"/>
          <w:bCs w:val="0"/>
          <w:color w:val="auto"/>
          <w:spacing w:val="-4"/>
          <w:sz w:val="24"/>
          <w:szCs w:val="24"/>
          <w:highlight w:val="none"/>
          <w:lang w:val="en-US" w:eastAsia="zh-CN"/>
        </w:rPr>
        <w:t>　　2.在评标期间采取必要的通讯管理措施，保证评标活动不受外界干扰，将手机关闭或调成静音交友现场项目监督人员统一保管；</w:t>
      </w:r>
    </w:p>
    <w:p w14:paraId="7F5E0C10">
      <w:pPr>
        <w:pStyle w:val="13"/>
        <w:keepNext w:val="0"/>
        <w:keepLines w:val="0"/>
        <w:pageBreakBefore w:val="0"/>
        <w:numPr>
          <w:ilvl w:val="0"/>
          <w:numId w:val="0"/>
        </w:numPr>
        <w:kinsoku/>
        <w:wordWrap/>
        <w:overflowPunct/>
        <w:topLinePunct w:val="0"/>
        <w:bidi w:val="0"/>
        <w:adjustRightInd/>
        <w:snapToGrid w:val="0"/>
        <w:spacing w:line="400" w:lineRule="exact"/>
        <w:textAlignment w:val="auto"/>
        <w:rPr>
          <w:rFonts w:hint="eastAsia" w:ascii="宋体" w:hAnsi="宋体" w:eastAsia="宋体" w:cs="宋体"/>
          <w:b w:val="0"/>
          <w:bCs w:val="0"/>
          <w:color w:val="auto"/>
          <w:spacing w:val="-4"/>
          <w:sz w:val="24"/>
          <w:szCs w:val="24"/>
          <w:highlight w:val="none"/>
          <w:lang w:val="en-US" w:eastAsia="zh-CN"/>
        </w:rPr>
      </w:pPr>
      <w:r>
        <w:rPr>
          <w:rFonts w:hint="eastAsia" w:ascii="宋体" w:hAnsi="宋体" w:eastAsia="宋体" w:cs="宋体"/>
          <w:b w:val="0"/>
          <w:bCs w:val="0"/>
          <w:color w:val="auto"/>
          <w:spacing w:val="-4"/>
          <w:sz w:val="24"/>
          <w:szCs w:val="24"/>
          <w:highlight w:val="none"/>
          <w:lang w:val="en-US" w:eastAsia="zh-CN"/>
        </w:rPr>
        <w:t>　　3.审查、评价投标文件是否符合招标文件的商务、技术等实质性要求；</w:t>
      </w:r>
    </w:p>
    <w:p w14:paraId="0673E736">
      <w:pPr>
        <w:pStyle w:val="13"/>
        <w:keepNext w:val="0"/>
        <w:keepLines w:val="0"/>
        <w:pageBreakBefore w:val="0"/>
        <w:numPr>
          <w:ilvl w:val="0"/>
          <w:numId w:val="0"/>
        </w:numPr>
        <w:kinsoku/>
        <w:wordWrap/>
        <w:overflowPunct/>
        <w:topLinePunct w:val="0"/>
        <w:bidi w:val="0"/>
        <w:adjustRightInd/>
        <w:snapToGrid w:val="0"/>
        <w:spacing w:line="400" w:lineRule="exact"/>
        <w:textAlignment w:val="auto"/>
        <w:rPr>
          <w:rFonts w:hint="eastAsia" w:ascii="宋体" w:hAnsi="宋体" w:eastAsia="宋体" w:cs="宋体"/>
          <w:b w:val="0"/>
          <w:bCs w:val="0"/>
          <w:color w:val="auto"/>
          <w:spacing w:val="-4"/>
          <w:sz w:val="24"/>
          <w:szCs w:val="24"/>
          <w:highlight w:val="none"/>
          <w:lang w:val="en-US" w:eastAsia="zh-CN"/>
        </w:rPr>
      </w:pPr>
      <w:r>
        <w:rPr>
          <w:rFonts w:hint="eastAsia" w:ascii="宋体" w:hAnsi="宋体" w:eastAsia="宋体" w:cs="宋体"/>
          <w:b w:val="0"/>
          <w:bCs w:val="0"/>
          <w:color w:val="auto"/>
          <w:spacing w:val="-4"/>
          <w:sz w:val="24"/>
          <w:szCs w:val="24"/>
          <w:highlight w:val="none"/>
          <w:lang w:val="en-US" w:eastAsia="zh-CN"/>
        </w:rPr>
        <w:t>　　4.要求投标人对投标文件有关事项作出澄清或者说明；</w:t>
      </w:r>
    </w:p>
    <w:p w14:paraId="36E17106">
      <w:pPr>
        <w:pStyle w:val="13"/>
        <w:keepNext w:val="0"/>
        <w:keepLines w:val="0"/>
        <w:pageBreakBefore w:val="0"/>
        <w:numPr>
          <w:ilvl w:val="0"/>
          <w:numId w:val="0"/>
        </w:numPr>
        <w:kinsoku/>
        <w:wordWrap/>
        <w:overflowPunct/>
        <w:topLinePunct w:val="0"/>
        <w:bidi w:val="0"/>
        <w:adjustRightInd/>
        <w:snapToGrid w:val="0"/>
        <w:spacing w:line="400" w:lineRule="exact"/>
        <w:textAlignment w:val="auto"/>
        <w:rPr>
          <w:rFonts w:hint="eastAsia" w:ascii="宋体" w:hAnsi="宋体" w:eastAsia="宋体" w:cs="宋体"/>
          <w:b w:val="0"/>
          <w:bCs w:val="0"/>
          <w:color w:val="auto"/>
          <w:spacing w:val="-4"/>
          <w:sz w:val="24"/>
          <w:szCs w:val="24"/>
          <w:highlight w:val="none"/>
          <w:lang w:val="en-US" w:eastAsia="zh-CN"/>
        </w:rPr>
      </w:pPr>
      <w:r>
        <w:rPr>
          <w:rFonts w:hint="eastAsia" w:ascii="宋体" w:hAnsi="宋体" w:eastAsia="宋体" w:cs="宋体"/>
          <w:b w:val="0"/>
          <w:bCs w:val="0"/>
          <w:color w:val="auto"/>
          <w:spacing w:val="-4"/>
          <w:sz w:val="24"/>
          <w:szCs w:val="24"/>
          <w:highlight w:val="none"/>
          <w:lang w:val="en-US" w:eastAsia="zh-CN"/>
        </w:rPr>
        <w:t>　　5.对投标文件进行比较和评价；</w:t>
      </w:r>
    </w:p>
    <w:p w14:paraId="5E85B9E4">
      <w:pPr>
        <w:pStyle w:val="13"/>
        <w:keepNext w:val="0"/>
        <w:keepLines w:val="0"/>
        <w:pageBreakBefore w:val="0"/>
        <w:numPr>
          <w:ilvl w:val="0"/>
          <w:numId w:val="0"/>
        </w:numPr>
        <w:kinsoku/>
        <w:wordWrap/>
        <w:overflowPunct/>
        <w:topLinePunct w:val="0"/>
        <w:bidi w:val="0"/>
        <w:adjustRightInd/>
        <w:snapToGrid w:val="0"/>
        <w:spacing w:line="400" w:lineRule="exact"/>
        <w:textAlignment w:val="auto"/>
        <w:rPr>
          <w:rFonts w:hint="eastAsia" w:ascii="宋体" w:hAnsi="宋体" w:eastAsia="宋体" w:cs="宋体"/>
          <w:b w:val="0"/>
          <w:bCs w:val="0"/>
          <w:color w:val="auto"/>
          <w:spacing w:val="-4"/>
          <w:sz w:val="24"/>
          <w:szCs w:val="24"/>
          <w:highlight w:val="none"/>
          <w:lang w:val="en-US" w:eastAsia="zh-CN"/>
        </w:rPr>
      </w:pPr>
      <w:r>
        <w:rPr>
          <w:rFonts w:hint="eastAsia" w:ascii="宋体" w:hAnsi="宋体" w:eastAsia="宋体" w:cs="宋体"/>
          <w:b w:val="0"/>
          <w:bCs w:val="0"/>
          <w:color w:val="auto"/>
          <w:spacing w:val="-4"/>
          <w:sz w:val="24"/>
          <w:szCs w:val="24"/>
          <w:highlight w:val="none"/>
          <w:lang w:val="en-US" w:eastAsia="zh-CN"/>
        </w:rPr>
        <w:t>　　6.确定中标候选人名单，以及根据采购人委托直接确定中标人；</w:t>
      </w:r>
    </w:p>
    <w:p w14:paraId="6F7F5A70">
      <w:pPr>
        <w:pStyle w:val="13"/>
        <w:keepNext w:val="0"/>
        <w:keepLines w:val="0"/>
        <w:pageBreakBefore w:val="0"/>
        <w:numPr>
          <w:ilvl w:val="0"/>
          <w:numId w:val="0"/>
        </w:numPr>
        <w:kinsoku/>
        <w:wordWrap/>
        <w:overflowPunct/>
        <w:topLinePunct w:val="0"/>
        <w:bidi w:val="0"/>
        <w:adjustRightInd/>
        <w:snapToGrid w:val="0"/>
        <w:spacing w:line="400" w:lineRule="exact"/>
        <w:textAlignment w:val="auto"/>
        <w:rPr>
          <w:rFonts w:hint="eastAsia" w:ascii="宋体" w:hAnsi="宋体" w:eastAsia="宋体" w:cs="宋体"/>
          <w:b w:val="0"/>
          <w:bCs w:val="0"/>
          <w:color w:val="auto"/>
          <w:spacing w:val="-4"/>
          <w:sz w:val="24"/>
          <w:szCs w:val="24"/>
          <w:highlight w:val="none"/>
          <w:lang w:val="en-US" w:eastAsia="zh-CN"/>
        </w:rPr>
      </w:pPr>
      <w:r>
        <w:rPr>
          <w:rFonts w:hint="eastAsia" w:ascii="宋体" w:hAnsi="宋体" w:eastAsia="宋体" w:cs="宋体"/>
          <w:b w:val="0"/>
          <w:bCs w:val="0"/>
          <w:color w:val="auto"/>
          <w:spacing w:val="-4"/>
          <w:sz w:val="24"/>
          <w:szCs w:val="24"/>
          <w:highlight w:val="none"/>
          <w:lang w:val="en-US" w:eastAsia="zh-CN"/>
        </w:rPr>
        <w:t>　　7.向采购人、采购代理机构或者有关部门报告评标中发现的违法行为。</w:t>
      </w:r>
    </w:p>
    <w:p w14:paraId="62D925C7">
      <w:pPr>
        <w:pStyle w:val="9"/>
        <w:keepNext w:val="0"/>
        <w:keepLines w:val="0"/>
        <w:pageBreakBefore w:val="0"/>
        <w:tabs>
          <w:tab w:val="clear" w:pos="567"/>
        </w:tabs>
        <w:kinsoku/>
        <w:wordWrap/>
        <w:overflowPunct/>
        <w:topLinePunct w:val="0"/>
        <w:bidi w:val="0"/>
        <w:adjustRightInd/>
        <w:spacing w:before="0" w:line="400" w:lineRule="exact"/>
        <w:textAlignment w:val="auto"/>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七、</w:t>
      </w:r>
      <w:r>
        <w:rPr>
          <w:rFonts w:hint="eastAsia" w:ascii="宋体" w:hAnsi="宋体" w:eastAsia="宋体" w:cs="宋体"/>
          <w:b/>
          <w:bCs/>
          <w:color w:val="auto"/>
          <w:highlight w:val="none"/>
        </w:rPr>
        <w:t>评标</w:t>
      </w:r>
    </w:p>
    <w:p w14:paraId="34C39EE8">
      <w:pPr>
        <w:pStyle w:val="9"/>
        <w:keepNext w:val="0"/>
        <w:keepLines w:val="0"/>
        <w:pageBreakBefore w:val="0"/>
        <w:tabs>
          <w:tab w:val="clear" w:pos="567"/>
        </w:tabs>
        <w:kinsoku/>
        <w:wordWrap/>
        <w:overflowPunct/>
        <w:topLinePunct w:val="0"/>
        <w:bidi w:val="0"/>
        <w:adjustRightInd/>
        <w:spacing w:before="0" w:line="400" w:lineRule="exact"/>
        <w:ind w:firstLine="480" w:firstLineChars="200"/>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1、评标的依据为招标文件和投标文件；</w:t>
      </w:r>
    </w:p>
    <w:p w14:paraId="4DE5E3A3">
      <w:pPr>
        <w:pStyle w:val="9"/>
        <w:keepNext w:val="0"/>
        <w:keepLines w:val="0"/>
        <w:pageBreakBefore w:val="0"/>
        <w:tabs>
          <w:tab w:val="clear" w:pos="567"/>
        </w:tabs>
        <w:kinsoku/>
        <w:wordWrap/>
        <w:overflowPunct/>
        <w:topLinePunct w:val="0"/>
        <w:bidi w:val="0"/>
        <w:adjustRightInd/>
        <w:spacing w:before="0" w:line="400" w:lineRule="exact"/>
        <w:ind w:firstLine="480" w:firstLineChars="200"/>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2、本项目采用综合评分法：总分100分，其中报价分值30分，商务及技术部分得分70分。</w:t>
      </w:r>
    </w:p>
    <w:p w14:paraId="63E3E774">
      <w:pPr>
        <w:pStyle w:val="9"/>
        <w:keepNext w:val="0"/>
        <w:keepLines w:val="0"/>
        <w:pageBreakBefore w:val="0"/>
        <w:tabs>
          <w:tab w:val="clear" w:pos="567"/>
        </w:tabs>
        <w:kinsoku/>
        <w:wordWrap/>
        <w:overflowPunct/>
        <w:topLinePunct w:val="0"/>
        <w:bidi w:val="0"/>
        <w:adjustRightInd/>
        <w:spacing w:before="0" w:line="400" w:lineRule="exact"/>
        <w:ind w:firstLine="480" w:firstLineChars="200"/>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3、评审委员会成员到齐后，推选评审委员会组长。依据招标文件和投标文件进行认真查阅。审查响文件是否完整，是否有计算错误，要求的投标保证金是否提供，文件是否恰当地签署；</w:t>
      </w:r>
    </w:p>
    <w:p w14:paraId="7DB5143B">
      <w:pPr>
        <w:pStyle w:val="9"/>
        <w:keepNext w:val="0"/>
        <w:keepLines w:val="0"/>
        <w:pageBreakBefore w:val="0"/>
        <w:tabs>
          <w:tab w:val="clear" w:pos="567"/>
        </w:tabs>
        <w:kinsoku/>
        <w:wordWrap/>
        <w:overflowPunct/>
        <w:topLinePunct w:val="0"/>
        <w:bidi w:val="0"/>
        <w:adjustRightInd/>
        <w:spacing w:before="0" w:line="400" w:lineRule="exact"/>
        <w:ind w:firstLine="480" w:firstLineChars="200"/>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4、在对投标文件进行详细评估前，依据投标方提供的资格证明文件审查投标方的财务、技术和服务能力。如果确定投标方无资格履行合同，其投标将被拒绝；</w:t>
      </w:r>
    </w:p>
    <w:p w14:paraId="2413CA69">
      <w:pPr>
        <w:pStyle w:val="9"/>
        <w:keepNext w:val="0"/>
        <w:keepLines w:val="0"/>
        <w:pageBreakBefore w:val="0"/>
        <w:tabs>
          <w:tab w:val="clear" w:pos="567"/>
        </w:tabs>
        <w:kinsoku/>
        <w:wordWrap/>
        <w:overflowPunct/>
        <w:topLinePunct w:val="0"/>
        <w:bidi w:val="0"/>
        <w:adjustRightInd/>
        <w:spacing w:before="0" w:line="400" w:lineRule="exact"/>
        <w:ind w:firstLine="480" w:firstLineChars="200"/>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5、评审委员会将确定每一供应商是否对招标文件的要求做出了实质性的响应，而没有重大偏离。实质性响应的响应是指投标符合招标文件的所有条款、条件和规定且没有重大偏离或保留。重大偏离或保留系指影响到招标文件规定的供货范围、服务和性能，或限制了买方的权利和投标方的义务的规定，而纠正这些偏离将影响到其他提交实质性投标的投标方的公平竞争地位。</w:t>
      </w:r>
    </w:p>
    <w:p w14:paraId="75D8BA94">
      <w:pPr>
        <w:pStyle w:val="9"/>
        <w:keepNext w:val="0"/>
        <w:keepLines w:val="0"/>
        <w:pageBreakBefore w:val="0"/>
        <w:tabs>
          <w:tab w:val="clear" w:pos="567"/>
        </w:tabs>
        <w:kinsoku/>
        <w:wordWrap/>
        <w:overflowPunct/>
        <w:topLinePunct w:val="0"/>
        <w:bidi w:val="0"/>
        <w:adjustRightInd/>
        <w:spacing w:before="0" w:line="400" w:lineRule="exact"/>
        <w:textAlignment w:val="auto"/>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对投标文件的评估和比较：</w:t>
      </w:r>
    </w:p>
    <w:p w14:paraId="728F797A">
      <w:pPr>
        <w:pStyle w:val="9"/>
        <w:keepNext w:val="0"/>
        <w:keepLines w:val="0"/>
        <w:pageBreakBefore w:val="0"/>
        <w:tabs>
          <w:tab w:val="clear" w:pos="567"/>
        </w:tabs>
        <w:kinsoku/>
        <w:wordWrap/>
        <w:overflowPunct/>
        <w:topLinePunct w:val="0"/>
        <w:bidi w:val="0"/>
        <w:adjustRightInd/>
        <w:spacing w:before="0" w:line="400" w:lineRule="exact"/>
        <w:textAlignment w:val="auto"/>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初步评审</w:t>
      </w:r>
    </w:p>
    <w:p w14:paraId="194AECDB">
      <w:pPr>
        <w:pStyle w:val="9"/>
        <w:keepNext w:val="0"/>
        <w:keepLines w:val="0"/>
        <w:pageBreakBefore w:val="0"/>
        <w:tabs>
          <w:tab w:val="clear" w:pos="567"/>
        </w:tabs>
        <w:kinsoku/>
        <w:wordWrap/>
        <w:overflowPunct/>
        <w:topLinePunct w:val="0"/>
        <w:bidi w:val="0"/>
        <w:adjustRightInd/>
        <w:spacing w:before="0" w:line="400" w:lineRule="exact"/>
        <w:textAlignment w:val="auto"/>
        <w:rPr>
          <w:rFonts w:hint="eastAsia" w:ascii="宋体" w:hAnsi="宋体" w:eastAsia="宋体" w:cs="宋体"/>
          <w:b/>
          <w:bCs/>
          <w:color w:val="auto"/>
          <w:highlight w:val="none"/>
          <w:lang w:val="en-US" w:eastAsia="zh-CN"/>
        </w:rPr>
      </w:pPr>
      <w:r>
        <w:rPr>
          <w:rFonts w:hint="eastAsia" w:eastAsia="宋体" w:cs="宋体"/>
          <w:b/>
          <w:bCs/>
          <w:color w:val="auto"/>
          <w:highlight w:val="none"/>
          <w:lang w:val="en-US" w:eastAsia="zh-CN"/>
        </w:rPr>
        <w:t>1、</w:t>
      </w:r>
      <w:r>
        <w:rPr>
          <w:rFonts w:hint="eastAsia" w:ascii="宋体" w:hAnsi="宋体" w:eastAsia="宋体" w:cs="宋体"/>
          <w:b/>
          <w:bCs/>
          <w:color w:val="auto"/>
          <w:highlight w:val="none"/>
          <w:lang w:val="en-US" w:eastAsia="zh-CN"/>
        </w:rPr>
        <w:t>资格性检查</w:t>
      </w:r>
    </w:p>
    <w:p w14:paraId="19007D5D">
      <w:pPr>
        <w:pStyle w:val="9"/>
        <w:keepNext w:val="0"/>
        <w:keepLines w:val="0"/>
        <w:pageBreakBefore w:val="0"/>
        <w:tabs>
          <w:tab w:val="clear" w:pos="567"/>
        </w:tabs>
        <w:kinsoku/>
        <w:wordWrap/>
        <w:overflowPunct/>
        <w:topLinePunct w:val="0"/>
        <w:bidi w:val="0"/>
        <w:adjustRightInd/>
        <w:spacing w:before="0" w:line="400" w:lineRule="exact"/>
        <w:ind w:firstLine="480" w:firstLineChars="200"/>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依据法律法规和招标文件的规定，</w:t>
      </w:r>
      <w:r>
        <w:rPr>
          <w:rFonts w:hint="eastAsia" w:eastAsia="宋体" w:cs="宋体"/>
          <w:b w:val="0"/>
          <w:bCs w:val="0"/>
          <w:color w:val="auto"/>
          <w:highlight w:val="none"/>
          <w:lang w:val="en-US" w:eastAsia="zh-CN"/>
        </w:rPr>
        <w:t>资格审查小组</w:t>
      </w:r>
      <w:r>
        <w:rPr>
          <w:rFonts w:hint="eastAsia" w:ascii="宋体" w:hAnsi="宋体" w:eastAsia="宋体" w:cs="宋体"/>
          <w:b w:val="0"/>
          <w:bCs w:val="0"/>
          <w:color w:val="auto"/>
          <w:highlight w:val="none"/>
          <w:lang w:val="en-US" w:eastAsia="zh-CN"/>
        </w:rPr>
        <w:t>对投标文件中的资格证明进行审查，以确定投标人是否具备投标资格。</w:t>
      </w:r>
    </w:p>
    <w:p w14:paraId="72D59B15">
      <w:pPr>
        <w:pStyle w:val="9"/>
        <w:keepNext w:val="0"/>
        <w:keepLines w:val="0"/>
        <w:pageBreakBefore w:val="0"/>
        <w:tabs>
          <w:tab w:val="clear" w:pos="567"/>
        </w:tabs>
        <w:kinsoku/>
        <w:wordWrap/>
        <w:overflowPunct/>
        <w:topLinePunct w:val="0"/>
        <w:bidi w:val="0"/>
        <w:adjustRightInd/>
        <w:spacing w:before="0" w:line="400" w:lineRule="exact"/>
        <w:textAlignment w:val="auto"/>
        <w:rPr>
          <w:rFonts w:hint="eastAsia" w:ascii="宋体" w:hAnsi="宋体" w:eastAsia="宋体" w:cs="宋体"/>
          <w:b/>
          <w:bCs/>
          <w:color w:val="auto"/>
          <w:highlight w:val="none"/>
          <w:lang w:val="en-US" w:eastAsia="zh-CN"/>
        </w:rPr>
      </w:pPr>
      <w:r>
        <w:rPr>
          <w:rFonts w:hint="eastAsia" w:eastAsia="宋体" w:cs="宋体"/>
          <w:b/>
          <w:bCs/>
          <w:color w:val="auto"/>
          <w:highlight w:val="none"/>
          <w:lang w:val="en-US" w:eastAsia="zh-CN"/>
        </w:rPr>
        <w:t>2、</w:t>
      </w:r>
      <w:r>
        <w:rPr>
          <w:rFonts w:hint="eastAsia" w:ascii="宋体" w:hAnsi="宋体" w:eastAsia="宋体" w:cs="宋体"/>
          <w:b/>
          <w:bCs/>
          <w:color w:val="auto"/>
          <w:highlight w:val="none"/>
          <w:lang w:val="en-US" w:eastAsia="zh-CN"/>
        </w:rPr>
        <w:t>投标文件的符合性审查</w:t>
      </w:r>
    </w:p>
    <w:p w14:paraId="4E9E8E9D">
      <w:pPr>
        <w:pStyle w:val="9"/>
        <w:keepNext w:val="0"/>
        <w:keepLines w:val="0"/>
        <w:pageBreakBefore w:val="0"/>
        <w:tabs>
          <w:tab w:val="clear" w:pos="567"/>
        </w:tabs>
        <w:kinsoku/>
        <w:wordWrap/>
        <w:overflowPunct/>
        <w:topLinePunct w:val="0"/>
        <w:bidi w:val="0"/>
        <w:adjustRightInd/>
        <w:spacing w:before="0" w:line="400" w:lineRule="exact"/>
        <w:ind w:firstLine="480"/>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投标文件是否实质性响应招标文件要求由评审委员会依据招标文件规定认定。评审委员会决定投标文件的实质性只根据投标文件本身的真实无误的内容，而不依据外部的证据。依据招标文件的规定，从投标文件的有效性、完整性和对招标文件的响应程度进行审查，以确定是否对招标文件的实质性要求作出响应。</w:t>
      </w:r>
    </w:p>
    <w:p w14:paraId="13D2853E">
      <w:pPr>
        <w:pStyle w:val="9"/>
        <w:keepNext w:val="0"/>
        <w:keepLines w:val="0"/>
        <w:pageBreakBefore w:val="0"/>
        <w:tabs>
          <w:tab w:val="clear" w:pos="567"/>
        </w:tabs>
        <w:kinsoku/>
        <w:wordWrap/>
        <w:overflowPunct/>
        <w:topLinePunct w:val="0"/>
        <w:bidi w:val="0"/>
        <w:adjustRightInd/>
        <w:spacing w:before="0" w:line="400" w:lineRule="exact"/>
        <w:textAlignment w:val="auto"/>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3、详细评审</w:t>
      </w:r>
    </w:p>
    <w:p w14:paraId="2D3FDBB3">
      <w:pPr>
        <w:pStyle w:val="9"/>
        <w:keepNext w:val="0"/>
        <w:keepLines w:val="0"/>
        <w:pageBreakBefore w:val="0"/>
        <w:numPr>
          <w:ilvl w:val="0"/>
          <w:numId w:val="4"/>
        </w:numPr>
        <w:tabs>
          <w:tab w:val="clear" w:pos="567"/>
        </w:tabs>
        <w:kinsoku/>
        <w:wordWrap/>
        <w:overflowPunct/>
        <w:topLinePunct w:val="0"/>
        <w:bidi w:val="0"/>
        <w:adjustRightInd/>
        <w:spacing w:before="0" w:line="400" w:lineRule="exact"/>
        <w:ind w:firstLine="480" w:firstLineChars="200"/>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经初步评审合格的投标文件，评审委员会应当根据本文件确定的评标标准和方法，对其技术和商务部分作进一步的评审和比较。</w:t>
      </w:r>
    </w:p>
    <w:p w14:paraId="616A35D9">
      <w:pPr>
        <w:pStyle w:val="9"/>
        <w:keepNext w:val="0"/>
        <w:keepLines w:val="0"/>
        <w:pageBreakBefore w:val="0"/>
        <w:tabs>
          <w:tab w:val="clear" w:pos="567"/>
        </w:tabs>
        <w:kinsoku/>
        <w:wordWrap/>
        <w:overflowPunct/>
        <w:topLinePunct w:val="0"/>
        <w:bidi w:val="0"/>
        <w:adjustRightInd/>
        <w:spacing w:before="0" w:line="400" w:lineRule="exact"/>
        <w:ind w:firstLine="480" w:firstLineChars="200"/>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2、采用综合评分法，即投标文件满足招标文件全部实质性要求，且按照评审因素的量化指标评审得分最高的投标人为中标候选人。</w:t>
      </w:r>
    </w:p>
    <w:p w14:paraId="1E0BDDD9">
      <w:pPr>
        <w:pStyle w:val="9"/>
        <w:keepNext w:val="0"/>
        <w:keepLines w:val="0"/>
        <w:pageBreakBefore w:val="0"/>
        <w:tabs>
          <w:tab w:val="clear" w:pos="567"/>
        </w:tabs>
        <w:kinsoku/>
        <w:wordWrap/>
        <w:overflowPunct/>
        <w:topLinePunct w:val="0"/>
        <w:bidi w:val="0"/>
        <w:adjustRightInd/>
        <w:spacing w:before="0" w:line="400" w:lineRule="exact"/>
        <w:textAlignment w:val="auto"/>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4、评标的保密性</w:t>
      </w:r>
    </w:p>
    <w:p w14:paraId="399A16A5">
      <w:pPr>
        <w:pStyle w:val="9"/>
        <w:keepNext w:val="0"/>
        <w:keepLines w:val="0"/>
        <w:pageBreakBefore w:val="0"/>
        <w:tabs>
          <w:tab w:val="clear" w:pos="567"/>
        </w:tabs>
        <w:kinsoku/>
        <w:wordWrap/>
        <w:overflowPunct/>
        <w:topLinePunct w:val="0"/>
        <w:bidi w:val="0"/>
        <w:adjustRightInd/>
        <w:spacing w:before="0" w:line="400" w:lineRule="exact"/>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1、开标后，直到授予投标商合同为止，凡属于审查、澄清、评价和比较的有关资料以及授标建议等评审委员会成员或参与评标的有关工作人员均不得向投标商或其他无关人员透露，</w:t>
      </w:r>
    </w:p>
    <w:p w14:paraId="353109DA">
      <w:pPr>
        <w:pStyle w:val="9"/>
        <w:keepNext w:val="0"/>
        <w:keepLines w:val="0"/>
        <w:pageBreakBefore w:val="0"/>
        <w:tabs>
          <w:tab w:val="clear" w:pos="567"/>
        </w:tabs>
        <w:kinsoku/>
        <w:wordWrap/>
        <w:overflowPunct/>
        <w:topLinePunct w:val="0"/>
        <w:bidi w:val="0"/>
        <w:adjustRightInd/>
        <w:spacing w:before="0" w:line="400" w:lineRule="exact"/>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违者给予警告、取消担任评审委员会成员的资格，不得再参加任何项目的评标。</w:t>
      </w:r>
    </w:p>
    <w:p w14:paraId="18DE770B">
      <w:pPr>
        <w:pStyle w:val="9"/>
        <w:keepNext w:val="0"/>
        <w:keepLines w:val="0"/>
        <w:pageBreakBefore w:val="0"/>
        <w:tabs>
          <w:tab w:val="clear" w:pos="567"/>
        </w:tabs>
        <w:kinsoku/>
        <w:wordWrap/>
        <w:overflowPunct/>
        <w:topLinePunct w:val="0"/>
        <w:bidi w:val="0"/>
        <w:adjustRightInd/>
        <w:spacing w:before="0" w:line="400" w:lineRule="exact"/>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2、投标商在评标过程中，所进行的力图影响评标结果的不符合《政府采购法》、《政府采购竞争性投标采购方式管理暂行办法》及本次项目中有关规定的活动，将被取消中标资格。</w:t>
      </w:r>
    </w:p>
    <w:p w14:paraId="4E5B850B">
      <w:pPr>
        <w:pStyle w:val="9"/>
        <w:keepNext w:val="0"/>
        <w:keepLines w:val="0"/>
        <w:pageBreakBefore w:val="0"/>
        <w:tabs>
          <w:tab w:val="clear" w:pos="567"/>
        </w:tabs>
        <w:kinsoku/>
        <w:wordWrap/>
        <w:overflowPunct/>
        <w:topLinePunct w:val="0"/>
        <w:bidi w:val="0"/>
        <w:adjustRightInd/>
        <w:spacing w:before="0" w:line="400" w:lineRule="exact"/>
        <w:textAlignment w:val="auto"/>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八、定标</w:t>
      </w:r>
    </w:p>
    <w:p w14:paraId="4AE1ABEB">
      <w:pPr>
        <w:pStyle w:val="9"/>
        <w:keepNext w:val="0"/>
        <w:keepLines w:val="0"/>
        <w:pageBreakBefore w:val="0"/>
        <w:tabs>
          <w:tab w:val="clear" w:pos="567"/>
        </w:tabs>
        <w:kinsoku/>
        <w:wordWrap/>
        <w:overflowPunct/>
        <w:topLinePunct w:val="0"/>
        <w:bidi w:val="0"/>
        <w:adjustRightInd/>
        <w:spacing w:before="0" w:line="400" w:lineRule="exact"/>
        <w:ind w:firstLine="480" w:firstLineChars="200"/>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1.定标标准</w:t>
      </w:r>
    </w:p>
    <w:p w14:paraId="7F6C54D3">
      <w:pPr>
        <w:pStyle w:val="9"/>
        <w:keepNext w:val="0"/>
        <w:keepLines w:val="0"/>
        <w:pageBreakBefore w:val="0"/>
        <w:tabs>
          <w:tab w:val="clear" w:pos="567"/>
        </w:tabs>
        <w:kinsoku/>
        <w:wordWrap/>
        <w:overflowPunct/>
        <w:topLinePunct w:val="0"/>
        <w:bidi w:val="0"/>
        <w:adjustRightInd/>
        <w:spacing w:before="0" w:line="400" w:lineRule="exact"/>
        <w:ind w:firstLine="480" w:firstLineChars="200"/>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（一）原则：招标人将依据本项目根据评审委员会推荐的中标候选人名单，按顺序确定中标人。</w:t>
      </w:r>
    </w:p>
    <w:p w14:paraId="131E8F34">
      <w:pPr>
        <w:pStyle w:val="9"/>
        <w:keepNext w:val="0"/>
        <w:keepLines w:val="0"/>
        <w:pageBreakBefore w:val="0"/>
        <w:tabs>
          <w:tab w:val="clear" w:pos="567"/>
        </w:tabs>
        <w:kinsoku/>
        <w:wordWrap/>
        <w:overflowPunct/>
        <w:topLinePunct w:val="0"/>
        <w:bidi w:val="0"/>
        <w:adjustRightInd/>
        <w:spacing w:before="0" w:line="400" w:lineRule="exact"/>
        <w:ind w:firstLine="480" w:firstLineChars="200"/>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（二）程序：</w:t>
      </w:r>
    </w:p>
    <w:p w14:paraId="69E879A0">
      <w:pPr>
        <w:pStyle w:val="9"/>
        <w:keepNext w:val="0"/>
        <w:keepLines w:val="0"/>
        <w:pageBreakBefore w:val="0"/>
        <w:tabs>
          <w:tab w:val="clear" w:pos="567"/>
        </w:tabs>
        <w:kinsoku/>
        <w:wordWrap/>
        <w:overflowPunct/>
        <w:topLinePunct w:val="0"/>
        <w:bidi w:val="0"/>
        <w:adjustRightInd/>
        <w:spacing w:before="0" w:line="400" w:lineRule="exact"/>
        <w:ind w:firstLine="480" w:firstLineChars="200"/>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1、采购代理机构在评审结束后2个工作日内将评审报告送采购人确认。</w:t>
      </w:r>
    </w:p>
    <w:p w14:paraId="6C3C52C1">
      <w:pPr>
        <w:pStyle w:val="9"/>
        <w:keepNext w:val="0"/>
        <w:keepLines w:val="0"/>
        <w:pageBreakBefore w:val="0"/>
        <w:tabs>
          <w:tab w:val="clear" w:pos="567"/>
        </w:tabs>
        <w:kinsoku/>
        <w:wordWrap/>
        <w:overflowPunct/>
        <w:topLinePunct w:val="0"/>
        <w:bidi w:val="0"/>
        <w:adjustRightInd/>
        <w:spacing w:before="0" w:line="400" w:lineRule="exact"/>
        <w:ind w:firstLine="480" w:firstLineChars="200"/>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2、采购人应当在收到评审报告后5个工作日内，从评审报告提出的中标候选单位中，按照排序由高到低的原则确定中标单位，也可以书面授权评审委员会直接确定中标单位。采购人逾期未确定中标单位且不提出异议的，视为确定评审报告提出的排序第一的供应商为中标单位。采购人或者采购代理机构应当在中标单位确定后2个工作日内，在省级以上财政部门指定的政府采购信息发布媒体上公告成交结果，同时向中标单位发出成交通知书，并将招标文件随成交结果同时公告。 采购人与中标单位应当在成交通知书发出之日起30日内，按照招标文件确定的合同文本以及采购标的、规格型号、采购金额、采购数量、技术和服务要求等事项签订政府采购合同。</w:t>
      </w:r>
    </w:p>
    <w:p w14:paraId="016B512C">
      <w:pPr>
        <w:pStyle w:val="9"/>
        <w:keepNext w:val="0"/>
        <w:keepLines w:val="0"/>
        <w:pageBreakBefore w:val="0"/>
        <w:tabs>
          <w:tab w:val="clear" w:pos="567"/>
        </w:tabs>
        <w:kinsoku/>
        <w:wordWrap/>
        <w:overflowPunct/>
        <w:topLinePunct w:val="0"/>
        <w:bidi w:val="0"/>
        <w:adjustRightInd/>
        <w:spacing w:before="0" w:line="400" w:lineRule="exact"/>
        <w:ind w:firstLine="480" w:firstLineChars="200"/>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3、采购单位不退回投标人投标文件和其他资料。</w:t>
      </w:r>
    </w:p>
    <w:p w14:paraId="527FBE3D">
      <w:pPr>
        <w:pStyle w:val="9"/>
        <w:keepNext w:val="0"/>
        <w:keepLines w:val="0"/>
        <w:pageBreakBefore w:val="0"/>
        <w:tabs>
          <w:tab w:val="clear" w:pos="567"/>
        </w:tabs>
        <w:kinsoku/>
        <w:wordWrap/>
        <w:overflowPunct/>
        <w:topLinePunct w:val="0"/>
        <w:bidi w:val="0"/>
        <w:adjustRightInd/>
        <w:spacing w:before="0" w:line="400" w:lineRule="exact"/>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bCs/>
          <w:color w:val="auto"/>
          <w:highlight w:val="none"/>
          <w:lang w:val="en-US" w:eastAsia="zh-CN"/>
        </w:rPr>
        <w:t>中标候选人并列式时的处理方式：</w:t>
      </w:r>
      <w:r>
        <w:rPr>
          <w:rFonts w:hint="eastAsia" w:ascii="宋体" w:hAnsi="宋体" w:eastAsia="宋体" w:cs="宋体"/>
          <w:b w:val="0"/>
          <w:bCs w:val="0"/>
          <w:color w:val="auto"/>
          <w:highlight w:val="none"/>
          <w:lang w:val="en-US" w:eastAsia="zh-CN"/>
        </w:rPr>
        <w:t xml:space="preserve">   </w:t>
      </w:r>
    </w:p>
    <w:p w14:paraId="7C2033CF">
      <w:pPr>
        <w:pStyle w:val="9"/>
        <w:keepNext w:val="0"/>
        <w:keepLines w:val="0"/>
        <w:pageBreakBefore w:val="0"/>
        <w:tabs>
          <w:tab w:val="clear" w:pos="567"/>
        </w:tabs>
        <w:kinsoku/>
        <w:wordWrap/>
        <w:overflowPunct/>
        <w:topLinePunct w:val="0"/>
        <w:bidi w:val="0"/>
        <w:adjustRightInd/>
        <w:spacing w:before="0" w:line="400" w:lineRule="exact"/>
        <w:textAlignment w:val="auto"/>
        <w:rPr>
          <w:rFonts w:hint="eastAsia" w:ascii="宋体" w:hAnsi="宋体" w:eastAsia="宋体" w:cs="Times New Roman"/>
          <w:bCs/>
          <w:color w:val="auto"/>
          <w:sz w:val="24"/>
          <w:highlight w:val="none"/>
          <w:lang w:val="en-US" w:eastAsia="zh-CN"/>
        </w:rPr>
      </w:pPr>
      <w:r>
        <w:rPr>
          <w:rFonts w:hint="eastAsia" w:ascii="宋体" w:hAnsi="宋体" w:eastAsia="宋体" w:cs="宋体"/>
          <w:b w:val="0"/>
          <w:bCs w:val="0"/>
          <w:color w:val="auto"/>
          <w:highlight w:val="none"/>
          <w:lang w:val="en-US" w:eastAsia="zh-CN"/>
        </w:rPr>
        <w:t>采用综合评标法，则：</w:t>
      </w:r>
      <w:r>
        <w:rPr>
          <w:rFonts w:hint="eastAsia" w:ascii="宋体" w:hAnsi="宋体"/>
          <w:bCs/>
          <w:color w:val="auto"/>
          <w:sz w:val="24"/>
          <w:highlight w:val="none"/>
        </w:rPr>
        <w:t>确定满足</w:t>
      </w:r>
      <w:r>
        <w:rPr>
          <w:rFonts w:hint="eastAsia"/>
          <w:bCs/>
          <w:color w:val="auto"/>
          <w:sz w:val="24"/>
          <w:highlight w:val="none"/>
          <w:lang w:val="en-US" w:eastAsia="zh-CN"/>
        </w:rPr>
        <w:t>招标</w:t>
      </w:r>
      <w:r>
        <w:rPr>
          <w:rFonts w:hint="eastAsia" w:ascii="宋体" w:hAnsi="宋体"/>
          <w:bCs/>
          <w:color w:val="auto"/>
          <w:sz w:val="24"/>
          <w:highlight w:val="none"/>
        </w:rPr>
        <w:t>文件全部实质性要求，且按照评审因素的量化指标评审得分最高的投标人为排名第一的中标候选人。评审得分相同的，</w:t>
      </w:r>
      <w:r>
        <w:rPr>
          <w:rFonts w:ascii="宋体" w:hAnsi="宋体"/>
          <w:bCs/>
          <w:color w:val="auto"/>
          <w:sz w:val="24"/>
          <w:highlight w:val="none"/>
        </w:rPr>
        <w:t xml:space="preserve"> </w:t>
      </w:r>
      <w:r>
        <w:rPr>
          <w:rFonts w:hint="eastAsia" w:ascii="宋体" w:hAnsi="宋体"/>
          <w:bCs/>
          <w:color w:val="auto"/>
          <w:sz w:val="24"/>
          <w:highlight w:val="none"/>
        </w:rPr>
        <w:t>按投标报价由低到高顺序排列。如报价相同则技术部分得分最高优先</w:t>
      </w:r>
      <w:r>
        <w:rPr>
          <w:rFonts w:hint="eastAsia" w:ascii="宋体" w:hAnsi="宋体" w:eastAsia="宋体" w:cs="Times New Roman"/>
          <w:bCs/>
          <w:color w:val="auto"/>
          <w:sz w:val="24"/>
          <w:highlight w:val="none"/>
          <w:lang w:val="en-US" w:eastAsia="zh-CN"/>
        </w:rPr>
        <w:t>。</w:t>
      </w:r>
    </w:p>
    <w:p w14:paraId="7316ACE0">
      <w:pPr>
        <w:pStyle w:val="9"/>
        <w:keepNext w:val="0"/>
        <w:keepLines w:val="0"/>
        <w:pageBreakBefore w:val="0"/>
        <w:numPr>
          <w:ilvl w:val="0"/>
          <w:numId w:val="5"/>
        </w:numPr>
        <w:tabs>
          <w:tab w:val="clear" w:pos="567"/>
        </w:tabs>
        <w:kinsoku/>
        <w:wordWrap/>
        <w:overflowPunct/>
        <w:topLinePunct w:val="0"/>
        <w:bidi w:val="0"/>
        <w:adjustRightInd/>
        <w:spacing w:before="0" w:line="400" w:lineRule="exact"/>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中小企业落实政策</w:t>
      </w:r>
    </w:p>
    <w:p w14:paraId="569EF495">
      <w:pPr>
        <w:pStyle w:val="9"/>
        <w:keepNext w:val="0"/>
        <w:keepLines w:val="0"/>
        <w:pageBreakBefore w:val="0"/>
        <w:numPr>
          <w:ilvl w:val="0"/>
          <w:numId w:val="0"/>
        </w:numPr>
        <w:tabs>
          <w:tab w:val="clear" w:pos="567"/>
        </w:tabs>
        <w:kinsoku/>
        <w:wordWrap/>
        <w:overflowPunct/>
        <w:topLinePunct w:val="0"/>
        <w:bidi w:val="0"/>
        <w:adjustRightInd/>
        <w:spacing w:before="0" w:line="400" w:lineRule="exact"/>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kern w:val="2"/>
          <w:sz w:val="24"/>
          <w:szCs w:val="24"/>
          <w:highlight w:val="none"/>
          <w:lang w:val="en-US" w:eastAsia="zh-CN" w:bidi="ar-SA"/>
        </w:rPr>
        <w:t>本项目</w:t>
      </w:r>
      <w:r>
        <w:rPr>
          <w:rFonts w:hint="eastAsia" w:hAnsi="宋体" w:cs="宋体"/>
          <w:b/>
          <w:bCs/>
          <w:color w:val="auto"/>
          <w:kern w:val="2"/>
          <w:sz w:val="24"/>
          <w:szCs w:val="24"/>
          <w:highlight w:val="none"/>
          <w:lang w:val="en-US" w:eastAsia="zh-CN" w:bidi="ar-SA"/>
        </w:rPr>
        <w:t>专门</w:t>
      </w:r>
      <w:r>
        <w:rPr>
          <w:rFonts w:hint="eastAsia" w:ascii="宋体" w:hAnsi="宋体" w:eastAsia="宋体" w:cs="宋体"/>
          <w:b/>
          <w:bCs/>
          <w:color w:val="auto"/>
          <w:kern w:val="2"/>
          <w:sz w:val="24"/>
          <w:szCs w:val="24"/>
          <w:highlight w:val="none"/>
          <w:lang w:val="en-US" w:eastAsia="zh-CN" w:bidi="ar-SA"/>
        </w:rPr>
        <w:t>面向中小企业采购</w:t>
      </w:r>
    </w:p>
    <w:p w14:paraId="05A552ED">
      <w:pPr>
        <w:pStyle w:val="9"/>
        <w:keepNext w:val="0"/>
        <w:keepLines w:val="0"/>
        <w:pageBreakBefore w:val="0"/>
        <w:tabs>
          <w:tab w:val="clear" w:pos="567"/>
        </w:tabs>
        <w:kinsoku/>
        <w:wordWrap/>
        <w:overflowPunct/>
        <w:topLinePunct w:val="0"/>
        <w:bidi w:val="0"/>
        <w:adjustRightInd/>
        <w:spacing w:before="0" w:line="400" w:lineRule="exact"/>
        <w:ind w:firstLine="482" w:firstLineChars="200"/>
        <w:textAlignment w:val="auto"/>
        <w:rPr>
          <w:rFonts w:hint="eastAsia" w:ascii="宋体" w:hAnsi="宋体" w:eastAsia="宋体" w:cs="宋体"/>
          <w:b w:val="0"/>
          <w:bCs w:val="0"/>
          <w:color w:val="auto"/>
          <w:highlight w:val="none"/>
        </w:rPr>
      </w:pPr>
      <w:r>
        <w:rPr>
          <w:rFonts w:hint="eastAsia" w:ascii="宋体" w:hAnsi="宋体" w:eastAsia="宋体" w:cs="宋体"/>
          <w:b/>
          <w:bCs/>
          <w:color w:val="auto"/>
          <w:kern w:val="2"/>
          <w:sz w:val="24"/>
          <w:szCs w:val="20"/>
          <w:highlight w:val="none"/>
          <w:lang w:val="en-US" w:eastAsia="zh-CN" w:bidi="ar-SA"/>
        </w:rPr>
        <w:t>潜在投标企业属于中小微企业的，请在投标文件中提供“中小企业声明函”，如果未提供或提供虛假的“中小企业声明函”，投标企业将承担由此造成的一切不利后果。</w:t>
      </w:r>
    </w:p>
    <w:p w14:paraId="3D7C2C3C">
      <w:pPr>
        <w:spacing w:line="440" w:lineRule="exact"/>
        <w:jc w:val="center"/>
        <w:outlineLvl w:val="0"/>
        <w:rPr>
          <w:rFonts w:hint="eastAsia" w:ascii="宋体" w:hAnsi="宋体" w:eastAsia="宋体" w:cs="宋体"/>
          <w:b/>
          <w:color w:val="auto"/>
          <w:sz w:val="32"/>
          <w:szCs w:val="32"/>
          <w:highlight w:val="none"/>
        </w:rPr>
      </w:pPr>
    </w:p>
    <w:p w14:paraId="0BA66909">
      <w:pPr>
        <w:spacing w:line="440" w:lineRule="exact"/>
        <w:jc w:val="center"/>
        <w:outlineLvl w:val="0"/>
        <w:rPr>
          <w:rFonts w:hint="eastAsia" w:ascii="宋体" w:hAnsi="宋体" w:eastAsia="宋体" w:cs="宋体"/>
          <w:b/>
          <w:color w:val="auto"/>
          <w:sz w:val="32"/>
          <w:szCs w:val="32"/>
          <w:highlight w:val="none"/>
        </w:rPr>
      </w:pPr>
    </w:p>
    <w:p w14:paraId="27758066">
      <w:pPr>
        <w:spacing w:line="440" w:lineRule="exact"/>
        <w:jc w:val="center"/>
        <w:outlineLvl w:val="0"/>
        <w:rPr>
          <w:rFonts w:hint="eastAsia" w:ascii="宋体" w:hAnsi="宋体" w:eastAsia="宋体" w:cs="宋体"/>
          <w:b/>
          <w:color w:val="auto"/>
          <w:sz w:val="32"/>
          <w:szCs w:val="32"/>
          <w:highlight w:val="none"/>
        </w:rPr>
      </w:pPr>
    </w:p>
    <w:p w14:paraId="5BCE432B">
      <w:pPr>
        <w:spacing w:line="440" w:lineRule="exact"/>
        <w:jc w:val="center"/>
        <w:outlineLvl w:val="0"/>
        <w:rPr>
          <w:rFonts w:hint="eastAsia" w:ascii="宋体" w:hAnsi="宋体" w:eastAsia="宋体" w:cs="宋体"/>
          <w:b/>
          <w:color w:val="auto"/>
          <w:sz w:val="32"/>
          <w:szCs w:val="32"/>
          <w:highlight w:val="none"/>
        </w:rPr>
      </w:pPr>
    </w:p>
    <w:p w14:paraId="565BD99A">
      <w:pPr>
        <w:spacing w:line="440" w:lineRule="exact"/>
        <w:jc w:val="center"/>
        <w:outlineLvl w:val="0"/>
        <w:rPr>
          <w:rFonts w:hint="eastAsia" w:ascii="宋体" w:hAnsi="宋体" w:eastAsia="宋体" w:cs="宋体"/>
          <w:b/>
          <w:color w:val="auto"/>
          <w:sz w:val="32"/>
          <w:szCs w:val="32"/>
          <w:highlight w:val="none"/>
        </w:rPr>
      </w:pPr>
    </w:p>
    <w:p w14:paraId="4347DA68">
      <w:pPr>
        <w:spacing w:line="440" w:lineRule="exact"/>
        <w:jc w:val="center"/>
        <w:outlineLvl w:val="0"/>
        <w:rPr>
          <w:rFonts w:hint="eastAsia" w:ascii="宋体" w:hAnsi="宋体" w:eastAsia="宋体" w:cs="宋体"/>
          <w:b/>
          <w:color w:val="auto"/>
          <w:sz w:val="32"/>
          <w:szCs w:val="32"/>
          <w:highlight w:val="none"/>
        </w:rPr>
      </w:pPr>
    </w:p>
    <w:p w14:paraId="65DD3A1C">
      <w:pPr>
        <w:spacing w:line="440" w:lineRule="exact"/>
        <w:jc w:val="center"/>
        <w:outlineLvl w:val="0"/>
        <w:rPr>
          <w:rFonts w:hint="eastAsia" w:ascii="宋体" w:hAnsi="宋体" w:eastAsia="宋体" w:cs="宋体"/>
          <w:b/>
          <w:color w:val="auto"/>
          <w:sz w:val="32"/>
          <w:szCs w:val="32"/>
          <w:highlight w:val="none"/>
        </w:rPr>
      </w:pPr>
    </w:p>
    <w:p w14:paraId="03FD0DDD">
      <w:pPr>
        <w:spacing w:line="440" w:lineRule="exact"/>
        <w:jc w:val="center"/>
        <w:outlineLvl w:val="0"/>
        <w:rPr>
          <w:rFonts w:hint="eastAsia" w:ascii="宋体" w:hAnsi="宋体" w:eastAsia="宋体" w:cs="宋体"/>
          <w:b/>
          <w:color w:val="auto"/>
          <w:sz w:val="32"/>
          <w:szCs w:val="32"/>
          <w:highlight w:val="none"/>
        </w:rPr>
      </w:pPr>
    </w:p>
    <w:p w14:paraId="494171A2">
      <w:pPr>
        <w:spacing w:line="440" w:lineRule="exact"/>
        <w:jc w:val="center"/>
        <w:outlineLvl w:val="0"/>
        <w:rPr>
          <w:rFonts w:hint="eastAsia" w:ascii="宋体" w:hAnsi="宋体" w:eastAsia="宋体" w:cs="宋体"/>
          <w:b/>
          <w:color w:val="auto"/>
          <w:sz w:val="32"/>
          <w:szCs w:val="32"/>
          <w:highlight w:val="none"/>
        </w:rPr>
      </w:pPr>
    </w:p>
    <w:p w14:paraId="044F81EA">
      <w:pPr>
        <w:spacing w:line="440" w:lineRule="exact"/>
        <w:jc w:val="center"/>
        <w:outlineLvl w:val="0"/>
        <w:rPr>
          <w:rFonts w:hint="eastAsia" w:ascii="宋体" w:hAnsi="宋体" w:eastAsia="宋体" w:cs="宋体"/>
          <w:b/>
          <w:color w:val="auto"/>
          <w:sz w:val="32"/>
          <w:szCs w:val="32"/>
          <w:highlight w:val="none"/>
        </w:rPr>
      </w:pPr>
    </w:p>
    <w:p w14:paraId="25AA74D7">
      <w:pPr>
        <w:spacing w:line="440" w:lineRule="exact"/>
        <w:jc w:val="center"/>
        <w:outlineLvl w:val="0"/>
        <w:rPr>
          <w:rFonts w:hint="eastAsia" w:ascii="宋体" w:hAnsi="宋体" w:eastAsia="宋体" w:cs="宋体"/>
          <w:b/>
          <w:color w:val="auto"/>
          <w:sz w:val="32"/>
          <w:szCs w:val="32"/>
          <w:highlight w:val="none"/>
        </w:rPr>
      </w:pPr>
    </w:p>
    <w:p w14:paraId="3D3222C1">
      <w:pPr>
        <w:spacing w:line="440" w:lineRule="exact"/>
        <w:jc w:val="center"/>
        <w:outlineLvl w:val="0"/>
        <w:rPr>
          <w:rFonts w:hint="eastAsia" w:ascii="宋体" w:hAnsi="宋体" w:eastAsia="宋体" w:cs="宋体"/>
          <w:b/>
          <w:color w:val="auto"/>
          <w:sz w:val="32"/>
          <w:szCs w:val="32"/>
          <w:highlight w:val="none"/>
        </w:rPr>
      </w:pPr>
    </w:p>
    <w:p w14:paraId="40BD70C8">
      <w:pPr>
        <w:spacing w:line="440" w:lineRule="exact"/>
        <w:jc w:val="center"/>
        <w:outlineLvl w:val="0"/>
        <w:rPr>
          <w:rFonts w:hint="eastAsia" w:ascii="宋体" w:hAnsi="宋体" w:eastAsia="宋体" w:cs="宋体"/>
          <w:b/>
          <w:color w:val="auto"/>
          <w:sz w:val="32"/>
          <w:szCs w:val="32"/>
          <w:highlight w:val="none"/>
        </w:rPr>
      </w:pPr>
    </w:p>
    <w:p w14:paraId="100CA1DD">
      <w:pPr>
        <w:spacing w:line="440" w:lineRule="exact"/>
        <w:jc w:val="both"/>
        <w:outlineLvl w:val="0"/>
        <w:rPr>
          <w:rFonts w:hint="eastAsia" w:ascii="宋体" w:hAnsi="宋体" w:eastAsia="宋体" w:cs="宋体"/>
          <w:b/>
          <w:color w:val="auto"/>
          <w:sz w:val="32"/>
          <w:szCs w:val="32"/>
          <w:highlight w:val="none"/>
        </w:rPr>
      </w:pPr>
    </w:p>
    <w:p w14:paraId="7ED05AA7">
      <w:pPr>
        <w:spacing w:line="440" w:lineRule="exact"/>
        <w:jc w:val="center"/>
        <w:outlineLvl w:val="0"/>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投标文件的初审</w:t>
      </w:r>
    </w:p>
    <w:p w14:paraId="4F41384E">
      <w:pPr>
        <w:spacing w:line="440" w:lineRule="exact"/>
        <w:jc w:val="left"/>
        <w:outlineLvl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 xml:space="preserve">    投标文件的初审分为资格性检查和符合性检查。</w:t>
      </w:r>
    </w:p>
    <w:p w14:paraId="35F6028D">
      <w:pPr>
        <w:spacing w:line="440" w:lineRule="exact"/>
        <w:jc w:val="left"/>
        <w:outlineLvl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（一）、资格性检查是指评标委员会依据法律法规和招标文件的规定，对投标文件中的资格证明、投标保证金等进行审查，以确定投标投标人是否具备投标资格。</w:t>
      </w:r>
    </w:p>
    <w:p w14:paraId="0AE78962">
      <w:pPr>
        <w:spacing w:line="440" w:lineRule="exact"/>
        <w:jc w:val="left"/>
        <w:outlineLvl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资格性检查包含如下内容：</w:t>
      </w:r>
    </w:p>
    <w:tbl>
      <w:tblPr>
        <w:tblStyle w:val="33"/>
        <w:tblW w:w="94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4"/>
        <w:gridCol w:w="705"/>
        <w:gridCol w:w="6012"/>
        <w:gridCol w:w="780"/>
        <w:gridCol w:w="699"/>
      </w:tblGrid>
      <w:tr w14:paraId="440A33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3" w:hRule="atLeast"/>
          <w:jc w:val="center"/>
        </w:trPr>
        <w:tc>
          <w:tcPr>
            <w:tcW w:w="1244" w:type="dxa"/>
            <w:vMerge w:val="restart"/>
            <w:noWrap w:val="0"/>
            <w:vAlign w:val="center"/>
          </w:tcPr>
          <w:p w14:paraId="6C203C3A">
            <w:pPr>
              <w:spacing w:line="440" w:lineRule="exact"/>
              <w:jc w:val="center"/>
              <w:outlineLvl w:val="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项目</w:t>
            </w:r>
          </w:p>
        </w:tc>
        <w:tc>
          <w:tcPr>
            <w:tcW w:w="6717" w:type="dxa"/>
            <w:gridSpan w:val="2"/>
            <w:vMerge w:val="restart"/>
            <w:noWrap w:val="0"/>
            <w:vAlign w:val="center"/>
          </w:tcPr>
          <w:p w14:paraId="712BBAFF">
            <w:pPr>
              <w:spacing w:line="440" w:lineRule="exact"/>
              <w:jc w:val="center"/>
              <w:outlineLvl w:val="0"/>
              <w:rPr>
                <w:rFonts w:hint="eastAsia" w:ascii="宋体" w:hAnsi="宋体" w:eastAsia="宋体" w:cs="宋体"/>
                <w:bCs/>
                <w:color w:val="auto"/>
                <w:szCs w:val="21"/>
                <w:highlight w:val="none"/>
              </w:rPr>
            </w:pPr>
            <w:r>
              <w:rPr>
                <w:rFonts w:hint="eastAsia" w:ascii="宋体" w:hAnsi="宋体" w:eastAsia="宋体" w:cs="宋体"/>
                <w:b/>
                <w:color w:val="auto"/>
                <w:sz w:val="28"/>
                <w:szCs w:val="28"/>
                <w:highlight w:val="none"/>
              </w:rPr>
              <w:t>评审内容</w:t>
            </w:r>
          </w:p>
        </w:tc>
        <w:tc>
          <w:tcPr>
            <w:tcW w:w="1479" w:type="dxa"/>
            <w:gridSpan w:val="2"/>
            <w:noWrap w:val="0"/>
            <w:vAlign w:val="center"/>
          </w:tcPr>
          <w:p w14:paraId="261F76AC">
            <w:pPr>
              <w:spacing w:line="440" w:lineRule="exact"/>
              <w:jc w:val="center"/>
              <w:outlineLvl w:val="0"/>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评审</w:t>
            </w:r>
          </w:p>
          <w:p w14:paraId="771117BD">
            <w:pPr>
              <w:spacing w:line="440" w:lineRule="exact"/>
              <w:jc w:val="center"/>
              <w:outlineLvl w:val="0"/>
              <w:rPr>
                <w:rFonts w:hint="eastAsia" w:ascii="宋体" w:hAnsi="宋体" w:eastAsia="宋体" w:cs="宋体"/>
                <w:bCs/>
                <w:color w:val="auto"/>
                <w:szCs w:val="21"/>
                <w:highlight w:val="none"/>
              </w:rPr>
            </w:pPr>
            <w:r>
              <w:rPr>
                <w:rFonts w:hint="eastAsia" w:ascii="宋体" w:hAnsi="宋体" w:eastAsia="宋体" w:cs="宋体"/>
                <w:b/>
                <w:color w:val="auto"/>
                <w:sz w:val="28"/>
                <w:szCs w:val="28"/>
                <w:highlight w:val="none"/>
              </w:rPr>
              <w:t>意见</w:t>
            </w:r>
          </w:p>
        </w:tc>
      </w:tr>
      <w:tr w14:paraId="069F37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1244" w:type="dxa"/>
            <w:vMerge w:val="continue"/>
            <w:noWrap w:val="0"/>
            <w:vAlign w:val="center"/>
          </w:tcPr>
          <w:p w14:paraId="4BF8CA1D">
            <w:pPr>
              <w:spacing w:line="440" w:lineRule="exact"/>
              <w:jc w:val="left"/>
              <w:outlineLvl w:val="0"/>
              <w:rPr>
                <w:rFonts w:hint="eastAsia" w:ascii="宋体" w:hAnsi="宋体" w:eastAsia="宋体" w:cs="宋体"/>
                <w:bCs/>
                <w:color w:val="auto"/>
                <w:szCs w:val="21"/>
                <w:highlight w:val="none"/>
              </w:rPr>
            </w:pPr>
          </w:p>
        </w:tc>
        <w:tc>
          <w:tcPr>
            <w:tcW w:w="6717" w:type="dxa"/>
            <w:gridSpan w:val="2"/>
            <w:vMerge w:val="continue"/>
            <w:noWrap w:val="0"/>
            <w:vAlign w:val="top"/>
          </w:tcPr>
          <w:p w14:paraId="68D3104B">
            <w:pPr>
              <w:spacing w:line="440" w:lineRule="exact"/>
              <w:jc w:val="left"/>
              <w:outlineLvl w:val="0"/>
              <w:rPr>
                <w:rFonts w:hint="eastAsia" w:ascii="宋体" w:hAnsi="宋体" w:eastAsia="宋体" w:cs="宋体"/>
                <w:bCs/>
                <w:color w:val="auto"/>
                <w:szCs w:val="21"/>
                <w:highlight w:val="none"/>
              </w:rPr>
            </w:pPr>
          </w:p>
        </w:tc>
        <w:tc>
          <w:tcPr>
            <w:tcW w:w="780" w:type="dxa"/>
            <w:noWrap w:val="0"/>
            <w:vAlign w:val="center"/>
          </w:tcPr>
          <w:p w14:paraId="25E7074A">
            <w:pPr>
              <w:spacing w:line="440" w:lineRule="exact"/>
              <w:jc w:val="center"/>
              <w:outlineLvl w:val="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是</w:t>
            </w:r>
          </w:p>
        </w:tc>
        <w:tc>
          <w:tcPr>
            <w:tcW w:w="699" w:type="dxa"/>
            <w:noWrap w:val="0"/>
            <w:vAlign w:val="center"/>
          </w:tcPr>
          <w:p w14:paraId="4B8899C9">
            <w:pPr>
              <w:spacing w:line="440" w:lineRule="exact"/>
              <w:jc w:val="center"/>
              <w:outlineLvl w:val="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否</w:t>
            </w:r>
          </w:p>
        </w:tc>
      </w:tr>
      <w:tr w14:paraId="296D70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1244" w:type="dxa"/>
            <w:vMerge w:val="restart"/>
            <w:noWrap w:val="0"/>
            <w:vAlign w:val="center"/>
          </w:tcPr>
          <w:p w14:paraId="709CE193">
            <w:pPr>
              <w:spacing w:line="440" w:lineRule="exact"/>
              <w:jc w:val="center"/>
              <w:outlineLvl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审查标准</w:t>
            </w:r>
          </w:p>
        </w:tc>
        <w:tc>
          <w:tcPr>
            <w:tcW w:w="705" w:type="dxa"/>
            <w:noWrap w:val="0"/>
            <w:vAlign w:val="center"/>
          </w:tcPr>
          <w:p w14:paraId="2810B27E">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1</w:t>
            </w:r>
          </w:p>
        </w:tc>
        <w:tc>
          <w:tcPr>
            <w:tcW w:w="6012" w:type="dxa"/>
            <w:noWrap w:val="0"/>
            <w:vAlign w:val="center"/>
          </w:tcPr>
          <w:p w14:paraId="48C5F95B">
            <w:pPr>
              <w:keepNext w:val="0"/>
              <w:keepLines w:val="0"/>
              <w:pageBreakBefore w:val="0"/>
              <w:widowControl w:val="0"/>
              <w:kinsoku/>
              <w:wordWrap/>
              <w:overflowPunct/>
              <w:topLinePunct w:val="0"/>
              <w:autoSpaceDE/>
              <w:autoSpaceDN/>
              <w:bidi w:val="0"/>
              <w:adjustRightInd/>
              <w:snapToGrid/>
              <w:spacing w:line="360" w:lineRule="exact"/>
              <w:jc w:val="left"/>
              <w:textAlignment w:val="auto"/>
              <w:outlineLvl w:val="0"/>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提供合格三证合一营业执照</w:t>
            </w:r>
          </w:p>
        </w:tc>
        <w:tc>
          <w:tcPr>
            <w:tcW w:w="780" w:type="dxa"/>
            <w:noWrap w:val="0"/>
            <w:vAlign w:val="top"/>
          </w:tcPr>
          <w:p w14:paraId="4DADFB1C">
            <w:pPr>
              <w:spacing w:line="440" w:lineRule="exact"/>
              <w:jc w:val="left"/>
              <w:outlineLvl w:val="0"/>
              <w:rPr>
                <w:rFonts w:hint="eastAsia" w:ascii="宋体" w:hAnsi="宋体" w:eastAsia="宋体" w:cs="宋体"/>
                <w:bCs/>
                <w:color w:val="auto"/>
                <w:szCs w:val="21"/>
                <w:highlight w:val="none"/>
              </w:rPr>
            </w:pPr>
          </w:p>
        </w:tc>
        <w:tc>
          <w:tcPr>
            <w:tcW w:w="699" w:type="dxa"/>
            <w:noWrap w:val="0"/>
            <w:vAlign w:val="top"/>
          </w:tcPr>
          <w:p w14:paraId="0AD85793">
            <w:pPr>
              <w:spacing w:line="440" w:lineRule="exact"/>
              <w:jc w:val="left"/>
              <w:outlineLvl w:val="0"/>
              <w:rPr>
                <w:rFonts w:hint="eastAsia" w:ascii="宋体" w:hAnsi="宋体" w:eastAsia="宋体" w:cs="宋体"/>
                <w:bCs/>
                <w:color w:val="auto"/>
                <w:szCs w:val="21"/>
                <w:highlight w:val="none"/>
              </w:rPr>
            </w:pPr>
          </w:p>
        </w:tc>
      </w:tr>
      <w:tr w14:paraId="71CA48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1244" w:type="dxa"/>
            <w:vMerge w:val="continue"/>
            <w:noWrap w:val="0"/>
            <w:vAlign w:val="center"/>
          </w:tcPr>
          <w:p w14:paraId="329A8F47">
            <w:pPr>
              <w:spacing w:line="440" w:lineRule="exact"/>
              <w:jc w:val="left"/>
              <w:outlineLvl w:val="0"/>
              <w:rPr>
                <w:rFonts w:hint="eastAsia" w:ascii="宋体" w:hAnsi="宋体" w:eastAsia="宋体" w:cs="宋体"/>
                <w:bCs/>
                <w:color w:val="auto"/>
                <w:szCs w:val="21"/>
                <w:highlight w:val="none"/>
              </w:rPr>
            </w:pPr>
          </w:p>
        </w:tc>
        <w:tc>
          <w:tcPr>
            <w:tcW w:w="705" w:type="dxa"/>
            <w:noWrap w:val="0"/>
            <w:vAlign w:val="center"/>
          </w:tcPr>
          <w:p w14:paraId="447BFF00">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rPr>
              <w:t>2</w:t>
            </w:r>
          </w:p>
        </w:tc>
        <w:tc>
          <w:tcPr>
            <w:tcW w:w="6012" w:type="dxa"/>
            <w:noWrap w:val="0"/>
            <w:vAlign w:val="center"/>
          </w:tcPr>
          <w:p w14:paraId="24B90DB5">
            <w:pPr>
              <w:keepNext w:val="0"/>
              <w:keepLines w:val="0"/>
              <w:pageBreakBefore w:val="0"/>
              <w:widowControl w:val="0"/>
              <w:kinsoku/>
              <w:wordWrap/>
              <w:overflowPunct/>
              <w:topLinePunct w:val="0"/>
              <w:autoSpaceDE/>
              <w:autoSpaceDN/>
              <w:bidi w:val="0"/>
              <w:adjustRightInd/>
              <w:snapToGrid/>
              <w:spacing w:line="360" w:lineRule="exact"/>
              <w:jc w:val="left"/>
              <w:textAlignment w:val="auto"/>
              <w:outlineLvl w:val="0"/>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提供法人本人投标的需提供法定代表人身份证明书；被授权委托人需提供法人授权委托书</w:t>
            </w:r>
          </w:p>
        </w:tc>
        <w:tc>
          <w:tcPr>
            <w:tcW w:w="780" w:type="dxa"/>
            <w:noWrap w:val="0"/>
            <w:vAlign w:val="top"/>
          </w:tcPr>
          <w:p w14:paraId="7EADDB84">
            <w:pPr>
              <w:spacing w:line="440" w:lineRule="exact"/>
              <w:jc w:val="left"/>
              <w:outlineLvl w:val="0"/>
              <w:rPr>
                <w:rFonts w:hint="eastAsia" w:ascii="宋体" w:hAnsi="宋体" w:eastAsia="宋体" w:cs="宋体"/>
                <w:bCs/>
                <w:color w:val="auto"/>
                <w:szCs w:val="21"/>
                <w:highlight w:val="none"/>
              </w:rPr>
            </w:pPr>
          </w:p>
        </w:tc>
        <w:tc>
          <w:tcPr>
            <w:tcW w:w="699" w:type="dxa"/>
            <w:noWrap w:val="0"/>
            <w:vAlign w:val="top"/>
          </w:tcPr>
          <w:p w14:paraId="6F84DCFD">
            <w:pPr>
              <w:spacing w:line="440" w:lineRule="exact"/>
              <w:jc w:val="left"/>
              <w:outlineLvl w:val="0"/>
              <w:rPr>
                <w:rFonts w:hint="eastAsia" w:ascii="宋体" w:hAnsi="宋体" w:eastAsia="宋体" w:cs="宋体"/>
                <w:bCs/>
                <w:color w:val="auto"/>
                <w:szCs w:val="21"/>
                <w:highlight w:val="none"/>
              </w:rPr>
            </w:pPr>
          </w:p>
        </w:tc>
      </w:tr>
      <w:tr w14:paraId="186FB7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1244" w:type="dxa"/>
            <w:vMerge w:val="continue"/>
            <w:noWrap w:val="0"/>
            <w:vAlign w:val="center"/>
          </w:tcPr>
          <w:p w14:paraId="7B3E1DB3">
            <w:pPr>
              <w:spacing w:line="440" w:lineRule="exact"/>
              <w:jc w:val="left"/>
              <w:outlineLvl w:val="0"/>
              <w:rPr>
                <w:rFonts w:hint="eastAsia" w:ascii="宋体" w:hAnsi="宋体" w:eastAsia="宋体" w:cs="宋体"/>
                <w:bCs/>
                <w:color w:val="auto"/>
                <w:szCs w:val="21"/>
                <w:highlight w:val="none"/>
              </w:rPr>
            </w:pPr>
          </w:p>
        </w:tc>
        <w:tc>
          <w:tcPr>
            <w:tcW w:w="705" w:type="dxa"/>
            <w:noWrap w:val="0"/>
            <w:vAlign w:val="center"/>
          </w:tcPr>
          <w:p w14:paraId="249570AD">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3</w:t>
            </w:r>
          </w:p>
        </w:tc>
        <w:tc>
          <w:tcPr>
            <w:tcW w:w="6012" w:type="dxa"/>
            <w:noWrap w:val="0"/>
            <w:vAlign w:val="center"/>
          </w:tcPr>
          <w:p w14:paraId="251F5268">
            <w:pPr>
              <w:keepNext w:val="0"/>
              <w:keepLines w:val="0"/>
              <w:pageBreakBefore w:val="0"/>
              <w:widowControl w:val="0"/>
              <w:kinsoku/>
              <w:wordWrap/>
              <w:overflowPunct/>
              <w:topLinePunct w:val="0"/>
              <w:autoSpaceDE/>
              <w:autoSpaceDN/>
              <w:bidi w:val="0"/>
              <w:adjustRightInd/>
              <w:snapToGrid/>
              <w:spacing w:line="360" w:lineRule="exact"/>
              <w:jc w:val="left"/>
              <w:textAlignment w:val="auto"/>
              <w:outlineLvl w:val="0"/>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具有良好的商业信誉和健全的财务会计制度，提供</w:t>
            </w:r>
            <w:r>
              <w:rPr>
                <w:rFonts w:hint="eastAsia" w:ascii="宋体" w:hAnsi="宋体" w:cs="宋体"/>
                <w:bCs/>
                <w:color w:val="auto"/>
                <w:szCs w:val="21"/>
                <w:highlight w:val="none"/>
                <w:lang w:val="en-US" w:eastAsia="zh-CN"/>
              </w:rPr>
              <w:t>2023年度或2024年度</w:t>
            </w:r>
            <w:r>
              <w:rPr>
                <w:rFonts w:hint="eastAsia" w:ascii="宋体" w:hAnsi="宋体" w:eastAsia="宋体" w:cs="宋体"/>
                <w:bCs/>
                <w:color w:val="auto"/>
                <w:szCs w:val="21"/>
                <w:highlight w:val="none"/>
                <w:lang w:val="en-US" w:eastAsia="zh-CN"/>
              </w:rPr>
              <w:t>经会计事务所出具财务审计报告；（新成立的公司须提供近一个月的银行资信证明）</w:t>
            </w:r>
          </w:p>
        </w:tc>
        <w:tc>
          <w:tcPr>
            <w:tcW w:w="780" w:type="dxa"/>
            <w:noWrap w:val="0"/>
            <w:vAlign w:val="top"/>
          </w:tcPr>
          <w:p w14:paraId="7A0399EB">
            <w:pPr>
              <w:spacing w:line="440" w:lineRule="exact"/>
              <w:jc w:val="left"/>
              <w:outlineLvl w:val="0"/>
              <w:rPr>
                <w:rFonts w:hint="eastAsia" w:ascii="宋体" w:hAnsi="宋体" w:eastAsia="宋体" w:cs="宋体"/>
                <w:bCs/>
                <w:color w:val="auto"/>
                <w:szCs w:val="21"/>
                <w:highlight w:val="none"/>
              </w:rPr>
            </w:pPr>
          </w:p>
        </w:tc>
        <w:tc>
          <w:tcPr>
            <w:tcW w:w="699" w:type="dxa"/>
            <w:noWrap w:val="0"/>
            <w:vAlign w:val="top"/>
          </w:tcPr>
          <w:p w14:paraId="5CDDC9DA">
            <w:pPr>
              <w:spacing w:line="440" w:lineRule="exact"/>
              <w:jc w:val="left"/>
              <w:outlineLvl w:val="0"/>
              <w:rPr>
                <w:rFonts w:hint="eastAsia" w:ascii="宋体" w:hAnsi="宋体" w:eastAsia="宋体" w:cs="宋体"/>
                <w:bCs/>
                <w:color w:val="auto"/>
                <w:szCs w:val="21"/>
                <w:highlight w:val="none"/>
              </w:rPr>
            </w:pPr>
          </w:p>
        </w:tc>
      </w:tr>
      <w:tr w14:paraId="7229B8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1244" w:type="dxa"/>
            <w:vMerge w:val="continue"/>
            <w:noWrap w:val="0"/>
            <w:vAlign w:val="center"/>
          </w:tcPr>
          <w:p w14:paraId="4AAFCD7D">
            <w:pPr>
              <w:spacing w:line="440" w:lineRule="exact"/>
              <w:jc w:val="left"/>
              <w:outlineLvl w:val="0"/>
              <w:rPr>
                <w:rFonts w:hint="eastAsia" w:ascii="宋体" w:hAnsi="宋体" w:eastAsia="宋体" w:cs="宋体"/>
                <w:bCs/>
                <w:color w:val="auto"/>
                <w:szCs w:val="21"/>
                <w:highlight w:val="none"/>
              </w:rPr>
            </w:pPr>
          </w:p>
        </w:tc>
        <w:tc>
          <w:tcPr>
            <w:tcW w:w="705" w:type="dxa"/>
            <w:noWrap w:val="0"/>
            <w:vAlign w:val="center"/>
          </w:tcPr>
          <w:p w14:paraId="735927DB">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4</w:t>
            </w:r>
          </w:p>
        </w:tc>
        <w:tc>
          <w:tcPr>
            <w:tcW w:w="6012" w:type="dxa"/>
            <w:noWrap w:val="0"/>
            <w:vAlign w:val="center"/>
          </w:tcPr>
          <w:p w14:paraId="0989C518">
            <w:pPr>
              <w:keepNext w:val="0"/>
              <w:keepLines w:val="0"/>
              <w:pageBreakBefore w:val="0"/>
              <w:widowControl w:val="0"/>
              <w:kinsoku/>
              <w:wordWrap/>
              <w:overflowPunct/>
              <w:topLinePunct w:val="0"/>
              <w:autoSpaceDE/>
              <w:autoSpaceDN/>
              <w:bidi w:val="0"/>
              <w:adjustRightInd/>
              <w:snapToGrid/>
              <w:spacing w:line="360" w:lineRule="exact"/>
              <w:jc w:val="left"/>
              <w:textAlignment w:val="auto"/>
              <w:outlineLvl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lang w:val="en-US" w:eastAsia="zh-CN"/>
              </w:rPr>
              <w:t>提供</w:t>
            </w:r>
            <w:r>
              <w:rPr>
                <w:rFonts w:hint="eastAsia" w:ascii="宋体" w:hAnsi="宋体" w:cs="宋体"/>
                <w:bCs/>
                <w:color w:val="auto"/>
                <w:szCs w:val="21"/>
                <w:highlight w:val="none"/>
                <w:lang w:val="en-US" w:eastAsia="zh-CN"/>
              </w:rPr>
              <w:t>依法缴纳近三个月中任意一个月的社保缴纳凭证；依法缴纳近三个月任意一个月的税收良好记录证明（完税证明为非社保缴纳明细）；</w:t>
            </w:r>
          </w:p>
        </w:tc>
        <w:tc>
          <w:tcPr>
            <w:tcW w:w="780" w:type="dxa"/>
            <w:noWrap w:val="0"/>
            <w:vAlign w:val="top"/>
          </w:tcPr>
          <w:p w14:paraId="20B9861C">
            <w:pPr>
              <w:spacing w:line="440" w:lineRule="exact"/>
              <w:jc w:val="left"/>
              <w:outlineLvl w:val="0"/>
              <w:rPr>
                <w:rFonts w:hint="eastAsia" w:ascii="宋体" w:hAnsi="宋体" w:eastAsia="宋体" w:cs="宋体"/>
                <w:bCs/>
                <w:color w:val="auto"/>
                <w:szCs w:val="21"/>
                <w:highlight w:val="none"/>
              </w:rPr>
            </w:pPr>
          </w:p>
        </w:tc>
        <w:tc>
          <w:tcPr>
            <w:tcW w:w="699" w:type="dxa"/>
            <w:noWrap w:val="0"/>
            <w:vAlign w:val="top"/>
          </w:tcPr>
          <w:p w14:paraId="5729D220">
            <w:pPr>
              <w:spacing w:line="440" w:lineRule="exact"/>
              <w:jc w:val="left"/>
              <w:outlineLvl w:val="0"/>
              <w:rPr>
                <w:rFonts w:hint="eastAsia" w:ascii="宋体" w:hAnsi="宋体" w:eastAsia="宋体" w:cs="宋体"/>
                <w:bCs/>
                <w:color w:val="auto"/>
                <w:szCs w:val="21"/>
                <w:highlight w:val="none"/>
              </w:rPr>
            </w:pPr>
          </w:p>
        </w:tc>
      </w:tr>
      <w:tr w14:paraId="57637A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1244" w:type="dxa"/>
            <w:vMerge w:val="continue"/>
            <w:noWrap w:val="0"/>
            <w:vAlign w:val="center"/>
          </w:tcPr>
          <w:p w14:paraId="06F2885A">
            <w:pPr>
              <w:spacing w:line="440" w:lineRule="exact"/>
              <w:jc w:val="left"/>
              <w:outlineLvl w:val="0"/>
              <w:rPr>
                <w:rFonts w:hint="eastAsia" w:ascii="宋体" w:hAnsi="宋体" w:eastAsia="宋体" w:cs="宋体"/>
                <w:bCs/>
                <w:color w:val="auto"/>
                <w:szCs w:val="21"/>
                <w:highlight w:val="none"/>
              </w:rPr>
            </w:pPr>
          </w:p>
        </w:tc>
        <w:tc>
          <w:tcPr>
            <w:tcW w:w="705" w:type="dxa"/>
            <w:noWrap w:val="0"/>
            <w:vAlign w:val="center"/>
          </w:tcPr>
          <w:p w14:paraId="7DA3A63D">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5</w:t>
            </w:r>
          </w:p>
        </w:tc>
        <w:tc>
          <w:tcPr>
            <w:tcW w:w="6012" w:type="dxa"/>
            <w:noWrap w:val="0"/>
            <w:vAlign w:val="center"/>
          </w:tcPr>
          <w:p w14:paraId="0916C900">
            <w:pPr>
              <w:keepNext w:val="0"/>
              <w:keepLines w:val="0"/>
              <w:pageBreakBefore w:val="0"/>
              <w:widowControl w:val="0"/>
              <w:kinsoku/>
              <w:wordWrap/>
              <w:overflowPunct/>
              <w:topLinePunct w:val="0"/>
              <w:autoSpaceDE/>
              <w:autoSpaceDN/>
              <w:bidi w:val="0"/>
              <w:adjustRightInd/>
              <w:snapToGrid/>
              <w:spacing w:line="360" w:lineRule="exact"/>
              <w:jc w:val="left"/>
              <w:textAlignment w:val="auto"/>
              <w:outlineLvl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lang w:val="en-US" w:eastAsia="zh-CN"/>
              </w:rPr>
              <w:t>未在“信用中国”网站 被列入失信被执行人、重大税收违法案件当事人名单；“中国政府采购网”</w:t>
            </w:r>
            <w:r>
              <w:rPr>
                <w:rFonts w:hint="eastAsia" w:ascii="宋体" w:hAnsi="宋体" w:eastAsia="宋体" w:cs="宋体"/>
                <w:bCs/>
                <w:color w:val="auto"/>
                <w:szCs w:val="21"/>
                <w:highlight w:val="none"/>
                <w:lang w:val="en-US" w:eastAsia="zh-CN"/>
              </w:rPr>
              <w:fldChar w:fldCharType="begin"/>
            </w:r>
            <w:r>
              <w:rPr>
                <w:rFonts w:hint="eastAsia" w:ascii="宋体" w:hAnsi="宋体" w:eastAsia="宋体" w:cs="宋体"/>
                <w:bCs/>
                <w:color w:val="auto"/>
                <w:szCs w:val="21"/>
                <w:highlight w:val="none"/>
                <w:lang w:val="en-US" w:eastAsia="zh-CN"/>
              </w:rPr>
              <w:instrText xml:space="preserve"> HYPERLINK "http://www.ccgp.gov.cn/search/cr/%EF%BC%89%E4%B8%A5%E9%87%8D%E8%BF%9D%E6%B3%95%E5%A4%B1%E4%BF%A1%E8%A1%8C%E4%B8%BA%E8%AE%B0%E5%BD%95%E5%90%8D%E5%8D%95%E7%9A%84%EF%BC%88%E5%B0%9A%E5%9C%A8%E5%A4%84%E7%BD%9A%E6%9C%9F%E5%86%85%E7%9A%84%EF%BC%89%EF%BC%8C%E2%80%9C%E5%9B%BD%E5%AE%B6%E4%BC%81%E4%B8%9A%E4%BF%A1%E7%94%A8%E4%BF%A1%E6%81%AF%E5%85%AC%E7%A4%BA%E7%B3%BB%E7%BB%9F%EF%BC%88http://www.gsxt.gov.cn%EF%BC%89%E2%80%9D%E5%88%97%E5%85%A5%E7%BB%8F%E8%90%A5%E5%BC%82%E5%B8%B8%E5%90%8D%E5%BD%95%E4%BF%A1%E6%81%AF%E3%80%81%E5%88%97%E5%85%A5%E4%B8%A5%E9%87%8D%E8%BF%9D%E6%B3%95%E5%A4%B1%E4%BF%A1%E4%BC%81%E4%B8%9A%E5%90%8D%E5%8D%95%EF%BC%88%E9%BB%91%E5%90%8D%E5%8D%95%EF%BC%89%E4%BF%A1%E6%81%AF%E5%8F%8A%E4%BC%81%E4%B8%9A%E4%BF%A1%E7%94%A8%E4%BF%A1%E6%81%AF%E5%85%AC%E7%A4%BA%E6%8A%A5%E5%91%8A%EF%BC%9B%EF%BC%88%E4%BB%A5%E6%8B%9B%E6%A0%87%E4%BB%A3%E7%90%86%E6%88%96%E6%8B%9B%E6%A0%87%E4%BA%BA%E6%9F%A5%E8%AF%A2%E4%B8%BA%E5%87%86%EF%BC%89" </w:instrText>
            </w:r>
            <w:r>
              <w:rPr>
                <w:rFonts w:hint="eastAsia" w:ascii="宋体" w:hAnsi="宋体" w:eastAsia="宋体" w:cs="宋体"/>
                <w:bCs/>
                <w:color w:val="auto"/>
                <w:szCs w:val="21"/>
                <w:highlight w:val="none"/>
                <w:lang w:val="en-US" w:eastAsia="zh-CN"/>
              </w:rPr>
              <w:fldChar w:fldCharType="separate"/>
            </w:r>
            <w:r>
              <w:rPr>
                <w:rFonts w:hint="eastAsia" w:ascii="宋体" w:hAnsi="宋体" w:eastAsia="宋体" w:cs="宋体"/>
                <w:bCs/>
                <w:color w:val="auto"/>
                <w:szCs w:val="21"/>
                <w:highlight w:val="none"/>
                <w:lang w:val="en-US" w:eastAsia="zh-CN"/>
              </w:rPr>
              <w:t>严重违法失信行为记录名单的（尚在处罚期内的）；“国家企业信用信息公示系统”列入经营异常名录信息、列入严重违法失信企业名单（黑名单）信息的企业</w:t>
            </w:r>
            <w:r>
              <w:rPr>
                <w:rFonts w:hint="eastAsia" w:ascii="宋体" w:hAnsi="宋体" w:eastAsia="宋体" w:cs="宋体"/>
                <w:bCs/>
                <w:color w:val="auto"/>
                <w:szCs w:val="21"/>
                <w:highlight w:val="none"/>
                <w:lang w:val="en-US" w:eastAsia="zh-CN"/>
              </w:rPr>
              <w:fldChar w:fldCharType="end"/>
            </w:r>
            <w:r>
              <w:rPr>
                <w:rFonts w:hint="eastAsia" w:ascii="宋体" w:hAnsi="宋体" w:eastAsia="宋体" w:cs="宋体"/>
                <w:bCs/>
                <w:color w:val="auto"/>
                <w:szCs w:val="21"/>
                <w:highlight w:val="none"/>
                <w:lang w:val="en-US" w:eastAsia="zh-CN"/>
              </w:rPr>
              <w:t>投标商</w:t>
            </w:r>
          </w:p>
        </w:tc>
        <w:tc>
          <w:tcPr>
            <w:tcW w:w="780" w:type="dxa"/>
            <w:noWrap w:val="0"/>
            <w:vAlign w:val="top"/>
          </w:tcPr>
          <w:p w14:paraId="73EC899E">
            <w:pPr>
              <w:spacing w:line="440" w:lineRule="exact"/>
              <w:jc w:val="left"/>
              <w:outlineLvl w:val="0"/>
              <w:rPr>
                <w:rFonts w:hint="eastAsia" w:ascii="宋体" w:hAnsi="宋体" w:eastAsia="宋体" w:cs="宋体"/>
                <w:bCs/>
                <w:color w:val="auto"/>
                <w:szCs w:val="21"/>
                <w:highlight w:val="none"/>
              </w:rPr>
            </w:pPr>
          </w:p>
        </w:tc>
        <w:tc>
          <w:tcPr>
            <w:tcW w:w="699" w:type="dxa"/>
            <w:noWrap w:val="0"/>
            <w:vAlign w:val="top"/>
          </w:tcPr>
          <w:p w14:paraId="51FEB403">
            <w:pPr>
              <w:spacing w:line="440" w:lineRule="exact"/>
              <w:jc w:val="left"/>
              <w:outlineLvl w:val="0"/>
              <w:rPr>
                <w:rFonts w:hint="eastAsia" w:ascii="宋体" w:hAnsi="宋体" w:eastAsia="宋体" w:cs="宋体"/>
                <w:bCs/>
                <w:color w:val="auto"/>
                <w:szCs w:val="21"/>
                <w:highlight w:val="none"/>
              </w:rPr>
            </w:pPr>
          </w:p>
        </w:tc>
      </w:tr>
      <w:tr w14:paraId="5F2C95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1244" w:type="dxa"/>
            <w:vMerge w:val="continue"/>
            <w:noWrap w:val="0"/>
            <w:vAlign w:val="center"/>
          </w:tcPr>
          <w:p w14:paraId="012FE6CF">
            <w:pPr>
              <w:spacing w:line="440" w:lineRule="exact"/>
              <w:jc w:val="left"/>
              <w:outlineLvl w:val="0"/>
              <w:rPr>
                <w:rFonts w:hint="eastAsia" w:ascii="宋体" w:hAnsi="宋体" w:eastAsia="宋体" w:cs="宋体"/>
                <w:bCs/>
                <w:color w:val="auto"/>
                <w:szCs w:val="21"/>
                <w:highlight w:val="none"/>
              </w:rPr>
            </w:pPr>
          </w:p>
        </w:tc>
        <w:tc>
          <w:tcPr>
            <w:tcW w:w="705" w:type="dxa"/>
            <w:noWrap w:val="0"/>
            <w:vAlign w:val="center"/>
          </w:tcPr>
          <w:p w14:paraId="23D0C094">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6</w:t>
            </w:r>
          </w:p>
        </w:tc>
        <w:tc>
          <w:tcPr>
            <w:tcW w:w="6012" w:type="dxa"/>
            <w:noWrap w:val="0"/>
            <w:vAlign w:val="center"/>
          </w:tcPr>
          <w:p w14:paraId="349E7BC8">
            <w:pPr>
              <w:keepNext w:val="0"/>
              <w:keepLines w:val="0"/>
              <w:pageBreakBefore w:val="0"/>
              <w:widowControl w:val="0"/>
              <w:kinsoku/>
              <w:wordWrap/>
              <w:overflowPunct/>
              <w:topLinePunct w:val="0"/>
              <w:autoSpaceDE/>
              <w:autoSpaceDN/>
              <w:bidi w:val="0"/>
              <w:adjustRightInd/>
              <w:snapToGrid/>
              <w:spacing w:line="360" w:lineRule="exact"/>
              <w:jc w:val="left"/>
              <w:textAlignment w:val="auto"/>
              <w:outlineLvl w:val="0"/>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是否提供《反商业贿赂承诺书》</w:t>
            </w:r>
          </w:p>
        </w:tc>
        <w:tc>
          <w:tcPr>
            <w:tcW w:w="780" w:type="dxa"/>
            <w:noWrap w:val="0"/>
            <w:vAlign w:val="top"/>
          </w:tcPr>
          <w:p w14:paraId="732829B9">
            <w:pPr>
              <w:spacing w:line="440" w:lineRule="exact"/>
              <w:jc w:val="left"/>
              <w:outlineLvl w:val="0"/>
              <w:rPr>
                <w:rFonts w:hint="eastAsia" w:ascii="宋体" w:hAnsi="宋体" w:eastAsia="宋体" w:cs="宋体"/>
                <w:bCs/>
                <w:color w:val="auto"/>
                <w:szCs w:val="21"/>
                <w:highlight w:val="none"/>
              </w:rPr>
            </w:pPr>
          </w:p>
        </w:tc>
        <w:tc>
          <w:tcPr>
            <w:tcW w:w="699" w:type="dxa"/>
            <w:noWrap w:val="0"/>
            <w:vAlign w:val="top"/>
          </w:tcPr>
          <w:p w14:paraId="61ADA173">
            <w:pPr>
              <w:spacing w:line="440" w:lineRule="exact"/>
              <w:jc w:val="left"/>
              <w:outlineLvl w:val="0"/>
              <w:rPr>
                <w:rFonts w:hint="eastAsia" w:ascii="宋体" w:hAnsi="宋体" w:eastAsia="宋体" w:cs="宋体"/>
                <w:bCs/>
                <w:color w:val="auto"/>
                <w:szCs w:val="21"/>
                <w:highlight w:val="none"/>
              </w:rPr>
            </w:pPr>
          </w:p>
        </w:tc>
      </w:tr>
      <w:tr w14:paraId="04C2A0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1244" w:type="dxa"/>
            <w:vMerge w:val="continue"/>
            <w:noWrap w:val="0"/>
            <w:vAlign w:val="center"/>
          </w:tcPr>
          <w:p w14:paraId="7088F550">
            <w:pPr>
              <w:spacing w:line="440" w:lineRule="exact"/>
              <w:jc w:val="left"/>
              <w:outlineLvl w:val="0"/>
              <w:rPr>
                <w:rFonts w:hint="eastAsia" w:ascii="宋体" w:hAnsi="宋体" w:eastAsia="宋体" w:cs="宋体"/>
                <w:bCs/>
                <w:color w:val="auto"/>
                <w:szCs w:val="21"/>
                <w:highlight w:val="none"/>
              </w:rPr>
            </w:pPr>
          </w:p>
        </w:tc>
        <w:tc>
          <w:tcPr>
            <w:tcW w:w="705" w:type="dxa"/>
            <w:noWrap w:val="0"/>
            <w:vAlign w:val="center"/>
          </w:tcPr>
          <w:p w14:paraId="0545F50F">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7</w:t>
            </w:r>
          </w:p>
        </w:tc>
        <w:tc>
          <w:tcPr>
            <w:tcW w:w="6012" w:type="dxa"/>
            <w:noWrap w:val="0"/>
            <w:vAlign w:val="center"/>
          </w:tcPr>
          <w:p w14:paraId="0E488D8F">
            <w:pPr>
              <w:keepNext w:val="0"/>
              <w:keepLines w:val="0"/>
              <w:pageBreakBefore w:val="0"/>
              <w:widowControl w:val="0"/>
              <w:kinsoku/>
              <w:wordWrap/>
              <w:overflowPunct/>
              <w:topLinePunct w:val="0"/>
              <w:autoSpaceDE/>
              <w:autoSpaceDN/>
              <w:bidi w:val="0"/>
              <w:adjustRightInd/>
              <w:snapToGrid/>
              <w:spacing w:line="360" w:lineRule="exact"/>
              <w:jc w:val="left"/>
              <w:textAlignment w:val="auto"/>
              <w:outlineLvl w:val="0"/>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参加政府采购活动近3年内，在经营活动中没有重大违法记录的书面声明</w:t>
            </w:r>
          </w:p>
        </w:tc>
        <w:tc>
          <w:tcPr>
            <w:tcW w:w="780" w:type="dxa"/>
            <w:noWrap w:val="0"/>
            <w:vAlign w:val="top"/>
          </w:tcPr>
          <w:p w14:paraId="2CB0CD36">
            <w:pPr>
              <w:spacing w:line="440" w:lineRule="exact"/>
              <w:jc w:val="left"/>
              <w:outlineLvl w:val="0"/>
              <w:rPr>
                <w:rFonts w:hint="eastAsia" w:ascii="宋体" w:hAnsi="宋体" w:eastAsia="宋体" w:cs="宋体"/>
                <w:bCs/>
                <w:color w:val="auto"/>
                <w:szCs w:val="21"/>
                <w:highlight w:val="none"/>
              </w:rPr>
            </w:pPr>
          </w:p>
        </w:tc>
        <w:tc>
          <w:tcPr>
            <w:tcW w:w="699" w:type="dxa"/>
            <w:noWrap w:val="0"/>
            <w:vAlign w:val="top"/>
          </w:tcPr>
          <w:p w14:paraId="777F2C3F">
            <w:pPr>
              <w:spacing w:line="440" w:lineRule="exact"/>
              <w:jc w:val="left"/>
              <w:outlineLvl w:val="0"/>
              <w:rPr>
                <w:rFonts w:hint="eastAsia" w:ascii="宋体" w:hAnsi="宋体" w:eastAsia="宋体" w:cs="宋体"/>
                <w:bCs/>
                <w:color w:val="auto"/>
                <w:szCs w:val="21"/>
                <w:highlight w:val="none"/>
              </w:rPr>
            </w:pPr>
          </w:p>
        </w:tc>
      </w:tr>
      <w:tr w14:paraId="2E8568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1244" w:type="dxa"/>
            <w:vMerge w:val="continue"/>
            <w:noWrap w:val="0"/>
            <w:vAlign w:val="center"/>
          </w:tcPr>
          <w:p w14:paraId="15E480B2">
            <w:pPr>
              <w:spacing w:line="440" w:lineRule="exact"/>
              <w:jc w:val="left"/>
              <w:outlineLvl w:val="0"/>
              <w:rPr>
                <w:rFonts w:hint="eastAsia" w:ascii="宋体" w:hAnsi="宋体" w:eastAsia="宋体" w:cs="宋体"/>
                <w:bCs/>
                <w:color w:val="auto"/>
                <w:szCs w:val="21"/>
                <w:highlight w:val="none"/>
              </w:rPr>
            </w:pPr>
          </w:p>
        </w:tc>
        <w:tc>
          <w:tcPr>
            <w:tcW w:w="705" w:type="dxa"/>
            <w:noWrap w:val="0"/>
            <w:vAlign w:val="center"/>
          </w:tcPr>
          <w:p w14:paraId="1081271C">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8</w:t>
            </w:r>
          </w:p>
        </w:tc>
        <w:tc>
          <w:tcPr>
            <w:tcW w:w="6012" w:type="dxa"/>
            <w:noWrap w:val="0"/>
            <w:vAlign w:val="center"/>
          </w:tcPr>
          <w:p w14:paraId="277EB41B">
            <w:pPr>
              <w:keepNext w:val="0"/>
              <w:keepLines w:val="0"/>
              <w:pageBreakBefore w:val="0"/>
              <w:widowControl w:val="0"/>
              <w:kinsoku/>
              <w:wordWrap/>
              <w:overflowPunct/>
              <w:topLinePunct w:val="0"/>
              <w:autoSpaceDE/>
              <w:autoSpaceDN/>
              <w:bidi w:val="0"/>
              <w:adjustRightInd/>
              <w:snapToGrid/>
              <w:spacing w:line="360" w:lineRule="exact"/>
              <w:jc w:val="left"/>
              <w:textAlignment w:val="auto"/>
              <w:outlineLvl w:val="0"/>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投标保证金缴纳凭证或投标担保函</w:t>
            </w:r>
          </w:p>
        </w:tc>
        <w:tc>
          <w:tcPr>
            <w:tcW w:w="780" w:type="dxa"/>
            <w:noWrap w:val="0"/>
            <w:vAlign w:val="top"/>
          </w:tcPr>
          <w:p w14:paraId="2C3D730A">
            <w:pPr>
              <w:spacing w:line="440" w:lineRule="exact"/>
              <w:jc w:val="left"/>
              <w:outlineLvl w:val="0"/>
              <w:rPr>
                <w:rFonts w:hint="eastAsia" w:ascii="宋体" w:hAnsi="宋体" w:eastAsia="宋体" w:cs="宋体"/>
                <w:bCs/>
                <w:color w:val="auto"/>
                <w:szCs w:val="21"/>
                <w:highlight w:val="none"/>
              </w:rPr>
            </w:pPr>
          </w:p>
        </w:tc>
        <w:tc>
          <w:tcPr>
            <w:tcW w:w="699" w:type="dxa"/>
            <w:noWrap w:val="0"/>
            <w:vAlign w:val="top"/>
          </w:tcPr>
          <w:p w14:paraId="6803D5A3">
            <w:pPr>
              <w:spacing w:line="440" w:lineRule="exact"/>
              <w:jc w:val="left"/>
              <w:outlineLvl w:val="0"/>
              <w:rPr>
                <w:rFonts w:hint="eastAsia" w:ascii="宋体" w:hAnsi="宋体" w:eastAsia="宋体" w:cs="宋体"/>
                <w:bCs/>
                <w:color w:val="auto"/>
                <w:szCs w:val="21"/>
                <w:highlight w:val="none"/>
              </w:rPr>
            </w:pPr>
          </w:p>
        </w:tc>
      </w:tr>
      <w:tr w14:paraId="430029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1244" w:type="dxa"/>
            <w:noWrap w:val="0"/>
            <w:vAlign w:val="center"/>
          </w:tcPr>
          <w:p w14:paraId="5D7F8C4B">
            <w:pPr>
              <w:spacing w:line="440" w:lineRule="exact"/>
              <w:jc w:val="left"/>
              <w:outlineLvl w:val="0"/>
              <w:rPr>
                <w:rFonts w:hint="eastAsia" w:ascii="宋体" w:hAnsi="宋体" w:eastAsia="宋体" w:cs="宋体"/>
                <w:bCs/>
                <w:color w:val="auto"/>
                <w:szCs w:val="21"/>
                <w:highlight w:val="none"/>
              </w:rPr>
            </w:pPr>
          </w:p>
        </w:tc>
        <w:tc>
          <w:tcPr>
            <w:tcW w:w="705" w:type="dxa"/>
            <w:noWrap w:val="0"/>
            <w:vAlign w:val="top"/>
          </w:tcPr>
          <w:p w14:paraId="1936AA6A">
            <w:pPr>
              <w:spacing w:line="440" w:lineRule="exact"/>
              <w:jc w:val="left"/>
              <w:outlineLvl w:val="0"/>
              <w:rPr>
                <w:rFonts w:hint="eastAsia" w:ascii="宋体" w:hAnsi="宋体" w:eastAsia="宋体" w:cs="宋体"/>
                <w:bCs/>
                <w:color w:val="auto"/>
                <w:szCs w:val="21"/>
                <w:highlight w:val="none"/>
              </w:rPr>
            </w:pPr>
          </w:p>
        </w:tc>
        <w:tc>
          <w:tcPr>
            <w:tcW w:w="6012" w:type="dxa"/>
            <w:noWrap w:val="0"/>
            <w:vAlign w:val="top"/>
          </w:tcPr>
          <w:p w14:paraId="6F97A1B0">
            <w:pPr>
              <w:spacing w:line="440" w:lineRule="exact"/>
              <w:jc w:val="left"/>
              <w:outlineLvl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结论：是否通过评审（须填写通过或不通过）</w:t>
            </w:r>
          </w:p>
          <w:p w14:paraId="7377E74C">
            <w:pPr>
              <w:spacing w:line="440" w:lineRule="exact"/>
              <w:jc w:val="left"/>
              <w:outlineLvl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注：如有一项不合格，作废标处理。</w:t>
            </w:r>
          </w:p>
        </w:tc>
        <w:tc>
          <w:tcPr>
            <w:tcW w:w="1479" w:type="dxa"/>
            <w:gridSpan w:val="2"/>
            <w:noWrap w:val="0"/>
            <w:vAlign w:val="top"/>
          </w:tcPr>
          <w:p w14:paraId="7E9C40EE">
            <w:pPr>
              <w:spacing w:line="440" w:lineRule="exact"/>
              <w:jc w:val="left"/>
              <w:outlineLvl w:val="0"/>
              <w:rPr>
                <w:rFonts w:hint="eastAsia" w:ascii="宋体" w:hAnsi="宋体" w:eastAsia="宋体" w:cs="宋体"/>
                <w:bCs/>
                <w:color w:val="auto"/>
                <w:szCs w:val="21"/>
                <w:highlight w:val="none"/>
              </w:rPr>
            </w:pPr>
          </w:p>
        </w:tc>
      </w:tr>
    </w:tbl>
    <w:p w14:paraId="19FA110C">
      <w:pPr>
        <w:spacing w:line="440" w:lineRule="exact"/>
        <w:jc w:val="center"/>
        <w:outlineLvl w:val="0"/>
        <w:rPr>
          <w:rFonts w:hint="eastAsia" w:ascii="宋体" w:hAnsi="宋体" w:eastAsia="宋体" w:cs="宋体"/>
          <w:b/>
          <w:color w:val="auto"/>
          <w:sz w:val="28"/>
          <w:szCs w:val="28"/>
          <w:highlight w:val="none"/>
        </w:rPr>
      </w:pPr>
    </w:p>
    <w:p w14:paraId="098A3415">
      <w:pPr>
        <w:spacing w:line="440" w:lineRule="exact"/>
        <w:jc w:val="left"/>
        <w:outlineLvl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通过上述资格性检查，可初步判定投标人的投标文件是否符合招标文件的要求。对于上述审查内容，投标人必须响应，否则其投标文件作废标处理。</w:t>
      </w:r>
    </w:p>
    <w:p w14:paraId="6793ECF1">
      <w:pPr>
        <w:pStyle w:val="4"/>
        <w:ind w:firstLine="0"/>
        <w:rPr>
          <w:rFonts w:hint="eastAsia" w:ascii="宋体" w:hAnsi="宋体" w:eastAsia="宋体" w:cs="宋体"/>
          <w:b/>
          <w:color w:val="auto"/>
          <w:sz w:val="32"/>
          <w:szCs w:val="32"/>
          <w:highlight w:val="none"/>
        </w:rPr>
      </w:pPr>
    </w:p>
    <w:p w14:paraId="57B60A4B">
      <w:pPr>
        <w:pStyle w:val="7"/>
        <w:rPr>
          <w:rFonts w:hint="eastAsia" w:ascii="宋体" w:hAnsi="宋体" w:eastAsia="宋体" w:cs="宋体"/>
          <w:color w:val="auto"/>
          <w:highlight w:val="none"/>
        </w:rPr>
      </w:pPr>
    </w:p>
    <w:p w14:paraId="5FCEFD18">
      <w:pPr>
        <w:spacing w:line="440" w:lineRule="exact"/>
        <w:jc w:val="center"/>
        <w:outlineLvl w:val="0"/>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符合性检查</w:t>
      </w:r>
    </w:p>
    <w:p w14:paraId="5FFE7E41">
      <w:pPr>
        <w:spacing w:line="440" w:lineRule="exact"/>
        <w:jc w:val="left"/>
        <w:outlineLvl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1、符合性检查包含下列内容</w:t>
      </w:r>
    </w:p>
    <w:tbl>
      <w:tblPr>
        <w:tblStyle w:val="33"/>
        <w:tblpPr w:leftFromText="180" w:rightFromText="180" w:vertAnchor="text" w:horzAnchor="margin" w:tblpXSpec="center" w:tblpY="781"/>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28"/>
        <w:gridCol w:w="598"/>
        <w:gridCol w:w="6090"/>
        <w:gridCol w:w="683"/>
        <w:gridCol w:w="577"/>
      </w:tblGrid>
      <w:tr w14:paraId="4DD15A6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828" w:type="dxa"/>
            <w:tcBorders>
              <w:top w:val="single" w:color="auto" w:sz="4" w:space="0"/>
              <w:left w:val="single" w:color="auto" w:sz="4" w:space="0"/>
            </w:tcBorders>
            <w:noWrap w:val="0"/>
            <w:vAlign w:val="center"/>
          </w:tcPr>
          <w:p w14:paraId="1CD1C6CE">
            <w:pPr>
              <w:spacing w:line="440" w:lineRule="exact"/>
              <w:jc w:val="left"/>
              <w:outlineLvl w:val="0"/>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项目</w:t>
            </w:r>
          </w:p>
        </w:tc>
        <w:tc>
          <w:tcPr>
            <w:tcW w:w="6688" w:type="dxa"/>
            <w:gridSpan w:val="2"/>
            <w:tcBorders>
              <w:top w:val="single" w:color="auto" w:sz="4" w:space="0"/>
            </w:tcBorders>
            <w:noWrap w:val="0"/>
            <w:vAlign w:val="center"/>
          </w:tcPr>
          <w:p w14:paraId="1DF4F395">
            <w:pPr>
              <w:spacing w:line="440" w:lineRule="exact"/>
              <w:jc w:val="center"/>
              <w:outlineLvl w:val="0"/>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评审内容</w:t>
            </w:r>
          </w:p>
        </w:tc>
        <w:tc>
          <w:tcPr>
            <w:tcW w:w="1260" w:type="dxa"/>
            <w:gridSpan w:val="2"/>
            <w:tcBorders>
              <w:top w:val="single" w:color="auto" w:sz="4" w:space="0"/>
              <w:right w:val="single" w:color="auto" w:sz="4" w:space="0"/>
            </w:tcBorders>
            <w:noWrap w:val="0"/>
            <w:vAlign w:val="center"/>
          </w:tcPr>
          <w:p w14:paraId="4902CE01">
            <w:pPr>
              <w:spacing w:line="440" w:lineRule="exact"/>
              <w:jc w:val="center"/>
              <w:outlineLvl w:val="0"/>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评审</w:t>
            </w:r>
          </w:p>
          <w:p w14:paraId="5FD84BE5">
            <w:pPr>
              <w:spacing w:line="440" w:lineRule="exact"/>
              <w:jc w:val="center"/>
              <w:outlineLvl w:val="0"/>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意见</w:t>
            </w:r>
          </w:p>
        </w:tc>
      </w:tr>
      <w:tr w14:paraId="25F086C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82" w:hRule="atLeast"/>
        </w:trPr>
        <w:tc>
          <w:tcPr>
            <w:tcW w:w="828" w:type="dxa"/>
            <w:tcBorders>
              <w:left w:val="single" w:color="auto" w:sz="4" w:space="0"/>
              <w:bottom w:val="single" w:color="auto" w:sz="4" w:space="0"/>
            </w:tcBorders>
            <w:noWrap w:val="0"/>
            <w:vAlign w:val="center"/>
          </w:tcPr>
          <w:p w14:paraId="3ECE466C">
            <w:pPr>
              <w:spacing w:line="440" w:lineRule="exact"/>
              <w:jc w:val="left"/>
              <w:outlineLvl w:val="0"/>
              <w:rPr>
                <w:rFonts w:hint="eastAsia" w:ascii="宋体" w:hAnsi="宋体" w:eastAsia="宋体" w:cs="宋体"/>
                <w:bCs/>
                <w:color w:val="auto"/>
                <w:szCs w:val="21"/>
                <w:highlight w:val="none"/>
              </w:rPr>
            </w:pPr>
          </w:p>
        </w:tc>
        <w:tc>
          <w:tcPr>
            <w:tcW w:w="6688" w:type="dxa"/>
            <w:gridSpan w:val="2"/>
            <w:tcBorders>
              <w:bottom w:val="single" w:color="auto" w:sz="4" w:space="0"/>
            </w:tcBorders>
            <w:noWrap w:val="0"/>
            <w:vAlign w:val="top"/>
          </w:tcPr>
          <w:p w14:paraId="57EA0197">
            <w:pPr>
              <w:spacing w:line="440" w:lineRule="exact"/>
              <w:jc w:val="left"/>
              <w:outlineLvl w:val="0"/>
              <w:rPr>
                <w:rFonts w:hint="eastAsia" w:ascii="宋体" w:hAnsi="宋体" w:eastAsia="宋体" w:cs="宋体"/>
                <w:bCs/>
                <w:color w:val="auto"/>
                <w:szCs w:val="21"/>
                <w:highlight w:val="none"/>
              </w:rPr>
            </w:pPr>
          </w:p>
        </w:tc>
        <w:tc>
          <w:tcPr>
            <w:tcW w:w="683" w:type="dxa"/>
            <w:noWrap w:val="0"/>
            <w:vAlign w:val="center"/>
          </w:tcPr>
          <w:p w14:paraId="6B9E2BDF">
            <w:pPr>
              <w:spacing w:line="440" w:lineRule="exact"/>
              <w:jc w:val="center"/>
              <w:outlineLvl w:val="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是</w:t>
            </w:r>
          </w:p>
        </w:tc>
        <w:tc>
          <w:tcPr>
            <w:tcW w:w="577" w:type="dxa"/>
            <w:tcBorders>
              <w:right w:val="single" w:color="auto" w:sz="4" w:space="0"/>
            </w:tcBorders>
            <w:noWrap w:val="0"/>
            <w:vAlign w:val="center"/>
          </w:tcPr>
          <w:p w14:paraId="6C779B07">
            <w:pPr>
              <w:spacing w:line="440" w:lineRule="exact"/>
              <w:jc w:val="center"/>
              <w:outlineLvl w:val="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否</w:t>
            </w:r>
          </w:p>
        </w:tc>
      </w:tr>
      <w:tr w14:paraId="22C37E0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1" w:hRule="atLeast"/>
        </w:trPr>
        <w:tc>
          <w:tcPr>
            <w:tcW w:w="828" w:type="dxa"/>
            <w:vMerge w:val="restart"/>
            <w:tcBorders>
              <w:top w:val="single" w:color="auto" w:sz="4" w:space="0"/>
              <w:left w:val="single" w:color="auto" w:sz="4" w:space="0"/>
              <w:right w:val="single" w:color="auto" w:sz="4" w:space="0"/>
            </w:tcBorders>
            <w:noWrap w:val="0"/>
            <w:vAlign w:val="center"/>
          </w:tcPr>
          <w:p w14:paraId="07A1EDE8">
            <w:pPr>
              <w:spacing w:line="440" w:lineRule="exact"/>
              <w:jc w:val="center"/>
              <w:outlineLvl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审</w:t>
            </w:r>
          </w:p>
          <w:p w14:paraId="712A560A">
            <w:pPr>
              <w:spacing w:line="440" w:lineRule="exact"/>
              <w:jc w:val="center"/>
              <w:outlineLvl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查</w:t>
            </w:r>
          </w:p>
          <w:p w14:paraId="5C6AD0C4">
            <w:pPr>
              <w:spacing w:line="440" w:lineRule="exact"/>
              <w:jc w:val="center"/>
              <w:outlineLvl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标</w:t>
            </w:r>
          </w:p>
          <w:p w14:paraId="3F44D0AA">
            <w:pPr>
              <w:spacing w:line="440" w:lineRule="exact"/>
              <w:jc w:val="center"/>
              <w:outlineLvl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准</w:t>
            </w:r>
          </w:p>
        </w:tc>
        <w:tc>
          <w:tcPr>
            <w:tcW w:w="598" w:type="dxa"/>
            <w:tcBorders>
              <w:top w:val="single" w:color="auto" w:sz="4" w:space="0"/>
              <w:left w:val="single" w:color="auto" w:sz="4" w:space="0"/>
              <w:right w:val="single" w:color="auto" w:sz="4" w:space="0"/>
            </w:tcBorders>
            <w:noWrap w:val="0"/>
            <w:vAlign w:val="center"/>
          </w:tcPr>
          <w:p w14:paraId="0A5A81A6">
            <w:pPr>
              <w:spacing w:line="440" w:lineRule="exact"/>
              <w:jc w:val="center"/>
              <w:outlineLvl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1</w:t>
            </w:r>
          </w:p>
        </w:tc>
        <w:tc>
          <w:tcPr>
            <w:tcW w:w="6090" w:type="dxa"/>
            <w:tcBorders>
              <w:top w:val="single" w:color="auto" w:sz="4" w:space="0"/>
              <w:left w:val="single" w:color="auto" w:sz="4" w:space="0"/>
              <w:right w:val="single" w:color="auto" w:sz="4" w:space="0"/>
            </w:tcBorders>
            <w:noWrap w:val="0"/>
            <w:vAlign w:val="top"/>
          </w:tcPr>
          <w:p w14:paraId="6D1EA5D4">
            <w:pPr>
              <w:spacing w:line="440" w:lineRule="exact"/>
              <w:jc w:val="left"/>
              <w:outlineLvl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投标报价高于设定的采购预算价的；</w:t>
            </w:r>
          </w:p>
        </w:tc>
        <w:tc>
          <w:tcPr>
            <w:tcW w:w="683" w:type="dxa"/>
            <w:tcBorders>
              <w:left w:val="single" w:color="auto" w:sz="4" w:space="0"/>
              <w:right w:val="single" w:color="auto" w:sz="4" w:space="0"/>
            </w:tcBorders>
            <w:noWrap w:val="0"/>
            <w:vAlign w:val="top"/>
          </w:tcPr>
          <w:p w14:paraId="2C908A29">
            <w:pPr>
              <w:spacing w:line="440" w:lineRule="exact"/>
              <w:jc w:val="left"/>
              <w:outlineLvl w:val="0"/>
              <w:rPr>
                <w:rFonts w:hint="eastAsia" w:ascii="宋体" w:hAnsi="宋体" w:eastAsia="宋体" w:cs="宋体"/>
                <w:bCs/>
                <w:color w:val="auto"/>
                <w:szCs w:val="21"/>
                <w:highlight w:val="none"/>
              </w:rPr>
            </w:pPr>
          </w:p>
        </w:tc>
        <w:tc>
          <w:tcPr>
            <w:tcW w:w="577" w:type="dxa"/>
            <w:tcBorders>
              <w:left w:val="single" w:color="auto" w:sz="4" w:space="0"/>
              <w:right w:val="single" w:color="auto" w:sz="4" w:space="0"/>
            </w:tcBorders>
            <w:noWrap w:val="0"/>
            <w:vAlign w:val="top"/>
          </w:tcPr>
          <w:p w14:paraId="7B061916">
            <w:pPr>
              <w:spacing w:line="440" w:lineRule="exact"/>
              <w:jc w:val="left"/>
              <w:outlineLvl w:val="0"/>
              <w:rPr>
                <w:rFonts w:hint="eastAsia" w:ascii="宋体" w:hAnsi="宋体" w:eastAsia="宋体" w:cs="宋体"/>
                <w:bCs/>
                <w:color w:val="auto"/>
                <w:szCs w:val="21"/>
                <w:highlight w:val="none"/>
              </w:rPr>
            </w:pPr>
          </w:p>
        </w:tc>
      </w:tr>
      <w:tr w14:paraId="194B1F1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3" w:hRule="atLeast"/>
        </w:trPr>
        <w:tc>
          <w:tcPr>
            <w:tcW w:w="828" w:type="dxa"/>
            <w:vMerge w:val="continue"/>
            <w:tcBorders>
              <w:left w:val="single" w:color="auto" w:sz="4" w:space="0"/>
              <w:right w:val="single" w:color="auto" w:sz="4" w:space="0"/>
            </w:tcBorders>
            <w:noWrap w:val="0"/>
            <w:vAlign w:val="center"/>
          </w:tcPr>
          <w:p w14:paraId="69ECB920">
            <w:pPr>
              <w:spacing w:line="440" w:lineRule="exact"/>
              <w:jc w:val="left"/>
              <w:outlineLvl w:val="0"/>
              <w:rPr>
                <w:rFonts w:hint="eastAsia" w:ascii="宋体" w:hAnsi="宋体" w:eastAsia="宋体" w:cs="宋体"/>
                <w:bCs/>
                <w:color w:val="auto"/>
                <w:szCs w:val="21"/>
                <w:highlight w:val="none"/>
              </w:rPr>
            </w:pPr>
          </w:p>
        </w:tc>
        <w:tc>
          <w:tcPr>
            <w:tcW w:w="598" w:type="dxa"/>
            <w:tcBorders>
              <w:top w:val="single" w:color="auto" w:sz="4" w:space="0"/>
              <w:left w:val="single" w:color="auto" w:sz="4" w:space="0"/>
              <w:bottom w:val="single" w:color="auto" w:sz="4" w:space="0"/>
              <w:right w:val="single" w:color="auto" w:sz="4" w:space="0"/>
            </w:tcBorders>
            <w:noWrap w:val="0"/>
            <w:vAlign w:val="center"/>
          </w:tcPr>
          <w:p w14:paraId="18AA12DF">
            <w:pPr>
              <w:spacing w:line="440" w:lineRule="exact"/>
              <w:jc w:val="center"/>
              <w:outlineLvl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2</w:t>
            </w:r>
          </w:p>
        </w:tc>
        <w:tc>
          <w:tcPr>
            <w:tcW w:w="6090" w:type="dxa"/>
            <w:tcBorders>
              <w:left w:val="single" w:color="auto" w:sz="4" w:space="0"/>
              <w:bottom w:val="single" w:color="auto" w:sz="4" w:space="0"/>
              <w:right w:val="single" w:color="auto" w:sz="4" w:space="0"/>
            </w:tcBorders>
            <w:noWrap w:val="0"/>
            <w:vAlign w:val="top"/>
          </w:tcPr>
          <w:p w14:paraId="5CD8915E">
            <w:pPr>
              <w:spacing w:line="440" w:lineRule="exact"/>
              <w:jc w:val="left"/>
              <w:outlineLvl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投标人对同一招标项目作出两个以上报价未明确效力的；</w:t>
            </w:r>
          </w:p>
        </w:tc>
        <w:tc>
          <w:tcPr>
            <w:tcW w:w="683" w:type="dxa"/>
            <w:tcBorders>
              <w:left w:val="single" w:color="auto" w:sz="4" w:space="0"/>
              <w:right w:val="single" w:color="auto" w:sz="4" w:space="0"/>
            </w:tcBorders>
            <w:noWrap w:val="0"/>
            <w:vAlign w:val="top"/>
          </w:tcPr>
          <w:p w14:paraId="45007026">
            <w:pPr>
              <w:spacing w:line="440" w:lineRule="exact"/>
              <w:jc w:val="left"/>
              <w:outlineLvl w:val="0"/>
              <w:rPr>
                <w:rFonts w:hint="eastAsia" w:ascii="宋体" w:hAnsi="宋体" w:eastAsia="宋体" w:cs="宋体"/>
                <w:bCs/>
                <w:color w:val="auto"/>
                <w:szCs w:val="21"/>
                <w:highlight w:val="none"/>
              </w:rPr>
            </w:pPr>
          </w:p>
        </w:tc>
        <w:tc>
          <w:tcPr>
            <w:tcW w:w="577" w:type="dxa"/>
            <w:tcBorders>
              <w:left w:val="single" w:color="auto" w:sz="4" w:space="0"/>
              <w:right w:val="single" w:color="auto" w:sz="4" w:space="0"/>
            </w:tcBorders>
            <w:noWrap w:val="0"/>
            <w:vAlign w:val="top"/>
          </w:tcPr>
          <w:p w14:paraId="3EFDD31B">
            <w:pPr>
              <w:spacing w:line="440" w:lineRule="exact"/>
              <w:jc w:val="left"/>
              <w:outlineLvl w:val="0"/>
              <w:rPr>
                <w:rFonts w:hint="eastAsia" w:ascii="宋体" w:hAnsi="宋体" w:eastAsia="宋体" w:cs="宋体"/>
                <w:bCs/>
                <w:color w:val="auto"/>
                <w:szCs w:val="21"/>
                <w:highlight w:val="none"/>
              </w:rPr>
            </w:pPr>
          </w:p>
        </w:tc>
      </w:tr>
      <w:tr w14:paraId="645E726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828" w:type="dxa"/>
            <w:vMerge w:val="continue"/>
            <w:tcBorders>
              <w:left w:val="single" w:color="auto" w:sz="4" w:space="0"/>
              <w:right w:val="single" w:color="auto" w:sz="4" w:space="0"/>
            </w:tcBorders>
            <w:noWrap w:val="0"/>
            <w:vAlign w:val="center"/>
          </w:tcPr>
          <w:p w14:paraId="6642CF22">
            <w:pPr>
              <w:spacing w:line="440" w:lineRule="exact"/>
              <w:jc w:val="left"/>
              <w:outlineLvl w:val="0"/>
              <w:rPr>
                <w:rFonts w:hint="eastAsia" w:ascii="宋体" w:hAnsi="宋体" w:eastAsia="宋体" w:cs="宋体"/>
                <w:bCs/>
                <w:color w:val="auto"/>
                <w:szCs w:val="21"/>
                <w:highlight w:val="none"/>
              </w:rPr>
            </w:pPr>
          </w:p>
        </w:tc>
        <w:tc>
          <w:tcPr>
            <w:tcW w:w="598" w:type="dxa"/>
            <w:tcBorders>
              <w:top w:val="single" w:color="auto" w:sz="4" w:space="0"/>
              <w:left w:val="single" w:color="auto" w:sz="4" w:space="0"/>
              <w:bottom w:val="single" w:color="auto" w:sz="4" w:space="0"/>
              <w:right w:val="single" w:color="auto" w:sz="4" w:space="0"/>
            </w:tcBorders>
            <w:noWrap w:val="0"/>
            <w:vAlign w:val="center"/>
          </w:tcPr>
          <w:p w14:paraId="306A54C5">
            <w:pPr>
              <w:spacing w:line="440" w:lineRule="exact"/>
              <w:jc w:val="center"/>
              <w:outlineLvl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3</w:t>
            </w:r>
          </w:p>
        </w:tc>
        <w:tc>
          <w:tcPr>
            <w:tcW w:w="6090" w:type="dxa"/>
            <w:tcBorders>
              <w:top w:val="single" w:color="auto" w:sz="4" w:space="0"/>
              <w:left w:val="single" w:color="auto" w:sz="4" w:space="0"/>
              <w:bottom w:val="single" w:color="auto" w:sz="4" w:space="0"/>
              <w:right w:val="single" w:color="auto" w:sz="4" w:space="0"/>
            </w:tcBorders>
            <w:noWrap w:val="0"/>
            <w:vAlign w:val="top"/>
          </w:tcPr>
          <w:p w14:paraId="2749A5DA">
            <w:pPr>
              <w:spacing w:line="440" w:lineRule="exact"/>
              <w:jc w:val="left"/>
              <w:outlineLvl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未按招标文件规定的格式填写，内容不全或关键字迹模糊、无法辨认的；</w:t>
            </w:r>
          </w:p>
        </w:tc>
        <w:tc>
          <w:tcPr>
            <w:tcW w:w="683" w:type="dxa"/>
            <w:tcBorders>
              <w:left w:val="single" w:color="auto" w:sz="4" w:space="0"/>
            </w:tcBorders>
            <w:noWrap w:val="0"/>
            <w:vAlign w:val="top"/>
          </w:tcPr>
          <w:p w14:paraId="16389BE4">
            <w:pPr>
              <w:spacing w:line="440" w:lineRule="exact"/>
              <w:jc w:val="left"/>
              <w:outlineLvl w:val="0"/>
              <w:rPr>
                <w:rFonts w:hint="eastAsia" w:ascii="宋体" w:hAnsi="宋体" w:eastAsia="宋体" w:cs="宋体"/>
                <w:bCs/>
                <w:color w:val="auto"/>
                <w:szCs w:val="21"/>
                <w:highlight w:val="none"/>
              </w:rPr>
            </w:pPr>
          </w:p>
        </w:tc>
        <w:tc>
          <w:tcPr>
            <w:tcW w:w="577" w:type="dxa"/>
            <w:tcBorders>
              <w:right w:val="single" w:color="auto" w:sz="4" w:space="0"/>
            </w:tcBorders>
            <w:noWrap w:val="0"/>
            <w:vAlign w:val="top"/>
          </w:tcPr>
          <w:p w14:paraId="39B64B26">
            <w:pPr>
              <w:spacing w:line="440" w:lineRule="exact"/>
              <w:jc w:val="left"/>
              <w:outlineLvl w:val="0"/>
              <w:rPr>
                <w:rFonts w:hint="eastAsia" w:ascii="宋体" w:hAnsi="宋体" w:eastAsia="宋体" w:cs="宋体"/>
                <w:bCs/>
                <w:color w:val="auto"/>
                <w:szCs w:val="21"/>
                <w:highlight w:val="none"/>
              </w:rPr>
            </w:pPr>
          </w:p>
        </w:tc>
      </w:tr>
      <w:tr w14:paraId="1DF9F11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828" w:type="dxa"/>
            <w:vMerge w:val="continue"/>
            <w:tcBorders>
              <w:left w:val="single" w:color="auto" w:sz="4" w:space="0"/>
              <w:right w:val="single" w:color="auto" w:sz="4" w:space="0"/>
            </w:tcBorders>
            <w:noWrap w:val="0"/>
            <w:vAlign w:val="center"/>
          </w:tcPr>
          <w:p w14:paraId="61AC7862">
            <w:pPr>
              <w:spacing w:line="440" w:lineRule="exact"/>
              <w:jc w:val="left"/>
              <w:outlineLvl w:val="0"/>
              <w:rPr>
                <w:rFonts w:hint="eastAsia" w:ascii="宋体" w:hAnsi="宋体" w:eastAsia="宋体" w:cs="宋体"/>
                <w:bCs/>
                <w:color w:val="auto"/>
                <w:szCs w:val="21"/>
                <w:highlight w:val="none"/>
              </w:rPr>
            </w:pPr>
          </w:p>
        </w:tc>
        <w:tc>
          <w:tcPr>
            <w:tcW w:w="598" w:type="dxa"/>
            <w:tcBorders>
              <w:top w:val="single" w:color="auto" w:sz="4" w:space="0"/>
              <w:left w:val="single" w:color="auto" w:sz="4" w:space="0"/>
              <w:bottom w:val="single" w:color="auto" w:sz="4" w:space="0"/>
              <w:right w:val="single" w:color="auto" w:sz="4" w:space="0"/>
            </w:tcBorders>
            <w:noWrap w:val="0"/>
            <w:vAlign w:val="center"/>
          </w:tcPr>
          <w:p w14:paraId="30F9E109">
            <w:pPr>
              <w:spacing w:line="440" w:lineRule="exact"/>
              <w:jc w:val="center"/>
              <w:outlineLvl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4</w:t>
            </w:r>
          </w:p>
        </w:tc>
        <w:tc>
          <w:tcPr>
            <w:tcW w:w="6090" w:type="dxa"/>
            <w:tcBorders>
              <w:top w:val="single" w:color="auto" w:sz="4" w:space="0"/>
              <w:left w:val="single" w:color="auto" w:sz="4" w:space="0"/>
              <w:bottom w:val="single" w:color="auto" w:sz="4" w:space="0"/>
              <w:right w:val="single" w:color="auto" w:sz="4" w:space="0"/>
            </w:tcBorders>
            <w:noWrap w:val="0"/>
            <w:vAlign w:val="top"/>
          </w:tcPr>
          <w:p w14:paraId="2BE604AE">
            <w:pPr>
              <w:spacing w:line="440" w:lineRule="exact"/>
              <w:jc w:val="left"/>
              <w:outlineLvl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投标人名称、组织机构与资格预审时不符，涉嫌以他人名义投标的；</w:t>
            </w:r>
          </w:p>
        </w:tc>
        <w:tc>
          <w:tcPr>
            <w:tcW w:w="683" w:type="dxa"/>
            <w:tcBorders>
              <w:left w:val="single" w:color="auto" w:sz="4" w:space="0"/>
            </w:tcBorders>
            <w:noWrap w:val="0"/>
            <w:vAlign w:val="top"/>
          </w:tcPr>
          <w:p w14:paraId="044861CC">
            <w:pPr>
              <w:spacing w:line="440" w:lineRule="exact"/>
              <w:jc w:val="left"/>
              <w:outlineLvl w:val="0"/>
              <w:rPr>
                <w:rFonts w:hint="eastAsia" w:ascii="宋体" w:hAnsi="宋体" w:eastAsia="宋体" w:cs="宋体"/>
                <w:bCs/>
                <w:color w:val="auto"/>
                <w:szCs w:val="21"/>
                <w:highlight w:val="none"/>
              </w:rPr>
            </w:pPr>
          </w:p>
        </w:tc>
        <w:tc>
          <w:tcPr>
            <w:tcW w:w="577" w:type="dxa"/>
            <w:tcBorders>
              <w:right w:val="single" w:color="auto" w:sz="4" w:space="0"/>
            </w:tcBorders>
            <w:noWrap w:val="0"/>
            <w:vAlign w:val="top"/>
          </w:tcPr>
          <w:p w14:paraId="6E9CF7E7">
            <w:pPr>
              <w:spacing w:line="440" w:lineRule="exact"/>
              <w:jc w:val="left"/>
              <w:outlineLvl w:val="0"/>
              <w:rPr>
                <w:rFonts w:hint="eastAsia" w:ascii="宋体" w:hAnsi="宋体" w:eastAsia="宋体" w:cs="宋体"/>
                <w:bCs/>
                <w:color w:val="auto"/>
                <w:szCs w:val="21"/>
                <w:highlight w:val="none"/>
              </w:rPr>
            </w:pPr>
          </w:p>
        </w:tc>
      </w:tr>
      <w:tr w14:paraId="4DCBA71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73" w:hRule="atLeast"/>
        </w:trPr>
        <w:tc>
          <w:tcPr>
            <w:tcW w:w="828" w:type="dxa"/>
            <w:vMerge w:val="continue"/>
            <w:tcBorders>
              <w:left w:val="single" w:color="auto" w:sz="4" w:space="0"/>
              <w:right w:val="single" w:color="auto" w:sz="4" w:space="0"/>
            </w:tcBorders>
            <w:noWrap w:val="0"/>
            <w:vAlign w:val="center"/>
          </w:tcPr>
          <w:p w14:paraId="509FBD9F">
            <w:pPr>
              <w:spacing w:line="440" w:lineRule="exact"/>
              <w:jc w:val="left"/>
              <w:outlineLvl w:val="0"/>
              <w:rPr>
                <w:rFonts w:hint="eastAsia" w:ascii="宋体" w:hAnsi="宋体" w:eastAsia="宋体" w:cs="宋体"/>
                <w:bCs/>
                <w:color w:val="auto"/>
                <w:szCs w:val="21"/>
                <w:highlight w:val="none"/>
              </w:rPr>
            </w:pPr>
          </w:p>
        </w:tc>
        <w:tc>
          <w:tcPr>
            <w:tcW w:w="598" w:type="dxa"/>
            <w:tcBorders>
              <w:left w:val="single" w:color="auto" w:sz="4" w:space="0"/>
            </w:tcBorders>
            <w:noWrap w:val="0"/>
            <w:vAlign w:val="center"/>
          </w:tcPr>
          <w:p w14:paraId="44308A2E">
            <w:pPr>
              <w:spacing w:line="440" w:lineRule="exact"/>
              <w:jc w:val="center"/>
              <w:outlineLvl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5</w:t>
            </w:r>
          </w:p>
        </w:tc>
        <w:tc>
          <w:tcPr>
            <w:tcW w:w="6090" w:type="dxa"/>
            <w:tcBorders>
              <w:right w:val="single" w:color="auto" w:sz="4" w:space="0"/>
            </w:tcBorders>
            <w:noWrap w:val="0"/>
            <w:vAlign w:val="top"/>
          </w:tcPr>
          <w:p w14:paraId="557A0278">
            <w:pPr>
              <w:spacing w:line="440" w:lineRule="exact"/>
              <w:jc w:val="left"/>
              <w:outlineLvl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评标委员会共同确定有实质上不响应招标文件要求的；</w:t>
            </w:r>
          </w:p>
        </w:tc>
        <w:tc>
          <w:tcPr>
            <w:tcW w:w="683" w:type="dxa"/>
            <w:tcBorders>
              <w:left w:val="single" w:color="auto" w:sz="4" w:space="0"/>
            </w:tcBorders>
            <w:noWrap w:val="0"/>
            <w:vAlign w:val="top"/>
          </w:tcPr>
          <w:p w14:paraId="653F9CBC">
            <w:pPr>
              <w:spacing w:line="440" w:lineRule="exact"/>
              <w:jc w:val="left"/>
              <w:outlineLvl w:val="0"/>
              <w:rPr>
                <w:rFonts w:hint="eastAsia" w:ascii="宋体" w:hAnsi="宋体" w:eastAsia="宋体" w:cs="宋体"/>
                <w:bCs/>
                <w:color w:val="auto"/>
                <w:szCs w:val="21"/>
                <w:highlight w:val="none"/>
              </w:rPr>
            </w:pPr>
          </w:p>
        </w:tc>
        <w:tc>
          <w:tcPr>
            <w:tcW w:w="577" w:type="dxa"/>
            <w:tcBorders>
              <w:right w:val="single" w:color="auto" w:sz="4" w:space="0"/>
            </w:tcBorders>
            <w:noWrap w:val="0"/>
            <w:vAlign w:val="top"/>
          </w:tcPr>
          <w:p w14:paraId="36EB0DF2">
            <w:pPr>
              <w:spacing w:line="440" w:lineRule="exact"/>
              <w:jc w:val="left"/>
              <w:outlineLvl w:val="0"/>
              <w:rPr>
                <w:rFonts w:hint="eastAsia" w:ascii="宋体" w:hAnsi="宋体" w:eastAsia="宋体" w:cs="宋体"/>
                <w:bCs/>
                <w:color w:val="auto"/>
                <w:szCs w:val="21"/>
                <w:highlight w:val="none"/>
              </w:rPr>
            </w:pPr>
          </w:p>
        </w:tc>
      </w:tr>
      <w:tr w14:paraId="5331886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75" w:hRule="atLeast"/>
        </w:trPr>
        <w:tc>
          <w:tcPr>
            <w:tcW w:w="828" w:type="dxa"/>
            <w:vMerge w:val="continue"/>
            <w:tcBorders>
              <w:left w:val="single" w:color="auto" w:sz="4" w:space="0"/>
              <w:right w:val="single" w:color="auto" w:sz="4" w:space="0"/>
            </w:tcBorders>
            <w:noWrap w:val="0"/>
            <w:vAlign w:val="center"/>
          </w:tcPr>
          <w:p w14:paraId="09DD95DE">
            <w:pPr>
              <w:spacing w:line="440" w:lineRule="exact"/>
              <w:jc w:val="left"/>
              <w:outlineLvl w:val="0"/>
              <w:rPr>
                <w:rFonts w:hint="eastAsia" w:ascii="宋体" w:hAnsi="宋体" w:eastAsia="宋体" w:cs="宋体"/>
                <w:bCs/>
                <w:color w:val="auto"/>
                <w:szCs w:val="21"/>
                <w:highlight w:val="none"/>
              </w:rPr>
            </w:pPr>
          </w:p>
        </w:tc>
        <w:tc>
          <w:tcPr>
            <w:tcW w:w="598" w:type="dxa"/>
            <w:tcBorders>
              <w:left w:val="single" w:color="auto" w:sz="4" w:space="0"/>
              <w:bottom w:val="single" w:color="auto" w:sz="4" w:space="0"/>
            </w:tcBorders>
            <w:noWrap w:val="0"/>
            <w:vAlign w:val="center"/>
          </w:tcPr>
          <w:p w14:paraId="31712E1C">
            <w:pPr>
              <w:spacing w:line="440" w:lineRule="exact"/>
              <w:jc w:val="center"/>
              <w:outlineLvl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6</w:t>
            </w:r>
          </w:p>
        </w:tc>
        <w:tc>
          <w:tcPr>
            <w:tcW w:w="6090" w:type="dxa"/>
            <w:tcBorders>
              <w:bottom w:val="single" w:color="auto" w:sz="4" w:space="0"/>
              <w:right w:val="single" w:color="auto" w:sz="4" w:space="0"/>
            </w:tcBorders>
            <w:noWrap w:val="0"/>
            <w:vAlign w:val="top"/>
          </w:tcPr>
          <w:p w14:paraId="496159DC">
            <w:pPr>
              <w:spacing w:line="440" w:lineRule="exact"/>
              <w:jc w:val="left"/>
              <w:outlineLvl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投标文件没有投标单位法定代表人或其授权代表签字（章）和加盖投标单位公章的；</w:t>
            </w:r>
          </w:p>
        </w:tc>
        <w:tc>
          <w:tcPr>
            <w:tcW w:w="683" w:type="dxa"/>
            <w:tcBorders>
              <w:left w:val="single" w:color="auto" w:sz="4" w:space="0"/>
              <w:bottom w:val="single" w:color="auto" w:sz="4" w:space="0"/>
            </w:tcBorders>
            <w:noWrap w:val="0"/>
            <w:vAlign w:val="top"/>
          </w:tcPr>
          <w:p w14:paraId="2291E6F1">
            <w:pPr>
              <w:spacing w:line="440" w:lineRule="exact"/>
              <w:jc w:val="left"/>
              <w:outlineLvl w:val="0"/>
              <w:rPr>
                <w:rFonts w:hint="eastAsia" w:ascii="宋体" w:hAnsi="宋体" w:eastAsia="宋体" w:cs="宋体"/>
                <w:bCs/>
                <w:color w:val="auto"/>
                <w:szCs w:val="21"/>
                <w:highlight w:val="none"/>
              </w:rPr>
            </w:pPr>
          </w:p>
        </w:tc>
        <w:tc>
          <w:tcPr>
            <w:tcW w:w="577" w:type="dxa"/>
            <w:tcBorders>
              <w:bottom w:val="single" w:color="auto" w:sz="4" w:space="0"/>
              <w:right w:val="single" w:color="auto" w:sz="4" w:space="0"/>
            </w:tcBorders>
            <w:noWrap w:val="0"/>
            <w:vAlign w:val="top"/>
          </w:tcPr>
          <w:p w14:paraId="2E7DFF77">
            <w:pPr>
              <w:spacing w:line="440" w:lineRule="exact"/>
              <w:jc w:val="left"/>
              <w:outlineLvl w:val="0"/>
              <w:rPr>
                <w:rFonts w:hint="eastAsia" w:ascii="宋体" w:hAnsi="宋体" w:eastAsia="宋体" w:cs="宋体"/>
                <w:bCs/>
                <w:color w:val="auto"/>
                <w:szCs w:val="21"/>
                <w:highlight w:val="none"/>
              </w:rPr>
            </w:pPr>
          </w:p>
        </w:tc>
      </w:tr>
      <w:tr w14:paraId="660D765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3" w:hRule="atLeast"/>
        </w:trPr>
        <w:tc>
          <w:tcPr>
            <w:tcW w:w="828" w:type="dxa"/>
            <w:vMerge w:val="continue"/>
            <w:tcBorders>
              <w:left w:val="single" w:color="auto" w:sz="4" w:space="0"/>
              <w:right w:val="single" w:color="auto" w:sz="4" w:space="0"/>
            </w:tcBorders>
            <w:noWrap w:val="0"/>
            <w:vAlign w:val="center"/>
          </w:tcPr>
          <w:p w14:paraId="29B05418">
            <w:pPr>
              <w:spacing w:line="440" w:lineRule="exact"/>
              <w:jc w:val="left"/>
              <w:outlineLvl w:val="0"/>
              <w:rPr>
                <w:rFonts w:hint="eastAsia" w:ascii="宋体" w:hAnsi="宋体" w:eastAsia="宋体" w:cs="宋体"/>
                <w:bCs/>
                <w:color w:val="auto"/>
                <w:szCs w:val="21"/>
                <w:highlight w:val="none"/>
              </w:rPr>
            </w:pPr>
          </w:p>
        </w:tc>
        <w:tc>
          <w:tcPr>
            <w:tcW w:w="598" w:type="dxa"/>
            <w:tcBorders>
              <w:top w:val="single" w:color="auto" w:sz="4" w:space="0"/>
              <w:left w:val="single" w:color="auto" w:sz="4" w:space="0"/>
              <w:bottom w:val="single" w:color="auto" w:sz="4" w:space="0"/>
              <w:right w:val="single" w:color="auto" w:sz="4" w:space="0"/>
            </w:tcBorders>
            <w:noWrap w:val="0"/>
            <w:vAlign w:val="center"/>
          </w:tcPr>
          <w:p w14:paraId="4B32662F">
            <w:pPr>
              <w:spacing w:line="440" w:lineRule="exact"/>
              <w:jc w:val="center"/>
              <w:outlineLvl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7</w:t>
            </w:r>
          </w:p>
        </w:tc>
        <w:tc>
          <w:tcPr>
            <w:tcW w:w="6090" w:type="dxa"/>
            <w:tcBorders>
              <w:top w:val="single" w:color="auto" w:sz="4" w:space="0"/>
              <w:left w:val="single" w:color="auto" w:sz="4" w:space="0"/>
              <w:bottom w:val="single" w:color="auto" w:sz="4" w:space="0"/>
              <w:right w:val="single" w:color="auto" w:sz="4" w:space="0"/>
            </w:tcBorders>
            <w:noWrap w:val="0"/>
            <w:vAlign w:val="top"/>
          </w:tcPr>
          <w:p w14:paraId="04EA9B33">
            <w:pPr>
              <w:spacing w:line="440" w:lineRule="exact"/>
              <w:jc w:val="left"/>
              <w:outlineLvl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投标的政府采购项目完成期限超过招标文件规定期限的；</w:t>
            </w:r>
          </w:p>
        </w:tc>
        <w:tc>
          <w:tcPr>
            <w:tcW w:w="683" w:type="dxa"/>
            <w:tcBorders>
              <w:top w:val="single" w:color="auto" w:sz="4" w:space="0"/>
              <w:left w:val="single" w:color="auto" w:sz="4" w:space="0"/>
              <w:bottom w:val="single" w:color="auto" w:sz="4" w:space="0"/>
              <w:right w:val="single" w:color="auto" w:sz="4" w:space="0"/>
            </w:tcBorders>
            <w:noWrap w:val="0"/>
            <w:vAlign w:val="top"/>
          </w:tcPr>
          <w:p w14:paraId="133995AE">
            <w:pPr>
              <w:spacing w:line="440" w:lineRule="exact"/>
              <w:jc w:val="left"/>
              <w:outlineLvl w:val="0"/>
              <w:rPr>
                <w:rFonts w:hint="eastAsia" w:ascii="宋体" w:hAnsi="宋体" w:eastAsia="宋体" w:cs="宋体"/>
                <w:bCs/>
                <w:color w:val="auto"/>
                <w:szCs w:val="21"/>
                <w:highlight w:val="none"/>
              </w:rPr>
            </w:pPr>
          </w:p>
        </w:tc>
        <w:tc>
          <w:tcPr>
            <w:tcW w:w="577" w:type="dxa"/>
            <w:tcBorders>
              <w:top w:val="single" w:color="auto" w:sz="4" w:space="0"/>
              <w:left w:val="single" w:color="auto" w:sz="4" w:space="0"/>
              <w:bottom w:val="single" w:color="auto" w:sz="4" w:space="0"/>
              <w:right w:val="single" w:color="auto" w:sz="4" w:space="0"/>
            </w:tcBorders>
            <w:noWrap w:val="0"/>
            <w:vAlign w:val="top"/>
          </w:tcPr>
          <w:p w14:paraId="74BDB502">
            <w:pPr>
              <w:spacing w:line="440" w:lineRule="exact"/>
              <w:jc w:val="left"/>
              <w:outlineLvl w:val="0"/>
              <w:rPr>
                <w:rFonts w:hint="eastAsia" w:ascii="宋体" w:hAnsi="宋体" w:eastAsia="宋体" w:cs="宋体"/>
                <w:bCs/>
                <w:color w:val="auto"/>
                <w:szCs w:val="21"/>
                <w:highlight w:val="none"/>
              </w:rPr>
            </w:pPr>
          </w:p>
        </w:tc>
      </w:tr>
      <w:tr w14:paraId="1550A8E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3" w:hRule="atLeast"/>
        </w:trPr>
        <w:tc>
          <w:tcPr>
            <w:tcW w:w="828" w:type="dxa"/>
            <w:vMerge w:val="continue"/>
            <w:tcBorders>
              <w:left w:val="single" w:color="auto" w:sz="4" w:space="0"/>
              <w:right w:val="single" w:color="auto" w:sz="4" w:space="0"/>
            </w:tcBorders>
            <w:noWrap w:val="0"/>
            <w:vAlign w:val="center"/>
          </w:tcPr>
          <w:p w14:paraId="1676DA70">
            <w:pPr>
              <w:spacing w:line="440" w:lineRule="exact"/>
              <w:jc w:val="left"/>
              <w:outlineLvl w:val="0"/>
              <w:rPr>
                <w:rFonts w:hint="eastAsia" w:ascii="宋体" w:hAnsi="宋体" w:eastAsia="宋体" w:cs="宋体"/>
                <w:bCs/>
                <w:color w:val="auto"/>
                <w:szCs w:val="21"/>
                <w:highlight w:val="none"/>
              </w:rPr>
            </w:pPr>
          </w:p>
        </w:tc>
        <w:tc>
          <w:tcPr>
            <w:tcW w:w="598" w:type="dxa"/>
            <w:tcBorders>
              <w:left w:val="single" w:color="auto" w:sz="4" w:space="0"/>
            </w:tcBorders>
            <w:noWrap w:val="0"/>
            <w:vAlign w:val="center"/>
          </w:tcPr>
          <w:p w14:paraId="3C5D3EF2">
            <w:pPr>
              <w:spacing w:line="440" w:lineRule="exact"/>
              <w:jc w:val="center"/>
              <w:outlineLvl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8</w:t>
            </w:r>
          </w:p>
        </w:tc>
        <w:tc>
          <w:tcPr>
            <w:tcW w:w="6090" w:type="dxa"/>
            <w:tcBorders>
              <w:right w:val="single" w:color="auto" w:sz="4" w:space="0"/>
            </w:tcBorders>
            <w:noWrap w:val="0"/>
            <w:vAlign w:val="top"/>
          </w:tcPr>
          <w:p w14:paraId="7DC55FB2">
            <w:pPr>
              <w:spacing w:line="440" w:lineRule="exact"/>
              <w:jc w:val="left"/>
              <w:outlineLvl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投标文件附有采购人不能接受条件的；</w:t>
            </w:r>
          </w:p>
        </w:tc>
        <w:tc>
          <w:tcPr>
            <w:tcW w:w="683" w:type="dxa"/>
            <w:tcBorders>
              <w:left w:val="single" w:color="auto" w:sz="4" w:space="0"/>
            </w:tcBorders>
            <w:noWrap w:val="0"/>
            <w:vAlign w:val="top"/>
          </w:tcPr>
          <w:p w14:paraId="7BA232D5">
            <w:pPr>
              <w:spacing w:line="440" w:lineRule="exact"/>
              <w:jc w:val="left"/>
              <w:outlineLvl w:val="0"/>
              <w:rPr>
                <w:rFonts w:hint="eastAsia" w:ascii="宋体" w:hAnsi="宋体" w:eastAsia="宋体" w:cs="宋体"/>
                <w:bCs/>
                <w:color w:val="auto"/>
                <w:szCs w:val="21"/>
                <w:highlight w:val="none"/>
              </w:rPr>
            </w:pPr>
          </w:p>
        </w:tc>
        <w:tc>
          <w:tcPr>
            <w:tcW w:w="577" w:type="dxa"/>
            <w:tcBorders>
              <w:right w:val="single" w:color="auto" w:sz="4" w:space="0"/>
            </w:tcBorders>
            <w:noWrap w:val="0"/>
            <w:vAlign w:val="top"/>
          </w:tcPr>
          <w:p w14:paraId="7EF8E369">
            <w:pPr>
              <w:spacing w:line="440" w:lineRule="exact"/>
              <w:jc w:val="left"/>
              <w:outlineLvl w:val="0"/>
              <w:rPr>
                <w:rFonts w:hint="eastAsia" w:ascii="宋体" w:hAnsi="宋体" w:eastAsia="宋体" w:cs="宋体"/>
                <w:bCs/>
                <w:color w:val="auto"/>
                <w:szCs w:val="21"/>
                <w:highlight w:val="none"/>
              </w:rPr>
            </w:pPr>
          </w:p>
        </w:tc>
      </w:tr>
      <w:tr w14:paraId="4121EBD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73" w:hRule="atLeast"/>
        </w:trPr>
        <w:tc>
          <w:tcPr>
            <w:tcW w:w="828" w:type="dxa"/>
            <w:vMerge w:val="continue"/>
            <w:tcBorders>
              <w:left w:val="single" w:color="auto" w:sz="4" w:space="0"/>
              <w:right w:val="single" w:color="auto" w:sz="4" w:space="0"/>
            </w:tcBorders>
            <w:noWrap w:val="0"/>
            <w:vAlign w:val="center"/>
          </w:tcPr>
          <w:p w14:paraId="25319005">
            <w:pPr>
              <w:spacing w:line="440" w:lineRule="exact"/>
              <w:jc w:val="left"/>
              <w:outlineLvl w:val="0"/>
              <w:rPr>
                <w:rFonts w:hint="eastAsia" w:ascii="宋体" w:hAnsi="宋体" w:eastAsia="宋体" w:cs="宋体"/>
                <w:bCs/>
                <w:color w:val="auto"/>
                <w:szCs w:val="21"/>
                <w:highlight w:val="none"/>
              </w:rPr>
            </w:pPr>
          </w:p>
        </w:tc>
        <w:tc>
          <w:tcPr>
            <w:tcW w:w="598" w:type="dxa"/>
            <w:tcBorders>
              <w:left w:val="single" w:color="auto" w:sz="4" w:space="0"/>
            </w:tcBorders>
            <w:noWrap w:val="0"/>
            <w:vAlign w:val="center"/>
          </w:tcPr>
          <w:p w14:paraId="2FA39A16">
            <w:pPr>
              <w:spacing w:line="440" w:lineRule="exact"/>
              <w:jc w:val="center"/>
              <w:outlineLvl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9</w:t>
            </w:r>
          </w:p>
        </w:tc>
        <w:tc>
          <w:tcPr>
            <w:tcW w:w="6090" w:type="dxa"/>
            <w:tcBorders>
              <w:right w:val="single" w:color="auto" w:sz="4" w:space="0"/>
            </w:tcBorders>
            <w:noWrap w:val="0"/>
            <w:vAlign w:val="top"/>
          </w:tcPr>
          <w:p w14:paraId="0F1421E0">
            <w:pPr>
              <w:spacing w:line="440" w:lineRule="exact"/>
              <w:jc w:val="left"/>
              <w:outlineLvl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不满足招标文件实质性要求的其他情形.....</w:t>
            </w:r>
          </w:p>
        </w:tc>
        <w:tc>
          <w:tcPr>
            <w:tcW w:w="683" w:type="dxa"/>
            <w:tcBorders>
              <w:left w:val="single" w:color="auto" w:sz="4" w:space="0"/>
            </w:tcBorders>
            <w:noWrap w:val="0"/>
            <w:vAlign w:val="top"/>
          </w:tcPr>
          <w:p w14:paraId="0CFEFAC3">
            <w:pPr>
              <w:spacing w:line="440" w:lineRule="exact"/>
              <w:jc w:val="left"/>
              <w:outlineLvl w:val="0"/>
              <w:rPr>
                <w:rFonts w:hint="eastAsia" w:ascii="宋体" w:hAnsi="宋体" w:eastAsia="宋体" w:cs="宋体"/>
                <w:bCs/>
                <w:color w:val="auto"/>
                <w:szCs w:val="21"/>
                <w:highlight w:val="none"/>
              </w:rPr>
            </w:pPr>
          </w:p>
        </w:tc>
        <w:tc>
          <w:tcPr>
            <w:tcW w:w="577" w:type="dxa"/>
            <w:tcBorders>
              <w:right w:val="single" w:color="auto" w:sz="4" w:space="0"/>
            </w:tcBorders>
            <w:noWrap w:val="0"/>
            <w:vAlign w:val="top"/>
          </w:tcPr>
          <w:p w14:paraId="18AF80BB">
            <w:pPr>
              <w:spacing w:line="440" w:lineRule="exact"/>
              <w:jc w:val="left"/>
              <w:outlineLvl w:val="0"/>
              <w:rPr>
                <w:rFonts w:hint="eastAsia" w:ascii="宋体" w:hAnsi="宋体" w:eastAsia="宋体" w:cs="宋体"/>
                <w:bCs/>
                <w:color w:val="auto"/>
                <w:szCs w:val="21"/>
                <w:highlight w:val="none"/>
              </w:rPr>
            </w:pPr>
          </w:p>
        </w:tc>
      </w:tr>
      <w:tr w14:paraId="7860E63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9" w:hRule="atLeast"/>
        </w:trPr>
        <w:tc>
          <w:tcPr>
            <w:tcW w:w="828" w:type="dxa"/>
            <w:tcBorders>
              <w:left w:val="single" w:color="auto" w:sz="4" w:space="0"/>
              <w:bottom w:val="single" w:color="auto" w:sz="4" w:space="0"/>
              <w:right w:val="single" w:color="auto" w:sz="4" w:space="0"/>
            </w:tcBorders>
            <w:noWrap w:val="0"/>
            <w:vAlign w:val="center"/>
          </w:tcPr>
          <w:p w14:paraId="5BDB4FE7">
            <w:pPr>
              <w:spacing w:line="440" w:lineRule="exact"/>
              <w:jc w:val="left"/>
              <w:outlineLvl w:val="0"/>
              <w:rPr>
                <w:rFonts w:hint="eastAsia" w:ascii="宋体" w:hAnsi="宋体" w:eastAsia="宋体" w:cs="宋体"/>
                <w:bCs/>
                <w:color w:val="auto"/>
                <w:szCs w:val="21"/>
                <w:highlight w:val="none"/>
              </w:rPr>
            </w:pPr>
          </w:p>
        </w:tc>
        <w:tc>
          <w:tcPr>
            <w:tcW w:w="6688" w:type="dxa"/>
            <w:gridSpan w:val="2"/>
            <w:tcBorders>
              <w:left w:val="single" w:color="auto" w:sz="4" w:space="0"/>
              <w:bottom w:val="single" w:color="auto" w:sz="4" w:space="0"/>
              <w:right w:val="single" w:color="auto" w:sz="4" w:space="0"/>
            </w:tcBorders>
            <w:noWrap w:val="0"/>
            <w:vAlign w:val="top"/>
          </w:tcPr>
          <w:p w14:paraId="2BB4A9C1">
            <w:pPr>
              <w:spacing w:line="440" w:lineRule="exact"/>
              <w:jc w:val="left"/>
              <w:outlineLvl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结论：是否通过评审（须填写通过或不通过）</w:t>
            </w:r>
          </w:p>
          <w:p w14:paraId="6E8ADDDD">
            <w:pPr>
              <w:spacing w:line="440" w:lineRule="exact"/>
              <w:jc w:val="left"/>
              <w:outlineLvl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注：如有一项不合格，作废标处理。</w:t>
            </w:r>
          </w:p>
        </w:tc>
        <w:tc>
          <w:tcPr>
            <w:tcW w:w="1260" w:type="dxa"/>
            <w:gridSpan w:val="2"/>
            <w:tcBorders>
              <w:left w:val="single" w:color="auto" w:sz="4" w:space="0"/>
              <w:bottom w:val="single" w:color="auto" w:sz="4" w:space="0"/>
              <w:right w:val="single" w:color="auto" w:sz="4" w:space="0"/>
            </w:tcBorders>
            <w:noWrap w:val="0"/>
            <w:vAlign w:val="top"/>
          </w:tcPr>
          <w:p w14:paraId="51BADC81">
            <w:pPr>
              <w:spacing w:line="440" w:lineRule="exact"/>
              <w:jc w:val="left"/>
              <w:outlineLvl w:val="0"/>
              <w:rPr>
                <w:rFonts w:hint="eastAsia" w:ascii="宋体" w:hAnsi="宋体" w:eastAsia="宋体" w:cs="宋体"/>
                <w:bCs/>
                <w:color w:val="auto"/>
                <w:szCs w:val="21"/>
                <w:highlight w:val="none"/>
              </w:rPr>
            </w:pPr>
          </w:p>
        </w:tc>
      </w:tr>
    </w:tbl>
    <w:p w14:paraId="45EA7318">
      <w:pPr>
        <w:pStyle w:val="9"/>
        <w:tabs>
          <w:tab w:val="clear" w:pos="567"/>
        </w:tabs>
        <w:spacing w:before="0" w:line="360" w:lineRule="auto"/>
        <w:rPr>
          <w:rFonts w:hint="eastAsia" w:ascii="宋体" w:hAnsi="宋体" w:eastAsia="宋体" w:cs="宋体"/>
          <w:color w:val="auto"/>
          <w:highlight w:val="none"/>
        </w:rPr>
      </w:pPr>
    </w:p>
    <w:p w14:paraId="7369567C">
      <w:pPr>
        <w:pStyle w:val="3"/>
        <w:keepNext w:val="0"/>
        <w:keepLines w:val="0"/>
        <w:spacing w:before="0" w:line="240" w:lineRule="atLeast"/>
        <w:ind w:left="1080" w:leftChars="257" w:hanging="540"/>
        <w:rPr>
          <w:rFonts w:hint="eastAsia" w:ascii="宋体" w:hAnsi="宋体" w:eastAsia="宋体" w:cs="宋体"/>
          <w:color w:val="auto"/>
          <w:highlight w:val="none"/>
        </w:rPr>
      </w:pPr>
      <w:r>
        <w:rPr>
          <w:rFonts w:hint="eastAsia" w:ascii="宋体" w:hAnsi="宋体" w:eastAsia="宋体" w:cs="宋体"/>
          <w:b w:val="0"/>
          <w:bCs/>
          <w:color w:val="auto"/>
          <w:sz w:val="40"/>
          <w:szCs w:val="40"/>
          <w:highlight w:val="none"/>
        </w:rPr>
        <w:br w:type="page"/>
      </w:r>
      <w:r>
        <w:rPr>
          <w:rFonts w:hint="eastAsia" w:ascii="宋体" w:hAnsi="宋体" w:eastAsia="宋体" w:cs="宋体"/>
          <w:color w:val="auto"/>
          <w:sz w:val="28"/>
          <w:szCs w:val="21"/>
          <w:highlight w:val="none"/>
        </w:rPr>
        <w:t>综合评分表</w:t>
      </w:r>
    </w:p>
    <w:p w14:paraId="17BEE12C">
      <w:pPr>
        <w:rPr>
          <w:rFonts w:hint="eastAsia" w:ascii="宋体" w:hAnsi="宋体" w:eastAsia="宋体" w:cs="宋体"/>
          <w:color w:val="auto"/>
          <w:highlight w:val="none"/>
        </w:rPr>
      </w:pPr>
    </w:p>
    <w:tbl>
      <w:tblPr>
        <w:tblStyle w:val="33"/>
        <w:tblpPr w:leftFromText="180" w:rightFromText="180" w:vertAnchor="text" w:horzAnchor="page" w:tblpX="1300" w:tblpY="136"/>
        <w:tblOverlap w:val="never"/>
        <w:tblW w:w="9444" w:type="dxa"/>
        <w:tblInd w:w="0" w:type="dxa"/>
        <w:tblLayout w:type="fixed"/>
        <w:tblCellMar>
          <w:top w:w="0" w:type="dxa"/>
          <w:left w:w="0" w:type="dxa"/>
          <w:bottom w:w="0" w:type="dxa"/>
          <w:right w:w="0" w:type="dxa"/>
        </w:tblCellMar>
      </w:tblPr>
      <w:tblGrid>
        <w:gridCol w:w="1280"/>
        <w:gridCol w:w="1789"/>
        <w:gridCol w:w="6375"/>
      </w:tblGrid>
      <w:tr w14:paraId="6C8572B6">
        <w:tblPrEx>
          <w:tblCellMar>
            <w:top w:w="0" w:type="dxa"/>
            <w:left w:w="0" w:type="dxa"/>
            <w:bottom w:w="0" w:type="dxa"/>
            <w:right w:w="0" w:type="dxa"/>
          </w:tblCellMar>
        </w:tblPrEx>
        <w:trPr>
          <w:trHeight w:val="489" w:hRule="exact"/>
        </w:trPr>
        <w:tc>
          <w:tcPr>
            <w:tcW w:w="1280" w:type="dxa"/>
            <w:tcBorders>
              <w:top w:val="single" w:color="000000" w:sz="4" w:space="0"/>
              <w:left w:val="single" w:color="000000" w:sz="4" w:space="0"/>
              <w:bottom w:val="single" w:color="000000" w:sz="4" w:space="0"/>
              <w:right w:val="single" w:color="000000" w:sz="4" w:space="0"/>
            </w:tcBorders>
            <w:noWrap w:val="0"/>
            <w:vAlign w:val="center"/>
          </w:tcPr>
          <w:p w14:paraId="48F9A5D5">
            <w:pPr>
              <w:autoSpaceDE w:val="0"/>
              <w:autoSpaceDN w:val="0"/>
              <w:adjustRightInd w:val="0"/>
              <w:spacing w:before="48"/>
              <w:ind w:right="-20"/>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评分因素</w:t>
            </w:r>
          </w:p>
        </w:tc>
        <w:tc>
          <w:tcPr>
            <w:tcW w:w="1789" w:type="dxa"/>
            <w:tcBorders>
              <w:top w:val="single" w:color="000000" w:sz="4" w:space="0"/>
              <w:left w:val="single" w:color="000000" w:sz="4" w:space="0"/>
              <w:bottom w:val="single" w:color="000000" w:sz="4" w:space="0"/>
              <w:right w:val="single" w:color="000000" w:sz="4" w:space="0"/>
            </w:tcBorders>
            <w:noWrap w:val="0"/>
            <w:vAlign w:val="center"/>
          </w:tcPr>
          <w:p w14:paraId="3267E25F">
            <w:pPr>
              <w:autoSpaceDE w:val="0"/>
              <w:autoSpaceDN w:val="0"/>
              <w:adjustRightInd w:val="0"/>
              <w:spacing w:before="48"/>
              <w:ind w:right="120"/>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分值</w:t>
            </w:r>
          </w:p>
        </w:tc>
        <w:tc>
          <w:tcPr>
            <w:tcW w:w="6375" w:type="dxa"/>
            <w:tcBorders>
              <w:top w:val="single" w:color="000000" w:sz="4" w:space="0"/>
              <w:left w:val="single" w:color="000000" w:sz="4" w:space="0"/>
              <w:bottom w:val="single" w:color="000000" w:sz="4" w:space="0"/>
              <w:right w:val="single" w:color="000000" w:sz="4" w:space="0"/>
            </w:tcBorders>
            <w:noWrap w:val="0"/>
            <w:vAlign w:val="center"/>
          </w:tcPr>
          <w:p w14:paraId="54980997">
            <w:pPr>
              <w:autoSpaceDE w:val="0"/>
              <w:autoSpaceDN w:val="0"/>
              <w:adjustRightInd w:val="0"/>
              <w:spacing w:before="48"/>
              <w:ind w:right="120"/>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评分标准</w:t>
            </w:r>
          </w:p>
        </w:tc>
      </w:tr>
      <w:tr w14:paraId="28582BDA">
        <w:tblPrEx>
          <w:tblCellMar>
            <w:top w:w="0" w:type="dxa"/>
            <w:left w:w="0" w:type="dxa"/>
            <w:bottom w:w="0" w:type="dxa"/>
            <w:right w:w="0" w:type="dxa"/>
          </w:tblCellMar>
        </w:tblPrEx>
        <w:trPr>
          <w:trHeight w:val="1278" w:hRule="exact"/>
        </w:trPr>
        <w:tc>
          <w:tcPr>
            <w:tcW w:w="1280" w:type="dxa"/>
            <w:tcBorders>
              <w:top w:val="single" w:color="000000" w:sz="4" w:space="0"/>
              <w:left w:val="single" w:color="000000" w:sz="4" w:space="0"/>
              <w:bottom w:val="single" w:color="auto" w:sz="4" w:space="0"/>
              <w:right w:val="single" w:color="000000" w:sz="4" w:space="0"/>
            </w:tcBorders>
            <w:noWrap w:val="0"/>
            <w:vAlign w:val="center"/>
          </w:tcPr>
          <w:p w14:paraId="1AA5DF97">
            <w:pPr>
              <w:autoSpaceDE w:val="0"/>
              <w:autoSpaceDN w:val="0"/>
              <w:adjustRightInd w:val="0"/>
              <w:ind w:right="60"/>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 xml:space="preserve">报价  </w:t>
            </w:r>
            <w:r>
              <w:rPr>
                <w:rFonts w:hint="eastAsia" w:ascii="宋体" w:hAnsi="宋体" w:eastAsia="宋体" w:cs="宋体"/>
                <w:color w:val="auto"/>
                <w:kern w:val="0"/>
                <w:sz w:val="22"/>
                <w:szCs w:val="22"/>
                <w:highlight w:val="none"/>
                <w:lang w:val="en-US" w:eastAsia="zh-CN"/>
              </w:rPr>
              <w:t xml:space="preserve">   </w:t>
            </w:r>
            <w:r>
              <w:rPr>
                <w:rFonts w:hint="eastAsia" w:ascii="宋体" w:hAnsi="宋体" w:eastAsia="宋体" w:cs="宋体"/>
                <w:color w:val="auto"/>
                <w:kern w:val="0"/>
                <w:sz w:val="22"/>
                <w:szCs w:val="22"/>
                <w:highlight w:val="none"/>
              </w:rPr>
              <w:t>（</w:t>
            </w:r>
            <w:r>
              <w:rPr>
                <w:rFonts w:hint="eastAsia" w:ascii="宋体" w:hAnsi="宋体" w:eastAsia="宋体" w:cs="宋体"/>
                <w:color w:val="auto"/>
                <w:kern w:val="0"/>
                <w:sz w:val="22"/>
                <w:szCs w:val="22"/>
                <w:highlight w:val="none"/>
                <w:lang w:val="en-US" w:eastAsia="zh-CN"/>
              </w:rPr>
              <w:t>30</w:t>
            </w:r>
            <w:r>
              <w:rPr>
                <w:rFonts w:hint="eastAsia" w:ascii="宋体" w:hAnsi="宋体" w:eastAsia="宋体" w:cs="宋体"/>
                <w:color w:val="auto"/>
                <w:kern w:val="0"/>
                <w:sz w:val="22"/>
                <w:szCs w:val="22"/>
                <w:highlight w:val="none"/>
              </w:rPr>
              <w:t>分）</w:t>
            </w:r>
          </w:p>
        </w:tc>
        <w:tc>
          <w:tcPr>
            <w:tcW w:w="1789" w:type="dxa"/>
            <w:tcBorders>
              <w:top w:val="single" w:color="000000" w:sz="4" w:space="0"/>
              <w:left w:val="single" w:color="000000" w:sz="4" w:space="0"/>
              <w:bottom w:val="single" w:color="auto" w:sz="4" w:space="0"/>
              <w:right w:val="single" w:color="000000" w:sz="4" w:space="0"/>
            </w:tcBorders>
            <w:noWrap w:val="0"/>
            <w:vAlign w:val="center"/>
          </w:tcPr>
          <w:p w14:paraId="37AE8E59">
            <w:pPr>
              <w:autoSpaceDE w:val="0"/>
              <w:autoSpaceDN w:val="0"/>
              <w:adjustRightInd w:val="0"/>
              <w:ind w:right="-20"/>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lang w:val="en-US" w:eastAsia="zh-CN"/>
              </w:rPr>
              <w:t>30</w:t>
            </w:r>
            <w:r>
              <w:rPr>
                <w:rFonts w:hint="eastAsia" w:ascii="宋体" w:hAnsi="宋体" w:eastAsia="宋体" w:cs="宋体"/>
                <w:color w:val="auto"/>
                <w:kern w:val="0"/>
                <w:sz w:val="22"/>
                <w:szCs w:val="22"/>
                <w:highlight w:val="none"/>
              </w:rPr>
              <w:t>分</w:t>
            </w:r>
          </w:p>
        </w:tc>
        <w:tc>
          <w:tcPr>
            <w:tcW w:w="6375" w:type="dxa"/>
            <w:tcBorders>
              <w:top w:val="single" w:color="000000" w:sz="4" w:space="0"/>
              <w:left w:val="single" w:color="000000" w:sz="4" w:space="0"/>
              <w:bottom w:val="single" w:color="auto" w:sz="4" w:space="0"/>
              <w:right w:val="single" w:color="000000" w:sz="4" w:space="0"/>
            </w:tcBorders>
            <w:noWrap w:val="0"/>
            <w:vAlign w:val="center"/>
          </w:tcPr>
          <w:p w14:paraId="02C3BA4A">
            <w:pPr>
              <w:widowControl/>
              <w:jc w:val="left"/>
              <w:textAlignment w:val="center"/>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color w:val="auto"/>
                <w:kern w:val="0"/>
                <w:sz w:val="22"/>
                <w:szCs w:val="22"/>
                <w:highlight w:val="none"/>
                <w:lang w:val="en-US" w:eastAsia="zh-CN" w:bidi="ar"/>
              </w:rPr>
              <w:t>完全满足招标文件中要求的投标单位报价中的最低价为评标基准价。按照下列公式计算各投标人的价格得分：投标报价得分=(评标基准价／投标报价)×价格权值×100。计算分数时四舍五入取小数点后两位。</w:t>
            </w:r>
          </w:p>
        </w:tc>
      </w:tr>
      <w:tr w14:paraId="3576F7F5">
        <w:tblPrEx>
          <w:tblCellMar>
            <w:top w:w="0" w:type="dxa"/>
            <w:left w:w="0" w:type="dxa"/>
            <w:bottom w:w="0" w:type="dxa"/>
            <w:right w:w="0" w:type="dxa"/>
          </w:tblCellMar>
        </w:tblPrEx>
        <w:trPr>
          <w:trHeight w:val="2069" w:hRule="exact"/>
        </w:trPr>
        <w:tc>
          <w:tcPr>
            <w:tcW w:w="1280" w:type="dxa"/>
            <w:vMerge w:val="restart"/>
            <w:tcBorders>
              <w:top w:val="single" w:color="auto" w:sz="4" w:space="0"/>
              <w:left w:val="single" w:color="auto" w:sz="4" w:space="0"/>
              <w:right w:val="single" w:color="auto" w:sz="4" w:space="0"/>
            </w:tcBorders>
            <w:noWrap w:val="0"/>
            <w:vAlign w:val="center"/>
          </w:tcPr>
          <w:p w14:paraId="1C0C51B0">
            <w:pPr>
              <w:autoSpaceDE w:val="0"/>
              <w:autoSpaceDN w:val="0"/>
              <w:adjustRightInd w:val="0"/>
              <w:ind w:right="60"/>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技术部分</w:t>
            </w:r>
            <w:r>
              <w:rPr>
                <w:rFonts w:hint="eastAsia" w:ascii="宋体" w:hAnsi="宋体" w:eastAsia="宋体" w:cs="宋体"/>
                <w:color w:val="auto"/>
                <w:kern w:val="0"/>
                <w:sz w:val="22"/>
                <w:szCs w:val="22"/>
                <w:highlight w:val="none"/>
                <w:lang w:val="en-US" w:eastAsia="zh-CN"/>
              </w:rPr>
              <w:t xml:space="preserve"> </w:t>
            </w:r>
            <w:r>
              <w:rPr>
                <w:rFonts w:hint="eastAsia" w:ascii="宋体" w:hAnsi="宋体" w:eastAsia="宋体" w:cs="宋体"/>
                <w:color w:val="auto"/>
                <w:kern w:val="0"/>
                <w:sz w:val="22"/>
                <w:szCs w:val="22"/>
                <w:highlight w:val="none"/>
              </w:rPr>
              <w:t>（</w:t>
            </w:r>
            <w:r>
              <w:rPr>
                <w:rFonts w:hint="eastAsia" w:ascii="宋体" w:hAnsi="宋体" w:eastAsia="宋体" w:cs="宋体"/>
                <w:color w:val="auto"/>
                <w:kern w:val="0"/>
                <w:sz w:val="22"/>
                <w:szCs w:val="22"/>
                <w:highlight w:val="none"/>
                <w:lang w:val="en-US" w:eastAsia="zh-CN"/>
              </w:rPr>
              <w:t>55</w:t>
            </w:r>
            <w:r>
              <w:rPr>
                <w:rFonts w:hint="eastAsia" w:ascii="宋体" w:hAnsi="宋体" w:eastAsia="宋体" w:cs="宋体"/>
                <w:color w:val="auto"/>
                <w:kern w:val="0"/>
                <w:sz w:val="22"/>
                <w:szCs w:val="22"/>
                <w:highlight w:val="none"/>
              </w:rPr>
              <w:t>分）</w:t>
            </w:r>
          </w:p>
        </w:tc>
        <w:tc>
          <w:tcPr>
            <w:tcW w:w="1789" w:type="dxa"/>
            <w:tcBorders>
              <w:top w:val="single" w:color="auto" w:sz="4" w:space="0"/>
              <w:left w:val="single" w:color="auto" w:sz="4" w:space="0"/>
              <w:bottom w:val="single" w:color="auto" w:sz="4" w:space="0"/>
              <w:right w:val="single" w:color="auto" w:sz="4" w:space="0"/>
            </w:tcBorders>
            <w:noWrap w:val="0"/>
            <w:vAlign w:val="center"/>
          </w:tcPr>
          <w:p w14:paraId="741F2266">
            <w:pPr>
              <w:widowControl/>
              <w:jc w:val="center"/>
              <w:textAlignment w:val="center"/>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color w:val="auto"/>
                <w:kern w:val="0"/>
                <w:sz w:val="22"/>
                <w:szCs w:val="22"/>
                <w:highlight w:val="none"/>
                <w:lang w:val="en-US" w:eastAsia="zh-CN" w:bidi="ar"/>
              </w:rPr>
              <w:t>产品参数      （0-30分）</w:t>
            </w:r>
          </w:p>
        </w:tc>
        <w:tc>
          <w:tcPr>
            <w:tcW w:w="6375" w:type="dxa"/>
            <w:tcBorders>
              <w:top w:val="single" w:color="auto" w:sz="4" w:space="0"/>
              <w:left w:val="single" w:color="auto" w:sz="4" w:space="0"/>
              <w:bottom w:val="single" w:color="auto" w:sz="4" w:space="0"/>
              <w:right w:val="single" w:color="auto" w:sz="4" w:space="0"/>
            </w:tcBorders>
            <w:noWrap w:val="0"/>
            <w:vAlign w:val="center"/>
          </w:tcPr>
          <w:p w14:paraId="6867AB76">
            <w:pPr>
              <w:widowControl/>
              <w:jc w:val="left"/>
              <w:textAlignment w:val="center"/>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color w:val="auto"/>
                <w:kern w:val="0"/>
                <w:sz w:val="22"/>
                <w:szCs w:val="22"/>
                <w:highlight w:val="none"/>
                <w:lang w:val="en-US" w:eastAsia="zh-CN" w:bidi="ar"/>
              </w:rPr>
              <w:t>根据所投产品的技术参数配置与性能指标的响应程度打分，全部响应招标文件的得30分。每有一项★指标未满足招标参数的扣2分、每有一项非★指标未满足招标参数的扣1分，扣完为止。投标人应该根据自身产品情况，对所投产品进行描述，如果对招标文件中的参数进行简单的复制粘贴，该项得分为0。（★参数需提供产品彩页、检测报告或者网站截图等证明材料，并加盖制造商公章，未提供视为未满足参数要求）</w:t>
            </w:r>
          </w:p>
        </w:tc>
      </w:tr>
      <w:tr w14:paraId="53DFC851">
        <w:tblPrEx>
          <w:tblCellMar>
            <w:top w:w="0" w:type="dxa"/>
            <w:left w:w="0" w:type="dxa"/>
            <w:bottom w:w="0" w:type="dxa"/>
            <w:right w:w="0" w:type="dxa"/>
          </w:tblCellMar>
        </w:tblPrEx>
        <w:trPr>
          <w:trHeight w:val="1826" w:hRule="exact"/>
        </w:trPr>
        <w:tc>
          <w:tcPr>
            <w:tcW w:w="1280" w:type="dxa"/>
            <w:vMerge w:val="continue"/>
            <w:tcBorders>
              <w:left w:val="single" w:color="auto" w:sz="4" w:space="0"/>
              <w:right w:val="single" w:color="auto" w:sz="4" w:space="0"/>
            </w:tcBorders>
            <w:noWrap w:val="0"/>
            <w:vAlign w:val="center"/>
          </w:tcPr>
          <w:p w14:paraId="47D70C3F">
            <w:pPr>
              <w:autoSpaceDE w:val="0"/>
              <w:autoSpaceDN w:val="0"/>
              <w:adjustRightInd w:val="0"/>
              <w:ind w:right="60"/>
              <w:jc w:val="center"/>
              <w:rPr>
                <w:rFonts w:hint="eastAsia" w:ascii="宋体" w:hAnsi="宋体" w:eastAsia="宋体" w:cs="宋体"/>
                <w:color w:val="auto"/>
                <w:kern w:val="0"/>
                <w:sz w:val="22"/>
                <w:szCs w:val="22"/>
                <w:highlight w:val="none"/>
              </w:rPr>
            </w:pPr>
          </w:p>
        </w:tc>
        <w:tc>
          <w:tcPr>
            <w:tcW w:w="1789" w:type="dxa"/>
            <w:tcBorders>
              <w:top w:val="single" w:color="auto" w:sz="4" w:space="0"/>
              <w:left w:val="single" w:color="auto" w:sz="4" w:space="0"/>
              <w:bottom w:val="single" w:color="auto" w:sz="4" w:space="0"/>
              <w:right w:val="single" w:color="auto" w:sz="4" w:space="0"/>
            </w:tcBorders>
            <w:noWrap w:val="0"/>
            <w:vAlign w:val="center"/>
          </w:tcPr>
          <w:p w14:paraId="0B8B60D3">
            <w:pPr>
              <w:widowControl/>
              <w:jc w:val="center"/>
              <w:textAlignment w:val="center"/>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color w:val="auto"/>
                <w:kern w:val="0"/>
                <w:sz w:val="22"/>
                <w:szCs w:val="22"/>
                <w:highlight w:val="none"/>
                <w:lang w:val="en-US" w:eastAsia="zh-CN" w:bidi="ar"/>
              </w:rPr>
              <w:t>实施方案    （0-10分）</w:t>
            </w:r>
          </w:p>
        </w:tc>
        <w:tc>
          <w:tcPr>
            <w:tcW w:w="6375" w:type="dxa"/>
            <w:tcBorders>
              <w:top w:val="single" w:color="auto" w:sz="4" w:space="0"/>
              <w:left w:val="single" w:color="auto" w:sz="4" w:space="0"/>
              <w:bottom w:val="single" w:color="auto" w:sz="4" w:space="0"/>
              <w:right w:val="single" w:color="auto" w:sz="4" w:space="0"/>
            </w:tcBorders>
            <w:noWrap w:val="0"/>
            <w:vAlign w:val="center"/>
          </w:tcPr>
          <w:p w14:paraId="6A175878">
            <w:pPr>
              <w:widowControl/>
              <w:jc w:val="left"/>
              <w:textAlignment w:val="center"/>
              <w:rPr>
                <w:rFonts w:hint="default" w:ascii="宋体" w:hAnsi="宋体" w:eastAsia="宋体" w:cs="宋体"/>
                <w:color w:val="auto"/>
                <w:kern w:val="0"/>
                <w:sz w:val="22"/>
                <w:szCs w:val="22"/>
                <w:highlight w:val="none"/>
                <w:lang w:val="en-US" w:eastAsia="zh-CN" w:bidi="ar"/>
              </w:rPr>
            </w:pPr>
            <w:r>
              <w:rPr>
                <w:rFonts w:hint="eastAsia" w:ascii="宋体" w:hAnsi="宋体" w:eastAsia="宋体" w:cs="宋体"/>
                <w:color w:val="auto"/>
                <w:kern w:val="0"/>
                <w:sz w:val="22"/>
                <w:szCs w:val="22"/>
                <w:highlight w:val="none"/>
                <w:lang w:val="en-US" w:eastAsia="zh-CN" w:bidi="ar"/>
              </w:rPr>
              <w:t>根据各投标人对实施方案进行评审:方案中思路清晰能准确理解采购人项目需求，实施方案及组织计划优，设计合理得7-10分；方案中思路清晰能准确理解采购人项目需求，实施方案及组织计划一般，与采购人要求基本符合得4-6分；方案中思路清晰能基本准确理解采购人项目需求，实施方案及组织计划欠妥，与采购人要求偏差较大得</w:t>
            </w:r>
            <w:r>
              <w:rPr>
                <w:rFonts w:hint="eastAsia" w:ascii="宋体" w:hAnsi="宋体" w:cs="宋体"/>
                <w:color w:val="auto"/>
                <w:kern w:val="0"/>
                <w:sz w:val="22"/>
                <w:szCs w:val="22"/>
                <w:highlight w:val="none"/>
                <w:lang w:val="en-US" w:eastAsia="zh-CN" w:bidi="ar"/>
              </w:rPr>
              <w:t>1</w:t>
            </w:r>
            <w:r>
              <w:rPr>
                <w:rFonts w:hint="eastAsia" w:ascii="宋体" w:hAnsi="宋体" w:eastAsia="宋体" w:cs="宋体"/>
                <w:color w:val="auto"/>
                <w:kern w:val="0"/>
                <w:sz w:val="22"/>
                <w:szCs w:val="22"/>
                <w:highlight w:val="none"/>
                <w:lang w:val="en-US" w:eastAsia="zh-CN" w:bidi="ar"/>
              </w:rPr>
              <w:t>-3分</w:t>
            </w:r>
            <w:r>
              <w:rPr>
                <w:rFonts w:hint="eastAsia" w:ascii="宋体" w:hAnsi="宋体" w:cs="宋体"/>
                <w:color w:val="auto"/>
                <w:kern w:val="0"/>
                <w:sz w:val="22"/>
                <w:szCs w:val="22"/>
                <w:highlight w:val="none"/>
                <w:lang w:val="en-US" w:eastAsia="zh-CN" w:bidi="ar"/>
              </w:rPr>
              <w:t>，不提供不得分。</w:t>
            </w:r>
          </w:p>
        </w:tc>
      </w:tr>
      <w:tr w14:paraId="12C7C575">
        <w:tblPrEx>
          <w:tblCellMar>
            <w:top w:w="0" w:type="dxa"/>
            <w:left w:w="0" w:type="dxa"/>
            <w:bottom w:w="0" w:type="dxa"/>
            <w:right w:w="0" w:type="dxa"/>
          </w:tblCellMar>
        </w:tblPrEx>
        <w:trPr>
          <w:trHeight w:val="1566" w:hRule="exact"/>
        </w:trPr>
        <w:tc>
          <w:tcPr>
            <w:tcW w:w="1280" w:type="dxa"/>
            <w:vMerge w:val="continue"/>
            <w:tcBorders>
              <w:left w:val="single" w:color="auto" w:sz="4" w:space="0"/>
              <w:right w:val="single" w:color="auto" w:sz="4" w:space="0"/>
            </w:tcBorders>
            <w:noWrap w:val="0"/>
            <w:vAlign w:val="top"/>
          </w:tcPr>
          <w:p w14:paraId="57D98DC0">
            <w:pPr>
              <w:autoSpaceDE w:val="0"/>
              <w:autoSpaceDN w:val="0"/>
              <w:adjustRightInd w:val="0"/>
              <w:ind w:right="60"/>
              <w:jc w:val="center"/>
              <w:rPr>
                <w:rFonts w:hint="eastAsia" w:ascii="宋体" w:hAnsi="宋体" w:eastAsia="宋体" w:cs="宋体"/>
                <w:color w:val="auto"/>
                <w:kern w:val="0"/>
                <w:sz w:val="22"/>
                <w:szCs w:val="22"/>
                <w:highlight w:val="none"/>
              </w:rPr>
            </w:pPr>
          </w:p>
        </w:tc>
        <w:tc>
          <w:tcPr>
            <w:tcW w:w="1789" w:type="dxa"/>
            <w:tcBorders>
              <w:top w:val="single" w:color="auto" w:sz="4" w:space="0"/>
              <w:left w:val="single" w:color="auto" w:sz="4" w:space="0"/>
              <w:bottom w:val="single" w:color="auto" w:sz="4" w:space="0"/>
              <w:right w:val="single" w:color="auto" w:sz="4" w:space="0"/>
            </w:tcBorders>
            <w:noWrap w:val="0"/>
            <w:vAlign w:val="center"/>
          </w:tcPr>
          <w:p w14:paraId="3AC45784">
            <w:pPr>
              <w:autoSpaceDE w:val="0"/>
              <w:autoSpaceDN w:val="0"/>
              <w:adjustRightInd w:val="0"/>
              <w:ind w:right="-2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进度安排       （0-5分）</w:t>
            </w:r>
          </w:p>
        </w:tc>
        <w:tc>
          <w:tcPr>
            <w:tcW w:w="6375" w:type="dxa"/>
            <w:tcBorders>
              <w:top w:val="single" w:color="auto" w:sz="4" w:space="0"/>
              <w:left w:val="single" w:color="auto" w:sz="4" w:space="0"/>
              <w:bottom w:val="single" w:color="auto" w:sz="4" w:space="0"/>
              <w:right w:val="single" w:color="auto" w:sz="4" w:space="0"/>
            </w:tcBorders>
            <w:noWrap w:val="0"/>
            <w:vAlign w:val="center"/>
          </w:tcPr>
          <w:p w14:paraId="3F943D09">
            <w:pPr>
              <w:widowControl/>
              <w:jc w:val="left"/>
              <w:textAlignment w:val="center"/>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color w:val="auto"/>
                <w:kern w:val="0"/>
                <w:sz w:val="22"/>
                <w:szCs w:val="22"/>
                <w:highlight w:val="none"/>
                <w:lang w:val="en-US" w:eastAsia="zh-CN" w:bidi="ar"/>
              </w:rPr>
              <w:t>根据各投标人对活动的整体进度及分工安排合理性等进行评审:1、对活动的整体进度有详细计划，分工安排具有合理性、针对性的，得4-5分;2、对活动的整体进度有详细计划，分工安排没有合理性、针对性的，得1-3分;3、对活动的整体进度没有详细计划，没有分工安排，不得分。</w:t>
            </w:r>
          </w:p>
        </w:tc>
      </w:tr>
      <w:tr w14:paraId="0D390457">
        <w:tblPrEx>
          <w:tblCellMar>
            <w:top w:w="0" w:type="dxa"/>
            <w:left w:w="0" w:type="dxa"/>
            <w:bottom w:w="0" w:type="dxa"/>
            <w:right w:w="0" w:type="dxa"/>
          </w:tblCellMar>
        </w:tblPrEx>
        <w:trPr>
          <w:trHeight w:val="1077" w:hRule="exact"/>
        </w:trPr>
        <w:tc>
          <w:tcPr>
            <w:tcW w:w="1280" w:type="dxa"/>
            <w:vMerge w:val="continue"/>
            <w:tcBorders>
              <w:left w:val="single" w:color="auto" w:sz="4" w:space="0"/>
              <w:right w:val="single" w:color="auto" w:sz="4" w:space="0"/>
            </w:tcBorders>
            <w:noWrap w:val="0"/>
            <w:vAlign w:val="top"/>
          </w:tcPr>
          <w:p w14:paraId="68DA6950">
            <w:pPr>
              <w:autoSpaceDE w:val="0"/>
              <w:autoSpaceDN w:val="0"/>
              <w:adjustRightInd w:val="0"/>
              <w:ind w:right="60"/>
              <w:jc w:val="center"/>
              <w:rPr>
                <w:rFonts w:hint="eastAsia" w:ascii="宋体" w:hAnsi="宋体" w:eastAsia="宋体" w:cs="宋体"/>
                <w:color w:val="auto"/>
                <w:kern w:val="0"/>
                <w:sz w:val="22"/>
                <w:szCs w:val="22"/>
                <w:highlight w:val="none"/>
              </w:rPr>
            </w:pPr>
          </w:p>
        </w:tc>
        <w:tc>
          <w:tcPr>
            <w:tcW w:w="1789" w:type="dxa"/>
            <w:tcBorders>
              <w:top w:val="single" w:color="auto" w:sz="4" w:space="0"/>
              <w:left w:val="single" w:color="auto" w:sz="4" w:space="0"/>
              <w:bottom w:val="single" w:color="auto" w:sz="4" w:space="0"/>
              <w:right w:val="single" w:color="auto" w:sz="4" w:space="0"/>
            </w:tcBorders>
            <w:noWrap w:val="0"/>
            <w:vAlign w:val="center"/>
          </w:tcPr>
          <w:p w14:paraId="43DE8C39">
            <w:pPr>
              <w:autoSpaceDE w:val="0"/>
              <w:autoSpaceDN w:val="0"/>
              <w:adjustRightInd w:val="0"/>
              <w:ind w:right="-2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质量保证措施   （0-5分）</w:t>
            </w:r>
          </w:p>
        </w:tc>
        <w:tc>
          <w:tcPr>
            <w:tcW w:w="6375" w:type="dxa"/>
            <w:tcBorders>
              <w:top w:val="single" w:color="auto" w:sz="4" w:space="0"/>
              <w:left w:val="single" w:color="auto" w:sz="4" w:space="0"/>
              <w:bottom w:val="single" w:color="auto" w:sz="4" w:space="0"/>
              <w:right w:val="single" w:color="auto" w:sz="4" w:space="0"/>
            </w:tcBorders>
            <w:noWrap w:val="0"/>
            <w:vAlign w:val="center"/>
          </w:tcPr>
          <w:p w14:paraId="12150815">
            <w:pPr>
              <w:widowControl/>
              <w:jc w:val="left"/>
              <w:textAlignment w:val="center"/>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color w:val="auto"/>
                <w:kern w:val="0"/>
                <w:sz w:val="22"/>
                <w:szCs w:val="22"/>
                <w:highlight w:val="none"/>
                <w:lang w:val="en-US" w:eastAsia="zh-CN" w:bidi="ar"/>
              </w:rPr>
              <w:t>投标人按照要求有明确的质量保证目标，保证措施具体、明确、可行针对性强、各项措施易操作落实。优得4-5分；良得2-3分；一般得1分；不提供得0分。</w:t>
            </w:r>
          </w:p>
        </w:tc>
      </w:tr>
      <w:tr w14:paraId="691F6DAD">
        <w:tblPrEx>
          <w:tblCellMar>
            <w:top w:w="0" w:type="dxa"/>
            <w:left w:w="0" w:type="dxa"/>
            <w:bottom w:w="0" w:type="dxa"/>
            <w:right w:w="0" w:type="dxa"/>
          </w:tblCellMar>
        </w:tblPrEx>
        <w:trPr>
          <w:trHeight w:val="959" w:hRule="exact"/>
        </w:trPr>
        <w:tc>
          <w:tcPr>
            <w:tcW w:w="1280" w:type="dxa"/>
            <w:vMerge w:val="continue"/>
            <w:tcBorders>
              <w:left w:val="single" w:color="auto" w:sz="4" w:space="0"/>
              <w:bottom w:val="single" w:color="auto" w:sz="4" w:space="0"/>
              <w:right w:val="single" w:color="auto" w:sz="4" w:space="0"/>
            </w:tcBorders>
            <w:noWrap w:val="0"/>
            <w:vAlign w:val="top"/>
          </w:tcPr>
          <w:p w14:paraId="27EC94A9">
            <w:pPr>
              <w:autoSpaceDE w:val="0"/>
              <w:autoSpaceDN w:val="0"/>
              <w:adjustRightInd w:val="0"/>
              <w:ind w:right="60"/>
              <w:jc w:val="center"/>
              <w:rPr>
                <w:rFonts w:hint="eastAsia" w:ascii="宋体" w:hAnsi="宋体" w:eastAsia="宋体" w:cs="宋体"/>
                <w:color w:val="auto"/>
                <w:kern w:val="0"/>
                <w:sz w:val="22"/>
                <w:szCs w:val="22"/>
                <w:highlight w:val="none"/>
              </w:rPr>
            </w:pPr>
          </w:p>
        </w:tc>
        <w:tc>
          <w:tcPr>
            <w:tcW w:w="1789" w:type="dxa"/>
            <w:tcBorders>
              <w:top w:val="single" w:color="auto" w:sz="4" w:space="0"/>
              <w:left w:val="single" w:color="auto" w:sz="4" w:space="0"/>
              <w:bottom w:val="single" w:color="auto" w:sz="4" w:space="0"/>
              <w:right w:val="single" w:color="auto" w:sz="4" w:space="0"/>
            </w:tcBorders>
            <w:noWrap w:val="0"/>
            <w:vAlign w:val="center"/>
          </w:tcPr>
          <w:p w14:paraId="49037279">
            <w:pPr>
              <w:autoSpaceDE w:val="0"/>
              <w:autoSpaceDN w:val="0"/>
              <w:adjustRightInd w:val="0"/>
              <w:ind w:right="-2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 xml:space="preserve">备品备件       （0-5分）   </w:t>
            </w:r>
          </w:p>
        </w:tc>
        <w:tc>
          <w:tcPr>
            <w:tcW w:w="6375" w:type="dxa"/>
            <w:tcBorders>
              <w:top w:val="single" w:color="auto" w:sz="4" w:space="0"/>
              <w:left w:val="single" w:color="auto" w:sz="4" w:space="0"/>
              <w:bottom w:val="single" w:color="auto" w:sz="4" w:space="0"/>
              <w:right w:val="single" w:color="auto" w:sz="4" w:space="0"/>
            </w:tcBorders>
            <w:noWrap w:val="0"/>
            <w:vAlign w:val="center"/>
          </w:tcPr>
          <w:p w14:paraId="7B8169D6">
            <w:pPr>
              <w:keepNext w:val="0"/>
              <w:keepLines w:val="0"/>
              <w:widowControl/>
              <w:suppressLineNumbers w:val="0"/>
              <w:jc w:val="left"/>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color w:val="auto"/>
                <w:kern w:val="0"/>
                <w:sz w:val="22"/>
                <w:szCs w:val="22"/>
                <w:highlight w:val="none"/>
                <w:lang w:val="en-US" w:eastAsia="zh-CN" w:bidi="ar"/>
              </w:rPr>
              <w:t>针对各投标人的投标产品所能提供的易损易坏部件、以及所提供的备品备件的品种、数量或其他优惠条件等进行评审，优得4-5分；良得2-3分；一般得1分；不提供得0分。</w:t>
            </w:r>
          </w:p>
        </w:tc>
      </w:tr>
      <w:tr w14:paraId="559AEDAD">
        <w:tblPrEx>
          <w:tblCellMar>
            <w:top w:w="0" w:type="dxa"/>
            <w:left w:w="0" w:type="dxa"/>
            <w:bottom w:w="0" w:type="dxa"/>
            <w:right w:w="0" w:type="dxa"/>
          </w:tblCellMar>
        </w:tblPrEx>
        <w:trPr>
          <w:trHeight w:val="1331" w:hRule="exact"/>
        </w:trPr>
        <w:tc>
          <w:tcPr>
            <w:tcW w:w="1280" w:type="dxa"/>
            <w:vMerge w:val="restart"/>
            <w:tcBorders>
              <w:top w:val="single" w:color="auto" w:sz="4" w:space="0"/>
              <w:left w:val="single" w:color="auto" w:sz="4" w:space="0"/>
              <w:right w:val="single" w:color="auto" w:sz="4" w:space="0"/>
            </w:tcBorders>
            <w:noWrap w:val="0"/>
            <w:vAlign w:val="center"/>
          </w:tcPr>
          <w:p w14:paraId="6A086208">
            <w:pPr>
              <w:autoSpaceDE w:val="0"/>
              <w:autoSpaceDN w:val="0"/>
              <w:adjustRightInd w:val="0"/>
              <w:ind w:right="60"/>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商务部分</w:t>
            </w:r>
          </w:p>
          <w:p w14:paraId="70225D70">
            <w:pPr>
              <w:autoSpaceDE w:val="0"/>
              <w:autoSpaceDN w:val="0"/>
              <w:adjustRightInd w:val="0"/>
              <w:ind w:right="60" w:rightChars="0"/>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w:t>
            </w:r>
            <w:r>
              <w:rPr>
                <w:rFonts w:hint="eastAsia" w:ascii="宋体" w:hAnsi="宋体" w:eastAsia="宋体" w:cs="宋体"/>
                <w:color w:val="auto"/>
                <w:kern w:val="0"/>
                <w:sz w:val="22"/>
                <w:szCs w:val="22"/>
                <w:highlight w:val="none"/>
                <w:lang w:val="en-US" w:eastAsia="zh-CN"/>
              </w:rPr>
              <w:t>15</w:t>
            </w:r>
            <w:r>
              <w:rPr>
                <w:rFonts w:hint="eastAsia" w:ascii="宋体" w:hAnsi="宋体" w:eastAsia="宋体" w:cs="宋体"/>
                <w:color w:val="auto"/>
                <w:kern w:val="0"/>
                <w:sz w:val="22"/>
                <w:szCs w:val="22"/>
                <w:highlight w:val="none"/>
              </w:rPr>
              <w:t>分）</w:t>
            </w:r>
          </w:p>
        </w:tc>
        <w:tc>
          <w:tcPr>
            <w:tcW w:w="1789" w:type="dxa"/>
            <w:tcBorders>
              <w:top w:val="single" w:color="auto" w:sz="4" w:space="0"/>
              <w:left w:val="single" w:color="auto" w:sz="4" w:space="0"/>
              <w:bottom w:val="single" w:color="auto" w:sz="4" w:space="0"/>
              <w:right w:val="single" w:color="auto" w:sz="4" w:space="0"/>
            </w:tcBorders>
            <w:noWrap w:val="0"/>
            <w:vAlign w:val="center"/>
          </w:tcPr>
          <w:p w14:paraId="72BFFE60">
            <w:pPr>
              <w:autoSpaceDE w:val="0"/>
              <w:autoSpaceDN w:val="0"/>
              <w:adjustRightInd w:val="0"/>
              <w:spacing w:before="65"/>
              <w:ind w:right="120" w:rightChars="0"/>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lang w:val="en-US" w:eastAsia="zh-CN"/>
              </w:rPr>
              <w:t xml:space="preserve">售后服务        </w:t>
            </w:r>
            <w:r>
              <w:rPr>
                <w:rFonts w:hint="eastAsia" w:ascii="宋体" w:hAnsi="宋体" w:eastAsia="宋体" w:cs="宋体"/>
                <w:color w:val="auto"/>
                <w:kern w:val="0"/>
                <w:sz w:val="22"/>
                <w:szCs w:val="22"/>
                <w:highlight w:val="none"/>
              </w:rPr>
              <w:t>（0-</w:t>
            </w:r>
            <w:r>
              <w:rPr>
                <w:rFonts w:hint="eastAsia" w:ascii="宋体" w:hAnsi="宋体" w:cs="宋体"/>
                <w:color w:val="auto"/>
                <w:kern w:val="0"/>
                <w:sz w:val="22"/>
                <w:szCs w:val="22"/>
                <w:highlight w:val="none"/>
                <w:lang w:val="en-US" w:eastAsia="zh-CN"/>
              </w:rPr>
              <w:t>9</w:t>
            </w:r>
            <w:r>
              <w:rPr>
                <w:rFonts w:hint="eastAsia" w:ascii="宋体" w:hAnsi="宋体" w:eastAsia="宋体" w:cs="宋体"/>
                <w:color w:val="auto"/>
                <w:kern w:val="0"/>
                <w:sz w:val="22"/>
                <w:szCs w:val="22"/>
                <w:highlight w:val="none"/>
              </w:rPr>
              <w:t>分）</w:t>
            </w:r>
          </w:p>
        </w:tc>
        <w:tc>
          <w:tcPr>
            <w:tcW w:w="6375" w:type="dxa"/>
            <w:tcBorders>
              <w:top w:val="single" w:color="auto" w:sz="4" w:space="0"/>
              <w:left w:val="single" w:color="auto" w:sz="4" w:space="0"/>
              <w:bottom w:val="single" w:color="auto" w:sz="4" w:space="0"/>
              <w:right w:val="single" w:color="auto" w:sz="4" w:space="0"/>
            </w:tcBorders>
            <w:noWrap w:val="0"/>
            <w:vAlign w:val="center"/>
          </w:tcPr>
          <w:p w14:paraId="065D6FFC">
            <w:pPr>
              <w:autoSpaceDE w:val="0"/>
              <w:autoSpaceDN w:val="0"/>
              <w:adjustRightInd w:val="0"/>
              <w:spacing w:before="65"/>
              <w:ind w:right="120" w:rightChars="0"/>
              <w:jc w:val="both"/>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sz w:val="22"/>
                <w:szCs w:val="22"/>
                <w:highlight w:val="none"/>
                <w:lang w:eastAsia="zh-CN"/>
              </w:rPr>
              <w:t>对投标人</w:t>
            </w:r>
            <w:r>
              <w:rPr>
                <w:rFonts w:hint="eastAsia" w:ascii="宋体" w:hAnsi="宋体" w:eastAsia="宋体" w:cs="宋体"/>
                <w:color w:val="auto"/>
                <w:sz w:val="22"/>
                <w:szCs w:val="22"/>
                <w:highlight w:val="none"/>
              </w:rPr>
              <w:t>根据</w:t>
            </w:r>
            <w:r>
              <w:rPr>
                <w:rFonts w:hint="eastAsia" w:ascii="宋体" w:hAnsi="宋体" w:eastAsia="宋体" w:cs="宋体"/>
                <w:color w:val="auto"/>
                <w:sz w:val="22"/>
                <w:szCs w:val="22"/>
                <w:highlight w:val="none"/>
                <w:lang w:eastAsia="zh-CN"/>
              </w:rPr>
              <w:t>本项目</w:t>
            </w:r>
            <w:r>
              <w:rPr>
                <w:rFonts w:hint="eastAsia" w:ascii="宋体" w:hAnsi="宋体" w:eastAsia="宋体" w:cs="宋体"/>
                <w:color w:val="auto"/>
                <w:sz w:val="22"/>
                <w:szCs w:val="22"/>
                <w:highlight w:val="none"/>
              </w:rPr>
              <w:t>所提供的售后服务方案进行分，售后方案内容详实，科学合理的得</w:t>
            </w:r>
            <w:r>
              <w:rPr>
                <w:rFonts w:hint="eastAsia" w:ascii="宋体" w:hAnsi="宋体" w:cs="宋体"/>
                <w:color w:val="auto"/>
                <w:sz w:val="22"/>
                <w:szCs w:val="22"/>
                <w:highlight w:val="none"/>
                <w:lang w:val="en-US" w:eastAsia="zh-CN"/>
              </w:rPr>
              <w:t>7</w:t>
            </w:r>
            <w:r>
              <w:rPr>
                <w:rFonts w:hint="eastAsia" w:ascii="宋体" w:hAnsi="宋体" w:eastAsia="宋体" w:cs="宋体"/>
                <w:color w:val="auto"/>
                <w:sz w:val="22"/>
                <w:szCs w:val="22"/>
                <w:highlight w:val="none"/>
                <w:lang w:val="en-US" w:eastAsia="zh-CN"/>
              </w:rPr>
              <w:t>-</w:t>
            </w:r>
            <w:r>
              <w:rPr>
                <w:rFonts w:hint="eastAsia" w:ascii="宋体" w:hAnsi="宋体" w:cs="宋体"/>
                <w:color w:val="auto"/>
                <w:sz w:val="22"/>
                <w:szCs w:val="22"/>
                <w:highlight w:val="none"/>
                <w:lang w:val="en-US" w:eastAsia="zh-CN"/>
              </w:rPr>
              <w:t>9</w:t>
            </w:r>
            <w:r>
              <w:rPr>
                <w:rFonts w:hint="eastAsia" w:ascii="宋体" w:hAnsi="宋体" w:eastAsia="宋体" w:cs="宋体"/>
                <w:color w:val="auto"/>
                <w:sz w:val="22"/>
                <w:szCs w:val="22"/>
                <w:highlight w:val="none"/>
              </w:rPr>
              <w:t>分。售后方案内容较为详实，较为科学合理的得</w:t>
            </w:r>
            <w:r>
              <w:rPr>
                <w:rFonts w:hint="eastAsia" w:ascii="宋体" w:hAnsi="宋体" w:cs="宋体"/>
                <w:color w:val="auto"/>
                <w:sz w:val="22"/>
                <w:szCs w:val="22"/>
                <w:highlight w:val="none"/>
                <w:lang w:val="en-US" w:eastAsia="zh-CN"/>
              </w:rPr>
              <w:t>4</w:t>
            </w:r>
            <w:r>
              <w:rPr>
                <w:rFonts w:hint="eastAsia" w:ascii="宋体" w:hAnsi="宋体" w:eastAsia="宋体" w:cs="宋体"/>
                <w:color w:val="auto"/>
                <w:sz w:val="22"/>
                <w:szCs w:val="22"/>
                <w:highlight w:val="none"/>
                <w:lang w:val="en-US" w:eastAsia="zh-CN"/>
              </w:rPr>
              <w:t>-</w:t>
            </w:r>
            <w:r>
              <w:rPr>
                <w:rFonts w:hint="eastAsia" w:ascii="宋体" w:hAnsi="宋体" w:cs="宋体"/>
                <w:color w:val="auto"/>
                <w:sz w:val="22"/>
                <w:szCs w:val="22"/>
                <w:highlight w:val="none"/>
                <w:lang w:val="en-US" w:eastAsia="zh-CN"/>
              </w:rPr>
              <w:t>6</w:t>
            </w:r>
            <w:r>
              <w:rPr>
                <w:rFonts w:hint="eastAsia" w:ascii="宋体" w:hAnsi="宋体" w:eastAsia="宋体" w:cs="宋体"/>
                <w:color w:val="auto"/>
                <w:sz w:val="22"/>
                <w:szCs w:val="22"/>
                <w:highlight w:val="none"/>
              </w:rPr>
              <w:t>分；售后方案内容简单科学性、合理性一般的得</w:t>
            </w:r>
            <w:r>
              <w:rPr>
                <w:rFonts w:hint="eastAsia" w:ascii="宋体" w:hAnsi="宋体" w:eastAsia="宋体" w:cs="宋体"/>
                <w:color w:val="auto"/>
                <w:sz w:val="22"/>
                <w:szCs w:val="22"/>
                <w:highlight w:val="none"/>
                <w:lang w:val="en-US" w:eastAsia="zh-CN"/>
              </w:rPr>
              <w:t>1-</w:t>
            </w:r>
            <w:r>
              <w:rPr>
                <w:rFonts w:hint="eastAsia" w:ascii="宋体" w:hAnsi="宋体" w:cs="宋体"/>
                <w:color w:val="auto"/>
                <w:sz w:val="22"/>
                <w:szCs w:val="22"/>
                <w:highlight w:val="none"/>
                <w:lang w:val="en-US" w:eastAsia="zh-CN"/>
              </w:rPr>
              <w:t>3</w:t>
            </w:r>
            <w:r>
              <w:rPr>
                <w:rFonts w:hint="eastAsia" w:ascii="宋体" w:hAnsi="宋体" w:eastAsia="宋体" w:cs="宋体"/>
                <w:color w:val="auto"/>
                <w:sz w:val="22"/>
                <w:szCs w:val="22"/>
                <w:highlight w:val="none"/>
              </w:rPr>
              <w:t>分。未提供售后方案的不得分</w:t>
            </w:r>
            <w:r>
              <w:rPr>
                <w:rFonts w:hint="eastAsia" w:ascii="宋体" w:hAnsi="宋体" w:eastAsia="宋体" w:cs="宋体"/>
                <w:color w:val="auto"/>
                <w:sz w:val="22"/>
                <w:szCs w:val="22"/>
                <w:highlight w:val="none"/>
                <w:lang w:eastAsia="zh-CN"/>
              </w:rPr>
              <w:t>。</w:t>
            </w:r>
          </w:p>
          <w:p w14:paraId="61BD1093">
            <w:pPr>
              <w:autoSpaceDE w:val="0"/>
              <w:autoSpaceDN w:val="0"/>
              <w:adjustRightInd w:val="0"/>
              <w:spacing w:before="65"/>
              <w:ind w:right="120" w:rightChars="0"/>
              <w:jc w:val="both"/>
              <w:rPr>
                <w:rFonts w:hint="eastAsia" w:ascii="宋体" w:hAnsi="宋体" w:eastAsia="宋体" w:cs="宋体"/>
                <w:color w:val="auto"/>
                <w:kern w:val="0"/>
                <w:sz w:val="22"/>
                <w:szCs w:val="22"/>
                <w:highlight w:val="none"/>
                <w:lang w:val="en-US" w:eastAsia="zh-CN" w:bidi="ar"/>
              </w:rPr>
            </w:pPr>
          </w:p>
        </w:tc>
      </w:tr>
      <w:tr w14:paraId="24E5E6AB">
        <w:tblPrEx>
          <w:tblCellMar>
            <w:top w:w="0" w:type="dxa"/>
            <w:left w:w="0" w:type="dxa"/>
            <w:bottom w:w="0" w:type="dxa"/>
            <w:right w:w="0" w:type="dxa"/>
          </w:tblCellMar>
        </w:tblPrEx>
        <w:trPr>
          <w:trHeight w:val="1031" w:hRule="exact"/>
        </w:trPr>
        <w:tc>
          <w:tcPr>
            <w:tcW w:w="1280" w:type="dxa"/>
            <w:vMerge w:val="continue"/>
            <w:tcBorders>
              <w:left w:val="single" w:color="auto" w:sz="4" w:space="0"/>
              <w:bottom w:val="single" w:color="auto" w:sz="4" w:space="0"/>
              <w:right w:val="single" w:color="auto" w:sz="4" w:space="0"/>
            </w:tcBorders>
            <w:noWrap w:val="0"/>
            <w:vAlign w:val="top"/>
          </w:tcPr>
          <w:p w14:paraId="00E282CA">
            <w:pPr>
              <w:autoSpaceDE w:val="0"/>
              <w:autoSpaceDN w:val="0"/>
              <w:adjustRightInd w:val="0"/>
              <w:ind w:left="2082" w:leftChars="0" w:right="2063" w:rightChars="0"/>
              <w:jc w:val="center"/>
              <w:rPr>
                <w:rFonts w:hint="eastAsia" w:ascii="宋体" w:hAnsi="宋体" w:eastAsia="宋体" w:cs="宋体"/>
                <w:color w:val="auto"/>
                <w:kern w:val="0"/>
                <w:sz w:val="22"/>
                <w:szCs w:val="22"/>
                <w:highlight w:val="none"/>
              </w:rPr>
            </w:pPr>
          </w:p>
        </w:tc>
        <w:tc>
          <w:tcPr>
            <w:tcW w:w="1789" w:type="dxa"/>
            <w:tcBorders>
              <w:top w:val="single" w:color="auto" w:sz="4" w:space="0"/>
              <w:left w:val="single" w:color="auto" w:sz="4" w:space="0"/>
              <w:bottom w:val="single" w:color="auto" w:sz="4" w:space="0"/>
              <w:right w:val="single" w:color="auto" w:sz="4" w:space="0"/>
            </w:tcBorders>
            <w:noWrap w:val="0"/>
            <w:vAlign w:val="center"/>
          </w:tcPr>
          <w:p w14:paraId="0AEF0F1C">
            <w:pPr>
              <w:autoSpaceDE w:val="0"/>
              <w:autoSpaceDN w:val="0"/>
              <w:adjustRightInd w:val="0"/>
              <w:spacing w:before="65"/>
              <w:ind w:right="120" w:rightChars="0"/>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lang w:val="en-US" w:eastAsia="zh-CN"/>
              </w:rPr>
              <w:t xml:space="preserve">业绩        </w:t>
            </w:r>
            <w:r>
              <w:rPr>
                <w:rFonts w:hint="eastAsia" w:ascii="宋体" w:hAnsi="宋体" w:eastAsia="宋体" w:cs="宋体"/>
                <w:color w:val="auto"/>
                <w:kern w:val="0"/>
                <w:sz w:val="22"/>
                <w:szCs w:val="22"/>
                <w:highlight w:val="none"/>
              </w:rPr>
              <w:t>（0-</w:t>
            </w:r>
            <w:r>
              <w:rPr>
                <w:rFonts w:hint="eastAsia" w:ascii="宋体" w:hAnsi="宋体" w:cs="宋体"/>
                <w:color w:val="auto"/>
                <w:kern w:val="0"/>
                <w:sz w:val="22"/>
                <w:szCs w:val="22"/>
                <w:highlight w:val="none"/>
                <w:lang w:val="en-US" w:eastAsia="zh-CN"/>
              </w:rPr>
              <w:t>6</w:t>
            </w:r>
            <w:r>
              <w:rPr>
                <w:rFonts w:hint="eastAsia" w:ascii="宋体" w:hAnsi="宋体" w:eastAsia="宋体" w:cs="宋体"/>
                <w:color w:val="auto"/>
                <w:kern w:val="0"/>
                <w:sz w:val="22"/>
                <w:szCs w:val="22"/>
                <w:highlight w:val="none"/>
              </w:rPr>
              <w:t>分）</w:t>
            </w:r>
          </w:p>
        </w:tc>
        <w:tc>
          <w:tcPr>
            <w:tcW w:w="6375" w:type="dxa"/>
            <w:tcBorders>
              <w:top w:val="single" w:color="auto" w:sz="4" w:space="0"/>
              <w:left w:val="single" w:color="auto" w:sz="4" w:space="0"/>
              <w:bottom w:val="single" w:color="auto" w:sz="4" w:space="0"/>
              <w:right w:val="single" w:color="auto" w:sz="4" w:space="0"/>
            </w:tcBorders>
            <w:noWrap w:val="0"/>
            <w:vAlign w:val="center"/>
          </w:tcPr>
          <w:p w14:paraId="7C523636">
            <w:pPr>
              <w:autoSpaceDE w:val="0"/>
              <w:autoSpaceDN w:val="0"/>
              <w:adjustRightInd w:val="0"/>
              <w:spacing w:before="65"/>
              <w:ind w:right="120" w:rightChars="0"/>
              <w:jc w:val="both"/>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每提供类似业绩一个得2分，满分</w:t>
            </w:r>
            <w:r>
              <w:rPr>
                <w:rFonts w:hint="eastAsia" w:ascii="宋体" w:hAnsi="宋体" w:cs="宋体"/>
                <w:color w:val="auto"/>
                <w:sz w:val="22"/>
                <w:szCs w:val="22"/>
                <w:highlight w:val="none"/>
                <w:lang w:val="en-US" w:eastAsia="zh-CN"/>
              </w:rPr>
              <w:t>6</w:t>
            </w:r>
            <w:r>
              <w:rPr>
                <w:rFonts w:hint="eastAsia" w:ascii="宋体" w:hAnsi="宋体" w:eastAsia="宋体" w:cs="宋体"/>
                <w:color w:val="auto"/>
                <w:sz w:val="22"/>
                <w:szCs w:val="22"/>
                <w:highlight w:val="none"/>
                <w:lang w:val="en-US" w:eastAsia="zh-CN"/>
              </w:rPr>
              <w:t>分。</w:t>
            </w:r>
          </w:p>
          <w:p w14:paraId="73D2C0B7">
            <w:pPr>
              <w:autoSpaceDE w:val="0"/>
              <w:autoSpaceDN w:val="0"/>
              <w:adjustRightInd w:val="0"/>
              <w:spacing w:before="65"/>
              <w:ind w:right="120" w:rightChars="0"/>
              <w:jc w:val="both"/>
              <w:rPr>
                <w:rFonts w:hint="eastAsia" w:ascii="宋体" w:hAnsi="宋体" w:eastAsia="宋体" w:cs="宋体"/>
                <w:color w:val="auto"/>
                <w:kern w:val="0"/>
                <w:sz w:val="22"/>
                <w:szCs w:val="22"/>
                <w:highlight w:val="none"/>
                <w:lang w:val="en-US" w:eastAsia="zh-CN" w:bidi="ar"/>
              </w:rPr>
            </w:pPr>
            <w:r>
              <w:rPr>
                <w:rFonts w:hint="eastAsia" w:ascii="宋体" w:hAnsi="宋体" w:eastAsia="宋体" w:cs="宋体"/>
                <w:color w:val="auto"/>
                <w:sz w:val="22"/>
                <w:szCs w:val="22"/>
                <w:highlight w:val="none"/>
                <w:lang w:val="en-US" w:eastAsia="zh-CN"/>
              </w:rPr>
              <w:t>说明：项目业绩以合同或中标通知书为准，分包、转包或劳务合作项目无效。</w:t>
            </w:r>
          </w:p>
        </w:tc>
      </w:tr>
    </w:tbl>
    <w:p w14:paraId="1CEB2636">
      <w:pPr>
        <w:rPr>
          <w:rFonts w:hint="eastAsia" w:ascii="宋体" w:hAnsi="宋体" w:eastAsia="宋体" w:cs="宋体"/>
          <w:color w:val="auto"/>
          <w:highlight w:val="none"/>
        </w:rPr>
        <w:sectPr>
          <w:footerReference r:id="rId13" w:type="default"/>
          <w:pgSz w:w="11906" w:h="16838"/>
          <w:pgMar w:top="1701" w:right="1701" w:bottom="1701" w:left="1701" w:header="851" w:footer="851" w:gutter="0"/>
          <w:pgBorders>
            <w:top w:val="none" w:sz="0" w:space="0"/>
            <w:left w:val="none" w:sz="0" w:space="0"/>
            <w:bottom w:val="none" w:sz="0" w:space="0"/>
            <w:right w:val="none" w:sz="0" w:space="0"/>
          </w:pgBorders>
          <w:pgNumType w:fmt="decimal"/>
          <w:cols w:space="720" w:num="1"/>
          <w:docGrid w:type="lines" w:linePitch="312" w:charSpace="0"/>
        </w:sectPr>
      </w:pPr>
    </w:p>
    <w:p w14:paraId="4DF9852A">
      <w:pPr>
        <w:rPr>
          <w:rFonts w:hint="eastAsia" w:ascii="宋体" w:hAnsi="宋体" w:eastAsia="宋体" w:cs="宋体"/>
          <w:color w:val="auto"/>
          <w:highlight w:val="none"/>
        </w:rPr>
      </w:pPr>
      <w:bookmarkStart w:id="376" w:name="_Toc507399904"/>
    </w:p>
    <w:p w14:paraId="7AFFEE16">
      <w:pPr>
        <w:pStyle w:val="2"/>
        <w:numPr>
          <w:ilvl w:val="0"/>
          <w:numId w:val="0"/>
        </w:numPr>
        <w:spacing w:before="0" w:after="0" w:line="240" w:lineRule="atLeast"/>
        <w:ind w:left="-15" w:leftChars="0"/>
        <w:jc w:val="center"/>
        <w:rPr>
          <w:rFonts w:hint="eastAsia" w:ascii="宋体" w:hAnsi="宋体" w:eastAsia="宋体" w:cs="宋体"/>
          <w:strike w:val="0"/>
          <w:dstrike w:val="0"/>
          <w:color w:val="auto"/>
          <w:highlight w:val="none"/>
        </w:rPr>
      </w:pPr>
      <w:bookmarkStart w:id="377" w:name="_Toc515647833"/>
      <w:bookmarkStart w:id="378" w:name="_Toc4337"/>
      <w:bookmarkStart w:id="379" w:name="_Toc6865"/>
      <w:bookmarkStart w:id="380" w:name="_Toc4796"/>
      <w:bookmarkStart w:id="381" w:name="_Toc16468"/>
      <w:r>
        <w:rPr>
          <w:rFonts w:hint="eastAsia" w:ascii="宋体" w:hAnsi="宋体" w:eastAsia="宋体" w:cs="宋体"/>
          <w:strike w:val="0"/>
          <w:dstrike w:val="0"/>
          <w:color w:val="auto"/>
          <w:highlight w:val="none"/>
          <w:lang w:eastAsia="zh-CN"/>
        </w:rPr>
        <w:t>第</w:t>
      </w:r>
      <w:r>
        <w:rPr>
          <w:rFonts w:hint="eastAsia" w:ascii="宋体" w:hAnsi="宋体" w:eastAsia="宋体" w:cs="宋体"/>
          <w:strike w:val="0"/>
          <w:dstrike w:val="0"/>
          <w:color w:val="auto"/>
          <w:highlight w:val="none"/>
          <w:lang w:val="en-US" w:eastAsia="zh-CN"/>
        </w:rPr>
        <w:t>7</w:t>
      </w:r>
      <w:r>
        <w:rPr>
          <w:rFonts w:hint="eastAsia" w:ascii="宋体" w:hAnsi="宋体" w:eastAsia="宋体" w:cs="宋体"/>
          <w:strike w:val="0"/>
          <w:dstrike w:val="0"/>
          <w:color w:val="auto"/>
          <w:highlight w:val="none"/>
          <w:lang w:eastAsia="zh-CN"/>
        </w:rPr>
        <w:t>章</w:t>
      </w:r>
      <w:r>
        <w:rPr>
          <w:rFonts w:hint="eastAsia" w:ascii="宋体" w:hAnsi="宋体" w:eastAsia="宋体" w:cs="宋体"/>
          <w:strike w:val="0"/>
          <w:dstrike w:val="0"/>
          <w:color w:val="auto"/>
          <w:highlight w:val="none"/>
          <w:lang w:val="en-US" w:eastAsia="zh-CN"/>
        </w:rPr>
        <w:t xml:space="preserve"> </w:t>
      </w:r>
      <w:bookmarkEnd w:id="376"/>
      <w:bookmarkEnd w:id="377"/>
      <w:bookmarkEnd w:id="378"/>
      <w:bookmarkEnd w:id="379"/>
      <w:bookmarkEnd w:id="380"/>
      <w:bookmarkEnd w:id="381"/>
      <w:r>
        <w:rPr>
          <w:rFonts w:hint="eastAsia" w:ascii="宋体" w:hAnsi="宋体" w:eastAsia="宋体" w:cs="宋体"/>
          <w:strike w:val="0"/>
          <w:dstrike w:val="0"/>
          <w:color w:val="auto"/>
          <w:highlight w:val="none"/>
        </w:rPr>
        <w:t>政府采购合同</w:t>
      </w:r>
      <w:bookmarkStart w:id="382" w:name="_Hlt487972895"/>
      <w:bookmarkEnd w:id="382"/>
      <w:bookmarkStart w:id="383" w:name="_Toc216513788"/>
      <w:bookmarkStart w:id="384" w:name="_Toc487900382"/>
    </w:p>
    <w:bookmarkEnd w:id="383"/>
    <w:bookmarkEnd w:id="384"/>
    <w:p w14:paraId="66C732A2">
      <w:pPr>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合同编号：</w:t>
      </w:r>
      <w:r>
        <w:rPr>
          <w:rFonts w:hint="eastAsia" w:ascii="宋体" w:hAnsi="宋体" w:eastAsia="宋体" w:cs="宋体"/>
          <w:color w:val="auto"/>
          <w:sz w:val="24"/>
          <w:highlight w:val="none"/>
          <w:u w:val="single"/>
        </w:rPr>
        <w:t xml:space="preserve">           </w:t>
      </w:r>
    </w:p>
    <w:p w14:paraId="18A995F7">
      <w:pPr>
        <w:spacing w:line="480" w:lineRule="auto"/>
        <w:jc w:val="center"/>
        <w:rPr>
          <w:rFonts w:hint="eastAsia" w:ascii="宋体" w:hAnsi="宋体" w:eastAsia="宋体" w:cs="宋体"/>
          <w:b/>
          <w:color w:val="auto"/>
          <w:sz w:val="28"/>
          <w:szCs w:val="28"/>
          <w:highlight w:val="none"/>
        </w:rPr>
      </w:pPr>
    </w:p>
    <w:p w14:paraId="14BAF497">
      <w:pPr>
        <w:spacing w:line="480" w:lineRule="auto"/>
        <w:jc w:val="center"/>
        <w:rPr>
          <w:rFonts w:hint="eastAsia" w:ascii="宋体" w:hAnsi="宋体" w:eastAsia="宋体" w:cs="宋体"/>
          <w:b/>
          <w:color w:val="auto"/>
          <w:sz w:val="28"/>
          <w:szCs w:val="28"/>
          <w:highlight w:val="none"/>
        </w:rPr>
      </w:pPr>
    </w:p>
    <w:p w14:paraId="317D3359">
      <w:pPr>
        <w:spacing w:line="480" w:lineRule="auto"/>
        <w:jc w:val="center"/>
        <w:rPr>
          <w:rFonts w:hint="eastAsia" w:ascii="宋体" w:hAnsi="宋体" w:eastAsia="宋体" w:cs="宋体"/>
          <w:b/>
          <w:color w:val="auto"/>
          <w:sz w:val="28"/>
          <w:szCs w:val="28"/>
          <w:highlight w:val="none"/>
        </w:rPr>
      </w:pPr>
    </w:p>
    <w:p w14:paraId="40A13C00">
      <w:pPr>
        <w:spacing w:line="48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政府采购合同参考范本</w:t>
      </w:r>
    </w:p>
    <w:p w14:paraId="04DC8338">
      <w:pPr>
        <w:spacing w:line="48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（货物类）</w:t>
      </w:r>
    </w:p>
    <w:p w14:paraId="0E873AEA">
      <w:pPr>
        <w:pStyle w:val="62"/>
        <w:ind w:firstLine="0"/>
        <w:rPr>
          <w:rFonts w:hint="eastAsia" w:ascii="宋体" w:hAnsi="宋体" w:eastAsia="宋体" w:cs="宋体"/>
          <w:color w:val="auto"/>
          <w:szCs w:val="24"/>
          <w:highlight w:val="none"/>
        </w:rPr>
      </w:pPr>
    </w:p>
    <w:p w14:paraId="4A344BDF">
      <w:pPr>
        <w:pStyle w:val="62"/>
        <w:ind w:firstLine="0"/>
        <w:rPr>
          <w:rFonts w:hint="eastAsia" w:ascii="宋体" w:hAnsi="宋体" w:eastAsia="宋体" w:cs="宋体"/>
          <w:color w:val="auto"/>
          <w:szCs w:val="24"/>
          <w:highlight w:val="none"/>
        </w:rPr>
      </w:pPr>
    </w:p>
    <w:p w14:paraId="018DC3C0">
      <w:pPr>
        <w:pStyle w:val="62"/>
        <w:ind w:firstLine="0"/>
        <w:rPr>
          <w:rFonts w:hint="eastAsia" w:ascii="宋体" w:hAnsi="宋体" w:eastAsia="宋体" w:cs="宋体"/>
          <w:color w:val="auto"/>
          <w:szCs w:val="24"/>
          <w:highlight w:val="none"/>
        </w:rPr>
      </w:pPr>
    </w:p>
    <w:p w14:paraId="47396DB3">
      <w:pPr>
        <w:pStyle w:val="62"/>
        <w:ind w:firstLine="0"/>
        <w:jc w:val="center"/>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第一部分 合同书</w:t>
      </w:r>
    </w:p>
    <w:p w14:paraId="1872D7B9">
      <w:pPr>
        <w:pStyle w:val="62"/>
        <w:ind w:firstLine="0"/>
        <w:rPr>
          <w:rFonts w:hint="eastAsia" w:ascii="宋体" w:hAnsi="宋体" w:eastAsia="宋体" w:cs="宋体"/>
          <w:color w:val="auto"/>
          <w:szCs w:val="24"/>
          <w:highlight w:val="none"/>
        </w:rPr>
      </w:pPr>
    </w:p>
    <w:p w14:paraId="05007332">
      <w:pPr>
        <w:pStyle w:val="62"/>
        <w:ind w:firstLine="0"/>
        <w:rPr>
          <w:rFonts w:hint="eastAsia" w:ascii="宋体" w:hAnsi="宋体" w:eastAsia="宋体" w:cs="宋体"/>
          <w:color w:val="auto"/>
          <w:szCs w:val="24"/>
          <w:highlight w:val="none"/>
        </w:rPr>
      </w:pPr>
    </w:p>
    <w:p w14:paraId="69B9553C">
      <w:pPr>
        <w:spacing w:before="120" w:line="22" w:lineRule="atLeast"/>
        <w:rPr>
          <w:rFonts w:hint="eastAsia" w:ascii="宋体" w:hAnsi="宋体" w:eastAsia="宋体" w:cs="宋体"/>
          <w:color w:val="auto"/>
          <w:sz w:val="24"/>
          <w:highlight w:val="none"/>
        </w:rPr>
      </w:pPr>
    </w:p>
    <w:p w14:paraId="547C3419">
      <w:pPr>
        <w:spacing w:before="120" w:line="22" w:lineRule="atLeast"/>
        <w:ind w:left="96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项目名称：</w:t>
      </w:r>
      <w:r>
        <w:rPr>
          <w:rFonts w:hint="eastAsia" w:ascii="宋体" w:hAnsi="宋体" w:eastAsia="宋体" w:cs="宋体"/>
          <w:color w:val="auto"/>
          <w:sz w:val="24"/>
          <w:highlight w:val="none"/>
          <w:u w:val="single"/>
        </w:rPr>
        <w:t xml:space="preserve">                                   </w:t>
      </w:r>
    </w:p>
    <w:p w14:paraId="3B8D493E">
      <w:pPr>
        <w:pStyle w:val="74"/>
        <w:spacing w:before="120" w:line="22" w:lineRule="atLeast"/>
        <w:rPr>
          <w:rFonts w:hint="eastAsia" w:ascii="宋体" w:hAnsi="宋体" w:eastAsia="宋体" w:cs="宋体"/>
          <w:color w:val="auto"/>
          <w:szCs w:val="24"/>
          <w:highlight w:val="none"/>
        </w:rPr>
      </w:pPr>
    </w:p>
    <w:p w14:paraId="471C1121">
      <w:pPr>
        <w:pStyle w:val="74"/>
        <w:spacing w:before="120" w:line="22" w:lineRule="atLeast"/>
        <w:rPr>
          <w:rFonts w:hint="eastAsia" w:ascii="宋体" w:hAnsi="宋体" w:eastAsia="宋体" w:cs="宋体"/>
          <w:color w:val="auto"/>
          <w:szCs w:val="24"/>
          <w:highlight w:val="none"/>
        </w:rPr>
      </w:pPr>
    </w:p>
    <w:p w14:paraId="166AD691">
      <w:pPr>
        <w:rPr>
          <w:rFonts w:hint="eastAsia" w:ascii="宋体" w:hAnsi="宋体" w:eastAsia="宋体" w:cs="宋体"/>
          <w:color w:val="auto"/>
          <w:highlight w:val="none"/>
        </w:rPr>
      </w:pPr>
    </w:p>
    <w:p w14:paraId="74C89AC9">
      <w:pPr>
        <w:spacing w:before="120" w:line="22" w:lineRule="atLeast"/>
        <w:ind w:left="96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甲方：</w:t>
      </w:r>
      <w:r>
        <w:rPr>
          <w:rFonts w:hint="eastAsia" w:ascii="宋体" w:hAnsi="宋体" w:eastAsia="宋体" w:cs="宋体"/>
          <w:color w:val="auto"/>
          <w:sz w:val="24"/>
          <w:highlight w:val="none"/>
          <w:u w:val="single"/>
        </w:rPr>
        <w:t xml:space="preserve">                                       </w:t>
      </w:r>
    </w:p>
    <w:p w14:paraId="5E726368">
      <w:pPr>
        <w:spacing w:before="120" w:line="22" w:lineRule="atLeast"/>
        <w:rPr>
          <w:rFonts w:hint="eastAsia" w:ascii="宋体" w:hAnsi="宋体" w:eastAsia="宋体" w:cs="宋体"/>
          <w:color w:val="auto"/>
          <w:sz w:val="24"/>
          <w:highlight w:val="none"/>
        </w:rPr>
      </w:pPr>
    </w:p>
    <w:p w14:paraId="25EBC21C">
      <w:pPr>
        <w:spacing w:before="120" w:line="22" w:lineRule="atLeast"/>
        <w:ind w:left="96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乙方：</w:t>
      </w:r>
      <w:r>
        <w:rPr>
          <w:rFonts w:hint="eastAsia" w:ascii="宋体" w:hAnsi="宋体" w:eastAsia="宋体" w:cs="宋体"/>
          <w:color w:val="auto"/>
          <w:sz w:val="24"/>
          <w:highlight w:val="none"/>
          <w:u w:val="single"/>
        </w:rPr>
        <w:t xml:space="preserve">                                       </w:t>
      </w:r>
    </w:p>
    <w:p w14:paraId="493ABAB6">
      <w:pPr>
        <w:spacing w:before="120" w:line="22" w:lineRule="atLeast"/>
        <w:rPr>
          <w:rFonts w:hint="eastAsia" w:ascii="宋体" w:hAnsi="宋体" w:eastAsia="宋体" w:cs="宋体"/>
          <w:color w:val="auto"/>
          <w:sz w:val="24"/>
          <w:highlight w:val="none"/>
        </w:rPr>
      </w:pPr>
    </w:p>
    <w:p w14:paraId="7A6F54E2">
      <w:pPr>
        <w:spacing w:before="120" w:line="22" w:lineRule="atLeast"/>
        <w:ind w:firstLine="960" w:firstLineChars="4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签订地：</w:t>
      </w:r>
      <w:r>
        <w:rPr>
          <w:rFonts w:hint="eastAsia" w:ascii="宋体" w:hAnsi="宋体" w:eastAsia="宋体" w:cs="宋体"/>
          <w:color w:val="auto"/>
          <w:sz w:val="24"/>
          <w:highlight w:val="none"/>
          <w:u w:val="single"/>
        </w:rPr>
        <w:t xml:space="preserve">                                     </w:t>
      </w:r>
    </w:p>
    <w:p w14:paraId="75A706E1">
      <w:pPr>
        <w:spacing w:before="120" w:line="22" w:lineRule="atLeast"/>
        <w:rPr>
          <w:rFonts w:hint="eastAsia" w:ascii="宋体" w:hAnsi="宋体" w:eastAsia="宋体" w:cs="宋体"/>
          <w:color w:val="auto"/>
          <w:sz w:val="24"/>
          <w:highlight w:val="none"/>
        </w:rPr>
      </w:pPr>
    </w:p>
    <w:p w14:paraId="3EAFFC23">
      <w:pPr>
        <w:spacing w:before="120" w:line="22" w:lineRule="atLeast"/>
        <w:ind w:firstLine="960" w:firstLineChars="4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签订日期：</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日</w:t>
      </w:r>
    </w:p>
    <w:p w14:paraId="0B2AF45B">
      <w:pPr>
        <w:autoSpaceDE w:val="0"/>
        <w:autoSpaceDN w:val="0"/>
        <w:adjustRightInd w:val="0"/>
        <w:spacing w:line="600" w:lineRule="exact"/>
        <w:ind w:firstLine="640"/>
        <w:jc w:val="center"/>
        <w:rPr>
          <w:rFonts w:hint="eastAsia" w:ascii="宋体" w:hAnsi="宋体" w:eastAsia="宋体" w:cs="宋体"/>
          <w:color w:val="auto"/>
          <w:sz w:val="24"/>
          <w:highlight w:val="none"/>
        </w:rPr>
        <w:sectPr>
          <w:headerReference r:id="rId16" w:type="first"/>
          <w:footerReference r:id="rId19" w:type="first"/>
          <w:headerReference r:id="rId14" w:type="default"/>
          <w:footerReference r:id="rId17" w:type="default"/>
          <w:headerReference r:id="rId15" w:type="even"/>
          <w:footerReference r:id="rId18" w:type="even"/>
          <w:pgSz w:w="11907" w:h="16840"/>
          <w:pgMar w:top="1474" w:right="1814" w:bottom="1474" w:left="1814" w:header="851" w:footer="851" w:gutter="0"/>
          <w:pgBorders>
            <w:top w:val="none" w:sz="0" w:space="0"/>
            <w:left w:val="none" w:sz="0" w:space="0"/>
            <w:bottom w:val="none" w:sz="0" w:space="0"/>
            <w:right w:val="none" w:sz="0" w:space="0"/>
          </w:pgBorders>
          <w:pgNumType w:fmt="decimal"/>
          <w:cols w:space="720" w:num="1"/>
          <w:docGrid w:linePitch="462" w:charSpace="0"/>
        </w:sectPr>
      </w:pPr>
    </w:p>
    <w:p w14:paraId="74592241">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年</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月</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日</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（采购人名称）   </w:t>
      </w:r>
      <w:r>
        <w:rPr>
          <w:rFonts w:hint="eastAsia" w:ascii="宋体" w:hAnsi="宋体" w:eastAsia="宋体" w:cs="宋体"/>
          <w:color w:val="auto"/>
          <w:sz w:val="24"/>
          <w:highlight w:val="none"/>
        </w:rPr>
        <w:t>以</w:t>
      </w:r>
      <w:r>
        <w:rPr>
          <w:rFonts w:hint="eastAsia" w:ascii="宋体" w:hAnsi="宋体" w:eastAsia="宋体" w:cs="宋体"/>
          <w:color w:val="auto"/>
          <w:sz w:val="24"/>
          <w:highlight w:val="none"/>
          <w:u w:val="single"/>
        </w:rPr>
        <w:t xml:space="preserve">   （政府采购方式）  </w:t>
      </w:r>
      <w:r>
        <w:rPr>
          <w:rFonts w:hint="eastAsia" w:ascii="宋体" w:hAnsi="宋体" w:eastAsia="宋体" w:cs="宋体"/>
          <w:color w:val="auto"/>
          <w:sz w:val="24"/>
          <w:highlight w:val="none"/>
        </w:rPr>
        <w:t>对</w:t>
      </w:r>
      <w:r>
        <w:rPr>
          <w:rFonts w:hint="eastAsia" w:ascii="宋体" w:hAnsi="宋体" w:eastAsia="宋体" w:cs="宋体"/>
          <w:color w:val="auto"/>
          <w:sz w:val="24"/>
          <w:highlight w:val="none"/>
          <w:u w:val="single"/>
        </w:rPr>
        <w:t xml:space="preserve">   （同前页项目名称）   </w:t>
      </w:r>
      <w:r>
        <w:rPr>
          <w:rFonts w:hint="eastAsia" w:ascii="宋体" w:hAnsi="宋体" w:eastAsia="宋体" w:cs="宋体"/>
          <w:color w:val="auto"/>
          <w:sz w:val="24"/>
          <w:highlight w:val="none"/>
        </w:rPr>
        <w:t>项目进行了采购。经</w:t>
      </w:r>
      <w:r>
        <w:rPr>
          <w:rFonts w:hint="eastAsia" w:ascii="宋体" w:hAnsi="宋体" w:eastAsia="宋体" w:cs="宋体"/>
          <w:color w:val="auto"/>
          <w:sz w:val="24"/>
          <w:highlight w:val="none"/>
          <w:u w:val="single"/>
        </w:rPr>
        <w:t xml:space="preserve">   （相关评定主体名称）   </w:t>
      </w:r>
      <w:r>
        <w:rPr>
          <w:rFonts w:hint="eastAsia" w:ascii="宋体" w:hAnsi="宋体" w:eastAsia="宋体" w:cs="宋体"/>
          <w:color w:val="auto"/>
          <w:sz w:val="24"/>
          <w:highlight w:val="none"/>
        </w:rPr>
        <w:t>评定，</w:t>
      </w:r>
      <w:r>
        <w:rPr>
          <w:rFonts w:hint="eastAsia" w:ascii="宋体" w:hAnsi="宋体" w:eastAsia="宋体" w:cs="宋体"/>
          <w:color w:val="auto"/>
          <w:sz w:val="24"/>
          <w:highlight w:val="none"/>
          <w:u w:val="single"/>
        </w:rPr>
        <w:t xml:space="preserve">   （中标供应商名称）</w:t>
      </w:r>
      <w:r>
        <w:rPr>
          <w:rFonts w:hint="eastAsia" w:ascii="宋体" w:hAnsi="宋体" w:eastAsia="宋体" w:cs="宋体"/>
          <w:color w:val="auto"/>
          <w:sz w:val="24"/>
          <w:highlight w:val="none"/>
        </w:rPr>
        <w:t>为该项目中标供应商。现于中标通知书发出之日起三十日内，按照采购文件确定的事项签订本合同。</w:t>
      </w:r>
    </w:p>
    <w:p w14:paraId="3702F270">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根据《中华人民共和国合同法》、《中华人民共和国政府采购法》等相关法律法规之规定，按照平等、自愿、公平和诚实信用的原则，经</w:t>
      </w:r>
      <w:r>
        <w:rPr>
          <w:rFonts w:hint="eastAsia" w:ascii="宋体" w:hAnsi="宋体" w:eastAsia="宋体" w:cs="宋体"/>
          <w:color w:val="auto"/>
          <w:sz w:val="24"/>
          <w:highlight w:val="none"/>
          <w:u w:val="single"/>
        </w:rPr>
        <w:t xml:space="preserve">   （采购人名称）   </w:t>
      </w:r>
      <w:r>
        <w:rPr>
          <w:rFonts w:hint="eastAsia" w:ascii="宋体" w:hAnsi="宋体" w:eastAsia="宋体" w:cs="宋体"/>
          <w:color w:val="auto"/>
          <w:sz w:val="24"/>
          <w:highlight w:val="none"/>
          <w:lang w:val="zh-CN"/>
        </w:rPr>
        <w:t>(以下简称：甲方)和</w:t>
      </w:r>
      <w:r>
        <w:rPr>
          <w:rFonts w:hint="eastAsia" w:ascii="宋体" w:hAnsi="宋体" w:eastAsia="宋体" w:cs="宋体"/>
          <w:color w:val="auto"/>
          <w:sz w:val="24"/>
          <w:highlight w:val="none"/>
          <w:u w:val="single"/>
        </w:rPr>
        <w:t xml:space="preserve">   （中标供应商名称）   </w:t>
      </w:r>
      <w:r>
        <w:rPr>
          <w:rFonts w:hint="eastAsia" w:ascii="宋体" w:hAnsi="宋体" w:eastAsia="宋体" w:cs="宋体"/>
          <w:color w:val="auto"/>
          <w:sz w:val="24"/>
          <w:highlight w:val="none"/>
          <w:lang w:val="zh-CN"/>
        </w:rPr>
        <w:t>(以下简称：乙方)协商一致，约定以下合同</w:t>
      </w:r>
      <w:r>
        <w:rPr>
          <w:rFonts w:hint="eastAsia" w:ascii="宋体" w:hAnsi="宋体" w:eastAsia="宋体" w:cs="宋体"/>
          <w:color w:val="auto"/>
          <w:sz w:val="24"/>
          <w:highlight w:val="none"/>
        </w:rPr>
        <w:t>条款，以兹共同遵守、全面履行。</w:t>
      </w:r>
    </w:p>
    <w:p w14:paraId="05ACF96A">
      <w:pPr>
        <w:spacing w:line="560" w:lineRule="exact"/>
        <w:ind w:firstLine="482" w:firstLineChars="200"/>
        <w:outlineLvl w:val="0"/>
        <w:rPr>
          <w:rFonts w:hint="eastAsia" w:ascii="宋体" w:hAnsi="宋体" w:eastAsia="宋体" w:cs="宋体"/>
          <w:b/>
          <w:color w:val="auto"/>
          <w:sz w:val="24"/>
          <w:highlight w:val="none"/>
        </w:rPr>
      </w:pPr>
      <w:bookmarkStart w:id="385" w:name="_Toc2232"/>
      <w:bookmarkStart w:id="386" w:name="_Toc24059"/>
      <w:bookmarkStart w:id="387" w:name="_Toc3029"/>
      <w:r>
        <w:rPr>
          <w:rFonts w:hint="eastAsia" w:ascii="宋体" w:hAnsi="宋体" w:eastAsia="宋体" w:cs="宋体"/>
          <w:b/>
          <w:color w:val="auto"/>
          <w:sz w:val="24"/>
          <w:highlight w:val="none"/>
        </w:rPr>
        <w:t>1.1 合同组成部分</w:t>
      </w:r>
      <w:bookmarkEnd w:id="385"/>
      <w:bookmarkEnd w:id="386"/>
      <w:bookmarkEnd w:id="387"/>
    </w:p>
    <w:p w14:paraId="1ED7735B">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5CDC2990">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1.1.1 本合同及其补充合同、变更协议；</w:t>
      </w:r>
    </w:p>
    <w:p w14:paraId="5BE804C2">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1.1.2 中标通知书；</w:t>
      </w:r>
    </w:p>
    <w:p w14:paraId="11917495">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1.1.3 投标文件（含澄清或者说明文件）；</w:t>
      </w:r>
    </w:p>
    <w:p w14:paraId="672E4DD9">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1.1.4 招标文件（含澄清或者修改文件）；</w:t>
      </w:r>
    </w:p>
    <w:p w14:paraId="2B2E12E6">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1.1.5 其他相关采购文件。</w:t>
      </w:r>
    </w:p>
    <w:p w14:paraId="266B7389">
      <w:pPr>
        <w:spacing w:line="560" w:lineRule="exact"/>
        <w:ind w:firstLine="482" w:firstLineChars="200"/>
        <w:outlineLvl w:val="0"/>
        <w:rPr>
          <w:rFonts w:hint="eastAsia" w:ascii="宋体" w:hAnsi="宋体" w:eastAsia="宋体" w:cs="宋体"/>
          <w:b/>
          <w:color w:val="auto"/>
          <w:sz w:val="24"/>
          <w:highlight w:val="none"/>
        </w:rPr>
      </w:pPr>
      <w:bookmarkStart w:id="388" w:name="_Toc21295"/>
      <w:bookmarkStart w:id="389" w:name="_Toc27126"/>
      <w:bookmarkStart w:id="390" w:name="_Toc24300"/>
      <w:r>
        <w:rPr>
          <w:rFonts w:hint="eastAsia" w:ascii="宋体" w:hAnsi="宋体" w:eastAsia="宋体" w:cs="宋体"/>
          <w:b/>
          <w:color w:val="auto"/>
          <w:sz w:val="24"/>
          <w:highlight w:val="none"/>
        </w:rPr>
        <w:t>1.2 货物</w:t>
      </w:r>
      <w:bookmarkEnd w:id="388"/>
      <w:bookmarkEnd w:id="389"/>
      <w:bookmarkEnd w:id="390"/>
    </w:p>
    <w:p w14:paraId="498D6848">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1.2.1 货物名称：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34C3AFB9">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1.2.2 货物数量：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05037CBC">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1.2.3 货物质量：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2A217411">
      <w:pPr>
        <w:spacing w:line="560" w:lineRule="exact"/>
        <w:ind w:firstLine="482" w:firstLineChars="200"/>
        <w:outlineLvl w:val="0"/>
        <w:rPr>
          <w:rFonts w:hint="eastAsia" w:ascii="宋体" w:hAnsi="宋体" w:eastAsia="宋体" w:cs="宋体"/>
          <w:b/>
          <w:color w:val="auto"/>
          <w:sz w:val="24"/>
          <w:highlight w:val="none"/>
        </w:rPr>
      </w:pPr>
      <w:bookmarkStart w:id="391" w:name="_Toc23292"/>
      <w:bookmarkStart w:id="392" w:name="_Toc21631"/>
      <w:bookmarkStart w:id="393" w:name="_Toc21551"/>
      <w:r>
        <w:rPr>
          <w:rFonts w:hint="eastAsia" w:ascii="宋体" w:hAnsi="宋体" w:eastAsia="宋体" w:cs="宋体"/>
          <w:b/>
          <w:color w:val="auto"/>
          <w:sz w:val="24"/>
          <w:highlight w:val="none"/>
        </w:rPr>
        <w:t>1.3 价款</w:t>
      </w:r>
      <w:bookmarkEnd w:id="391"/>
      <w:bookmarkEnd w:id="392"/>
      <w:bookmarkEnd w:id="393"/>
    </w:p>
    <w:p w14:paraId="3380D213">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本合同总价为：￥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元（大写：</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元人民币）。</w:t>
      </w:r>
    </w:p>
    <w:p w14:paraId="325D9B5B">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分项价格：</w:t>
      </w:r>
    </w:p>
    <w:tbl>
      <w:tblPr>
        <w:tblStyle w:val="3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163B91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55B0B497">
            <w:pPr>
              <w:pStyle w:val="60"/>
              <w:spacing w:line="560" w:lineRule="exact"/>
              <w:jc w:val="center"/>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序号</w:t>
            </w:r>
          </w:p>
        </w:tc>
        <w:tc>
          <w:tcPr>
            <w:tcW w:w="3402" w:type="dxa"/>
            <w:noWrap w:val="0"/>
            <w:vAlign w:val="center"/>
          </w:tcPr>
          <w:p w14:paraId="7FE03E30">
            <w:pPr>
              <w:pStyle w:val="60"/>
              <w:spacing w:line="560" w:lineRule="exact"/>
              <w:ind w:firstLine="200"/>
              <w:jc w:val="center"/>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分项名称</w:t>
            </w:r>
          </w:p>
        </w:tc>
        <w:tc>
          <w:tcPr>
            <w:tcW w:w="2552" w:type="dxa"/>
            <w:noWrap w:val="0"/>
            <w:vAlign w:val="center"/>
          </w:tcPr>
          <w:p w14:paraId="1C6167F3">
            <w:pPr>
              <w:pStyle w:val="60"/>
              <w:spacing w:line="560" w:lineRule="exact"/>
              <w:jc w:val="center"/>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分项价格</w:t>
            </w:r>
          </w:p>
        </w:tc>
      </w:tr>
      <w:tr w14:paraId="296A41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4B9D33AE">
            <w:pPr>
              <w:pStyle w:val="60"/>
              <w:spacing w:line="560" w:lineRule="exact"/>
              <w:ind w:firstLine="200"/>
              <w:jc w:val="center"/>
              <w:rPr>
                <w:rFonts w:hint="eastAsia" w:ascii="宋体" w:hAnsi="宋体" w:eastAsia="宋体" w:cs="宋体"/>
                <w:color w:val="auto"/>
                <w:kern w:val="2"/>
                <w:sz w:val="24"/>
                <w:szCs w:val="24"/>
                <w:highlight w:val="none"/>
              </w:rPr>
            </w:pPr>
          </w:p>
        </w:tc>
        <w:tc>
          <w:tcPr>
            <w:tcW w:w="3402" w:type="dxa"/>
            <w:noWrap w:val="0"/>
            <w:vAlign w:val="center"/>
          </w:tcPr>
          <w:p w14:paraId="53662C46">
            <w:pPr>
              <w:pStyle w:val="60"/>
              <w:spacing w:line="560" w:lineRule="exact"/>
              <w:ind w:firstLine="200"/>
              <w:jc w:val="center"/>
              <w:rPr>
                <w:rFonts w:hint="eastAsia" w:ascii="宋体" w:hAnsi="宋体" w:eastAsia="宋体" w:cs="宋体"/>
                <w:color w:val="auto"/>
                <w:kern w:val="2"/>
                <w:sz w:val="24"/>
                <w:szCs w:val="24"/>
                <w:highlight w:val="none"/>
              </w:rPr>
            </w:pPr>
          </w:p>
        </w:tc>
        <w:tc>
          <w:tcPr>
            <w:tcW w:w="2552" w:type="dxa"/>
            <w:noWrap w:val="0"/>
            <w:vAlign w:val="center"/>
          </w:tcPr>
          <w:p w14:paraId="36B3A814">
            <w:pPr>
              <w:pStyle w:val="60"/>
              <w:spacing w:line="560" w:lineRule="exact"/>
              <w:ind w:firstLine="200"/>
              <w:jc w:val="center"/>
              <w:rPr>
                <w:rFonts w:hint="eastAsia" w:ascii="宋体" w:hAnsi="宋体" w:eastAsia="宋体" w:cs="宋体"/>
                <w:color w:val="auto"/>
                <w:kern w:val="2"/>
                <w:sz w:val="24"/>
                <w:szCs w:val="24"/>
                <w:highlight w:val="none"/>
              </w:rPr>
            </w:pPr>
          </w:p>
        </w:tc>
      </w:tr>
      <w:tr w14:paraId="14BF22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4F203E67">
            <w:pPr>
              <w:pStyle w:val="60"/>
              <w:spacing w:line="560" w:lineRule="exact"/>
              <w:ind w:firstLine="200"/>
              <w:jc w:val="center"/>
              <w:rPr>
                <w:rFonts w:hint="eastAsia" w:ascii="宋体" w:hAnsi="宋体" w:eastAsia="宋体" w:cs="宋体"/>
                <w:color w:val="auto"/>
                <w:kern w:val="2"/>
                <w:sz w:val="24"/>
                <w:szCs w:val="24"/>
                <w:highlight w:val="none"/>
              </w:rPr>
            </w:pPr>
          </w:p>
        </w:tc>
        <w:tc>
          <w:tcPr>
            <w:tcW w:w="3402" w:type="dxa"/>
            <w:noWrap w:val="0"/>
            <w:vAlign w:val="center"/>
          </w:tcPr>
          <w:p w14:paraId="3275B7D7">
            <w:pPr>
              <w:pStyle w:val="60"/>
              <w:spacing w:line="560" w:lineRule="exact"/>
              <w:ind w:firstLine="200"/>
              <w:jc w:val="center"/>
              <w:rPr>
                <w:rFonts w:hint="eastAsia" w:ascii="宋体" w:hAnsi="宋体" w:eastAsia="宋体" w:cs="宋体"/>
                <w:color w:val="auto"/>
                <w:kern w:val="2"/>
                <w:sz w:val="24"/>
                <w:szCs w:val="24"/>
                <w:highlight w:val="none"/>
              </w:rPr>
            </w:pPr>
          </w:p>
        </w:tc>
        <w:tc>
          <w:tcPr>
            <w:tcW w:w="2552" w:type="dxa"/>
            <w:noWrap w:val="0"/>
            <w:vAlign w:val="center"/>
          </w:tcPr>
          <w:p w14:paraId="002F27DD">
            <w:pPr>
              <w:pStyle w:val="60"/>
              <w:spacing w:line="560" w:lineRule="exact"/>
              <w:ind w:firstLine="200"/>
              <w:jc w:val="center"/>
              <w:rPr>
                <w:rFonts w:hint="eastAsia" w:ascii="宋体" w:hAnsi="宋体" w:eastAsia="宋体" w:cs="宋体"/>
                <w:color w:val="auto"/>
                <w:kern w:val="2"/>
                <w:sz w:val="24"/>
                <w:szCs w:val="24"/>
                <w:highlight w:val="none"/>
              </w:rPr>
            </w:pPr>
          </w:p>
        </w:tc>
      </w:tr>
      <w:tr w14:paraId="795A3E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368CE8E7">
            <w:pPr>
              <w:pStyle w:val="60"/>
              <w:spacing w:line="560" w:lineRule="exact"/>
              <w:ind w:firstLine="200"/>
              <w:jc w:val="center"/>
              <w:rPr>
                <w:rFonts w:hint="eastAsia" w:ascii="宋体" w:hAnsi="宋体" w:eastAsia="宋体" w:cs="宋体"/>
                <w:color w:val="auto"/>
                <w:kern w:val="2"/>
                <w:sz w:val="24"/>
                <w:szCs w:val="24"/>
                <w:highlight w:val="none"/>
              </w:rPr>
            </w:pPr>
          </w:p>
        </w:tc>
        <w:tc>
          <w:tcPr>
            <w:tcW w:w="3402" w:type="dxa"/>
            <w:noWrap w:val="0"/>
            <w:vAlign w:val="center"/>
          </w:tcPr>
          <w:p w14:paraId="58378C3C">
            <w:pPr>
              <w:pStyle w:val="60"/>
              <w:spacing w:line="560" w:lineRule="exact"/>
              <w:ind w:firstLine="200"/>
              <w:jc w:val="center"/>
              <w:rPr>
                <w:rFonts w:hint="eastAsia" w:ascii="宋体" w:hAnsi="宋体" w:eastAsia="宋体" w:cs="宋体"/>
                <w:color w:val="auto"/>
                <w:kern w:val="2"/>
                <w:sz w:val="24"/>
                <w:szCs w:val="24"/>
                <w:highlight w:val="none"/>
              </w:rPr>
            </w:pPr>
          </w:p>
        </w:tc>
        <w:tc>
          <w:tcPr>
            <w:tcW w:w="2552" w:type="dxa"/>
            <w:noWrap w:val="0"/>
            <w:vAlign w:val="center"/>
          </w:tcPr>
          <w:p w14:paraId="3E99600E">
            <w:pPr>
              <w:pStyle w:val="60"/>
              <w:spacing w:line="560" w:lineRule="exact"/>
              <w:ind w:firstLine="200"/>
              <w:jc w:val="center"/>
              <w:rPr>
                <w:rFonts w:hint="eastAsia" w:ascii="宋体" w:hAnsi="宋体" w:eastAsia="宋体" w:cs="宋体"/>
                <w:color w:val="auto"/>
                <w:kern w:val="2"/>
                <w:sz w:val="24"/>
                <w:szCs w:val="24"/>
                <w:highlight w:val="none"/>
              </w:rPr>
            </w:pPr>
          </w:p>
        </w:tc>
      </w:tr>
      <w:tr w14:paraId="221ABD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5EEDCE36">
            <w:pPr>
              <w:pStyle w:val="60"/>
              <w:spacing w:line="560" w:lineRule="exact"/>
              <w:ind w:firstLine="200"/>
              <w:jc w:val="center"/>
              <w:rPr>
                <w:rFonts w:hint="eastAsia" w:ascii="宋体" w:hAnsi="宋体" w:eastAsia="宋体" w:cs="宋体"/>
                <w:color w:val="auto"/>
                <w:kern w:val="2"/>
                <w:sz w:val="24"/>
                <w:szCs w:val="24"/>
                <w:highlight w:val="none"/>
              </w:rPr>
            </w:pPr>
          </w:p>
        </w:tc>
        <w:tc>
          <w:tcPr>
            <w:tcW w:w="3402" w:type="dxa"/>
            <w:noWrap w:val="0"/>
            <w:vAlign w:val="center"/>
          </w:tcPr>
          <w:p w14:paraId="7715AA62">
            <w:pPr>
              <w:pStyle w:val="60"/>
              <w:spacing w:line="560" w:lineRule="exact"/>
              <w:ind w:firstLine="200"/>
              <w:jc w:val="center"/>
              <w:rPr>
                <w:rFonts w:hint="eastAsia" w:ascii="宋体" w:hAnsi="宋体" w:eastAsia="宋体" w:cs="宋体"/>
                <w:color w:val="auto"/>
                <w:kern w:val="2"/>
                <w:sz w:val="24"/>
                <w:szCs w:val="24"/>
                <w:highlight w:val="none"/>
              </w:rPr>
            </w:pPr>
          </w:p>
        </w:tc>
        <w:tc>
          <w:tcPr>
            <w:tcW w:w="2552" w:type="dxa"/>
            <w:noWrap w:val="0"/>
            <w:vAlign w:val="center"/>
          </w:tcPr>
          <w:p w14:paraId="25AD6701">
            <w:pPr>
              <w:pStyle w:val="60"/>
              <w:spacing w:line="560" w:lineRule="exact"/>
              <w:ind w:firstLine="200"/>
              <w:jc w:val="center"/>
              <w:rPr>
                <w:rFonts w:hint="eastAsia" w:ascii="宋体" w:hAnsi="宋体" w:eastAsia="宋体" w:cs="宋体"/>
                <w:color w:val="auto"/>
                <w:kern w:val="2"/>
                <w:sz w:val="24"/>
                <w:szCs w:val="24"/>
                <w:highlight w:val="none"/>
              </w:rPr>
            </w:pPr>
          </w:p>
        </w:tc>
      </w:tr>
      <w:tr w14:paraId="2327DD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noWrap w:val="0"/>
            <w:vAlign w:val="center"/>
          </w:tcPr>
          <w:p w14:paraId="091E1BA8">
            <w:pPr>
              <w:pStyle w:val="60"/>
              <w:spacing w:line="560" w:lineRule="exact"/>
              <w:ind w:firstLine="200"/>
              <w:jc w:val="center"/>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总价</w:t>
            </w:r>
          </w:p>
        </w:tc>
        <w:tc>
          <w:tcPr>
            <w:tcW w:w="2552" w:type="dxa"/>
            <w:noWrap w:val="0"/>
            <w:vAlign w:val="center"/>
          </w:tcPr>
          <w:p w14:paraId="0F3C2BAB">
            <w:pPr>
              <w:pStyle w:val="60"/>
              <w:spacing w:line="560" w:lineRule="exact"/>
              <w:ind w:firstLine="200"/>
              <w:jc w:val="center"/>
              <w:rPr>
                <w:rFonts w:hint="eastAsia" w:ascii="宋体" w:hAnsi="宋体" w:eastAsia="宋体" w:cs="宋体"/>
                <w:color w:val="auto"/>
                <w:kern w:val="2"/>
                <w:sz w:val="24"/>
                <w:szCs w:val="24"/>
                <w:highlight w:val="none"/>
              </w:rPr>
            </w:pPr>
          </w:p>
        </w:tc>
      </w:tr>
    </w:tbl>
    <w:p w14:paraId="698BA7C9">
      <w:pPr>
        <w:spacing w:line="560" w:lineRule="exact"/>
        <w:ind w:firstLine="482" w:firstLineChars="200"/>
        <w:outlineLvl w:val="0"/>
        <w:rPr>
          <w:rFonts w:hint="eastAsia" w:ascii="宋体" w:hAnsi="宋体" w:eastAsia="宋体" w:cs="宋体"/>
          <w:b/>
          <w:color w:val="auto"/>
          <w:sz w:val="24"/>
          <w:highlight w:val="none"/>
        </w:rPr>
      </w:pPr>
      <w:bookmarkStart w:id="394" w:name="_Toc22618"/>
      <w:bookmarkStart w:id="395" w:name="_Toc10340"/>
      <w:bookmarkStart w:id="396" w:name="_Toc1814"/>
      <w:r>
        <w:rPr>
          <w:rFonts w:hint="eastAsia" w:ascii="宋体" w:hAnsi="宋体" w:eastAsia="宋体" w:cs="宋体"/>
          <w:b/>
          <w:color w:val="auto"/>
          <w:sz w:val="24"/>
          <w:highlight w:val="none"/>
        </w:rPr>
        <w:t>1.4 付款方式和发票开具方式</w:t>
      </w:r>
      <w:bookmarkEnd w:id="394"/>
      <w:bookmarkEnd w:id="395"/>
      <w:bookmarkEnd w:id="396"/>
    </w:p>
    <w:p w14:paraId="21777E8B">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1.4.1 付款方式：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77962FFA">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1.4.2 发票开具方式：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268505F1">
      <w:pPr>
        <w:spacing w:line="560" w:lineRule="exact"/>
        <w:ind w:firstLine="482" w:firstLineChars="200"/>
        <w:outlineLvl w:val="0"/>
        <w:rPr>
          <w:rFonts w:hint="eastAsia" w:ascii="宋体" w:hAnsi="宋体" w:eastAsia="宋体" w:cs="宋体"/>
          <w:b/>
          <w:color w:val="auto"/>
          <w:sz w:val="24"/>
          <w:highlight w:val="none"/>
        </w:rPr>
      </w:pPr>
      <w:bookmarkStart w:id="397" w:name="_Toc2846"/>
      <w:bookmarkStart w:id="398" w:name="_Toc19304"/>
      <w:bookmarkStart w:id="399" w:name="_Toc32071"/>
      <w:r>
        <w:rPr>
          <w:rFonts w:hint="eastAsia" w:ascii="宋体" w:hAnsi="宋体" w:eastAsia="宋体" w:cs="宋体"/>
          <w:b/>
          <w:color w:val="auto"/>
          <w:sz w:val="24"/>
          <w:highlight w:val="none"/>
        </w:rPr>
        <w:t>1.5 货物交付期限、地点和方式</w:t>
      </w:r>
      <w:bookmarkEnd w:id="397"/>
      <w:bookmarkEnd w:id="398"/>
      <w:bookmarkEnd w:id="399"/>
    </w:p>
    <w:p w14:paraId="2014D58B">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1.5.1 交付期限：</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110571E6">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1.5.2 交付地点：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608F6606">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1.5.3 交付方式：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28E543D8">
      <w:pPr>
        <w:spacing w:line="560" w:lineRule="exact"/>
        <w:ind w:firstLine="482" w:firstLineChars="200"/>
        <w:outlineLvl w:val="0"/>
        <w:rPr>
          <w:rFonts w:hint="eastAsia" w:ascii="宋体" w:hAnsi="宋体" w:eastAsia="宋体" w:cs="宋体"/>
          <w:b/>
          <w:color w:val="auto"/>
          <w:sz w:val="24"/>
          <w:highlight w:val="none"/>
        </w:rPr>
      </w:pPr>
      <w:bookmarkStart w:id="400" w:name="_Toc21423"/>
      <w:bookmarkStart w:id="401" w:name="_Toc19554"/>
      <w:bookmarkStart w:id="402" w:name="_Toc27250"/>
      <w:r>
        <w:rPr>
          <w:rFonts w:hint="eastAsia" w:ascii="宋体" w:hAnsi="宋体" w:eastAsia="宋体" w:cs="宋体"/>
          <w:b/>
          <w:color w:val="auto"/>
          <w:sz w:val="24"/>
          <w:highlight w:val="none"/>
        </w:rPr>
        <w:t>1.6 违约责任</w:t>
      </w:r>
      <w:bookmarkEnd w:id="400"/>
      <w:bookmarkEnd w:id="401"/>
      <w:bookmarkEnd w:id="402"/>
    </w:p>
    <w:p w14:paraId="12FC00B3">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1.6.1 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%计算，最高限额为本合同总价的</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%；迟延交付货物的违约金计算数额达到前述最高限额之日起，甲方有权在要求乙方支付违约金的同时，书面通知乙方解除本合同；</w:t>
      </w:r>
    </w:p>
    <w:p w14:paraId="336954F4">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1.6.2 除不可抗力外，如果甲方没有按照本合同约定的付款方式付款，那么乙方可要求甲方支付违约金，违约金按每迟延付款一日的应付而未付款的</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%计算，最高限额为本合同总价的</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%；迟延付款的违约金计算数额达到前述最高限额之日起，乙方有权在要求甲方支付违约金的同时，书面通知甲方解除本合同；</w:t>
      </w:r>
    </w:p>
    <w:p w14:paraId="418EEDBE">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6383FB17">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152D91E3">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17CB6C1F">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1.6.6 如果出现政府采购监督管理部门在处理投诉事项期间，书面通知甲方暂停采购活动的情形，或者询问或质疑事项可能影响中标结果的，导致甲方中止履行合同的情形，均不视为甲方违约。</w:t>
      </w:r>
    </w:p>
    <w:p w14:paraId="066FA241">
      <w:pPr>
        <w:spacing w:line="560" w:lineRule="exact"/>
        <w:ind w:firstLine="482" w:firstLineChars="200"/>
        <w:outlineLvl w:val="0"/>
        <w:rPr>
          <w:rFonts w:hint="eastAsia" w:ascii="宋体" w:hAnsi="宋体" w:eastAsia="宋体" w:cs="宋体"/>
          <w:b/>
          <w:color w:val="auto"/>
          <w:sz w:val="24"/>
          <w:highlight w:val="none"/>
        </w:rPr>
      </w:pPr>
      <w:bookmarkStart w:id="403" w:name="_Toc16021"/>
      <w:bookmarkStart w:id="404" w:name="_Toc15583"/>
      <w:bookmarkStart w:id="405" w:name="_Toc28375"/>
      <w:r>
        <w:rPr>
          <w:rFonts w:hint="eastAsia" w:ascii="宋体" w:hAnsi="宋体" w:eastAsia="宋体" w:cs="宋体"/>
          <w:b/>
          <w:color w:val="auto"/>
          <w:sz w:val="24"/>
          <w:highlight w:val="none"/>
        </w:rPr>
        <w:t>1.7 合同争议的解决</w:t>
      </w:r>
      <w:bookmarkEnd w:id="403"/>
      <w:bookmarkEnd w:id="404"/>
      <w:bookmarkEnd w:id="405"/>
    </w:p>
    <w:p w14:paraId="4B8DF8CE">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本合同履行过程中发生的任何争议，双方当事人均可通过和解或者调解解决；不愿和解、调解或者和解、调解不成的，可以选择下列第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种方式解决：</w:t>
      </w:r>
    </w:p>
    <w:p w14:paraId="0EF0ADE4">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1.7.1 将争议提交</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仲裁委员会依申请仲裁时其现行有效的仲裁规则裁决；</w:t>
      </w:r>
    </w:p>
    <w:p w14:paraId="0709B40A">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1.7.2 向</w:t>
      </w:r>
      <w:r>
        <w:rPr>
          <w:rFonts w:hint="eastAsia" w:ascii="宋体" w:hAnsi="宋体" w:eastAsia="宋体" w:cs="宋体"/>
          <w:color w:val="auto"/>
          <w:sz w:val="24"/>
          <w:highlight w:val="none"/>
          <w:u w:val="single"/>
        </w:rPr>
        <w:t xml:space="preserve">   （被告住所地、合同履行地、合同签订地、原告住所地、标的物所在地等与争议有实际联系的地点中选出的人民法院名称）    </w:t>
      </w:r>
      <w:r>
        <w:rPr>
          <w:rFonts w:hint="eastAsia" w:ascii="宋体" w:hAnsi="宋体" w:eastAsia="宋体" w:cs="宋体"/>
          <w:color w:val="auto"/>
          <w:sz w:val="24"/>
          <w:highlight w:val="none"/>
        </w:rPr>
        <w:t>人民法院起诉。</w:t>
      </w:r>
    </w:p>
    <w:p w14:paraId="71E2E16B">
      <w:pPr>
        <w:spacing w:line="560" w:lineRule="exact"/>
        <w:ind w:firstLine="482" w:firstLineChars="200"/>
        <w:outlineLvl w:val="0"/>
        <w:rPr>
          <w:rFonts w:hint="eastAsia" w:ascii="宋体" w:hAnsi="宋体" w:eastAsia="宋体" w:cs="宋体"/>
          <w:b/>
          <w:color w:val="auto"/>
          <w:sz w:val="24"/>
          <w:highlight w:val="none"/>
        </w:rPr>
      </w:pPr>
      <w:bookmarkStart w:id="406" w:name="_Toc15322"/>
      <w:bookmarkStart w:id="407" w:name="_Toc11173"/>
      <w:bookmarkStart w:id="408" w:name="_Toc7245"/>
      <w:r>
        <w:rPr>
          <w:rFonts w:hint="eastAsia" w:ascii="宋体" w:hAnsi="宋体" w:eastAsia="宋体" w:cs="宋体"/>
          <w:b/>
          <w:color w:val="auto"/>
          <w:sz w:val="24"/>
          <w:highlight w:val="none"/>
        </w:rPr>
        <w:t>1.8 合同生效</w:t>
      </w:r>
      <w:bookmarkEnd w:id="406"/>
      <w:bookmarkEnd w:id="407"/>
      <w:bookmarkEnd w:id="408"/>
    </w:p>
    <w:p w14:paraId="07D8A8C1">
      <w:pPr>
        <w:spacing w:line="560" w:lineRule="exact"/>
        <w:ind w:firstLine="480" w:firstLineChars="200"/>
        <w:rPr>
          <w:rFonts w:hint="eastAsia" w:ascii="宋体" w:hAnsi="宋体" w:eastAsia="宋体" w:cs="宋体"/>
          <w:b/>
          <w:color w:val="auto"/>
          <w:sz w:val="24"/>
          <w:highlight w:val="none"/>
        </w:rPr>
      </w:pPr>
      <w:r>
        <w:rPr>
          <w:rFonts w:hint="eastAsia" w:ascii="宋体" w:hAnsi="宋体" w:eastAsia="宋体" w:cs="宋体"/>
          <w:color w:val="auto"/>
          <w:sz w:val="24"/>
          <w:highlight w:val="none"/>
        </w:rPr>
        <w:t>本合同自双方当事人盖章或者签字时生效。</w:t>
      </w:r>
    </w:p>
    <w:p w14:paraId="41C927CA">
      <w:pPr>
        <w:autoSpaceDE w:val="0"/>
        <w:autoSpaceDN w:val="0"/>
        <w:adjustRightInd w:val="0"/>
        <w:spacing w:line="560" w:lineRule="exact"/>
        <w:rPr>
          <w:rFonts w:hint="eastAsia" w:ascii="宋体" w:hAnsi="宋体" w:eastAsia="宋体" w:cs="宋体"/>
          <w:color w:val="auto"/>
          <w:sz w:val="24"/>
          <w:highlight w:val="none"/>
          <w:lang w:val="zh-CN"/>
        </w:rPr>
      </w:pPr>
    </w:p>
    <w:p w14:paraId="3870ADCE">
      <w:pPr>
        <w:autoSpaceDE w:val="0"/>
        <w:autoSpaceDN w:val="0"/>
        <w:adjustRightInd w:val="0"/>
        <w:spacing w:line="560" w:lineRule="exact"/>
        <w:rPr>
          <w:rFonts w:hint="eastAsia" w:ascii="宋体" w:hAnsi="宋体" w:eastAsia="宋体" w:cs="宋体"/>
          <w:color w:val="auto"/>
          <w:sz w:val="24"/>
          <w:highlight w:val="none"/>
          <w:lang w:val="zh-CN"/>
        </w:rPr>
      </w:pPr>
      <w:r>
        <w:rPr>
          <w:rFonts w:hint="eastAsia" w:ascii="宋体" w:hAnsi="宋体" w:eastAsia="宋体" w:cs="宋体"/>
          <w:b/>
          <w:color w:val="auto"/>
          <w:sz w:val="24"/>
          <w:highlight w:val="none"/>
          <w:lang w:val="zh-CN"/>
        </w:rPr>
        <w:t>甲方</w:t>
      </w:r>
      <w:r>
        <w:rPr>
          <w:rFonts w:hint="eastAsia" w:ascii="宋体" w:hAnsi="宋体" w:eastAsia="宋体" w:cs="宋体"/>
          <w:color w:val="auto"/>
          <w:sz w:val="24"/>
          <w:highlight w:val="none"/>
          <w:lang w:val="zh-CN"/>
        </w:rPr>
        <w:t xml:space="preserve">：                             </w:t>
      </w:r>
      <w:r>
        <w:rPr>
          <w:rFonts w:hint="eastAsia" w:ascii="宋体" w:hAnsi="宋体" w:eastAsia="宋体" w:cs="宋体"/>
          <w:b/>
          <w:color w:val="auto"/>
          <w:sz w:val="24"/>
          <w:highlight w:val="none"/>
          <w:lang w:val="zh-CN"/>
        </w:rPr>
        <w:t xml:space="preserve">      乙方</w:t>
      </w:r>
      <w:r>
        <w:rPr>
          <w:rFonts w:hint="eastAsia" w:ascii="宋体" w:hAnsi="宋体" w:eastAsia="宋体" w:cs="宋体"/>
          <w:color w:val="auto"/>
          <w:sz w:val="24"/>
          <w:highlight w:val="none"/>
          <w:lang w:val="zh-CN"/>
        </w:rPr>
        <w:t>：</w:t>
      </w:r>
    </w:p>
    <w:p w14:paraId="73823EA4">
      <w:pPr>
        <w:autoSpaceDE w:val="0"/>
        <w:autoSpaceDN w:val="0"/>
        <w:adjustRightInd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统一社会信用代码：                      统一社会信用代码或身份证号码：</w:t>
      </w:r>
    </w:p>
    <w:p w14:paraId="57E5C36E">
      <w:pPr>
        <w:autoSpaceDE w:val="0"/>
        <w:autoSpaceDN w:val="0"/>
        <w:adjustRightInd w:val="0"/>
        <w:spacing w:line="560" w:lineRule="exact"/>
        <w:rPr>
          <w:rFonts w:hint="eastAsia" w:ascii="宋体" w:hAnsi="宋体" w:eastAsia="宋体" w:cs="宋体"/>
          <w:color w:val="auto"/>
          <w:sz w:val="24"/>
          <w:highlight w:val="none"/>
          <w:lang w:val="zh-CN"/>
        </w:rPr>
      </w:pPr>
    </w:p>
    <w:p w14:paraId="44CA2030">
      <w:pPr>
        <w:autoSpaceDE w:val="0"/>
        <w:autoSpaceDN w:val="0"/>
        <w:adjustRightInd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住所：                                   住所：</w:t>
      </w:r>
    </w:p>
    <w:p w14:paraId="3109A30D">
      <w:pPr>
        <w:autoSpaceDE w:val="0"/>
        <w:autoSpaceDN w:val="0"/>
        <w:adjustRightInd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法定代表人或                             法定代表人</w:t>
      </w:r>
    </w:p>
    <w:p w14:paraId="1A97B8E7">
      <w:pPr>
        <w:autoSpaceDE w:val="0"/>
        <w:autoSpaceDN w:val="0"/>
        <w:adjustRightInd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授权代表（签字）：                       或授权代表（签字）: </w:t>
      </w:r>
    </w:p>
    <w:p w14:paraId="43326FC9">
      <w:pPr>
        <w:autoSpaceDE w:val="0"/>
        <w:autoSpaceDN w:val="0"/>
        <w:adjustRightInd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联系人：                                 联系人：</w:t>
      </w:r>
    </w:p>
    <w:p w14:paraId="41540FEE">
      <w:pPr>
        <w:autoSpaceDE w:val="0"/>
        <w:autoSpaceDN w:val="0"/>
        <w:adjustRightInd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约定送达地址：                           约定送达地址：</w:t>
      </w:r>
    </w:p>
    <w:p w14:paraId="742539D4">
      <w:pPr>
        <w:autoSpaceDE w:val="0"/>
        <w:autoSpaceDN w:val="0"/>
        <w:adjustRightInd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邮政编码：                               邮政编码：</w:t>
      </w:r>
    </w:p>
    <w:p w14:paraId="655FF228">
      <w:pPr>
        <w:autoSpaceDE w:val="0"/>
        <w:autoSpaceDN w:val="0"/>
        <w:adjustRightInd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电话:                                    电话: </w:t>
      </w:r>
    </w:p>
    <w:p w14:paraId="2ECAE1DD">
      <w:pPr>
        <w:autoSpaceDE w:val="0"/>
        <w:autoSpaceDN w:val="0"/>
        <w:adjustRightInd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传真:                                    传真:</w:t>
      </w:r>
    </w:p>
    <w:p w14:paraId="1D7C244F">
      <w:pPr>
        <w:autoSpaceDE w:val="0"/>
        <w:autoSpaceDN w:val="0"/>
        <w:adjustRightInd w:val="0"/>
        <w:spacing w:line="5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电子邮箱：                               电子邮箱：</w:t>
      </w:r>
    </w:p>
    <w:p w14:paraId="3871B426">
      <w:pPr>
        <w:autoSpaceDE w:val="0"/>
        <w:autoSpaceDN w:val="0"/>
        <w:adjustRightInd w:val="0"/>
        <w:spacing w:line="5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开户银行：                               开户银行： </w:t>
      </w:r>
    </w:p>
    <w:p w14:paraId="419B3D37">
      <w:pPr>
        <w:autoSpaceDE w:val="0"/>
        <w:autoSpaceDN w:val="0"/>
        <w:adjustRightInd w:val="0"/>
        <w:spacing w:line="5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开户名称：                               开户名称： </w:t>
      </w:r>
    </w:p>
    <w:p w14:paraId="2C54CC29">
      <w:pPr>
        <w:autoSpaceDE w:val="0"/>
        <w:autoSpaceDN w:val="0"/>
        <w:adjustRightInd w:val="0"/>
        <w:spacing w:line="5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开户账号：</w:t>
      </w:r>
      <w:r>
        <w:rPr>
          <w:rFonts w:hint="eastAsia" w:ascii="宋体" w:hAnsi="宋体" w:eastAsia="宋体" w:cs="宋体"/>
          <w:color w:val="auto"/>
          <w:sz w:val="24"/>
          <w:highlight w:val="none"/>
          <w:lang w:val="zh-CN"/>
        </w:rPr>
        <w:t xml:space="preserve">                               </w:t>
      </w:r>
      <w:r>
        <w:rPr>
          <w:rFonts w:hint="eastAsia" w:ascii="宋体" w:hAnsi="宋体" w:eastAsia="宋体" w:cs="宋体"/>
          <w:color w:val="auto"/>
          <w:sz w:val="24"/>
          <w:highlight w:val="none"/>
        </w:rPr>
        <w:t>开户账号：</w:t>
      </w:r>
    </w:p>
    <w:p w14:paraId="3D733B3D">
      <w:pPr>
        <w:widowControl/>
        <w:spacing w:line="560" w:lineRule="exact"/>
        <w:jc w:val="left"/>
        <w:rPr>
          <w:rFonts w:hint="eastAsia" w:ascii="宋体" w:hAnsi="宋体" w:eastAsia="宋体" w:cs="宋体"/>
          <w:b/>
          <w:color w:val="auto"/>
          <w:highlight w:val="none"/>
        </w:rPr>
      </w:pPr>
      <w:bookmarkStart w:id="409" w:name="_Toc331685783"/>
    </w:p>
    <w:p w14:paraId="17759892">
      <w:pPr>
        <w:widowControl/>
        <w:spacing w:line="560" w:lineRule="exact"/>
        <w:jc w:val="left"/>
        <w:rPr>
          <w:rFonts w:hint="eastAsia" w:ascii="宋体" w:hAnsi="宋体" w:eastAsia="宋体" w:cs="宋体"/>
          <w:b/>
          <w:color w:val="auto"/>
          <w:highlight w:val="none"/>
        </w:rPr>
      </w:pPr>
    </w:p>
    <w:p w14:paraId="2EAD5C7C">
      <w:pPr>
        <w:pStyle w:val="4"/>
        <w:rPr>
          <w:rFonts w:hint="eastAsia" w:ascii="宋体" w:hAnsi="宋体" w:eastAsia="宋体" w:cs="宋体"/>
          <w:b/>
          <w:color w:val="auto"/>
          <w:highlight w:val="none"/>
        </w:rPr>
      </w:pPr>
    </w:p>
    <w:p w14:paraId="48E4793F">
      <w:pPr>
        <w:pStyle w:val="7"/>
        <w:rPr>
          <w:rFonts w:hint="eastAsia" w:ascii="宋体" w:hAnsi="宋体" w:eastAsia="宋体" w:cs="宋体"/>
          <w:color w:val="auto"/>
          <w:highlight w:val="none"/>
        </w:rPr>
      </w:pPr>
    </w:p>
    <w:p w14:paraId="189D0ABA">
      <w:pPr>
        <w:pStyle w:val="62"/>
        <w:spacing w:line="560" w:lineRule="exact"/>
        <w:ind w:firstLine="200"/>
        <w:jc w:val="center"/>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第二部分 合同一般条款</w:t>
      </w:r>
      <w:bookmarkEnd w:id="409"/>
    </w:p>
    <w:p w14:paraId="466C50DF">
      <w:pPr>
        <w:spacing w:line="560" w:lineRule="exact"/>
        <w:ind w:firstLine="482" w:firstLineChars="200"/>
        <w:outlineLvl w:val="0"/>
        <w:rPr>
          <w:rFonts w:hint="eastAsia" w:ascii="宋体" w:hAnsi="宋体" w:eastAsia="宋体" w:cs="宋体"/>
          <w:b/>
          <w:color w:val="auto"/>
          <w:sz w:val="24"/>
          <w:highlight w:val="none"/>
        </w:rPr>
      </w:pPr>
      <w:bookmarkStart w:id="410" w:name="_Toc19614"/>
      <w:bookmarkStart w:id="411" w:name="_Toc279701240"/>
      <w:bookmarkStart w:id="412" w:name="_Ref467379225"/>
      <w:bookmarkStart w:id="413" w:name="_Ref467379195"/>
      <w:bookmarkStart w:id="414" w:name="_Ref467379109"/>
      <w:bookmarkStart w:id="415" w:name="_Ref467379094"/>
      <w:bookmarkStart w:id="416" w:name="_Ref467378499"/>
      <w:bookmarkStart w:id="417" w:name="_Toc487900349"/>
      <w:bookmarkStart w:id="418" w:name="_Ref467379101"/>
      <w:bookmarkStart w:id="419" w:name="_Ref467378463"/>
      <w:bookmarkStart w:id="420" w:name="_Ref467379214"/>
      <w:bookmarkStart w:id="421" w:name="_Toc16917"/>
      <w:bookmarkStart w:id="422" w:name="_Toc28763"/>
      <w:bookmarkStart w:id="423" w:name="_Ref467378404"/>
      <w:bookmarkStart w:id="424" w:name="_Toc259093669"/>
      <w:bookmarkStart w:id="425" w:name="_Ref467379205"/>
      <w:r>
        <w:rPr>
          <w:rFonts w:hint="eastAsia" w:ascii="宋体" w:hAnsi="宋体" w:eastAsia="宋体" w:cs="宋体"/>
          <w:b/>
          <w:color w:val="auto"/>
          <w:sz w:val="24"/>
          <w:highlight w:val="none"/>
        </w:rPr>
        <w:t>2.1 定义</w:t>
      </w:r>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p>
    <w:p w14:paraId="4741AAAC">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本合同中的下列词语应按以下内容进行解释：</w:t>
      </w:r>
    </w:p>
    <w:p w14:paraId="0B83291D">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 “合同”系指采购人和中标供应商签订的载明双方当事人所达成的协议，并包括所有的附件、附录和构成合同的其他文件。</w:t>
      </w:r>
    </w:p>
    <w:p w14:paraId="2714895C">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2.1.2 “合同价”系指根据合同约定，中标供应商在完全履行合同义务后，采购人应支付给中标供应商的价格。</w:t>
      </w:r>
    </w:p>
    <w:p w14:paraId="7792BC01">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2.1.3 “货物”系指中标供应商根据合同约定应向采购人交付的一切各种形态和种类的物品，包括原材料、燃料、设备、机械、仪表、备件、计算机软件、产品等，并包括工具、手册等其他相关资料。</w:t>
      </w:r>
    </w:p>
    <w:p w14:paraId="5F5C095F">
      <w:pPr>
        <w:spacing w:line="560" w:lineRule="exact"/>
        <w:ind w:firstLine="480" w:firstLineChars="200"/>
        <w:rPr>
          <w:rFonts w:hint="eastAsia" w:ascii="宋体" w:hAnsi="宋体" w:eastAsia="宋体" w:cs="宋体"/>
          <w:color w:val="auto"/>
          <w:sz w:val="24"/>
          <w:highlight w:val="none"/>
        </w:rPr>
      </w:pPr>
      <w:bookmarkStart w:id="426" w:name="_Ref467378840"/>
      <w:r>
        <w:rPr>
          <w:rFonts w:hint="eastAsia" w:ascii="宋体" w:hAnsi="宋体" w:eastAsia="宋体" w:cs="宋体"/>
          <w:color w:val="auto"/>
          <w:sz w:val="24"/>
          <w:highlight w:val="none"/>
        </w:rPr>
        <w:t>2.1.4 “甲方”系指与中标供应商签署合同的采购人</w:t>
      </w:r>
      <w:bookmarkEnd w:id="426"/>
      <w:r>
        <w:rPr>
          <w:rFonts w:hint="eastAsia" w:ascii="宋体" w:hAnsi="宋体" w:eastAsia="宋体" w:cs="宋体"/>
          <w:color w:val="auto"/>
          <w:sz w:val="24"/>
          <w:highlight w:val="none"/>
        </w:rPr>
        <w:t>；采购人委托采购代理机构代表其与乙方签订合同的，采购人的授权委托书作为合同附件。</w:t>
      </w:r>
    </w:p>
    <w:p w14:paraId="33F1BD1D">
      <w:pPr>
        <w:spacing w:line="560" w:lineRule="exact"/>
        <w:ind w:firstLine="480" w:firstLineChars="200"/>
        <w:rPr>
          <w:rFonts w:hint="eastAsia" w:ascii="宋体" w:hAnsi="宋体" w:eastAsia="宋体" w:cs="宋体"/>
          <w:color w:val="auto"/>
          <w:sz w:val="24"/>
          <w:highlight w:val="none"/>
        </w:rPr>
      </w:pPr>
      <w:bookmarkStart w:id="427" w:name="_Ref467379400"/>
      <w:r>
        <w:rPr>
          <w:rFonts w:hint="eastAsia" w:ascii="宋体" w:hAnsi="宋体" w:eastAsia="宋体" w:cs="宋体"/>
          <w:color w:val="auto"/>
          <w:sz w:val="24"/>
          <w:highlight w:val="none"/>
        </w:rPr>
        <w:t>2.1.5 “乙方”系指根据合同约定交付货物的中标供应商</w:t>
      </w:r>
      <w:bookmarkEnd w:id="427"/>
      <w:r>
        <w:rPr>
          <w:rFonts w:hint="eastAsia" w:ascii="宋体" w:hAnsi="宋体" w:eastAsia="宋体" w:cs="宋体"/>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55CFEE18">
      <w:pPr>
        <w:spacing w:line="560" w:lineRule="exact"/>
        <w:ind w:firstLine="480" w:firstLineChars="200"/>
        <w:rPr>
          <w:rFonts w:hint="eastAsia" w:ascii="宋体" w:hAnsi="宋体" w:eastAsia="宋体" w:cs="宋体"/>
          <w:color w:val="auto"/>
          <w:sz w:val="24"/>
          <w:highlight w:val="none"/>
        </w:rPr>
      </w:pPr>
      <w:bookmarkStart w:id="428" w:name="_Ref467379436"/>
      <w:r>
        <w:rPr>
          <w:rFonts w:hint="eastAsia" w:ascii="宋体" w:hAnsi="宋体" w:eastAsia="宋体" w:cs="宋体"/>
          <w:color w:val="auto"/>
          <w:sz w:val="24"/>
          <w:highlight w:val="none"/>
        </w:rPr>
        <w:t>2.1.6 “现场”系指合同约定货物将要运至或者安装的地点。</w:t>
      </w:r>
      <w:bookmarkEnd w:id="428"/>
    </w:p>
    <w:p w14:paraId="7EF35C60">
      <w:pPr>
        <w:spacing w:line="560" w:lineRule="exact"/>
        <w:ind w:firstLine="482" w:firstLineChars="200"/>
        <w:outlineLvl w:val="0"/>
        <w:rPr>
          <w:rFonts w:hint="eastAsia" w:ascii="宋体" w:hAnsi="宋体" w:eastAsia="宋体" w:cs="宋体"/>
          <w:b/>
          <w:color w:val="auto"/>
          <w:sz w:val="24"/>
          <w:highlight w:val="none"/>
        </w:rPr>
      </w:pPr>
      <w:bookmarkStart w:id="429" w:name="_Toc13336"/>
      <w:bookmarkStart w:id="430" w:name="_Toc27635"/>
      <w:bookmarkStart w:id="431" w:name="_Toc259093670"/>
      <w:bookmarkStart w:id="432" w:name="_Toc32504"/>
      <w:bookmarkStart w:id="433" w:name="_Toc279701241"/>
      <w:bookmarkStart w:id="434" w:name="_Toc487900350"/>
      <w:r>
        <w:rPr>
          <w:rFonts w:hint="eastAsia" w:ascii="宋体" w:hAnsi="宋体" w:eastAsia="宋体" w:cs="宋体"/>
          <w:b/>
          <w:color w:val="auto"/>
          <w:sz w:val="24"/>
          <w:highlight w:val="none"/>
        </w:rPr>
        <w:t>2.2 技术规范</w:t>
      </w:r>
      <w:bookmarkEnd w:id="429"/>
      <w:bookmarkEnd w:id="430"/>
      <w:bookmarkEnd w:id="431"/>
      <w:bookmarkEnd w:id="432"/>
      <w:bookmarkEnd w:id="433"/>
      <w:bookmarkEnd w:id="434"/>
    </w:p>
    <w:p w14:paraId="65B13985">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5E59BD03">
      <w:pPr>
        <w:spacing w:line="560" w:lineRule="exact"/>
        <w:ind w:firstLine="482" w:firstLineChars="200"/>
        <w:outlineLvl w:val="0"/>
        <w:rPr>
          <w:rFonts w:hint="eastAsia" w:ascii="宋体" w:hAnsi="宋体" w:eastAsia="宋体" w:cs="宋体"/>
          <w:b/>
          <w:color w:val="auto"/>
          <w:sz w:val="24"/>
          <w:highlight w:val="none"/>
        </w:rPr>
      </w:pPr>
      <w:bookmarkStart w:id="435" w:name="_Toc279701242"/>
      <w:bookmarkStart w:id="436" w:name="_Toc31634"/>
      <w:bookmarkStart w:id="437" w:name="_Toc27853"/>
      <w:bookmarkStart w:id="438" w:name="_Toc259093671"/>
      <w:bookmarkStart w:id="439" w:name="_Toc487900351"/>
      <w:bookmarkStart w:id="440" w:name="_Toc9829"/>
      <w:r>
        <w:rPr>
          <w:rFonts w:hint="eastAsia" w:ascii="宋体" w:hAnsi="宋体" w:eastAsia="宋体" w:cs="宋体"/>
          <w:b/>
          <w:color w:val="auto"/>
          <w:sz w:val="24"/>
          <w:highlight w:val="none"/>
        </w:rPr>
        <w:t>2.3 知识产权</w:t>
      </w:r>
      <w:bookmarkEnd w:id="435"/>
      <w:bookmarkEnd w:id="436"/>
      <w:bookmarkEnd w:id="437"/>
      <w:bookmarkEnd w:id="438"/>
      <w:bookmarkEnd w:id="439"/>
      <w:bookmarkEnd w:id="440"/>
    </w:p>
    <w:p w14:paraId="232D7BD8">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p>
    <w:p w14:paraId="3330AE6A">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2.3.2具有知识产权的计算机软件等货物的知识产权归属，详见</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4260CB9F">
      <w:pPr>
        <w:spacing w:line="560" w:lineRule="exact"/>
        <w:ind w:firstLine="482" w:firstLineChars="200"/>
        <w:outlineLvl w:val="0"/>
        <w:rPr>
          <w:rFonts w:hint="eastAsia" w:ascii="宋体" w:hAnsi="宋体" w:eastAsia="宋体" w:cs="宋体"/>
          <w:b/>
          <w:color w:val="auto"/>
          <w:sz w:val="24"/>
          <w:highlight w:val="none"/>
        </w:rPr>
      </w:pPr>
      <w:bookmarkStart w:id="441" w:name="_Toc4194"/>
      <w:bookmarkStart w:id="442" w:name="_Toc11932"/>
      <w:bookmarkStart w:id="443" w:name="_Toc29149"/>
      <w:r>
        <w:rPr>
          <w:rFonts w:hint="eastAsia" w:ascii="宋体" w:hAnsi="宋体" w:eastAsia="宋体" w:cs="宋体"/>
          <w:b/>
          <w:color w:val="auto"/>
          <w:sz w:val="24"/>
          <w:highlight w:val="none"/>
        </w:rPr>
        <w:t>2.4 包装和装运</w:t>
      </w:r>
      <w:bookmarkEnd w:id="441"/>
      <w:bookmarkEnd w:id="442"/>
      <w:bookmarkEnd w:id="443"/>
    </w:p>
    <w:p w14:paraId="1F3B382F">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2.4.1除</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14:paraId="3E8D77FB">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2.4.2 装运货物的要求和通知，详见</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775C3FA4">
      <w:pPr>
        <w:spacing w:line="560" w:lineRule="exact"/>
        <w:ind w:firstLine="482" w:firstLineChars="200"/>
        <w:outlineLvl w:val="0"/>
        <w:rPr>
          <w:rFonts w:hint="eastAsia" w:ascii="宋体" w:hAnsi="宋体" w:eastAsia="宋体" w:cs="宋体"/>
          <w:b/>
          <w:color w:val="auto"/>
          <w:sz w:val="24"/>
          <w:highlight w:val="none"/>
        </w:rPr>
      </w:pPr>
      <w:bookmarkStart w:id="444" w:name="_Ref467379542"/>
      <w:bookmarkStart w:id="445" w:name="_Ref467378541"/>
      <w:bookmarkStart w:id="446" w:name="_Ref467378591"/>
      <w:bookmarkStart w:id="447" w:name="_Toc279701245"/>
      <w:bookmarkStart w:id="448" w:name="_Toc259093674"/>
      <w:bookmarkStart w:id="449" w:name="_Ref467379536"/>
      <w:bookmarkStart w:id="450" w:name="_Ref467379527"/>
      <w:bookmarkStart w:id="451" w:name="_Toc487900354"/>
      <w:bookmarkStart w:id="452" w:name="_Toc19074"/>
      <w:bookmarkStart w:id="453" w:name="_Toc26182"/>
      <w:bookmarkStart w:id="454" w:name="_Toc30272"/>
      <w:r>
        <w:rPr>
          <w:rFonts w:hint="eastAsia" w:ascii="宋体" w:hAnsi="宋体" w:eastAsia="宋体" w:cs="宋体"/>
          <w:b/>
          <w:color w:val="auto"/>
          <w:sz w:val="24"/>
          <w:highlight w:val="none"/>
        </w:rPr>
        <w:t>2.</w:t>
      </w:r>
      <w:bookmarkEnd w:id="444"/>
      <w:bookmarkEnd w:id="445"/>
      <w:bookmarkEnd w:id="446"/>
      <w:bookmarkEnd w:id="447"/>
      <w:bookmarkEnd w:id="448"/>
      <w:bookmarkEnd w:id="449"/>
      <w:bookmarkEnd w:id="450"/>
      <w:bookmarkEnd w:id="451"/>
      <w:r>
        <w:rPr>
          <w:rFonts w:hint="eastAsia" w:ascii="宋体" w:hAnsi="宋体" w:eastAsia="宋体" w:cs="宋体"/>
          <w:b/>
          <w:color w:val="auto"/>
          <w:sz w:val="24"/>
          <w:highlight w:val="none"/>
        </w:rPr>
        <w:t>5 履约检查和问题反馈</w:t>
      </w:r>
      <w:bookmarkEnd w:id="452"/>
      <w:bookmarkEnd w:id="453"/>
      <w:bookmarkEnd w:id="454"/>
    </w:p>
    <w:p w14:paraId="34ECEE1E">
      <w:pPr>
        <w:spacing w:line="560" w:lineRule="exact"/>
        <w:ind w:firstLine="480" w:firstLineChars="200"/>
        <w:rPr>
          <w:rFonts w:hint="eastAsia" w:ascii="宋体" w:hAnsi="宋体" w:eastAsia="宋体" w:cs="宋体"/>
          <w:color w:val="auto"/>
          <w:sz w:val="24"/>
          <w:highlight w:val="none"/>
        </w:rPr>
      </w:pPr>
      <w:bookmarkStart w:id="455" w:name="_Ref467379657"/>
      <w:r>
        <w:rPr>
          <w:rFonts w:hint="eastAsia" w:ascii="宋体" w:hAnsi="宋体" w:eastAsia="宋体" w:cs="宋体"/>
          <w:color w:val="auto"/>
          <w:sz w:val="24"/>
          <w:highlight w:val="none"/>
        </w:rPr>
        <w:t>2.5.1</w:t>
      </w:r>
      <w:bookmarkEnd w:id="455"/>
      <w:bookmarkStart w:id="456" w:name="_Toc186431854"/>
      <w:bookmarkStart w:id="457" w:name="_Toc259093676"/>
      <w:bookmarkStart w:id="458" w:name="_Ref467379793"/>
      <w:bookmarkStart w:id="459" w:name="_Ref467379807"/>
      <w:bookmarkStart w:id="460" w:name="_Toc487900357"/>
      <w:bookmarkStart w:id="461" w:name="_Toc279701247"/>
      <w:r>
        <w:rPr>
          <w:rFonts w:hint="eastAsia" w:ascii="宋体" w:hAnsi="宋体" w:eastAsia="宋体" w:cs="宋体"/>
          <w:color w:val="auto"/>
          <w:sz w:val="24"/>
          <w:highlight w:val="none"/>
        </w:rPr>
        <w:t>甲方有权在其认为必要时，对乙方是否能够按照合同约定交付货物进行履约检查，以确保乙方所交付的货物能够依约满足甲方之项目需求，但不得因履约检查妨碍乙方的正常工作，乙方应予积极配合；</w:t>
      </w:r>
    </w:p>
    <w:p w14:paraId="67FD82E5">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2.5.2 合同履行期间，甲方有权将履行过程中出现的问题反馈给乙方，双方当事人应以书面形式约定需要完善和改进的内容</w:t>
      </w:r>
      <w:bookmarkEnd w:id="456"/>
      <w:bookmarkStart w:id="462" w:name="_Toc186431855"/>
      <w:r>
        <w:rPr>
          <w:rFonts w:hint="eastAsia" w:ascii="宋体" w:hAnsi="宋体" w:eastAsia="宋体" w:cs="宋体"/>
          <w:color w:val="auto"/>
          <w:sz w:val="24"/>
          <w:highlight w:val="none"/>
        </w:rPr>
        <w:t>。</w:t>
      </w:r>
    </w:p>
    <w:bookmarkEnd w:id="462"/>
    <w:p w14:paraId="4314D4E9">
      <w:pPr>
        <w:spacing w:line="560" w:lineRule="exact"/>
        <w:ind w:firstLine="482" w:firstLineChars="200"/>
        <w:outlineLvl w:val="0"/>
        <w:rPr>
          <w:rFonts w:hint="eastAsia" w:ascii="宋体" w:hAnsi="宋体" w:eastAsia="宋体" w:cs="宋体"/>
          <w:b/>
          <w:color w:val="auto"/>
          <w:sz w:val="24"/>
          <w:highlight w:val="none"/>
        </w:rPr>
      </w:pPr>
      <w:bookmarkStart w:id="463" w:name="_Toc7836"/>
      <w:bookmarkStart w:id="464" w:name="_Toc19219"/>
      <w:bookmarkStart w:id="465" w:name="_Toc28451"/>
      <w:r>
        <w:rPr>
          <w:rFonts w:hint="eastAsia" w:ascii="宋体" w:hAnsi="宋体" w:eastAsia="宋体" w:cs="宋体"/>
          <w:b/>
          <w:color w:val="auto"/>
          <w:sz w:val="24"/>
          <w:highlight w:val="none"/>
        </w:rPr>
        <w:t>2.6 结算方式和付款条件</w:t>
      </w:r>
      <w:bookmarkEnd w:id="457"/>
      <w:bookmarkEnd w:id="458"/>
      <w:bookmarkEnd w:id="459"/>
      <w:bookmarkEnd w:id="460"/>
      <w:bookmarkEnd w:id="461"/>
      <w:bookmarkEnd w:id="463"/>
      <w:bookmarkEnd w:id="464"/>
      <w:bookmarkEnd w:id="465"/>
    </w:p>
    <w:p w14:paraId="0C6B6B2F">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详见</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1ED7DC57">
      <w:pPr>
        <w:spacing w:line="560" w:lineRule="exact"/>
        <w:ind w:firstLine="482" w:firstLineChars="200"/>
        <w:outlineLvl w:val="0"/>
        <w:rPr>
          <w:rFonts w:hint="eastAsia" w:ascii="宋体" w:hAnsi="宋体" w:eastAsia="宋体" w:cs="宋体"/>
          <w:b/>
          <w:color w:val="auto"/>
          <w:sz w:val="24"/>
          <w:highlight w:val="none"/>
        </w:rPr>
      </w:pPr>
      <w:bookmarkStart w:id="466" w:name="_Ref467379923"/>
      <w:bookmarkStart w:id="467" w:name="_Toc259093677"/>
      <w:bookmarkStart w:id="468" w:name="_Ref467379863"/>
      <w:bookmarkStart w:id="469" w:name="_Ref467379852"/>
      <w:bookmarkStart w:id="470" w:name="_Toc279701248"/>
      <w:bookmarkStart w:id="471" w:name="_Toc487900358"/>
      <w:bookmarkStart w:id="472" w:name="_Toc16110"/>
      <w:bookmarkStart w:id="473" w:name="_Toc3225"/>
      <w:bookmarkStart w:id="474" w:name="_Toc774"/>
      <w:r>
        <w:rPr>
          <w:rFonts w:hint="eastAsia" w:ascii="宋体" w:hAnsi="宋体" w:eastAsia="宋体" w:cs="宋体"/>
          <w:b/>
          <w:color w:val="auto"/>
          <w:sz w:val="24"/>
          <w:highlight w:val="none"/>
        </w:rPr>
        <w:t>2.7 技术资料</w:t>
      </w:r>
      <w:bookmarkEnd w:id="466"/>
      <w:bookmarkEnd w:id="467"/>
      <w:bookmarkEnd w:id="468"/>
      <w:bookmarkEnd w:id="469"/>
      <w:bookmarkEnd w:id="470"/>
      <w:bookmarkEnd w:id="471"/>
      <w:r>
        <w:rPr>
          <w:rFonts w:hint="eastAsia" w:ascii="宋体" w:hAnsi="宋体" w:eastAsia="宋体" w:cs="宋体"/>
          <w:b/>
          <w:color w:val="auto"/>
          <w:sz w:val="24"/>
          <w:highlight w:val="none"/>
        </w:rPr>
        <w:t>和保密义务</w:t>
      </w:r>
      <w:bookmarkEnd w:id="472"/>
      <w:bookmarkEnd w:id="473"/>
      <w:bookmarkEnd w:id="474"/>
    </w:p>
    <w:p w14:paraId="26CC1AF0">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2.7.1 乙方有权依据合同约定和项目需要，向甲方了解有关情况，调阅有关资料等，甲方应予积极配合；</w:t>
      </w:r>
    </w:p>
    <w:p w14:paraId="15DAE27C">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2.7.2 乙方有义务妥善保管和保护由甲方提供的前款信息和资料等；</w:t>
      </w:r>
    </w:p>
    <w:p w14:paraId="3F7AE9B1">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2.7.3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2CFAA89B">
      <w:pPr>
        <w:spacing w:line="560" w:lineRule="exact"/>
        <w:ind w:firstLine="482" w:firstLineChars="200"/>
        <w:outlineLvl w:val="0"/>
        <w:rPr>
          <w:rFonts w:hint="eastAsia" w:ascii="宋体" w:hAnsi="宋体" w:eastAsia="宋体" w:cs="宋体"/>
          <w:b/>
          <w:color w:val="auto"/>
          <w:sz w:val="24"/>
          <w:highlight w:val="none"/>
        </w:rPr>
      </w:pPr>
      <w:bookmarkStart w:id="475" w:name="_Toc7860"/>
      <w:r>
        <w:rPr>
          <w:rFonts w:hint="eastAsia" w:ascii="宋体" w:hAnsi="宋体" w:eastAsia="宋体" w:cs="宋体"/>
          <w:b/>
          <w:color w:val="auto"/>
          <w:sz w:val="24"/>
          <w:highlight w:val="none"/>
        </w:rPr>
        <w:t>2.8 质量保证</w:t>
      </w:r>
      <w:bookmarkEnd w:id="475"/>
    </w:p>
    <w:p w14:paraId="7307DC27">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2.8.1 乙方应建立和完善履行合同的内部质量保证体系，并提供相关内部规章制度给甲方，以便甲方进行监督检查；</w:t>
      </w:r>
    </w:p>
    <w:p w14:paraId="4F43D3D5">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2.8.2 乙方应保证履行合同的人员数量和素质、软件和硬件设备的配置、场地、环境和设施等满足全面履行合同的要求，并应接受甲方的监督检查。</w:t>
      </w:r>
    </w:p>
    <w:p w14:paraId="453B91A7">
      <w:pPr>
        <w:spacing w:line="560" w:lineRule="exact"/>
        <w:ind w:firstLine="482" w:firstLineChars="200"/>
        <w:outlineLvl w:val="0"/>
        <w:rPr>
          <w:rFonts w:hint="eastAsia" w:ascii="宋体" w:hAnsi="宋体" w:eastAsia="宋体" w:cs="宋体"/>
          <w:b/>
          <w:color w:val="auto"/>
          <w:sz w:val="24"/>
          <w:highlight w:val="none"/>
        </w:rPr>
      </w:pPr>
      <w:bookmarkStart w:id="476" w:name="_Toc17244"/>
      <w:bookmarkStart w:id="477" w:name="_Toc279701252"/>
      <w:bookmarkStart w:id="478" w:name="_Toc259093681"/>
      <w:bookmarkStart w:id="479" w:name="_Toc487900362"/>
      <w:r>
        <w:rPr>
          <w:rFonts w:hint="eastAsia" w:ascii="宋体" w:hAnsi="宋体" w:eastAsia="宋体" w:cs="宋体"/>
          <w:b/>
          <w:color w:val="auto"/>
          <w:sz w:val="24"/>
          <w:highlight w:val="none"/>
        </w:rPr>
        <w:t>2.9 货物的风险负担</w:t>
      </w:r>
      <w:bookmarkEnd w:id="476"/>
    </w:p>
    <w:p w14:paraId="32BB91FC">
      <w:pPr>
        <w:spacing w:line="560" w:lineRule="exact"/>
        <w:ind w:firstLine="480" w:firstLineChars="200"/>
        <w:rPr>
          <w:rFonts w:hint="eastAsia" w:ascii="宋体" w:hAnsi="宋体" w:eastAsia="宋体" w:cs="宋体"/>
          <w:b/>
          <w:color w:val="auto"/>
          <w:sz w:val="24"/>
          <w:highlight w:val="none"/>
        </w:rPr>
      </w:pPr>
      <w:r>
        <w:rPr>
          <w:rFonts w:hint="eastAsia" w:ascii="宋体" w:hAnsi="宋体" w:eastAsia="宋体" w:cs="宋体"/>
          <w:color w:val="auto"/>
          <w:sz w:val="24"/>
          <w:highlight w:val="none"/>
        </w:rPr>
        <w:t>货物或者在途货物或者交付给第一承运人后的货物毁损、灭失的风险负担详见</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59F7D74C">
      <w:pPr>
        <w:spacing w:line="560" w:lineRule="exact"/>
        <w:ind w:firstLine="482" w:firstLineChars="200"/>
        <w:outlineLvl w:val="0"/>
        <w:rPr>
          <w:rFonts w:hint="eastAsia" w:ascii="宋体" w:hAnsi="宋体" w:eastAsia="宋体" w:cs="宋体"/>
          <w:b/>
          <w:color w:val="auto"/>
          <w:sz w:val="24"/>
          <w:highlight w:val="none"/>
        </w:rPr>
      </w:pPr>
      <w:bookmarkStart w:id="480" w:name="_Toc14055"/>
      <w:r>
        <w:rPr>
          <w:rFonts w:hint="eastAsia" w:ascii="宋体" w:hAnsi="宋体" w:eastAsia="宋体" w:cs="宋体"/>
          <w:b/>
          <w:color w:val="auto"/>
          <w:sz w:val="24"/>
          <w:highlight w:val="none"/>
        </w:rPr>
        <w:t>2.10 延迟交货</w:t>
      </w:r>
      <w:bookmarkEnd w:id="477"/>
      <w:bookmarkEnd w:id="478"/>
      <w:bookmarkEnd w:id="479"/>
      <w:bookmarkEnd w:id="480"/>
    </w:p>
    <w:p w14:paraId="7F021F57">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在合同履行过程中，如果乙方遇到不能按时交付货物的情况，应及时以书面形式将不能按时交付货物的理由、预期延误时间通知甲方；甲方收到乙方通知后，认为其理由正当的，可以书面形式酌情同意乙方可以延长交货的具体时间。</w:t>
      </w:r>
    </w:p>
    <w:p w14:paraId="350FBB63">
      <w:pPr>
        <w:spacing w:line="560" w:lineRule="exact"/>
        <w:ind w:firstLine="482" w:firstLineChars="200"/>
        <w:outlineLvl w:val="0"/>
        <w:rPr>
          <w:rFonts w:hint="eastAsia" w:ascii="宋体" w:hAnsi="宋体" w:eastAsia="宋体" w:cs="宋体"/>
          <w:b/>
          <w:color w:val="auto"/>
          <w:sz w:val="24"/>
          <w:highlight w:val="none"/>
        </w:rPr>
      </w:pPr>
      <w:bookmarkStart w:id="481" w:name="_Toc7502"/>
      <w:bookmarkStart w:id="482" w:name="_Toc259093683"/>
      <w:bookmarkStart w:id="483" w:name="_Toc279701254"/>
      <w:bookmarkStart w:id="484" w:name="_Ref467378121"/>
      <w:bookmarkStart w:id="485" w:name="_Toc487900364"/>
      <w:r>
        <w:rPr>
          <w:rFonts w:hint="eastAsia" w:ascii="宋体" w:hAnsi="宋体" w:eastAsia="宋体" w:cs="宋体"/>
          <w:b/>
          <w:color w:val="auto"/>
          <w:sz w:val="24"/>
          <w:highlight w:val="none"/>
        </w:rPr>
        <w:t>2.11 合同变更</w:t>
      </w:r>
      <w:bookmarkEnd w:id="481"/>
    </w:p>
    <w:p w14:paraId="54A83AF2">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2.11.1双方当事人协商一致，可以签订书面补充合同的形式变更合同，但不得违背采购文件确定的事项，且如果系追加与合同标的相同的货物的，那么所有补充合同的采购金额不得超过原合同价的10%；</w:t>
      </w:r>
    </w:p>
    <w:p w14:paraId="3479A0A0">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2.11.2 合同继续履行将损害国家利益和社会公共利益的，双方当事人应当以书面形式变更合同。有过错的一方应当承担赔偿责任，双方当事人都有过错的，各自承担相应的责任。</w:t>
      </w:r>
      <w:bookmarkStart w:id="486" w:name="_Toc279701259"/>
      <w:bookmarkStart w:id="487" w:name="_Toc259093688"/>
      <w:bookmarkStart w:id="488" w:name="_Toc487900369"/>
    </w:p>
    <w:p w14:paraId="2BDF4F81">
      <w:pPr>
        <w:spacing w:line="560" w:lineRule="exact"/>
        <w:ind w:firstLine="482" w:firstLineChars="200"/>
        <w:outlineLvl w:val="0"/>
        <w:rPr>
          <w:rFonts w:hint="eastAsia" w:ascii="宋体" w:hAnsi="宋体" w:eastAsia="宋体" w:cs="宋体"/>
          <w:b/>
          <w:color w:val="auto"/>
          <w:sz w:val="24"/>
          <w:highlight w:val="none"/>
        </w:rPr>
      </w:pPr>
      <w:bookmarkStart w:id="489" w:name="_Toc15237"/>
      <w:bookmarkStart w:id="490" w:name="_Toc10366"/>
      <w:bookmarkStart w:id="491" w:name="_Toc22955"/>
      <w:r>
        <w:rPr>
          <w:rFonts w:hint="eastAsia" w:ascii="宋体" w:hAnsi="宋体" w:eastAsia="宋体" w:cs="宋体"/>
          <w:b/>
          <w:color w:val="auto"/>
          <w:sz w:val="24"/>
          <w:highlight w:val="none"/>
        </w:rPr>
        <w:t>2.12 合同转让</w:t>
      </w:r>
      <w:bookmarkEnd w:id="486"/>
      <w:bookmarkEnd w:id="487"/>
      <w:bookmarkEnd w:id="488"/>
      <w:r>
        <w:rPr>
          <w:rFonts w:hint="eastAsia" w:ascii="宋体" w:hAnsi="宋体" w:eastAsia="宋体" w:cs="宋体"/>
          <w:b/>
          <w:color w:val="auto"/>
          <w:sz w:val="24"/>
          <w:highlight w:val="none"/>
        </w:rPr>
        <w:t>和分包</w:t>
      </w:r>
      <w:bookmarkEnd w:id="489"/>
      <w:bookmarkEnd w:id="490"/>
      <w:bookmarkEnd w:id="491"/>
    </w:p>
    <w:p w14:paraId="64EDBC4B">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7226BDBE">
      <w:pPr>
        <w:spacing w:line="560" w:lineRule="exact"/>
        <w:ind w:firstLine="482" w:firstLineChars="200"/>
        <w:outlineLvl w:val="0"/>
        <w:rPr>
          <w:rFonts w:hint="eastAsia" w:ascii="宋体" w:hAnsi="宋体" w:eastAsia="宋体" w:cs="宋体"/>
          <w:b/>
          <w:color w:val="auto"/>
          <w:sz w:val="24"/>
          <w:highlight w:val="none"/>
        </w:rPr>
      </w:pPr>
      <w:bookmarkStart w:id="492" w:name="_Toc13566"/>
      <w:bookmarkStart w:id="493" w:name="_Toc14066"/>
      <w:bookmarkStart w:id="494" w:name="_Toc16508"/>
      <w:r>
        <w:rPr>
          <w:rFonts w:hint="eastAsia" w:ascii="宋体" w:hAnsi="宋体" w:eastAsia="宋体" w:cs="宋体"/>
          <w:b/>
          <w:color w:val="auto"/>
          <w:sz w:val="24"/>
          <w:highlight w:val="none"/>
        </w:rPr>
        <w:t>2.13 不可抗力</w:t>
      </w:r>
      <w:bookmarkEnd w:id="492"/>
      <w:bookmarkEnd w:id="493"/>
      <w:bookmarkEnd w:id="494"/>
    </w:p>
    <w:p w14:paraId="266FC538">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2.13.1如果任何一方遭遇法律规定的不可抗力，致使合同履行受阻时，履行合同的期限应予延长，延长的期限应相当于不可抗力所影响的时间；</w:t>
      </w:r>
    </w:p>
    <w:p w14:paraId="3648E95A">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2.13.2 因不可抗力致使不能实现合同目的的，当事人可以解除合同；</w:t>
      </w:r>
    </w:p>
    <w:p w14:paraId="66EB11F7">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2.13.3 因不可抗力致使合同有变更必要的，双方当事人应在</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约定时间内以书面形式变更合同；</w:t>
      </w:r>
    </w:p>
    <w:p w14:paraId="34BBE168">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2.13.4受不可抗力影响的一方在不可抗力发生后，应在</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约定时间内以书面形式通知对方当事人，并在</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约定时间内，将有关部门出具的证明文件送达对方当事人。</w:t>
      </w:r>
    </w:p>
    <w:p w14:paraId="0FAEAE6F">
      <w:pPr>
        <w:spacing w:line="560" w:lineRule="exact"/>
        <w:ind w:firstLine="482" w:firstLineChars="200"/>
        <w:outlineLvl w:val="0"/>
        <w:rPr>
          <w:rFonts w:hint="eastAsia" w:ascii="宋体" w:hAnsi="宋体" w:eastAsia="宋体" w:cs="宋体"/>
          <w:b/>
          <w:color w:val="auto"/>
          <w:sz w:val="24"/>
          <w:highlight w:val="none"/>
        </w:rPr>
      </w:pPr>
      <w:bookmarkStart w:id="495" w:name="_Toc279701255"/>
      <w:bookmarkStart w:id="496" w:name="_Toc30676"/>
      <w:bookmarkStart w:id="497" w:name="_Toc689"/>
      <w:bookmarkStart w:id="498" w:name="_Toc6969"/>
      <w:bookmarkStart w:id="499" w:name="_Toc487900365"/>
      <w:bookmarkStart w:id="500" w:name="_Toc259093684"/>
      <w:r>
        <w:rPr>
          <w:rFonts w:hint="eastAsia" w:ascii="宋体" w:hAnsi="宋体" w:eastAsia="宋体" w:cs="宋体"/>
          <w:b/>
          <w:color w:val="auto"/>
          <w:sz w:val="24"/>
          <w:highlight w:val="none"/>
        </w:rPr>
        <w:t>2.14 税费</w:t>
      </w:r>
      <w:bookmarkEnd w:id="495"/>
      <w:bookmarkEnd w:id="496"/>
      <w:bookmarkEnd w:id="497"/>
      <w:bookmarkEnd w:id="498"/>
      <w:bookmarkEnd w:id="499"/>
      <w:bookmarkEnd w:id="500"/>
    </w:p>
    <w:p w14:paraId="7757D436">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与合同有关的一切税费，均按照中华人民共和国法律的相关规定。</w:t>
      </w:r>
    </w:p>
    <w:p w14:paraId="2F3CF294">
      <w:pPr>
        <w:spacing w:line="560" w:lineRule="exact"/>
        <w:ind w:firstLine="482" w:firstLineChars="200"/>
        <w:outlineLvl w:val="0"/>
        <w:rPr>
          <w:rFonts w:hint="eastAsia" w:ascii="宋体" w:hAnsi="宋体" w:eastAsia="宋体" w:cs="宋体"/>
          <w:b/>
          <w:color w:val="auto"/>
          <w:sz w:val="24"/>
          <w:highlight w:val="none"/>
        </w:rPr>
      </w:pPr>
      <w:bookmarkStart w:id="501" w:name="_Toc279701258"/>
      <w:bookmarkStart w:id="502" w:name="_Toc259093687"/>
      <w:bookmarkStart w:id="503" w:name="_Toc7102"/>
      <w:bookmarkStart w:id="504" w:name="_Toc8298"/>
      <w:bookmarkStart w:id="505" w:name="_Toc487900368"/>
      <w:bookmarkStart w:id="506" w:name="_Toc16959"/>
      <w:r>
        <w:rPr>
          <w:rFonts w:hint="eastAsia" w:ascii="宋体" w:hAnsi="宋体" w:eastAsia="宋体" w:cs="宋体"/>
          <w:b/>
          <w:color w:val="auto"/>
          <w:sz w:val="24"/>
          <w:highlight w:val="none"/>
        </w:rPr>
        <w:t>2.15 乙方破产</w:t>
      </w:r>
      <w:bookmarkEnd w:id="501"/>
      <w:bookmarkEnd w:id="502"/>
      <w:bookmarkEnd w:id="503"/>
      <w:bookmarkEnd w:id="504"/>
      <w:bookmarkEnd w:id="505"/>
      <w:bookmarkEnd w:id="506"/>
    </w:p>
    <w:p w14:paraId="2223DC31">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629CE4AE">
      <w:pPr>
        <w:spacing w:line="560" w:lineRule="exact"/>
        <w:ind w:firstLine="482" w:firstLineChars="200"/>
        <w:outlineLvl w:val="0"/>
        <w:rPr>
          <w:rFonts w:hint="eastAsia" w:ascii="宋体" w:hAnsi="宋体" w:eastAsia="宋体" w:cs="宋体"/>
          <w:b/>
          <w:color w:val="auto"/>
          <w:sz w:val="24"/>
          <w:highlight w:val="none"/>
        </w:rPr>
      </w:pPr>
      <w:bookmarkStart w:id="507" w:name="_Toc29333"/>
      <w:bookmarkStart w:id="508" w:name="_Toc15387"/>
      <w:bookmarkStart w:id="509" w:name="_Toc6134"/>
      <w:r>
        <w:rPr>
          <w:rFonts w:hint="eastAsia" w:ascii="宋体" w:hAnsi="宋体" w:eastAsia="宋体" w:cs="宋体"/>
          <w:b/>
          <w:color w:val="auto"/>
          <w:sz w:val="24"/>
          <w:highlight w:val="none"/>
        </w:rPr>
        <w:t>2.16 合同中止、终止</w:t>
      </w:r>
      <w:bookmarkEnd w:id="507"/>
      <w:bookmarkEnd w:id="508"/>
      <w:bookmarkEnd w:id="509"/>
    </w:p>
    <w:p w14:paraId="3B932FE3">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2.16.1 双方当事人不得擅自中止或者终止合同；</w:t>
      </w:r>
    </w:p>
    <w:p w14:paraId="245ED379">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2.16.2合同继续履行将损害国家利益和社会公共利益的，双方当事人应当中止或者终止合同。有过错的一方应当承担赔偿责任，双方当事人都有过错的，各自承担相应的责任。</w:t>
      </w:r>
    </w:p>
    <w:p w14:paraId="6E9A120D">
      <w:pPr>
        <w:spacing w:line="560" w:lineRule="exact"/>
        <w:ind w:firstLine="482" w:firstLineChars="200"/>
        <w:outlineLvl w:val="0"/>
        <w:rPr>
          <w:rFonts w:hint="eastAsia" w:ascii="宋体" w:hAnsi="宋体" w:eastAsia="宋体" w:cs="宋体"/>
          <w:b/>
          <w:color w:val="auto"/>
          <w:sz w:val="24"/>
          <w:highlight w:val="none"/>
        </w:rPr>
      </w:pPr>
      <w:bookmarkStart w:id="510" w:name="_Toc6596"/>
      <w:bookmarkStart w:id="511" w:name="_Toc14563"/>
      <w:bookmarkStart w:id="512" w:name="_Toc1125"/>
      <w:r>
        <w:rPr>
          <w:rFonts w:hint="eastAsia" w:ascii="宋体" w:hAnsi="宋体" w:eastAsia="宋体" w:cs="宋体"/>
          <w:b/>
          <w:color w:val="auto"/>
          <w:sz w:val="24"/>
          <w:highlight w:val="none"/>
        </w:rPr>
        <w:t>2.17 检验和验收</w:t>
      </w:r>
      <w:bookmarkEnd w:id="510"/>
      <w:bookmarkEnd w:id="511"/>
      <w:bookmarkEnd w:id="512"/>
    </w:p>
    <w:p w14:paraId="54BEDAC7">
      <w:pPr>
        <w:tabs>
          <w:tab w:val="left" w:pos="360"/>
          <w:tab w:val="left" w:pos="540"/>
          <w:tab w:val="left" w:pos="1080"/>
        </w:tabs>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2.17.1货物交付前，乙方应对货物的质量、数量等方面进行详细、全面的检验，并向甲方出具证明货物符合合同约定的文件；货物交付时，乙方在</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约定时间内组织验收，并可依法邀请相关方参加，验收应出具验收书。</w:t>
      </w:r>
    </w:p>
    <w:p w14:paraId="45020AD9">
      <w:pPr>
        <w:tabs>
          <w:tab w:val="left" w:pos="360"/>
          <w:tab w:val="left" w:pos="540"/>
          <w:tab w:val="left" w:pos="1080"/>
        </w:tabs>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2.17.2合同期满或者履行完毕后，甲方有权组织（包括依法邀请国家认可的质量检测机构参加）对乙方履约的验收，即：按照合同约定的技术、服务、安全标准，组织对每一项技术、服务、安全标准的履约情况的验收，并出具验收书。</w:t>
      </w:r>
    </w:p>
    <w:p w14:paraId="2D64641A">
      <w:pPr>
        <w:tabs>
          <w:tab w:val="left" w:pos="360"/>
          <w:tab w:val="left" w:pos="540"/>
          <w:tab w:val="left" w:pos="1080"/>
        </w:tabs>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2.17.3 检验和验收标准、程序等具体内容以及前述验收书的效力详见</w:t>
      </w:r>
      <w:r>
        <w:rPr>
          <w:rFonts w:hint="eastAsia" w:ascii="宋体" w:hAnsi="宋体" w:eastAsia="宋体" w:cs="宋体"/>
          <w:b/>
          <w:i/>
          <w:color w:val="auto"/>
          <w:sz w:val="24"/>
          <w:highlight w:val="none"/>
          <w:u w:val="single"/>
        </w:rPr>
        <w:t>合同专用条款</w:t>
      </w:r>
      <w:r>
        <w:rPr>
          <w:rFonts w:hint="eastAsia" w:ascii="宋体" w:hAnsi="宋体" w:eastAsia="宋体" w:cs="宋体"/>
          <w:i/>
          <w:color w:val="auto"/>
          <w:sz w:val="24"/>
          <w:highlight w:val="none"/>
        </w:rPr>
        <w:t>。</w:t>
      </w:r>
    </w:p>
    <w:bookmarkEnd w:id="482"/>
    <w:bookmarkEnd w:id="483"/>
    <w:bookmarkEnd w:id="484"/>
    <w:bookmarkEnd w:id="485"/>
    <w:p w14:paraId="71AD728F">
      <w:pPr>
        <w:spacing w:line="560" w:lineRule="exact"/>
        <w:ind w:firstLine="482" w:firstLineChars="200"/>
        <w:outlineLvl w:val="0"/>
        <w:rPr>
          <w:rFonts w:hint="eastAsia" w:ascii="宋体" w:hAnsi="宋体" w:eastAsia="宋体" w:cs="宋体"/>
          <w:b/>
          <w:color w:val="auto"/>
          <w:sz w:val="24"/>
          <w:highlight w:val="none"/>
        </w:rPr>
      </w:pPr>
      <w:bookmarkStart w:id="513" w:name="_Toc487900371"/>
      <w:bookmarkStart w:id="514" w:name="_Toc279701261"/>
      <w:bookmarkStart w:id="515" w:name="_Toc259093690"/>
      <w:bookmarkStart w:id="516" w:name="_Toc25182"/>
      <w:bookmarkStart w:id="517" w:name="_Toc19604"/>
      <w:bookmarkStart w:id="518" w:name="_Toc11284"/>
      <w:r>
        <w:rPr>
          <w:rFonts w:hint="eastAsia" w:ascii="宋体" w:hAnsi="宋体" w:eastAsia="宋体" w:cs="宋体"/>
          <w:b/>
          <w:color w:val="auto"/>
          <w:sz w:val="24"/>
          <w:highlight w:val="none"/>
        </w:rPr>
        <w:t>2.18 通知</w:t>
      </w:r>
      <w:bookmarkEnd w:id="513"/>
      <w:bookmarkEnd w:id="514"/>
      <w:bookmarkEnd w:id="515"/>
      <w:r>
        <w:rPr>
          <w:rFonts w:hint="eastAsia" w:ascii="宋体" w:hAnsi="宋体" w:eastAsia="宋体" w:cs="宋体"/>
          <w:b/>
          <w:color w:val="auto"/>
          <w:sz w:val="24"/>
          <w:highlight w:val="none"/>
        </w:rPr>
        <w:t>和送达</w:t>
      </w:r>
      <w:bookmarkEnd w:id="516"/>
      <w:bookmarkEnd w:id="517"/>
      <w:bookmarkEnd w:id="518"/>
    </w:p>
    <w:p w14:paraId="1A7D9880">
      <w:pPr>
        <w:spacing w:line="560" w:lineRule="exact"/>
        <w:ind w:firstLine="480" w:firstLineChars="200"/>
        <w:rPr>
          <w:rFonts w:hint="eastAsia" w:ascii="宋体" w:hAnsi="宋体" w:eastAsia="宋体" w:cs="宋体"/>
          <w:color w:val="auto"/>
          <w:sz w:val="24"/>
          <w:highlight w:val="none"/>
        </w:rPr>
      </w:pPr>
      <w:bookmarkStart w:id="519" w:name="_Toc6698"/>
      <w:bookmarkStart w:id="520" w:name="_Toc3135"/>
      <w:bookmarkStart w:id="521" w:name="_Toc279701262"/>
      <w:bookmarkStart w:id="522" w:name="_Toc487900372"/>
      <w:bookmarkStart w:id="523" w:name="_Toc259093691"/>
      <w:r>
        <w:rPr>
          <w:rFonts w:hint="eastAsia" w:ascii="宋体" w:hAnsi="宋体" w:eastAsia="宋体" w:cs="宋体"/>
          <w:color w:val="auto"/>
          <w:sz w:val="24"/>
          <w:highlight w:val="none"/>
        </w:rPr>
        <w:t>2.18.1 任何一方因履行合同而以合同第一部分尾部所列明的</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发出的所有通知、文件、材料，均视为已向对方当事人送达；任何一方变更上述送达方式或者地址的，应于</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个工作日内书面通知对方当事人，在对方当事人收到有关变更通知之前，变更前的约定送达方式或者地址仍视为有效。</w:t>
      </w:r>
      <w:bookmarkEnd w:id="519"/>
      <w:bookmarkEnd w:id="520"/>
    </w:p>
    <w:p w14:paraId="2436E051">
      <w:pPr>
        <w:spacing w:line="560" w:lineRule="exact"/>
        <w:ind w:firstLine="480" w:firstLineChars="200"/>
        <w:rPr>
          <w:rFonts w:hint="eastAsia" w:ascii="宋体" w:hAnsi="宋体" w:eastAsia="宋体" w:cs="宋体"/>
          <w:color w:val="auto"/>
          <w:sz w:val="24"/>
          <w:highlight w:val="none"/>
        </w:rPr>
      </w:pPr>
      <w:bookmarkStart w:id="524" w:name="_Toc23294"/>
      <w:bookmarkStart w:id="525" w:name="_Toc23128"/>
      <w:r>
        <w:rPr>
          <w:rFonts w:hint="eastAsia" w:ascii="宋体" w:hAnsi="宋体" w:eastAsia="宋体" w:cs="宋体"/>
          <w:color w:val="auto"/>
          <w:sz w:val="24"/>
          <w:highlight w:val="none"/>
        </w:rPr>
        <w:t>2.18.2以当面交付方式送达的，交付之时视为送达；以电子邮件方式送达的，发出电子邮件之时视为送达；以传真方式送达的，发出传真之时视为送达；以邮寄方式送达的，邮件挂号寄出或者交邮之日之次日视为送达。</w:t>
      </w:r>
      <w:bookmarkEnd w:id="524"/>
      <w:bookmarkEnd w:id="525"/>
    </w:p>
    <w:p w14:paraId="160ACF1C">
      <w:pPr>
        <w:spacing w:line="560" w:lineRule="exact"/>
        <w:ind w:firstLine="482" w:firstLineChars="200"/>
        <w:outlineLvl w:val="0"/>
        <w:rPr>
          <w:rFonts w:hint="eastAsia" w:ascii="宋体" w:hAnsi="宋体" w:eastAsia="宋体" w:cs="宋体"/>
          <w:b/>
          <w:color w:val="auto"/>
          <w:sz w:val="24"/>
          <w:highlight w:val="none"/>
        </w:rPr>
      </w:pPr>
      <w:bookmarkStart w:id="526" w:name="_Toc18540"/>
      <w:bookmarkStart w:id="527" w:name="_Toc4355"/>
      <w:bookmarkStart w:id="528" w:name="_Toc30599"/>
      <w:r>
        <w:rPr>
          <w:rFonts w:hint="eastAsia" w:ascii="宋体" w:hAnsi="宋体" w:eastAsia="宋体" w:cs="宋体"/>
          <w:b/>
          <w:color w:val="auto"/>
          <w:sz w:val="24"/>
          <w:highlight w:val="none"/>
        </w:rPr>
        <w:t>2.19 计量单位</w:t>
      </w:r>
      <w:bookmarkEnd w:id="521"/>
      <w:bookmarkEnd w:id="522"/>
      <w:bookmarkEnd w:id="523"/>
      <w:bookmarkEnd w:id="526"/>
      <w:bookmarkEnd w:id="527"/>
      <w:bookmarkEnd w:id="528"/>
    </w:p>
    <w:p w14:paraId="66490DC8">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除技术规范中另有规定外,合同的计量单位均使用国家法定计量单位。</w:t>
      </w:r>
    </w:p>
    <w:p w14:paraId="43D67059">
      <w:pPr>
        <w:spacing w:line="560" w:lineRule="exact"/>
        <w:ind w:firstLine="482" w:firstLineChars="200"/>
        <w:outlineLvl w:val="0"/>
        <w:rPr>
          <w:rFonts w:hint="eastAsia" w:ascii="宋体" w:hAnsi="宋体" w:eastAsia="宋体" w:cs="宋体"/>
          <w:b/>
          <w:color w:val="auto"/>
          <w:sz w:val="24"/>
          <w:highlight w:val="none"/>
        </w:rPr>
      </w:pPr>
      <w:bookmarkStart w:id="529" w:name="_Toc279701263"/>
      <w:bookmarkStart w:id="530" w:name="_Toc18567"/>
      <w:bookmarkStart w:id="531" w:name="_Toc12773"/>
      <w:bookmarkStart w:id="532" w:name="_Toc259093692"/>
      <w:bookmarkStart w:id="533" w:name="_Toc487900373"/>
      <w:bookmarkStart w:id="534" w:name="_Toc10330"/>
      <w:r>
        <w:rPr>
          <w:rFonts w:hint="eastAsia" w:ascii="宋体" w:hAnsi="宋体" w:eastAsia="宋体" w:cs="宋体"/>
          <w:b/>
          <w:color w:val="auto"/>
          <w:sz w:val="24"/>
          <w:highlight w:val="none"/>
        </w:rPr>
        <w:t>2.20 合同使用的文字和适用的法律</w:t>
      </w:r>
      <w:bookmarkEnd w:id="529"/>
      <w:bookmarkEnd w:id="530"/>
      <w:bookmarkEnd w:id="531"/>
      <w:bookmarkEnd w:id="532"/>
      <w:bookmarkEnd w:id="533"/>
      <w:bookmarkEnd w:id="534"/>
    </w:p>
    <w:p w14:paraId="0EE36A80">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2.20.1 合同使用汉语书就、变更和解释；</w:t>
      </w:r>
    </w:p>
    <w:p w14:paraId="48B50C15">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2.20.2 合同适用中华人民共和国法律。</w:t>
      </w:r>
    </w:p>
    <w:p w14:paraId="4C8F20E6">
      <w:pPr>
        <w:spacing w:line="560" w:lineRule="exact"/>
        <w:ind w:firstLine="482" w:firstLineChars="200"/>
        <w:outlineLvl w:val="0"/>
        <w:rPr>
          <w:rFonts w:hint="eastAsia" w:ascii="宋体" w:hAnsi="宋体" w:eastAsia="宋体" w:cs="宋体"/>
          <w:b/>
          <w:color w:val="auto"/>
          <w:sz w:val="24"/>
          <w:highlight w:val="none"/>
        </w:rPr>
      </w:pPr>
      <w:bookmarkStart w:id="535" w:name="_Toc12004"/>
      <w:bookmarkStart w:id="536" w:name="_Toc279701264"/>
      <w:bookmarkStart w:id="537" w:name="_Toc3148"/>
      <w:bookmarkStart w:id="538" w:name="_Toc16673"/>
      <w:bookmarkStart w:id="539" w:name="_Toc259093693"/>
      <w:bookmarkStart w:id="540" w:name="_Toc487900374"/>
      <w:r>
        <w:rPr>
          <w:rFonts w:hint="eastAsia" w:ascii="宋体" w:hAnsi="宋体" w:eastAsia="宋体" w:cs="宋体"/>
          <w:b/>
          <w:color w:val="auto"/>
          <w:sz w:val="24"/>
          <w:highlight w:val="none"/>
        </w:rPr>
        <w:t>2.21 履约保证金</w:t>
      </w:r>
      <w:bookmarkEnd w:id="535"/>
      <w:bookmarkEnd w:id="536"/>
      <w:bookmarkEnd w:id="537"/>
      <w:bookmarkEnd w:id="538"/>
      <w:bookmarkEnd w:id="539"/>
    </w:p>
    <w:p w14:paraId="2FC1EB1D">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2.21.1 采购文件要求乙方提交履约保证金的，乙方应按</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约定的方式，以支票、汇票、本票或者金融机构、担保机构出具的保函等非现金形式，提交不超过合同价10%的履约保证金；</w:t>
      </w:r>
    </w:p>
    <w:p w14:paraId="2FDE23AD">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2.21.2  履约保证金在</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约定期间内或者货物质量保证期内不予退还或者应完全有效，前述约定期间届满或者货物质量保证期届满之日起</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个工作日内，甲方应将履约保证金退还乙方；</w:t>
      </w:r>
    </w:p>
    <w:p w14:paraId="6F740542">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2.21.3 如果乙方不履行合同，履约保证金不予退还；如果乙方未能按合同约定全面履行义务，那么甲方有权从履约保证金中取得补偿或赔偿，同时不影响甲方要求乙方承担合同约定的超过履约保证金的违约责任的权利。</w:t>
      </w:r>
    </w:p>
    <w:bookmarkEnd w:id="540"/>
    <w:p w14:paraId="25BF71A3">
      <w:pPr>
        <w:spacing w:line="560" w:lineRule="exact"/>
        <w:ind w:firstLine="482" w:firstLineChars="200"/>
        <w:outlineLvl w:val="0"/>
        <w:rPr>
          <w:rFonts w:hint="eastAsia" w:ascii="宋体" w:hAnsi="宋体" w:eastAsia="宋体" w:cs="宋体"/>
          <w:b/>
          <w:color w:val="auto"/>
          <w:sz w:val="24"/>
          <w:highlight w:val="none"/>
        </w:rPr>
      </w:pPr>
      <w:bookmarkStart w:id="541" w:name="_Toc19890"/>
      <w:bookmarkStart w:id="542" w:name="_Toc6885"/>
      <w:bookmarkStart w:id="543" w:name="_Toc14001"/>
      <w:r>
        <w:rPr>
          <w:rFonts w:hint="eastAsia" w:ascii="宋体" w:hAnsi="宋体" w:eastAsia="宋体" w:cs="宋体"/>
          <w:b/>
          <w:color w:val="auto"/>
          <w:sz w:val="24"/>
          <w:highlight w:val="none"/>
        </w:rPr>
        <w:t>2.22 合同份数</w:t>
      </w:r>
      <w:bookmarkEnd w:id="541"/>
      <w:bookmarkEnd w:id="542"/>
      <w:bookmarkEnd w:id="543"/>
    </w:p>
    <w:p w14:paraId="5FC2B2A0">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合同份数按</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规定，每份均具有同等法律效力。</w:t>
      </w:r>
    </w:p>
    <w:p w14:paraId="7713272D">
      <w:pPr>
        <w:pStyle w:val="62"/>
        <w:spacing w:line="560" w:lineRule="exact"/>
        <w:ind w:firstLine="0"/>
        <w:jc w:val="center"/>
        <w:rPr>
          <w:rFonts w:hint="eastAsia" w:ascii="宋体" w:hAnsi="宋体" w:eastAsia="宋体" w:cs="宋体"/>
          <w:b/>
          <w:color w:val="auto"/>
          <w:szCs w:val="24"/>
          <w:highlight w:val="none"/>
        </w:rPr>
      </w:pPr>
      <w:r>
        <w:rPr>
          <w:rFonts w:hint="eastAsia" w:ascii="宋体" w:hAnsi="宋体" w:eastAsia="宋体" w:cs="宋体"/>
          <w:color w:val="auto"/>
          <w:szCs w:val="24"/>
          <w:highlight w:val="none"/>
        </w:rPr>
        <w:br w:type="page"/>
      </w:r>
      <w:bookmarkStart w:id="544" w:name="_Toc331685784"/>
      <w:r>
        <w:rPr>
          <w:rFonts w:hint="eastAsia" w:ascii="宋体" w:hAnsi="宋体" w:eastAsia="宋体" w:cs="宋体"/>
          <w:b/>
          <w:color w:val="auto"/>
          <w:szCs w:val="24"/>
          <w:highlight w:val="none"/>
        </w:rPr>
        <w:t>第三部分  合同专用条款</w:t>
      </w:r>
      <w:bookmarkEnd w:id="544"/>
    </w:p>
    <w:p w14:paraId="51C0605F">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33"/>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01"/>
        <w:gridCol w:w="7633"/>
      </w:tblGrid>
      <w:tr w14:paraId="0981607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01" w:type="dxa"/>
            <w:tcBorders>
              <w:left w:val="single" w:color="auto" w:sz="4" w:space="0"/>
            </w:tcBorders>
            <w:noWrap w:val="0"/>
            <w:vAlign w:val="center"/>
          </w:tcPr>
          <w:p w14:paraId="0364106B">
            <w:pPr>
              <w:spacing w:line="56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条款号</w:t>
            </w:r>
          </w:p>
        </w:tc>
        <w:tc>
          <w:tcPr>
            <w:tcW w:w="7633" w:type="dxa"/>
            <w:noWrap w:val="0"/>
            <w:vAlign w:val="center"/>
          </w:tcPr>
          <w:p w14:paraId="26509408">
            <w:pPr>
              <w:spacing w:line="56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约定内容</w:t>
            </w:r>
          </w:p>
        </w:tc>
      </w:tr>
      <w:tr w14:paraId="599E39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01" w:type="dxa"/>
            <w:tcBorders>
              <w:left w:val="single" w:color="auto" w:sz="4" w:space="0"/>
            </w:tcBorders>
            <w:noWrap w:val="0"/>
            <w:vAlign w:val="center"/>
          </w:tcPr>
          <w:p w14:paraId="347B4849">
            <w:pPr>
              <w:spacing w:line="560" w:lineRule="exact"/>
              <w:rPr>
                <w:rFonts w:hint="eastAsia" w:ascii="宋体" w:hAnsi="宋体" w:eastAsia="宋体" w:cs="宋体"/>
                <w:color w:val="auto"/>
                <w:sz w:val="24"/>
                <w:highlight w:val="none"/>
              </w:rPr>
            </w:pPr>
          </w:p>
        </w:tc>
        <w:tc>
          <w:tcPr>
            <w:tcW w:w="7633" w:type="dxa"/>
            <w:noWrap w:val="0"/>
            <w:vAlign w:val="center"/>
          </w:tcPr>
          <w:p w14:paraId="5833F872">
            <w:pPr>
              <w:spacing w:line="560" w:lineRule="exact"/>
              <w:rPr>
                <w:rFonts w:hint="eastAsia" w:ascii="宋体" w:hAnsi="宋体" w:eastAsia="宋体" w:cs="宋体"/>
                <w:color w:val="auto"/>
                <w:sz w:val="24"/>
                <w:highlight w:val="none"/>
              </w:rPr>
            </w:pPr>
          </w:p>
        </w:tc>
      </w:tr>
      <w:tr w14:paraId="44498B7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74B36E85">
            <w:pPr>
              <w:spacing w:line="560" w:lineRule="exact"/>
              <w:rPr>
                <w:rFonts w:hint="eastAsia" w:ascii="宋体" w:hAnsi="宋体" w:eastAsia="宋体" w:cs="宋体"/>
                <w:color w:val="auto"/>
                <w:sz w:val="24"/>
                <w:highlight w:val="none"/>
              </w:rPr>
            </w:pPr>
          </w:p>
        </w:tc>
        <w:tc>
          <w:tcPr>
            <w:tcW w:w="7633" w:type="dxa"/>
            <w:noWrap w:val="0"/>
            <w:vAlign w:val="center"/>
          </w:tcPr>
          <w:p w14:paraId="2EDDA29F">
            <w:pPr>
              <w:spacing w:line="560" w:lineRule="exact"/>
              <w:rPr>
                <w:rFonts w:hint="eastAsia" w:ascii="宋体" w:hAnsi="宋体" w:eastAsia="宋体" w:cs="宋体"/>
                <w:color w:val="auto"/>
                <w:sz w:val="24"/>
                <w:highlight w:val="none"/>
              </w:rPr>
            </w:pPr>
          </w:p>
        </w:tc>
      </w:tr>
      <w:tr w14:paraId="6B80B0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2EB3C3D3">
            <w:pPr>
              <w:spacing w:line="560" w:lineRule="exact"/>
              <w:rPr>
                <w:rFonts w:hint="eastAsia" w:ascii="宋体" w:hAnsi="宋体" w:eastAsia="宋体" w:cs="宋体"/>
                <w:color w:val="auto"/>
                <w:sz w:val="24"/>
                <w:highlight w:val="none"/>
              </w:rPr>
            </w:pPr>
          </w:p>
        </w:tc>
        <w:tc>
          <w:tcPr>
            <w:tcW w:w="7633" w:type="dxa"/>
            <w:noWrap w:val="0"/>
            <w:vAlign w:val="center"/>
          </w:tcPr>
          <w:p w14:paraId="0F425BC3">
            <w:pPr>
              <w:spacing w:line="560" w:lineRule="exact"/>
              <w:rPr>
                <w:rFonts w:hint="eastAsia" w:ascii="宋体" w:hAnsi="宋体" w:eastAsia="宋体" w:cs="宋体"/>
                <w:color w:val="auto"/>
                <w:sz w:val="24"/>
                <w:highlight w:val="none"/>
              </w:rPr>
            </w:pPr>
          </w:p>
        </w:tc>
      </w:tr>
      <w:tr w14:paraId="5685373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4B3F5CD2">
            <w:pPr>
              <w:spacing w:line="560" w:lineRule="exact"/>
              <w:rPr>
                <w:rFonts w:hint="eastAsia" w:ascii="宋体" w:hAnsi="宋体" w:eastAsia="宋体" w:cs="宋体"/>
                <w:color w:val="auto"/>
                <w:sz w:val="24"/>
                <w:highlight w:val="none"/>
              </w:rPr>
            </w:pPr>
          </w:p>
        </w:tc>
        <w:tc>
          <w:tcPr>
            <w:tcW w:w="7633" w:type="dxa"/>
            <w:noWrap w:val="0"/>
            <w:vAlign w:val="center"/>
          </w:tcPr>
          <w:p w14:paraId="3A3827B0">
            <w:pPr>
              <w:spacing w:line="560" w:lineRule="exact"/>
              <w:rPr>
                <w:rFonts w:hint="eastAsia" w:ascii="宋体" w:hAnsi="宋体" w:eastAsia="宋体" w:cs="宋体"/>
                <w:color w:val="auto"/>
                <w:sz w:val="24"/>
                <w:highlight w:val="none"/>
              </w:rPr>
            </w:pPr>
          </w:p>
        </w:tc>
      </w:tr>
      <w:tr w14:paraId="10312E6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52A72DD8">
            <w:pPr>
              <w:spacing w:line="560" w:lineRule="exact"/>
              <w:rPr>
                <w:rFonts w:hint="eastAsia" w:ascii="宋体" w:hAnsi="宋体" w:eastAsia="宋体" w:cs="宋体"/>
                <w:color w:val="auto"/>
                <w:sz w:val="24"/>
                <w:highlight w:val="none"/>
              </w:rPr>
            </w:pPr>
          </w:p>
        </w:tc>
        <w:tc>
          <w:tcPr>
            <w:tcW w:w="7633" w:type="dxa"/>
            <w:noWrap w:val="0"/>
            <w:vAlign w:val="center"/>
          </w:tcPr>
          <w:p w14:paraId="50DCEA01">
            <w:pPr>
              <w:spacing w:line="560" w:lineRule="exact"/>
              <w:rPr>
                <w:rFonts w:hint="eastAsia" w:ascii="宋体" w:hAnsi="宋体" w:eastAsia="宋体" w:cs="宋体"/>
                <w:color w:val="auto"/>
                <w:sz w:val="24"/>
                <w:highlight w:val="none"/>
                <w:u w:val="single"/>
              </w:rPr>
            </w:pPr>
          </w:p>
        </w:tc>
      </w:tr>
      <w:tr w14:paraId="53CA6B0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476317B4">
            <w:pPr>
              <w:spacing w:line="560" w:lineRule="exact"/>
              <w:rPr>
                <w:rFonts w:hint="eastAsia" w:ascii="宋体" w:hAnsi="宋体" w:eastAsia="宋体" w:cs="宋体"/>
                <w:color w:val="auto"/>
                <w:sz w:val="24"/>
                <w:highlight w:val="none"/>
              </w:rPr>
            </w:pPr>
          </w:p>
        </w:tc>
        <w:tc>
          <w:tcPr>
            <w:tcW w:w="7633" w:type="dxa"/>
            <w:noWrap w:val="0"/>
            <w:vAlign w:val="center"/>
          </w:tcPr>
          <w:p w14:paraId="6E8435F0">
            <w:pPr>
              <w:spacing w:line="560" w:lineRule="exact"/>
              <w:rPr>
                <w:rFonts w:hint="eastAsia" w:ascii="宋体" w:hAnsi="宋体" w:eastAsia="宋体" w:cs="宋体"/>
                <w:color w:val="auto"/>
                <w:sz w:val="24"/>
                <w:highlight w:val="none"/>
              </w:rPr>
            </w:pPr>
          </w:p>
        </w:tc>
      </w:tr>
      <w:tr w14:paraId="5CA40F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1B819D6D">
            <w:pPr>
              <w:spacing w:line="560" w:lineRule="exact"/>
              <w:rPr>
                <w:rFonts w:hint="eastAsia" w:ascii="宋体" w:hAnsi="宋体" w:eastAsia="宋体" w:cs="宋体"/>
                <w:color w:val="auto"/>
                <w:sz w:val="24"/>
                <w:highlight w:val="none"/>
              </w:rPr>
            </w:pPr>
          </w:p>
        </w:tc>
        <w:tc>
          <w:tcPr>
            <w:tcW w:w="7633" w:type="dxa"/>
            <w:noWrap w:val="0"/>
            <w:vAlign w:val="center"/>
          </w:tcPr>
          <w:p w14:paraId="72C0B2A6">
            <w:pPr>
              <w:spacing w:line="560" w:lineRule="exact"/>
              <w:rPr>
                <w:rFonts w:hint="eastAsia" w:ascii="宋体" w:hAnsi="宋体" w:eastAsia="宋体" w:cs="宋体"/>
                <w:color w:val="auto"/>
                <w:sz w:val="24"/>
                <w:highlight w:val="none"/>
                <w:u w:val="single"/>
              </w:rPr>
            </w:pPr>
          </w:p>
        </w:tc>
      </w:tr>
      <w:tr w14:paraId="433E0F3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06F342CE">
            <w:pPr>
              <w:spacing w:line="560" w:lineRule="exact"/>
              <w:rPr>
                <w:rFonts w:hint="eastAsia" w:ascii="宋体" w:hAnsi="宋体" w:eastAsia="宋体" w:cs="宋体"/>
                <w:color w:val="auto"/>
                <w:sz w:val="24"/>
                <w:highlight w:val="none"/>
              </w:rPr>
            </w:pPr>
          </w:p>
        </w:tc>
        <w:tc>
          <w:tcPr>
            <w:tcW w:w="7633" w:type="dxa"/>
            <w:noWrap w:val="0"/>
            <w:vAlign w:val="center"/>
          </w:tcPr>
          <w:p w14:paraId="18CB30F9">
            <w:pPr>
              <w:spacing w:line="560" w:lineRule="exact"/>
              <w:rPr>
                <w:rFonts w:hint="eastAsia" w:ascii="宋体" w:hAnsi="宋体" w:eastAsia="宋体" w:cs="宋体"/>
                <w:color w:val="auto"/>
                <w:sz w:val="24"/>
                <w:highlight w:val="none"/>
              </w:rPr>
            </w:pPr>
          </w:p>
        </w:tc>
      </w:tr>
      <w:tr w14:paraId="649C6A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712970C1">
            <w:pPr>
              <w:spacing w:line="560" w:lineRule="exact"/>
              <w:rPr>
                <w:rFonts w:hint="eastAsia" w:ascii="宋体" w:hAnsi="宋体" w:eastAsia="宋体" w:cs="宋体"/>
                <w:color w:val="auto"/>
                <w:sz w:val="24"/>
                <w:highlight w:val="none"/>
              </w:rPr>
            </w:pPr>
          </w:p>
        </w:tc>
        <w:tc>
          <w:tcPr>
            <w:tcW w:w="7633" w:type="dxa"/>
            <w:noWrap w:val="0"/>
            <w:vAlign w:val="center"/>
          </w:tcPr>
          <w:p w14:paraId="12D95F53">
            <w:pPr>
              <w:spacing w:line="560" w:lineRule="exact"/>
              <w:rPr>
                <w:rFonts w:hint="eastAsia" w:ascii="宋体" w:hAnsi="宋体" w:eastAsia="宋体" w:cs="宋体"/>
                <w:color w:val="auto"/>
                <w:sz w:val="24"/>
                <w:highlight w:val="none"/>
              </w:rPr>
            </w:pPr>
          </w:p>
        </w:tc>
      </w:tr>
      <w:tr w14:paraId="2EB0973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054F6F80">
            <w:pPr>
              <w:spacing w:line="560" w:lineRule="exact"/>
              <w:rPr>
                <w:rFonts w:hint="eastAsia" w:ascii="宋体" w:hAnsi="宋体" w:eastAsia="宋体" w:cs="宋体"/>
                <w:color w:val="auto"/>
                <w:sz w:val="24"/>
                <w:highlight w:val="none"/>
              </w:rPr>
            </w:pPr>
          </w:p>
        </w:tc>
        <w:tc>
          <w:tcPr>
            <w:tcW w:w="7633" w:type="dxa"/>
            <w:noWrap w:val="0"/>
            <w:vAlign w:val="center"/>
          </w:tcPr>
          <w:p w14:paraId="366FD717">
            <w:pPr>
              <w:spacing w:line="560" w:lineRule="exact"/>
              <w:rPr>
                <w:rFonts w:hint="eastAsia" w:ascii="宋体" w:hAnsi="宋体" w:eastAsia="宋体" w:cs="宋体"/>
                <w:color w:val="auto"/>
                <w:sz w:val="24"/>
                <w:highlight w:val="none"/>
              </w:rPr>
            </w:pPr>
          </w:p>
        </w:tc>
      </w:tr>
      <w:tr w14:paraId="034D00E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2D372DA8">
            <w:pPr>
              <w:spacing w:line="560" w:lineRule="exact"/>
              <w:rPr>
                <w:rFonts w:hint="eastAsia" w:ascii="宋体" w:hAnsi="宋体" w:eastAsia="宋体" w:cs="宋体"/>
                <w:color w:val="auto"/>
                <w:sz w:val="24"/>
                <w:highlight w:val="none"/>
              </w:rPr>
            </w:pPr>
          </w:p>
        </w:tc>
        <w:tc>
          <w:tcPr>
            <w:tcW w:w="7633" w:type="dxa"/>
            <w:noWrap w:val="0"/>
            <w:vAlign w:val="center"/>
          </w:tcPr>
          <w:p w14:paraId="1E8FB7B6">
            <w:pPr>
              <w:spacing w:line="560" w:lineRule="exact"/>
              <w:rPr>
                <w:rFonts w:hint="eastAsia" w:ascii="宋体" w:hAnsi="宋体" w:eastAsia="宋体" w:cs="宋体"/>
                <w:color w:val="auto"/>
                <w:sz w:val="24"/>
                <w:highlight w:val="none"/>
              </w:rPr>
            </w:pPr>
          </w:p>
        </w:tc>
      </w:tr>
      <w:tr w14:paraId="0270C4D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77D5AF0D">
            <w:pPr>
              <w:spacing w:line="560" w:lineRule="exact"/>
              <w:rPr>
                <w:rFonts w:hint="eastAsia" w:ascii="宋体" w:hAnsi="宋体" w:eastAsia="宋体" w:cs="宋体"/>
                <w:color w:val="auto"/>
                <w:sz w:val="24"/>
                <w:highlight w:val="none"/>
              </w:rPr>
            </w:pPr>
          </w:p>
        </w:tc>
        <w:tc>
          <w:tcPr>
            <w:tcW w:w="7633" w:type="dxa"/>
            <w:noWrap w:val="0"/>
            <w:vAlign w:val="center"/>
          </w:tcPr>
          <w:p w14:paraId="5584019B">
            <w:pPr>
              <w:spacing w:line="560" w:lineRule="exact"/>
              <w:rPr>
                <w:rFonts w:hint="eastAsia" w:ascii="宋体" w:hAnsi="宋体" w:eastAsia="宋体" w:cs="宋体"/>
                <w:color w:val="auto"/>
                <w:sz w:val="24"/>
                <w:highlight w:val="none"/>
              </w:rPr>
            </w:pPr>
          </w:p>
        </w:tc>
      </w:tr>
    </w:tbl>
    <w:p w14:paraId="050DF5C5">
      <w:pPr>
        <w:spacing w:after="156" w:line="560" w:lineRule="exact"/>
        <w:ind w:firstLine="480"/>
        <w:rPr>
          <w:rFonts w:hint="eastAsia" w:ascii="宋体" w:hAnsi="宋体" w:eastAsia="宋体" w:cs="宋体"/>
          <w:color w:val="auto"/>
          <w:highlight w:val="none"/>
        </w:rPr>
      </w:pPr>
    </w:p>
    <w:p w14:paraId="58A06CD6">
      <w:pPr>
        <w:pStyle w:val="4"/>
        <w:spacing w:line="240" w:lineRule="atLeast"/>
        <w:ind w:left="1080" w:leftChars="257" w:hanging="540"/>
        <w:rPr>
          <w:rFonts w:hint="eastAsia" w:ascii="宋体" w:hAnsi="宋体" w:eastAsia="宋体" w:cs="宋体"/>
          <w:color w:val="auto"/>
          <w:sz w:val="24"/>
          <w:szCs w:val="18"/>
          <w:highlight w:val="none"/>
        </w:rPr>
      </w:pPr>
    </w:p>
    <w:p w14:paraId="326B6724">
      <w:pPr>
        <w:rPr>
          <w:rFonts w:hint="eastAsia" w:ascii="宋体" w:hAnsi="宋体" w:eastAsia="宋体" w:cs="宋体"/>
          <w:strike/>
          <w:dstrike w:val="0"/>
          <w:color w:val="auto"/>
          <w:highlight w:val="none"/>
        </w:rPr>
      </w:pPr>
    </w:p>
    <w:p w14:paraId="3A0BEC5A">
      <w:pPr>
        <w:pStyle w:val="4"/>
        <w:spacing w:line="240" w:lineRule="atLeast"/>
        <w:ind w:firstLine="0"/>
        <w:rPr>
          <w:rFonts w:hint="eastAsia" w:ascii="宋体" w:hAnsi="宋体" w:eastAsia="宋体" w:cs="宋体"/>
          <w:color w:val="auto"/>
          <w:sz w:val="28"/>
          <w:highlight w:val="none"/>
        </w:rPr>
      </w:pPr>
    </w:p>
    <w:sectPr>
      <w:headerReference r:id="rId20" w:type="default"/>
      <w:footerReference r:id="rId21" w:type="default"/>
      <w:pgSz w:w="11907" w:h="16840"/>
      <w:pgMar w:top="1474" w:right="1814" w:bottom="1474" w:left="1814" w:header="851" w:footer="851" w:gutter="0"/>
      <w:pgBorders>
        <w:top w:val="none" w:sz="0" w:space="0"/>
        <w:left w:val="none" w:sz="0" w:space="0"/>
        <w:bottom w:val="none" w:sz="0" w:space="0"/>
        <w:right w:val="none" w:sz="0" w:space="0"/>
      </w:pgBorders>
      <w:pgNumType w:fmt="decimal"/>
      <w:cols w:space="720" w:num="1"/>
      <w:docGrid w:linePitch="46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roman"/>
    <w:pitch w:val="default"/>
    <w:sig w:usb0="E0002EFF" w:usb1="C000785B" w:usb2="00000009" w:usb3="00000000" w:csb0="400001FF" w:csb1="FFFF0000"/>
  </w:font>
  <w:font w:name="宋体">
    <w:panose1 w:val="02010600030101010101"/>
    <w:charset w:val="82"/>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0A3413">
    <w:pPr>
      <w:pStyle w:val="19"/>
      <w:ind w:right="360" w:firstLine="360"/>
      <w:jc w:val="right"/>
      <w:rPr>
        <w:rFonts w:hint="eastAsi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9E1C37">
    <w:pPr>
      <w:pStyle w:val="19"/>
      <w:jc w:val="cente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F6EBB64">
                          <w:pPr>
                            <w:pStyle w:val="19"/>
                          </w:pPr>
                          <w:r>
                            <w:fldChar w:fldCharType="begin"/>
                          </w:r>
                          <w:r>
                            <w:instrText xml:space="preserve"> PAGE  \* MERGEFORMAT </w:instrText>
                          </w:r>
                          <w:r>
                            <w:fldChar w:fldCharType="separate"/>
                          </w:r>
                          <w:r>
                            <w:t>4</w:t>
                          </w:r>
                          <w:r>
                            <w:fldChar w:fldCharType="end"/>
                          </w:r>
                        </w:p>
                      </w:txbxContent>
                    </wps:txbx>
                    <wps:bodyPr vert="horz" wrap="none" lIns="0" tIns="0" rIns="0" bIns="0" anchor="t" anchorCtr="0" upright="0">
                      <a:spAutoFit/>
                    </wps:bodyPr>
                  </wps:wsp>
                </a:graphicData>
              </a:graphic>
            </wp:anchor>
          </w:drawing>
        </mc:Choice>
        <mc:Fallback>
          <w:pict>
            <v:shape id="文本框 8"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M6pebnPAAAABQEAAA8AAAAAAAAAAQAg&#10;AAAAIgAAAGRycy9kb3ducmV2LnhtbFBLAQIUABQAAAAIAIdO4kAG4C8N3gEAAL4DAAAOAAAAAAAA&#10;AAEAIAAAAB4BAABkcnMvZTJvRG9jLnhtbFBLBQYAAAAABgAGAFkBAABuBQAAAAA=&#10;">
              <v:fill on="f" focussize="0,0"/>
              <v:stroke on="f"/>
              <v:imagedata o:title=""/>
              <o:lock v:ext="edit" aspectratio="f"/>
              <v:textbox inset="0mm,0mm,0mm,0mm" style="mso-fit-shape-to-text:t;">
                <w:txbxContent>
                  <w:p w14:paraId="7F6EBB64">
                    <w:pPr>
                      <w:pStyle w:val="19"/>
                    </w:pPr>
                    <w:r>
                      <w:fldChar w:fldCharType="begin"/>
                    </w:r>
                    <w:r>
                      <w:instrText xml:space="preserve"> PAGE  \* MERGEFORMAT </w:instrText>
                    </w:r>
                    <w:r>
                      <w:fldChar w:fldCharType="separate"/>
                    </w:r>
                    <w:r>
                      <w:t>4</w:t>
                    </w:r>
                    <w:r>
                      <w:fldChar w:fldCharType="end"/>
                    </w:r>
                  </w:p>
                </w:txbxContent>
              </v:textbox>
            </v:shape>
          </w:pict>
        </mc:Fallback>
      </mc:AlternateContent>
    </w:r>
  </w:p>
  <w:p w14:paraId="55695726">
    <w:pPr>
      <w:pStyle w:val="19"/>
      <w:ind w:right="360"/>
      <w:jc w:val="right"/>
      <w:rPr>
        <w:rFonts w:hint="eastAsia"/>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8405BA">
    <w:pPr>
      <w:pStyle w:val="19"/>
      <w:ind w:right="360" w:firstLine="360"/>
      <w:jc w:val="right"/>
      <w:rPr>
        <w:rFonts w:hint="eastAsia"/>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7D6E443">
                          <w:pPr>
                            <w:pStyle w:val="19"/>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CWTNKnIAQAAmQMAAA4AAAAAAAAAAQAgAAAAHgEAAGRycy9lMm9Eb2Mu&#10;eG1sUEsFBgAAAAAGAAYAWQEAAFgFAAAAAA==&#10;">
              <v:fill on="f" focussize="0,0"/>
              <v:stroke on="f"/>
              <v:imagedata o:title=""/>
              <o:lock v:ext="edit" aspectratio="f"/>
              <v:textbox inset="0mm,0mm,0mm,0mm" style="mso-fit-shape-to-text:t;">
                <w:txbxContent>
                  <w:p w14:paraId="47D6E443">
                    <w:pPr>
                      <w:pStyle w:val="1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84EE5E">
    <w:pPr>
      <w:pStyle w:val="19"/>
      <w:framePr w:wrap="around" w:vAnchor="text" w:hAnchor="margin" w:xAlign="center" w:y="1"/>
      <w:rPr>
        <w:rStyle w:val="37"/>
      </w:rPr>
    </w:pPr>
    <w:r>
      <w:fldChar w:fldCharType="begin"/>
    </w:r>
    <w:r>
      <w:rPr>
        <w:rStyle w:val="37"/>
      </w:rPr>
      <w:instrText xml:space="preserve">PAGE  </w:instrText>
    </w:r>
    <w:r>
      <w:fldChar w:fldCharType="end"/>
    </w:r>
  </w:p>
  <w:p w14:paraId="6D474613">
    <w:pPr>
      <w:pStyle w:val="19"/>
      <w:ind w:right="360" w:firstLine="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0146E0">
    <w:pPr>
      <w:pStyle w:val="19"/>
      <w:framePr w:wrap="around" w:vAnchor="text" w:hAnchor="margin" w:xAlign="right" w:y="1"/>
      <w:rPr>
        <w:rStyle w:val="37"/>
      </w:rPr>
    </w:pPr>
  </w:p>
  <w:p w14:paraId="64A40BF0">
    <w:pPr>
      <w:pStyle w:val="19"/>
      <w:ind w:right="360"/>
      <w:jc w:val="right"/>
      <w:rPr>
        <w:rFonts w:hint="eastAsia"/>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06C4A5">
    <w:pPr>
      <w:pStyle w:val="19"/>
      <w:framePr w:wrap="around" w:vAnchor="text" w:hAnchor="margin" w:xAlign="center" w:y="1"/>
      <w:rPr>
        <w:rStyle w:val="37"/>
      </w:rPr>
    </w:pPr>
    <w:r>
      <w:fldChar w:fldCharType="begin"/>
    </w:r>
    <w:r>
      <w:rPr>
        <w:rStyle w:val="37"/>
      </w:rPr>
      <w:instrText xml:space="preserve">PAGE  </w:instrText>
    </w:r>
    <w:r>
      <w:fldChar w:fldCharType="end"/>
    </w:r>
  </w:p>
  <w:p w14:paraId="690F6A35">
    <w:pPr>
      <w:pStyle w:val="19"/>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DB7FC3">
    <w:pPr>
      <w:pStyle w:val="19"/>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0CA4A33D">
                          <w:pPr>
                            <w:pStyle w:val="19"/>
                          </w:pPr>
                          <w:r>
                            <w:fldChar w:fldCharType="begin"/>
                          </w:r>
                          <w:r>
                            <w:instrText xml:space="preserve"> PAGE  \* MERGEFORMAT </w:instrText>
                          </w:r>
                          <w:r>
                            <w:fldChar w:fldCharType="separate"/>
                          </w:r>
                          <w:r>
                            <w:t>51</w:t>
                          </w:r>
                          <w:r>
                            <w:fldChar w:fldCharType="end"/>
                          </w:r>
                        </w:p>
                      </w:txbxContent>
                    </wps:txbx>
                    <wps:bodyPr wrap="none" lIns="0" tIns="0" rIns="0" bIns="0" upright="0">
                      <a:spAutoFit/>
                    </wps:bodyPr>
                  </wps:wsp>
                </a:graphicData>
              </a:graphic>
            </wp:anchor>
          </w:drawing>
        </mc:Choice>
        <mc:Fallback>
          <w:pict>
            <v:shape id="文本框 11"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aGmCS9MAAAAFAQAADwAAAAAAAAABACAAAAAiAAAA&#10;ZHJzL2Rvd25yZXYueG1sUEsBAhQAFAAAAAgAh07iQPs0J2XTAQAApAMAAA4AAAAAAAAAAQAgAAAA&#10;IgEAAGRycy9lMm9Eb2MueG1sUEsFBgAAAAAGAAYAWQEAAGcFAAAAAA==&#10;">
              <v:fill on="f" focussize="0,0"/>
              <v:stroke on="f" weight="1.25pt"/>
              <v:imagedata o:title=""/>
              <o:lock v:ext="edit" aspectratio="f"/>
              <v:textbox inset="0mm,0mm,0mm,0mm" style="mso-fit-shape-to-text:t;">
                <w:txbxContent>
                  <w:p w14:paraId="0CA4A33D">
                    <w:pPr>
                      <w:pStyle w:val="19"/>
                    </w:pPr>
                    <w:r>
                      <w:fldChar w:fldCharType="begin"/>
                    </w:r>
                    <w:r>
                      <w:instrText xml:space="preserve"> PAGE  \* MERGEFORMAT </w:instrText>
                    </w:r>
                    <w:r>
                      <w:fldChar w:fldCharType="separate"/>
                    </w:r>
                    <w:r>
                      <w:t>51</w:t>
                    </w:r>
                    <w:r>
                      <w:fldChar w:fldCharType="end"/>
                    </w:r>
                  </w:p>
                </w:txbxContent>
              </v:textbox>
            </v:shape>
          </w:pict>
        </mc:Fallback>
      </mc:AlternateContent>
    </w:r>
  </w:p>
  <w:p w14:paraId="71E18D91">
    <w:pPr>
      <w:pStyle w:val="19"/>
      <w:ind w:right="360"/>
      <w:jc w:val="right"/>
      <w:rPr>
        <w:rFonts w:hint="eastAsia"/>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AC6397">
    <w:pPr>
      <w:pStyle w:val="19"/>
      <w:jc w:val="cente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961252E">
                          <w:pPr>
                            <w:pStyle w:val="19"/>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35</w:t>
                          </w:r>
                          <w:r>
                            <w:rPr>
                              <w:rFonts w:hint="eastAsia"/>
                              <w:lang w:eastAsia="zh-CN"/>
                            </w:rPr>
                            <w:fldChar w:fldCharType="end"/>
                          </w:r>
                        </w:p>
                      </w:txbxContent>
                    </wps:txbx>
                    <wps:bodyPr wrap="none" lIns="0" tIns="0" rIns="0" bIns="0" upright="0">
                      <a:spAutoFit/>
                    </wps:bodyPr>
                  </wps:wsp>
                </a:graphicData>
              </a:graphic>
            </wp:anchor>
          </w:drawing>
        </mc:Choice>
        <mc:Fallback>
          <w:pict>
            <v:shape id="文本框 12"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TJR8x8gBAACa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ptKI7dcYsDv/z8cfn15/L7O1mu&#10;sj59gBrT7gMmpuGdH3BrZj+gM9MeVLT5i4QIxlHd81VdOSQi8qP1ar2uMCQwNl8Qnz08DxHSe+kt&#10;yUZDI46vqMpPHyGNqXNKrub8nTamjNC4fxyImT0s9z72mK007IeJ0N63Z+TT4+Qb6nDRKTEfHAqb&#10;l2Q24mzsZ+MYoj50ZYtyPQi3x4RNlN5yhRF2KowjK+ym9co78fhesh5+qe1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EyUfMfIAQAAmgMAAA4AAAAAAAAAAQAgAAAAHgEAAGRycy9lMm9Eb2Mu&#10;eG1sUEsFBgAAAAAGAAYAWQEAAFgFAAAAAA==&#10;">
              <v:fill on="f" focussize="0,0"/>
              <v:stroke on="f"/>
              <v:imagedata o:title=""/>
              <o:lock v:ext="edit" aspectratio="f"/>
              <v:textbox inset="0mm,0mm,0mm,0mm" style="mso-fit-shape-to-text:t;">
                <w:txbxContent>
                  <w:p w14:paraId="3961252E">
                    <w:pPr>
                      <w:pStyle w:val="19"/>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35</w:t>
                    </w:r>
                    <w:r>
                      <w:rPr>
                        <w:rFonts w:hint="eastAsia"/>
                        <w:lang w:eastAsia="zh-CN"/>
                      </w:rPr>
                      <w:fldChar w:fldCharType="end"/>
                    </w:r>
                  </w:p>
                </w:txbxContent>
              </v:textbox>
            </v:shape>
          </w:pict>
        </mc:Fallback>
      </mc:AlternateContent>
    </w:r>
  </w:p>
  <w:p w14:paraId="444B931F">
    <w:pPr>
      <w:pStyle w:val="19"/>
      <w:jc w:val="cen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C4FA33">
    <w:pPr>
      <w:pStyle w:val="19"/>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584901">
    <w:pPr>
      <w:pStyle w:val="19"/>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D9A796">
    <w:pPr>
      <w:pStyle w:val="19"/>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F8C0C30">
                          <w:pPr>
                            <w:pStyle w:val="19"/>
                          </w:pPr>
                          <w:r>
                            <w:fldChar w:fldCharType="begin"/>
                          </w:r>
                          <w:r>
                            <w:instrText xml:space="preserve"> PAGE  \* MERGEFORMAT </w:instrText>
                          </w:r>
                          <w:r>
                            <w:fldChar w:fldCharType="separate"/>
                          </w:r>
                          <w:r>
                            <w:t>71</w:t>
                          </w:r>
                          <w:r>
                            <w:fldChar w:fldCharType="end"/>
                          </w:r>
                        </w:p>
                      </w:txbxContent>
                    </wps:txbx>
                    <wps:bodyPr vert="horz" wrap="none" lIns="0" tIns="0" rIns="0" bIns="0" anchor="t" anchorCtr="0" upright="0">
                      <a:spAutoFit/>
                    </wps:bodyPr>
                  </wps:wsp>
                </a:graphicData>
              </a:graphic>
            </wp:anchor>
          </w:drawing>
        </mc:Choice>
        <mc:Fallback>
          <w:pict>
            <v:shape id="文本框 10"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zql5uc8AAAAFAQAADwAAAAAAAAABACAA&#10;AAAiAAAAZHJzL2Rvd25yZXYueG1sUEsBAhQAFAAAAAgAh07iQO+QqoHdAQAAvwMAAA4AAAAAAAAA&#10;AQAgAAAAHgEAAGRycy9lMm9Eb2MueG1sUEsFBgAAAAAGAAYAWQEAAG0FAAAAAA==&#10;">
              <v:fill on="f" focussize="0,0"/>
              <v:stroke on="f"/>
              <v:imagedata o:title=""/>
              <o:lock v:ext="edit" aspectratio="f"/>
              <v:textbox inset="0mm,0mm,0mm,0mm" style="mso-fit-shape-to-text:t;">
                <w:txbxContent>
                  <w:p w14:paraId="7F8C0C30">
                    <w:pPr>
                      <w:pStyle w:val="19"/>
                    </w:pPr>
                    <w:r>
                      <w:fldChar w:fldCharType="begin"/>
                    </w:r>
                    <w:r>
                      <w:instrText xml:space="preserve"> PAGE  \* MERGEFORMAT </w:instrText>
                    </w:r>
                    <w:r>
                      <w:fldChar w:fldCharType="separate"/>
                    </w:r>
                    <w:r>
                      <w:t>71</w:t>
                    </w:r>
                    <w:r>
                      <w:fldChar w:fldCharType="end"/>
                    </w:r>
                  </w:p>
                </w:txbxContent>
              </v:textbox>
            </v:shape>
          </w:pict>
        </mc:Fallback>
      </mc:AlternateContent>
    </w:r>
  </w:p>
  <w:p w14:paraId="59F509F3">
    <w:pPr>
      <w:pStyle w:val="19"/>
      <w:ind w:right="360"/>
      <w:jc w:val="right"/>
      <w:rPr>
        <w:rFonts w:hint="eastAsia"/>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5D0BD9">
    <w:pPr>
      <w:pStyle w:val="20"/>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61C182">
    <w:pPr>
      <w:pStyle w:val="20"/>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951838">
    <w:pPr>
      <w:pStyle w:val="20"/>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8A488B">
    <w:pPr>
      <w:pStyle w:val="20"/>
      <w:pBdr>
        <w:bottom w:val="none" w:color="auto" w:sz="0" w:space="0"/>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919706">
    <w:pPr>
      <w:pStyle w:val="20"/>
      <w:pBdr>
        <w:bottom w:val="none" w:color="auto" w:sz="0" w:space="0"/>
      </w:pBdr>
      <w:jc w:val="right"/>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5A53EF">
    <w:pPr>
      <w:pStyle w:val="20"/>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12FB21">
    <w:pPr>
      <w:pStyle w:val="20"/>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9568F0">
    <w:pPr>
      <w:pStyle w:val="20"/>
      <w:pBdr>
        <w:bottom w:val="none" w:color="auto" w:sz="0" w:space="0"/>
      </w:pBd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494B437"/>
    <w:multiLevelType w:val="singleLevel"/>
    <w:tmpl w:val="0494B437"/>
    <w:lvl w:ilvl="0" w:tentative="0">
      <w:start w:val="9"/>
      <w:numFmt w:val="chineseCounting"/>
      <w:suff w:val="nothing"/>
      <w:lvlText w:val="%1、"/>
      <w:lvlJc w:val="left"/>
      <w:rPr>
        <w:rFonts w:hint="eastAsia"/>
      </w:rPr>
    </w:lvl>
  </w:abstractNum>
  <w:abstractNum w:abstractNumId="1">
    <w:nsid w:val="071D106B"/>
    <w:multiLevelType w:val="singleLevel"/>
    <w:tmpl w:val="071D106B"/>
    <w:lvl w:ilvl="0" w:tentative="0">
      <w:start w:val="2"/>
      <w:numFmt w:val="chineseCounting"/>
      <w:suff w:val="space"/>
      <w:lvlText w:val="第%1部分"/>
      <w:lvlJc w:val="left"/>
      <w:rPr>
        <w:rFonts w:hint="eastAsia"/>
      </w:rPr>
    </w:lvl>
  </w:abstractNum>
  <w:abstractNum w:abstractNumId="2">
    <w:nsid w:val="0C35F5AB"/>
    <w:multiLevelType w:val="singleLevel"/>
    <w:tmpl w:val="0C35F5AB"/>
    <w:lvl w:ilvl="0" w:tentative="0">
      <w:start w:val="6"/>
      <w:numFmt w:val="decimal"/>
      <w:suff w:val="nothing"/>
      <w:lvlText w:val="%1、"/>
      <w:lvlJc w:val="left"/>
    </w:lvl>
  </w:abstractNum>
  <w:abstractNum w:abstractNumId="3">
    <w:nsid w:val="0FF9642E"/>
    <w:multiLevelType w:val="multilevel"/>
    <w:tmpl w:val="0FF9642E"/>
    <w:lvl w:ilvl="0" w:tentative="0">
      <w:start w:val="1"/>
      <w:numFmt w:val="decimal"/>
      <w:lvlText w:val="第%1章"/>
      <w:lvlJc w:val="left"/>
      <w:pPr>
        <w:tabs>
          <w:tab w:val="left" w:pos="3134"/>
        </w:tabs>
        <w:ind w:left="3810" w:hanging="1290"/>
      </w:pPr>
      <w:rPr>
        <w:rFonts w:hint="default"/>
        <w:b/>
        <w:lang w:val="en-US"/>
      </w:rPr>
    </w:lvl>
    <w:lvl w:ilvl="1" w:tentative="0">
      <w:start w:val="1"/>
      <w:numFmt w:val="lowerLetter"/>
      <w:lvlText w:val="%2)"/>
      <w:lvlJc w:val="left"/>
      <w:pPr>
        <w:tabs>
          <w:tab w:val="left" w:pos="1380"/>
        </w:tabs>
        <w:ind w:left="1380" w:hanging="420"/>
      </w:pPr>
      <w:rPr>
        <w:rFonts w:hint="eastAsia"/>
      </w:rPr>
    </w:lvl>
    <w:lvl w:ilvl="2" w:tentative="0">
      <w:start w:val="1"/>
      <w:numFmt w:val="lowerRoman"/>
      <w:lvlText w:val="%3."/>
      <w:lvlJc w:val="right"/>
      <w:pPr>
        <w:tabs>
          <w:tab w:val="left" w:pos="1800"/>
        </w:tabs>
        <w:ind w:left="1800" w:hanging="420"/>
      </w:pPr>
      <w:rPr>
        <w:rFonts w:hint="eastAsia"/>
      </w:rPr>
    </w:lvl>
    <w:lvl w:ilvl="3" w:tentative="0">
      <w:start w:val="1"/>
      <w:numFmt w:val="decimal"/>
      <w:lvlText w:val="%4."/>
      <w:lvlJc w:val="left"/>
      <w:pPr>
        <w:tabs>
          <w:tab w:val="left" w:pos="2220"/>
        </w:tabs>
        <w:ind w:left="2220" w:hanging="420"/>
      </w:pPr>
      <w:rPr>
        <w:rFonts w:hint="eastAsia"/>
      </w:rPr>
    </w:lvl>
    <w:lvl w:ilvl="4" w:tentative="0">
      <w:start w:val="1"/>
      <w:numFmt w:val="lowerLetter"/>
      <w:lvlText w:val="%5)"/>
      <w:lvlJc w:val="left"/>
      <w:pPr>
        <w:tabs>
          <w:tab w:val="left" w:pos="2640"/>
        </w:tabs>
        <w:ind w:left="2640" w:hanging="420"/>
      </w:pPr>
      <w:rPr>
        <w:rFonts w:hint="eastAsia"/>
      </w:rPr>
    </w:lvl>
    <w:lvl w:ilvl="5" w:tentative="0">
      <w:start w:val="1"/>
      <w:numFmt w:val="lowerRoman"/>
      <w:lvlText w:val="%6."/>
      <w:lvlJc w:val="right"/>
      <w:pPr>
        <w:tabs>
          <w:tab w:val="left" w:pos="3060"/>
        </w:tabs>
        <w:ind w:left="3060" w:hanging="420"/>
      </w:pPr>
      <w:rPr>
        <w:rFonts w:hint="eastAsia"/>
      </w:rPr>
    </w:lvl>
    <w:lvl w:ilvl="6" w:tentative="0">
      <w:start w:val="1"/>
      <w:numFmt w:val="decimal"/>
      <w:lvlText w:val="%7."/>
      <w:lvlJc w:val="left"/>
      <w:pPr>
        <w:tabs>
          <w:tab w:val="left" w:pos="3480"/>
        </w:tabs>
        <w:ind w:left="3480" w:hanging="420"/>
      </w:pPr>
      <w:rPr>
        <w:rFonts w:hint="eastAsia"/>
      </w:rPr>
    </w:lvl>
    <w:lvl w:ilvl="7" w:tentative="0">
      <w:start w:val="1"/>
      <w:numFmt w:val="lowerLetter"/>
      <w:lvlText w:val="%8)"/>
      <w:lvlJc w:val="left"/>
      <w:pPr>
        <w:tabs>
          <w:tab w:val="left" w:pos="3900"/>
        </w:tabs>
        <w:ind w:left="3900" w:hanging="420"/>
      </w:pPr>
      <w:rPr>
        <w:rFonts w:hint="eastAsia"/>
      </w:rPr>
    </w:lvl>
    <w:lvl w:ilvl="8" w:tentative="0">
      <w:start w:val="1"/>
      <w:numFmt w:val="lowerRoman"/>
      <w:lvlText w:val="%9."/>
      <w:lvlJc w:val="right"/>
      <w:pPr>
        <w:tabs>
          <w:tab w:val="left" w:pos="4320"/>
        </w:tabs>
        <w:ind w:left="4320" w:hanging="420"/>
      </w:pPr>
      <w:rPr>
        <w:rFonts w:hint="eastAsia"/>
      </w:rPr>
    </w:lvl>
  </w:abstractNum>
  <w:abstractNum w:abstractNumId="4">
    <w:nsid w:val="14694C14"/>
    <w:multiLevelType w:val="singleLevel"/>
    <w:tmpl w:val="14694C14"/>
    <w:lvl w:ilvl="0" w:tentative="0">
      <w:start w:val="1"/>
      <w:numFmt w:val="decimal"/>
      <w:suff w:val="nothing"/>
      <w:lvlText w:val="%1、"/>
      <w:lvlJc w:val="left"/>
    </w:lvl>
  </w:abstractNum>
  <w:num w:numId="1">
    <w:abstractNumId w:val="3"/>
  </w:num>
  <w:num w:numId="2">
    <w:abstractNumId w:val="2"/>
  </w:num>
  <w:num w:numId="3">
    <w:abstractNumId w:val="1"/>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6"/>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ACTIVE" w:val="03年范本稿123.doc"/>
    <w:docVar w:name="commondata" w:val="eyJoZGlkIjoiYzVmNDllYzk5YzA2ZDkwNzk5MTY2NDcxMTk5MTUyYmMifQ=="/>
    <w:docVar w:name="VTCASE" w:val="4"/>
    <w:docVar w:name="VTCommandPending" w:val="NONE"/>
  </w:docVars>
  <w:rsids>
    <w:rsidRoot w:val="00887D93"/>
    <w:rsid w:val="000004CD"/>
    <w:rsid w:val="00001783"/>
    <w:rsid w:val="00001797"/>
    <w:rsid w:val="0000273B"/>
    <w:rsid w:val="000041A8"/>
    <w:rsid w:val="000055D7"/>
    <w:rsid w:val="0001529F"/>
    <w:rsid w:val="000157E2"/>
    <w:rsid w:val="0001697A"/>
    <w:rsid w:val="000169E1"/>
    <w:rsid w:val="00020D78"/>
    <w:rsid w:val="00021486"/>
    <w:rsid w:val="00021AE8"/>
    <w:rsid w:val="00022E94"/>
    <w:rsid w:val="000313B5"/>
    <w:rsid w:val="00032B95"/>
    <w:rsid w:val="000333A8"/>
    <w:rsid w:val="000434F9"/>
    <w:rsid w:val="00043533"/>
    <w:rsid w:val="00045D67"/>
    <w:rsid w:val="0004677C"/>
    <w:rsid w:val="000538CC"/>
    <w:rsid w:val="000541C7"/>
    <w:rsid w:val="00054A8E"/>
    <w:rsid w:val="00055A71"/>
    <w:rsid w:val="00056583"/>
    <w:rsid w:val="00056932"/>
    <w:rsid w:val="00057BB2"/>
    <w:rsid w:val="0006019D"/>
    <w:rsid w:val="000612B3"/>
    <w:rsid w:val="00061B68"/>
    <w:rsid w:val="00063750"/>
    <w:rsid w:val="00065379"/>
    <w:rsid w:val="000673C5"/>
    <w:rsid w:val="00070907"/>
    <w:rsid w:val="000719AB"/>
    <w:rsid w:val="00073852"/>
    <w:rsid w:val="00076670"/>
    <w:rsid w:val="00080B56"/>
    <w:rsid w:val="00080FC7"/>
    <w:rsid w:val="00081D11"/>
    <w:rsid w:val="00083115"/>
    <w:rsid w:val="00093645"/>
    <w:rsid w:val="00096150"/>
    <w:rsid w:val="00096F54"/>
    <w:rsid w:val="000A31C4"/>
    <w:rsid w:val="000A3727"/>
    <w:rsid w:val="000A49C1"/>
    <w:rsid w:val="000A799B"/>
    <w:rsid w:val="000B3242"/>
    <w:rsid w:val="000B3392"/>
    <w:rsid w:val="000B362F"/>
    <w:rsid w:val="000B366A"/>
    <w:rsid w:val="000B6C50"/>
    <w:rsid w:val="000C0FDF"/>
    <w:rsid w:val="000C15AF"/>
    <w:rsid w:val="000C3524"/>
    <w:rsid w:val="000C5071"/>
    <w:rsid w:val="000C55ED"/>
    <w:rsid w:val="000C6F86"/>
    <w:rsid w:val="000D10E4"/>
    <w:rsid w:val="000D1613"/>
    <w:rsid w:val="000D19C1"/>
    <w:rsid w:val="000D4E69"/>
    <w:rsid w:val="000D5125"/>
    <w:rsid w:val="000D7812"/>
    <w:rsid w:val="000E1288"/>
    <w:rsid w:val="000E3784"/>
    <w:rsid w:val="000E37E0"/>
    <w:rsid w:val="000E47A0"/>
    <w:rsid w:val="000E597F"/>
    <w:rsid w:val="000E5BFC"/>
    <w:rsid w:val="000E694F"/>
    <w:rsid w:val="000E7158"/>
    <w:rsid w:val="000E74D4"/>
    <w:rsid w:val="000F2D05"/>
    <w:rsid w:val="000F2EEE"/>
    <w:rsid w:val="000F4234"/>
    <w:rsid w:val="000F6215"/>
    <w:rsid w:val="000F63C8"/>
    <w:rsid w:val="000F6581"/>
    <w:rsid w:val="00102417"/>
    <w:rsid w:val="001032CC"/>
    <w:rsid w:val="00105B0B"/>
    <w:rsid w:val="0011024E"/>
    <w:rsid w:val="00112163"/>
    <w:rsid w:val="00114579"/>
    <w:rsid w:val="00115BF1"/>
    <w:rsid w:val="0012032C"/>
    <w:rsid w:val="0012244B"/>
    <w:rsid w:val="001224B5"/>
    <w:rsid w:val="00122643"/>
    <w:rsid w:val="0012425B"/>
    <w:rsid w:val="001244F8"/>
    <w:rsid w:val="001247F0"/>
    <w:rsid w:val="001252D8"/>
    <w:rsid w:val="001257D4"/>
    <w:rsid w:val="00131E0D"/>
    <w:rsid w:val="0013359E"/>
    <w:rsid w:val="00137694"/>
    <w:rsid w:val="00141EAC"/>
    <w:rsid w:val="00143652"/>
    <w:rsid w:val="0014627C"/>
    <w:rsid w:val="0015142E"/>
    <w:rsid w:val="00157C74"/>
    <w:rsid w:val="00157D8E"/>
    <w:rsid w:val="00161678"/>
    <w:rsid w:val="00161D71"/>
    <w:rsid w:val="00162805"/>
    <w:rsid w:val="00165014"/>
    <w:rsid w:val="0017180F"/>
    <w:rsid w:val="001733C3"/>
    <w:rsid w:val="00173BFF"/>
    <w:rsid w:val="00174749"/>
    <w:rsid w:val="00174FCA"/>
    <w:rsid w:val="00175AFB"/>
    <w:rsid w:val="00176F12"/>
    <w:rsid w:val="001770BE"/>
    <w:rsid w:val="00177A3E"/>
    <w:rsid w:val="00183E4B"/>
    <w:rsid w:val="00187B13"/>
    <w:rsid w:val="00187EB4"/>
    <w:rsid w:val="0019618B"/>
    <w:rsid w:val="00196FA0"/>
    <w:rsid w:val="001A3B44"/>
    <w:rsid w:val="001A4571"/>
    <w:rsid w:val="001A5EEB"/>
    <w:rsid w:val="001A62A5"/>
    <w:rsid w:val="001B4216"/>
    <w:rsid w:val="001B49A4"/>
    <w:rsid w:val="001B521B"/>
    <w:rsid w:val="001B5CC8"/>
    <w:rsid w:val="001B6587"/>
    <w:rsid w:val="001C0582"/>
    <w:rsid w:val="001C058D"/>
    <w:rsid w:val="001C24DD"/>
    <w:rsid w:val="001C54C3"/>
    <w:rsid w:val="001C577E"/>
    <w:rsid w:val="001D027D"/>
    <w:rsid w:val="001D4A1E"/>
    <w:rsid w:val="001D70E9"/>
    <w:rsid w:val="001E181E"/>
    <w:rsid w:val="001E1DCD"/>
    <w:rsid w:val="001E4481"/>
    <w:rsid w:val="001E44EF"/>
    <w:rsid w:val="001E6C1A"/>
    <w:rsid w:val="001E7629"/>
    <w:rsid w:val="001E7846"/>
    <w:rsid w:val="001E7E8B"/>
    <w:rsid w:val="001F2F0B"/>
    <w:rsid w:val="001F3130"/>
    <w:rsid w:val="001F5903"/>
    <w:rsid w:val="001F7292"/>
    <w:rsid w:val="002001DC"/>
    <w:rsid w:val="002032B0"/>
    <w:rsid w:val="00203778"/>
    <w:rsid w:val="0020407A"/>
    <w:rsid w:val="00210AE7"/>
    <w:rsid w:val="002123C7"/>
    <w:rsid w:val="002124BD"/>
    <w:rsid w:val="00213411"/>
    <w:rsid w:val="00216D4F"/>
    <w:rsid w:val="00216E43"/>
    <w:rsid w:val="00220866"/>
    <w:rsid w:val="002231A4"/>
    <w:rsid w:val="00223245"/>
    <w:rsid w:val="00224447"/>
    <w:rsid w:val="00224A77"/>
    <w:rsid w:val="0022671D"/>
    <w:rsid w:val="0023090E"/>
    <w:rsid w:val="00231C64"/>
    <w:rsid w:val="00232C22"/>
    <w:rsid w:val="0023318A"/>
    <w:rsid w:val="00236A9B"/>
    <w:rsid w:val="0023715B"/>
    <w:rsid w:val="00237592"/>
    <w:rsid w:val="00244A0E"/>
    <w:rsid w:val="00244F73"/>
    <w:rsid w:val="002501BB"/>
    <w:rsid w:val="002509CA"/>
    <w:rsid w:val="00250C1D"/>
    <w:rsid w:val="00251A29"/>
    <w:rsid w:val="00251B89"/>
    <w:rsid w:val="00253615"/>
    <w:rsid w:val="00253950"/>
    <w:rsid w:val="00254F7E"/>
    <w:rsid w:val="0025569E"/>
    <w:rsid w:val="002564FE"/>
    <w:rsid w:val="002603EB"/>
    <w:rsid w:val="00261FEB"/>
    <w:rsid w:val="00264327"/>
    <w:rsid w:val="002650F1"/>
    <w:rsid w:val="00266403"/>
    <w:rsid w:val="00266406"/>
    <w:rsid w:val="002679CA"/>
    <w:rsid w:val="00272722"/>
    <w:rsid w:val="002745E7"/>
    <w:rsid w:val="002760AC"/>
    <w:rsid w:val="00277935"/>
    <w:rsid w:val="00277E8E"/>
    <w:rsid w:val="00280DD6"/>
    <w:rsid w:val="00282496"/>
    <w:rsid w:val="00283033"/>
    <w:rsid w:val="00285085"/>
    <w:rsid w:val="002854DC"/>
    <w:rsid w:val="0028616B"/>
    <w:rsid w:val="00290CDE"/>
    <w:rsid w:val="00290DE2"/>
    <w:rsid w:val="002959CC"/>
    <w:rsid w:val="002A0C27"/>
    <w:rsid w:val="002A2315"/>
    <w:rsid w:val="002A2732"/>
    <w:rsid w:val="002A3153"/>
    <w:rsid w:val="002A6C9C"/>
    <w:rsid w:val="002C10AC"/>
    <w:rsid w:val="002C2AE8"/>
    <w:rsid w:val="002C2FF3"/>
    <w:rsid w:val="002C3A5A"/>
    <w:rsid w:val="002C4ABE"/>
    <w:rsid w:val="002C71EC"/>
    <w:rsid w:val="002C7548"/>
    <w:rsid w:val="002C780B"/>
    <w:rsid w:val="002C7E47"/>
    <w:rsid w:val="002D2C13"/>
    <w:rsid w:val="002D2FFB"/>
    <w:rsid w:val="002D4E0A"/>
    <w:rsid w:val="002D4E16"/>
    <w:rsid w:val="002D505C"/>
    <w:rsid w:val="002D5DF8"/>
    <w:rsid w:val="002E334D"/>
    <w:rsid w:val="002E486A"/>
    <w:rsid w:val="002E53C0"/>
    <w:rsid w:val="002E766C"/>
    <w:rsid w:val="002F02C8"/>
    <w:rsid w:val="002F0A07"/>
    <w:rsid w:val="002F2D5F"/>
    <w:rsid w:val="002F46DC"/>
    <w:rsid w:val="002F5145"/>
    <w:rsid w:val="002F5CB9"/>
    <w:rsid w:val="002F5E9B"/>
    <w:rsid w:val="002F683C"/>
    <w:rsid w:val="00310C52"/>
    <w:rsid w:val="0031140B"/>
    <w:rsid w:val="00314E3D"/>
    <w:rsid w:val="00317120"/>
    <w:rsid w:val="003171BB"/>
    <w:rsid w:val="0032100C"/>
    <w:rsid w:val="003212C2"/>
    <w:rsid w:val="00321921"/>
    <w:rsid w:val="00321926"/>
    <w:rsid w:val="00327707"/>
    <w:rsid w:val="0033060D"/>
    <w:rsid w:val="003318F3"/>
    <w:rsid w:val="00331ECA"/>
    <w:rsid w:val="00333919"/>
    <w:rsid w:val="00334F3E"/>
    <w:rsid w:val="003379AF"/>
    <w:rsid w:val="00337C5C"/>
    <w:rsid w:val="00343E4C"/>
    <w:rsid w:val="003528B8"/>
    <w:rsid w:val="00352BC8"/>
    <w:rsid w:val="00355D82"/>
    <w:rsid w:val="00356CAF"/>
    <w:rsid w:val="003612A6"/>
    <w:rsid w:val="003671F3"/>
    <w:rsid w:val="00367712"/>
    <w:rsid w:val="00367C88"/>
    <w:rsid w:val="00367DB2"/>
    <w:rsid w:val="00370B19"/>
    <w:rsid w:val="00371C8C"/>
    <w:rsid w:val="00373408"/>
    <w:rsid w:val="003748EB"/>
    <w:rsid w:val="00375DCD"/>
    <w:rsid w:val="00376F36"/>
    <w:rsid w:val="003800A6"/>
    <w:rsid w:val="0038151E"/>
    <w:rsid w:val="00382FFA"/>
    <w:rsid w:val="00383B0A"/>
    <w:rsid w:val="0038491D"/>
    <w:rsid w:val="00387606"/>
    <w:rsid w:val="00391DD2"/>
    <w:rsid w:val="003925E1"/>
    <w:rsid w:val="00393D74"/>
    <w:rsid w:val="003943A7"/>
    <w:rsid w:val="00396A66"/>
    <w:rsid w:val="003A0E06"/>
    <w:rsid w:val="003A1A69"/>
    <w:rsid w:val="003A37B8"/>
    <w:rsid w:val="003A582F"/>
    <w:rsid w:val="003A6B72"/>
    <w:rsid w:val="003B020F"/>
    <w:rsid w:val="003B3917"/>
    <w:rsid w:val="003B41D9"/>
    <w:rsid w:val="003B4356"/>
    <w:rsid w:val="003B5422"/>
    <w:rsid w:val="003B7293"/>
    <w:rsid w:val="003B76D0"/>
    <w:rsid w:val="003B7D7E"/>
    <w:rsid w:val="003C0EF3"/>
    <w:rsid w:val="003C53B2"/>
    <w:rsid w:val="003C6422"/>
    <w:rsid w:val="003C6C9A"/>
    <w:rsid w:val="003D6961"/>
    <w:rsid w:val="003E2C77"/>
    <w:rsid w:val="003E2C89"/>
    <w:rsid w:val="003E3C14"/>
    <w:rsid w:val="003E6516"/>
    <w:rsid w:val="003E747A"/>
    <w:rsid w:val="003F0149"/>
    <w:rsid w:val="003F11BD"/>
    <w:rsid w:val="003F4748"/>
    <w:rsid w:val="003F61AC"/>
    <w:rsid w:val="00401267"/>
    <w:rsid w:val="00401B70"/>
    <w:rsid w:val="00402836"/>
    <w:rsid w:val="0040298F"/>
    <w:rsid w:val="0040367C"/>
    <w:rsid w:val="00404B23"/>
    <w:rsid w:val="00405154"/>
    <w:rsid w:val="004109B8"/>
    <w:rsid w:val="0041238C"/>
    <w:rsid w:val="00412829"/>
    <w:rsid w:val="0041314E"/>
    <w:rsid w:val="00414EDB"/>
    <w:rsid w:val="004164DF"/>
    <w:rsid w:val="0042141B"/>
    <w:rsid w:val="00425FB2"/>
    <w:rsid w:val="004261AF"/>
    <w:rsid w:val="00426BB0"/>
    <w:rsid w:val="00427182"/>
    <w:rsid w:val="00433EEA"/>
    <w:rsid w:val="004408B0"/>
    <w:rsid w:val="004408EE"/>
    <w:rsid w:val="00441C7F"/>
    <w:rsid w:val="00441E5E"/>
    <w:rsid w:val="0044524F"/>
    <w:rsid w:val="0044654E"/>
    <w:rsid w:val="004504F2"/>
    <w:rsid w:val="00450C1F"/>
    <w:rsid w:val="00455240"/>
    <w:rsid w:val="0045705D"/>
    <w:rsid w:val="00457AEF"/>
    <w:rsid w:val="0046046C"/>
    <w:rsid w:val="0046550B"/>
    <w:rsid w:val="004663F3"/>
    <w:rsid w:val="00467553"/>
    <w:rsid w:val="00471F78"/>
    <w:rsid w:val="00473B94"/>
    <w:rsid w:val="00473DC2"/>
    <w:rsid w:val="0047556E"/>
    <w:rsid w:val="00475991"/>
    <w:rsid w:val="00475B13"/>
    <w:rsid w:val="00480D8D"/>
    <w:rsid w:val="004814E5"/>
    <w:rsid w:val="004827CD"/>
    <w:rsid w:val="00484641"/>
    <w:rsid w:val="004846F8"/>
    <w:rsid w:val="00485EFC"/>
    <w:rsid w:val="00490A94"/>
    <w:rsid w:val="004911E4"/>
    <w:rsid w:val="004912F4"/>
    <w:rsid w:val="004922BC"/>
    <w:rsid w:val="00492CE8"/>
    <w:rsid w:val="00493558"/>
    <w:rsid w:val="00493EC9"/>
    <w:rsid w:val="00494ECE"/>
    <w:rsid w:val="00495251"/>
    <w:rsid w:val="00495B0C"/>
    <w:rsid w:val="004963A5"/>
    <w:rsid w:val="004A1759"/>
    <w:rsid w:val="004A2275"/>
    <w:rsid w:val="004A3872"/>
    <w:rsid w:val="004A3AC0"/>
    <w:rsid w:val="004A42D0"/>
    <w:rsid w:val="004A4ED0"/>
    <w:rsid w:val="004A6F61"/>
    <w:rsid w:val="004B0706"/>
    <w:rsid w:val="004B22B1"/>
    <w:rsid w:val="004B46E5"/>
    <w:rsid w:val="004B6542"/>
    <w:rsid w:val="004B72A3"/>
    <w:rsid w:val="004C1E33"/>
    <w:rsid w:val="004C6870"/>
    <w:rsid w:val="004D29A3"/>
    <w:rsid w:val="004D4D48"/>
    <w:rsid w:val="004D5250"/>
    <w:rsid w:val="004D6AD9"/>
    <w:rsid w:val="004E0517"/>
    <w:rsid w:val="004E0C12"/>
    <w:rsid w:val="004E13F0"/>
    <w:rsid w:val="004E21D2"/>
    <w:rsid w:val="004E4854"/>
    <w:rsid w:val="004E5FCE"/>
    <w:rsid w:val="004F036B"/>
    <w:rsid w:val="004F052D"/>
    <w:rsid w:val="004F0E54"/>
    <w:rsid w:val="004F7B7E"/>
    <w:rsid w:val="00501785"/>
    <w:rsid w:val="00501EE6"/>
    <w:rsid w:val="00503724"/>
    <w:rsid w:val="00504E3C"/>
    <w:rsid w:val="00507AD5"/>
    <w:rsid w:val="00513F7C"/>
    <w:rsid w:val="005149B8"/>
    <w:rsid w:val="005168FA"/>
    <w:rsid w:val="005175C0"/>
    <w:rsid w:val="00520001"/>
    <w:rsid w:val="00521717"/>
    <w:rsid w:val="0052391C"/>
    <w:rsid w:val="0052393A"/>
    <w:rsid w:val="00530C3F"/>
    <w:rsid w:val="00532B1D"/>
    <w:rsid w:val="00533524"/>
    <w:rsid w:val="00534347"/>
    <w:rsid w:val="00540C55"/>
    <w:rsid w:val="00542227"/>
    <w:rsid w:val="005422EB"/>
    <w:rsid w:val="0054426F"/>
    <w:rsid w:val="0054508F"/>
    <w:rsid w:val="00546F3A"/>
    <w:rsid w:val="005475C6"/>
    <w:rsid w:val="00550C61"/>
    <w:rsid w:val="00552FBA"/>
    <w:rsid w:val="00554D9D"/>
    <w:rsid w:val="00555A82"/>
    <w:rsid w:val="00556C52"/>
    <w:rsid w:val="0056008C"/>
    <w:rsid w:val="00570A8A"/>
    <w:rsid w:val="00571BE1"/>
    <w:rsid w:val="0057268E"/>
    <w:rsid w:val="00573C95"/>
    <w:rsid w:val="005750B7"/>
    <w:rsid w:val="005806C7"/>
    <w:rsid w:val="00582CA5"/>
    <w:rsid w:val="00582FE9"/>
    <w:rsid w:val="0058511B"/>
    <w:rsid w:val="005852AF"/>
    <w:rsid w:val="00586FF5"/>
    <w:rsid w:val="005A0332"/>
    <w:rsid w:val="005A1737"/>
    <w:rsid w:val="005A1914"/>
    <w:rsid w:val="005A1D6F"/>
    <w:rsid w:val="005A378B"/>
    <w:rsid w:val="005A3804"/>
    <w:rsid w:val="005A40B3"/>
    <w:rsid w:val="005B1361"/>
    <w:rsid w:val="005B177D"/>
    <w:rsid w:val="005B3B4A"/>
    <w:rsid w:val="005B4C4C"/>
    <w:rsid w:val="005B7966"/>
    <w:rsid w:val="005C0341"/>
    <w:rsid w:val="005C3CDD"/>
    <w:rsid w:val="005D2B33"/>
    <w:rsid w:val="005D4B36"/>
    <w:rsid w:val="005D5B37"/>
    <w:rsid w:val="005D6D35"/>
    <w:rsid w:val="005E1062"/>
    <w:rsid w:val="005E12BD"/>
    <w:rsid w:val="005E132E"/>
    <w:rsid w:val="005E1F41"/>
    <w:rsid w:val="005E305E"/>
    <w:rsid w:val="005E3ECC"/>
    <w:rsid w:val="005E53A4"/>
    <w:rsid w:val="005F1F63"/>
    <w:rsid w:val="005F324D"/>
    <w:rsid w:val="005F4C0F"/>
    <w:rsid w:val="006011F9"/>
    <w:rsid w:val="006016B0"/>
    <w:rsid w:val="00602247"/>
    <w:rsid w:val="006054AE"/>
    <w:rsid w:val="00606661"/>
    <w:rsid w:val="00612A91"/>
    <w:rsid w:val="00615BD4"/>
    <w:rsid w:val="006176D9"/>
    <w:rsid w:val="0062063C"/>
    <w:rsid w:val="00621EEA"/>
    <w:rsid w:val="00622049"/>
    <w:rsid w:val="006267AC"/>
    <w:rsid w:val="006275F8"/>
    <w:rsid w:val="00630C8F"/>
    <w:rsid w:val="0063126C"/>
    <w:rsid w:val="006321D9"/>
    <w:rsid w:val="00635ACD"/>
    <w:rsid w:val="00645F9B"/>
    <w:rsid w:val="006462F4"/>
    <w:rsid w:val="00646C7B"/>
    <w:rsid w:val="00653EEF"/>
    <w:rsid w:val="00656DB1"/>
    <w:rsid w:val="0065706C"/>
    <w:rsid w:val="006570F3"/>
    <w:rsid w:val="006574CA"/>
    <w:rsid w:val="00663087"/>
    <w:rsid w:val="00666E6E"/>
    <w:rsid w:val="00667926"/>
    <w:rsid w:val="00672A07"/>
    <w:rsid w:val="00672A3D"/>
    <w:rsid w:val="00673284"/>
    <w:rsid w:val="00673C56"/>
    <w:rsid w:val="00674E3C"/>
    <w:rsid w:val="00684218"/>
    <w:rsid w:val="00684A17"/>
    <w:rsid w:val="0068548A"/>
    <w:rsid w:val="00686ACA"/>
    <w:rsid w:val="006904AF"/>
    <w:rsid w:val="00695821"/>
    <w:rsid w:val="0069607D"/>
    <w:rsid w:val="006960C5"/>
    <w:rsid w:val="006A05F8"/>
    <w:rsid w:val="006A0897"/>
    <w:rsid w:val="006A27B1"/>
    <w:rsid w:val="006A4246"/>
    <w:rsid w:val="006A56B9"/>
    <w:rsid w:val="006A64EB"/>
    <w:rsid w:val="006A7750"/>
    <w:rsid w:val="006A7FD4"/>
    <w:rsid w:val="006B0E91"/>
    <w:rsid w:val="006B1891"/>
    <w:rsid w:val="006B37AE"/>
    <w:rsid w:val="006B3C07"/>
    <w:rsid w:val="006B476E"/>
    <w:rsid w:val="006B7254"/>
    <w:rsid w:val="006B73B9"/>
    <w:rsid w:val="006C0F43"/>
    <w:rsid w:val="006C2D51"/>
    <w:rsid w:val="006C4083"/>
    <w:rsid w:val="006C4B81"/>
    <w:rsid w:val="006C517C"/>
    <w:rsid w:val="006C5CAA"/>
    <w:rsid w:val="006C6855"/>
    <w:rsid w:val="006C7F43"/>
    <w:rsid w:val="006D16F3"/>
    <w:rsid w:val="006D49E3"/>
    <w:rsid w:val="006D4C2C"/>
    <w:rsid w:val="006D62FF"/>
    <w:rsid w:val="006E019F"/>
    <w:rsid w:val="006E18C4"/>
    <w:rsid w:val="006E3E50"/>
    <w:rsid w:val="006E402A"/>
    <w:rsid w:val="006E525F"/>
    <w:rsid w:val="006E74F5"/>
    <w:rsid w:val="006E7DCA"/>
    <w:rsid w:val="006F03B7"/>
    <w:rsid w:val="006F2035"/>
    <w:rsid w:val="006F28EE"/>
    <w:rsid w:val="006F42C2"/>
    <w:rsid w:val="006F602A"/>
    <w:rsid w:val="006F7412"/>
    <w:rsid w:val="00704E65"/>
    <w:rsid w:val="0071025E"/>
    <w:rsid w:val="007105A5"/>
    <w:rsid w:val="00710B8D"/>
    <w:rsid w:val="00712CF9"/>
    <w:rsid w:val="00713024"/>
    <w:rsid w:val="00713EA1"/>
    <w:rsid w:val="00715D6B"/>
    <w:rsid w:val="00717F6B"/>
    <w:rsid w:val="007212F0"/>
    <w:rsid w:val="00722EC6"/>
    <w:rsid w:val="00723FF6"/>
    <w:rsid w:val="0072460B"/>
    <w:rsid w:val="00726876"/>
    <w:rsid w:val="007269B1"/>
    <w:rsid w:val="00730DF7"/>
    <w:rsid w:val="0073123A"/>
    <w:rsid w:val="007331F6"/>
    <w:rsid w:val="0073362F"/>
    <w:rsid w:val="00733A3E"/>
    <w:rsid w:val="00736B54"/>
    <w:rsid w:val="00740605"/>
    <w:rsid w:val="00740FA5"/>
    <w:rsid w:val="007440A8"/>
    <w:rsid w:val="00747B97"/>
    <w:rsid w:val="00747DD4"/>
    <w:rsid w:val="00751820"/>
    <w:rsid w:val="00751B7E"/>
    <w:rsid w:val="00752AB2"/>
    <w:rsid w:val="00754193"/>
    <w:rsid w:val="007556C8"/>
    <w:rsid w:val="00756FA1"/>
    <w:rsid w:val="007605DF"/>
    <w:rsid w:val="0076244A"/>
    <w:rsid w:val="00762D9D"/>
    <w:rsid w:val="00763FD6"/>
    <w:rsid w:val="0076431D"/>
    <w:rsid w:val="00766DE9"/>
    <w:rsid w:val="007678A5"/>
    <w:rsid w:val="00770841"/>
    <w:rsid w:val="00771F67"/>
    <w:rsid w:val="00772012"/>
    <w:rsid w:val="007732E1"/>
    <w:rsid w:val="0077418F"/>
    <w:rsid w:val="00774C01"/>
    <w:rsid w:val="007823C9"/>
    <w:rsid w:val="007835B7"/>
    <w:rsid w:val="007863E1"/>
    <w:rsid w:val="007910D3"/>
    <w:rsid w:val="0079336E"/>
    <w:rsid w:val="007A5BD0"/>
    <w:rsid w:val="007B4B46"/>
    <w:rsid w:val="007B5E5F"/>
    <w:rsid w:val="007B6CA0"/>
    <w:rsid w:val="007B6F71"/>
    <w:rsid w:val="007C06F8"/>
    <w:rsid w:val="007C27E5"/>
    <w:rsid w:val="007C2E24"/>
    <w:rsid w:val="007C3F78"/>
    <w:rsid w:val="007C4B09"/>
    <w:rsid w:val="007C6167"/>
    <w:rsid w:val="007C6EB8"/>
    <w:rsid w:val="007C7809"/>
    <w:rsid w:val="007D13B9"/>
    <w:rsid w:val="007D2774"/>
    <w:rsid w:val="007D71F7"/>
    <w:rsid w:val="007E024C"/>
    <w:rsid w:val="007E160E"/>
    <w:rsid w:val="007E1BDD"/>
    <w:rsid w:val="007E700C"/>
    <w:rsid w:val="007E7388"/>
    <w:rsid w:val="007F1BAF"/>
    <w:rsid w:val="007F1F1C"/>
    <w:rsid w:val="007F2277"/>
    <w:rsid w:val="007F433C"/>
    <w:rsid w:val="007F4428"/>
    <w:rsid w:val="008004B0"/>
    <w:rsid w:val="008045D9"/>
    <w:rsid w:val="00806C8A"/>
    <w:rsid w:val="0080702C"/>
    <w:rsid w:val="00807165"/>
    <w:rsid w:val="00812094"/>
    <w:rsid w:val="0081333B"/>
    <w:rsid w:val="008140D7"/>
    <w:rsid w:val="0081653B"/>
    <w:rsid w:val="00821DF6"/>
    <w:rsid w:val="00823CCC"/>
    <w:rsid w:val="00827179"/>
    <w:rsid w:val="0083029A"/>
    <w:rsid w:val="00830426"/>
    <w:rsid w:val="00830E02"/>
    <w:rsid w:val="00831C83"/>
    <w:rsid w:val="00831E0A"/>
    <w:rsid w:val="008343C4"/>
    <w:rsid w:val="00835847"/>
    <w:rsid w:val="00835C6F"/>
    <w:rsid w:val="00837429"/>
    <w:rsid w:val="0083745B"/>
    <w:rsid w:val="00840252"/>
    <w:rsid w:val="00840420"/>
    <w:rsid w:val="00842DE3"/>
    <w:rsid w:val="00844F5E"/>
    <w:rsid w:val="00846701"/>
    <w:rsid w:val="0085232F"/>
    <w:rsid w:val="00854E2A"/>
    <w:rsid w:val="008550CD"/>
    <w:rsid w:val="00857E3A"/>
    <w:rsid w:val="00861135"/>
    <w:rsid w:val="00864495"/>
    <w:rsid w:val="0086449D"/>
    <w:rsid w:val="008651BC"/>
    <w:rsid w:val="00867059"/>
    <w:rsid w:val="00867A5A"/>
    <w:rsid w:val="008711B1"/>
    <w:rsid w:val="00871FBA"/>
    <w:rsid w:val="00872119"/>
    <w:rsid w:val="008722FB"/>
    <w:rsid w:val="00877EA2"/>
    <w:rsid w:val="008808CA"/>
    <w:rsid w:val="00887D93"/>
    <w:rsid w:val="00890912"/>
    <w:rsid w:val="00890D7D"/>
    <w:rsid w:val="008917B4"/>
    <w:rsid w:val="008933C7"/>
    <w:rsid w:val="008941B9"/>
    <w:rsid w:val="00894216"/>
    <w:rsid w:val="008959F9"/>
    <w:rsid w:val="00896786"/>
    <w:rsid w:val="00897413"/>
    <w:rsid w:val="008A118C"/>
    <w:rsid w:val="008A46DC"/>
    <w:rsid w:val="008A4806"/>
    <w:rsid w:val="008A4BF4"/>
    <w:rsid w:val="008A510D"/>
    <w:rsid w:val="008A5EDE"/>
    <w:rsid w:val="008A7A4E"/>
    <w:rsid w:val="008A7C4F"/>
    <w:rsid w:val="008B2FA8"/>
    <w:rsid w:val="008B3253"/>
    <w:rsid w:val="008B3F5C"/>
    <w:rsid w:val="008C020E"/>
    <w:rsid w:val="008C2F9E"/>
    <w:rsid w:val="008D03EA"/>
    <w:rsid w:val="008D16BD"/>
    <w:rsid w:val="008D17A7"/>
    <w:rsid w:val="008D2E91"/>
    <w:rsid w:val="008D58E2"/>
    <w:rsid w:val="008D6283"/>
    <w:rsid w:val="008D7FB0"/>
    <w:rsid w:val="008E050B"/>
    <w:rsid w:val="008E1010"/>
    <w:rsid w:val="008E2C2E"/>
    <w:rsid w:val="008E72A8"/>
    <w:rsid w:val="008F0627"/>
    <w:rsid w:val="008F1FF1"/>
    <w:rsid w:val="008F2498"/>
    <w:rsid w:val="008F41FB"/>
    <w:rsid w:val="008F4B49"/>
    <w:rsid w:val="008F5977"/>
    <w:rsid w:val="008F5C9B"/>
    <w:rsid w:val="00900451"/>
    <w:rsid w:val="009039C8"/>
    <w:rsid w:val="00904BCF"/>
    <w:rsid w:val="00905B77"/>
    <w:rsid w:val="00906FD6"/>
    <w:rsid w:val="009079D0"/>
    <w:rsid w:val="00907DCD"/>
    <w:rsid w:val="009104AA"/>
    <w:rsid w:val="00914466"/>
    <w:rsid w:val="00915D8A"/>
    <w:rsid w:val="00917746"/>
    <w:rsid w:val="009209A5"/>
    <w:rsid w:val="00920F98"/>
    <w:rsid w:val="00922448"/>
    <w:rsid w:val="009228BB"/>
    <w:rsid w:val="00922FDA"/>
    <w:rsid w:val="009244DF"/>
    <w:rsid w:val="00927EF6"/>
    <w:rsid w:val="00930D45"/>
    <w:rsid w:val="00930E14"/>
    <w:rsid w:val="00933885"/>
    <w:rsid w:val="009338DA"/>
    <w:rsid w:val="00936E93"/>
    <w:rsid w:val="00937FDA"/>
    <w:rsid w:val="00947632"/>
    <w:rsid w:val="0094786C"/>
    <w:rsid w:val="00947B9F"/>
    <w:rsid w:val="00947FB4"/>
    <w:rsid w:val="00952D2F"/>
    <w:rsid w:val="00952D60"/>
    <w:rsid w:val="00952E44"/>
    <w:rsid w:val="00955447"/>
    <w:rsid w:val="00955A17"/>
    <w:rsid w:val="00957C50"/>
    <w:rsid w:val="00960E12"/>
    <w:rsid w:val="0096331F"/>
    <w:rsid w:val="00963914"/>
    <w:rsid w:val="00963A90"/>
    <w:rsid w:val="009729D8"/>
    <w:rsid w:val="0097453F"/>
    <w:rsid w:val="00974577"/>
    <w:rsid w:val="00975045"/>
    <w:rsid w:val="00976670"/>
    <w:rsid w:val="00976BC3"/>
    <w:rsid w:val="00976E64"/>
    <w:rsid w:val="00977929"/>
    <w:rsid w:val="0098426D"/>
    <w:rsid w:val="00993B1F"/>
    <w:rsid w:val="00993F70"/>
    <w:rsid w:val="0099428D"/>
    <w:rsid w:val="00995932"/>
    <w:rsid w:val="00996D49"/>
    <w:rsid w:val="009A1C77"/>
    <w:rsid w:val="009A51E6"/>
    <w:rsid w:val="009A5BC5"/>
    <w:rsid w:val="009A61AA"/>
    <w:rsid w:val="009A747C"/>
    <w:rsid w:val="009A7DAC"/>
    <w:rsid w:val="009B2B6E"/>
    <w:rsid w:val="009B3C1F"/>
    <w:rsid w:val="009B7D7E"/>
    <w:rsid w:val="009C10F7"/>
    <w:rsid w:val="009C11B1"/>
    <w:rsid w:val="009C1722"/>
    <w:rsid w:val="009C6235"/>
    <w:rsid w:val="009C6E76"/>
    <w:rsid w:val="009D00B8"/>
    <w:rsid w:val="009D3E42"/>
    <w:rsid w:val="009D682E"/>
    <w:rsid w:val="009E40F9"/>
    <w:rsid w:val="009E5844"/>
    <w:rsid w:val="009E653F"/>
    <w:rsid w:val="009E7C9A"/>
    <w:rsid w:val="009F4C6D"/>
    <w:rsid w:val="009F5062"/>
    <w:rsid w:val="009F7861"/>
    <w:rsid w:val="00A01D25"/>
    <w:rsid w:val="00A0624A"/>
    <w:rsid w:val="00A06830"/>
    <w:rsid w:val="00A12892"/>
    <w:rsid w:val="00A149DF"/>
    <w:rsid w:val="00A1634D"/>
    <w:rsid w:val="00A1707B"/>
    <w:rsid w:val="00A32694"/>
    <w:rsid w:val="00A33A18"/>
    <w:rsid w:val="00A350BE"/>
    <w:rsid w:val="00A35C8A"/>
    <w:rsid w:val="00A36343"/>
    <w:rsid w:val="00A36638"/>
    <w:rsid w:val="00A36B9A"/>
    <w:rsid w:val="00A4149B"/>
    <w:rsid w:val="00A51ECF"/>
    <w:rsid w:val="00A5335D"/>
    <w:rsid w:val="00A53EBD"/>
    <w:rsid w:val="00A56524"/>
    <w:rsid w:val="00A610B8"/>
    <w:rsid w:val="00A61208"/>
    <w:rsid w:val="00A62660"/>
    <w:rsid w:val="00A62D2C"/>
    <w:rsid w:val="00A64D6A"/>
    <w:rsid w:val="00A66A0F"/>
    <w:rsid w:val="00A67FB0"/>
    <w:rsid w:val="00A700BE"/>
    <w:rsid w:val="00A7038D"/>
    <w:rsid w:val="00A73440"/>
    <w:rsid w:val="00A75908"/>
    <w:rsid w:val="00A75D01"/>
    <w:rsid w:val="00A76B01"/>
    <w:rsid w:val="00A813D7"/>
    <w:rsid w:val="00A83BB1"/>
    <w:rsid w:val="00A87807"/>
    <w:rsid w:val="00A90332"/>
    <w:rsid w:val="00A94426"/>
    <w:rsid w:val="00A9734B"/>
    <w:rsid w:val="00A97D26"/>
    <w:rsid w:val="00AA06C5"/>
    <w:rsid w:val="00AA1669"/>
    <w:rsid w:val="00AA3A8E"/>
    <w:rsid w:val="00AA5BB8"/>
    <w:rsid w:val="00AA5D50"/>
    <w:rsid w:val="00AA6487"/>
    <w:rsid w:val="00AB001E"/>
    <w:rsid w:val="00AB2D04"/>
    <w:rsid w:val="00AB318B"/>
    <w:rsid w:val="00AB7D6A"/>
    <w:rsid w:val="00AC0A22"/>
    <w:rsid w:val="00AC3A3F"/>
    <w:rsid w:val="00AD190D"/>
    <w:rsid w:val="00AD2DAB"/>
    <w:rsid w:val="00AE1BBB"/>
    <w:rsid w:val="00AE2F4C"/>
    <w:rsid w:val="00AE3B4A"/>
    <w:rsid w:val="00AE4A87"/>
    <w:rsid w:val="00AE673D"/>
    <w:rsid w:val="00AE749B"/>
    <w:rsid w:val="00AF0629"/>
    <w:rsid w:val="00AF1BF1"/>
    <w:rsid w:val="00AF32B8"/>
    <w:rsid w:val="00AF3CB3"/>
    <w:rsid w:val="00AF531B"/>
    <w:rsid w:val="00AF5337"/>
    <w:rsid w:val="00AF53C2"/>
    <w:rsid w:val="00AF71F6"/>
    <w:rsid w:val="00AF7C60"/>
    <w:rsid w:val="00B005C5"/>
    <w:rsid w:val="00B02305"/>
    <w:rsid w:val="00B02E23"/>
    <w:rsid w:val="00B060D5"/>
    <w:rsid w:val="00B06AE3"/>
    <w:rsid w:val="00B1175D"/>
    <w:rsid w:val="00B12731"/>
    <w:rsid w:val="00B12AA5"/>
    <w:rsid w:val="00B146BC"/>
    <w:rsid w:val="00B14DF1"/>
    <w:rsid w:val="00B153B3"/>
    <w:rsid w:val="00B17CBB"/>
    <w:rsid w:val="00B20BBF"/>
    <w:rsid w:val="00B217CC"/>
    <w:rsid w:val="00B25447"/>
    <w:rsid w:val="00B271C9"/>
    <w:rsid w:val="00B31C57"/>
    <w:rsid w:val="00B32F09"/>
    <w:rsid w:val="00B33D96"/>
    <w:rsid w:val="00B33E36"/>
    <w:rsid w:val="00B34F0E"/>
    <w:rsid w:val="00B35F5F"/>
    <w:rsid w:val="00B36F78"/>
    <w:rsid w:val="00B3755E"/>
    <w:rsid w:val="00B404A6"/>
    <w:rsid w:val="00B40A63"/>
    <w:rsid w:val="00B41213"/>
    <w:rsid w:val="00B45C45"/>
    <w:rsid w:val="00B47277"/>
    <w:rsid w:val="00B54D6E"/>
    <w:rsid w:val="00B56FB7"/>
    <w:rsid w:val="00B577A6"/>
    <w:rsid w:val="00B607BE"/>
    <w:rsid w:val="00B61E09"/>
    <w:rsid w:val="00B6274D"/>
    <w:rsid w:val="00B62B63"/>
    <w:rsid w:val="00B64D41"/>
    <w:rsid w:val="00B66CB3"/>
    <w:rsid w:val="00B66D6E"/>
    <w:rsid w:val="00B67351"/>
    <w:rsid w:val="00B706C6"/>
    <w:rsid w:val="00B739CF"/>
    <w:rsid w:val="00B7475F"/>
    <w:rsid w:val="00B80B07"/>
    <w:rsid w:val="00B8178C"/>
    <w:rsid w:val="00B81BF0"/>
    <w:rsid w:val="00B82E33"/>
    <w:rsid w:val="00B82ECB"/>
    <w:rsid w:val="00B8310B"/>
    <w:rsid w:val="00B83C8B"/>
    <w:rsid w:val="00B85BAF"/>
    <w:rsid w:val="00B90874"/>
    <w:rsid w:val="00B90BFA"/>
    <w:rsid w:val="00B93044"/>
    <w:rsid w:val="00B931B0"/>
    <w:rsid w:val="00B93ED9"/>
    <w:rsid w:val="00B95E2C"/>
    <w:rsid w:val="00BA2C17"/>
    <w:rsid w:val="00BA40F3"/>
    <w:rsid w:val="00BA5F6B"/>
    <w:rsid w:val="00BA6BD0"/>
    <w:rsid w:val="00BB0589"/>
    <w:rsid w:val="00BB1AF8"/>
    <w:rsid w:val="00BB2E2A"/>
    <w:rsid w:val="00BB4B39"/>
    <w:rsid w:val="00BC3515"/>
    <w:rsid w:val="00BC59C2"/>
    <w:rsid w:val="00BD02CC"/>
    <w:rsid w:val="00BD22C7"/>
    <w:rsid w:val="00BD277B"/>
    <w:rsid w:val="00BD530D"/>
    <w:rsid w:val="00BE205B"/>
    <w:rsid w:val="00BE264E"/>
    <w:rsid w:val="00BE4E80"/>
    <w:rsid w:val="00BE68B4"/>
    <w:rsid w:val="00C029B6"/>
    <w:rsid w:val="00C03B0F"/>
    <w:rsid w:val="00C03E68"/>
    <w:rsid w:val="00C05139"/>
    <w:rsid w:val="00C124B7"/>
    <w:rsid w:val="00C16AB3"/>
    <w:rsid w:val="00C17224"/>
    <w:rsid w:val="00C17685"/>
    <w:rsid w:val="00C20CBD"/>
    <w:rsid w:val="00C223A5"/>
    <w:rsid w:val="00C23A93"/>
    <w:rsid w:val="00C23BCF"/>
    <w:rsid w:val="00C2546E"/>
    <w:rsid w:val="00C2648A"/>
    <w:rsid w:val="00C2711D"/>
    <w:rsid w:val="00C275B4"/>
    <w:rsid w:val="00C310A0"/>
    <w:rsid w:val="00C351DB"/>
    <w:rsid w:val="00C36A88"/>
    <w:rsid w:val="00C44141"/>
    <w:rsid w:val="00C53EEF"/>
    <w:rsid w:val="00C55A01"/>
    <w:rsid w:val="00C56A39"/>
    <w:rsid w:val="00C57DD6"/>
    <w:rsid w:val="00C607D5"/>
    <w:rsid w:val="00C62A8F"/>
    <w:rsid w:val="00C634E0"/>
    <w:rsid w:val="00C671BC"/>
    <w:rsid w:val="00C70919"/>
    <w:rsid w:val="00C759E4"/>
    <w:rsid w:val="00C75BEC"/>
    <w:rsid w:val="00C80D96"/>
    <w:rsid w:val="00C83560"/>
    <w:rsid w:val="00C836E3"/>
    <w:rsid w:val="00C83A19"/>
    <w:rsid w:val="00C8527E"/>
    <w:rsid w:val="00C855D2"/>
    <w:rsid w:val="00C85E96"/>
    <w:rsid w:val="00C86FBD"/>
    <w:rsid w:val="00C9128F"/>
    <w:rsid w:val="00C91666"/>
    <w:rsid w:val="00C9219D"/>
    <w:rsid w:val="00C923D5"/>
    <w:rsid w:val="00C94E84"/>
    <w:rsid w:val="00CA0D9F"/>
    <w:rsid w:val="00CA18FB"/>
    <w:rsid w:val="00CA1BD1"/>
    <w:rsid w:val="00CA1CEF"/>
    <w:rsid w:val="00CB030A"/>
    <w:rsid w:val="00CB125C"/>
    <w:rsid w:val="00CB455B"/>
    <w:rsid w:val="00CB4D87"/>
    <w:rsid w:val="00CC4E6E"/>
    <w:rsid w:val="00CC6E0A"/>
    <w:rsid w:val="00CC7617"/>
    <w:rsid w:val="00CC7935"/>
    <w:rsid w:val="00CD17D1"/>
    <w:rsid w:val="00CD20F9"/>
    <w:rsid w:val="00CD66FB"/>
    <w:rsid w:val="00CD67D5"/>
    <w:rsid w:val="00CE3BC9"/>
    <w:rsid w:val="00CE6D2A"/>
    <w:rsid w:val="00CE70E4"/>
    <w:rsid w:val="00CF0889"/>
    <w:rsid w:val="00CF2156"/>
    <w:rsid w:val="00CF41C5"/>
    <w:rsid w:val="00CF4D7B"/>
    <w:rsid w:val="00CF6914"/>
    <w:rsid w:val="00CF7F30"/>
    <w:rsid w:val="00D003AF"/>
    <w:rsid w:val="00D049C3"/>
    <w:rsid w:val="00D062A5"/>
    <w:rsid w:val="00D07715"/>
    <w:rsid w:val="00D106FE"/>
    <w:rsid w:val="00D10ED3"/>
    <w:rsid w:val="00D125E8"/>
    <w:rsid w:val="00D12D3B"/>
    <w:rsid w:val="00D13D7B"/>
    <w:rsid w:val="00D14535"/>
    <w:rsid w:val="00D15FDA"/>
    <w:rsid w:val="00D161B7"/>
    <w:rsid w:val="00D21A22"/>
    <w:rsid w:val="00D21ED8"/>
    <w:rsid w:val="00D22A32"/>
    <w:rsid w:val="00D23012"/>
    <w:rsid w:val="00D26EC1"/>
    <w:rsid w:val="00D2709A"/>
    <w:rsid w:val="00D30569"/>
    <w:rsid w:val="00D31F30"/>
    <w:rsid w:val="00D31F45"/>
    <w:rsid w:val="00D335BB"/>
    <w:rsid w:val="00D34B05"/>
    <w:rsid w:val="00D37504"/>
    <w:rsid w:val="00D37996"/>
    <w:rsid w:val="00D4725F"/>
    <w:rsid w:val="00D47EAE"/>
    <w:rsid w:val="00D54091"/>
    <w:rsid w:val="00D54B9A"/>
    <w:rsid w:val="00D54F2F"/>
    <w:rsid w:val="00D557F5"/>
    <w:rsid w:val="00D61100"/>
    <w:rsid w:val="00D61C45"/>
    <w:rsid w:val="00D62AEF"/>
    <w:rsid w:val="00D62CE1"/>
    <w:rsid w:val="00D64DD6"/>
    <w:rsid w:val="00D6587C"/>
    <w:rsid w:val="00D72C4E"/>
    <w:rsid w:val="00D756CA"/>
    <w:rsid w:val="00D77713"/>
    <w:rsid w:val="00D7798A"/>
    <w:rsid w:val="00D8307B"/>
    <w:rsid w:val="00D8327C"/>
    <w:rsid w:val="00D836F7"/>
    <w:rsid w:val="00D84645"/>
    <w:rsid w:val="00D864F8"/>
    <w:rsid w:val="00D879A3"/>
    <w:rsid w:val="00D93123"/>
    <w:rsid w:val="00DA527C"/>
    <w:rsid w:val="00DA5B6B"/>
    <w:rsid w:val="00DA700C"/>
    <w:rsid w:val="00DB2EF0"/>
    <w:rsid w:val="00DB4640"/>
    <w:rsid w:val="00DB72D0"/>
    <w:rsid w:val="00DC44F4"/>
    <w:rsid w:val="00DD027E"/>
    <w:rsid w:val="00DD0447"/>
    <w:rsid w:val="00DD05BB"/>
    <w:rsid w:val="00DD688C"/>
    <w:rsid w:val="00DE2783"/>
    <w:rsid w:val="00DE27B8"/>
    <w:rsid w:val="00DE3D55"/>
    <w:rsid w:val="00DE5707"/>
    <w:rsid w:val="00DE70C6"/>
    <w:rsid w:val="00DF0DB1"/>
    <w:rsid w:val="00DF21A8"/>
    <w:rsid w:val="00DF3A84"/>
    <w:rsid w:val="00DF7C6E"/>
    <w:rsid w:val="00E01663"/>
    <w:rsid w:val="00E01A46"/>
    <w:rsid w:val="00E04FDE"/>
    <w:rsid w:val="00E07A39"/>
    <w:rsid w:val="00E104EF"/>
    <w:rsid w:val="00E125CB"/>
    <w:rsid w:val="00E13C7D"/>
    <w:rsid w:val="00E13EDF"/>
    <w:rsid w:val="00E146EE"/>
    <w:rsid w:val="00E165C9"/>
    <w:rsid w:val="00E17165"/>
    <w:rsid w:val="00E202E6"/>
    <w:rsid w:val="00E21B3E"/>
    <w:rsid w:val="00E21F7E"/>
    <w:rsid w:val="00E224C3"/>
    <w:rsid w:val="00E22BB4"/>
    <w:rsid w:val="00E23B83"/>
    <w:rsid w:val="00E23FD1"/>
    <w:rsid w:val="00E25D87"/>
    <w:rsid w:val="00E27377"/>
    <w:rsid w:val="00E300EC"/>
    <w:rsid w:val="00E31E46"/>
    <w:rsid w:val="00E332F5"/>
    <w:rsid w:val="00E34AE2"/>
    <w:rsid w:val="00E37601"/>
    <w:rsid w:val="00E42235"/>
    <w:rsid w:val="00E43B3E"/>
    <w:rsid w:val="00E4414C"/>
    <w:rsid w:val="00E443BA"/>
    <w:rsid w:val="00E45FB7"/>
    <w:rsid w:val="00E470CE"/>
    <w:rsid w:val="00E50F94"/>
    <w:rsid w:val="00E528C9"/>
    <w:rsid w:val="00E5462E"/>
    <w:rsid w:val="00E62AD0"/>
    <w:rsid w:val="00E65605"/>
    <w:rsid w:val="00E65AFF"/>
    <w:rsid w:val="00E6767D"/>
    <w:rsid w:val="00E7411A"/>
    <w:rsid w:val="00E77A83"/>
    <w:rsid w:val="00E85972"/>
    <w:rsid w:val="00E90E9C"/>
    <w:rsid w:val="00E9512C"/>
    <w:rsid w:val="00EA0077"/>
    <w:rsid w:val="00EA0E38"/>
    <w:rsid w:val="00EA1872"/>
    <w:rsid w:val="00EA2F22"/>
    <w:rsid w:val="00EA604E"/>
    <w:rsid w:val="00EA6536"/>
    <w:rsid w:val="00EA7167"/>
    <w:rsid w:val="00EB0026"/>
    <w:rsid w:val="00EB0384"/>
    <w:rsid w:val="00EB39F8"/>
    <w:rsid w:val="00EB3AE8"/>
    <w:rsid w:val="00EB6196"/>
    <w:rsid w:val="00EB67F0"/>
    <w:rsid w:val="00EB6B0C"/>
    <w:rsid w:val="00EB6F46"/>
    <w:rsid w:val="00EC058C"/>
    <w:rsid w:val="00EC1BDE"/>
    <w:rsid w:val="00EC1F4B"/>
    <w:rsid w:val="00ED1413"/>
    <w:rsid w:val="00ED1663"/>
    <w:rsid w:val="00ED1E2A"/>
    <w:rsid w:val="00ED50F5"/>
    <w:rsid w:val="00ED6BE1"/>
    <w:rsid w:val="00ED7099"/>
    <w:rsid w:val="00ED7757"/>
    <w:rsid w:val="00EE027B"/>
    <w:rsid w:val="00EE31DF"/>
    <w:rsid w:val="00EE7916"/>
    <w:rsid w:val="00EF1C6E"/>
    <w:rsid w:val="00EF2C80"/>
    <w:rsid w:val="00EF4D3B"/>
    <w:rsid w:val="00EF6A34"/>
    <w:rsid w:val="00EF7579"/>
    <w:rsid w:val="00F00BE0"/>
    <w:rsid w:val="00F016BD"/>
    <w:rsid w:val="00F026F0"/>
    <w:rsid w:val="00F0680A"/>
    <w:rsid w:val="00F06ED0"/>
    <w:rsid w:val="00F12013"/>
    <w:rsid w:val="00F12999"/>
    <w:rsid w:val="00F13822"/>
    <w:rsid w:val="00F14565"/>
    <w:rsid w:val="00F14A70"/>
    <w:rsid w:val="00F175A5"/>
    <w:rsid w:val="00F230F1"/>
    <w:rsid w:val="00F27B8D"/>
    <w:rsid w:val="00F304FB"/>
    <w:rsid w:val="00F313F8"/>
    <w:rsid w:val="00F315AB"/>
    <w:rsid w:val="00F33F07"/>
    <w:rsid w:val="00F35871"/>
    <w:rsid w:val="00F35D52"/>
    <w:rsid w:val="00F35F8C"/>
    <w:rsid w:val="00F36C93"/>
    <w:rsid w:val="00F373E1"/>
    <w:rsid w:val="00F42574"/>
    <w:rsid w:val="00F45257"/>
    <w:rsid w:val="00F45CA2"/>
    <w:rsid w:val="00F45D78"/>
    <w:rsid w:val="00F46154"/>
    <w:rsid w:val="00F46AD5"/>
    <w:rsid w:val="00F47DCD"/>
    <w:rsid w:val="00F50CA4"/>
    <w:rsid w:val="00F50CE7"/>
    <w:rsid w:val="00F51438"/>
    <w:rsid w:val="00F5301A"/>
    <w:rsid w:val="00F549E7"/>
    <w:rsid w:val="00F5550D"/>
    <w:rsid w:val="00F618BB"/>
    <w:rsid w:val="00F6302F"/>
    <w:rsid w:val="00F67625"/>
    <w:rsid w:val="00F76B14"/>
    <w:rsid w:val="00F81487"/>
    <w:rsid w:val="00F85F21"/>
    <w:rsid w:val="00F90CF5"/>
    <w:rsid w:val="00F91AD8"/>
    <w:rsid w:val="00F922B1"/>
    <w:rsid w:val="00FA1CBD"/>
    <w:rsid w:val="00FA56EF"/>
    <w:rsid w:val="00FA5D99"/>
    <w:rsid w:val="00FA6505"/>
    <w:rsid w:val="00FA72F6"/>
    <w:rsid w:val="00FB10A3"/>
    <w:rsid w:val="00FB36D4"/>
    <w:rsid w:val="00FB3B0F"/>
    <w:rsid w:val="00FB510B"/>
    <w:rsid w:val="00FB5D1B"/>
    <w:rsid w:val="00FB75F9"/>
    <w:rsid w:val="00FB7C5A"/>
    <w:rsid w:val="00FC1C97"/>
    <w:rsid w:val="00FC26BF"/>
    <w:rsid w:val="00FC423E"/>
    <w:rsid w:val="00FC523E"/>
    <w:rsid w:val="00FC6CE0"/>
    <w:rsid w:val="00FC7232"/>
    <w:rsid w:val="00FC7525"/>
    <w:rsid w:val="00FD1A30"/>
    <w:rsid w:val="00FD418F"/>
    <w:rsid w:val="00FD4365"/>
    <w:rsid w:val="00FD4D39"/>
    <w:rsid w:val="00FD4F52"/>
    <w:rsid w:val="00FD532F"/>
    <w:rsid w:val="00FE1EF3"/>
    <w:rsid w:val="00FE315D"/>
    <w:rsid w:val="00FE3182"/>
    <w:rsid w:val="00FE41E1"/>
    <w:rsid w:val="00FE55F1"/>
    <w:rsid w:val="00FF213C"/>
    <w:rsid w:val="00FF4D81"/>
    <w:rsid w:val="00FF75F5"/>
    <w:rsid w:val="01177A27"/>
    <w:rsid w:val="01211EC7"/>
    <w:rsid w:val="014C4DA3"/>
    <w:rsid w:val="01565C22"/>
    <w:rsid w:val="01592D24"/>
    <w:rsid w:val="017037C3"/>
    <w:rsid w:val="01775986"/>
    <w:rsid w:val="01837814"/>
    <w:rsid w:val="018E7ABF"/>
    <w:rsid w:val="0198796C"/>
    <w:rsid w:val="01C133B8"/>
    <w:rsid w:val="01C81F50"/>
    <w:rsid w:val="020F2171"/>
    <w:rsid w:val="023423AE"/>
    <w:rsid w:val="02454D80"/>
    <w:rsid w:val="0285782E"/>
    <w:rsid w:val="02A3645B"/>
    <w:rsid w:val="02AC38D7"/>
    <w:rsid w:val="02BC7D06"/>
    <w:rsid w:val="02C62933"/>
    <w:rsid w:val="02F778BD"/>
    <w:rsid w:val="03121468"/>
    <w:rsid w:val="03604B36"/>
    <w:rsid w:val="03822C68"/>
    <w:rsid w:val="038E07EA"/>
    <w:rsid w:val="039C7734"/>
    <w:rsid w:val="039F2BBC"/>
    <w:rsid w:val="03AA4003"/>
    <w:rsid w:val="03B64756"/>
    <w:rsid w:val="03D96AC5"/>
    <w:rsid w:val="04001E75"/>
    <w:rsid w:val="041D47D5"/>
    <w:rsid w:val="045D3085"/>
    <w:rsid w:val="045F6B9B"/>
    <w:rsid w:val="04660909"/>
    <w:rsid w:val="04A17779"/>
    <w:rsid w:val="04B96AEC"/>
    <w:rsid w:val="04CC1D57"/>
    <w:rsid w:val="04CF59E7"/>
    <w:rsid w:val="04F419D9"/>
    <w:rsid w:val="05071955"/>
    <w:rsid w:val="050B36B6"/>
    <w:rsid w:val="051E3875"/>
    <w:rsid w:val="05240BE8"/>
    <w:rsid w:val="052971A9"/>
    <w:rsid w:val="0533125B"/>
    <w:rsid w:val="054B2562"/>
    <w:rsid w:val="054F4EE9"/>
    <w:rsid w:val="056337F9"/>
    <w:rsid w:val="05704DD8"/>
    <w:rsid w:val="057743B8"/>
    <w:rsid w:val="05850883"/>
    <w:rsid w:val="0596513B"/>
    <w:rsid w:val="05AF064A"/>
    <w:rsid w:val="05BE3D95"/>
    <w:rsid w:val="05C018BB"/>
    <w:rsid w:val="065F7326"/>
    <w:rsid w:val="06AB5586"/>
    <w:rsid w:val="06BF670C"/>
    <w:rsid w:val="06C6107F"/>
    <w:rsid w:val="06CB44B7"/>
    <w:rsid w:val="06E84EE4"/>
    <w:rsid w:val="06EA381B"/>
    <w:rsid w:val="06EE20B1"/>
    <w:rsid w:val="06F153B1"/>
    <w:rsid w:val="06FF5041"/>
    <w:rsid w:val="071D4AEC"/>
    <w:rsid w:val="07464042"/>
    <w:rsid w:val="075B63E2"/>
    <w:rsid w:val="079270C9"/>
    <w:rsid w:val="07A11279"/>
    <w:rsid w:val="07A66248"/>
    <w:rsid w:val="07B1625B"/>
    <w:rsid w:val="07BC4304"/>
    <w:rsid w:val="07C5765D"/>
    <w:rsid w:val="07D96E9C"/>
    <w:rsid w:val="08071442"/>
    <w:rsid w:val="08167EB9"/>
    <w:rsid w:val="08183C31"/>
    <w:rsid w:val="082B7A28"/>
    <w:rsid w:val="08311B3B"/>
    <w:rsid w:val="084F4F9C"/>
    <w:rsid w:val="08534B88"/>
    <w:rsid w:val="085530EF"/>
    <w:rsid w:val="086C2339"/>
    <w:rsid w:val="0874513E"/>
    <w:rsid w:val="087B5F6E"/>
    <w:rsid w:val="08911789"/>
    <w:rsid w:val="08A27337"/>
    <w:rsid w:val="08BC1608"/>
    <w:rsid w:val="08C4732B"/>
    <w:rsid w:val="08F062C2"/>
    <w:rsid w:val="09024A5A"/>
    <w:rsid w:val="09044B9E"/>
    <w:rsid w:val="0906003D"/>
    <w:rsid w:val="090B19E1"/>
    <w:rsid w:val="0910646C"/>
    <w:rsid w:val="09382988"/>
    <w:rsid w:val="09412D13"/>
    <w:rsid w:val="09576640"/>
    <w:rsid w:val="098F0B0A"/>
    <w:rsid w:val="09AC6517"/>
    <w:rsid w:val="09B907C2"/>
    <w:rsid w:val="09E15530"/>
    <w:rsid w:val="09E574FA"/>
    <w:rsid w:val="0A0D0E47"/>
    <w:rsid w:val="0A1B58FF"/>
    <w:rsid w:val="0A2163C5"/>
    <w:rsid w:val="0A334D52"/>
    <w:rsid w:val="0A410AF1"/>
    <w:rsid w:val="0A514413"/>
    <w:rsid w:val="0A682522"/>
    <w:rsid w:val="0A6D7B49"/>
    <w:rsid w:val="0AD11D45"/>
    <w:rsid w:val="0AD66408"/>
    <w:rsid w:val="0AE903B8"/>
    <w:rsid w:val="0AEE0C79"/>
    <w:rsid w:val="0B1873A5"/>
    <w:rsid w:val="0B1D330C"/>
    <w:rsid w:val="0B1F7084"/>
    <w:rsid w:val="0B3B0CA0"/>
    <w:rsid w:val="0B5F3B76"/>
    <w:rsid w:val="0B602C14"/>
    <w:rsid w:val="0B603134"/>
    <w:rsid w:val="0B7462A1"/>
    <w:rsid w:val="0B8415DD"/>
    <w:rsid w:val="0B8B2A81"/>
    <w:rsid w:val="0B8C21F5"/>
    <w:rsid w:val="0BA137A0"/>
    <w:rsid w:val="0BA16641"/>
    <w:rsid w:val="0BAD643E"/>
    <w:rsid w:val="0BB71100"/>
    <w:rsid w:val="0BD7786C"/>
    <w:rsid w:val="0C0F534B"/>
    <w:rsid w:val="0C49645E"/>
    <w:rsid w:val="0C60588C"/>
    <w:rsid w:val="0C88548B"/>
    <w:rsid w:val="0C8A2C23"/>
    <w:rsid w:val="0C9337AA"/>
    <w:rsid w:val="0CA23AC9"/>
    <w:rsid w:val="0CA43CE5"/>
    <w:rsid w:val="0CAC6BB6"/>
    <w:rsid w:val="0CB437FC"/>
    <w:rsid w:val="0CC34F37"/>
    <w:rsid w:val="0CEA05CC"/>
    <w:rsid w:val="0CEA1C84"/>
    <w:rsid w:val="0CF611FD"/>
    <w:rsid w:val="0D2546FA"/>
    <w:rsid w:val="0D864353"/>
    <w:rsid w:val="0D9C676A"/>
    <w:rsid w:val="0DD505F0"/>
    <w:rsid w:val="0DDA1988"/>
    <w:rsid w:val="0DEA5E6A"/>
    <w:rsid w:val="0DFC36FB"/>
    <w:rsid w:val="0E2230B3"/>
    <w:rsid w:val="0E536488"/>
    <w:rsid w:val="0E782D40"/>
    <w:rsid w:val="0E820056"/>
    <w:rsid w:val="0E837D5C"/>
    <w:rsid w:val="0E8A515C"/>
    <w:rsid w:val="0EAD00AF"/>
    <w:rsid w:val="0EB37705"/>
    <w:rsid w:val="0EB775D4"/>
    <w:rsid w:val="0EE626FA"/>
    <w:rsid w:val="0EFE5203"/>
    <w:rsid w:val="0F0D26CC"/>
    <w:rsid w:val="0F1669F0"/>
    <w:rsid w:val="0F184ADA"/>
    <w:rsid w:val="0F225F74"/>
    <w:rsid w:val="0F271942"/>
    <w:rsid w:val="0F331350"/>
    <w:rsid w:val="0F337FF9"/>
    <w:rsid w:val="0F583529"/>
    <w:rsid w:val="0F6B2388"/>
    <w:rsid w:val="0F7756E1"/>
    <w:rsid w:val="0FA1669B"/>
    <w:rsid w:val="0FD20B69"/>
    <w:rsid w:val="0FDA030E"/>
    <w:rsid w:val="0FE14279"/>
    <w:rsid w:val="10173A8A"/>
    <w:rsid w:val="1035572D"/>
    <w:rsid w:val="10B84D24"/>
    <w:rsid w:val="10D8237A"/>
    <w:rsid w:val="10EF538B"/>
    <w:rsid w:val="10F16DCD"/>
    <w:rsid w:val="111B209C"/>
    <w:rsid w:val="11312DC0"/>
    <w:rsid w:val="113927BE"/>
    <w:rsid w:val="114701EB"/>
    <w:rsid w:val="115F467E"/>
    <w:rsid w:val="118848CF"/>
    <w:rsid w:val="11BA5F58"/>
    <w:rsid w:val="11C11380"/>
    <w:rsid w:val="11EB5F12"/>
    <w:rsid w:val="12011357"/>
    <w:rsid w:val="12092462"/>
    <w:rsid w:val="120F2891"/>
    <w:rsid w:val="1219036F"/>
    <w:rsid w:val="121A13FC"/>
    <w:rsid w:val="121D403F"/>
    <w:rsid w:val="12413D84"/>
    <w:rsid w:val="12990F61"/>
    <w:rsid w:val="129F7C67"/>
    <w:rsid w:val="12E22503"/>
    <w:rsid w:val="13380DD8"/>
    <w:rsid w:val="133D09EF"/>
    <w:rsid w:val="1344521A"/>
    <w:rsid w:val="134804CB"/>
    <w:rsid w:val="13645ACB"/>
    <w:rsid w:val="139B74C4"/>
    <w:rsid w:val="13A50343"/>
    <w:rsid w:val="13D44B3F"/>
    <w:rsid w:val="13E957B5"/>
    <w:rsid w:val="13EB41FA"/>
    <w:rsid w:val="13F54664"/>
    <w:rsid w:val="14072DAB"/>
    <w:rsid w:val="14143437"/>
    <w:rsid w:val="14200447"/>
    <w:rsid w:val="14316870"/>
    <w:rsid w:val="14412BB2"/>
    <w:rsid w:val="1452373F"/>
    <w:rsid w:val="146F2D0E"/>
    <w:rsid w:val="149211FB"/>
    <w:rsid w:val="14986A34"/>
    <w:rsid w:val="14A910E0"/>
    <w:rsid w:val="14AF2F65"/>
    <w:rsid w:val="14D00F64"/>
    <w:rsid w:val="14DB278B"/>
    <w:rsid w:val="14DC7CD5"/>
    <w:rsid w:val="14F03BE9"/>
    <w:rsid w:val="14F52C04"/>
    <w:rsid w:val="154162B3"/>
    <w:rsid w:val="15997A33"/>
    <w:rsid w:val="15A078BC"/>
    <w:rsid w:val="15AE733A"/>
    <w:rsid w:val="15F07F9B"/>
    <w:rsid w:val="16322361"/>
    <w:rsid w:val="16436C21"/>
    <w:rsid w:val="164D0F49"/>
    <w:rsid w:val="166C3DC8"/>
    <w:rsid w:val="16930926"/>
    <w:rsid w:val="1697741D"/>
    <w:rsid w:val="16CA259A"/>
    <w:rsid w:val="16D849B0"/>
    <w:rsid w:val="16F93153"/>
    <w:rsid w:val="16F969DB"/>
    <w:rsid w:val="16FE3FF2"/>
    <w:rsid w:val="17137D16"/>
    <w:rsid w:val="172A1253"/>
    <w:rsid w:val="172B0B5F"/>
    <w:rsid w:val="1765414D"/>
    <w:rsid w:val="177E15D6"/>
    <w:rsid w:val="178A3AD7"/>
    <w:rsid w:val="179E7583"/>
    <w:rsid w:val="17BB6064"/>
    <w:rsid w:val="17D30F40"/>
    <w:rsid w:val="17F13B56"/>
    <w:rsid w:val="17F378CF"/>
    <w:rsid w:val="18147845"/>
    <w:rsid w:val="18264209"/>
    <w:rsid w:val="18534811"/>
    <w:rsid w:val="188C4DE8"/>
    <w:rsid w:val="18904498"/>
    <w:rsid w:val="18A3471E"/>
    <w:rsid w:val="18AE3384"/>
    <w:rsid w:val="18BA7315"/>
    <w:rsid w:val="18C474BD"/>
    <w:rsid w:val="18D333DA"/>
    <w:rsid w:val="18FB66E5"/>
    <w:rsid w:val="1901601B"/>
    <w:rsid w:val="191E097B"/>
    <w:rsid w:val="192B4DF7"/>
    <w:rsid w:val="19405F26"/>
    <w:rsid w:val="19434185"/>
    <w:rsid w:val="194A112D"/>
    <w:rsid w:val="194D2535"/>
    <w:rsid w:val="194D2A56"/>
    <w:rsid w:val="19570331"/>
    <w:rsid w:val="1975142E"/>
    <w:rsid w:val="198D53B4"/>
    <w:rsid w:val="19BA6371"/>
    <w:rsid w:val="19CC487B"/>
    <w:rsid w:val="19F52C99"/>
    <w:rsid w:val="19F618F8"/>
    <w:rsid w:val="19F90D7B"/>
    <w:rsid w:val="19FE255B"/>
    <w:rsid w:val="1A1837F3"/>
    <w:rsid w:val="1A292634"/>
    <w:rsid w:val="1A3B272E"/>
    <w:rsid w:val="1A4964D8"/>
    <w:rsid w:val="1A4C59BC"/>
    <w:rsid w:val="1A554870"/>
    <w:rsid w:val="1A613215"/>
    <w:rsid w:val="1A6B4094"/>
    <w:rsid w:val="1A7867B1"/>
    <w:rsid w:val="1A98650B"/>
    <w:rsid w:val="1A9F3EA8"/>
    <w:rsid w:val="1AA55605"/>
    <w:rsid w:val="1AB332F0"/>
    <w:rsid w:val="1AE6371B"/>
    <w:rsid w:val="1AF6583C"/>
    <w:rsid w:val="1AFA5418"/>
    <w:rsid w:val="1B067919"/>
    <w:rsid w:val="1B0A2D61"/>
    <w:rsid w:val="1B0F63F2"/>
    <w:rsid w:val="1B476E3B"/>
    <w:rsid w:val="1B7B66B5"/>
    <w:rsid w:val="1B7E3953"/>
    <w:rsid w:val="1BC03F6C"/>
    <w:rsid w:val="1BD143CB"/>
    <w:rsid w:val="1BDA6DEB"/>
    <w:rsid w:val="1BF43C15"/>
    <w:rsid w:val="1C0B7651"/>
    <w:rsid w:val="1C1E0C92"/>
    <w:rsid w:val="1C225F98"/>
    <w:rsid w:val="1C2564C4"/>
    <w:rsid w:val="1C272EF4"/>
    <w:rsid w:val="1C424981"/>
    <w:rsid w:val="1C481872"/>
    <w:rsid w:val="1C563268"/>
    <w:rsid w:val="1C726D5F"/>
    <w:rsid w:val="1C977056"/>
    <w:rsid w:val="1CAA6093"/>
    <w:rsid w:val="1CAC2742"/>
    <w:rsid w:val="1CCE090A"/>
    <w:rsid w:val="1CEC2B3E"/>
    <w:rsid w:val="1D271DC8"/>
    <w:rsid w:val="1D2A0A29"/>
    <w:rsid w:val="1D320A97"/>
    <w:rsid w:val="1D3541D9"/>
    <w:rsid w:val="1D39260F"/>
    <w:rsid w:val="1D3E6FE0"/>
    <w:rsid w:val="1D4F1A4B"/>
    <w:rsid w:val="1D4F2685"/>
    <w:rsid w:val="1D7338DC"/>
    <w:rsid w:val="1D8965DF"/>
    <w:rsid w:val="1D9236E6"/>
    <w:rsid w:val="1DD106B2"/>
    <w:rsid w:val="1DF0665E"/>
    <w:rsid w:val="1E29229C"/>
    <w:rsid w:val="1E3E2D25"/>
    <w:rsid w:val="1E4507E4"/>
    <w:rsid w:val="1E6210B8"/>
    <w:rsid w:val="1E666F5E"/>
    <w:rsid w:val="1E7D5E1E"/>
    <w:rsid w:val="1E9E482A"/>
    <w:rsid w:val="1EC014EF"/>
    <w:rsid w:val="1EC664F8"/>
    <w:rsid w:val="1EC91389"/>
    <w:rsid w:val="1ED3045A"/>
    <w:rsid w:val="1EDA6951"/>
    <w:rsid w:val="1F0E6952"/>
    <w:rsid w:val="1F220A99"/>
    <w:rsid w:val="1F2A3348"/>
    <w:rsid w:val="1F4673C3"/>
    <w:rsid w:val="1F4C4878"/>
    <w:rsid w:val="1F657087"/>
    <w:rsid w:val="1F843579"/>
    <w:rsid w:val="1FA0658E"/>
    <w:rsid w:val="1FA2402F"/>
    <w:rsid w:val="1FAB572F"/>
    <w:rsid w:val="1FBC2C9C"/>
    <w:rsid w:val="1FDB5818"/>
    <w:rsid w:val="1FF91559"/>
    <w:rsid w:val="20131117"/>
    <w:rsid w:val="20176124"/>
    <w:rsid w:val="20531852"/>
    <w:rsid w:val="205B3BE3"/>
    <w:rsid w:val="208239E9"/>
    <w:rsid w:val="20A43E5C"/>
    <w:rsid w:val="20B61DE1"/>
    <w:rsid w:val="20C55B80"/>
    <w:rsid w:val="20C81DA3"/>
    <w:rsid w:val="21132D8F"/>
    <w:rsid w:val="211C60E8"/>
    <w:rsid w:val="2133559C"/>
    <w:rsid w:val="213F5933"/>
    <w:rsid w:val="214E697E"/>
    <w:rsid w:val="218B501C"/>
    <w:rsid w:val="21974A6F"/>
    <w:rsid w:val="2197576F"/>
    <w:rsid w:val="219C4B33"/>
    <w:rsid w:val="21A3266E"/>
    <w:rsid w:val="21C26CCA"/>
    <w:rsid w:val="21CB284F"/>
    <w:rsid w:val="21CC31CC"/>
    <w:rsid w:val="21E93AF0"/>
    <w:rsid w:val="22155EFF"/>
    <w:rsid w:val="22411A5B"/>
    <w:rsid w:val="224873BB"/>
    <w:rsid w:val="225B49EE"/>
    <w:rsid w:val="226006F6"/>
    <w:rsid w:val="2268661C"/>
    <w:rsid w:val="22771730"/>
    <w:rsid w:val="22782496"/>
    <w:rsid w:val="227855A0"/>
    <w:rsid w:val="227C4964"/>
    <w:rsid w:val="227C4DC1"/>
    <w:rsid w:val="227F0AA8"/>
    <w:rsid w:val="22AB2EC8"/>
    <w:rsid w:val="22CC3183"/>
    <w:rsid w:val="22D87DED"/>
    <w:rsid w:val="22D95913"/>
    <w:rsid w:val="22F65468"/>
    <w:rsid w:val="22FD5AA5"/>
    <w:rsid w:val="231F66DA"/>
    <w:rsid w:val="23207452"/>
    <w:rsid w:val="232C18AC"/>
    <w:rsid w:val="234B4D59"/>
    <w:rsid w:val="2355768F"/>
    <w:rsid w:val="2364528E"/>
    <w:rsid w:val="23756A33"/>
    <w:rsid w:val="238B4E5F"/>
    <w:rsid w:val="2395665B"/>
    <w:rsid w:val="23AC3027"/>
    <w:rsid w:val="23D557DC"/>
    <w:rsid w:val="23D70CD9"/>
    <w:rsid w:val="240D3AC6"/>
    <w:rsid w:val="24184152"/>
    <w:rsid w:val="241C63FF"/>
    <w:rsid w:val="24341072"/>
    <w:rsid w:val="243C43AB"/>
    <w:rsid w:val="244B0A92"/>
    <w:rsid w:val="244C0D50"/>
    <w:rsid w:val="245E4322"/>
    <w:rsid w:val="247B4ED4"/>
    <w:rsid w:val="247E3EBA"/>
    <w:rsid w:val="249929CE"/>
    <w:rsid w:val="249A5961"/>
    <w:rsid w:val="24B2466D"/>
    <w:rsid w:val="24BE1264"/>
    <w:rsid w:val="24C10D89"/>
    <w:rsid w:val="24D33F00"/>
    <w:rsid w:val="24E02810"/>
    <w:rsid w:val="24F36825"/>
    <w:rsid w:val="251D497E"/>
    <w:rsid w:val="253E4BFC"/>
    <w:rsid w:val="2540611D"/>
    <w:rsid w:val="25445D9E"/>
    <w:rsid w:val="25486966"/>
    <w:rsid w:val="257C40AA"/>
    <w:rsid w:val="259049AF"/>
    <w:rsid w:val="25DD1EC3"/>
    <w:rsid w:val="25EE7C9B"/>
    <w:rsid w:val="26211AAB"/>
    <w:rsid w:val="263D4A6F"/>
    <w:rsid w:val="264D28A0"/>
    <w:rsid w:val="266013C0"/>
    <w:rsid w:val="267B5E32"/>
    <w:rsid w:val="269640B9"/>
    <w:rsid w:val="26AB069B"/>
    <w:rsid w:val="26B40B71"/>
    <w:rsid w:val="26CF57CC"/>
    <w:rsid w:val="26D0702D"/>
    <w:rsid w:val="26D92D59"/>
    <w:rsid w:val="27022042"/>
    <w:rsid w:val="272B4D3F"/>
    <w:rsid w:val="27433CA3"/>
    <w:rsid w:val="27461532"/>
    <w:rsid w:val="27502468"/>
    <w:rsid w:val="276C29FF"/>
    <w:rsid w:val="27B13177"/>
    <w:rsid w:val="27BF3B42"/>
    <w:rsid w:val="280E2503"/>
    <w:rsid w:val="28226545"/>
    <w:rsid w:val="28341F69"/>
    <w:rsid w:val="283678DA"/>
    <w:rsid w:val="28506677"/>
    <w:rsid w:val="28855A7D"/>
    <w:rsid w:val="28D63020"/>
    <w:rsid w:val="28F6721F"/>
    <w:rsid w:val="28FD66D7"/>
    <w:rsid w:val="29192F0D"/>
    <w:rsid w:val="291C47AB"/>
    <w:rsid w:val="294705FC"/>
    <w:rsid w:val="29EB624B"/>
    <w:rsid w:val="2A0D0CC4"/>
    <w:rsid w:val="2A275ACA"/>
    <w:rsid w:val="2A472991"/>
    <w:rsid w:val="2A490E0C"/>
    <w:rsid w:val="2A566A91"/>
    <w:rsid w:val="2A6F5C0D"/>
    <w:rsid w:val="2A820F84"/>
    <w:rsid w:val="2ABF25ED"/>
    <w:rsid w:val="2AE070AF"/>
    <w:rsid w:val="2AE61515"/>
    <w:rsid w:val="2AFE685E"/>
    <w:rsid w:val="2B2A3917"/>
    <w:rsid w:val="2B307FD0"/>
    <w:rsid w:val="2B336ED3"/>
    <w:rsid w:val="2B471FB3"/>
    <w:rsid w:val="2B4D4A0F"/>
    <w:rsid w:val="2B525912"/>
    <w:rsid w:val="2B73700F"/>
    <w:rsid w:val="2B8121A1"/>
    <w:rsid w:val="2BB46F1D"/>
    <w:rsid w:val="2BC47427"/>
    <w:rsid w:val="2BDB26FC"/>
    <w:rsid w:val="2BE30D8F"/>
    <w:rsid w:val="2BE94E19"/>
    <w:rsid w:val="2BE95450"/>
    <w:rsid w:val="2BFE6C98"/>
    <w:rsid w:val="2C0440A1"/>
    <w:rsid w:val="2C0734F1"/>
    <w:rsid w:val="2C1F4808"/>
    <w:rsid w:val="2C2643AF"/>
    <w:rsid w:val="2C2C73FB"/>
    <w:rsid w:val="2C4464F3"/>
    <w:rsid w:val="2C5748D0"/>
    <w:rsid w:val="2CA70830"/>
    <w:rsid w:val="2CB3174D"/>
    <w:rsid w:val="2CC76232"/>
    <w:rsid w:val="2CE73C43"/>
    <w:rsid w:val="2CF271A5"/>
    <w:rsid w:val="2CFD77A3"/>
    <w:rsid w:val="2D395076"/>
    <w:rsid w:val="2D426A09"/>
    <w:rsid w:val="2D69305E"/>
    <w:rsid w:val="2D8400D7"/>
    <w:rsid w:val="2D851D9A"/>
    <w:rsid w:val="2D880661"/>
    <w:rsid w:val="2DA140C7"/>
    <w:rsid w:val="2DB271D7"/>
    <w:rsid w:val="2DD438A6"/>
    <w:rsid w:val="2DD45655"/>
    <w:rsid w:val="2E241400"/>
    <w:rsid w:val="2E7B3D22"/>
    <w:rsid w:val="2EA65243"/>
    <w:rsid w:val="2EA80FBB"/>
    <w:rsid w:val="2EA8720D"/>
    <w:rsid w:val="2EDE0726"/>
    <w:rsid w:val="2EE63891"/>
    <w:rsid w:val="2EF0571D"/>
    <w:rsid w:val="2F104DB2"/>
    <w:rsid w:val="2F1D70ED"/>
    <w:rsid w:val="2F462582"/>
    <w:rsid w:val="2F7B10A8"/>
    <w:rsid w:val="2FA133CD"/>
    <w:rsid w:val="2FB7522E"/>
    <w:rsid w:val="2FC069D1"/>
    <w:rsid w:val="2FE7396B"/>
    <w:rsid w:val="300D7D4A"/>
    <w:rsid w:val="30110DE2"/>
    <w:rsid w:val="30136908"/>
    <w:rsid w:val="30405223"/>
    <w:rsid w:val="30495DAA"/>
    <w:rsid w:val="305C317B"/>
    <w:rsid w:val="30612620"/>
    <w:rsid w:val="30683829"/>
    <w:rsid w:val="30A734F4"/>
    <w:rsid w:val="30B31147"/>
    <w:rsid w:val="30B73737"/>
    <w:rsid w:val="30BF083E"/>
    <w:rsid w:val="30DE1D41"/>
    <w:rsid w:val="30E7123C"/>
    <w:rsid w:val="30FD3EF5"/>
    <w:rsid w:val="310B75DF"/>
    <w:rsid w:val="31181CFC"/>
    <w:rsid w:val="311F308B"/>
    <w:rsid w:val="31203028"/>
    <w:rsid w:val="315E3BB3"/>
    <w:rsid w:val="31615CDB"/>
    <w:rsid w:val="31940B55"/>
    <w:rsid w:val="31A17F44"/>
    <w:rsid w:val="31A4447F"/>
    <w:rsid w:val="31A54C58"/>
    <w:rsid w:val="31CF594B"/>
    <w:rsid w:val="31E577F4"/>
    <w:rsid w:val="31FE7C49"/>
    <w:rsid w:val="324463DD"/>
    <w:rsid w:val="327411B4"/>
    <w:rsid w:val="32963820"/>
    <w:rsid w:val="329B2BE5"/>
    <w:rsid w:val="32F02F31"/>
    <w:rsid w:val="32F273A6"/>
    <w:rsid w:val="32F63D9A"/>
    <w:rsid w:val="32FA5B5D"/>
    <w:rsid w:val="33004414"/>
    <w:rsid w:val="330662B0"/>
    <w:rsid w:val="33196C24"/>
    <w:rsid w:val="3324544E"/>
    <w:rsid w:val="334B58AA"/>
    <w:rsid w:val="335C4122"/>
    <w:rsid w:val="338F0398"/>
    <w:rsid w:val="339715FE"/>
    <w:rsid w:val="339E2B0A"/>
    <w:rsid w:val="33DE0EF4"/>
    <w:rsid w:val="346644D8"/>
    <w:rsid w:val="34B42C77"/>
    <w:rsid w:val="34C93A39"/>
    <w:rsid w:val="34D4087A"/>
    <w:rsid w:val="34D84DA0"/>
    <w:rsid w:val="34F0546A"/>
    <w:rsid w:val="350F034E"/>
    <w:rsid w:val="351153E0"/>
    <w:rsid w:val="3515264E"/>
    <w:rsid w:val="3538471B"/>
    <w:rsid w:val="353E3789"/>
    <w:rsid w:val="355449C0"/>
    <w:rsid w:val="355969BD"/>
    <w:rsid w:val="3565643F"/>
    <w:rsid w:val="35995E0E"/>
    <w:rsid w:val="359F0C3E"/>
    <w:rsid w:val="35B54174"/>
    <w:rsid w:val="35B6520A"/>
    <w:rsid w:val="35F40FB5"/>
    <w:rsid w:val="360607D9"/>
    <w:rsid w:val="36190C5C"/>
    <w:rsid w:val="363D616D"/>
    <w:rsid w:val="364530C9"/>
    <w:rsid w:val="364D2448"/>
    <w:rsid w:val="36525CB0"/>
    <w:rsid w:val="36585882"/>
    <w:rsid w:val="36657792"/>
    <w:rsid w:val="36687AF9"/>
    <w:rsid w:val="3671264C"/>
    <w:rsid w:val="3680580C"/>
    <w:rsid w:val="368A369C"/>
    <w:rsid w:val="36962041"/>
    <w:rsid w:val="36CD7CD3"/>
    <w:rsid w:val="36CE17DB"/>
    <w:rsid w:val="36FF7BE6"/>
    <w:rsid w:val="37250B7A"/>
    <w:rsid w:val="372E4AB2"/>
    <w:rsid w:val="374E70EC"/>
    <w:rsid w:val="376129EA"/>
    <w:rsid w:val="37C242B9"/>
    <w:rsid w:val="37EA0AA2"/>
    <w:rsid w:val="38176009"/>
    <w:rsid w:val="385A07E5"/>
    <w:rsid w:val="38602906"/>
    <w:rsid w:val="38733175"/>
    <w:rsid w:val="38797524"/>
    <w:rsid w:val="388A34DF"/>
    <w:rsid w:val="389E008F"/>
    <w:rsid w:val="38A94C99"/>
    <w:rsid w:val="38CC7FAC"/>
    <w:rsid w:val="38D6246F"/>
    <w:rsid w:val="38D97279"/>
    <w:rsid w:val="38DF7CCF"/>
    <w:rsid w:val="38E26BF0"/>
    <w:rsid w:val="38F00189"/>
    <w:rsid w:val="39237490"/>
    <w:rsid w:val="392E5E59"/>
    <w:rsid w:val="393468E8"/>
    <w:rsid w:val="395806F3"/>
    <w:rsid w:val="39A30AFB"/>
    <w:rsid w:val="39AB7BB1"/>
    <w:rsid w:val="39BD1693"/>
    <w:rsid w:val="39D4728C"/>
    <w:rsid w:val="39D96DB9"/>
    <w:rsid w:val="39E76710"/>
    <w:rsid w:val="3A3C70DA"/>
    <w:rsid w:val="3A43428E"/>
    <w:rsid w:val="3A5D3099"/>
    <w:rsid w:val="3A7916ED"/>
    <w:rsid w:val="3A8E5D10"/>
    <w:rsid w:val="3AB55381"/>
    <w:rsid w:val="3ACC4283"/>
    <w:rsid w:val="3AE11A4E"/>
    <w:rsid w:val="3B0657AD"/>
    <w:rsid w:val="3B10495E"/>
    <w:rsid w:val="3B2A4FB6"/>
    <w:rsid w:val="3B3135D0"/>
    <w:rsid w:val="3B586183"/>
    <w:rsid w:val="3B586F18"/>
    <w:rsid w:val="3B8763FC"/>
    <w:rsid w:val="3B8C756F"/>
    <w:rsid w:val="3B8D6AEC"/>
    <w:rsid w:val="3B903503"/>
    <w:rsid w:val="3B932D9C"/>
    <w:rsid w:val="3BC94845"/>
    <w:rsid w:val="3BD26834"/>
    <w:rsid w:val="3C19288C"/>
    <w:rsid w:val="3C265C15"/>
    <w:rsid w:val="3C357C06"/>
    <w:rsid w:val="3C6B7ACC"/>
    <w:rsid w:val="3C830972"/>
    <w:rsid w:val="3C9E1C4F"/>
    <w:rsid w:val="3C9F2ED7"/>
    <w:rsid w:val="3CBA43FC"/>
    <w:rsid w:val="3CCE5FE8"/>
    <w:rsid w:val="3CF11D7F"/>
    <w:rsid w:val="3CFB49AC"/>
    <w:rsid w:val="3D0F48FB"/>
    <w:rsid w:val="3D182F2B"/>
    <w:rsid w:val="3D314871"/>
    <w:rsid w:val="3D4A5933"/>
    <w:rsid w:val="3D4B4DAF"/>
    <w:rsid w:val="3D573AAE"/>
    <w:rsid w:val="3D7C2E18"/>
    <w:rsid w:val="3DA9164D"/>
    <w:rsid w:val="3DA959C3"/>
    <w:rsid w:val="3DDC6AF7"/>
    <w:rsid w:val="3DEB072E"/>
    <w:rsid w:val="3DEE62BF"/>
    <w:rsid w:val="3DF2408F"/>
    <w:rsid w:val="3E101EDE"/>
    <w:rsid w:val="3E151A9D"/>
    <w:rsid w:val="3E3A1504"/>
    <w:rsid w:val="3E5F1E94"/>
    <w:rsid w:val="3E6415B0"/>
    <w:rsid w:val="3E846C23"/>
    <w:rsid w:val="3EA00DD4"/>
    <w:rsid w:val="3EC62D97"/>
    <w:rsid w:val="3EFE0737"/>
    <w:rsid w:val="3F022944"/>
    <w:rsid w:val="3F125943"/>
    <w:rsid w:val="3F4940F4"/>
    <w:rsid w:val="3F5B2410"/>
    <w:rsid w:val="3F744EE9"/>
    <w:rsid w:val="3F817D6A"/>
    <w:rsid w:val="3F825AEE"/>
    <w:rsid w:val="3FA70E1B"/>
    <w:rsid w:val="3FAA7BDC"/>
    <w:rsid w:val="3FAF4912"/>
    <w:rsid w:val="3FC410CC"/>
    <w:rsid w:val="3FD11DB9"/>
    <w:rsid w:val="3FD55988"/>
    <w:rsid w:val="3FE67B95"/>
    <w:rsid w:val="3FF027C2"/>
    <w:rsid w:val="3FFD0D04"/>
    <w:rsid w:val="40093884"/>
    <w:rsid w:val="406A72FF"/>
    <w:rsid w:val="40784565"/>
    <w:rsid w:val="408979DD"/>
    <w:rsid w:val="409558F0"/>
    <w:rsid w:val="40AD4AAD"/>
    <w:rsid w:val="40CD787E"/>
    <w:rsid w:val="40D804D9"/>
    <w:rsid w:val="40E52904"/>
    <w:rsid w:val="40E5601A"/>
    <w:rsid w:val="41027729"/>
    <w:rsid w:val="410A78B3"/>
    <w:rsid w:val="41250249"/>
    <w:rsid w:val="41563BAB"/>
    <w:rsid w:val="41650F8E"/>
    <w:rsid w:val="416829D0"/>
    <w:rsid w:val="41765884"/>
    <w:rsid w:val="417B60BB"/>
    <w:rsid w:val="417D2532"/>
    <w:rsid w:val="41986C6D"/>
    <w:rsid w:val="41A21103"/>
    <w:rsid w:val="41FA08E5"/>
    <w:rsid w:val="42164036"/>
    <w:rsid w:val="421B7832"/>
    <w:rsid w:val="42254A34"/>
    <w:rsid w:val="42260A6F"/>
    <w:rsid w:val="42384FA7"/>
    <w:rsid w:val="425A2175"/>
    <w:rsid w:val="429462ED"/>
    <w:rsid w:val="429D02B3"/>
    <w:rsid w:val="42BC7DDF"/>
    <w:rsid w:val="42D261AF"/>
    <w:rsid w:val="42F11B77"/>
    <w:rsid w:val="43076C51"/>
    <w:rsid w:val="43144A19"/>
    <w:rsid w:val="431E796B"/>
    <w:rsid w:val="432B6824"/>
    <w:rsid w:val="437454B8"/>
    <w:rsid w:val="437E2698"/>
    <w:rsid w:val="43A050CE"/>
    <w:rsid w:val="43AD43B9"/>
    <w:rsid w:val="43B75827"/>
    <w:rsid w:val="43BB3965"/>
    <w:rsid w:val="43C31D8E"/>
    <w:rsid w:val="43C755E8"/>
    <w:rsid w:val="43D83C99"/>
    <w:rsid w:val="440510C2"/>
    <w:rsid w:val="44201AAB"/>
    <w:rsid w:val="44323EF7"/>
    <w:rsid w:val="444E13D2"/>
    <w:rsid w:val="446562CB"/>
    <w:rsid w:val="44894290"/>
    <w:rsid w:val="448A72D9"/>
    <w:rsid w:val="44CA4465"/>
    <w:rsid w:val="44DA134B"/>
    <w:rsid w:val="44EF1B82"/>
    <w:rsid w:val="45067A1F"/>
    <w:rsid w:val="451510B8"/>
    <w:rsid w:val="45170DF8"/>
    <w:rsid w:val="451E1B7F"/>
    <w:rsid w:val="452627E2"/>
    <w:rsid w:val="4554098B"/>
    <w:rsid w:val="455C04E9"/>
    <w:rsid w:val="455E3D2A"/>
    <w:rsid w:val="45797C51"/>
    <w:rsid w:val="45A168B6"/>
    <w:rsid w:val="45CD7101"/>
    <w:rsid w:val="45E226B4"/>
    <w:rsid w:val="45EE4E64"/>
    <w:rsid w:val="460103E6"/>
    <w:rsid w:val="461B2714"/>
    <w:rsid w:val="462D264E"/>
    <w:rsid w:val="46380A1F"/>
    <w:rsid w:val="46456C98"/>
    <w:rsid w:val="46843CA3"/>
    <w:rsid w:val="46A37606"/>
    <w:rsid w:val="46C13F14"/>
    <w:rsid w:val="46C2653A"/>
    <w:rsid w:val="46F41301"/>
    <w:rsid w:val="46FC6C97"/>
    <w:rsid w:val="471072A6"/>
    <w:rsid w:val="4723347D"/>
    <w:rsid w:val="472B0583"/>
    <w:rsid w:val="473D2DF8"/>
    <w:rsid w:val="474B29D4"/>
    <w:rsid w:val="47DF1BC9"/>
    <w:rsid w:val="47F06548"/>
    <w:rsid w:val="47F66832"/>
    <w:rsid w:val="48117779"/>
    <w:rsid w:val="48147089"/>
    <w:rsid w:val="4823125B"/>
    <w:rsid w:val="48355B83"/>
    <w:rsid w:val="48657AC5"/>
    <w:rsid w:val="488D7A30"/>
    <w:rsid w:val="489C0142"/>
    <w:rsid w:val="48A00A38"/>
    <w:rsid w:val="48B3438D"/>
    <w:rsid w:val="48BD520B"/>
    <w:rsid w:val="48D34A2F"/>
    <w:rsid w:val="493140C2"/>
    <w:rsid w:val="49335560"/>
    <w:rsid w:val="49374FBE"/>
    <w:rsid w:val="4998062F"/>
    <w:rsid w:val="49B26D3A"/>
    <w:rsid w:val="4A0A0924"/>
    <w:rsid w:val="4A200A4F"/>
    <w:rsid w:val="4A3B47D7"/>
    <w:rsid w:val="4A520FD4"/>
    <w:rsid w:val="4A6135FC"/>
    <w:rsid w:val="4A77763C"/>
    <w:rsid w:val="4AE4089B"/>
    <w:rsid w:val="4B0D06CC"/>
    <w:rsid w:val="4B2E0642"/>
    <w:rsid w:val="4B692739"/>
    <w:rsid w:val="4B6A37B8"/>
    <w:rsid w:val="4B79281D"/>
    <w:rsid w:val="4B807D59"/>
    <w:rsid w:val="4B914ACB"/>
    <w:rsid w:val="4BA72EF2"/>
    <w:rsid w:val="4C086960"/>
    <w:rsid w:val="4C0A2876"/>
    <w:rsid w:val="4C172B42"/>
    <w:rsid w:val="4C1C265B"/>
    <w:rsid w:val="4C3E203F"/>
    <w:rsid w:val="4C43011D"/>
    <w:rsid w:val="4C4A2448"/>
    <w:rsid w:val="4C554A2E"/>
    <w:rsid w:val="4C5B0FC3"/>
    <w:rsid w:val="4C683269"/>
    <w:rsid w:val="4C8D47EB"/>
    <w:rsid w:val="4C9B1D07"/>
    <w:rsid w:val="4CC006FA"/>
    <w:rsid w:val="4CEF5BAF"/>
    <w:rsid w:val="4CF10802"/>
    <w:rsid w:val="4CF6285E"/>
    <w:rsid w:val="4D0C0115"/>
    <w:rsid w:val="4D13416C"/>
    <w:rsid w:val="4D155003"/>
    <w:rsid w:val="4D31441A"/>
    <w:rsid w:val="4D4F6AB4"/>
    <w:rsid w:val="4D554464"/>
    <w:rsid w:val="4DA1334D"/>
    <w:rsid w:val="4DED52D5"/>
    <w:rsid w:val="4E125FF9"/>
    <w:rsid w:val="4E287F63"/>
    <w:rsid w:val="4E3150E2"/>
    <w:rsid w:val="4E3B2540"/>
    <w:rsid w:val="4E736479"/>
    <w:rsid w:val="4E984750"/>
    <w:rsid w:val="4ECF17A1"/>
    <w:rsid w:val="4EE51018"/>
    <w:rsid w:val="4EF034BC"/>
    <w:rsid w:val="4F3A5808"/>
    <w:rsid w:val="4F4A3571"/>
    <w:rsid w:val="4F586C65"/>
    <w:rsid w:val="4F5A7340"/>
    <w:rsid w:val="4F73779A"/>
    <w:rsid w:val="4F882826"/>
    <w:rsid w:val="4F9658AD"/>
    <w:rsid w:val="4F986F22"/>
    <w:rsid w:val="4FB97DFA"/>
    <w:rsid w:val="4FCA62BD"/>
    <w:rsid w:val="4FD6299B"/>
    <w:rsid w:val="4FD9320F"/>
    <w:rsid w:val="4FDC241B"/>
    <w:rsid w:val="4FE31E02"/>
    <w:rsid w:val="4FFC5956"/>
    <w:rsid w:val="50011E81"/>
    <w:rsid w:val="501222E0"/>
    <w:rsid w:val="50346648"/>
    <w:rsid w:val="50362B19"/>
    <w:rsid w:val="503746DC"/>
    <w:rsid w:val="508104D8"/>
    <w:rsid w:val="50902684"/>
    <w:rsid w:val="50DF56DA"/>
    <w:rsid w:val="51271DBC"/>
    <w:rsid w:val="512C74AF"/>
    <w:rsid w:val="512F6EC2"/>
    <w:rsid w:val="51501312"/>
    <w:rsid w:val="515B7DAD"/>
    <w:rsid w:val="516A1F01"/>
    <w:rsid w:val="51710A8D"/>
    <w:rsid w:val="51786173"/>
    <w:rsid w:val="51823496"/>
    <w:rsid w:val="51A72EFC"/>
    <w:rsid w:val="51B32165"/>
    <w:rsid w:val="51BF1FF4"/>
    <w:rsid w:val="51C25640"/>
    <w:rsid w:val="51C969CF"/>
    <w:rsid w:val="51E611C2"/>
    <w:rsid w:val="51EF617D"/>
    <w:rsid w:val="520277E1"/>
    <w:rsid w:val="52552958"/>
    <w:rsid w:val="52693681"/>
    <w:rsid w:val="526D7CA2"/>
    <w:rsid w:val="527103FC"/>
    <w:rsid w:val="5281374D"/>
    <w:rsid w:val="528A0854"/>
    <w:rsid w:val="52943481"/>
    <w:rsid w:val="529A792F"/>
    <w:rsid w:val="52A4759B"/>
    <w:rsid w:val="52B35629"/>
    <w:rsid w:val="52D32AFD"/>
    <w:rsid w:val="52E361B6"/>
    <w:rsid w:val="53085A69"/>
    <w:rsid w:val="532A16EF"/>
    <w:rsid w:val="532E7431"/>
    <w:rsid w:val="53430A03"/>
    <w:rsid w:val="53481136"/>
    <w:rsid w:val="537E4CD3"/>
    <w:rsid w:val="537F060E"/>
    <w:rsid w:val="539F3171"/>
    <w:rsid w:val="53AB5C87"/>
    <w:rsid w:val="53BC2B2A"/>
    <w:rsid w:val="53C50E71"/>
    <w:rsid w:val="53D85C9D"/>
    <w:rsid w:val="541303D5"/>
    <w:rsid w:val="5435659E"/>
    <w:rsid w:val="543C3DD0"/>
    <w:rsid w:val="54531F10"/>
    <w:rsid w:val="5492579E"/>
    <w:rsid w:val="54A656ED"/>
    <w:rsid w:val="54A84FC1"/>
    <w:rsid w:val="54D1276A"/>
    <w:rsid w:val="54D31542"/>
    <w:rsid w:val="54D73AF9"/>
    <w:rsid w:val="54DD7595"/>
    <w:rsid w:val="54F975CB"/>
    <w:rsid w:val="551B6387"/>
    <w:rsid w:val="553625CD"/>
    <w:rsid w:val="55992337"/>
    <w:rsid w:val="55A62DFB"/>
    <w:rsid w:val="55A90FF1"/>
    <w:rsid w:val="55B77495"/>
    <w:rsid w:val="55CD4E7B"/>
    <w:rsid w:val="55F06C20"/>
    <w:rsid w:val="56064695"/>
    <w:rsid w:val="561F1F50"/>
    <w:rsid w:val="56262AA1"/>
    <w:rsid w:val="562E2336"/>
    <w:rsid w:val="563F3703"/>
    <w:rsid w:val="565B7EBC"/>
    <w:rsid w:val="565D5647"/>
    <w:rsid w:val="565F1615"/>
    <w:rsid w:val="568D12C4"/>
    <w:rsid w:val="56B55774"/>
    <w:rsid w:val="56C53BC0"/>
    <w:rsid w:val="56CF0F2B"/>
    <w:rsid w:val="56D45260"/>
    <w:rsid w:val="56E12A0D"/>
    <w:rsid w:val="56F444EE"/>
    <w:rsid w:val="56FF57CA"/>
    <w:rsid w:val="57505063"/>
    <w:rsid w:val="5754628C"/>
    <w:rsid w:val="57787CE7"/>
    <w:rsid w:val="577B3F55"/>
    <w:rsid w:val="57961A49"/>
    <w:rsid w:val="57C2639A"/>
    <w:rsid w:val="57DB3900"/>
    <w:rsid w:val="57E74053"/>
    <w:rsid w:val="57EC7697"/>
    <w:rsid w:val="57F347A6"/>
    <w:rsid w:val="57F63298"/>
    <w:rsid w:val="5812789C"/>
    <w:rsid w:val="581B4698"/>
    <w:rsid w:val="58553578"/>
    <w:rsid w:val="58673D9A"/>
    <w:rsid w:val="5881560A"/>
    <w:rsid w:val="58AD2B6A"/>
    <w:rsid w:val="58C25462"/>
    <w:rsid w:val="58CC7FF4"/>
    <w:rsid w:val="58DF6CF4"/>
    <w:rsid w:val="58FE78A6"/>
    <w:rsid w:val="5904132B"/>
    <w:rsid w:val="590832CB"/>
    <w:rsid w:val="59157827"/>
    <w:rsid w:val="594400A5"/>
    <w:rsid w:val="59460EC7"/>
    <w:rsid w:val="59503C78"/>
    <w:rsid w:val="59561AE4"/>
    <w:rsid w:val="59814033"/>
    <w:rsid w:val="599C18CE"/>
    <w:rsid w:val="59B2573B"/>
    <w:rsid w:val="59BB12F3"/>
    <w:rsid w:val="59C90F05"/>
    <w:rsid w:val="59DE43F5"/>
    <w:rsid w:val="5A0013FC"/>
    <w:rsid w:val="5A203F0F"/>
    <w:rsid w:val="5A3A3464"/>
    <w:rsid w:val="5A44753A"/>
    <w:rsid w:val="5A637F6F"/>
    <w:rsid w:val="5A6E6ED5"/>
    <w:rsid w:val="5A7176E4"/>
    <w:rsid w:val="5A785436"/>
    <w:rsid w:val="5A8E2D4C"/>
    <w:rsid w:val="5A9410D3"/>
    <w:rsid w:val="5AB23A35"/>
    <w:rsid w:val="5AB3646E"/>
    <w:rsid w:val="5ABC1175"/>
    <w:rsid w:val="5AD53B49"/>
    <w:rsid w:val="5AF413B3"/>
    <w:rsid w:val="5B3475AF"/>
    <w:rsid w:val="5B4F7AA0"/>
    <w:rsid w:val="5BD33445"/>
    <w:rsid w:val="5BF8682E"/>
    <w:rsid w:val="5C133668"/>
    <w:rsid w:val="5C183B88"/>
    <w:rsid w:val="5C2123A3"/>
    <w:rsid w:val="5C2B081A"/>
    <w:rsid w:val="5C3914B8"/>
    <w:rsid w:val="5C6514C0"/>
    <w:rsid w:val="5C6D68F5"/>
    <w:rsid w:val="5C85755D"/>
    <w:rsid w:val="5CC606DB"/>
    <w:rsid w:val="5CD8040E"/>
    <w:rsid w:val="5CDC1CAC"/>
    <w:rsid w:val="5CEC5C67"/>
    <w:rsid w:val="5CF35248"/>
    <w:rsid w:val="5D0C00B7"/>
    <w:rsid w:val="5D2B3EA0"/>
    <w:rsid w:val="5D2C15D3"/>
    <w:rsid w:val="5D5932FD"/>
    <w:rsid w:val="5D5D033B"/>
    <w:rsid w:val="5D5E3ED5"/>
    <w:rsid w:val="5D7647EC"/>
    <w:rsid w:val="5D885990"/>
    <w:rsid w:val="5DBA1FF8"/>
    <w:rsid w:val="5DCC1110"/>
    <w:rsid w:val="5DCD4AF7"/>
    <w:rsid w:val="5DD86807"/>
    <w:rsid w:val="5DDF0A45"/>
    <w:rsid w:val="5E104167"/>
    <w:rsid w:val="5E1D3725"/>
    <w:rsid w:val="5E303B80"/>
    <w:rsid w:val="5E37668B"/>
    <w:rsid w:val="5E483371"/>
    <w:rsid w:val="5E9A1E1F"/>
    <w:rsid w:val="5E9C51FA"/>
    <w:rsid w:val="5E9F5687"/>
    <w:rsid w:val="5EAA79D4"/>
    <w:rsid w:val="5EC155FD"/>
    <w:rsid w:val="5EC42D73"/>
    <w:rsid w:val="5ED54C52"/>
    <w:rsid w:val="5ED62FD5"/>
    <w:rsid w:val="5EE44E48"/>
    <w:rsid w:val="5EFA466C"/>
    <w:rsid w:val="5EFF6126"/>
    <w:rsid w:val="5F1D65AC"/>
    <w:rsid w:val="5F1F2324"/>
    <w:rsid w:val="5F2C67EF"/>
    <w:rsid w:val="5F364B80"/>
    <w:rsid w:val="5F6F45FF"/>
    <w:rsid w:val="5F906D7E"/>
    <w:rsid w:val="5F92436A"/>
    <w:rsid w:val="5F927F59"/>
    <w:rsid w:val="5F930CBD"/>
    <w:rsid w:val="5FAF1AEE"/>
    <w:rsid w:val="5FC1648A"/>
    <w:rsid w:val="5FD255E8"/>
    <w:rsid w:val="5FEB1B9D"/>
    <w:rsid w:val="5FEF5A95"/>
    <w:rsid w:val="5FF90DC7"/>
    <w:rsid w:val="5FFB4B3F"/>
    <w:rsid w:val="601249DE"/>
    <w:rsid w:val="6014175D"/>
    <w:rsid w:val="604751DF"/>
    <w:rsid w:val="604C539B"/>
    <w:rsid w:val="606445D9"/>
    <w:rsid w:val="6065645C"/>
    <w:rsid w:val="606C77EB"/>
    <w:rsid w:val="60C346C6"/>
    <w:rsid w:val="60C72C73"/>
    <w:rsid w:val="60C73328"/>
    <w:rsid w:val="60E308E3"/>
    <w:rsid w:val="60E40CF5"/>
    <w:rsid w:val="60F021CA"/>
    <w:rsid w:val="60F63558"/>
    <w:rsid w:val="60FE64C3"/>
    <w:rsid w:val="61023CAB"/>
    <w:rsid w:val="61141727"/>
    <w:rsid w:val="611E742B"/>
    <w:rsid w:val="61396DD0"/>
    <w:rsid w:val="61824BAB"/>
    <w:rsid w:val="618D7A19"/>
    <w:rsid w:val="619C1A0A"/>
    <w:rsid w:val="619F599E"/>
    <w:rsid w:val="61A52D11"/>
    <w:rsid w:val="61A95149"/>
    <w:rsid w:val="61AA08FE"/>
    <w:rsid w:val="61C41ACD"/>
    <w:rsid w:val="61D41829"/>
    <w:rsid w:val="61E239A6"/>
    <w:rsid w:val="621A5025"/>
    <w:rsid w:val="623258AE"/>
    <w:rsid w:val="623F15C0"/>
    <w:rsid w:val="625E1FC6"/>
    <w:rsid w:val="626738C6"/>
    <w:rsid w:val="6268150F"/>
    <w:rsid w:val="62764951"/>
    <w:rsid w:val="627971C3"/>
    <w:rsid w:val="62860F22"/>
    <w:rsid w:val="629628FD"/>
    <w:rsid w:val="62C54F90"/>
    <w:rsid w:val="62DF233A"/>
    <w:rsid w:val="630048F7"/>
    <w:rsid w:val="630A5BB9"/>
    <w:rsid w:val="63215DB8"/>
    <w:rsid w:val="632757F0"/>
    <w:rsid w:val="63473BF7"/>
    <w:rsid w:val="63690012"/>
    <w:rsid w:val="6372336A"/>
    <w:rsid w:val="638906B4"/>
    <w:rsid w:val="639257BA"/>
    <w:rsid w:val="63B77B8E"/>
    <w:rsid w:val="63FA3360"/>
    <w:rsid w:val="640A78AC"/>
    <w:rsid w:val="64124BF5"/>
    <w:rsid w:val="642D7291"/>
    <w:rsid w:val="645079A9"/>
    <w:rsid w:val="64587AB1"/>
    <w:rsid w:val="645A6E29"/>
    <w:rsid w:val="646D3FF3"/>
    <w:rsid w:val="64794284"/>
    <w:rsid w:val="64AB7435"/>
    <w:rsid w:val="64BC23C3"/>
    <w:rsid w:val="64BE130D"/>
    <w:rsid w:val="64F61D79"/>
    <w:rsid w:val="650A4AEB"/>
    <w:rsid w:val="650B601A"/>
    <w:rsid w:val="6534131C"/>
    <w:rsid w:val="65605444"/>
    <w:rsid w:val="656A1E1F"/>
    <w:rsid w:val="65A17F37"/>
    <w:rsid w:val="65A836AB"/>
    <w:rsid w:val="65A96DEB"/>
    <w:rsid w:val="65AC2341"/>
    <w:rsid w:val="65AD2600"/>
    <w:rsid w:val="65B732B6"/>
    <w:rsid w:val="65BD63F3"/>
    <w:rsid w:val="65E521DF"/>
    <w:rsid w:val="65F750F0"/>
    <w:rsid w:val="661F0E5C"/>
    <w:rsid w:val="663A2D5F"/>
    <w:rsid w:val="6666618F"/>
    <w:rsid w:val="666B5E4F"/>
    <w:rsid w:val="666E595E"/>
    <w:rsid w:val="66887883"/>
    <w:rsid w:val="668F7750"/>
    <w:rsid w:val="6698031B"/>
    <w:rsid w:val="669907B9"/>
    <w:rsid w:val="669B3919"/>
    <w:rsid w:val="66B27F22"/>
    <w:rsid w:val="66EF082E"/>
    <w:rsid w:val="6736645D"/>
    <w:rsid w:val="675C250A"/>
    <w:rsid w:val="675D1C3B"/>
    <w:rsid w:val="676A54F5"/>
    <w:rsid w:val="6780684F"/>
    <w:rsid w:val="6796339F"/>
    <w:rsid w:val="67FA2386"/>
    <w:rsid w:val="68282249"/>
    <w:rsid w:val="685C6BAE"/>
    <w:rsid w:val="6878082B"/>
    <w:rsid w:val="687D1E6A"/>
    <w:rsid w:val="68C1269E"/>
    <w:rsid w:val="68D50FF4"/>
    <w:rsid w:val="68D57089"/>
    <w:rsid w:val="68E42F72"/>
    <w:rsid w:val="68F10571"/>
    <w:rsid w:val="691A5092"/>
    <w:rsid w:val="692B0CE1"/>
    <w:rsid w:val="69390486"/>
    <w:rsid w:val="69702ECB"/>
    <w:rsid w:val="69747710"/>
    <w:rsid w:val="69767C4D"/>
    <w:rsid w:val="699B34F7"/>
    <w:rsid w:val="69AC0C58"/>
    <w:rsid w:val="69BF0AD0"/>
    <w:rsid w:val="69D00DEB"/>
    <w:rsid w:val="69FA3D78"/>
    <w:rsid w:val="6A0E4479"/>
    <w:rsid w:val="6A160FCF"/>
    <w:rsid w:val="6A296146"/>
    <w:rsid w:val="6A452F6A"/>
    <w:rsid w:val="6A8345CE"/>
    <w:rsid w:val="6A885221"/>
    <w:rsid w:val="6A8F72B9"/>
    <w:rsid w:val="6AAB7F50"/>
    <w:rsid w:val="6AD40467"/>
    <w:rsid w:val="6AD61945"/>
    <w:rsid w:val="6AF20FCD"/>
    <w:rsid w:val="6B142F59"/>
    <w:rsid w:val="6B43383E"/>
    <w:rsid w:val="6B5C220A"/>
    <w:rsid w:val="6B6944EC"/>
    <w:rsid w:val="6B851761"/>
    <w:rsid w:val="6B8F7255"/>
    <w:rsid w:val="6BA3608B"/>
    <w:rsid w:val="6BA53BB1"/>
    <w:rsid w:val="6BB46349"/>
    <w:rsid w:val="6BC95AF1"/>
    <w:rsid w:val="6BD12BF8"/>
    <w:rsid w:val="6BD91127"/>
    <w:rsid w:val="6BF15048"/>
    <w:rsid w:val="6C310293"/>
    <w:rsid w:val="6C44786E"/>
    <w:rsid w:val="6C4706F9"/>
    <w:rsid w:val="6C5D7FE5"/>
    <w:rsid w:val="6C8407CA"/>
    <w:rsid w:val="6CC90D79"/>
    <w:rsid w:val="6CD51EDD"/>
    <w:rsid w:val="6CEF1588"/>
    <w:rsid w:val="6CF94E2F"/>
    <w:rsid w:val="6D0B7AD0"/>
    <w:rsid w:val="6D111628"/>
    <w:rsid w:val="6D3276C6"/>
    <w:rsid w:val="6D6A2812"/>
    <w:rsid w:val="6D6A50B2"/>
    <w:rsid w:val="6D8771C3"/>
    <w:rsid w:val="6D8D7674"/>
    <w:rsid w:val="6D9956BA"/>
    <w:rsid w:val="6D9E2FAE"/>
    <w:rsid w:val="6DB21352"/>
    <w:rsid w:val="6DBD4F39"/>
    <w:rsid w:val="6DFC351E"/>
    <w:rsid w:val="6E1F40EF"/>
    <w:rsid w:val="6E2A554D"/>
    <w:rsid w:val="6E2E700B"/>
    <w:rsid w:val="6E625129"/>
    <w:rsid w:val="6E6733A0"/>
    <w:rsid w:val="6E7D0E15"/>
    <w:rsid w:val="6EA16987"/>
    <w:rsid w:val="6EA77C40"/>
    <w:rsid w:val="6EB8009F"/>
    <w:rsid w:val="6ED36C87"/>
    <w:rsid w:val="6EE56679"/>
    <w:rsid w:val="6EF104DD"/>
    <w:rsid w:val="6F190B3E"/>
    <w:rsid w:val="6F343BCA"/>
    <w:rsid w:val="6F484143"/>
    <w:rsid w:val="6F490CF7"/>
    <w:rsid w:val="6F574271"/>
    <w:rsid w:val="6F750F26"/>
    <w:rsid w:val="6F7B72E9"/>
    <w:rsid w:val="6F8445D4"/>
    <w:rsid w:val="6F8D5C1A"/>
    <w:rsid w:val="6F8E342E"/>
    <w:rsid w:val="6F925B2C"/>
    <w:rsid w:val="6FA523D2"/>
    <w:rsid w:val="6FA8133A"/>
    <w:rsid w:val="6FAA79E8"/>
    <w:rsid w:val="6FAC3760"/>
    <w:rsid w:val="6FB940CF"/>
    <w:rsid w:val="6FD27139"/>
    <w:rsid w:val="6FD818E9"/>
    <w:rsid w:val="6FEC0000"/>
    <w:rsid w:val="6FF82103"/>
    <w:rsid w:val="70820965"/>
    <w:rsid w:val="70B84386"/>
    <w:rsid w:val="70CD2B48"/>
    <w:rsid w:val="70DF3B43"/>
    <w:rsid w:val="71126EE7"/>
    <w:rsid w:val="71340C72"/>
    <w:rsid w:val="714E7C4B"/>
    <w:rsid w:val="71621B42"/>
    <w:rsid w:val="71654E27"/>
    <w:rsid w:val="719E73CE"/>
    <w:rsid w:val="71F6500C"/>
    <w:rsid w:val="71FB09CF"/>
    <w:rsid w:val="72133F6A"/>
    <w:rsid w:val="721B37CB"/>
    <w:rsid w:val="722D677A"/>
    <w:rsid w:val="72677E12"/>
    <w:rsid w:val="729F135A"/>
    <w:rsid w:val="72AB1549"/>
    <w:rsid w:val="72B82F50"/>
    <w:rsid w:val="72C217B0"/>
    <w:rsid w:val="72C77465"/>
    <w:rsid w:val="72CE25B0"/>
    <w:rsid w:val="72D336FA"/>
    <w:rsid w:val="730438B3"/>
    <w:rsid w:val="733221CE"/>
    <w:rsid w:val="73702CF6"/>
    <w:rsid w:val="737E24ED"/>
    <w:rsid w:val="738461BF"/>
    <w:rsid w:val="738E367E"/>
    <w:rsid w:val="73934CDB"/>
    <w:rsid w:val="73AA3458"/>
    <w:rsid w:val="73AB1F81"/>
    <w:rsid w:val="73AD3F4B"/>
    <w:rsid w:val="73B01345"/>
    <w:rsid w:val="73C179F6"/>
    <w:rsid w:val="73C22DCA"/>
    <w:rsid w:val="73F76C73"/>
    <w:rsid w:val="74203020"/>
    <w:rsid w:val="74234E43"/>
    <w:rsid w:val="746960C4"/>
    <w:rsid w:val="74852401"/>
    <w:rsid w:val="74A95947"/>
    <w:rsid w:val="74E6192D"/>
    <w:rsid w:val="74E72327"/>
    <w:rsid w:val="74FD10EC"/>
    <w:rsid w:val="75023E22"/>
    <w:rsid w:val="750D20E7"/>
    <w:rsid w:val="75482A22"/>
    <w:rsid w:val="756211EE"/>
    <w:rsid w:val="756920F3"/>
    <w:rsid w:val="757C043C"/>
    <w:rsid w:val="758D39AB"/>
    <w:rsid w:val="758F0A0E"/>
    <w:rsid w:val="7590142E"/>
    <w:rsid w:val="75985BCF"/>
    <w:rsid w:val="75AF3FAA"/>
    <w:rsid w:val="75BA57C4"/>
    <w:rsid w:val="75BD0103"/>
    <w:rsid w:val="75F47C0F"/>
    <w:rsid w:val="76075E79"/>
    <w:rsid w:val="76134845"/>
    <w:rsid w:val="763922F4"/>
    <w:rsid w:val="765B1B03"/>
    <w:rsid w:val="767E1BCE"/>
    <w:rsid w:val="768C7E47"/>
    <w:rsid w:val="769D3E02"/>
    <w:rsid w:val="76B80955"/>
    <w:rsid w:val="76D90BB3"/>
    <w:rsid w:val="76EC740F"/>
    <w:rsid w:val="7736125B"/>
    <w:rsid w:val="774B075C"/>
    <w:rsid w:val="77545A55"/>
    <w:rsid w:val="775545EE"/>
    <w:rsid w:val="776D5A49"/>
    <w:rsid w:val="777F5BFE"/>
    <w:rsid w:val="77813724"/>
    <w:rsid w:val="77896DD2"/>
    <w:rsid w:val="77AA41E1"/>
    <w:rsid w:val="77BF6F51"/>
    <w:rsid w:val="77C91904"/>
    <w:rsid w:val="77D73344"/>
    <w:rsid w:val="77D777E8"/>
    <w:rsid w:val="77EB5041"/>
    <w:rsid w:val="781E5417"/>
    <w:rsid w:val="78271F54"/>
    <w:rsid w:val="78280C22"/>
    <w:rsid w:val="78283BA0"/>
    <w:rsid w:val="782A7F03"/>
    <w:rsid w:val="787615CF"/>
    <w:rsid w:val="78872FBC"/>
    <w:rsid w:val="78CD0CE6"/>
    <w:rsid w:val="794835E0"/>
    <w:rsid w:val="794E7636"/>
    <w:rsid w:val="79616DC4"/>
    <w:rsid w:val="79782241"/>
    <w:rsid w:val="797A667D"/>
    <w:rsid w:val="79927E6B"/>
    <w:rsid w:val="79BC1EC7"/>
    <w:rsid w:val="79E820BE"/>
    <w:rsid w:val="79E92E57"/>
    <w:rsid w:val="79F26B1E"/>
    <w:rsid w:val="7A2D7B93"/>
    <w:rsid w:val="7A6730A5"/>
    <w:rsid w:val="7A835A05"/>
    <w:rsid w:val="7A862644"/>
    <w:rsid w:val="7AA037BE"/>
    <w:rsid w:val="7AAC0428"/>
    <w:rsid w:val="7ABD5C87"/>
    <w:rsid w:val="7AC21415"/>
    <w:rsid w:val="7AC74DEF"/>
    <w:rsid w:val="7ACA7190"/>
    <w:rsid w:val="7ACC0CD4"/>
    <w:rsid w:val="7AEA5A84"/>
    <w:rsid w:val="7AEC7106"/>
    <w:rsid w:val="7B010C17"/>
    <w:rsid w:val="7B031518"/>
    <w:rsid w:val="7B054F71"/>
    <w:rsid w:val="7B266AE8"/>
    <w:rsid w:val="7B3311D9"/>
    <w:rsid w:val="7B4128F5"/>
    <w:rsid w:val="7B4E6013"/>
    <w:rsid w:val="7B5B146A"/>
    <w:rsid w:val="7B681A01"/>
    <w:rsid w:val="7B7B492E"/>
    <w:rsid w:val="7B86410F"/>
    <w:rsid w:val="7B876E2F"/>
    <w:rsid w:val="7BD3539E"/>
    <w:rsid w:val="7BE35E80"/>
    <w:rsid w:val="7BF546E1"/>
    <w:rsid w:val="7C18217D"/>
    <w:rsid w:val="7C2B0102"/>
    <w:rsid w:val="7C397120"/>
    <w:rsid w:val="7C47478B"/>
    <w:rsid w:val="7C8932DF"/>
    <w:rsid w:val="7C9573B2"/>
    <w:rsid w:val="7CB42860"/>
    <w:rsid w:val="7CB71996"/>
    <w:rsid w:val="7CE502B1"/>
    <w:rsid w:val="7CF8678F"/>
    <w:rsid w:val="7CF945BE"/>
    <w:rsid w:val="7D021F92"/>
    <w:rsid w:val="7D11554A"/>
    <w:rsid w:val="7D123E77"/>
    <w:rsid w:val="7D180687"/>
    <w:rsid w:val="7D1E4059"/>
    <w:rsid w:val="7D2C2AE8"/>
    <w:rsid w:val="7D6A08F7"/>
    <w:rsid w:val="7D8E26F7"/>
    <w:rsid w:val="7DD7027D"/>
    <w:rsid w:val="7DE85837"/>
    <w:rsid w:val="7E074902"/>
    <w:rsid w:val="7E1C41A7"/>
    <w:rsid w:val="7E6E2E4D"/>
    <w:rsid w:val="7EB10D93"/>
    <w:rsid w:val="7EBE6F11"/>
    <w:rsid w:val="7EC40A46"/>
    <w:rsid w:val="7EDB5E10"/>
    <w:rsid w:val="7EE30DF1"/>
    <w:rsid w:val="7EFE1AFE"/>
    <w:rsid w:val="7F136667"/>
    <w:rsid w:val="7F1C3DA0"/>
    <w:rsid w:val="7F4828C6"/>
    <w:rsid w:val="7F580F12"/>
    <w:rsid w:val="7F7B09F1"/>
    <w:rsid w:val="7F7F71B2"/>
    <w:rsid w:val="7F833D8D"/>
    <w:rsid w:val="7FBF128D"/>
    <w:rsid w:val="7FEC5DFB"/>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45"/>
    <w:qFormat/>
    <w:uiPriority w:val="0"/>
    <w:pPr>
      <w:keepNext/>
      <w:keepLines/>
      <w:autoSpaceDE w:val="0"/>
      <w:autoSpaceDN w:val="0"/>
      <w:adjustRightInd w:val="0"/>
      <w:spacing w:before="240" w:after="120" w:line="300" w:lineRule="auto"/>
      <w:jc w:val="center"/>
      <w:outlineLvl w:val="0"/>
    </w:pPr>
    <w:rPr>
      <w:rFonts w:ascii="宋体"/>
      <w:b/>
      <w:kern w:val="44"/>
      <w:sz w:val="32"/>
      <w:szCs w:val="20"/>
    </w:rPr>
  </w:style>
  <w:style w:type="paragraph" w:styleId="3">
    <w:name w:val="heading 2"/>
    <w:basedOn w:val="1"/>
    <w:next w:val="4"/>
    <w:link w:val="44"/>
    <w:qFormat/>
    <w:uiPriority w:val="0"/>
    <w:pPr>
      <w:keepNext/>
      <w:keepLines/>
      <w:autoSpaceDE w:val="0"/>
      <w:autoSpaceDN w:val="0"/>
      <w:adjustRightInd w:val="0"/>
      <w:spacing w:before="120" w:line="300" w:lineRule="auto"/>
      <w:jc w:val="center"/>
      <w:outlineLvl w:val="1"/>
    </w:pPr>
    <w:rPr>
      <w:rFonts w:ascii="Arial" w:hAnsi="Arial" w:eastAsia="黑体"/>
      <w:b/>
      <w:kern w:val="0"/>
      <w:sz w:val="30"/>
      <w:szCs w:val="20"/>
    </w:rPr>
  </w:style>
  <w:style w:type="paragraph" w:styleId="5">
    <w:name w:val="heading 3"/>
    <w:basedOn w:val="1"/>
    <w:next w:val="4"/>
    <w:link w:val="41"/>
    <w:qFormat/>
    <w:uiPriority w:val="0"/>
    <w:pPr>
      <w:keepNext/>
      <w:keepLines/>
      <w:autoSpaceDE w:val="0"/>
      <w:autoSpaceDN w:val="0"/>
      <w:adjustRightInd w:val="0"/>
      <w:spacing w:before="360" w:after="120"/>
      <w:jc w:val="left"/>
      <w:outlineLvl w:val="2"/>
    </w:pPr>
    <w:rPr>
      <w:rFonts w:ascii="宋体"/>
      <w:b/>
      <w:kern w:val="0"/>
      <w:sz w:val="24"/>
      <w:szCs w:val="20"/>
      <w:u w:val="single"/>
    </w:rPr>
  </w:style>
  <w:style w:type="character" w:default="1" w:styleId="35">
    <w:name w:val="Default Paragraph Font"/>
    <w:semiHidden/>
    <w:qFormat/>
    <w:uiPriority w:val="0"/>
  </w:style>
  <w:style w:type="table" w:default="1" w:styleId="33">
    <w:name w:val="Normal Table"/>
    <w:semiHidden/>
    <w:qFormat/>
    <w:uiPriority w:val="0"/>
    <w:tblPr>
      <w:tblCellMar>
        <w:top w:w="0" w:type="dxa"/>
        <w:left w:w="108" w:type="dxa"/>
        <w:bottom w:w="0" w:type="dxa"/>
        <w:right w:w="108" w:type="dxa"/>
      </w:tblCellMar>
    </w:tblPr>
  </w:style>
  <w:style w:type="paragraph" w:styleId="4">
    <w:name w:val="Normal Indent"/>
    <w:basedOn w:val="1"/>
    <w:qFormat/>
    <w:uiPriority w:val="0"/>
    <w:pPr>
      <w:autoSpaceDE w:val="0"/>
      <w:autoSpaceDN w:val="0"/>
      <w:adjustRightInd w:val="0"/>
      <w:ind w:firstLine="420"/>
      <w:jc w:val="left"/>
    </w:pPr>
    <w:rPr>
      <w:rFonts w:ascii="宋体"/>
      <w:kern w:val="0"/>
      <w:sz w:val="24"/>
      <w:szCs w:val="20"/>
    </w:rPr>
  </w:style>
  <w:style w:type="paragraph" w:styleId="6">
    <w:name w:val="toc 7"/>
    <w:basedOn w:val="1"/>
    <w:next w:val="1"/>
    <w:qFormat/>
    <w:uiPriority w:val="39"/>
    <w:pPr>
      <w:ind w:left="2520" w:leftChars="1200"/>
    </w:pPr>
  </w:style>
  <w:style w:type="paragraph" w:styleId="7">
    <w:name w:val="toa heading"/>
    <w:basedOn w:val="1"/>
    <w:next w:val="1"/>
    <w:qFormat/>
    <w:uiPriority w:val="0"/>
    <w:pPr>
      <w:widowControl/>
      <w:autoSpaceDE/>
      <w:autoSpaceDN/>
      <w:spacing w:before="120" w:after="0" w:line="240" w:lineRule="auto"/>
      <w:ind w:left="0" w:firstLine="3584"/>
    </w:pPr>
  </w:style>
  <w:style w:type="paragraph" w:styleId="8">
    <w:name w:val="annotation text"/>
    <w:basedOn w:val="1"/>
    <w:link w:val="46"/>
    <w:qFormat/>
    <w:uiPriority w:val="99"/>
    <w:pPr>
      <w:jc w:val="left"/>
    </w:pPr>
  </w:style>
  <w:style w:type="paragraph" w:styleId="9">
    <w:name w:val="Body Text"/>
    <w:basedOn w:val="1"/>
    <w:link w:val="47"/>
    <w:qFormat/>
    <w:uiPriority w:val="0"/>
    <w:pPr>
      <w:tabs>
        <w:tab w:val="left" w:pos="567"/>
      </w:tabs>
      <w:spacing w:before="120" w:line="22" w:lineRule="atLeast"/>
    </w:pPr>
    <w:rPr>
      <w:rFonts w:ascii="宋体" w:hAnsi="宋体"/>
      <w:sz w:val="24"/>
    </w:rPr>
  </w:style>
  <w:style w:type="paragraph" w:styleId="10">
    <w:name w:val="Body Text Indent"/>
    <w:basedOn w:val="1"/>
    <w:qFormat/>
    <w:uiPriority w:val="0"/>
    <w:pPr>
      <w:spacing w:line="360" w:lineRule="auto"/>
      <w:ind w:firstLine="570"/>
    </w:pPr>
    <w:rPr>
      <w:sz w:val="24"/>
    </w:rPr>
  </w:style>
  <w:style w:type="paragraph" w:styleId="11">
    <w:name w:val="toc 5"/>
    <w:basedOn w:val="1"/>
    <w:next w:val="1"/>
    <w:qFormat/>
    <w:uiPriority w:val="39"/>
    <w:pPr>
      <w:ind w:left="1680" w:leftChars="800"/>
    </w:pPr>
  </w:style>
  <w:style w:type="paragraph" w:styleId="12">
    <w:name w:val="toc 3"/>
    <w:basedOn w:val="1"/>
    <w:next w:val="1"/>
    <w:qFormat/>
    <w:uiPriority w:val="39"/>
    <w:pPr>
      <w:tabs>
        <w:tab w:val="left" w:pos="1260"/>
        <w:tab w:val="right" w:leader="dot" w:pos="8630"/>
      </w:tabs>
      <w:ind w:left="840" w:leftChars="400"/>
    </w:pPr>
  </w:style>
  <w:style w:type="paragraph" w:styleId="13">
    <w:name w:val="Plain Text"/>
    <w:basedOn w:val="1"/>
    <w:next w:val="14"/>
    <w:link w:val="48"/>
    <w:qFormat/>
    <w:uiPriority w:val="0"/>
    <w:rPr>
      <w:rFonts w:ascii="宋体" w:hAnsi="Courier New"/>
      <w:szCs w:val="20"/>
    </w:rPr>
  </w:style>
  <w:style w:type="paragraph" w:styleId="14">
    <w:name w:val="index 7"/>
    <w:basedOn w:val="1"/>
    <w:next w:val="1"/>
    <w:qFormat/>
    <w:uiPriority w:val="0"/>
    <w:pPr>
      <w:autoSpaceDE/>
      <w:autoSpaceDN/>
      <w:adjustRightInd/>
      <w:ind w:left="1200" w:leftChars="1200"/>
    </w:pPr>
    <w:rPr>
      <w:color w:val="auto"/>
      <w:kern w:val="2"/>
      <w:szCs w:val="24"/>
    </w:rPr>
  </w:style>
  <w:style w:type="paragraph" w:styleId="15">
    <w:name w:val="toc 8"/>
    <w:basedOn w:val="1"/>
    <w:next w:val="1"/>
    <w:qFormat/>
    <w:uiPriority w:val="39"/>
    <w:pPr>
      <w:ind w:left="2940" w:leftChars="1400"/>
    </w:pPr>
  </w:style>
  <w:style w:type="paragraph" w:styleId="16">
    <w:name w:val="Date"/>
    <w:basedOn w:val="1"/>
    <w:next w:val="1"/>
    <w:link w:val="49"/>
    <w:qFormat/>
    <w:uiPriority w:val="0"/>
    <w:pPr>
      <w:ind w:left="100" w:leftChars="2500"/>
    </w:pPr>
    <w:rPr>
      <w:rFonts w:ascii="仿宋_GB2312" w:hAnsi="宋体" w:eastAsia="仿宋_GB2312"/>
      <w:color w:val="000000"/>
      <w:sz w:val="24"/>
    </w:rPr>
  </w:style>
  <w:style w:type="paragraph" w:styleId="17">
    <w:name w:val="Body Text Indent 2"/>
    <w:basedOn w:val="1"/>
    <w:qFormat/>
    <w:uiPriority w:val="0"/>
    <w:pPr>
      <w:ind w:firstLine="480" w:firstLineChars="200"/>
    </w:pPr>
    <w:rPr>
      <w:rFonts w:ascii="仿宋_GB2312" w:eastAsia="仿宋_GB2312"/>
      <w:sz w:val="24"/>
    </w:rPr>
  </w:style>
  <w:style w:type="paragraph" w:styleId="18">
    <w:name w:val="Balloon Text"/>
    <w:basedOn w:val="1"/>
    <w:link w:val="50"/>
    <w:qFormat/>
    <w:uiPriority w:val="0"/>
    <w:rPr>
      <w:sz w:val="18"/>
      <w:szCs w:val="18"/>
    </w:rPr>
  </w:style>
  <w:style w:type="paragraph" w:styleId="19">
    <w:name w:val="footer"/>
    <w:basedOn w:val="1"/>
    <w:link w:val="51"/>
    <w:qFormat/>
    <w:uiPriority w:val="99"/>
    <w:pPr>
      <w:tabs>
        <w:tab w:val="center" w:pos="4153"/>
        <w:tab w:val="right" w:pos="8306"/>
      </w:tabs>
      <w:autoSpaceDE w:val="0"/>
      <w:autoSpaceDN w:val="0"/>
      <w:adjustRightInd w:val="0"/>
      <w:snapToGrid w:val="0"/>
      <w:jc w:val="left"/>
    </w:pPr>
    <w:rPr>
      <w:rFonts w:ascii="宋体"/>
      <w:kern w:val="0"/>
      <w:sz w:val="18"/>
      <w:szCs w:val="20"/>
    </w:rPr>
  </w:style>
  <w:style w:type="paragraph" w:styleId="20">
    <w:name w:val="header"/>
    <w:basedOn w:val="1"/>
    <w:link w:val="52"/>
    <w:qFormat/>
    <w:uiPriority w:val="0"/>
    <w:pPr>
      <w:pBdr>
        <w:bottom w:val="single" w:color="auto" w:sz="6" w:space="1"/>
      </w:pBdr>
      <w:tabs>
        <w:tab w:val="center" w:pos="4153"/>
        <w:tab w:val="right" w:pos="8306"/>
      </w:tabs>
      <w:snapToGrid w:val="0"/>
      <w:jc w:val="center"/>
    </w:pPr>
    <w:rPr>
      <w:sz w:val="18"/>
      <w:szCs w:val="18"/>
    </w:rPr>
  </w:style>
  <w:style w:type="paragraph" w:styleId="21">
    <w:name w:val="toc 1"/>
    <w:basedOn w:val="1"/>
    <w:next w:val="1"/>
    <w:qFormat/>
    <w:uiPriority w:val="39"/>
  </w:style>
  <w:style w:type="paragraph" w:styleId="22">
    <w:name w:val="toc 4"/>
    <w:basedOn w:val="1"/>
    <w:next w:val="1"/>
    <w:qFormat/>
    <w:uiPriority w:val="39"/>
    <w:pPr>
      <w:ind w:left="1260" w:leftChars="600"/>
    </w:pPr>
  </w:style>
  <w:style w:type="paragraph" w:styleId="23">
    <w:name w:val="List"/>
    <w:basedOn w:val="1"/>
    <w:qFormat/>
    <w:uiPriority w:val="0"/>
    <w:pPr>
      <w:adjustRightInd w:val="0"/>
      <w:spacing w:line="312" w:lineRule="atLeast"/>
      <w:ind w:left="200" w:hanging="200" w:hangingChars="200"/>
      <w:textAlignment w:val="baseline"/>
    </w:pPr>
    <w:rPr>
      <w:rFonts w:eastAsia="仿宋"/>
      <w:kern w:val="0"/>
      <w:sz w:val="32"/>
      <w:szCs w:val="20"/>
    </w:rPr>
  </w:style>
  <w:style w:type="paragraph" w:styleId="24">
    <w:name w:val="footnote text"/>
    <w:basedOn w:val="1"/>
    <w:qFormat/>
    <w:uiPriority w:val="0"/>
    <w:pPr>
      <w:snapToGrid w:val="0"/>
      <w:jc w:val="left"/>
    </w:pPr>
    <w:rPr>
      <w:sz w:val="18"/>
    </w:rPr>
  </w:style>
  <w:style w:type="paragraph" w:styleId="25">
    <w:name w:val="toc 6"/>
    <w:basedOn w:val="1"/>
    <w:next w:val="1"/>
    <w:qFormat/>
    <w:uiPriority w:val="39"/>
    <w:pPr>
      <w:ind w:left="2100" w:leftChars="1000"/>
    </w:pPr>
  </w:style>
  <w:style w:type="paragraph" w:styleId="26">
    <w:name w:val="Body Text Indent 3"/>
    <w:basedOn w:val="1"/>
    <w:qFormat/>
    <w:uiPriority w:val="0"/>
    <w:pPr>
      <w:autoSpaceDE w:val="0"/>
      <w:autoSpaceDN w:val="0"/>
      <w:adjustRightInd w:val="0"/>
      <w:spacing w:before="120" w:line="22" w:lineRule="atLeast"/>
      <w:ind w:left="720" w:firstLine="480"/>
      <w:jc w:val="left"/>
    </w:pPr>
    <w:rPr>
      <w:rFonts w:ascii="宋体"/>
      <w:kern w:val="0"/>
      <w:sz w:val="24"/>
      <w:szCs w:val="20"/>
    </w:rPr>
  </w:style>
  <w:style w:type="paragraph" w:styleId="27">
    <w:name w:val="toc 2"/>
    <w:basedOn w:val="1"/>
    <w:next w:val="1"/>
    <w:qFormat/>
    <w:uiPriority w:val="39"/>
    <w:pPr>
      <w:ind w:left="420" w:leftChars="200"/>
    </w:pPr>
  </w:style>
  <w:style w:type="paragraph" w:styleId="28">
    <w:name w:val="toc 9"/>
    <w:basedOn w:val="1"/>
    <w:next w:val="1"/>
    <w:qFormat/>
    <w:uiPriority w:val="39"/>
    <w:pPr>
      <w:ind w:left="3360" w:leftChars="1600"/>
    </w:pPr>
  </w:style>
  <w:style w:type="paragraph" w:styleId="29">
    <w:name w:val="Normal (Web)"/>
    <w:basedOn w:val="1"/>
    <w:qFormat/>
    <w:uiPriority w:val="0"/>
    <w:pPr>
      <w:spacing w:before="75" w:after="75"/>
    </w:pPr>
    <w:rPr>
      <w:sz w:val="24"/>
    </w:rPr>
  </w:style>
  <w:style w:type="paragraph" w:styleId="30">
    <w:name w:val="index 1"/>
    <w:basedOn w:val="1"/>
    <w:next w:val="1"/>
    <w:semiHidden/>
    <w:qFormat/>
    <w:uiPriority w:val="0"/>
    <w:rPr>
      <w:szCs w:val="20"/>
    </w:rPr>
  </w:style>
  <w:style w:type="paragraph" w:styleId="31">
    <w:name w:val="annotation subject"/>
    <w:basedOn w:val="8"/>
    <w:next w:val="8"/>
    <w:link w:val="53"/>
    <w:qFormat/>
    <w:uiPriority w:val="0"/>
    <w:rPr>
      <w:b/>
      <w:bCs/>
    </w:rPr>
  </w:style>
  <w:style w:type="paragraph" w:styleId="32">
    <w:name w:val="Body Text First Indent"/>
    <w:basedOn w:val="9"/>
    <w:next w:val="1"/>
    <w:qFormat/>
    <w:uiPriority w:val="0"/>
    <w:pPr>
      <w:widowControl/>
      <w:spacing w:line="312" w:lineRule="auto"/>
      <w:ind w:firstLine="420" w:firstLineChars="100"/>
    </w:pPr>
    <w:rPr>
      <w:rFonts w:hint="eastAsia" w:ascii="微软雅黑" w:hAnsi="微软雅黑" w:eastAsia="微软雅黑" w:cs="微软雅黑"/>
      <w:szCs w:val="21"/>
    </w:rPr>
  </w:style>
  <w:style w:type="table" w:styleId="34">
    <w:name w:val="Table Grid"/>
    <w:basedOn w:val="3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6">
    <w:name w:val="Strong"/>
    <w:basedOn w:val="35"/>
    <w:qFormat/>
    <w:uiPriority w:val="0"/>
    <w:rPr>
      <w:b/>
    </w:rPr>
  </w:style>
  <w:style w:type="character" w:styleId="37">
    <w:name w:val="page number"/>
    <w:basedOn w:val="35"/>
    <w:qFormat/>
    <w:uiPriority w:val="0"/>
  </w:style>
  <w:style w:type="character" w:styleId="38">
    <w:name w:val="Hyperlink"/>
    <w:qFormat/>
    <w:uiPriority w:val="99"/>
    <w:rPr>
      <w:color w:val="0000FF"/>
      <w:u w:val="single"/>
    </w:rPr>
  </w:style>
  <w:style w:type="character" w:styleId="39">
    <w:name w:val="annotation reference"/>
    <w:qFormat/>
    <w:uiPriority w:val="99"/>
    <w:rPr>
      <w:sz w:val="21"/>
      <w:szCs w:val="21"/>
    </w:rPr>
  </w:style>
  <w:style w:type="paragraph" w:customStyle="1" w:styleId="40">
    <w:name w:val="Default"/>
    <w:qFormat/>
    <w:uiPriority w:val="0"/>
    <w:pPr>
      <w:widowControl w:val="0"/>
      <w:autoSpaceDE w:val="0"/>
      <w:autoSpaceDN w:val="0"/>
    </w:pPr>
    <w:rPr>
      <w:rFonts w:ascii="宋体" w:hAnsi="Times New Roman" w:eastAsia="宋体" w:cs="宋体"/>
      <w:color w:val="000000"/>
      <w:sz w:val="24"/>
      <w:szCs w:val="24"/>
      <w:lang w:val="en-US" w:eastAsia="zh-CN" w:bidi="ar-SA"/>
    </w:rPr>
  </w:style>
  <w:style w:type="character" w:customStyle="1" w:styleId="41">
    <w:name w:val="标题 3 Char"/>
    <w:link w:val="5"/>
    <w:qFormat/>
    <w:uiPriority w:val="0"/>
    <w:rPr>
      <w:rFonts w:ascii="宋体"/>
      <w:b/>
      <w:sz w:val="24"/>
      <w:u w:val="single"/>
    </w:rPr>
  </w:style>
  <w:style w:type="paragraph" w:customStyle="1" w:styleId="42">
    <w:name w:val="4正文"/>
    <w:basedOn w:val="1"/>
    <w:qFormat/>
    <w:uiPriority w:val="0"/>
    <w:pPr>
      <w:jc w:val="left"/>
    </w:pPr>
    <w:rPr>
      <w:szCs w:val="24"/>
    </w:rPr>
  </w:style>
  <w:style w:type="paragraph" w:customStyle="1" w:styleId="43">
    <w:name w:val="目录 41"/>
    <w:next w:val="1"/>
    <w:qFormat/>
    <w:uiPriority w:val="0"/>
    <w:pPr>
      <w:wordWrap w:val="0"/>
      <w:ind w:left="1275"/>
      <w:jc w:val="both"/>
    </w:pPr>
    <w:rPr>
      <w:rFonts w:ascii="Times New Roman" w:hAnsi="Times New Roman" w:eastAsia="宋体" w:cs="Times New Roman"/>
      <w:sz w:val="21"/>
      <w:lang w:val="en-US" w:eastAsia="zh-CN" w:bidi="ar-SA"/>
    </w:rPr>
  </w:style>
  <w:style w:type="character" w:customStyle="1" w:styleId="44">
    <w:name w:val="标题 2 Char"/>
    <w:link w:val="3"/>
    <w:qFormat/>
    <w:uiPriority w:val="0"/>
    <w:rPr>
      <w:rFonts w:ascii="Arial" w:hAnsi="Arial" w:eastAsia="黑体"/>
      <w:b/>
      <w:sz w:val="30"/>
    </w:rPr>
  </w:style>
  <w:style w:type="character" w:customStyle="1" w:styleId="45">
    <w:name w:val="标题 1 Char"/>
    <w:link w:val="2"/>
    <w:qFormat/>
    <w:uiPriority w:val="0"/>
    <w:rPr>
      <w:rFonts w:ascii="宋体"/>
      <w:b/>
      <w:kern w:val="44"/>
      <w:sz w:val="32"/>
    </w:rPr>
  </w:style>
  <w:style w:type="character" w:customStyle="1" w:styleId="46">
    <w:name w:val="批注文字 Char"/>
    <w:link w:val="8"/>
    <w:qFormat/>
    <w:uiPriority w:val="99"/>
    <w:rPr>
      <w:kern w:val="2"/>
      <w:sz w:val="21"/>
      <w:szCs w:val="24"/>
    </w:rPr>
  </w:style>
  <w:style w:type="character" w:customStyle="1" w:styleId="47">
    <w:name w:val="正文文本 Char"/>
    <w:link w:val="9"/>
    <w:qFormat/>
    <w:uiPriority w:val="0"/>
    <w:rPr>
      <w:rFonts w:ascii="宋体" w:hAnsi="宋体"/>
      <w:kern w:val="2"/>
      <w:sz w:val="24"/>
      <w:szCs w:val="24"/>
    </w:rPr>
  </w:style>
  <w:style w:type="character" w:customStyle="1" w:styleId="48">
    <w:name w:val="纯文本 Char"/>
    <w:link w:val="13"/>
    <w:qFormat/>
    <w:uiPriority w:val="0"/>
    <w:rPr>
      <w:rFonts w:ascii="宋体" w:hAnsi="Courier New"/>
      <w:kern w:val="2"/>
      <w:sz w:val="21"/>
    </w:rPr>
  </w:style>
  <w:style w:type="character" w:customStyle="1" w:styleId="49">
    <w:name w:val="日期 Char"/>
    <w:link w:val="16"/>
    <w:qFormat/>
    <w:uiPriority w:val="0"/>
    <w:rPr>
      <w:rFonts w:ascii="仿宋_GB2312" w:hAnsi="宋体" w:eastAsia="仿宋_GB2312"/>
      <w:color w:val="000000"/>
      <w:kern w:val="2"/>
      <w:sz w:val="24"/>
      <w:szCs w:val="24"/>
    </w:rPr>
  </w:style>
  <w:style w:type="character" w:customStyle="1" w:styleId="50">
    <w:name w:val="批注框文本 Char"/>
    <w:link w:val="18"/>
    <w:qFormat/>
    <w:uiPriority w:val="0"/>
    <w:rPr>
      <w:kern w:val="2"/>
      <w:sz w:val="18"/>
      <w:szCs w:val="18"/>
    </w:rPr>
  </w:style>
  <w:style w:type="character" w:customStyle="1" w:styleId="51">
    <w:name w:val="页脚 Char"/>
    <w:link w:val="19"/>
    <w:qFormat/>
    <w:uiPriority w:val="99"/>
    <w:rPr>
      <w:rFonts w:ascii="宋体"/>
      <w:sz w:val="18"/>
    </w:rPr>
  </w:style>
  <w:style w:type="character" w:customStyle="1" w:styleId="52">
    <w:name w:val="页眉 Char"/>
    <w:link w:val="20"/>
    <w:qFormat/>
    <w:uiPriority w:val="0"/>
    <w:rPr>
      <w:kern w:val="2"/>
      <w:sz w:val="18"/>
      <w:szCs w:val="18"/>
    </w:rPr>
  </w:style>
  <w:style w:type="character" w:customStyle="1" w:styleId="53">
    <w:name w:val="批注主题 Char"/>
    <w:link w:val="31"/>
    <w:qFormat/>
    <w:uiPriority w:val="0"/>
    <w:rPr>
      <w:b/>
      <w:bCs/>
      <w:kern w:val="2"/>
      <w:sz w:val="21"/>
      <w:szCs w:val="24"/>
    </w:rPr>
  </w:style>
  <w:style w:type="paragraph" w:customStyle="1" w:styleId="54">
    <w:name w:val="Heading3"/>
    <w:basedOn w:val="1"/>
    <w:next w:val="1"/>
    <w:qFormat/>
    <w:uiPriority w:val="0"/>
    <w:pPr>
      <w:keepNext/>
      <w:keepLines/>
      <w:spacing w:before="360" w:after="120"/>
      <w:jc w:val="left"/>
      <w:textAlignment w:val="baseline"/>
    </w:pPr>
    <w:rPr>
      <w:rFonts w:ascii="宋体"/>
      <w:b/>
      <w:kern w:val="0"/>
      <w:sz w:val="24"/>
      <w:szCs w:val="20"/>
      <w:u w:val="single"/>
      <w:lang w:val="en-US" w:eastAsia="zh-CN" w:bidi="ar-SA"/>
    </w:rPr>
  </w:style>
  <w:style w:type="character" w:customStyle="1" w:styleId="55">
    <w:name w:val="bookmark-item"/>
    <w:basedOn w:val="35"/>
    <w:qFormat/>
    <w:uiPriority w:val="0"/>
  </w:style>
  <w:style w:type="character" w:customStyle="1" w:styleId="56">
    <w:name w:val="font31"/>
    <w:basedOn w:val="35"/>
    <w:qFormat/>
    <w:uiPriority w:val="0"/>
    <w:rPr>
      <w:rFonts w:hint="eastAsia" w:ascii="宋体" w:hAnsi="宋体" w:eastAsia="宋体" w:cs="宋体"/>
      <w:color w:val="000000"/>
      <w:sz w:val="22"/>
      <w:szCs w:val="22"/>
      <w:u w:val="none"/>
    </w:rPr>
  </w:style>
  <w:style w:type="character" w:customStyle="1" w:styleId="57">
    <w:name w:val="批注框文本 Char1"/>
    <w:semiHidden/>
    <w:qFormat/>
    <w:uiPriority w:val="99"/>
    <w:rPr>
      <w:kern w:val="2"/>
      <w:sz w:val="18"/>
      <w:szCs w:val="18"/>
    </w:rPr>
  </w:style>
  <w:style w:type="character" w:customStyle="1" w:styleId="58">
    <w:name w:val="页眉 Char1"/>
    <w:semiHidden/>
    <w:qFormat/>
    <w:uiPriority w:val="99"/>
    <w:rPr>
      <w:kern w:val="2"/>
      <w:sz w:val="18"/>
      <w:szCs w:val="18"/>
    </w:rPr>
  </w:style>
  <w:style w:type="character" w:customStyle="1" w:styleId="59">
    <w:name w:val="纯文本 Char1"/>
    <w:link w:val="60"/>
    <w:qFormat/>
    <w:uiPriority w:val="0"/>
    <w:rPr>
      <w:rFonts w:ascii="宋体" w:hAnsi="Courier New"/>
    </w:rPr>
  </w:style>
  <w:style w:type="paragraph" w:customStyle="1" w:styleId="60">
    <w:name w:val="纯文本1"/>
    <w:basedOn w:val="1"/>
    <w:link w:val="59"/>
    <w:qFormat/>
    <w:uiPriority w:val="0"/>
    <w:rPr>
      <w:rFonts w:ascii="宋体" w:hAnsi="Courier New"/>
      <w:kern w:val="0"/>
      <w:sz w:val="20"/>
      <w:szCs w:val="20"/>
    </w:rPr>
  </w:style>
  <w:style w:type="character" w:customStyle="1" w:styleId="61">
    <w:name w:val="正文缩进 Char1"/>
    <w:link w:val="62"/>
    <w:qFormat/>
    <w:uiPriority w:val="0"/>
    <w:rPr>
      <w:rFonts w:ascii="宋体"/>
      <w:sz w:val="24"/>
    </w:rPr>
  </w:style>
  <w:style w:type="paragraph" w:customStyle="1" w:styleId="62">
    <w:name w:val="正文缩进1"/>
    <w:basedOn w:val="1"/>
    <w:link w:val="61"/>
    <w:qFormat/>
    <w:uiPriority w:val="0"/>
    <w:pPr>
      <w:autoSpaceDE w:val="0"/>
      <w:autoSpaceDN w:val="0"/>
      <w:adjustRightInd w:val="0"/>
      <w:ind w:firstLine="420"/>
      <w:jc w:val="left"/>
    </w:pPr>
    <w:rPr>
      <w:rFonts w:ascii="宋体"/>
      <w:kern w:val="0"/>
      <w:sz w:val="24"/>
      <w:szCs w:val="20"/>
    </w:rPr>
  </w:style>
  <w:style w:type="character" w:customStyle="1" w:styleId="63">
    <w:name w:val="font21"/>
    <w:basedOn w:val="35"/>
    <w:qFormat/>
    <w:uiPriority w:val="0"/>
    <w:rPr>
      <w:rFonts w:hint="eastAsia" w:ascii="宋体" w:hAnsi="宋体" w:eastAsia="宋体" w:cs="宋体"/>
      <w:b/>
      <w:color w:val="000000"/>
      <w:sz w:val="20"/>
      <w:szCs w:val="20"/>
      <w:u w:val="none"/>
    </w:rPr>
  </w:style>
  <w:style w:type="character" w:customStyle="1" w:styleId="64">
    <w:name w:val="批注文字 Char1"/>
    <w:semiHidden/>
    <w:qFormat/>
    <w:uiPriority w:val="99"/>
    <w:rPr>
      <w:kern w:val="2"/>
      <w:sz w:val="21"/>
      <w:szCs w:val="24"/>
    </w:rPr>
  </w:style>
  <w:style w:type="character" w:customStyle="1" w:styleId="65">
    <w:name w:val="批注主题 Char1"/>
    <w:semiHidden/>
    <w:qFormat/>
    <w:uiPriority w:val="99"/>
    <w:rPr>
      <w:b/>
      <w:bCs/>
      <w:kern w:val="2"/>
      <w:sz w:val="21"/>
      <w:szCs w:val="24"/>
    </w:rPr>
  </w:style>
  <w:style w:type="paragraph" w:styleId="66">
    <w:name w:val="List Paragraph"/>
    <w:basedOn w:val="1"/>
    <w:qFormat/>
    <w:uiPriority w:val="34"/>
    <w:pPr>
      <w:widowControl/>
      <w:ind w:firstLine="420" w:firstLineChars="200"/>
      <w:jc w:val="left"/>
    </w:pPr>
    <w:rPr>
      <w:kern w:val="0"/>
      <w:sz w:val="24"/>
    </w:rPr>
  </w:style>
  <w:style w:type="paragraph" w:customStyle="1" w:styleId="67">
    <w:name w:val="列出段落1"/>
    <w:basedOn w:val="1"/>
    <w:qFormat/>
    <w:uiPriority w:val="34"/>
    <w:pPr>
      <w:widowControl/>
      <w:ind w:firstLine="420" w:firstLineChars="200"/>
      <w:jc w:val="left"/>
    </w:pPr>
    <w:rPr>
      <w:kern w:val="0"/>
      <w:sz w:val="24"/>
    </w:rPr>
  </w:style>
  <w:style w:type="paragraph" w:customStyle="1" w:styleId="68">
    <w:name w:val="Heading2"/>
    <w:basedOn w:val="1"/>
    <w:next w:val="1"/>
    <w:qFormat/>
    <w:uiPriority w:val="0"/>
    <w:pPr>
      <w:keepNext/>
      <w:keepLines/>
      <w:tabs>
        <w:tab w:val="left" w:pos="576"/>
        <w:tab w:val="left" w:pos="1296"/>
      </w:tabs>
      <w:spacing w:before="120" w:after="120" w:line="416" w:lineRule="atLeast"/>
      <w:jc w:val="left"/>
      <w:textAlignment w:val="baseline"/>
    </w:pPr>
    <w:rPr>
      <w:rFonts w:ascii="宋体" w:hAnsi="Arial" w:eastAsia="黑体"/>
      <w:b/>
      <w:kern w:val="0"/>
      <w:sz w:val="28"/>
    </w:rPr>
  </w:style>
  <w:style w:type="paragraph" w:customStyle="1" w:styleId="69">
    <w:name w:val="Char"/>
    <w:basedOn w:val="1"/>
    <w:qFormat/>
    <w:uiPriority w:val="0"/>
    <w:pPr>
      <w:tabs>
        <w:tab w:val="left" w:pos="360"/>
      </w:tabs>
    </w:pPr>
    <w:rPr>
      <w:sz w:val="24"/>
    </w:rPr>
  </w:style>
  <w:style w:type="paragraph" w:customStyle="1" w:styleId="70">
    <w:name w:val="Style1"/>
    <w:basedOn w:val="1"/>
    <w:qFormat/>
    <w:uiPriority w:val="0"/>
    <w:pPr>
      <w:widowControl/>
      <w:tabs>
        <w:tab w:val="left" w:pos="-720"/>
      </w:tabs>
    </w:pPr>
    <w:rPr>
      <w:rFonts w:ascii="Times New Roman" w:hAnsi="Times New Roman" w:eastAsia="宋体" w:cs="Times New Roman"/>
      <w:spacing w:val="-3"/>
      <w:sz w:val="24"/>
      <w:szCs w:val="20"/>
      <w:lang w:val="en-AU"/>
    </w:rPr>
  </w:style>
  <w:style w:type="paragraph" w:customStyle="1" w:styleId="71">
    <w:name w:val="Table Paragraph"/>
    <w:basedOn w:val="1"/>
    <w:qFormat/>
    <w:uiPriority w:val="1"/>
    <w:rPr>
      <w:rFonts w:ascii="宋体" w:hAnsi="宋体" w:eastAsia="宋体" w:cs="宋体"/>
      <w:lang w:val="zh-CN" w:eastAsia="zh-CN" w:bidi="zh-CN"/>
    </w:rPr>
  </w:style>
  <w:style w:type="paragraph" w:customStyle="1" w:styleId="72">
    <w:name w:val="_Style 1"/>
    <w:qFormat/>
    <w:uiPriority w:val="99"/>
    <w:pPr>
      <w:widowControl w:val="0"/>
      <w:ind w:firstLine="200" w:firstLineChars="200"/>
      <w:jc w:val="both"/>
    </w:pPr>
    <w:rPr>
      <w:rFonts w:ascii="Times New Roman" w:hAnsi="Times New Roman" w:eastAsia="仿宋_GB2312" w:cs="Times New Roman"/>
      <w:kern w:val="2"/>
      <w:sz w:val="24"/>
      <w:szCs w:val="22"/>
      <w:lang w:val="en-US" w:eastAsia="zh-CN" w:bidi="ar-SA"/>
    </w:rPr>
  </w:style>
  <w:style w:type="paragraph" w:customStyle="1" w:styleId="73">
    <w:name w:val="Picture caption|1"/>
    <w:basedOn w:val="1"/>
    <w:qFormat/>
    <w:uiPriority w:val="0"/>
    <w:pPr>
      <w:widowControl w:val="0"/>
      <w:shd w:val="clear" w:color="auto" w:fill="auto"/>
    </w:pPr>
    <w:rPr>
      <w:rFonts w:ascii="宋体" w:hAnsi="宋体" w:eastAsia="宋体" w:cs="宋体"/>
      <w:sz w:val="26"/>
      <w:szCs w:val="26"/>
      <w:u w:val="none"/>
      <w:shd w:val="clear" w:color="auto" w:fill="auto"/>
      <w:lang w:val="zh-TW" w:eastAsia="zh-TW" w:bidi="zh-TW"/>
    </w:rPr>
  </w:style>
  <w:style w:type="paragraph" w:customStyle="1" w:styleId="74">
    <w:name w:val="索引 11"/>
    <w:basedOn w:val="1"/>
    <w:next w:val="1"/>
    <w:qFormat/>
    <w:uiPriority w:val="0"/>
    <w:pPr>
      <w:spacing w:line="360" w:lineRule="auto"/>
    </w:pPr>
    <w:rPr>
      <w:rFonts w:ascii="仿宋_GB2312" w:eastAsia="仿宋_GB2312"/>
      <w:sz w:val="24"/>
      <w:szCs w:val="20"/>
    </w:rPr>
  </w:style>
  <w:style w:type="table" w:customStyle="1" w:styleId="75">
    <w:name w:val="Table Normal"/>
    <w:unhideWhenUsed/>
    <w:qFormat/>
    <w:uiPriority w:val="2"/>
    <w:rPr>
      <w:lang w:val="en-US" w:eastAsia="zh-CN" w:bidi="ar-SA"/>
    </w:rPr>
    <w:tblPr>
      <w:tblCellMar>
        <w:top w:w="0" w:type="dxa"/>
        <w:left w:w="0" w:type="dxa"/>
        <w:bottom w:w="0" w:type="dxa"/>
        <w:right w:w="0" w:type="dxa"/>
      </w:tblCellMar>
    </w:tblPr>
  </w:style>
  <w:style w:type="character" w:customStyle="1" w:styleId="76">
    <w:name w:val="font51"/>
    <w:basedOn w:val="35"/>
    <w:qFormat/>
    <w:uiPriority w:val="0"/>
    <w:rPr>
      <w:rFonts w:hint="eastAsia" w:ascii="宋体" w:hAnsi="宋体" w:eastAsia="宋体" w:cs="宋体"/>
      <w:color w:val="000000"/>
      <w:sz w:val="20"/>
      <w:szCs w:val="20"/>
      <w:u w:val="none"/>
    </w:rPr>
  </w:style>
  <w:style w:type="character" w:customStyle="1" w:styleId="77">
    <w:name w:val="font11"/>
    <w:basedOn w:val="35"/>
    <w:qFormat/>
    <w:uiPriority w:val="0"/>
    <w:rPr>
      <w:rFonts w:hint="default" w:ascii="Times New Roman" w:hAnsi="Times New Roman" w:cs="Times New Roman"/>
      <w:color w:val="000000"/>
      <w:sz w:val="20"/>
      <w:szCs w:val="20"/>
      <w:u w:val="none"/>
    </w:rPr>
  </w:style>
  <w:style w:type="character" w:customStyle="1" w:styleId="78">
    <w:name w:val="font71"/>
    <w:basedOn w:val="35"/>
    <w:qFormat/>
    <w:uiPriority w:val="0"/>
    <w:rPr>
      <w:rFonts w:hint="eastAsia" w:ascii="宋体" w:hAnsi="宋体" w:eastAsia="宋体" w:cs="宋体"/>
      <w:b/>
      <w:bCs/>
      <w:color w:val="000000"/>
      <w:sz w:val="24"/>
      <w:szCs w:val="24"/>
      <w:u w:val="none"/>
    </w:rPr>
  </w:style>
  <w:style w:type="character" w:customStyle="1" w:styleId="79">
    <w:name w:val="font121"/>
    <w:basedOn w:val="35"/>
    <w:qFormat/>
    <w:uiPriority w:val="0"/>
    <w:rPr>
      <w:rFonts w:hint="default" w:ascii="Times New Roman" w:hAnsi="Times New Roman" w:cs="Times New Roman"/>
      <w:b/>
      <w:bCs/>
      <w:color w:val="000000"/>
      <w:sz w:val="24"/>
      <w:szCs w:val="24"/>
      <w:u w:val="none"/>
    </w:rPr>
  </w:style>
  <w:style w:type="character" w:customStyle="1" w:styleId="80">
    <w:name w:val="font41"/>
    <w:basedOn w:val="35"/>
    <w:qFormat/>
    <w:uiPriority w:val="0"/>
    <w:rPr>
      <w:rFonts w:hint="eastAsia" w:ascii="宋体" w:hAnsi="宋体" w:eastAsia="宋体" w:cs="宋体"/>
      <w:color w:val="000000"/>
      <w:sz w:val="20"/>
      <w:szCs w:val="20"/>
      <w:u w:val="none"/>
    </w:rPr>
  </w:style>
  <w:style w:type="character" w:customStyle="1" w:styleId="81">
    <w:name w:val="font01"/>
    <w:basedOn w:val="35"/>
    <w:qFormat/>
    <w:uiPriority w:val="0"/>
    <w:rPr>
      <w:rFonts w:hint="default" w:ascii="Times New Roman" w:hAnsi="Times New Roman" w:cs="Times New Roman"/>
      <w:color w:val="000000"/>
      <w:sz w:val="20"/>
      <w:szCs w:val="20"/>
      <w:u w:val="none"/>
    </w:rPr>
  </w:style>
  <w:style w:type="character" w:customStyle="1" w:styleId="82">
    <w:name w:val="font91"/>
    <w:basedOn w:val="35"/>
    <w:qFormat/>
    <w:uiPriority w:val="0"/>
    <w:rPr>
      <w:rFonts w:hint="default" w:ascii="Times New Roman" w:hAnsi="Times New Roman" w:cs="Times New Roman"/>
      <w:b/>
      <w:bCs/>
      <w:color w:val="000000"/>
      <w:sz w:val="24"/>
      <w:szCs w:val="24"/>
      <w:u w:val="none"/>
    </w:rPr>
  </w:style>
  <w:style w:type="paragraph" w:customStyle="1" w:styleId="83">
    <w:name w:val="普通(网站)1"/>
    <w:basedOn w:val="1"/>
    <w:qFormat/>
    <w:uiPriority w:val="2"/>
    <w:pPr>
      <w:spacing w:before="75" w:after="75"/>
      <w:ind w:left="0" w:right="0" w:firstLine="0"/>
      <w:jc w:val="left"/>
    </w:pPr>
    <w:rPr>
      <w:kern w:val="0"/>
      <w:sz w:val="24"/>
      <w:lang w:val="en-US" w:eastAsia="zh-CN" w:bidi="ar"/>
    </w:rPr>
  </w:style>
  <w:style w:type="paragraph" w:customStyle="1" w:styleId="84">
    <w:name w:val="Table Text"/>
    <w:basedOn w:val="1"/>
    <w:semiHidden/>
    <w:qFormat/>
    <w:uiPriority w:val="0"/>
    <w:rPr>
      <w:rFonts w:ascii="宋体" w:hAnsi="宋体" w:eastAsia="宋体" w:cs="宋体"/>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5" Type="http://schemas.openxmlformats.org/officeDocument/2006/relationships/fontTable" Target="fontTable.xml"/><Relationship Id="rId24" Type="http://schemas.openxmlformats.org/officeDocument/2006/relationships/numbering" Target="numbering.xml"/><Relationship Id="rId23" Type="http://schemas.openxmlformats.org/officeDocument/2006/relationships/customXml" Target="../customXml/item1.xml"/><Relationship Id="rId22" Type="http://schemas.openxmlformats.org/officeDocument/2006/relationships/theme" Target="theme/theme1.xml"/><Relationship Id="rId21" Type="http://schemas.openxmlformats.org/officeDocument/2006/relationships/footer" Target="footer11.xml"/><Relationship Id="rId20" Type="http://schemas.openxmlformats.org/officeDocument/2006/relationships/header" Target="header8.xml"/><Relationship Id="rId2" Type="http://schemas.openxmlformats.org/officeDocument/2006/relationships/settings" Target="settings.xml"/><Relationship Id="rId19" Type="http://schemas.openxmlformats.org/officeDocument/2006/relationships/footer" Target="footer10.xml"/><Relationship Id="rId18" Type="http://schemas.openxmlformats.org/officeDocument/2006/relationships/footer" Target="footer9.xml"/><Relationship Id="rId17" Type="http://schemas.openxmlformats.org/officeDocument/2006/relationships/footer" Target="footer8.xml"/><Relationship Id="rId16" Type="http://schemas.openxmlformats.org/officeDocument/2006/relationships/header" Target="header7.xml"/><Relationship Id="rId15" Type="http://schemas.openxmlformats.org/officeDocument/2006/relationships/header" Target="header6.xml"/><Relationship Id="rId14" Type="http://schemas.openxmlformats.org/officeDocument/2006/relationships/header" Target="header5.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84</Pages>
  <Words>14682</Words>
  <Characters>15354</Characters>
  <Lines>374</Lines>
  <Paragraphs>105</Paragraphs>
  <TotalTime>1</TotalTime>
  <ScaleCrop>false</ScaleCrop>
  <LinksUpToDate>false</LinksUpToDate>
  <CharactersWithSpaces>17411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2018-08-15T03:05:00Z</dcterms:created>
  <dc:creator>USER-</dc:creator>
  <cp:lastModifiedBy>请叫我闫优秀</cp:lastModifiedBy>
  <cp:lastPrinted>2022-09-27T07:45:00Z</cp:lastPrinted>
  <dcterms:modified xsi:type="dcterms:W3CDTF">2025-03-28T10:42:12Z</dcterms:modified>
  <dc:title>02年杜范本稿</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B4EAC3DA352645BA955598514A7B8BFB_13</vt:lpwstr>
  </property>
  <property fmtid="{D5CDD505-2E9C-101B-9397-08002B2CF9AE}" pid="4" name="KSOTemplateDocerSaveRecord">
    <vt:lpwstr>eyJoZGlkIjoiYzVmNDllYzk5YzA2ZDkwNzk5MTY2NDcxMTk5MTUyYmMiLCJ1c2VySWQiOiI0OTM5MTE4MzMifQ==</vt:lpwstr>
  </property>
</Properties>
</file>