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4310A4">
      <w:pPr>
        <w:tabs>
          <w:tab w:val="left" w:pos="0"/>
          <w:tab w:val="left" w:pos="3165"/>
          <w:tab w:val="center" w:pos="4153"/>
        </w:tabs>
        <w:spacing w:line="480" w:lineRule="exact"/>
        <w:jc w:val="center"/>
        <w:outlineLvl w:val="9"/>
        <w:rPr>
          <w:rFonts w:hint="eastAsia" w:ascii="微软雅黑" w:hAnsi="微软雅黑" w:eastAsia="微软雅黑" w:cs="微软雅黑"/>
          <w:b/>
          <w:bCs/>
          <w:color w:val="auto"/>
          <w:sz w:val="32"/>
          <w:szCs w:val="32"/>
          <w:highlight w:val="none"/>
        </w:rPr>
      </w:pPr>
      <w:bookmarkStart w:id="0" w:name="_Hlk139720656"/>
      <w:r>
        <w:rPr>
          <w:rFonts w:hint="eastAsia" w:ascii="微软雅黑" w:hAnsi="微软雅黑" w:eastAsia="微软雅黑" w:cs="微软雅黑"/>
          <w:b/>
          <w:bCs/>
          <w:color w:val="auto"/>
          <w:sz w:val="32"/>
          <w:szCs w:val="32"/>
          <w:highlight w:val="none"/>
          <w:lang w:eastAsia="zh-CN"/>
        </w:rPr>
        <w:t>新疆共建恒业信息咨询有限责任公司</w:t>
      </w:r>
      <w:r>
        <w:rPr>
          <w:rFonts w:hint="eastAsia" w:ascii="微软雅黑" w:hAnsi="微软雅黑" w:eastAsia="微软雅黑" w:cs="微软雅黑"/>
          <w:b/>
          <w:bCs/>
          <w:color w:val="auto"/>
          <w:sz w:val="32"/>
          <w:szCs w:val="32"/>
          <w:highlight w:val="none"/>
          <w:lang w:val="en-US" w:eastAsia="zh-CN"/>
        </w:rPr>
        <w:t>关于</w:t>
      </w:r>
      <w:bookmarkStart w:id="2" w:name="_GoBack"/>
      <w:r>
        <w:rPr>
          <w:rFonts w:hint="eastAsia" w:ascii="微软雅黑" w:hAnsi="微软雅黑" w:eastAsia="微软雅黑" w:cs="微软雅黑"/>
          <w:b/>
          <w:bCs/>
          <w:color w:val="auto"/>
          <w:sz w:val="32"/>
          <w:szCs w:val="32"/>
          <w:highlight w:val="none"/>
          <w:lang w:eastAsia="zh-CN"/>
        </w:rPr>
        <w:t>喀什地区第一人民医院安防、消防服务项目（二次）</w:t>
      </w:r>
      <w:r>
        <w:rPr>
          <w:rFonts w:hint="eastAsia" w:ascii="微软雅黑" w:hAnsi="微软雅黑" w:eastAsia="微软雅黑" w:cs="微软雅黑"/>
          <w:b/>
          <w:bCs/>
          <w:color w:val="auto"/>
          <w:sz w:val="32"/>
          <w:szCs w:val="32"/>
          <w:highlight w:val="none"/>
        </w:rPr>
        <w:t>公开招标公告</w:t>
      </w:r>
    </w:p>
    <w:bookmarkEnd w:id="2"/>
    <w:p w14:paraId="33B12060">
      <w:pPr>
        <w:keepNext w:val="0"/>
        <w:keepLines w:val="0"/>
        <w:pageBreakBefore w:val="0"/>
        <w:pBdr>
          <w:top w:val="single" w:color="auto" w:sz="4" w:space="1"/>
          <w:left w:val="single" w:color="auto" w:sz="4" w:space="4"/>
          <w:bottom w:val="single" w:color="auto" w:sz="4" w:space="1"/>
          <w:right w:val="single" w:color="auto" w:sz="4" w:space="4"/>
        </w:pBdr>
        <w:kinsoku/>
        <w:overflowPunct/>
        <w:topLinePunct w:val="0"/>
        <w:bidi w:val="0"/>
        <w:snapToGrid/>
        <w:spacing w:line="400" w:lineRule="exac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项目概况</w:t>
      </w:r>
    </w:p>
    <w:p w14:paraId="4D1F95F8">
      <w:pPr>
        <w:keepNext w:val="0"/>
        <w:keepLines w:val="0"/>
        <w:pageBreakBefore w:val="0"/>
        <w:pBdr>
          <w:top w:val="single" w:color="auto" w:sz="4" w:space="1"/>
          <w:left w:val="single" w:color="auto" w:sz="4" w:space="4"/>
          <w:bottom w:val="single" w:color="auto" w:sz="4" w:space="1"/>
          <w:right w:val="single" w:color="auto" w:sz="4" w:space="4"/>
        </w:pBdr>
        <w:kinsoku/>
        <w:wordWrap w:val="0"/>
        <w:overflowPunct/>
        <w:topLinePunct w:val="0"/>
        <w:bidi w:val="0"/>
        <w:snapToGrid/>
        <w:spacing w:line="400" w:lineRule="exact"/>
        <w:ind w:firstLine="480" w:firstLineChars="200"/>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color w:val="auto"/>
          <w:sz w:val="24"/>
          <w:highlight w:val="none"/>
          <w:u w:val="single"/>
          <w:lang w:eastAsia="zh-CN"/>
        </w:rPr>
        <w:t>喀什地区第一人民医院安防、消防服务项目（二次）</w:t>
      </w:r>
      <w:r>
        <w:rPr>
          <w:rFonts w:hint="eastAsia" w:ascii="微软雅黑" w:hAnsi="微软雅黑" w:eastAsia="微软雅黑" w:cs="微软雅黑"/>
          <w:color w:val="auto"/>
          <w:sz w:val="24"/>
          <w:highlight w:val="none"/>
        </w:rPr>
        <w:t>的潜在供应商应在</w:t>
      </w:r>
      <w:r>
        <w:rPr>
          <w:rFonts w:hint="eastAsia" w:ascii="微软雅黑" w:hAnsi="微软雅黑" w:eastAsia="微软雅黑" w:cs="微软雅黑"/>
          <w:color w:val="auto"/>
          <w:sz w:val="24"/>
          <w:highlight w:val="none"/>
          <w:u w:val="single"/>
        </w:rPr>
        <w:t xml:space="preserve">政采云平台（https://login.zcygov.cn/user-login/#/login） </w:t>
      </w:r>
      <w:r>
        <w:rPr>
          <w:rFonts w:hint="eastAsia" w:ascii="微软雅黑" w:hAnsi="微软雅黑" w:eastAsia="微软雅黑" w:cs="微软雅黑"/>
          <w:color w:val="auto"/>
          <w:sz w:val="24"/>
          <w:highlight w:val="none"/>
        </w:rPr>
        <w:t>获取招标文件，并于</w:t>
      </w:r>
      <w:r>
        <w:rPr>
          <w:rFonts w:hint="eastAsia" w:ascii="微软雅黑" w:hAnsi="微软雅黑" w:eastAsia="微软雅黑" w:cs="微软雅黑"/>
          <w:color w:val="auto"/>
          <w:sz w:val="24"/>
          <w:szCs w:val="24"/>
          <w:highlight w:val="none"/>
          <w:u w:val="single"/>
          <w:lang w:eastAsia="zh-CN"/>
        </w:rPr>
        <w:t>202</w:t>
      </w:r>
      <w:r>
        <w:rPr>
          <w:rFonts w:hint="eastAsia" w:ascii="微软雅黑" w:hAnsi="微软雅黑" w:eastAsia="微软雅黑" w:cs="微软雅黑"/>
          <w:color w:val="auto"/>
          <w:sz w:val="24"/>
          <w:szCs w:val="24"/>
          <w:highlight w:val="none"/>
          <w:u w:val="single"/>
          <w:lang w:val="en-US" w:eastAsia="zh-CN"/>
        </w:rPr>
        <w:t>5</w:t>
      </w:r>
      <w:r>
        <w:rPr>
          <w:rFonts w:hint="eastAsia" w:ascii="微软雅黑" w:hAnsi="微软雅黑" w:eastAsia="微软雅黑" w:cs="微软雅黑"/>
          <w:color w:val="auto"/>
          <w:sz w:val="24"/>
          <w:szCs w:val="24"/>
          <w:highlight w:val="none"/>
          <w:u w:val="single"/>
          <w:lang w:eastAsia="zh-CN"/>
        </w:rPr>
        <w:t>年</w:t>
      </w:r>
      <w:r>
        <w:rPr>
          <w:rFonts w:hint="eastAsia" w:ascii="微软雅黑" w:hAnsi="微软雅黑" w:eastAsia="微软雅黑" w:cs="微软雅黑"/>
          <w:color w:val="auto"/>
          <w:sz w:val="24"/>
          <w:szCs w:val="24"/>
          <w:highlight w:val="none"/>
          <w:u w:val="single"/>
          <w:lang w:val="en-US" w:eastAsia="zh-CN"/>
        </w:rPr>
        <w:t>04月22日</w:t>
      </w:r>
      <w:r>
        <w:rPr>
          <w:rFonts w:hint="eastAsia" w:ascii="微软雅黑" w:hAnsi="微软雅黑" w:eastAsia="微软雅黑" w:cs="微软雅黑"/>
          <w:color w:val="auto"/>
          <w:sz w:val="24"/>
          <w:szCs w:val="24"/>
          <w:highlight w:val="none"/>
          <w:u w:val="single"/>
          <w:lang w:eastAsia="zh-CN"/>
        </w:rPr>
        <w:t>11:00</w:t>
      </w:r>
      <w:r>
        <w:rPr>
          <w:rFonts w:hint="eastAsia" w:ascii="微软雅黑" w:hAnsi="微软雅黑" w:eastAsia="微软雅黑" w:cs="微软雅黑"/>
          <w:color w:val="auto"/>
          <w:sz w:val="24"/>
          <w:highlight w:val="none"/>
          <w:u w:val="single"/>
        </w:rPr>
        <w:t>（北京时间）</w:t>
      </w:r>
      <w:r>
        <w:rPr>
          <w:rFonts w:hint="eastAsia" w:ascii="微软雅黑" w:hAnsi="微软雅黑" w:eastAsia="微软雅黑" w:cs="微软雅黑"/>
          <w:bCs/>
          <w:color w:val="auto"/>
          <w:sz w:val="24"/>
          <w:highlight w:val="none"/>
        </w:rPr>
        <w:t>前上传投标文件</w:t>
      </w:r>
      <w:r>
        <w:rPr>
          <w:rFonts w:hint="eastAsia" w:ascii="微软雅黑" w:hAnsi="微软雅黑" w:eastAsia="微软雅黑" w:cs="微软雅黑"/>
          <w:color w:val="auto"/>
          <w:sz w:val="24"/>
          <w:highlight w:val="none"/>
        </w:rPr>
        <w:t>。</w:t>
      </w:r>
    </w:p>
    <w:p w14:paraId="62EF363B">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一、项目基本情况</w:t>
      </w:r>
    </w:p>
    <w:p w14:paraId="1D52D79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项目编号：</w:t>
      </w:r>
      <w:r>
        <w:rPr>
          <w:rFonts w:hint="eastAsia" w:ascii="微软雅黑" w:hAnsi="微软雅黑" w:eastAsia="微软雅黑" w:cs="微软雅黑"/>
          <w:color w:val="auto"/>
          <w:sz w:val="24"/>
          <w:highlight w:val="none"/>
          <w:lang w:val="en-US" w:eastAsia="zh-CN"/>
        </w:rPr>
        <w:t>25GJ-(GK)012-2</w:t>
      </w:r>
    </w:p>
    <w:p w14:paraId="4973A3A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项目名称：</w:t>
      </w:r>
      <w:r>
        <w:rPr>
          <w:rFonts w:hint="eastAsia" w:ascii="微软雅黑" w:hAnsi="微软雅黑" w:eastAsia="微软雅黑" w:cs="微软雅黑"/>
          <w:color w:val="auto"/>
          <w:sz w:val="24"/>
          <w:szCs w:val="24"/>
          <w:highlight w:val="none"/>
          <w:lang w:eastAsia="zh-CN"/>
        </w:rPr>
        <w:t>喀什地区第一人民医院安防、消防服务项目（二次）</w:t>
      </w:r>
    </w:p>
    <w:p w14:paraId="208EAC2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采购方式：公开招标</w:t>
      </w:r>
    </w:p>
    <w:p w14:paraId="129D2315">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预算金额（元）：3492000.00</w:t>
      </w:r>
    </w:p>
    <w:p w14:paraId="794986B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最高限价（元）：3492000.00</w:t>
      </w:r>
    </w:p>
    <w:p w14:paraId="1D8E91D7">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采购需求：</w:t>
      </w:r>
    </w:p>
    <w:p w14:paraId="5028C44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标项名称：</w:t>
      </w:r>
      <w:r>
        <w:rPr>
          <w:rFonts w:hint="eastAsia" w:ascii="微软雅黑" w:hAnsi="微软雅黑" w:eastAsia="微软雅黑" w:cs="微软雅黑"/>
          <w:color w:val="auto"/>
          <w:sz w:val="24"/>
          <w:szCs w:val="24"/>
          <w:highlight w:val="none"/>
          <w:lang w:eastAsia="zh-CN"/>
        </w:rPr>
        <w:t>喀什地区第一人民医院安防、消防服务项目（二次）</w:t>
      </w:r>
    </w:p>
    <w:p w14:paraId="6DCC6F1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数量：一项</w:t>
      </w:r>
    </w:p>
    <w:p w14:paraId="659F4C27">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预算金额(元)：3492000.00</w:t>
      </w:r>
    </w:p>
    <w:p w14:paraId="6C0F1CE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简要规格描述或项目基本概况介绍、用途：提供疏附县广州新城分院区（含喀广研究院）、国家区域医疗中心、喀什市东城区儿童中心院区等三个院区的安保、消防服务。（详见招标文件）</w:t>
      </w:r>
    </w:p>
    <w:p w14:paraId="6B9BCBE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备注：</w:t>
      </w:r>
      <w:r>
        <w:rPr>
          <w:rFonts w:hint="eastAsia" w:ascii="微软雅黑" w:hAnsi="微软雅黑" w:eastAsia="微软雅黑" w:cs="微软雅黑"/>
          <w:color w:val="auto"/>
          <w:sz w:val="24"/>
          <w:szCs w:val="24"/>
          <w:highlight w:val="none"/>
          <w:lang w:val="en-US" w:eastAsia="zh-CN"/>
        </w:rPr>
        <w:t>3492000.00元/年。</w:t>
      </w:r>
    </w:p>
    <w:p w14:paraId="6917D764">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合同履约期限：详见招标文件。  </w:t>
      </w:r>
    </w:p>
    <w:p w14:paraId="4D3B4F0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本项目（否）接受联合体投标。</w:t>
      </w:r>
    </w:p>
    <w:p w14:paraId="6916A7D6">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二、投标供应商资格要求：</w:t>
      </w:r>
    </w:p>
    <w:p w14:paraId="4ACA1B4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 1.满足《中华人民共和国政府采购法》第二十二条规定：</w:t>
      </w:r>
    </w:p>
    <w:p w14:paraId="71B8449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 2.落实政府采购政策需满足的资格要求：标项1：专门面向中小企业。</w:t>
      </w:r>
    </w:p>
    <w:p w14:paraId="37E33D11">
      <w:pPr>
        <w:pStyle w:val="2"/>
        <w:pageBreakBefore w:val="0"/>
        <w:widowControl w:val="0"/>
        <w:kinsoku/>
        <w:overflowPunct/>
        <w:topLinePunct w:val="0"/>
        <w:bidi w:val="0"/>
        <w:snapToGrid/>
        <w:spacing w:line="400" w:lineRule="exact"/>
        <w:ind w:firstLine="480" w:firstLineChars="200"/>
        <w:textAlignment w:val="auto"/>
        <w:rPr>
          <w:rFonts w:hint="eastAsia" w:ascii="微软雅黑" w:hAnsi="微软雅黑" w:eastAsia="微软雅黑" w:cs="微软雅黑"/>
          <w:b w:val="0"/>
          <w:bCs w:val="0"/>
          <w:color w:val="auto"/>
          <w:kern w:val="0"/>
          <w:sz w:val="24"/>
          <w:szCs w:val="24"/>
          <w:highlight w:val="none"/>
        </w:rPr>
      </w:pPr>
      <w:r>
        <w:rPr>
          <w:rFonts w:hint="eastAsia" w:ascii="微软雅黑" w:hAnsi="微软雅黑" w:eastAsia="微软雅黑" w:cs="微软雅黑"/>
          <w:color w:val="auto"/>
          <w:sz w:val="24"/>
          <w:szCs w:val="24"/>
          <w:highlight w:val="none"/>
          <w:lang w:val="en-US" w:eastAsia="zh-CN"/>
        </w:rPr>
        <w:t xml:space="preserve"> 3.本项目的特定资格要求：投标供应商须提供由公安部门颁发且有效的《保安服务许可证》。</w:t>
      </w:r>
    </w:p>
    <w:p w14:paraId="53D12C1E">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三、获取招标文件</w:t>
      </w:r>
    </w:p>
    <w:p w14:paraId="34D286DC">
      <w:pPr>
        <w:keepNext w:val="0"/>
        <w:keepLines w:val="0"/>
        <w:pageBreakBefore w:val="0"/>
        <w:widowControl w:val="0"/>
        <w:kinsoku/>
        <w:wordWrap/>
        <w:overflowPunct/>
        <w:topLinePunct w:val="0"/>
        <w:autoSpaceDE/>
        <w:autoSpaceDN/>
        <w:bidi w:val="0"/>
        <w:adjustRightInd/>
        <w:snapToGrid/>
        <w:spacing w:line="400" w:lineRule="exact"/>
        <w:ind w:firstLine="540"/>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时间：</w:t>
      </w:r>
      <w:r>
        <w:rPr>
          <w:rFonts w:hint="eastAsia" w:ascii="微软雅黑" w:hAnsi="微软雅黑" w:eastAsia="微软雅黑" w:cs="微软雅黑"/>
          <w:color w:val="auto"/>
          <w:sz w:val="24"/>
          <w:szCs w:val="24"/>
          <w:highlight w:val="none"/>
          <w:lang w:val="en-US" w:eastAsia="zh-CN"/>
        </w:rPr>
        <w:t>2025年</w:t>
      </w:r>
      <w:r>
        <w:rPr>
          <w:rFonts w:hint="eastAsia" w:ascii="微软雅黑" w:hAnsi="微软雅黑" w:eastAsia="微软雅黑" w:cs="微软雅黑"/>
          <w:color w:val="auto"/>
          <w:sz w:val="24"/>
          <w:szCs w:val="24"/>
          <w:highlight w:val="none"/>
          <w:u w:val="none"/>
          <w:lang w:val="en-US" w:eastAsia="zh-CN"/>
        </w:rPr>
        <w:t>04月02日</w:t>
      </w:r>
      <w:r>
        <w:rPr>
          <w:rFonts w:hint="eastAsia" w:ascii="微软雅黑" w:hAnsi="微软雅黑" w:eastAsia="微软雅黑" w:cs="微软雅黑"/>
          <w:color w:val="auto"/>
          <w:sz w:val="24"/>
          <w:szCs w:val="24"/>
          <w:highlight w:val="none"/>
          <w:lang w:val="en-US" w:eastAsia="zh-CN"/>
        </w:rPr>
        <w:t>至2025</w:t>
      </w:r>
      <w:r>
        <w:rPr>
          <w:rFonts w:hint="eastAsia" w:ascii="微软雅黑" w:hAnsi="微软雅黑" w:eastAsia="微软雅黑" w:cs="微软雅黑"/>
          <w:color w:val="auto"/>
          <w:sz w:val="24"/>
          <w:szCs w:val="24"/>
          <w:highlight w:val="none"/>
          <w:u w:val="none"/>
          <w:lang w:val="en-US" w:eastAsia="zh-CN"/>
        </w:rPr>
        <w:t>年04月10日，</w:t>
      </w:r>
      <w:r>
        <w:rPr>
          <w:rFonts w:hint="eastAsia" w:ascii="微软雅黑" w:hAnsi="微软雅黑" w:eastAsia="微软雅黑" w:cs="微软雅黑"/>
          <w:color w:val="auto"/>
          <w:sz w:val="24"/>
          <w:szCs w:val="24"/>
          <w:highlight w:val="none"/>
          <w:lang w:val="en-US" w:eastAsia="zh-CN"/>
        </w:rPr>
        <w:t>每天上午10:00至14:00，下午15:30至19:30（北京时间，法定节假日除外）</w:t>
      </w:r>
    </w:p>
    <w:p w14:paraId="2ED5C535">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地点：政采云平台线上 </w:t>
      </w:r>
    </w:p>
    <w:p w14:paraId="293B6E9E">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62053871">
      <w:pPr>
        <w:keepNext w:val="0"/>
        <w:keepLines w:val="0"/>
        <w:pageBreakBefore w:val="0"/>
        <w:widowControl w:val="0"/>
        <w:kinsoku/>
        <w:wordWrap/>
        <w:overflowPunct/>
        <w:topLinePunct w:val="0"/>
        <w:autoSpaceDE/>
        <w:autoSpaceDN/>
        <w:bidi w:val="0"/>
        <w:adjustRightInd/>
        <w:snapToGrid/>
        <w:spacing w:line="400" w:lineRule="exact"/>
        <w:ind w:firstLine="540"/>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售价：0元</w:t>
      </w:r>
    </w:p>
    <w:p w14:paraId="4D3C3402">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四、提交投标文件截止时间、开标时间和地点</w:t>
      </w:r>
    </w:p>
    <w:p w14:paraId="23B6B33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color w:val="auto"/>
          <w:sz w:val="24"/>
          <w:szCs w:val="24"/>
          <w:highlight w:val="none"/>
        </w:rPr>
        <w:t>提交投标文件截止时间：</w:t>
      </w:r>
      <w:r>
        <w:rPr>
          <w:rFonts w:hint="eastAsia" w:ascii="微软雅黑" w:hAnsi="微软雅黑" w:eastAsia="微软雅黑" w:cs="微软雅黑"/>
          <w:color w:val="auto"/>
          <w:sz w:val="24"/>
          <w:szCs w:val="24"/>
          <w:highlight w:val="none"/>
          <w:lang w:eastAsia="zh-CN"/>
        </w:rPr>
        <w:t>202</w:t>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eastAsia="zh-CN"/>
        </w:rPr>
        <w:t>年</w:t>
      </w:r>
      <w:r>
        <w:rPr>
          <w:rFonts w:hint="eastAsia" w:ascii="微软雅黑" w:hAnsi="微软雅黑" w:eastAsia="微软雅黑" w:cs="微软雅黑"/>
          <w:color w:val="auto"/>
          <w:sz w:val="24"/>
          <w:szCs w:val="24"/>
          <w:highlight w:val="none"/>
          <w:lang w:val="en-US" w:eastAsia="zh-CN"/>
        </w:rPr>
        <w:t>04月22日</w:t>
      </w:r>
      <w:r>
        <w:rPr>
          <w:rFonts w:hint="eastAsia" w:ascii="微软雅黑" w:hAnsi="微软雅黑" w:eastAsia="微软雅黑" w:cs="微软雅黑"/>
          <w:color w:val="auto"/>
          <w:sz w:val="24"/>
          <w:szCs w:val="24"/>
          <w:highlight w:val="none"/>
          <w:lang w:eastAsia="zh-CN"/>
        </w:rPr>
        <w:t>11:00</w:t>
      </w:r>
      <w:r>
        <w:rPr>
          <w:rFonts w:hint="eastAsia" w:ascii="微软雅黑" w:hAnsi="微软雅黑" w:eastAsia="微软雅黑" w:cs="微软雅黑"/>
          <w:bCs/>
          <w:color w:val="auto"/>
          <w:sz w:val="24"/>
          <w:szCs w:val="24"/>
          <w:highlight w:val="none"/>
        </w:rPr>
        <w:t>（北京时间）</w:t>
      </w:r>
    </w:p>
    <w:p w14:paraId="407AC05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投标地点：请登录政采云投标客户端投标</w:t>
      </w:r>
    </w:p>
    <w:p w14:paraId="0293CCD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开标时间：</w:t>
      </w:r>
      <w:r>
        <w:rPr>
          <w:rFonts w:hint="eastAsia" w:ascii="微软雅黑" w:hAnsi="微软雅黑" w:eastAsia="微软雅黑" w:cs="微软雅黑"/>
          <w:color w:val="auto"/>
          <w:sz w:val="24"/>
          <w:szCs w:val="24"/>
          <w:highlight w:val="none"/>
          <w:lang w:eastAsia="zh-CN"/>
        </w:rPr>
        <w:t>202</w:t>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eastAsia="zh-CN"/>
        </w:rPr>
        <w:t>年</w:t>
      </w:r>
      <w:r>
        <w:rPr>
          <w:rFonts w:hint="eastAsia" w:ascii="微软雅黑" w:hAnsi="微软雅黑" w:eastAsia="微软雅黑" w:cs="微软雅黑"/>
          <w:color w:val="auto"/>
          <w:sz w:val="24"/>
          <w:szCs w:val="24"/>
          <w:highlight w:val="none"/>
          <w:lang w:val="en-US" w:eastAsia="zh-CN"/>
        </w:rPr>
        <w:t>04月22日</w:t>
      </w:r>
      <w:r>
        <w:rPr>
          <w:rFonts w:hint="eastAsia" w:ascii="微软雅黑" w:hAnsi="微软雅黑" w:eastAsia="微软雅黑" w:cs="微软雅黑"/>
          <w:color w:val="auto"/>
          <w:sz w:val="24"/>
          <w:szCs w:val="24"/>
          <w:highlight w:val="none"/>
          <w:lang w:eastAsia="zh-CN"/>
        </w:rPr>
        <w:t>11:00</w:t>
      </w:r>
      <w:r>
        <w:rPr>
          <w:rFonts w:hint="eastAsia" w:ascii="微软雅黑" w:hAnsi="微软雅黑" w:eastAsia="微软雅黑" w:cs="微软雅黑"/>
          <w:color w:val="auto"/>
          <w:sz w:val="24"/>
          <w:szCs w:val="24"/>
          <w:highlight w:val="none"/>
        </w:rPr>
        <w:t>（北京时间）</w:t>
      </w:r>
    </w:p>
    <w:p w14:paraId="0AC6608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开标地点：</w:t>
      </w:r>
      <w:r>
        <w:rPr>
          <w:rFonts w:hint="eastAsia" w:ascii="微软雅黑" w:hAnsi="微软雅黑" w:eastAsia="微软雅黑" w:cs="微软雅黑"/>
          <w:color w:val="auto"/>
          <w:kern w:val="0"/>
          <w:sz w:val="24"/>
          <w:szCs w:val="24"/>
          <w:highlight w:val="none"/>
          <w:lang w:eastAsia="zh-CN"/>
        </w:rPr>
        <w:t>供应商</w:t>
      </w:r>
      <w:r>
        <w:rPr>
          <w:rFonts w:hint="eastAsia" w:ascii="微软雅黑" w:hAnsi="微软雅黑" w:eastAsia="微软雅黑" w:cs="微软雅黑"/>
          <w:color w:val="auto"/>
          <w:kern w:val="0"/>
          <w:sz w:val="24"/>
          <w:szCs w:val="24"/>
          <w:highlight w:val="none"/>
        </w:rPr>
        <w:t>登录政采云平台https://www.zcygov.cn/，进入“项目采购-开标评标-右边选择对应项目点击“进入项目”进入开标大厅。</w:t>
      </w:r>
    </w:p>
    <w:p w14:paraId="320390D6">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五、公告期限</w:t>
      </w:r>
    </w:p>
    <w:p w14:paraId="4FA8F6F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自本公告发布之日起5个工作日。</w:t>
      </w:r>
    </w:p>
    <w:p w14:paraId="5F9BF958">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六、</w:t>
      </w:r>
      <w:r>
        <w:rPr>
          <w:rFonts w:hint="eastAsia" w:ascii="微软雅黑" w:hAnsi="微软雅黑" w:eastAsia="微软雅黑" w:cs="微软雅黑"/>
          <w:b/>
          <w:color w:val="auto"/>
          <w:sz w:val="24"/>
          <w:highlight w:val="none"/>
          <w:lang w:eastAsia="zh-CN"/>
        </w:rPr>
        <w:t>其他</w:t>
      </w:r>
      <w:r>
        <w:rPr>
          <w:rFonts w:hint="eastAsia" w:ascii="微软雅黑" w:hAnsi="微软雅黑" w:eastAsia="微软雅黑" w:cs="微软雅黑"/>
          <w:b/>
          <w:color w:val="auto"/>
          <w:sz w:val="24"/>
          <w:highlight w:val="none"/>
        </w:rPr>
        <w:t>补充事宜</w:t>
      </w:r>
    </w:p>
    <w:p w14:paraId="663B009E">
      <w:pPr>
        <w:pStyle w:val="5"/>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left="0" w:right="0" w:firstLine="482"/>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6052F0FF">
      <w:pPr>
        <w:pStyle w:val="5"/>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left="0" w:right="0" w:firstLine="482"/>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2.本项目实行网上投标，采用电子投标文件(供应商须使用CA加密设备通过政采云电子投标客户端制作投标文件)。若供应商参与投标，自行承担投标一切费用。</w:t>
      </w:r>
    </w:p>
    <w:p w14:paraId="1F9A1CB2">
      <w:pPr>
        <w:pStyle w:val="5"/>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left="0" w:right="0" w:firstLine="482"/>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3.各供应商应在开标前应确保成为新疆政府采购网正式注册入库供应商，并完成CA数字证书申领。因未注册入库、未办理CA数字证书等原因造成无法投标或投标失败等后果由供应商自行承担。</w:t>
      </w:r>
    </w:p>
    <w:p w14:paraId="35A13FA0">
      <w:pPr>
        <w:pStyle w:val="5"/>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left="0" w:right="0" w:firstLine="482"/>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33ABE450">
      <w:pPr>
        <w:pStyle w:val="5"/>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left="0" w:right="0" w:firstLine="482"/>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5.供应商在开标时须使用制作加密电子投标文件所使用的CA锁及电脑，电脑须提前配置好浏览器（建议使用谷歌浏览器），以便开标时解锁。</w:t>
      </w:r>
    </w:p>
    <w:p w14:paraId="3079338E">
      <w:pPr>
        <w:pStyle w:val="5"/>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left="0" w:right="0" w:firstLine="482"/>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6.投标保证金缴纳及确认时间：凡拟参加本次招标项目的供应商，必须在开标前将投标保证金汇入指定账户。投标保证金汇款凭证上用途栏应注明:招标项目名称+标项号+投标保证金。否则，届时其投标将被拒绝。</w:t>
      </w:r>
    </w:p>
    <w:p w14:paraId="041D9CC9">
      <w:pPr>
        <w:pStyle w:val="5"/>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left="0" w:right="0" w:firstLine="482"/>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2EABB43F">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七、对本次招标提出询问，请按以下方式联系。</w:t>
      </w:r>
    </w:p>
    <w:p w14:paraId="774CE22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1.采购人信息</w:t>
      </w:r>
    </w:p>
    <w:p w14:paraId="4294DDCD">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名 称：喀什地区第一人民医院</w:t>
      </w:r>
    </w:p>
    <w:p w14:paraId="79A27AF3">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地 址：喀什市迎宾大道120号 </w:t>
      </w:r>
    </w:p>
    <w:p w14:paraId="73F4073A">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联系方式：朱宝平0998-2962911    </w:t>
      </w:r>
    </w:p>
    <w:p w14:paraId="2D3B9EC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2.采购代理机构信息</w:t>
      </w:r>
    </w:p>
    <w:p w14:paraId="17D568D7">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名 称：新疆共建恒业信息咨询有限责任公司</w:t>
      </w:r>
    </w:p>
    <w:p w14:paraId="468A1DC7">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地 址：喀什经济开发区深喀大道陕西大厦12楼1208室 </w:t>
      </w:r>
    </w:p>
    <w:p w14:paraId="2BB089E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联系方式：刘晶晶 18209987338</w:t>
      </w:r>
    </w:p>
    <w:p w14:paraId="71EACBE7">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3.项目联系方式</w:t>
      </w:r>
    </w:p>
    <w:p w14:paraId="3AA794D7">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项目联系人：刘晶晶</w:t>
      </w:r>
    </w:p>
    <w:p w14:paraId="3A0CD15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电 话：18209987338</w:t>
      </w:r>
    </w:p>
    <w:p w14:paraId="668F02D1">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bookmarkStart w:id="1" w:name="_Toc31392"/>
      <w:r>
        <w:rPr>
          <w:rFonts w:hint="eastAsia" w:ascii="微软雅黑" w:hAnsi="微软雅黑" w:eastAsia="微软雅黑" w:cs="微软雅黑"/>
          <w:color w:val="auto"/>
          <w:sz w:val="24"/>
          <w:szCs w:val="24"/>
          <w:highlight w:val="none"/>
          <w:lang w:val="en-US" w:eastAsia="zh-CN"/>
        </w:rPr>
        <w:t>4.同级政府采购监督管理部门</w:t>
      </w:r>
      <w:bookmarkEnd w:id="1"/>
    </w:p>
    <w:p w14:paraId="4275A96E">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名    称：喀什地区财政局政府采购管理办公室            </w:t>
      </w:r>
    </w:p>
    <w:p w14:paraId="0182556A">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地    址：喀什地区财政局 </w:t>
      </w:r>
    </w:p>
    <w:p w14:paraId="75D85287">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highlight w:val="none"/>
          <w:lang w:val="en-US" w:eastAsia="zh-CN"/>
        </w:rPr>
      </w:pPr>
      <w:r>
        <w:rPr>
          <w:rFonts w:hint="eastAsia" w:ascii="微软雅黑" w:hAnsi="微软雅黑" w:eastAsia="微软雅黑" w:cs="微软雅黑"/>
          <w:color w:val="auto"/>
          <w:sz w:val="24"/>
          <w:szCs w:val="24"/>
          <w:highlight w:val="none"/>
          <w:lang w:val="en-US" w:eastAsia="zh-CN"/>
        </w:rPr>
        <w:t>监督投诉电话：09982597000/09982597200</w:t>
      </w:r>
    </w:p>
    <w:p w14:paraId="690C700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  </w:t>
      </w:r>
    </w:p>
    <w:p w14:paraId="15C8F705">
      <w:pPr>
        <w:keepNext w:val="0"/>
        <w:keepLines w:val="0"/>
        <w:pageBreakBefore w:val="0"/>
        <w:kinsoku/>
        <w:overflowPunct/>
        <w:topLinePunct w:val="0"/>
        <w:bidi w:val="0"/>
        <w:snapToGrid/>
        <w:spacing w:line="400" w:lineRule="exact"/>
        <w:ind w:firstLine="480" w:firstLineChars="200"/>
        <w:jc w:val="right"/>
        <w:textAlignment w:val="auto"/>
        <w:outlineLvl w:val="9"/>
        <w:rPr>
          <w:rFonts w:hint="eastAsia" w:ascii="微软雅黑" w:hAnsi="微软雅黑" w:eastAsia="微软雅黑" w:cs="微软雅黑"/>
          <w:color w:val="auto"/>
          <w:kern w:val="0"/>
          <w:sz w:val="24"/>
          <w:szCs w:val="24"/>
          <w:highlight w:val="none"/>
        </w:rPr>
      </w:pPr>
    </w:p>
    <w:p w14:paraId="650CA4FD">
      <w:pPr>
        <w:keepNext w:val="0"/>
        <w:keepLines w:val="0"/>
        <w:pageBreakBefore w:val="0"/>
        <w:kinsoku/>
        <w:overflowPunct/>
        <w:topLinePunct w:val="0"/>
        <w:bidi w:val="0"/>
        <w:snapToGrid/>
        <w:spacing w:line="400" w:lineRule="exact"/>
        <w:ind w:firstLine="480" w:firstLineChars="200"/>
        <w:jc w:val="right"/>
        <w:textAlignment w:val="auto"/>
        <w:outlineLvl w:val="9"/>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color w:val="auto"/>
          <w:kern w:val="0"/>
          <w:sz w:val="24"/>
          <w:szCs w:val="24"/>
          <w:highlight w:val="none"/>
          <w:lang w:eastAsia="zh-CN"/>
        </w:rPr>
        <w:t xml:space="preserve"> 新疆共建恒业信息咨询有限责任公司</w:t>
      </w:r>
    </w:p>
    <w:p w14:paraId="08D33E85">
      <w:pPr>
        <w:keepNext w:val="0"/>
        <w:keepLines w:val="0"/>
        <w:pageBreakBefore w:val="0"/>
        <w:kinsoku/>
        <w:overflowPunct/>
        <w:topLinePunct w:val="0"/>
        <w:bidi w:val="0"/>
        <w:snapToGrid/>
        <w:spacing w:line="400" w:lineRule="exact"/>
        <w:ind w:firstLine="480" w:firstLineChars="200"/>
        <w:jc w:val="right"/>
        <w:textAlignment w:val="auto"/>
        <w:outlineLvl w:val="9"/>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xml:space="preserve">                                      </w:t>
      </w:r>
      <w:r>
        <w:rPr>
          <w:rFonts w:hint="eastAsia" w:ascii="微软雅黑" w:hAnsi="微软雅黑" w:eastAsia="微软雅黑" w:cs="微软雅黑"/>
          <w:color w:val="auto"/>
          <w:kern w:val="0"/>
          <w:sz w:val="24"/>
          <w:szCs w:val="24"/>
          <w:highlight w:val="none"/>
          <w:u w:val="none"/>
        </w:rPr>
        <w:t xml:space="preserve"> 202</w:t>
      </w:r>
      <w:r>
        <w:rPr>
          <w:rFonts w:hint="eastAsia" w:ascii="微软雅黑" w:hAnsi="微软雅黑" w:eastAsia="微软雅黑" w:cs="微软雅黑"/>
          <w:color w:val="auto"/>
          <w:kern w:val="0"/>
          <w:sz w:val="24"/>
          <w:szCs w:val="24"/>
          <w:highlight w:val="none"/>
          <w:u w:val="none"/>
          <w:lang w:val="en-US" w:eastAsia="zh-CN"/>
        </w:rPr>
        <w:t>5</w:t>
      </w:r>
      <w:r>
        <w:rPr>
          <w:rFonts w:hint="eastAsia" w:ascii="微软雅黑" w:hAnsi="微软雅黑" w:eastAsia="微软雅黑" w:cs="微软雅黑"/>
          <w:color w:val="auto"/>
          <w:kern w:val="0"/>
          <w:sz w:val="24"/>
          <w:szCs w:val="24"/>
          <w:highlight w:val="none"/>
          <w:u w:val="none"/>
        </w:rPr>
        <w:t>年</w:t>
      </w:r>
      <w:bookmarkEnd w:id="0"/>
      <w:r>
        <w:rPr>
          <w:rFonts w:hint="eastAsia" w:ascii="微软雅黑" w:hAnsi="微软雅黑" w:eastAsia="微软雅黑" w:cs="微软雅黑"/>
          <w:color w:val="auto"/>
          <w:sz w:val="24"/>
          <w:szCs w:val="24"/>
          <w:highlight w:val="none"/>
          <w:u w:val="none"/>
          <w:lang w:val="en-US" w:eastAsia="zh-CN"/>
        </w:rPr>
        <w:t>04月01日</w:t>
      </w:r>
    </w:p>
    <w:p w14:paraId="456060F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092F20"/>
    <w:rsid w:val="6E092F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szCs w:val="20"/>
    </w:rPr>
  </w:style>
  <w:style w:type="paragraph" w:customStyle="1" w:styleId="5">
    <w:name w:val="普通(网站)1"/>
    <w:basedOn w:val="1"/>
    <w:autoRedefine/>
    <w:qFormat/>
    <w:uiPriority w:val="2"/>
    <w:pPr>
      <w:spacing w:before="75" w:after="75"/>
      <w:ind w:left="0" w:right="0" w:firstLine="0"/>
      <w:jc w:val="left"/>
    </w:pPr>
    <w:rPr>
      <w:kern w:val="0"/>
      <w:sz w:val="24"/>
      <w:lang w:val="en-US" w:eastAsia="zh-C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2025-04-01T10:14:00Z</dcterms:created>
  <dc:creator>朱萍</dc:creator>
  <cp:lastModifiedBy>朱萍</cp:lastModifiedBy>
  <dcterms:modified xsi:type="dcterms:W3CDTF">2025-04-01T10:14:42Z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A043EE350DBE42D89FB9FAADC3224642_11</vt:lpwstr>
  </property>
  <property fmtid="{D5CDD505-2E9C-101B-9397-08002B2CF9AE}" pid="4" name="KSOTemplateDocerSaveRecord">
    <vt:lpwstr>eyJoZGlkIjoiZjIwMWYzYWI0MWY0YTY5ZjBkYjZjMTIwYjc4YjY2ZDMiLCJ1c2VySWQiOiIxNDU3MTUzMDU4In0=</vt:lpwstr>
  </property>
</Properties>
</file>